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0E5C2" w14:textId="77777777" w:rsidR="00F91C7B" w:rsidRPr="00D95F2B" w:rsidRDefault="00F91C7B" w:rsidP="001A5518">
      <w:pPr>
        <w:rPr>
          <w:sz w:val="22"/>
          <w:szCs w:val="22"/>
          <w:lang w:val="sr-Latn-ME"/>
        </w:rPr>
      </w:pPr>
    </w:p>
    <w:p w14:paraId="429AF54E" w14:textId="77777777" w:rsidR="002510A5" w:rsidRPr="00D95F2B" w:rsidRDefault="002510A5" w:rsidP="002510A5">
      <w:pPr>
        <w:jc w:val="center"/>
        <w:rPr>
          <w:b/>
          <w:bCs/>
          <w:iCs/>
          <w:sz w:val="22"/>
          <w:szCs w:val="22"/>
          <w:u w:val="single"/>
          <w:lang w:val="sr-Latn-ME"/>
        </w:rPr>
      </w:pPr>
      <w:r w:rsidRPr="00D95F2B">
        <w:rPr>
          <w:b/>
          <w:bCs/>
          <w:iCs/>
          <w:sz w:val="22"/>
          <w:szCs w:val="22"/>
          <w:u w:val="single"/>
          <w:lang w:val="sr-Latn-ME"/>
        </w:rPr>
        <w:t>SAŽETAK KARAKTERISTIKA LIJEKA</w:t>
      </w:r>
    </w:p>
    <w:p w14:paraId="4DC19A27" w14:textId="77777777" w:rsidR="002510A5" w:rsidRPr="00D95F2B" w:rsidRDefault="002510A5" w:rsidP="002510A5">
      <w:pPr>
        <w:rPr>
          <w:b/>
          <w:bCs/>
          <w:i/>
          <w:iCs/>
          <w:sz w:val="22"/>
          <w:szCs w:val="22"/>
          <w:u w:val="single"/>
          <w:lang w:val="sr-Latn-ME"/>
        </w:rPr>
      </w:pPr>
    </w:p>
    <w:p w14:paraId="17439925" w14:textId="77777777" w:rsidR="00C37FD7" w:rsidRPr="00D95F2B" w:rsidRDefault="00C37FD7" w:rsidP="00F5167F">
      <w:pPr>
        <w:tabs>
          <w:tab w:val="left" w:pos="540"/>
          <w:tab w:val="left" w:pos="569"/>
        </w:tabs>
        <w:rPr>
          <w:bCs/>
          <w:sz w:val="22"/>
          <w:szCs w:val="22"/>
          <w:lang w:val="sr-Latn-ME"/>
        </w:rPr>
      </w:pPr>
    </w:p>
    <w:p w14:paraId="1756E527" w14:textId="77777777" w:rsidR="00411B4B" w:rsidRPr="00D95F2B" w:rsidRDefault="00411B4B" w:rsidP="00F5167F">
      <w:pPr>
        <w:tabs>
          <w:tab w:val="left" w:pos="540"/>
          <w:tab w:val="left" w:pos="569"/>
        </w:tabs>
        <w:rPr>
          <w:b/>
          <w:bCs/>
          <w:sz w:val="22"/>
          <w:szCs w:val="22"/>
          <w:lang w:val="sr-Latn-ME"/>
        </w:rPr>
      </w:pPr>
      <w:r w:rsidRPr="00D95F2B">
        <w:rPr>
          <w:b/>
          <w:bCs/>
          <w:sz w:val="22"/>
          <w:szCs w:val="22"/>
          <w:lang w:val="sr-Latn-ME"/>
        </w:rPr>
        <w:t>1.</w:t>
      </w:r>
      <w:r w:rsidR="00F5167F" w:rsidRPr="00D95F2B">
        <w:rPr>
          <w:b/>
          <w:bCs/>
          <w:sz w:val="22"/>
          <w:szCs w:val="22"/>
          <w:lang w:val="sr-Latn-ME"/>
        </w:rPr>
        <w:tab/>
      </w:r>
      <w:r w:rsidR="002846DB" w:rsidRPr="00D95F2B">
        <w:rPr>
          <w:b/>
          <w:bCs/>
          <w:sz w:val="22"/>
          <w:szCs w:val="22"/>
          <w:lang w:val="sr-Latn-ME"/>
        </w:rPr>
        <w:t xml:space="preserve">NAZIV </w:t>
      </w:r>
      <w:r w:rsidRPr="00D95F2B">
        <w:rPr>
          <w:b/>
          <w:bCs/>
          <w:sz w:val="22"/>
          <w:szCs w:val="22"/>
          <w:lang w:val="sr-Latn-ME"/>
        </w:rPr>
        <w:t>LIJEKA</w:t>
      </w:r>
    </w:p>
    <w:p w14:paraId="7BA1D24B" w14:textId="77777777" w:rsidR="00EC2532" w:rsidRPr="00D95F2B" w:rsidRDefault="00EC2532">
      <w:pPr>
        <w:rPr>
          <w:sz w:val="22"/>
          <w:szCs w:val="22"/>
          <w:lang w:val="sr-Latn-ME"/>
        </w:rPr>
      </w:pPr>
    </w:p>
    <w:p w14:paraId="45B005E7" w14:textId="7F6FB94D" w:rsidR="00C16E35" w:rsidRPr="00D95F2B" w:rsidRDefault="00203EA1" w:rsidP="002654EB">
      <w:pPr>
        <w:rPr>
          <w:bCs/>
          <w:sz w:val="22"/>
          <w:szCs w:val="22"/>
          <w:lang w:val="sr-Latn-ME"/>
        </w:rPr>
      </w:pPr>
      <w:r w:rsidRPr="00D95F2B">
        <w:rPr>
          <w:bCs/>
          <w:sz w:val="22"/>
          <w:szCs w:val="22"/>
          <w:lang w:val="sr-Latn-ME"/>
        </w:rPr>
        <w:t>Victoza</w:t>
      </w:r>
      <w:r w:rsidR="003B5692" w:rsidRPr="00D95F2B">
        <w:rPr>
          <w:bCs/>
          <w:sz w:val="22"/>
          <w:szCs w:val="22"/>
          <w:lang w:val="sr-Latn-ME"/>
        </w:rPr>
        <w:t>,</w:t>
      </w:r>
      <w:r w:rsidR="00C16E35" w:rsidRPr="00D95F2B">
        <w:rPr>
          <w:bCs/>
          <w:sz w:val="22"/>
          <w:szCs w:val="22"/>
          <w:lang w:val="sr-Latn-ME"/>
        </w:rPr>
        <w:t xml:space="preserve"> 6 mg/ml</w:t>
      </w:r>
      <w:r w:rsidR="003B5692" w:rsidRPr="00D95F2B">
        <w:rPr>
          <w:bCs/>
          <w:sz w:val="22"/>
          <w:szCs w:val="22"/>
          <w:lang w:val="sr-Latn-ME"/>
        </w:rPr>
        <w:t>,</w:t>
      </w:r>
      <w:r w:rsidR="00C16E35" w:rsidRPr="00D95F2B">
        <w:rPr>
          <w:bCs/>
          <w:sz w:val="22"/>
          <w:szCs w:val="22"/>
          <w:lang w:val="sr-Latn-ME"/>
        </w:rPr>
        <w:t xml:space="preserve"> rastvor za injekciju </w:t>
      </w:r>
      <w:r w:rsidR="002654EB" w:rsidRPr="00D95F2B">
        <w:rPr>
          <w:bCs/>
          <w:sz w:val="22"/>
          <w:szCs w:val="22"/>
          <w:lang w:val="sr-Latn-ME"/>
        </w:rPr>
        <w:t>u napunjenom injekcionom penu</w:t>
      </w:r>
      <w:r w:rsidR="00C16E35" w:rsidRPr="00D95F2B">
        <w:rPr>
          <w:bCs/>
          <w:sz w:val="22"/>
          <w:szCs w:val="22"/>
          <w:lang w:val="sr-Latn-ME"/>
        </w:rPr>
        <w:t xml:space="preserve"> </w:t>
      </w:r>
    </w:p>
    <w:p w14:paraId="0CDF3D4C" w14:textId="77777777" w:rsidR="000D425A" w:rsidRPr="00D95F2B" w:rsidRDefault="000D425A">
      <w:pPr>
        <w:rPr>
          <w:bCs/>
          <w:sz w:val="22"/>
          <w:szCs w:val="22"/>
          <w:lang w:val="sr-Latn-ME"/>
        </w:rPr>
      </w:pPr>
    </w:p>
    <w:p w14:paraId="6B3F3FEF" w14:textId="77777777" w:rsidR="006D20A5" w:rsidRPr="00D95F2B" w:rsidRDefault="006D20A5" w:rsidP="006D20A5">
      <w:pPr>
        <w:rPr>
          <w:sz w:val="22"/>
          <w:szCs w:val="22"/>
          <w:lang w:val="sr-Latn-ME"/>
        </w:rPr>
      </w:pPr>
      <w:r w:rsidRPr="00D95F2B">
        <w:rPr>
          <w:sz w:val="22"/>
          <w:szCs w:val="22"/>
          <w:lang w:val="sr-Latn-ME"/>
        </w:rPr>
        <w:t>INN:</w:t>
      </w:r>
      <w:r w:rsidR="00C16E35" w:rsidRPr="00D95F2B">
        <w:rPr>
          <w:sz w:val="22"/>
          <w:szCs w:val="22"/>
          <w:lang w:val="sr-Latn-ME"/>
        </w:rPr>
        <w:t xml:space="preserve"> liraglutid</w:t>
      </w:r>
    </w:p>
    <w:p w14:paraId="74849DEB" w14:textId="77777777" w:rsidR="006D20A5" w:rsidRPr="00D95F2B" w:rsidRDefault="006D20A5">
      <w:pPr>
        <w:rPr>
          <w:bCs/>
          <w:sz w:val="22"/>
          <w:szCs w:val="22"/>
          <w:lang w:val="sr-Latn-ME"/>
        </w:rPr>
      </w:pPr>
    </w:p>
    <w:p w14:paraId="1EAB485E" w14:textId="77777777" w:rsidR="00530BD7" w:rsidRPr="00D95F2B" w:rsidRDefault="00530BD7">
      <w:pPr>
        <w:rPr>
          <w:bCs/>
          <w:sz w:val="22"/>
          <w:szCs w:val="22"/>
          <w:lang w:val="sr-Latn-ME"/>
        </w:rPr>
      </w:pPr>
    </w:p>
    <w:p w14:paraId="2C040BB3" w14:textId="77777777" w:rsidR="00411B4B" w:rsidRPr="00D95F2B" w:rsidRDefault="00411B4B" w:rsidP="00F5167F">
      <w:pPr>
        <w:tabs>
          <w:tab w:val="left" w:pos="540"/>
          <w:tab w:val="left" w:pos="569"/>
        </w:tabs>
        <w:rPr>
          <w:b/>
          <w:bCs/>
          <w:sz w:val="22"/>
          <w:szCs w:val="22"/>
          <w:lang w:val="sr-Latn-ME"/>
        </w:rPr>
      </w:pPr>
      <w:r w:rsidRPr="00D95F2B">
        <w:rPr>
          <w:b/>
          <w:bCs/>
          <w:sz w:val="22"/>
          <w:szCs w:val="22"/>
          <w:lang w:val="sr-Latn-ME"/>
        </w:rPr>
        <w:t xml:space="preserve">2. </w:t>
      </w:r>
      <w:r w:rsidR="00F5167F" w:rsidRPr="00D95F2B">
        <w:rPr>
          <w:b/>
          <w:bCs/>
          <w:sz w:val="22"/>
          <w:szCs w:val="22"/>
          <w:lang w:val="sr-Latn-ME"/>
        </w:rPr>
        <w:tab/>
      </w:r>
      <w:r w:rsidRPr="00D95F2B">
        <w:rPr>
          <w:b/>
          <w:bCs/>
          <w:sz w:val="22"/>
          <w:szCs w:val="22"/>
          <w:lang w:val="sr-Latn-ME"/>
        </w:rPr>
        <w:t>KVALITATIVNI I KVANTITATIVNI SASTAV</w:t>
      </w:r>
    </w:p>
    <w:p w14:paraId="3241ABCB" w14:textId="77777777" w:rsidR="005A0B2E" w:rsidRPr="00D95F2B" w:rsidRDefault="005A0B2E">
      <w:pPr>
        <w:rPr>
          <w:sz w:val="22"/>
          <w:szCs w:val="22"/>
          <w:lang w:val="sr-Latn-ME"/>
        </w:rPr>
      </w:pPr>
    </w:p>
    <w:p w14:paraId="61710BB9" w14:textId="77777777" w:rsidR="003B5692" w:rsidRPr="00D95F2B" w:rsidRDefault="001160EC" w:rsidP="001160EC">
      <w:pPr>
        <w:rPr>
          <w:sz w:val="22"/>
          <w:szCs w:val="22"/>
          <w:lang w:val="sr-Latn-ME"/>
        </w:rPr>
      </w:pPr>
      <w:r w:rsidRPr="00D95F2B">
        <w:rPr>
          <w:sz w:val="22"/>
          <w:szCs w:val="22"/>
          <w:lang w:val="sr-Latn-ME"/>
        </w:rPr>
        <w:t xml:space="preserve">1 ml rastvora sadrži 6 mg liraglutida*. </w:t>
      </w:r>
    </w:p>
    <w:p w14:paraId="1C685574" w14:textId="1F8B4669" w:rsidR="001160EC" w:rsidRPr="00D95F2B" w:rsidRDefault="001160EC" w:rsidP="001160EC">
      <w:pPr>
        <w:rPr>
          <w:sz w:val="22"/>
          <w:szCs w:val="22"/>
          <w:lang w:val="sr-Latn-ME"/>
        </w:rPr>
      </w:pPr>
      <w:r w:rsidRPr="00D95F2B">
        <w:rPr>
          <w:sz w:val="22"/>
          <w:szCs w:val="22"/>
          <w:lang w:val="sr-Latn-ME"/>
        </w:rPr>
        <w:t xml:space="preserve">Jedan </w:t>
      </w:r>
      <w:r w:rsidR="00F6755E" w:rsidRPr="00D95F2B">
        <w:rPr>
          <w:sz w:val="22"/>
          <w:szCs w:val="22"/>
          <w:lang w:val="sr-Latn-ME"/>
        </w:rPr>
        <w:t>napunjeni injekcioni pen</w:t>
      </w:r>
      <w:r w:rsidRPr="00D95F2B">
        <w:rPr>
          <w:sz w:val="22"/>
          <w:szCs w:val="22"/>
          <w:lang w:val="sr-Latn-ME"/>
        </w:rPr>
        <w:t xml:space="preserve"> sadrži 18 mg liraglutida u 3 ml rastvora.</w:t>
      </w:r>
    </w:p>
    <w:p w14:paraId="69A2FA49" w14:textId="77777777" w:rsidR="001160EC" w:rsidRPr="00D95F2B" w:rsidRDefault="001160EC" w:rsidP="001160EC">
      <w:pPr>
        <w:rPr>
          <w:sz w:val="22"/>
          <w:szCs w:val="22"/>
          <w:lang w:val="sr-Latn-ME"/>
        </w:rPr>
      </w:pPr>
    </w:p>
    <w:p w14:paraId="2C68B6BC" w14:textId="6F1F1A48" w:rsidR="001160EC" w:rsidRPr="00D95F2B" w:rsidRDefault="001160EC" w:rsidP="00AB551E">
      <w:pPr>
        <w:jc w:val="both"/>
        <w:rPr>
          <w:sz w:val="22"/>
          <w:szCs w:val="22"/>
          <w:lang w:val="sr-Latn-ME"/>
        </w:rPr>
      </w:pPr>
      <w:r w:rsidRPr="00D95F2B">
        <w:rPr>
          <w:sz w:val="22"/>
          <w:szCs w:val="22"/>
          <w:lang w:val="sr-Latn-ME"/>
        </w:rPr>
        <w:t xml:space="preserve">*analog humanog glukagonu-sličnog peptida-1 (GLP-1), proizveden </w:t>
      </w:r>
      <w:r w:rsidR="003B5692" w:rsidRPr="00D95F2B">
        <w:rPr>
          <w:sz w:val="22"/>
          <w:szCs w:val="22"/>
          <w:lang w:val="sr-Latn-ME"/>
        </w:rPr>
        <w:t xml:space="preserve">tehnologijom </w:t>
      </w:r>
      <w:r w:rsidRPr="00D95F2B">
        <w:rPr>
          <w:sz w:val="22"/>
          <w:szCs w:val="22"/>
          <w:lang w:val="sr-Latn-ME"/>
        </w:rPr>
        <w:t>rekombinantn</w:t>
      </w:r>
      <w:r w:rsidR="003B5692" w:rsidRPr="00D95F2B">
        <w:rPr>
          <w:sz w:val="22"/>
          <w:szCs w:val="22"/>
          <w:lang w:val="sr-Latn-ME"/>
        </w:rPr>
        <w:t>e</w:t>
      </w:r>
      <w:r w:rsidRPr="00D95F2B">
        <w:rPr>
          <w:sz w:val="22"/>
          <w:szCs w:val="22"/>
          <w:lang w:val="sr-Latn-ME"/>
        </w:rPr>
        <w:t xml:space="preserve"> DNK na </w:t>
      </w:r>
      <w:r w:rsidRPr="00D95F2B">
        <w:rPr>
          <w:i/>
          <w:iCs/>
          <w:sz w:val="22"/>
          <w:szCs w:val="22"/>
          <w:lang w:val="sr-Latn-ME"/>
        </w:rPr>
        <w:t>Saccharomyces cerevisiae</w:t>
      </w:r>
      <w:r w:rsidRPr="00D95F2B">
        <w:rPr>
          <w:sz w:val="22"/>
          <w:szCs w:val="22"/>
          <w:lang w:val="sr-Latn-ME"/>
        </w:rPr>
        <w:t>.</w:t>
      </w:r>
    </w:p>
    <w:p w14:paraId="48371992" w14:textId="77777777" w:rsidR="001160EC" w:rsidRPr="00D95F2B" w:rsidRDefault="001160EC">
      <w:pPr>
        <w:rPr>
          <w:sz w:val="22"/>
          <w:szCs w:val="22"/>
          <w:lang w:val="sr-Latn-ME"/>
        </w:rPr>
      </w:pPr>
    </w:p>
    <w:p w14:paraId="04DCD6A0" w14:textId="77777777" w:rsidR="0003793F" w:rsidRPr="00D95F2B" w:rsidRDefault="0003793F">
      <w:pPr>
        <w:rPr>
          <w:sz w:val="22"/>
          <w:szCs w:val="22"/>
          <w:lang w:val="sr-Latn-ME"/>
        </w:rPr>
      </w:pPr>
      <w:r w:rsidRPr="00D95F2B">
        <w:rPr>
          <w:sz w:val="22"/>
          <w:szCs w:val="22"/>
          <w:lang w:val="sr-Latn-ME"/>
        </w:rPr>
        <w:t>Za spisak svih ekscipijenasa, pogledati dio 6.1.</w:t>
      </w:r>
    </w:p>
    <w:p w14:paraId="272270C6" w14:textId="77777777" w:rsidR="0003793F" w:rsidRPr="00D95F2B" w:rsidRDefault="0003793F">
      <w:pPr>
        <w:rPr>
          <w:sz w:val="22"/>
          <w:szCs w:val="22"/>
          <w:lang w:val="sr-Latn-ME"/>
        </w:rPr>
      </w:pPr>
    </w:p>
    <w:p w14:paraId="6F4D1BB1" w14:textId="77777777" w:rsidR="00C37FD7" w:rsidRPr="00D95F2B" w:rsidRDefault="00C37FD7">
      <w:pPr>
        <w:rPr>
          <w:sz w:val="22"/>
          <w:szCs w:val="22"/>
          <w:lang w:val="sr-Latn-ME"/>
        </w:rPr>
      </w:pPr>
    </w:p>
    <w:p w14:paraId="7C2C453E" w14:textId="77777777" w:rsidR="00411B4B" w:rsidRPr="00D95F2B" w:rsidRDefault="00411B4B" w:rsidP="00F5167F">
      <w:pPr>
        <w:tabs>
          <w:tab w:val="left" w:pos="540"/>
          <w:tab w:val="left" w:pos="569"/>
        </w:tabs>
        <w:rPr>
          <w:b/>
          <w:bCs/>
          <w:sz w:val="22"/>
          <w:szCs w:val="22"/>
          <w:lang w:val="sr-Latn-ME"/>
        </w:rPr>
      </w:pPr>
      <w:r w:rsidRPr="00D95F2B">
        <w:rPr>
          <w:b/>
          <w:bCs/>
          <w:sz w:val="22"/>
          <w:szCs w:val="22"/>
          <w:lang w:val="sr-Latn-ME"/>
        </w:rPr>
        <w:t xml:space="preserve">3. </w:t>
      </w:r>
      <w:r w:rsidR="00F5167F" w:rsidRPr="00D95F2B">
        <w:rPr>
          <w:b/>
          <w:bCs/>
          <w:sz w:val="22"/>
          <w:szCs w:val="22"/>
          <w:lang w:val="sr-Latn-ME"/>
        </w:rPr>
        <w:tab/>
      </w:r>
      <w:r w:rsidRPr="00D95F2B">
        <w:rPr>
          <w:b/>
          <w:bCs/>
          <w:sz w:val="22"/>
          <w:szCs w:val="22"/>
          <w:lang w:val="sr-Latn-ME"/>
        </w:rPr>
        <w:t>FARMACEUTSKI OBLIK</w:t>
      </w:r>
      <w:r w:rsidR="009F2D23" w:rsidRPr="00D95F2B">
        <w:rPr>
          <w:b/>
          <w:bCs/>
          <w:sz w:val="22"/>
          <w:szCs w:val="22"/>
          <w:lang w:val="sr-Latn-ME"/>
        </w:rPr>
        <w:t xml:space="preserve"> </w:t>
      </w:r>
    </w:p>
    <w:p w14:paraId="496943C0" w14:textId="77777777" w:rsidR="00411B4B" w:rsidRPr="00D95F2B" w:rsidRDefault="00411B4B">
      <w:pPr>
        <w:rPr>
          <w:bCs/>
          <w:sz w:val="22"/>
          <w:szCs w:val="22"/>
          <w:lang w:val="sr-Latn-ME"/>
        </w:rPr>
      </w:pPr>
    </w:p>
    <w:p w14:paraId="6658E9B3" w14:textId="591D1352" w:rsidR="001160EC" w:rsidRPr="00D95F2B" w:rsidRDefault="001160EC" w:rsidP="001160EC">
      <w:pPr>
        <w:rPr>
          <w:bCs/>
          <w:sz w:val="22"/>
          <w:szCs w:val="22"/>
          <w:lang w:val="sr-Latn-ME"/>
        </w:rPr>
      </w:pPr>
      <w:r w:rsidRPr="00D95F2B">
        <w:rPr>
          <w:bCs/>
          <w:sz w:val="22"/>
          <w:szCs w:val="22"/>
          <w:lang w:val="sr-Latn-ME"/>
        </w:rPr>
        <w:t>Rastvor za injekciju</w:t>
      </w:r>
      <w:r w:rsidR="002654EB" w:rsidRPr="00D95F2B">
        <w:rPr>
          <w:bCs/>
          <w:sz w:val="22"/>
          <w:szCs w:val="22"/>
          <w:lang w:val="sr-Latn-ME"/>
        </w:rPr>
        <w:t xml:space="preserve"> u napunjenom injekcionom penu</w:t>
      </w:r>
      <w:r w:rsidRPr="00D95F2B">
        <w:rPr>
          <w:bCs/>
          <w:sz w:val="22"/>
          <w:szCs w:val="22"/>
          <w:lang w:val="sr-Latn-ME"/>
        </w:rPr>
        <w:t>.</w:t>
      </w:r>
    </w:p>
    <w:p w14:paraId="4B7B0AA1" w14:textId="77777777" w:rsidR="002654EB" w:rsidRPr="00D95F2B" w:rsidRDefault="002654EB" w:rsidP="001160EC">
      <w:pPr>
        <w:rPr>
          <w:bCs/>
          <w:sz w:val="22"/>
          <w:szCs w:val="22"/>
          <w:lang w:val="sr-Latn-ME"/>
        </w:rPr>
      </w:pPr>
    </w:p>
    <w:p w14:paraId="7C0A66C5" w14:textId="15C98236" w:rsidR="001160EC" w:rsidRPr="00D95F2B" w:rsidRDefault="001160EC" w:rsidP="001160EC">
      <w:pPr>
        <w:rPr>
          <w:bCs/>
          <w:sz w:val="22"/>
          <w:szCs w:val="22"/>
          <w:lang w:val="sr-Latn-ME"/>
        </w:rPr>
      </w:pPr>
      <w:r w:rsidRPr="00D95F2B">
        <w:rPr>
          <w:bCs/>
          <w:sz w:val="22"/>
          <w:szCs w:val="22"/>
          <w:lang w:val="sr-Latn-ME"/>
        </w:rPr>
        <w:t>Bistar</w:t>
      </w:r>
      <w:r w:rsidR="002654EB" w:rsidRPr="00D95F2B">
        <w:rPr>
          <w:bCs/>
          <w:sz w:val="22"/>
          <w:szCs w:val="22"/>
          <w:lang w:val="sr-Latn-ME"/>
        </w:rPr>
        <w:t>,</w:t>
      </w:r>
      <w:r w:rsidRPr="00D95F2B">
        <w:rPr>
          <w:bCs/>
          <w:sz w:val="22"/>
          <w:szCs w:val="22"/>
          <w:lang w:val="sr-Latn-ME"/>
        </w:rPr>
        <w:t xml:space="preserve"> bezbojan ili skoro bezbojan, izotoničan rastvor; pH</w:t>
      </w:r>
      <w:r w:rsidR="003B5692" w:rsidRPr="00D95F2B">
        <w:rPr>
          <w:bCs/>
          <w:sz w:val="22"/>
          <w:szCs w:val="22"/>
          <w:lang w:val="sr-Latn-ME"/>
        </w:rPr>
        <w:t xml:space="preserve"> </w:t>
      </w:r>
      <w:r w:rsidRPr="00D95F2B">
        <w:rPr>
          <w:bCs/>
          <w:sz w:val="22"/>
          <w:szCs w:val="22"/>
          <w:lang w:val="sr-Latn-ME"/>
        </w:rPr>
        <w:t>=</w:t>
      </w:r>
      <w:r w:rsidR="003B5692" w:rsidRPr="00D95F2B">
        <w:rPr>
          <w:bCs/>
          <w:sz w:val="22"/>
          <w:szCs w:val="22"/>
          <w:lang w:val="sr-Latn-ME"/>
        </w:rPr>
        <w:t xml:space="preserve"> </w:t>
      </w:r>
      <w:r w:rsidRPr="00D95F2B">
        <w:rPr>
          <w:bCs/>
          <w:sz w:val="22"/>
          <w:szCs w:val="22"/>
          <w:lang w:val="sr-Latn-ME"/>
        </w:rPr>
        <w:t>8,15.</w:t>
      </w:r>
    </w:p>
    <w:p w14:paraId="36157F3D" w14:textId="29E696C3" w:rsidR="00EC2532" w:rsidRPr="00D95F2B" w:rsidRDefault="00EC2532">
      <w:pPr>
        <w:rPr>
          <w:bCs/>
          <w:sz w:val="22"/>
          <w:szCs w:val="22"/>
          <w:lang w:val="sr-Latn-ME"/>
        </w:rPr>
      </w:pPr>
    </w:p>
    <w:p w14:paraId="0E3290FB" w14:textId="77777777" w:rsidR="002654EB" w:rsidRPr="00D95F2B" w:rsidRDefault="002654EB">
      <w:pPr>
        <w:rPr>
          <w:bCs/>
          <w:sz w:val="22"/>
          <w:szCs w:val="22"/>
          <w:lang w:val="sr-Latn-ME"/>
        </w:rPr>
      </w:pPr>
    </w:p>
    <w:p w14:paraId="71BF21BF" w14:textId="77777777" w:rsidR="00411B4B" w:rsidRPr="00D95F2B" w:rsidRDefault="00411B4B" w:rsidP="00F5167F">
      <w:pPr>
        <w:tabs>
          <w:tab w:val="left" w:pos="540"/>
          <w:tab w:val="left" w:pos="569"/>
        </w:tabs>
        <w:rPr>
          <w:b/>
          <w:bCs/>
          <w:sz w:val="22"/>
          <w:szCs w:val="22"/>
          <w:lang w:val="sr-Latn-ME"/>
        </w:rPr>
      </w:pPr>
      <w:r w:rsidRPr="00D95F2B">
        <w:rPr>
          <w:b/>
          <w:bCs/>
          <w:sz w:val="22"/>
          <w:szCs w:val="22"/>
          <w:lang w:val="sr-Latn-ME"/>
        </w:rPr>
        <w:t xml:space="preserve">4. </w:t>
      </w:r>
      <w:r w:rsidR="00480FB1" w:rsidRPr="00D95F2B">
        <w:rPr>
          <w:b/>
          <w:bCs/>
          <w:sz w:val="22"/>
          <w:szCs w:val="22"/>
          <w:lang w:val="sr-Latn-ME"/>
        </w:rPr>
        <w:tab/>
      </w:r>
      <w:r w:rsidRPr="00D95F2B">
        <w:rPr>
          <w:b/>
          <w:bCs/>
          <w:sz w:val="22"/>
          <w:szCs w:val="22"/>
          <w:lang w:val="sr-Latn-ME"/>
        </w:rPr>
        <w:t>KLINIČKI PODACI</w:t>
      </w:r>
    </w:p>
    <w:p w14:paraId="4C7E8D61" w14:textId="77777777" w:rsidR="00CD6F02" w:rsidRPr="00D95F2B" w:rsidRDefault="00CD6F02" w:rsidP="00480FB1">
      <w:pPr>
        <w:tabs>
          <w:tab w:val="left" w:pos="540"/>
          <w:tab w:val="left" w:pos="569"/>
        </w:tabs>
        <w:rPr>
          <w:bCs/>
          <w:sz w:val="22"/>
          <w:szCs w:val="22"/>
          <w:lang w:val="sr-Latn-ME"/>
        </w:rPr>
      </w:pPr>
    </w:p>
    <w:p w14:paraId="2E0298C8" w14:textId="77777777" w:rsidR="00411B4B" w:rsidRPr="00D95F2B" w:rsidRDefault="00411B4B" w:rsidP="00480FB1">
      <w:pPr>
        <w:tabs>
          <w:tab w:val="left" w:pos="540"/>
          <w:tab w:val="left" w:pos="569"/>
        </w:tabs>
        <w:rPr>
          <w:b/>
          <w:bCs/>
          <w:sz w:val="22"/>
          <w:szCs w:val="22"/>
          <w:lang w:val="sr-Latn-ME"/>
        </w:rPr>
      </w:pPr>
      <w:r w:rsidRPr="00D95F2B">
        <w:rPr>
          <w:b/>
          <w:bCs/>
          <w:sz w:val="22"/>
          <w:szCs w:val="22"/>
          <w:lang w:val="sr-Latn-ME"/>
        </w:rPr>
        <w:t xml:space="preserve">4.1. </w:t>
      </w:r>
      <w:r w:rsidR="00480FB1" w:rsidRPr="00D95F2B">
        <w:rPr>
          <w:b/>
          <w:bCs/>
          <w:sz w:val="22"/>
          <w:szCs w:val="22"/>
          <w:lang w:val="sr-Latn-ME"/>
        </w:rPr>
        <w:tab/>
      </w:r>
      <w:r w:rsidRPr="00D95F2B">
        <w:rPr>
          <w:b/>
          <w:bCs/>
          <w:sz w:val="22"/>
          <w:szCs w:val="22"/>
          <w:lang w:val="sr-Latn-ME"/>
        </w:rPr>
        <w:t>Terapijske indikacije</w:t>
      </w:r>
    </w:p>
    <w:p w14:paraId="34AC02A1" w14:textId="77777777" w:rsidR="00411B4B" w:rsidRPr="00D95F2B" w:rsidRDefault="00411B4B" w:rsidP="00480FB1">
      <w:pPr>
        <w:tabs>
          <w:tab w:val="left" w:pos="540"/>
          <w:tab w:val="left" w:pos="569"/>
        </w:tabs>
        <w:rPr>
          <w:bCs/>
          <w:sz w:val="22"/>
          <w:szCs w:val="22"/>
          <w:lang w:val="sr-Latn-ME"/>
        </w:rPr>
      </w:pPr>
    </w:p>
    <w:p w14:paraId="45EDA963" w14:textId="7AA67D46" w:rsidR="001160EC" w:rsidRPr="00D95F2B" w:rsidRDefault="00203EA1" w:rsidP="00AB551E">
      <w:pPr>
        <w:tabs>
          <w:tab w:val="left" w:pos="540"/>
          <w:tab w:val="left" w:pos="569"/>
        </w:tabs>
        <w:jc w:val="both"/>
        <w:rPr>
          <w:bCs/>
          <w:sz w:val="22"/>
          <w:szCs w:val="22"/>
          <w:lang w:val="sr-Latn-ME"/>
        </w:rPr>
      </w:pPr>
      <w:r w:rsidRPr="00D95F2B">
        <w:rPr>
          <w:bCs/>
          <w:sz w:val="22"/>
          <w:szCs w:val="22"/>
          <w:lang w:val="sr-Latn-ME"/>
        </w:rPr>
        <w:t>Victoza</w:t>
      </w:r>
      <w:r w:rsidR="001160EC" w:rsidRPr="00D95F2B">
        <w:rPr>
          <w:bCs/>
          <w:sz w:val="22"/>
          <w:szCs w:val="22"/>
          <w:lang w:val="sr-Latn-ME"/>
        </w:rPr>
        <w:t xml:space="preserve"> je indikovana za liječenje dijabetes</w:t>
      </w:r>
      <w:r w:rsidR="0012459D" w:rsidRPr="00D95F2B">
        <w:rPr>
          <w:bCs/>
          <w:sz w:val="22"/>
          <w:szCs w:val="22"/>
          <w:lang w:val="sr-Latn-ME"/>
        </w:rPr>
        <w:t xml:space="preserve"> melitusa</w:t>
      </w:r>
      <w:r w:rsidR="001160EC" w:rsidRPr="00D95F2B">
        <w:rPr>
          <w:bCs/>
          <w:sz w:val="22"/>
          <w:szCs w:val="22"/>
          <w:lang w:val="sr-Latn-ME"/>
        </w:rPr>
        <w:t xml:space="preserve"> tip 2 koji nije odgovarajuće regulisan kod odraslih pacijenata</w:t>
      </w:r>
      <w:r w:rsidR="00DD063C" w:rsidRPr="00D95F2B">
        <w:rPr>
          <w:bCs/>
          <w:sz w:val="22"/>
          <w:szCs w:val="22"/>
          <w:lang w:val="sr-Latn-ME"/>
        </w:rPr>
        <w:t>, adolescenata i djece uzrasta od 10 godina i više,</w:t>
      </w:r>
      <w:r w:rsidR="001160EC" w:rsidRPr="00D95F2B">
        <w:rPr>
          <w:bCs/>
          <w:sz w:val="22"/>
          <w:szCs w:val="22"/>
          <w:lang w:val="sr-Latn-ME"/>
        </w:rPr>
        <w:t xml:space="preserve"> kao dodatak dijeti i fizičkim vježbama</w:t>
      </w:r>
    </w:p>
    <w:p w14:paraId="49881F12" w14:textId="77777777" w:rsidR="001160EC" w:rsidRPr="00D95F2B" w:rsidRDefault="001160EC" w:rsidP="00AB551E">
      <w:pPr>
        <w:pStyle w:val="ListParagraph"/>
        <w:numPr>
          <w:ilvl w:val="0"/>
          <w:numId w:val="12"/>
        </w:numPr>
        <w:tabs>
          <w:tab w:val="left" w:pos="540"/>
          <w:tab w:val="left" w:pos="569"/>
        </w:tabs>
        <w:jc w:val="both"/>
        <w:rPr>
          <w:bCs/>
          <w:sz w:val="22"/>
          <w:szCs w:val="22"/>
          <w:lang w:val="sr-Latn-ME"/>
        </w:rPr>
      </w:pPr>
      <w:r w:rsidRPr="00D95F2B">
        <w:rPr>
          <w:bCs/>
          <w:sz w:val="22"/>
          <w:szCs w:val="22"/>
          <w:lang w:val="sr-Latn-ME"/>
        </w:rPr>
        <w:t>kao monoterapija kada se primjena metformina ne smatra odgovarajućom zbog nepodnošljivosti ili kontraindikacija</w:t>
      </w:r>
    </w:p>
    <w:p w14:paraId="061CC2CB" w14:textId="77777777" w:rsidR="001160EC" w:rsidRPr="00D95F2B" w:rsidRDefault="001160EC" w:rsidP="00AB551E">
      <w:pPr>
        <w:pStyle w:val="ListParagraph"/>
        <w:numPr>
          <w:ilvl w:val="0"/>
          <w:numId w:val="12"/>
        </w:numPr>
        <w:tabs>
          <w:tab w:val="left" w:pos="540"/>
          <w:tab w:val="left" w:pos="569"/>
        </w:tabs>
        <w:jc w:val="both"/>
        <w:rPr>
          <w:bCs/>
          <w:sz w:val="22"/>
          <w:szCs w:val="22"/>
          <w:lang w:val="sr-Latn-ME"/>
        </w:rPr>
      </w:pPr>
      <w:r w:rsidRPr="00D95F2B">
        <w:rPr>
          <w:bCs/>
          <w:sz w:val="22"/>
          <w:szCs w:val="22"/>
          <w:lang w:val="sr-Latn-ME"/>
        </w:rPr>
        <w:t>kao dodatak drugim ljekovima za liječenje dijabetesa.</w:t>
      </w:r>
    </w:p>
    <w:p w14:paraId="1869A3A4" w14:textId="1FA1AFA1"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Rezultate ispitivanja, uzimajući u obzir kombinovanu terapiju, efekte na kontrolu glikemije i kardiovaskularne događaje, kao i ispitivane populacije, vidjeti</w:t>
      </w:r>
      <w:r w:rsidR="00BD4A26" w:rsidRPr="00D95F2B">
        <w:rPr>
          <w:bCs/>
          <w:sz w:val="22"/>
          <w:szCs w:val="22"/>
          <w:lang w:val="sr-Latn-ME"/>
        </w:rPr>
        <w:t xml:space="preserve"> djelove</w:t>
      </w:r>
      <w:r w:rsidRPr="00D95F2B">
        <w:rPr>
          <w:bCs/>
          <w:sz w:val="22"/>
          <w:szCs w:val="22"/>
          <w:lang w:val="sr-Latn-ME"/>
        </w:rPr>
        <w:t xml:space="preserve"> 4.4, 4.5 i 5.1.</w:t>
      </w:r>
    </w:p>
    <w:p w14:paraId="27B77F68" w14:textId="77777777" w:rsidR="001160EC" w:rsidRPr="00D95F2B" w:rsidRDefault="001160EC" w:rsidP="00AB551E">
      <w:pPr>
        <w:tabs>
          <w:tab w:val="left" w:pos="540"/>
          <w:tab w:val="left" w:pos="569"/>
        </w:tabs>
        <w:jc w:val="both"/>
        <w:rPr>
          <w:bCs/>
          <w:sz w:val="22"/>
          <w:szCs w:val="22"/>
          <w:lang w:val="sr-Latn-ME"/>
        </w:rPr>
      </w:pPr>
    </w:p>
    <w:p w14:paraId="459F6E6E" w14:textId="77777777" w:rsidR="00411B4B" w:rsidRPr="00D95F2B" w:rsidRDefault="00411B4B" w:rsidP="00480FB1">
      <w:pPr>
        <w:tabs>
          <w:tab w:val="left" w:pos="540"/>
          <w:tab w:val="left" w:pos="569"/>
        </w:tabs>
        <w:rPr>
          <w:b/>
          <w:bCs/>
          <w:sz w:val="22"/>
          <w:szCs w:val="22"/>
          <w:lang w:val="sr-Latn-ME"/>
        </w:rPr>
      </w:pPr>
      <w:r w:rsidRPr="00D95F2B">
        <w:rPr>
          <w:b/>
          <w:bCs/>
          <w:sz w:val="22"/>
          <w:szCs w:val="22"/>
          <w:lang w:val="sr-Latn-ME"/>
        </w:rPr>
        <w:t xml:space="preserve">4.2. </w:t>
      </w:r>
      <w:r w:rsidR="00480FB1" w:rsidRPr="00D95F2B">
        <w:rPr>
          <w:b/>
          <w:bCs/>
          <w:sz w:val="22"/>
          <w:szCs w:val="22"/>
          <w:lang w:val="sr-Latn-ME"/>
        </w:rPr>
        <w:tab/>
      </w:r>
      <w:r w:rsidRPr="00D95F2B">
        <w:rPr>
          <w:b/>
          <w:bCs/>
          <w:sz w:val="22"/>
          <w:szCs w:val="22"/>
          <w:lang w:val="sr-Latn-ME"/>
        </w:rPr>
        <w:t>Doziranje i način primjene</w:t>
      </w:r>
    </w:p>
    <w:p w14:paraId="105C4DE7" w14:textId="77777777" w:rsidR="0072020E" w:rsidRPr="00D95F2B" w:rsidRDefault="0072020E" w:rsidP="00480FB1">
      <w:pPr>
        <w:tabs>
          <w:tab w:val="left" w:pos="540"/>
          <w:tab w:val="left" w:pos="569"/>
        </w:tabs>
        <w:rPr>
          <w:bCs/>
          <w:sz w:val="22"/>
          <w:szCs w:val="22"/>
          <w:lang w:val="sr-Latn-ME"/>
        </w:rPr>
      </w:pPr>
    </w:p>
    <w:p w14:paraId="40254586" w14:textId="4EB4A56F" w:rsidR="00452E9D" w:rsidRPr="00D95F2B" w:rsidRDefault="00452E9D" w:rsidP="00480FB1">
      <w:pPr>
        <w:tabs>
          <w:tab w:val="left" w:pos="540"/>
          <w:tab w:val="left" w:pos="569"/>
        </w:tabs>
        <w:rPr>
          <w:bCs/>
          <w:sz w:val="22"/>
          <w:szCs w:val="22"/>
          <w:u w:val="single"/>
          <w:lang w:val="sr-Latn-ME"/>
        </w:rPr>
      </w:pPr>
      <w:r w:rsidRPr="00D95F2B">
        <w:rPr>
          <w:bCs/>
          <w:sz w:val="22"/>
          <w:szCs w:val="22"/>
          <w:u w:val="single"/>
          <w:lang w:val="sr-Latn-ME"/>
        </w:rPr>
        <w:t>Doziranje</w:t>
      </w:r>
    </w:p>
    <w:p w14:paraId="033B7B1B" w14:textId="77777777" w:rsidR="0012459D" w:rsidRPr="00D95F2B" w:rsidRDefault="0012459D" w:rsidP="00AB551E">
      <w:pPr>
        <w:tabs>
          <w:tab w:val="left" w:pos="540"/>
          <w:tab w:val="left" w:pos="569"/>
        </w:tabs>
        <w:jc w:val="both"/>
        <w:rPr>
          <w:bCs/>
          <w:sz w:val="22"/>
          <w:szCs w:val="22"/>
          <w:u w:val="single"/>
          <w:lang w:val="sr-Latn-ME"/>
        </w:rPr>
      </w:pPr>
    </w:p>
    <w:p w14:paraId="70E8FEC4" w14:textId="7DF6B160"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Početna doza liraglutida je 0,6 mg dnevno, da bi se poboljšala gastrointestinalna podnošljivost. Nakon najmanje jedne nedjelje, dozu treba povećati na 1,2 mg. Kod nekih pacijenata povećanje doze sa 1,2 mg na 1,8 mg može se pokazati korisno, a u zavisnosti od kliničkog odgovora posl</w:t>
      </w:r>
      <w:r w:rsidR="00F061D2" w:rsidRPr="00D95F2B">
        <w:rPr>
          <w:bCs/>
          <w:sz w:val="22"/>
          <w:szCs w:val="22"/>
          <w:lang w:val="sr-Latn-ME"/>
        </w:rPr>
        <w:t>ij</w:t>
      </w:r>
      <w:r w:rsidRPr="00D95F2B">
        <w:rPr>
          <w:bCs/>
          <w:sz w:val="22"/>
          <w:szCs w:val="22"/>
          <w:lang w:val="sr-Latn-ME"/>
        </w:rPr>
        <w:t>e najmanje jedne nedjelje primjene lijeka, doza se može povećati na 1,8 mg u cilju daljeg poboljšanja glikemijske kontrole. Dnevne doze veće od 1,8 mg se ne preporučuju.</w:t>
      </w:r>
    </w:p>
    <w:p w14:paraId="3582A448" w14:textId="77777777" w:rsidR="001160EC" w:rsidRPr="00D95F2B" w:rsidRDefault="001160EC" w:rsidP="00AB551E">
      <w:pPr>
        <w:tabs>
          <w:tab w:val="left" w:pos="540"/>
          <w:tab w:val="left" w:pos="569"/>
        </w:tabs>
        <w:jc w:val="both"/>
        <w:rPr>
          <w:bCs/>
          <w:sz w:val="22"/>
          <w:szCs w:val="22"/>
          <w:lang w:val="sr-Latn-ME"/>
        </w:rPr>
      </w:pPr>
    </w:p>
    <w:p w14:paraId="6FE53A64" w14:textId="18DB6911"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Kada se </w:t>
      </w:r>
      <w:r w:rsidR="00203EA1" w:rsidRPr="00D95F2B">
        <w:rPr>
          <w:bCs/>
          <w:sz w:val="22"/>
          <w:szCs w:val="22"/>
          <w:lang w:val="sr-Latn-ME"/>
        </w:rPr>
        <w:t>Victoza</w:t>
      </w:r>
      <w:r w:rsidRPr="00D95F2B">
        <w:rPr>
          <w:bCs/>
          <w:sz w:val="22"/>
          <w:szCs w:val="22"/>
          <w:lang w:val="sr-Latn-ME"/>
        </w:rPr>
        <w:t xml:space="preserve"> dodaje postojećoj terapiji sulfonilureom ili insulinom, treba razmotriti smanjenje doze sulfoniluree ili insulina u cilju smanjenja rizika od hipoglikemije (vidjeti </w:t>
      </w:r>
      <w:r w:rsidR="00BD4A26" w:rsidRPr="00D95F2B">
        <w:rPr>
          <w:bCs/>
          <w:sz w:val="22"/>
          <w:szCs w:val="22"/>
          <w:lang w:val="sr-Latn-ME"/>
        </w:rPr>
        <w:t>dio</w:t>
      </w:r>
      <w:r w:rsidRPr="00D95F2B">
        <w:rPr>
          <w:bCs/>
          <w:sz w:val="22"/>
          <w:szCs w:val="22"/>
          <w:lang w:val="sr-Latn-ME"/>
        </w:rPr>
        <w:t xml:space="preserve"> 4.4).</w:t>
      </w:r>
      <w:r w:rsidR="00D523A9" w:rsidRPr="00D95F2B">
        <w:rPr>
          <w:bCs/>
          <w:sz w:val="22"/>
          <w:szCs w:val="22"/>
          <w:lang w:val="sr-Latn-ME"/>
        </w:rPr>
        <w:t xml:space="preserve"> Kombinovana terapija sa sulfonilureom je opravdana samo kod odraslih pacijenata.</w:t>
      </w:r>
    </w:p>
    <w:p w14:paraId="47FDFF2C" w14:textId="77777777" w:rsidR="001160EC" w:rsidRPr="00D95F2B" w:rsidRDefault="001160EC" w:rsidP="00AB551E">
      <w:pPr>
        <w:tabs>
          <w:tab w:val="left" w:pos="540"/>
          <w:tab w:val="left" w:pos="569"/>
        </w:tabs>
        <w:jc w:val="both"/>
        <w:rPr>
          <w:bCs/>
          <w:sz w:val="22"/>
          <w:szCs w:val="22"/>
          <w:lang w:val="sr-Latn-ME"/>
        </w:rPr>
      </w:pPr>
    </w:p>
    <w:p w14:paraId="763303BD" w14:textId="7761543A" w:rsidR="00452E9D"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Samokontrola šećera u krvi nije potrebna da bi se podesila doza lijeka </w:t>
      </w:r>
      <w:r w:rsidR="00203EA1" w:rsidRPr="00D95F2B">
        <w:rPr>
          <w:bCs/>
          <w:sz w:val="22"/>
          <w:szCs w:val="22"/>
          <w:lang w:val="sr-Latn-ME"/>
        </w:rPr>
        <w:t>Victoza</w:t>
      </w:r>
      <w:r w:rsidRPr="00D95F2B">
        <w:rPr>
          <w:bCs/>
          <w:sz w:val="22"/>
          <w:szCs w:val="22"/>
          <w:lang w:val="sr-Latn-ME"/>
        </w:rPr>
        <w:t xml:space="preserve">. </w:t>
      </w:r>
    </w:p>
    <w:p w14:paraId="1E2351D0" w14:textId="6971B56C" w:rsidR="00A021A5" w:rsidRPr="00D95F2B" w:rsidRDefault="00A021A5" w:rsidP="00AB551E">
      <w:pPr>
        <w:tabs>
          <w:tab w:val="left" w:pos="540"/>
          <w:tab w:val="left" w:pos="569"/>
        </w:tabs>
        <w:jc w:val="both"/>
        <w:rPr>
          <w:bCs/>
          <w:sz w:val="22"/>
          <w:szCs w:val="22"/>
          <w:lang w:val="sr-Latn-ME"/>
        </w:rPr>
      </w:pPr>
      <w:r w:rsidRPr="00D95F2B">
        <w:rPr>
          <w:bCs/>
          <w:sz w:val="22"/>
          <w:szCs w:val="22"/>
          <w:lang w:val="sr-Latn-ME"/>
        </w:rPr>
        <w:lastRenderedPageBreak/>
        <w:t xml:space="preserve">Praćenje nivoa šećera u krvi samokontrolom </w:t>
      </w:r>
      <w:r w:rsidR="007B3482" w:rsidRPr="00D95F2B">
        <w:rPr>
          <w:bCs/>
          <w:sz w:val="22"/>
          <w:szCs w:val="22"/>
          <w:lang w:val="sr-Latn-ME"/>
        </w:rPr>
        <w:t>je</w:t>
      </w:r>
      <w:r w:rsidRPr="00D95F2B">
        <w:rPr>
          <w:bCs/>
          <w:sz w:val="22"/>
          <w:szCs w:val="22"/>
          <w:lang w:val="sr-Latn-ME"/>
        </w:rPr>
        <w:t xml:space="preserve"> neophodno da bi se podesil</w:t>
      </w:r>
      <w:r w:rsidR="007B3482" w:rsidRPr="00D95F2B">
        <w:rPr>
          <w:bCs/>
          <w:sz w:val="22"/>
          <w:szCs w:val="22"/>
          <w:lang w:val="sr-Latn-ME"/>
        </w:rPr>
        <w:t>e</w:t>
      </w:r>
      <w:r w:rsidRPr="00D95F2B">
        <w:rPr>
          <w:bCs/>
          <w:sz w:val="22"/>
          <w:szCs w:val="22"/>
          <w:lang w:val="sr-Latn-ME"/>
        </w:rPr>
        <w:t xml:space="preserve"> doz</w:t>
      </w:r>
      <w:r w:rsidR="007B3482" w:rsidRPr="00D95F2B">
        <w:rPr>
          <w:bCs/>
          <w:sz w:val="22"/>
          <w:szCs w:val="22"/>
          <w:lang w:val="sr-Latn-ME"/>
        </w:rPr>
        <w:t>e</w:t>
      </w:r>
      <w:r w:rsidRPr="00D95F2B">
        <w:rPr>
          <w:bCs/>
          <w:sz w:val="22"/>
          <w:szCs w:val="22"/>
          <w:lang w:val="sr-Latn-ME"/>
        </w:rPr>
        <w:t xml:space="preserve"> sulfoniluree i insulina</w:t>
      </w:r>
      <w:r w:rsidR="007B3482" w:rsidRPr="00D95F2B">
        <w:rPr>
          <w:bCs/>
          <w:sz w:val="22"/>
          <w:szCs w:val="22"/>
          <w:lang w:val="sr-Latn-ME"/>
        </w:rPr>
        <w:t xml:space="preserve">, posebno u slučaju kada se započinje primjena lijeka </w:t>
      </w:r>
      <w:r w:rsidR="00203EA1" w:rsidRPr="00D95F2B">
        <w:rPr>
          <w:bCs/>
          <w:sz w:val="22"/>
          <w:szCs w:val="22"/>
          <w:lang w:val="sr-Latn-ME"/>
        </w:rPr>
        <w:t>Victoza</w:t>
      </w:r>
      <w:r w:rsidR="00116A7B" w:rsidRPr="00D95F2B">
        <w:rPr>
          <w:bCs/>
          <w:sz w:val="22"/>
          <w:szCs w:val="22"/>
          <w:lang w:val="sr-Latn-ME"/>
        </w:rPr>
        <w:t xml:space="preserve">, </w:t>
      </w:r>
      <w:r w:rsidR="007B3482" w:rsidRPr="00D95F2B">
        <w:rPr>
          <w:bCs/>
          <w:sz w:val="22"/>
          <w:szCs w:val="22"/>
          <w:lang w:val="sr-Latn-ME"/>
        </w:rPr>
        <w:t>a smanjuje doza insulina</w:t>
      </w:r>
      <w:r w:rsidRPr="00D95F2B">
        <w:rPr>
          <w:bCs/>
          <w:sz w:val="22"/>
          <w:szCs w:val="22"/>
          <w:lang w:val="sr-Latn-ME"/>
        </w:rPr>
        <w:t>.</w:t>
      </w:r>
      <w:r w:rsidR="007B3482" w:rsidRPr="00D95F2B">
        <w:rPr>
          <w:bCs/>
          <w:sz w:val="22"/>
          <w:szCs w:val="22"/>
          <w:lang w:val="sr-Latn-ME"/>
        </w:rPr>
        <w:t xml:space="preserve"> Preporučuje se postepeno smanjivanje doze insulina.</w:t>
      </w:r>
    </w:p>
    <w:p w14:paraId="4C065E9F" w14:textId="77777777" w:rsidR="001160EC" w:rsidRPr="00D95F2B" w:rsidRDefault="001160EC" w:rsidP="00480FB1">
      <w:pPr>
        <w:tabs>
          <w:tab w:val="left" w:pos="540"/>
          <w:tab w:val="left" w:pos="569"/>
        </w:tabs>
        <w:rPr>
          <w:bCs/>
          <w:sz w:val="22"/>
          <w:szCs w:val="22"/>
          <w:lang w:val="sr-Latn-ME"/>
        </w:rPr>
      </w:pPr>
    </w:p>
    <w:p w14:paraId="2B68CD3C" w14:textId="77777777" w:rsidR="001160EC" w:rsidRPr="00D95F2B" w:rsidRDefault="001160EC" w:rsidP="001160EC">
      <w:pPr>
        <w:tabs>
          <w:tab w:val="left" w:pos="540"/>
          <w:tab w:val="left" w:pos="569"/>
        </w:tabs>
        <w:rPr>
          <w:bCs/>
          <w:i/>
          <w:iCs/>
          <w:sz w:val="22"/>
          <w:szCs w:val="22"/>
          <w:u w:val="single"/>
          <w:lang w:val="sr-Latn-ME"/>
        </w:rPr>
      </w:pPr>
      <w:r w:rsidRPr="00D95F2B">
        <w:rPr>
          <w:bCs/>
          <w:i/>
          <w:iCs/>
          <w:sz w:val="22"/>
          <w:szCs w:val="22"/>
          <w:u w:val="single"/>
          <w:lang w:val="sr-Latn-ME"/>
        </w:rPr>
        <w:t>Posebne populacije</w:t>
      </w:r>
    </w:p>
    <w:p w14:paraId="6E96379B" w14:textId="77777777" w:rsidR="001160EC" w:rsidRPr="00D95F2B" w:rsidRDefault="001160EC" w:rsidP="001160EC">
      <w:pPr>
        <w:tabs>
          <w:tab w:val="left" w:pos="540"/>
          <w:tab w:val="left" w:pos="569"/>
        </w:tabs>
        <w:rPr>
          <w:bCs/>
          <w:sz w:val="22"/>
          <w:szCs w:val="22"/>
          <w:lang w:val="sr-Latn-ME"/>
        </w:rPr>
      </w:pPr>
    </w:p>
    <w:p w14:paraId="13E03A16" w14:textId="43475E9D" w:rsidR="001160EC" w:rsidRPr="00D95F2B" w:rsidRDefault="001160EC" w:rsidP="00AB551E">
      <w:pPr>
        <w:tabs>
          <w:tab w:val="left" w:pos="540"/>
          <w:tab w:val="left" w:pos="569"/>
        </w:tabs>
        <w:jc w:val="both"/>
        <w:rPr>
          <w:bCs/>
          <w:i/>
          <w:iCs/>
          <w:sz w:val="22"/>
          <w:szCs w:val="22"/>
          <w:lang w:val="sr-Latn-ME"/>
        </w:rPr>
      </w:pPr>
      <w:r w:rsidRPr="00D95F2B">
        <w:rPr>
          <w:bCs/>
          <w:i/>
          <w:iCs/>
          <w:sz w:val="22"/>
          <w:szCs w:val="22"/>
          <w:lang w:val="sr-Latn-ME"/>
        </w:rPr>
        <w:t>Stariji pacijenti (&gt;</w:t>
      </w:r>
      <w:r w:rsidR="00BD4A26" w:rsidRPr="00D95F2B">
        <w:rPr>
          <w:bCs/>
          <w:i/>
          <w:iCs/>
          <w:sz w:val="22"/>
          <w:szCs w:val="22"/>
          <w:lang w:val="sr-Latn-ME"/>
        </w:rPr>
        <w:t xml:space="preserve"> </w:t>
      </w:r>
      <w:r w:rsidRPr="00D95F2B">
        <w:rPr>
          <w:bCs/>
          <w:i/>
          <w:iCs/>
          <w:sz w:val="22"/>
          <w:szCs w:val="22"/>
          <w:lang w:val="sr-Latn-ME"/>
        </w:rPr>
        <w:t xml:space="preserve">65 godina) </w:t>
      </w:r>
    </w:p>
    <w:p w14:paraId="1C210C60" w14:textId="0A1954C0"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Nije potrebno podešavanje doze u zavisnosti od godina starosti (vidjeti </w:t>
      </w:r>
      <w:r w:rsidR="00BD4A26" w:rsidRPr="00D95F2B">
        <w:rPr>
          <w:bCs/>
          <w:sz w:val="22"/>
          <w:szCs w:val="22"/>
          <w:lang w:val="sr-Latn-ME"/>
        </w:rPr>
        <w:t>dio</w:t>
      </w:r>
      <w:r w:rsidRPr="00D95F2B">
        <w:rPr>
          <w:bCs/>
          <w:sz w:val="22"/>
          <w:szCs w:val="22"/>
          <w:lang w:val="sr-Latn-ME"/>
        </w:rPr>
        <w:t xml:space="preserve"> 5.2).</w:t>
      </w:r>
    </w:p>
    <w:p w14:paraId="3AE4830F" w14:textId="77777777" w:rsidR="001160EC" w:rsidRPr="00D95F2B" w:rsidRDefault="001160EC" w:rsidP="001160EC">
      <w:pPr>
        <w:tabs>
          <w:tab w:val="left" w:pos="540"/>
          <w:tab w:val="left" w:pos="569"/>
        </w:tabs>
        <w:rPr>
          <w:bCs/>
          <w:sz w:val="22"/>
          <w:szCs w:val="22"/>
          <w:lang w:val="sr-Latn-ME"/>
        </w:rPr>
      </w:pPr>
    </w:p>
    <w:p w14:paraId="6B84BB86" w14:textId="77777777" w:rsidR="001160EC" w:rsidRPr="00D95F2B" w:rsidRDefault="001160EC" w:rsidP="001160EC">
      <w:pPr>
        <w:tabs>
          <w:tab w:val="left" w:pos="540"/>
          <w:tab w:val="left" w:pos="569"/>
        </w:tabs>
        <w:rPr>
          <w:bCs/>
          <w:i/>
          <w:iCs/>
          <w:sz w:val="22"/>
          <w:szCs w:val="22"/>
          <w:lang w:val="sr-Latn-ME"/>
        </w:rPr>
      </w:pPr>
      <w:r w:rsidRPr="00D95F2B">
        <w:rPr>
          <w:bCs/>
          <w:i/>
          <w:iCs/>
          <w:sz w:val="22"/>
          <w:szCs w:val="22"/>
          <w:lang w:val="sr-Latn-ME"/>
        </w:rPr>
        <w:t xml:space="preserve">Pacijenti sa oštećenjem bubrežne funkcije </w:t>
      </w:r>
    </w:p>
    <w:p w14:paraId="5E1B0527" w14:textId="6DD84DAE"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Nije potrebno podešavanje doze kod pacijenata sa blagim, um</w:t>
      </w:r>
      <w:r w:rsidR="00E90942" w:rsidRPr="00D95F2B">
        <w:rPr>
          <w:bCs/>
          <w:sz w:val="22"/>
          <w:szCs w:val="22"/>
          <w:lang w:val="sr-Latn-ME"/>
        </w:rPr>
        <w:t>j</w:t>
      </w:r>
      <w:r w:rsidRPr="00D95F2B">
        <w:rPr>
          <w:bCs/>
          <w:sz w:val="22"/>
          <w:szCs w:val="22"/>
          <w:lang w:val="sr-Latn-ME"/>
        </w:rPr>
        <w:t xml:space="preserve">erenim ili teškim oblicima bubrežne insuficijencije. Nema iskustava u liječenju pacijenata u terminalnom stadijumu bubrežnog oboljenja, pa se iz tog razloga kod ovih pacijenata ne preporučuje primjena lijeka </w:t>
      </w:r>
      <w:r w:rsidR="00203EA1" w:rsidRPr="00D95F2B">
        <w:rPr>
          <w:bCs/>
          <w:sz w:val="22"/>
          <w:szCs w:val="22"/>
          <w:lang w:val="sr-Latn-ME"/>
        </w:rPr>
        <w:t>Victoza</w:t>
      </w:r>
      <w:r w:rsidRPr="00D95F2B">
        <w:rPr>
          <w:bCs/>
          <w:sz w:val="22"/>
          <w:szCs w:val="22"/>
          <w:lang w:val="sr-Latn-ME"/>
        </w:rPr>
        <w:t xml:space="preserve"> (vidjeti </w:t>
      </w:r>
      <w:r w:rsidR="00BD4A26" w:rsidRPr="00D95F2B">
        <w:rPr>
          <w:bCs/>
          <w:sz w:val="22"/>
          <w:szCs w:val="22"/>
          <w:lang w:val="sr-Latn-ME"/>
        </w:rPr>
        <w:t>djelove</w:t>
      </w:r>
      <w:r w:rsidRPr="00D95F2B">
        <w:rPr>
          <w:bCs/>
          <w:sz w:val="22"/>
          <w:szCs w:val="22"/>
          <w:lang w:val="sr-Latn-ME"/>
        </w:rPr>
        <w:t xml:space="preserve"> 5.1 i 5.2).</w:t>
      </w:r>
    </w:p>
    <w:p w14:paraId="4DA1A493" w14:textId="77777777" w:rsidR="001160EC" w:rsidRPr="00D95F2B" w:rsidRDefault="001160EC" w:rsidP="001160EC">
      <w:pPr>
        <w:tabs>
          <w:tab w:val="left" w:pos="540"/>
          <w:tab w:val="left" w:pos="569"/>
        </w:tabs>
        <w:rPr>
          <w:bCs/>
          <w:sz w:val="22"/>
          <w:szCs w:val="22"/>
          <w:lang w:val="sr-Latn-ME"/>
        </w:rPr>
      </w:pPr>
    </w:p>
    <w:p w14:paraId="4D337B76" w14:textId="77777777" w:rsidR="001160EC" w:rsidRPr="00D95F2B" w:rsidRDefault="001160EC" w:rsidP="001160EC">
      <w:pPr>
        <w:tabs>
          <w:tab w:val="left" w:pos="540"/>
          <w:tab w:val="left" w:pos="569"/>
        </w:tabs>
        <w:rPr>
          <w:bCs/>
          <w:i/>
          <w:iCs/>
          <w:sz w:val="22"/>
          <w:szCs w:val="22"/>
          <w:lang w:val="sr-Latn-ME"/>
        </w:rPr>
      </w:pPr>
      <w:r w:rsidRPr="00D95F2B">
        <w:rPr>
          <w:bCs/>
          <w:i/>
          <w:iCs/>
          <w:sz w:val="22"/>
          <w:szCs w:val="22"/>
          <w:lang w:val="sr-Latn-ME"/>
        </w:rPr>
        <w:t xml:space="preserve">Pacijenti sa oštećenjem funkcije jetre </w:t>
      </w:r>
    </w:p>
    <w:p w14:paraId="4B143276" w14:textId="1E28FD0E"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Ne preporučuje se podešavanje doze kod pacijenata sa blagim ili um</w:t>
      </w:r>
      <w:r w:rsidR="00E90942" w:rsidRPr="00D95F2B">
        <w:rPr>
          <w:bCs/>
          <w:sz w:val="22"/>
          <w:szCs w:val="22"/>
          <w:lang w:val="sr-Latn-ME"/>
        </w:rPr>
        <w:t>j</w:t>
      </w:r>
      <w:r w:rsidRPr="00D95F2B">
        <w:rPr>
          <w:bCs/>
          <w:sz w:val="22"/>
          <w:szCs w:val="22"/>
          <w:lang w:val="sr-Latn-ME"/>
        </w:rPr>
        <w:t xml:space="preserve">erenim oštećenjem funkcije jetre. Lijek </w:t>
      </w:r>
      <w:r w:rsidR="00203EA1" w:rsidRPr="00D95F2B">
        <w:rPr>
          <w:bCs/>
          <w:sz w:val="22"/>
          <w:szCs w:val="22"/>
          <w:lang w:val="sr-Latn-ME"/>
        </w:rPr>
        <w:t>Victoza</w:t>
      </w:r>
      <w:r w:rsidRPr="00D95F2B">
        <w:rPr>
          <w:bCs/>
          <w:sz w:val="22"/>
          <w:szCs w:val="22"/>
          <w:lang w:val="sr-Latn-ME"/>
        </w:rPr>
        <w:t xml:space="preserve"> se ne preporučuje za primjenu kod pacijenata sa teškim oštećenjem funkcije jetre (vidjeti </w:t>
      </w:r>
      <w:r w:rsidR="00BD4A26" w:rsidRPr="00D95F2B">
        <w:rPr>
          <w:bCs/>
          <w:sz w:val="22"/>
          <w:szCs w:val="22"/>
          <w:lang w:val="sr-Latn-ME"/>
        </w:rPr>
        <w:t>dio</w:t>
      </w:r>
      <w:r w:rsidRPr="00D95F2B">
        <w:rPr>
          <w:bCs/>
          <w:sz w:val="22"/>
          <w:szCs w:val="22"/>
          <w:lang w:val="sr-Latn-ME"/>
        </w:rPr>
        <w:t xml:space="preserve"> 5.2).  </w:t>
      </w:r>
    </w:p>
    <w:p w14:paraId="60E0B57A" w14:textId="77777777" w:rsidR="001160EC" w:rsidRPr="00D95F2B" w:rsidRDefault="001160EC" w:rsidP="001160EC">
      <w:pPr>
        <w:tabs>
          <w:tab w:val="left" w:pos="540"/>
          <w:tab w:val="left" w:pos="569"/>
        </w:tabs>
        <w:rPr>
          <w:bCs/>
          <w:sz w:val="22"/>
          <w:szCs w:val="22"/>
          <w:lang w:val="sr-Latn-ME"/>
        </w:rPr>
      </w:pPr>
    </w:p>
    <w:p w14:paraId="279EF6A4" w14:textId="77777777" w:rsidR="001160EC" w:rsidRPr="00D95F2B" w:rsidRDefault="001160EC" w:rsidP="001160EC">
      <w:pPr>
        <w:tabs>
          <w:tab w:val="left" w:pos="540"/>
          <w:tab w:val="left" w:pos="569"/>
        </w:tabs>
        <w:rPr>
          <w:bCs/>
          <w:i/>
          <w:iCs/>
          <w:sz w:val="22"/>
          <w:szCs w:val="22"/>
          <w:lang w:val="sr-Latn-ME"/>
        </w:rPr>
      </w:pPr>
      <w:r w:rsidRPr="00D95F2B">
        <w:rPr>
          <w:bCs/>
          <w:i/>
          <w:iCs/>
          <w:sz w:val="22"/>
          <w:szCs w:val="22"/>
          <w:lang w:val="sr-Latn-ME"/>
        </w:rPr>
        <w:t xml:space="preserve">Pedijatrijska populacija </w:t>
      </w:r>
    </w:p>
    <w:p w14:paraId="1868CBF2" w14:textId="2580CAD8" w:rsidR="001160EC" w:rsidRPr="00D95F2B" w:rsidRDefault="00DD063C" w:rsidP="00AB551E">
      <w:pPr>
        <w:tabs>
          <w:tab w:val="left" w:pos="540"/>
          <w:tab w:val="left" w:pos="569"/>
        </w:tabs>
        <w:jc w:val="both"/>
        <w:rPr>
          <w:bCs/>
          <w:sz w:val="22"/>
          <w:szCs w:val="22"/>
          <w:lang w:val="sr-Latn-ME"/>
        </w:rPr>
      </w:pPr>
      <w:r w:rsidRPr="00D95F2B">
        <w:rPr>
          <w:bCs/>
          <w:sz w:val="22"/>
          <w:szCs w:val="22"/>
          <w:lang w:val="sr-Latn-ME"/>
        </w:rPr>
        <w:t>Nije potrebno podešavanje doze kod adolescenata i djece uzrasta od 10 i više godina. Nema dostupnih podataka o primjeni lijeka kod djece mlađe od 10 godina</w:t>
      </w:r>
      <w:r w:rsidR="001160EC" w:rsidRPr="00D95F2B">
        <w:rPr>
          <w:bCs/>
          <w:sz w:val="22"/>
          <w:szCs w:val="22"/>
          <w:lang w:val="sr-Latn-ME"/>
        </w:rPr>
        <w:t xml:space="preserve"> (vidjeti </w:t>
      </w:r>
      <w:r w:rsidR="00BD4A26" w:rsidRPr="00D95F2B">
        <w:rPr>
          <w:bCs/>
          <w:sz w:val="22"/>
          <w:szCs w:val="22"/>
          <w:lang w:val="sr-Latn-ME"/>
        </w:rPr>
        <w:t>djelove</w:t>
      </w:r>
      <w:r w:rsidR="001160EC" w:rsidRPr="00D95F2B">
        <w:rPr>
          <w:bCs/>
          <w:sz w:val="22"/>
          <w:szCs w:val="22"/>
          <w:lang w:val="sr-Latn-ME"/>
        </w:rPr>
        <w:t xml:space="preserve"> 5.1</w:t>
      </w:r>
      <w:r w:rsidRPr="00D95F2B">
        <w:rPr>
          <w:bCs/>
          <w:sz w:val="22"/>
          <w:szCs w:val="22"/>
          <w:lang w:val="sr-Latn-ME"/>
        </w:rPr>
        <w:t xml:space="preserve"> i 5.2</w:t>
      </w:r>
      <w:r w:rsidR="001160EC" w:rsidRPr="00D95F2B">
        <w:rPr>
          <w:bCs/>
          <w:sz w:val="22"/>
          <w:szCs w:val="22"/>
          <w:lang w:val="sr-Latn-ME"/>
        </w:rPr>
        <w:t>).</w:t>
      </w:r>
    </w:p>
    <w:p w14:paraId="0764B8A4" w14:textId="77777777" w:rsidR="001160EC" w:rsidRPr="00D95F2B" w:rsidRDefault="001160EC" w:rsidP="001160EC">
      <w:pPr>
        <w:tabs>
          <w:tab w:val="left" w:pos="540"/>
          <w:tab w:val="left" w:pos="569"/>
        </w:tabs>
        <w:rPr>
          <w:bCs/>
          <w:sz w:val="22"/>
          <w:szCs w:val="22"/>
          <w:lang w:val="sr-Latn-ME"/>
        </w:rPr>
      </w:pPr>
    </w:p>
    <w:p w14:paraId="3E0C281F"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Način primjene</w:t>
      </w:r>
    </w:p>
    <w:p w14:paraId="736BFE1B" w14:textId="77777777" w:rsidR="001160EC" w:rsidRPr="00D95F2B" w:rsidRDefault="001160EC" w:rsidP="001160EC">
      <w:pPr>
        <w:tabs>
          <w:tab w:val="left" w:pos="540"/>
          <w:tab w:val="left" w:pos="569"/>
        </w:tabs>
        <w:rPr>
          <w:bCs/>
          <w:sz w:val="22"/>
          <w:szCs w:val="22"/>
          <w:lang w:val="sr-Latn-ME"/>
        </w:rPr>
      </w:pPr>
    </w:p>
    <w:p w14:paraId="110051A4" w14:textId="406B7905" w:rsidR="001160EC" w:rsidRPr="00D95F2B" w:rsidRDefault="00BD4A26" w:rsidP="00AB551E">
      <w:pPr>
        <w:tabs>
          <w:tab w:val="left" w:pos="540"/>
          <w:tab w:val="left" w:pos="569"/>
        </w:tabs>
        <w:jc w:val="both"/>
        <w:rPr>
          <w:bCs/>
          <w:sz w:val="22"/>
          <w:szCs w:val="22"/>
          <w:lang w:val="sr-Latn-ME"/>
        </w:rPr>
      </w:pPr>
      <w:r w:rsidRPr="00D95F2B">
        <w:rPr>
          <w:bCs/>
          <w:sz w:val="22"/>
          <w:szCs w:val="22"/>
          <w:lang w:val="sr-Latn-ME"/>
        </w:rPr>
        <w:t xml:space="preserve">Lijek </w:t>
      </w:r>
      <w:r w:rsidR="00203EA1" w:rsidRPr="00D95F2B">
        <w:rPr>
          <w:bCs/>
          <w:sz w:val="22"/>
          <w:szCs w:val="22"/>
          <w:lang w:val="sr-Latn-ME"/>
        </w:rPr>
        <w:t>Victoza</w:t>
      </w:r>
      <w:r w:rsidR="001160EC" w:rsidRPr="00D95F2B">
        <w:rPr>
          <w:bCs/>
          <w:sz w:val="22"/>
          <w:szCs w:val="22"/>
          <w:lang w:val="sr-Latn-ME"/>
        </w:rPr>
        <w:t xml:space="preserve"> se ne smije primjenjivati intravenski ili intramuskularno.</w:t>
      </w:r>
    </w:p>
    <w:p w14:paraId="5448AF8F" w14:textId="77777777" w:rsidR="001160EC" w:rsidRPr="00D95F2B" w:rsidRDefault="001160EC" w:rsidP="00AB551E">
      <w:pPr>
        <w:tabs>
          <w:tab w:val="left" w:pos="540"/>
          <w:tab w:val="left" w:pos="569"/>
        </w:tabs>
        <w:jc w:val="both"/>
        <w:rPr>
          <w:bCs/>
          <w:sz w:val="22"/>
          <w:szCs w:val="22"/>
          <w:lang w:val="sr-Latn-ME"/>
        </w:rPr>
      </w:pPr>
    </w:p>
    <w:p w14:paraId="0383D685" w14:textId="2DE24100" w:rsidR="00452E9D"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Lijek </w:t>
      </w:r>
      <w:r w:rsidR="00203EA1" w:rsidRPr="00D95F2B">
        <w:rPr>
          <w:bCs/>
          <w:sz w:val="22"/>
          <w:szCs w:val="22"/>
          <w:lang w:val="sr-Latn-ME"/>
        </w:rPr>
        <w:t>Victoza</w:t>
      </w:r>
      <w:r w:rsidRPr="00D95F2B">
        <w:rPr>
          <w:bCs/>
          <w:sz w:val="22"/>
          <w:szCs w:val="22"/>
          <w:lang w:val="sr-Latn-ME"/>
        </w:rPr>
        <w:t xml:space="preserve"> se primjenjuje jednom dnevno u bilo koje doba dana, nezavisno od obroka, i može biti ubrizgan su</w:t>
      </w:r>
      <w:r w:rsidR="00BD4A26" w:rsidRPr="00D95F2B">
        <w:rPr>
          <w:bCs/>
          <w:sz w:val="22"/>
          <w:szCs w:val="22"/>
          <w:lang w:val="sr-Latn-ME"/>
        </w:rPr>
        <w:t>b</w:t>
      </w:r>
      <w:r w:rsidRPr="00D95F2B">
        <w:rPr>
          <w:bCs/>
          <w:sz w:val="22"/>
          <w:szCs w:val="22"/>
          <w:lang w:val="sr-Latn-ME"/>
        </w:rPr>
        <w:t>kutano u abdomen, butinu ili nadlakticu. Mjesto i vrijeme ubrizgavanja se mogu izm</w:t>
      </w:r>
      <w:r w:rsidR="005D7D61" w:rsidRPr="00D95F2B">
        <w:rPr>
          <w:bCs/>
          <w:sz w:val="22"/>
          <w:szCs w:val="22"/>
          <w:lang w:val="sr-Latn-ME"/>
        </w:rPr>
        <w:t>i</w:t>
      </w:r>
      <w:r w:rsidRPr="00D95F2B">
        <w:rPr>
          <w:bCs/>
          <w:sz w:val="22"/>
          <w:szCs w:val="22"/>
          <w:lang w:val="sr-Latn-ME"/>
        </w:rPr>
        <w:t xml:space="preserve">jeniti bez podešavanja doze. Međutim, poželjno je da se </w:t>
      </w:r>
      <w:r w:rsidR="00BD4A26" w:rsidRPr="00D95F2B">
        <w:rPr>
          <w:bCs/>
          <w:sz w:val="22"/>
          <w:szCs w:val="22"/>
          <w:lang w:val="sr-Latn-ME"/>
        </w:rPr>
        <w:t xml:space="preserve">lijek </w:t>
      </w:r>
      <w:r w:rsidR="00203EA1" w:rsidRPr="00D95F2B">
        <w:rPr>
          <w:bCs/>
          <w:sz w:val="22"/>
          <w:szCs w:val="22"/>
          <w:lang w:val="sr-Latn-ME"/>
        </w:rPr>
        <w:t>Victoza</w:t>
      </w:r>
      <w:r w:rsidRPr="00D95F2B">
        <w:rPr>
          <w:bCs/>
          <w:sz w:val="22"/>
          <w:szCs w:val="22"/>
          <w:lang w:val="sr-Latn-ME"/>
        </w:rPr>
        <w:t xml:space="preserve"> ubrizgava približno u isto vrijeme, odabrano kao najpogodnije svakog dana. </w:t>
      </w:r>
      <w:r w:rsidR="00F9175C" w:rsidRPr="00D95F2B">
        <w:rPr>
          <w:sz w:val="22"/>
          <w:szCs w:val="22"/>
          <w:lang w:val="sr-Latn-ME"/>
        </w:rPr>
        <w:t xml:space="preserve">Potrebno je uvijek kružno mijenjati mjesto primjene injekcije, kako bi se smanjio rizik od amiloidnih depozita na mjestu primjene (vidjeti </w:t>
      </w:r>
      <w:r w:rsidR="00BD4A26" w:rsidRPr="00D95F2B">
        <w:rPr>
          <w:sz w:val="22"/>
          <w:szCs w:val="22"/>
          <w:lang w:val="sr-Latn-ME"/>
        </w:rPr>
        <w:t>dio</w:t>
      </w:r>
      <w:r w:rsidR="00F9175C" w:rsidRPr="00D95F2B">
        <w:rPr>
          <w:sz w:val="22"/>
          <w:szCs w:val="22"/>
          <w:lang w:val="sr-Latn-ME"/>
        </w:rPr>
        <w:t xml:space="preserve"> 4.8). </w:t>
      </w:r>
      <w:r w:rsidRPr="00D95F2B">
        <w:rPr>
          <w:bCs/>
          <w:sz w:val="22"/>
          <w:szCs w:val="22"/>
          <w:lang w:val="sr-Latn-ME"/>
        </w:rPr>
        <w:t xml:space="preserve">Za detaljnija uputstva o primjeni vidjeti </w:t>
      </w:r>
      <w:r w:rsidR="00BD4A26" w:rsidRPr="00D95F2B">
        <w:rPr>
          <w:bCs/>
          <w:sz w:val="22"/>
          <w:szCs w:val="22"/>
          <w:lang w:val="sr-Latn-ME"/>
        </w:rPr>
        <w:t>dio</w:t>
      </w:r>
      <w:r w:rsidRPr="00D95F2B">
        <w:rPr>
          <w:bCs/>
          <w:sz w:val="22"/>
          <w:szCs w:val="22"/>
          <w:lang w:val="sr-Latn-ME"/>
        </w:rPr>
        <w:t xml:space="preserve"> 6.6.</w:t>
      </w:r>
    </w:p>
    <w:p w14:paraId="73C9706C" w14:textId="77777777" w:rsidR="00452E9D" w:rsidRPr="00D95F2B" w:rsidRDefault="00452E9D" w:rsidP="00480FB1">
      <w:pPr>
        <w:tabs>
          <w:tab w:val="left" w:pos="540"/>
          <w:tab w:val="left" w:pos="569"/>
        </w:tabs>
        <w:rPr>
          <w:bCs/>
          <w:sz w:val="22"/>
          <w:szCs w:val="22"/>
          <w:lang w:val="sr-Latn-ME"/>
        </w:rPr>
      </w:pPr>
    </w:p>
    <w:p w14:paraId="11EAE3B6" w14:textId="77777777" w:rsidR="00411B4B" w:rsidRPr="00D95F2B" w:rsidRDefault="00411B4B" w:rsidP="00480FB1">
      <w:pPr>
        <w:tabs>
          <w:tab w:val="left" w:pos="540"/>
          <w:tab w:val="left" w:pos="569"/>
        </w:tabs>
        <w:rPr>
          <w:b/>
          <w:bCs/>
          <w:sz w:val="22"/>
          <w:szCs w:val="22"/>
          <w:lang w:val="sr-Latn-ME"/>
        </w:rPr>
      </w:pPr>
      <w:r w:rsidRPr="00D95F2B">
        <w:rPr>
          <w:b/>
          <w:bCs/>
          <w:sz w:val="22"/>
          <w:szCs w:val="22"/>
          <w:lang w:val="sr-Latn-ME"/>
        </w:rPr>
        <w:t xml:space="preserve">4.3. </w:t>
      </w:r>
      <w:r w:rsidR="00480FB1" w:rsidRPr="00D95F2B">
        <w:rPr>
          <w:b/>
          <w:bCs/>
          <w:sz w:val="22"/>
          <w:szCs w:val="22"/>
          <w:lang w:val="sr-Latn-ME"/>
        </w:rPr>
        <w:tab/>
      </w:r>
      <w:r w:rsidRPr="00D95F2B">
        <w:rPr>
          <w:b/>
          <w:bCs/>
          <w:sz w:val="22"/>
          <w:szCs w:val="22"/>
          <w:lang w:val="sr-Latn-ME"/>
        </w:rPr>
        <w:t>Kontraindikacije</w:t>
      </w:r>
    </w:p>
    <w:p w14:paraId="7B2E75FC" w14:textId="77777777" w:rsidR="0072020E" w:rsidRPr="00D95F2B" w:rsidRDefault="0072020E" w:rsidP="00480FB1">
      <w:pPr>
        <w:tabs>
          <w:tab w:val="left" w:pos="540"/>
          <w:tab w:val="left" w:pos="569"/>
        </w:tabs>
        <w:rPr>
          <w:bCs/>
          <w:sz w:val="22"/>
          <w:szCs w:val="22"/>
          <w:lang w:val="sr-Latn-ME"/>
        </w:rPr>
      </w:pPr>
    </w:p>
    <w:p w14:paraId="40713F94" w14:textId="642C04BF"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Preosjetljivost na aktivnu supstancu ili na neki od ekscipijenasa koji su navedeni </w:t>
      </w:r>
      <w:r w:rsidR="00BD4A26" w:rsidRPr="00D95F2B">
        <w:rPr>
          <w:bCs/>
          <w:sz w:val="22"/>
          <w:szCs w:val="22"/>
          <w:lang w:val="sr-Latn-ME"/>
        </w:rPr>
        <w:t>u dijelu</w:t>
      </w:r>
      <w:r w:rsidRPr="00D95F2B">
        <w:rPr>
          <w:bCs/>
          <w:sz w:val="22"/>
          <w:szCs w:val="22"/>
          <w:lang w:val="sr-Latn-ME"/>
        </w:rPr>
        <w:t xml:space="preserve"> 6.1.</w:t>
      </w:r>
    </w:p>
    <w:p w14:paraId="53A0F47F" w14:textId="77777777" w:rsidR="001160EC" w:rsidRPr="00D95F2B" w:rsidRDefault="001160EC" w:rsidP="00480FB1">
      <w:pPr>
        <w:tabs>
          <w:tab w:val="left" w:pos="540"/>
          <w:tab w:val="left" w:pos="569"/>
        </w:tabs>
        <w:rPr>
          <w:bCs/>
          <w:sz w:val="22"/>
          <w:szCs w:val="22"/>
          <w:lang w:val="sr-Latn-ME"/>
        </w:rPr>
      </w:pPr>
    </w:p>
    <w:p w14:paraId="60D07CE8" w14:textId="77777777" w:rsidR="00411B4B" w:rsidRPr="00D95F2B" w:rsidRDefault="00411B4B" w:rsidP="00480FB1">
      <w:pPr>
        <w:tabs>
          <w:tab w:val="left" w:pos="540"/>
          <w:tab w:val="left" w:pos="569"/>
        </w:tabs>
        <w:rPr>
          <w:b/>
          <w:bCs/>
          <w:sz w:val="22"/>
          <w:szCs w:val="22"/>
          <w:lang w:val="sr-Latn-ME"/>
        </w:rPr>
      </w:pPr>
      <w:r w:rsidRPr="00D95F2B">
        <w:rPr>
          <w:b/>
          <w:bCs/>
          <w:sz w:val="22"/>
          <w:szCs w:val="22"/>
          <w:lang w:val="sr-Latn-ME"/>
        </w:rPr>
        <w:t xml:space="preserve">4.4. </w:t>
      </w:r>
      <w:r w:rsidR="00480FB1" w:rsidRPr="00D95F2B">
        <w:rPr>
          <w:b/>
          <w:bCs/>
          <w:sz w:val="22"/>
          <w:szCs w:val="22"/>
          <w:lang w:val="sr-Latn-ME"/>
        </w:rPr>
        <w:tab/>
      </w:r>
      <w:r w:rsidRPr="00D95F2B">
        <w:rPr>
          <w:b/>
          <w:bCs/>
          <w:sz w:val="22"/>
          <w:szCs w:val="22"/>
          <w:lang w:val="sr-Latn-ME"/>
        </w:rPr>
        <w:t>Posebna upozorenja i mjere opreza pri upotrebi lijeka</w:t>
      </w:r>
    </w:p>
    <w:p w14:paraId="3954C924" w14:textId="77777777" w:rsidR="0072020E" w:rsidRPr="00D95F2B" w:rsidRDefault="0072020E" w:rsidP="00480FB1">
      <w:pPr>
        <w:tabs>
          <w:tab w:val="left" w:pos="540"/>
          <w:tab w:val="left" w:pos="569"/>
        </w:tabs>
        <w:rPr>
          <w:bCs/>
          <w:sz w:val="22"/>
          <w:szCs w:val="22"/>
          <w:lang w:val="sr-Latn-ME"/>
        </w:rPr>
      </w:pPr>
    </w:p>
    <w:p w14:paraId="04B54366" w14:textId="0B8197E0"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Liraglutid ne treba da se primjenjuje kod pacijenata sa </w:t>
      </w:r>
      <w:r w:rsidR="0012459D" w:rsidRPr="00D95F2B">
        <w:rPr>
          <w:bCs/>
          <w:sz w:val="22"/>
          <w:szCs w:val="22"/>
          <w:lang w:val="sr-Latn-ME"/>
        </w:rPr>
        <w:t>d</w:t>
      </w:r>
      <w:r w:rsidRPr="00D95F2B">
        <w:rPr>
          <w:bCs/>
          <w:sz w:val="22"/>
          <w:szCs w:val="22"/>
          <w:lang w:val="sr-Latn-ME"/>
        </w:rPr>
        <w:t>i</w:t>
      </w:r>
      <w:r w:rsidR="0012459D" w:rsidRPr="00D95F2B">
        <w:rPr>
          <w:bCs/>
          <w:sz w:val="22"/>
          <w:szCs w:val="22"/>
          <w:lang w:val="sr-Latn-ME"/>
        </w:rPr>
        <w:t>j</w:t>
      </w:r>
      <w:r w:rsidRPr="00D95F2B">
        <w:rPr>
          <w:bCs/>
          <w:sz w:val="22"/>
          <w:szCs w:val="22"/>
          <w:lang w:val="sr-Latn-ME"/>
        </w:rPr>
        <w:t xml:space="preserve">abetes melitusom tip 1 ili za liječenje </w:t>
      </w:r>
      <w:r w:rsidR="0012459D" w:rsidRPr="00D95F2B">
        <w:rPr>
          <w:bCs/>
          <w:sz w:val="22"/>
          <w:szCs w:val="22"/>
          <w:lang w:val="sr-Latn-ME"/>
        </w:rPr>
        <w:t xml:space="preserve">dijabetesne </w:t>
      </w:r>
      <w:r w:rsidRPr="00D95F2B">
        <w:rPr>
          <w:bCs/>
          <w:sz w:val="22"/>
          <w:szCs w:val="22"/>
          <w:lang w:val="sr-Latn-ME"/>
        </w:rPr>
        <w:t>ketoacidoze.</w:t>
      </w:r>
    </w:p>
    <w:p w14:paraId="38E740F3" w14:textId="77777777" w:rsidR="001160EC" w:rsidRPr="00D95F2B" w:rsidRDefault="001160EC" w:rsidP="00AB551E">
      <w:pPr>
        <w:tabs>
          <w:tab w:val="left" w:pos="540"/>
          <w:tab w:val="left" w:pos="569"/>
        </w:tabs>
        <w:jc w:val="both"/>
        <w:rPr>
          <w:bCs/>
          <w:sz w:val="22"/>
          <w:szCs w:val="22"/>
          <w:lang w:val="sr-Latn-ME"/>
        </w:rPr>
      </w:pPr>
    </w:p>
    <w:p w14:paraId="1AB37A27" w14:textId="07BEEF2D" w:rsidR="00DA0069" w:rsidRPr="00D95F2B" w:rsidRDefault="001160EC" w:rsidP="00AB551E">
      <w:pPr>
        <w:tabs>
          <w:tab w:val="left" w:pos="540"/>
          <w:tab w:val="left" w:pos="569"/>
        </w:tabs>
        <w:jc w:val="both"/>
        <w:rPr>
          <w:bCs/>
          <w:sz w:val="22"/>
          <w:szCs w:val="22"/>
          <w:lang w:val="sr-Latn-ME"/>
        </w:rPr>
      </w:pPr>
      <w:r w:rsidRPr="00D95F2B">
        <w:rPr>
          <w:bCs/>
          <w:sz w:val="22"/>
          <w:szCs w:val="22"/>
          <w:lang w:val="sr-Latn-ME"/>
        </w:rPr>
        <w:t>Liraglutid nije zamjena za insulin.</w:t>
      </w:r>
      <w:r w:rsidR="00404CFA" w:rsidRPr="00D95F2B">
        <w:rPr>
          <w:bCs/>
          <w:sz w:val="22"/>
          <w:szCs w:val="22"/>
          <w:lang w:val="sr-Latn-ME"/>
        </w:rPr>
        <w:t xml:space="preserve"> Dijabetesna ketoacidoza je prijavljivana kod</w:t>
      </w:r>
      <w:r w:rsidR="000F579A" w:rsidRPr="00D95F2B">
        <w:rPr>
          <w:bCs/>
          <w:sz w:val="22"/>
          <w:szCs w:val="22"/>
          <w:lang w:val="sr-Latn-ME"/>
        </w:rPr>
        <w:t xml:space="preserve"> insulin-zavisnih</w:t>
      </w:r>
      <w:r w:rsidR="00404CFA" w:rsidRPr="00D95F2B">
        <w:rPr>
          <w:bCs/>
          <w:sz w:val="22"/>
          <w:szCs w:val="22"/>
          <w:lang w:val="sr-Latn-ME"/>
        </w:rPr>
        <w:t xml:space="preserve"> pacijenata</w:t>
      </w:r>
      <w:r w:rsidR="000F579A" w:rsidRPr="00D95F2B">
        <w:rPr>
          <w:bCs/>
          <w:sz w:val="22"/>
          <w:szCs w:val="22"/>
          <w:lang w:val="sr-Latn-ME"/>
        </w:rPr>
        <w:t xml:space="preserve"> </w:t>
      </w:r>
      <w:r w:rsidR="00404CFA" w:rsidRPr="00D95F2B">
        <w:rPr>
          <w:bCs/>
          <w:sz w:val="22"/>
          <w:szCs w:val="22"/>
          <w:lang w:val="sr-Latn-ME"/>
        </w:rPr>
        <w:t xml:space="preserve">nakon brze diskontinuacije ili smanjenja doze insulina (vidjeti </w:t>
      </w:r>
      <w:r w:rsidR="00BD4A26" w:rsidRPr="00D95F2B">
        <w:rPr>
          <w:bCs/>
          <w:sz w:val="22"/>
          <w:szCs w:val="22"/>
          <w:lang w:val="sr-Latn-ME"/>
        </w:rPr>
        <w:t>dio</w:t>
      </w:r>
      <w:r w:rsidR="00404CFA" w:rsidRPr="00D95F2B">
        <w:rPr>
          <w:bCs/>
          <w:sz w:val="22"/>
          <w:szCs w:val="22"/>
          <w:lang w:val="sr-Latn-ME"/>
        </w:rPr>
        <w:t xml:space="preserve"> 4.2).</w:t>
      </w:r>
    </w:p>
    <w:p w14:paraId="7261F5C5" w14:textId="77777777" w:rsidR="001160EC" w:rsidRPr="00D95F2B" w:rsidRDefault="001160EC" w:rsidP="00AB551E">
      <w:pPr>
        <w:tabs>
          <w:tab w:val="left" w:pos="540"/>
          <w:tab w:val="left" w:pos="569"/>
        </w:tabs>
        <w:jc w:val="both"/>
        <w:rPr>
          <w:bCs/>
          <w:sz w:val="22"/>
          <w:szCs w:val="22"/>
          <w:lang w:val="sr-Latn-ME"/>
        </w:rPr>
      </w:pPr>
    </w:p>
    <w:p w14:paraId="331E6AF9" w14:textId="3ACB5301"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Ne postoje terapijska iskustva sa ovim lijekom kod pacijenata sa kongestivnom srčanom insuficijencijom stepena IV prema </w:t>
      </w:r>
      <w:r w:rsidR="00BD4A26" w:rsidRPr="00D95F2B">
        <w:rPr>
          <w:bCs/>
          <w:sz w:val="22"/>
          <w:szCs w:val="22"/>
          <w:lang w:val="sr-Latn-ME"/>
        </w:rPr>
        <w:t>NYHA</w:t>
      </w:r>
      <w:r w:rsidRPr="00D95F2B">
        <w:rPr>
          <w:bCs/>
          <w:sz w:val="22"/>
          <w:szCs w:val="22"/>
          <w:lang w:val="sr-Latn-ME"/>
        </w:rPr>
        <w:t xml:space="preserve"> </w:t>
      </w:r>
      <w:r w:rsidR="00BD4A26" w:rsidRPr="00D95F2B">
        <w:rPr>
          <w:bCs/>
          <w:sz w:val="22"/>
          <w:szCs w:val="22"/>
          <w:lang w:val="sr-Latn-ME"/>
        </w:rPr>
        <w:t xml:space="preserve">(engl. </w:t>
      </w:r>
      <w:r w:rsidRPr="00D95F2B">
        <w:rPr>
          <w:bCs/>
          <w:i/>
          <w:sz w:val="22"/>
          <w:szCs w:val="22"/>
          <w:lang w:val="sr-Latn-ME"/>
        </w:rPr>
        <w:t>New York</w:t>
      </w:r>
      <w:r w:rsidR="00BD4A26" w:rsidRPr="00D95F2B">
        <w:rPr>
          <w:bCs/>
          <w:i/>
          <w:sz w:val="22"/>
          <w:szCs w:val="22"/>
          <w:lang w:val="sr-Latn-ME"/>
        </w:rPr>
        <w:t xml:space="preserve"> Heart Association</w:t>
      </w:r>
      <w:r w:rsidR="00BD4A26" w:rsidRPr="00D95F2B">
        <w:rPr>
          <w:bCs/>
          <w:sz w:val="22"/>
          <w:szCs w:val="22"/>
          <w:lang w:val="sr-Latn-ME"/>
        </w:rPr>
        <w:t>) klasifikaciji</w:t>
      </w:r>
      <w:r w:rsidRPr="00D95F2B">
        <w:rPr>
          <w:bCs/>
          <w:sz w:val="22"/>
          <w:szCs w:val="22"/>
          <w:lang w:val="sr-Latn-ME"/>
        </w:rPr>
        <w:t xml:space="preserve"> i iz tog razloga primjena liraglutida kod ovih pacijenata se ne preporučuje.</w:t>
      </w:r>
    </w:p>
    <w:p w14:paraId="30FA9538" w14:textId="77777777" w:rsidR="001160EC" w:rsidRPr="00D95F2B" w:rsidRDefault="001160EC" w:rsidP="00AB551E">
      <w:pPr>
        <w:tabs>
          <w:tab w:val="left" w:pos="540"/>
          <w:tab w:val="left" w:pos="569"/>
        </w:tabs>
        <w:jc w:val="both"/>
        <w:rPr>
          <w:bCs/>
          <w:sz w:val="22"/>
          <w:szCs w:val="22"/>
          <w:lang w:val="sr-Latn-ME"/>
        </w:rPr>
      </w:pPr>
    </w:p>
    <w:p w14:paraId="183B591E" w14:textId="0AF8427F"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Iskustva sa ovim lijekom su ograničena kod pacijenata sa inflamatornim cr</w:t>
      </w:r>
      <w:r w:rsidR="00BD4A26" w:rsidRPr="00D95F2B">
        <w:rPr>
          <w:bCs/>
          <w:sz w:val="22"/>
          <w:szCs w:val="22"/>
          <w:lang w:val="sr-Latn-ME"/>
        </w:rPr>
        <w:t>ij</w:t>
      </w:r>
      <w:r w:rsidRPr="00D95F2B">
        <w:rPr>
          <w:bCs/>
          <w:sz w:val="22"/>
          <w:szCs w:val="22"/>
          <w:lang w:val="sr-Latn-ME"/>
        </w:rPr>
        <w:t xml:space="preserve">evnim oboljenjem i </w:t>
      </w:r>
      <w:r w:rsidR="0012459D" w:rsidRPr="00D95F2B">
        <w:rPr>
          <w:bCs/>
          <w:sz w:val="22"/>
          <w:szCs w:val="22"/>
          <w:lang w:val="sr-Latn-ME"/>
        </w:rPr>
        <w:t xml:space="preserve">dijabetesnom </w:t>
      </w:r>
      <w:r w:rsidRPr="00D95F2B">
        <w:rPr>
          <w:bCs/>
          <w:sz w:val="22"/>
          <w:szCs w:val="22"/>
          <w:lang w:val="sr-Latn-ME"/>
        </w:rPr>
        <w:t xml:space="preserve">gastroparezom. Primjena liraglutida se ne preporučuje kod ovih pacijenata, jer se dovodi u vezu sa prolaznim gastrointestinalnim neželjenim </w:t>
      </w:r>
      <w:r w:rsidR="00AD411B" w:rsidRPr="00D95F2B">
        <w:rPr>
          <w:bCs/>
          <w:sz w:val="22"/>
          <w:szCs w:val="22"/>
          <w:lang w:val="sr-Latn-ME"/>
        </w:rPr>
        <w:t>dejstvima</w:t>
      </w:r>
      <w:r w:rsidRPr="00D95F2B">
        <w:rPr>
          <w:bCs/>
          <w:sz w:val="22"/>
          <w:szCs w:val="22"/>
          <w:lang w:val="sr-Latn-ME"/>
        </w:rPr>
        <w:t xml:space="preserve">, uključujući mučninu, povraćanje i dijareju. </w:t>
      </w:r>
    </w:p>
    <w:p w14:paraId="37D68A39" w14:textId="6B13C645" w:rsidR="001160EC" w:rsidRPr="00D95F2B" w:rsidRDefault="001160EC" w:rsidP="00720885">
      <w:pPr>
        <w:tabs>
          <w:tab w:val="left" w:pos="540"/>
          <w:tab w:val="left" w:pos="569"/>
        </w:tabs>
        <w:jc w:val="both"/>
        <w:rPr>
          <w:bCs/>
          <w:sz w:val="22"/>
          <w:szCs w:val="22"/>
          <w:lang w:val="sr-Latn-ME"/>
        </w:rPr>
      </w:pPr>
    </w:p>
    <w:p w14:paraId="70AA36A8" w14:textId="267CCA83" w:rsidR="00B671BF" w:rsidRPr="00D95F2B" w:rsidRDefault="00B671BF" w:rsidP="00720885">
      <w:pPr>
        <w:tabs>
          <w:tab w:val="left" w:pos="540"/>
          <w:tab w:val="left" w:pos="569"/>
        </w:tabs>
        <w:jc w:val="both"/>
        <w:rPr>
          <w:bCs/>
          <w:sz w:val="22"/>
          <w:szCs w:val="22"/>
          <w:lang w:val="sr-Latn-ME"/>
        </w:rPr>
      </w:pPr>
    </w:p>
    <w:p w14:paraId="1C71C73E" w14:textId="77777777" w:rsidR="00B671BF" w:rsidRPr="00D95F2B" w:rsidRDefault="00B671BF" w:rsidP="00720885">
      <w:pPr>
        <w:tabs>
          <w:tab w:val="left" w:pos="540"/>
          <w:tab w:val="left" w:pos="569"/>
        </w:tabs>
        <w:jc w:val="both"/>
        <w:rPr>
          <w:bCs/>
          <w:sz w:val="22"/>
          <w:szCs w:val="22"/>
          <w:lang w:val="sr-Latn-ME"/>
        </w:rPr>
      </w:pPr>
    </w:p>
    <w:p w14:paraId="4117601C" w14:textId="77777777" w:rsidR="00DC3EBA" w:rsidRPr="00D95F2B" w:rsidRDefault="00DC3EBA" w:rsidP="00720885">
      <w:pPr>
        <w:tabs>
          <w:tab w:val="left" w:pos="567"/>
        </w:tabs>
        <w:suppressAutoHyphens/>
        <w:jc w:val="both"/>
        <w:rPr>
          <w:sz w:val="22"/>
          <w:szCs w:val="22"/>
          <w:u w:val="single"/>
          <w:lang w:val="sr-Latn-ME"/>
        </w:rPr>
      </w:pPr>
      <w:r w:rsidRPr="00D95F2B">
        <w:rPr>
          <w:sz w:val="22"/>
          <w:szCs w:val="22"/>
          <w:u w:val="single"/>
          <w:lang w:val="sr-Latn-ME"/>
        </w:rPr>
        <w:lastRenderedPageBreak/>
        <w:t>Aspiracija povezana sa opštom anestezijom ili dubokom sedacijom</w:t>
      </w:r>
    </w:p>
    <w:p w14:paraId="38CEFA9F" w14:textId="77777777" w:rsidR="00DC3EBA" w:rsidRPr="00D95F2B" w:rsidRDefault="00DC3EBA" w:rsidP="00DC3EBA">
      <w:pPr>
        <w:tabs>
          <w:tab w:val="left" w:pos="567"/>
        </w:tabs>
        <w:suppressAutoHyphens/>
        <w:rPr>
          <w:sz w:val="22"/>
          <w:szCs w:val="22"/>
          <w:u w:val="single"/>
          <w:lang w:val="sr-Latn-ME"/>
        </w:rPr>
      </w:pPr>
    </w:p>
    <w:p w14:paraId="1D4C9709" w14:textId="0574D6EE" w:rsidR="00DC3EBA" w:rsidRPr="00D95F2B" w:rsidRDefault="00DC3EBA" w:rsidP="00720885">
      <w:pPr>
        <w:tabs>
          <w:tab w:val="left" w:pos="540"/>
          <w:tab w:val="left" w:pos="569"/>
        </w:tabs>
        <w:jc w:val="both"/>
        <w:rPr>
          <w:bCs/>
          <w:sz w:val="22"/>
          <w:szCs w:val="22"/>
          <w:lang w:val="sr-Latn-ME"/>
        </w:rPr>
      </w:pPr>
      <w:r w:rsidRPr="00D95F2B">
        <w:rPr>
          <w:sz w:val="22"/>
          <w:szCs w:val="22"/>
          <w:lang w:val="sr-Latn-ME"/>
        </w:rPr>
        <w:t>Slučajevi plućne aspiracije zab</w:t>
      </w:r>
      <w:r w:rsidR="00BD4A26" w:rsidRPr="00D95F2B">
        <w:rPr>
          <w:sz w:val="22"/>
          <w:szCs w:val="22"/>
          <w:lang w:val="sr-Latn-ME"/>
        </w:rPr>
        <w:t>i</w:t>
      </w:r>
      <w:r w:rsidRPr="00D95F2B">
        <w:rPr>
          <w:sz w:val="22"/>
          <w:szCs w:val="22"/>
          <w:lang w:val="sr-Latn-ME"/>
        </w:rPr>
        <w:t>l</w:t>
      </w:r>
      <w:r w:rsidR="00BD4A26" w:rsidRPr="00D95F2B">
        <w:rPr>
          <w:sz w:val="22"/>
          <w:szCs w:val="22"/>
          <w:lang w:val="sr-Latn-ME"/>
        </w:rPr>
        <w:t>j</w:t>
      </w:r>
      <w:r w:rsidRPr="00D95F2B">
        <w:rPr>
          <w:sz w:val="22"/>
          <w:szCs w:val="22"/>
          <w:lang w:val="sr-Latn-ME"/>
        </w:rPr>
        <w:t>eženi su kod pacijenata liječenih agonistima GLP-1 receptora, koji su podvrgnuti opštoj anesteziji ili dubokoj sedaciji. Stoga bi, pr</w:t>
      </w:r>
      <w:r w:rsidR="00BD4A26" w:rsidRPr="00D95F2B">
        <w:rPr>
          <w:sz w:val="22"/>
          <w:szCs w:val="22"/>
          <w:lang w:val="sr-Latn-ME"/>
        </w:rPr>
        <w:t>ij</w:t>
      </w:r>
      <w:r w:rsidRPr="00D95F2B">
        <w:rPr>
          <w:sz w:val="22"/>
          <w:szCs w:val="22"/>
          <w:lang w:val="sr-Latn-ME"/>
        </w:rPr>
        <w:t>e sprovođenja postupaka pod opštom anestezijom ili dubokom sedacijom, trebalo razmotriti povećan rizik od rezidual</w:t>
      </w:r>
      <w:r w:rsidR="00A25986" w:rsidRPr="00D95F2B">
        <w:rPr>
          <w:sz w:val="22"/>
          <w:szCs w:val="22"/>
          <w:lang w:val="sr-Latn-ME"/>
        </w:rPr>
        <w:t>n</w:t>
      </w:r>
      <w:r w:rsidRPr="00D95F2B">
        <w:rPr>
          <w:sz w:val="22"/>
          <w:szCs w:val="22"/>
          <w:lang w:val="sr-Latn-ME"/>
        </w:rPr>
        <w:t>og želudačnog sadržaja, zbog odloženog pražnjenja želuca (vidjeti</w:t>
      </w:r>
      <w:r w:rsidR="00BD4A26" w:rsidRPr="00D95F2B">
        <w:rPr>
          <w:sz w:val="22"/>
          <w:szCs w:val="22"/>
          <w:lang w:val="sr-Latn-ME"/>
        </w:rPr>
        <w:t xml:space="preserve"> dio</w:t>
      </w:r>
      <w:r w:rsidRPr="00D95F2B">
        <w:rPr>
          <w:sz w:val="22"/>
          <w:szCs w:val="22"/>
          <w:lang w:val="sr-Latn-ME"/>
        </w:rPr>
        <w:t xml:space="preserve"> 4.8).</w:t>
      </w:r>
    </w:p>
    <w:p w14:paraId="1C2CF4DB" w14:textId="77777777" w:rsidR="00DC3EBA" w:rsidRPr="00D95F2B" w:rsidRDefault="00DC3EBA" w:rsidP="00720885">
      <w:pPr>
        <w:tabs>
          <w:tab w:val="left" w:pos="540"/>
          <w:tab w:val="left" w:pos="569"/>
        </w:tabs>
        <w:jc w:val="both"/>
        <w:rPr>
          <w:bCs/>
          <w:sz w:val="22"/>
          <w:szCs w:val="22"/>
          <w:lang w:val="sr-Latn-ME"/>
        </w:rPr>
      </w:pPr>
    </w:p>
    <w:p w14:paraId="3C817AA2" w14:textId="77777777" w:rsidR="001160EC" w:rsidRPr="00D95F2B" w:rsidRDefault="001160EC" w:rsidP="00720885">
      <w:pPr>
        <w:tabs>
          <w:tab w:val="left" w:pos="540"/>
          <w:tab w:val="left" w:pos="569"/>
        </w:tabs>
        <w:jc w:val="both"/>
        <w:rPr>
          <w:bCs/>
          <w:sz w:val="22"/>
          <w:szCs w:val="22"/>
          <w:u w:val="single"/>
          <w:lang w:val="sr-Latn-ME"/>
        </w:rPr>
      </w:pPr>
      <w:r w:rsidRPr="00D95F2B">
        <w:rPr>
          <w:bCs/>
          <w:sz w:val="22"/>
          <w:szCs w:val="22"/>
          <w:u w:val="single"/>
          <w:lang w:val="sr-Latn-ME"/>
        </w:rPr>
        <w:t>Akutni pankreatitis</w:t>
      </w:r>
    </w:p>
    <w:p w14:paraId="4E4A6F18" w14:textId="77777777" w:rsidR="001160EC" w:rsidRPr="00D95F2B" w:rsidRDefault="001160EC">
      <w:pPr>
        <w:tabs>
          <w:tab w:val="left" w:pos="540"/>
          <w:tab w:val="left" w:pos="569"/>
        </w:tabs>
        <w:jc w:val="both"/>
        <w:rPr>
          <w:bCs/>
          <w:sz w:val="22"/>
          <w:szCs w:val="22"/>
          <w:lang w:val="sr-Latn-ME"/>
        </w:rPr>
      </w:pPr>
    </w:p>
    <w:p w14:paraId="1894C82F" w14:textId="6E661929" w:rsidR="001160EC" w:rsidRPr="00D95F2B" w:rsidRDefault="001160EC">
      <w:pPr>
        <w:tabs>
          <w:tab w:val="left" w:pos="540"/>
          <w:tab w:val="left" w:pos="569"/>
        </w:tabs>
        <w:jc w:val="both"/>
        <w:rPr>
          <w:bCs/>
          <w:sz w:val="22"/>
          <w:szCs w:val="22"/>
          <w:lang w:val="sr-Latn-ME"/>
        </w:rPr>
      </w:pPr>
      <w:r w:rsidRPr="00D95F2B">
        <w:rPr>
          <w:bCs/>
          <w:sz w:val="22"/>
          <w:szCs w:val="22"/>
          <w:lang w:val="sr-Latn-ME"/>
        </w:rPr>
        <w:t>Kod primjene agonista GLP-1 receptora prim</w:t>
      </w:r>
      <w:r w:rsidR="005D7D61" w:rsidRPr="00D95F2B">
        <w:rPr>
          <w:bCs/>
          <w:sz w:val="22"/>
          <w:szCs w:val="22"/>
          <w:lang w:val="sr-Latn-ME"/>
        </w:rPr>
        <w:t>i</w:t>
      </w:r>
      <w:r w:rsidRPr="00D95F2B">
        <w:rPr>
          <w:bCs/>
          <w:sz w:val="22"/>
          <w:szCs w:val="22"/>
          <w:lang w:val="sr-Latn-ME"/>
        </w:rPr>
        <w:t xml:space="preserve">jećena je pojava akutnog pankreatitisa. Pacijentima treba predočiti karakteristične simptome akutnog pankreatitisa. Ako se sumnja na pankreatitis, treba prestati sa primjenom liraglutida; ukoliko se akutni pankreatitis potvrdi, primjenu liraglutida ne treba ponovo započeti (vidjeti </w:t>
      </w:r>
      <w:r w:rsidR="00BD4A26" w:rsidRPr="00D95F2B">
        <w:rPr>
          <w:bCs/>
          <w:sz w:val="22"/>
          <w:szCs w:val="22"/>
          <w:lang w:val="sr-Latn-ME"/>
        </w:rPr>
        <w:t>djelove</w:t>
      </w:r>
      <w:r w:rsidRPr="00D95F2B">
        <w:rPr>
          <w:bCs/>
          <w:sz w:val="22"/>
          <w:szCs w:val="22"/>
          <w:lang w:val="sr-Latn-ME"/>
        </w:rPr>
        <w:t xml:space="preserve"> 4.8 i 5.1).</w:t>
      </w:r>
    </w:p>
    <w:p w14:paraId="1ED06C19" w14:textId="77777777" w:rsidR="001160EC" w:rsidRPr="00D95F2B" w:rsidRDefault="001160EC" w:rsidP="00720885">
      <w:pPr>
        <w:tabs>
          <w:tab w:val="left" w:pos="540"/>
          <w:tab w:val="left" w:pos="569"/>
        </w:tabs>
        <w:jc w:val="both"/>
        <w:rPr>
          <w:bCs/>
          <w:sz w:val="22"/>
          <w:szCs w:val="22"/>
          <w:lang w:val="sr-Latn-ME"/>
        </w:rPr>
      </w:pPr>
    </w:p>
    <w:p w14:paraId="3CCFB753" w14:textId="77777777" w:rsidR="001160EC" w:rsidRPr="00D95F2B" w:rsidRDefault="001160EC" w:rsidP="00720885">
      <w:pPr>
        <w:tabs>
          <w:tab w:val="left" w:pos="540"/>
          <w:tab w:val="left" w:pos="569"/>
        </w:tabs>
        <w:jc w:val="both"/>
        <w:rPr>
          <w:bCs/>
          <w:sz w:val="22"/>
          <w:szCs w:val="22"/>
          <w:u w:val="single"/>
          <w:lang w:val="sr-Latn-ME"/>
        </w:rPr>
      </w:pPr>
      <w:r w:rsidRPr="00D95F2B">
        <w:rPr>
          <w:bCs/>
          <w:sz w:val="22"/>
          <w:szCs w:val="22"/>
          <w:u w:val="single"/>
          <w:lang w:val="sr-Latn-ME"/>
        </w:rPr>
        <w:t>Oboljenje tiroidee</w:t>
      </w:r>
    </w:p>
    <w:p w14:paraId="07B8C67E" w14:textId="77777777" w:rsidR="001160EC" w:rsidRPr="00D95F2B" w:rsidRDefault="001160EC">
      <w:pPr>
        <w:tabs>
          <w:tab w:val="left" w:pos="540"/>
          <w:tab w:val="left" w:pos="569"/>
        </w:tabs>
        <w:jc w:val="both"/>
        <w:rPr>
          <w:bCs/>
          <w:sz w:val="22"/>
          <w:szCs w:val="22"/>
          <w:lang w:val="sr-Latn-ME"/>
        </w:rPr>
      </w:pPr>
    </w:p>
    <w:p w14:paraId="56A3935C" w14:textId="77777777" w:rsidR="001160EC" w:rsidRPr="00D95F2B" w:rsidRDefault="001160EC">
      <w:pPr>
        <w:tabs>
          <w:tab w:val="left" w:pos="540"/>
          <w:tab w:val="left" w:pos="569"/>
        </w:tabs>
        <w:jc w:val="both"/>
        <w:rPr>
          <w:bCs/>
          <w:sz w:val="22"/>
          <w:szCs w:val="22"/>
          <w:lang w:val="sr-Latn-ME"/>
        </w:rPr>
      </w:pPr>
      <w:r w:rsidRPr="00D95F2B">
        <w:rPr>
          <w:bCs/>
          <w:sz w:val="22"/>
          <w:szCs w:val="22"/>
          <w:lang w:val="sr-Latn-ME"/>
        </w:rPr>
        <w:t>Neželjena dejstva u vezi tireoidne žljezde, kao što je gušavost, prijavljena su u kliničkim ispitivanjima i posebno kod pacijenata sa prethodno dijagnostikovanim tireoidnim oboljenjem. Iz tog razloga liraglutid treba primjenjivati sa oprezom kod ovih pacijenata.</w:t>
      </w:r>
    </w:p>
    <w:p w14:paraId="5C59041E" w14:textId="77777777" w:rsidR="001160EC" w:rsidRPr="00D95F2B" w:rsidRDefault="001160EC" w:rsidP="00720885">
      <w:pPr>
        <w:tabs>
          <w:tab w:val="left" w:pos="540"/>
          <w:tab w:val="left" w:pos="569"/>
        </w:tabs>
        <w:jc w:val="both"/>
        <w:rPr>
          <w:bCs/>
          <w:sz w:val="22"/>
          <w:szCs w:val="22"/>
          <w:lang w:val="sr-Latn-ME"/>
        </w:rPr>
      </w:pPr>
    </w:p>
    <w:p w14:paraId="5DFFC89D" w14:textId="77777777" w:rsidR="001160EC" w:rsidRPr="00D95F2B" w:rsidRDefault="001160EC" w:rsidP="00720885">
      <w:pPr>
        <w:tabs>
          <w:tab w:val="left" w:pos="540"/>
          <w:tab w:val="left" w:pos="569"/>
        </w:tabs>
        <w:jc w:val="both"/>
        <w:rPr>
          <w:bCs/>
          <w:sz w:val="22"/>
          <w:szCs w:val="22"/>
          <w:u w:val="single"/>
          <w:lang w:val="sr-Latn-ME"/>
        </w:rPr>
      </w:pPr>
      <w:r w:rsidRPr="00D95F2B">
        <w:rPr>
          <w:bCs/>
          <w:sz w:val="22"/>
          <w:szCs w:val="22"/>
          <w:u w:val="single"/>
          <w:lang w:val="sr-Latn-ME"/>
        </w:rPr>
        <w:t>Hipoglikemija</w:t>
      </w:r>
    </w:p>
    <w:p w14:paraId="38C02772" w14:textId="77777777" w:rsidR="001160EC" w:rsidRPr="00D95F2B" w:rsidRDefault="001160EC" w:rsidP="00720885">
      <w:pPr>
        <w:tabs>
          <w:tab w:val="left" w:pos="540"/>
          <w:tab w:val="left" w:pos="569"/>
        </w:tabs>
        <w:jc w:val="both"/>
        <w:rPr>
          <w:bCs/>
          <w:sz w:val="22"/>
          <w:szCs w:val="22"/>
          <w:lang w:val="sr-Latn-ME"/>
        </w:rPr>
      </w:pPr>
    </w:p>
    <w:p w14:paraId="3EB61648" w14:textId="5DE03CA5" w:rsidR="001160EC" w:rsidRPr="00D95F2B" w:rsidRDefault="001160EC">
      <w:pPr>
        <w:tabs>
          <w:tab w:val="left" w:pos="540"/>
          <w:tab w:val="left" w:pos="569"/>
        </w:tabs>
        <w:jc w:val="both"/>
        <w:rPr>
          <w:bCs/>
          <w:sz w:val="22"/>
          <w:szCs w:val="22"/>
          <w:lang w:val="sr-Latn-ME"/>
        </w:rPr>
      </w:pPr>
      <w:r w:rsidRPr="00D95F2B">
        <w:rPr>
          <w:bCs/>
          <w:sz w:val="22"/>
          <w:szCs w:val="22"/>
          <w:lang w:val="sr-Latn-ME"/>
        </w:rPr>
        <w:t>Kod pacijenata koji primjenjuju liraglutid u kombinaciji sa sulfonilureom ili insulinom veći je rizik od hipoglikemije (vidjeti</w:t>
      </w:r>
      <w:r w:rsidR="00FD514C" w:rsidRPr="00D95F2B">
        <w:rPr>
          <w:bCs/>
          <w:sz w:val="22"/>
          <w:szCs w:val="22"/>
          <w:lang w:val="sr-Latn-ME"/>
        </w:rPr>
        <w:t xml:space="preserve"> dio</w:t>
      </w:r>
      <w:r w:rsidRPr="00D95F2B">
        <w:rPr>
          <w:bCs/>
          <w:sz w:val="22"/>
          <w:szCs w:val="22"/>
          <w:lang w:val="sr-Latn-ME"/>
        </w:rPr>
        <w:t xml:space="preserve"> 4.8). Rizik od hipoglikemije se može umanjiti smanjivanjem doze sulfoniluree ili insulina.</w:t>
      </w:r>
    </w:p>
    <w:p w14:paraId="6A81A823" w14:textId="77777777" w:rsidR="001160EC" w:rsidRPr="00D95F2B" w:rsidRDefault="001160EC" w:rsidP="00720885">
      <w:pPr>
        <w:tabs>
          <w:tab w:val="left" w:pos="540"/>
          <w:tab w:val="left" w:pos="569"/>
        </w:tabs>
        <w:jc w:val="both"/>
        <w:rPr>
          <w:bCs/>
          <w:sz w:val="22"/>
          <w:szCs w:val="22"/>
          <w:lang w:val="sr-Latn-ME"/>
        </w:rPr>
      </w:pPr>
    </w:p>
    <w:p w14:paraId="0B1C3AB5" w14:textId="77777777" w:rsidR="001160EC" w:rsidRPr="00D95F2B" w:rsidRDefault="001160EC" w:rsidP="00720885">
      <w:pPr>
        <w:tabs>
          <w:tab w:val="left" w:pos="540"/>
          <w:tab w:val="left" w:pos="569"/>
        </w:tabs>
        <w:jc w:val="both"/>
        <w:rPr>
          <w:bCs/>
          <w:sz w:val="22"/>
          <w:szCs w:val="22"/>
          <w:u w:val="single"/>
          <w:lang w:val="sr-Latn-ME"/>
        </w:rPr>
      </w:pPr>
      <w:r w:rsidRPr="00D95F2B">
        <w:rPr>
          <w:bCs/>
          <w:sz w:val="22"/>
          <w:szCs w:val="22"/>
          <w:u w:val="single"/>
          <w:lang w:val="sr-Latn-ME"/>
        </w:rPr>
        <w:t>Dehidratacija</w:t>
      </w:r>
    </w:p>
    <w:p w14:paraId="5504EC1F" w14:textId="77777777" w:rsidR="001160EC" w:rsidRPr="00D95F2B" w:rsidRDefault="001160EC" w:rsidP="00720885">
      <w:pPr>
        <w:tabs>
          <w:tab w:val="left" w:pos="540"/>
          <w:tab w:val="left" w:pos="569"/>
        </w:tabs>
        <w:jc w:val="both"/>
        <w:rPr>
          <w:bCs/>
          <w:sz w:val="22"/>
          <w:szCs w:val="22"/>
          <w:lang w:val="sr-Latn-ME"/>
        </w:rPr>
      </w:pPr>
    </w:p>
    <w:p w14:paraId="38E34E35" w14:textId="14963116" w:rsidR="001160EC" w:rsidRPr="00D95F2B" w:rsidRDefault="001160EC">
      <w:pPr>
        <w:tabs>
          <w:tab w:val="left" w:pos="540"/>
          <w:tab w:val="left" w:pos="569"/>
        </w:tabs>
        <w:jc w:val="both"/>
        <w:rPr>
          <w:bCs/>
          <w:sz w:val="22"/>
          <w:szCs w:val="22"/>
          <w:lang w:val="sr-Latn-ME"/>
        </w:rPr>
      </w:pPr>
      <w:r w:rsidRPr="00D95F2B">
        <w:rPr>
          <w:bCs/>
          <w:sz w:val="22"/>
          <w:szCs w:val="22"/>
          <w:lang w:val="sr-Latn-ME"/>
        </w:rPr>
        <w:t>Znaci i simptomi dehidratacije, uključujući oštećenje bubrega i akutnu bubrežnu insuficijenciju, prijavljeni su kod pacijenata liječenih liraglutidom. Pacijente liječene liraglutidom treba upozoriti na potencijalni rizik od dehidratacije zbog neželjenih gastrointestinalnih efekata i preduzeti neophodne mjere kako bi se izbjegao gubitak tečnosti.</w:t>
      </w:r>
    </w:p>
    <w:p w14:paraId="033C2525" w14:textId="77777777" w:rsidR="00DD063C" w:rsidRPr="00D95F2B" w:rsidRDefault="00DD063C" w:rsidP="00720885">
      <w:pPr>
        <w:tabs>
          <w:tab w:val="left" w:pos="540"/>
          <w:tab w:val="left" w:pos="569"/>
        </w:tabs>
        <w:jc w:val="both"/>
        <w:rPr>
          <w:bCs/>
          <w:sz w:val="22"/>
          <w:szCs w:val="22"/>
          <w:lang w:val="sr-Latn-ME"/>
        </w:rPr>
      </w:pPr>
    </w:p>
    <w:p w14:paraId="3569A068" w14:textId="77777777" w:rsidR="00DD063C" w:rsidRPr="00D95F2B" w:rsidRDefault="00DD063C" w:rsidP="00720885">
      <w:pPr>
        <w:tabs>
          <w:tab w:val="left" w:pos="540"/>
          <w:tab w:val="left" w:pos="569"/>
        </w:tabs>
        <w:jc w:val="both"/>
        <w:rPr>
          <w:bCs/>
          <w:sz w:val="22"/>
          <w:szCs w:val="22"/>
          <w:u w:val="single"/>
          <w:lang w:val="sr-Latn-ME"/>
        </w:rPr>
      </w:pPr>
      <w:r w:rsidRPr="00D95F2B">
        <w:rPr>
          <w:bCs/>
          <w:sz w:val="22"/>
          <w:szCs w:val="22"/>
          <w:u w:val="single"/>
          <w:lang w:val="sr-Latn-ME"/>
        </w:rPr>
        <w:t>Ekscipijensi</w:t>
      </w:r>
    </w:p>
    <w:p w14:paraId="303B96D1" w14:textId="77777777" w:rsidR="00DD063C" w:rsidRPr="00D95F2B" w:rsidRDefault="00DD063C" w:rsidP="00720885">
      <w:pPr>
        <w:tabs>
          <w:tab w:val="left" w:pos="540"/>
          <w:tab w:val="left" w:pos="569"/>
        </w:tabs>
        <w:jc w:val="both"/>
        <w:rPr>
          <w:bCs/>
          <w:sz w:val="22"/>
          <w:szCs w:val="22"/>
          <w:lang w:val="sr-Latn-ME"/>
        </w:rPr>
      </w:pPr>
    </w:p>
    <w:p w14:paraId="7915A305" w14:textId="6B26E629" w:rsidR="00DD063C" w:rsidRPr="00D95F2B" w:rsidRDefault="00DD063C">
      <w:pPr>
        <w:tabs>
          <w:tab w:val="left" w:pos="540"/>
          <w:tab w:val="left" w:pos="569"/>
        </w:tabs>
        <w:jc w:val="both"/>
        <w:rPr>
          <w:bCs/>
          <w:sz w:val="22"/>
          <w:szCs w:val="22"/>
          <w:lang w:val="sr-Latn-ME"/>
        </w:rPr>
      </w:pPr>
      <w:r w:rsidRPr="00D95F2B">
        <w:rPr>
          <w:bCs/>
          <w:sz w:val="22"/>
          <w:szCs w:val="22"/>
          <w:lang w:val="sr-Latn-ME"/>
        </w:rPr>
        <w:t xml:space="preserve">Lijek </w:t>
      </w:r>
      <w:r w:rsidR="00203EA1" w:rsidRPr="00D95F2B">
        <w:rPr>
          <w:bCs/>
          <w:sz w:val="22"/>
          <w:szCs w:val="22"/>
          <w:lang w:val="sr-Latn-ME"/>
        </w:rPr>
        <w:t>Victoza</w:t>
      </w:r>
      <w:r w:rsidRPr="00D95F2B">
        <w:rPr>
          <w:bCs/>
          <w:sz w:val="22"/>
          <w:szCs w:val="22"/>
          <w:lang w:val="sr-Latn-ME"/>
        </w:rPr>
        <w:t xml:space="preserve"> sadrži manje od 1 mmol </w:t>
      </w:r>
      <w:r w:rsidR="0012459D" w:rsidRPr="00D95F2B">
        <w:rPr>
          <w:bCs/>
          <w:sz w:val="22"/>
          <w:szCs w:val="22"/>
          <w:lang w:val="sr-Latn-ME"/>
        </w:rPr>
        <w:t xml:space="preserve">natrijuma </w:t>
      </w:r>
      <w:r w:rsidRPr="00D95F2B">
        <w:rPr>
          <w:bCs/>
          <w:sz w:val="22"/>
          <w:szCs w:val="22"/>
          <w:lang w:val="sr-Latn-ME"/>
        </w:rPr>
        <w:t>(23 mg) po dozi, odnosno suštinski je “bez natrijuma”.</w:t>
      </w:r>
    </w:p>
    <w:p w14:paraId="4E1BE184" w14:textId="77777777" w:rsidR="00F2568B" w:rsidRPr="00D95F2B" w:rsidRDefault="00F2568B" w:rsidP="00720885">
      <w:pPr>
        <w:tabs>
          <w:tab w:val="left" w:pos="540"/>
          <w:tab w:val="left" w:pos="569"/>
        </w:tabs>
        <w:jc w:val="both"/>
        <w:rPr>
          <w:bCs/>
          <w:sz w:val="22"/>
          <w:szCs w:val="22"/>
          <w:lang w:val="sr-Latn-ME"/>
        </w:rPr>
      </w:pPr>
    </w:p>
    <w:p w14:paraId="1EA7519B" w14:textId="77777777" w:rsidR="00F2568B" w:rsidRPr="00D95F2B" w:rsidRDefault="00F2568B" w:rsidP="00720885">
      <w:pPr>
        <w:tabs>
          <w:tab w:val="left" w:pos="540"/>
          <w:tab w:val="left" w:pos="569"/>
        </w:tabs>
        <w:jc w:val="both"/>
        <w:rPr>
          <w:bCs/>
          <w:sz w:val="22"/>
          <w:szCs w:val="22"/>
          <w:u w:val="single"/>
          <w:lang w:val="sr-Latn-ME"/>
        </w:rPr>
      </w:pPr>
      <w:r w:rsidRPr="00D95F2B">
        <w:rPr>
          <w:bCs/>
          <w:sz w:val="22"/>
          <w:szCs w:val="22"/>
          <w:u w:val="single"/>
          <w:lang w:val="sr-Latn-ME"/>
        </w:rPr>
        <w:t>Praćenje</w:t>
      </w:r>
    </w:p>
    <w:p w14:paraId="13F27A2F" w14:textId="77777777" w:rsidR="00F2568B" w:rsidRPr="00D95F2B" w:rsidRDefault="00F2568B" w:rsidP="00720885">
      <w:pPr>
        <w:tabs>
          <w:tab w:val="left" w:pos="540"/>
          <w:tab w:val="left" w:pos="569"/>
        </w:tabs>
        <w:jc w:val="both"/>
        <w:rPr>
          <w:bCs/>
          <w:sz w:val="22"/>
          <w:szCs w:val="22"/>
          <w:u w:val="single"/>
          <w:lang w:val="sr-Latn-ME"/>
        </w:rPr>
      </w:pPr>
    </w:p>
    <w:p w14:paraId="58460C81" w14:textId="7E835E6E" w:rsidR="00F2568B" w:rsidRPr="00D95F2B" w:rsidRDefault="00F2568B">
      <w:pPr>
        <w:tabs>
          <w:tab w:val="left" w:pos="540"/>
          <w:tab w:val="left" w:pos="569"/>
        </w:tabs>
        <w:jc w:val="both"/>
        <w:rPr>
          <w:bCs/>
          <w:sz w:val="22"/>
          <w:szCs w:val="22"/>
          <w:lang w:val="sr-Latn-ME"/>
        </w:rPr>
      </w:pPr>
      <w:r w:rsidRPr="00D95F2B">
        <w:rPr>
          <w:bCs/>
          <w:sz w:val="22"/>
          <w:szCs w:val="22"/>
          <w:lang w:val="sr-Latn-ME"/>
        </w:rPr>
        <w:t>Kako bi se olakšalo praćenje bioloških medicinskih proizvoda, treba jasno zab</w:t>
      </w:r>
      <w:r w:rsidR="00FD514C" w:rsidRPr="00D95F2B">
        <w:rPr>
          <w:bCs/>
          <w:sz w:val="22"/>
          <w:szCs w:val="22"/>
          <w:lang w:val="sr-Latn-ME"/>
        </w:rPr>
        <w:t>i</w:t>
      </w:r>
      <w:r w:rsidRPr="00D95F2B">
        <w:rPr>
          <w:bCs/>
          <w:sz w:val="22"/>
          <w:szCs w:val="22"/>
          <w:lang w:val="sr-Latn-ME"/>
        </w:rPr>
        <w:t>l</w:t>
      </w:r>
      <w:r w:rsidR="00FD514C" w:rsidRPr="00D95F2B">
        <w:rPr>
          <w:bCs/>
          <w:sz w:val="22"/>
          <w:szCs w:val="22"/>
          <w:lang w:val="sr-Latn-ME"/>
        </w:rPr>
        <w:t>j</w:t>
      </w:r>
      <w:r w:rsidRPr="00D95F2B">
        <w:rPr>
          <w:bCs/>
          <w:sz w:val="22"/>
          <w:szCs w:val="22"/>
          <w:lang w:val="sr-Latn-ME"/>
        </w:rPr>
        <w:t>ežiti ime i serijski broj prim</w:t>
      </w:r>
      <w:r w:rsidR="00FD514C" w:rsidRPr="00D95F2B">
        <w:rPr>
          <w:bCs/>
          <w:sz w:val="22"/>
          <w:szCs w:val="22"/>
          <w:lang w:val="sr-Latn-ME"/>
        </w:rPr>
        <w:t>i</w:t>
      </w:r>
      <w:r w:rsidRPr="00D95F2B">
        <w:rPr>
          <w:bCs/>
          <w:sz w:val="22"/>
          <w:szCs w:val="22"/>
          <w:lang w:val="sr-Latn-ME"/>
        </w:rPr>
        <w:t>jenjenog proizvoda.</w:t>
      </w:r>
    </w:p>
    <w:p w14:paraId="125A89E2" w14:textId="77777777" w:rsidR="00057E35" w:rsidRPr="00D95F2B" w:rsidRDefault="00057E35" w:rsidP="00720885">
      <w:pPr>
        <w:tabs>
          <w:tab w:val="left" w:pos="540"/>
          <w:tab w:val="left" w:pos="569"/>
        </w:tabs>
        <w:jc w:val="both"/>
        <w:rPr>
          <w:bCs/>
          <w:sz w:val="22"/>
          <w:szCs w:val="22"/>
          <w:lang w:val="sr-Latn-ME"/>
        </w:rPr>
      </w:pPr>
    </w:p>
    <w:p w14:paraId="36684E7C" w14:textId="77777777" w:rsidR="00411B4B" w:rsidRPr="00D95F2B" w:rsidRDefault="00411B4B" w:rsidP="00720885">
      <w:pPr>
        <w:tabs>
          <w:tab w:val="left" w:pos="540"/>
          <w:tab w:val="left" w:pos="569"/>
        </w:tabs>
        <w:jc w:val="both"/>
        <w:rPr>
          <w:b/>
          <w:bCs/>
          <w:sz w:val="22"/>
          <w:szCs w:val="22"/>
          <w:lang w:val="sr-Latn-ME"/>
        </w:rPr>
      </w:pPr>
      <w:r w:rsidRPr="00D95F2B">
        <w:rPr>
          <w:b/>
          <w:bCs/>
          <w:sz w:val="22"/>
          <w:szCs w:val="22"/>
          <w:lang w:val="sr-Latn-ME"/>
        </w:rPr>
        <w:t>4.5.</w:t>
      </w:r>
      <w:r w:rsidR="000D60CC" w:rsidRPr="00D95F2B">
        <w:rPr>
          <w:b/>
          <w:bCs/>
          <w:sz w:val="22"/>
          <w:szCs w:val="22"/>
          <w:lang w:val="sr-Latn-ME"/>
        </w:rPr>
        <w:tab/>
      </w:r>
      <w:r w:rsidRPr="00D95F2B">
        <w:rPr>
          <w:b/>
          <w:bCs/>
          <w:sz w:val="22"/>
          <w:szCs w:val="22"/>
          <w:lang w:val="sr-Latn-ME"/>
        </w:rPr>
        <w:t>Interakcije sa drugim ljekovima i druge vrste interakcija</w:t>
      </w:r>
    </w:p>
    <w:p w14:paraId="5A97CB67" w14:textId="77777777" w:rsidR="0072020E" w:rsidRPr="00D95F2B" w:rsidRDefault="0072020E" w:rsidP="00720885">
      <w:pPr>
        <w:tabs>
          <w:tab w:val="left" w:pos="540"/>
          <w:tab w:val="left" w:pos="569"/>
        </w:tabs>
        <w:jc w:val="both"/>
        <w:rPr>
          <w:bCs/>
          <w:sz w:val="22"/>
          <w:szCs w:val="22"/>
          <w:lang w:val="sr-Latn-ME"/>
        </w:rPr>
      </w:pPr>
    </w:p>
    <w:p w14:paraId="0C631EE4" w14:textId="77777777" w:rsidR="001160EC" w:rsidRPr="00D95F2B" w:rsidRDefault="001160EC">
      <w:pPr>
        <w:tabs>
          <w:tab w:val="left" w:pos="540"/>
          <w:tab w:val="left" w:pos="569"/>
        </w:tabs>
        <w:jc w:val="both"/>
        <w:rPr>
          <w:bCs/>
          <w:sz w:val="22"/>
          <w:szCs w:val="22"/>
          <w:lang w:val="sr-Latn-ME"/>
        </w:rPr>
      </w:pPr>
      <w:r w:rsidRPr="00D95F2B">
        <w:rPr>
          <w:bCs/>
          <w:sz w:val="22"/>
          <w:szCs w:val="22"/>
          <w:lang w:val="sr-Latn-ME"/>
        </w:rPr>
        <w:t xml:space="preserve">Liraglutid je u </w:t>
      </w:r>
      <w:r w:rsidRPr="00D95F2B">
        <w:rPr>
          <w:bCs/>
          <w:i/>
          <w:iCs/>
          <w:sz w:val="22"/>
          <w:szCs w:val="22"/>
          <w:lang w:val="sr-Latn-ME"/>
        </w:rPr>
        <w:t>in vitro</w:t>
      </w:r>
      <w:r w:rsidRPr="00D95F2B">
        <w:rPr>
          <w:bCs/>
          <w:sz w:val="22"/>
          <w:szCs w:val="22"/>
          <w:lang w:val="sr-Latn-ME"/>
        </w:rPr>
        <w:t xml:space="preserve"> uslovima pokazao veoma mali potencijal za uključivanje u farmakokinetičke interakcije sa drugim aktivnim supstancama vezano za citohrom P450 i vezivanje za proteine plazme.</w:t>
      </w:r>
    </w:p>
    <w:p w14:paraId="51A4B697" w14:textId="77777777" w:rsidR="001160EC" w:rsidRPr="00D95F2B" w:rsidRDefault="001160EC">
      <w:pPr>
        <w:tabs>
          <w:tab w:val="left" w:pos="540"/>
          <w:tab w:val="left" w:pos="569"/>
        </w:tabs>
        <w:jc w:val="both"/>
        <w:rPr>
          <w:bCs/>
          <w:sz w:val="22"/>
          <w:szCs w:val="22"/>
          <w:lang w:val="sr-Latn-ME"/>
        </w:rPr>
      </w:pPr>
    </w:p>
    <w:p w14:paraId="36FDADAD" w14:textId="7CB712C0" w:rsidR="001160EC" w:rsidRPr="00D95F2B" w:rsidRDefault="001160EC">
      <w:pPr>
        <w:tabs>
          <w:tab w:val="left" w:pos="540"/>
          <w:tab w:val="left" w:pos="569"/>
        </w:tabs>
        <w:jc w:val="both"/>
        <w:rPr>
          <w:bCs/>
          <w:sz w:val="22"/>
          <w:szCs w:val="22"/>
          <w:lang w:val="sr-Latn-ME"/>
        </w:rPr>
      </w:pPr>
      <w:r w:rsidRPr="00D95F2B">
        <w:rPr>
          <w:bCs/>
          <w:sz w:val="22"/>
          <w:szCs w:val="22"/>
          <w:lang w:val="sr-Latn-ME"/>
        </w:rPr>
        <w:t>Neznatni zastoj u pražnjenju cr</w:t>
      </w:r>
      <w:r w:rsidR="00AD411B" w:rsidRPr="00D95F2B">
        <w:rPr>
          <w:bCs/>
          <w:sz w:val="22"/>
          <w:szCs w:val="22"/>
          <w:lang w:val="sr-Latn-ME"/>
        </w:rPr>
        <w:t>ij</w:t>
      </w:r>
      <w:r w:rsidRPr="00D95F2B">
        <w:rPr>
          <w:bCs/>
          <w:sz w:val="22"/>
          <w:szCs w:val="22"/>
          <w:lang w:val="sr-Latn-ME"/>
        </w:rPr>
        <w:t>eva pri primjeni liraglutida može da utiče na resorpciju istovremeno oralno prim</w:t>
      </w:r>
      <w:r w:rsidR="00FD514C" w:rsidRPr="00D95F2B">
        <w:rPr>
          <w:bCs/>
          <w:sz w:val="22"/>
          <w:szCs w:val="22"/>
          <w:lang w:val="sr-Latn-ME"/>
        </w:rPr>
        <w:t>i</w:t>
      </w:r>
      <w:r w:rsidRPr="00D95F2B">
        <w:rPr>
          <w:bCs/>
          <w:sz w:val="22"/>
          <w:szCs w:val="22"/>
          <w:lang w:val="sr-Latn-ME"/>
        </w:rPr>
        <w:t>jenjenih lijekova. Studije interakcija ne ukazuju na klinički relevantan zastoj u resorpciji i iz tog razloga nije potrebno korigovanje doze. Nekoliko pacijenata liječenih liraglutidom prijavilo je najmanje jednu epizodu teške dijareje. Dijareja može da utiče na resorpciju istovremeno oralno prim</w:t>
      </w:r>
      <w:r w:rsidR="00BD11C4" w:rsidRPr="00D95F2B">
        <w:rPr>
          <w:bCs/>
          <w:sz w:val="22"/>
          <w:szCs w:val="22"/>
          <w:lang w:val="sr-Latn-ME"/>
        </w:rPr>
        <w:t>i</w:t>
      </w:r>
      <w:r w:rsidRPr="00D95F2B">
        <w:rPr>
          <w:bCs/>
          <w:sz w:val="22"/>
          <w:szCs w:val="22"/>
          <w:lang w:val="sr-Latn-ME"/>
        </w:rPr>
        <w:t>jenjenih lijekova.</w:t>
      </w:r>
    </w:p>
    <w:p w14:paraId="3CFC9220" w14:textId="77777777" w:rsidR="001160EC" w:rsidRPr="00D95F2B" w:rsidRDefault="001160EC" w:rsidP="00720885">
      <w:pPr>
        <w:tabs>
          <w:tab w:val="left" w:pos="540"/>
          <w:tab w:val="left" w:pos="569"/>
        </w:tabs>
        <w:jc w:val="both"/>
        <w:rPr>
          <w:bCs/>
          <w:sz w:val="22"/>
          <w:szCs w:val="22"/>
          <w:lang w:val="sr-Latn-ME"/>
        </w:rPr>
      </w:pPr>
    </w:p>
    <w:p w14:paraId="407EAC05" w14:textId="77777777" w:rsidR="001160EC" w:rsidRPr="00D95F2B" w:rsidRDefault="001160EC" w:rsidP="00720885">
      <w:pPr>
        <w:tabs>
          <w:tab w:val="left" w:pos="540"/>
          <w:tab w:val="left" w:pos="569"/>
        </w:tabs>
        <w:jc w:val="both"/>
        <w:rPr>
          <w:bCs/>
          <w:sz w:val="22"/>
          <w:szCs w:val="22"/>
          <w:u w:val="single"/>
          <w:lang w:val="sr-Latn-ME"/>
        </w:rPr>
      </w:pPr>
      <w:r w:rsidRPr="00D95F2B">
        <w:rPr>
          <w:bCs/>
          <w:sz w:val="22"/>
          <w:szCs w:val="22"/>
          <w:u w:val="single"/>
          <w:lang w:val="sr-Latn-ME"/>
        </w:rPr>
        <w:t>Varfarin i drugi kumarinski derivati</w:t>
      </w:r>
    </w:p>
    <w:p w14:paraId="5699FFDA" w14:textId="77777777" w:rsidR="001160EC" w:rsidRPr="00D95F2B" w:rsidRDefault="001160EC" w:rsidP="00720885">
      <w:pPr>
        <w:tabs>
          <w:tab w:val="left" w:pos="540"/>
          <w:tab w:val="left" w:pos="569"/>
        </w:tabs>
        <w:jc w:val="both"/>
        <w:rPr>
          <w:bCs/>
          <w:sz w:val="22"/>
          <w:szCs w:val="22"/>
          <w:lang w:val="sr-Latn-ME"/>
        </w:rPr>
      </w:pPr>
    </w:p>
    <w:p w14:paraId="2D1A3799" w14:textId="50F1DBC7" w:rsidR="001160EC" w:rsidRDefault="001160EC" w:rsidP="00AB551E">
      <w:pPr>
        <w:tabs>
          <w:tab w:val="left" w:pos="540"/>
          <w:tab w:val="left" w:pos="569"/>
        </w:tabs>
        <w:jc w:val="both"/>
        <w:rPr>
          <w:bCs/>
          <w:sz w:val="22"/>
          <w:szCs w:val="22"/>
          <w:lang w:val="sr-Latn-ME"/>
        </w:rPr>
      </w:pPr>
      <w:r w:rsidRPr="00D95F2B">
        <w:rPr>
          <w:bCs/>
          <w:sz w:val="22"/>
          <w:szCs w:val="22"/>
          <w:lang w:val="sr-Latn-ME"/>
        </w:rPr>
        <w:t xml:space="preserve">Ispitivanja interakcija nijesu sprovedena. Ne može se isključiti klinički relevantna interakcija sa aktivnim supstancama slabe rastvorljivosti ili uskog terapijskog indeksa kao što je varfarin. Preporučuje </w:t>
      </w:r>
      <w:r w:rsidRPr="00D95F2B">
        <w:rPr>
          <w:bCs/>
          <w:sz w:val="22"/>
          <w:szCs w:val="22"/>
          <w:lang w:val="sr-Latn-ME"/>
        </w:rPr>
        <w:lastRenderedPageBreak/>
        <w:t>se češće praćenje INR-a (</w:t>
      </w:r>
      <w:r w:rsidRPr="00D95F2B">
        <w:rPr>
          <w:bCs/>
          <w:i/>
          <w:sz w:val="22"/>
          <w:szCs w:val="22"/>
          <w:lang w:val="sr-Latn-ME"/>
        </w:rPr>
        <w:t>International Normalised Ratio</w:t>
      </w:r>
      <w:r w:rsidRPr="00D95F2B">
        <w:rPr>
          <w:bCs/>
          <w:sz w:val="22"/>
          <w:szCs w:val="22"/>
          <w:lang w:val="sr-Latn-ME"/>
        </w:rPr>
        <w:t>) po započinjanju liječenja liraglutidom pacijenata koji su na terapiji varfarinom ili drugim kumarinskim derivatima.</w:t>
      </w:r>
    </w:p>
    <w:p w14:paraId="6989428C" w14:textId="77777777" w:rsidR="00D95F2B" w:rsidRPr="00D95F2B" w:rsidRDefault="00D95F2B" w:rsidP="00AB551E">
      <w:pPr>
        <w:tabs>
          <w:tab w:val="left" w:pos="540"/>
          <w:tab w:val="left" w:pos="569"/>
        </w:tabs>
        <w:jc w:val="both"/>
        <w:rPr>
          <w:bCs/>
          <w:sz w:val="22"/>
          <w:szCs w:val="22"/>
          <w:lang w:val="sr-Latn-ME"/>
        </w:rPr>
      </w:pPr>
    </w:p>
    <w:p w14:paraId="61D3BD06"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Paracetamol</w:t>
      </w:r>
    </w:p>
    <w:p w14:paraId="13078439" w14:textId="77777777" w:rsidR="001160EC" w:rsidRPr="00D95F2B" w:rsidRDefault="001160EC" w:rsidP="001160EC">
      <w:pPr>
        <w:tabs>
          <w:tab w:val="left" w:pos="540"/>
          <w:tab w:val="left" w:pos="569"/>
        </w:tabs>
        <w:rPr>
          <w:bCs/>
          <w:sz w:val="22"/>
          <w:szCs w:val="22"/>
          <w:lang w:val="sr-Latn-ME"/>
        </w:rPr>
      </w:pPr>
    </w:p>
    <w:p w14:paraId="2268278C" w14:textId="77777777"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Liraglutid nije uticao na ukupnu raspoloživost paracetamola nakon primjene jedne doze od 1000 mg. C</w:t>
      </w:r>
      <w:r w:rsidRPr="00D95F2B">
        <w:rPr>
          <w:bCs/>
          <w:sz w:val="22"/>
          <w:szCs w:val="22"/>
          <w:vertAlign w:val="subscript"/>
          <w:lang w:val="sr-Latn-ME"/>
        </w:rPr>
        <w:t>max</w:t>
      </w:r>
      <w:r w:rsidRPr="00D95F2B">
        <w:rPr>
          <w:bCs/>
          <w:sz w:val="22"/>
          <w:szCs w:val="22"/>
          <w:lang w:val="sr-Latn-ME"/>
        </w:rPr>
        <w:t xml:space="preserve"> paracetamola je bila smanjena za 31%, a srednje t</w:t>
      </w:r>
      <w:r w:rsidR="00521B83" w:rsidRPr="00D95F2B">
        <w:rPr>
          <w:bCs/>
          <w:sz w:val="22"/>
          <w:szCs w:val="22"/>
          <w:vertAlign w:val="subscript"/>
          <w:lang w:val="sr-Latn-ME"/>
        </w:rPr>
        <w:t>max</w:t>
      </w:r>
      <w:r w:rsidRPr="00D95F2B">
        <w:rPr>
          <w:bCs/>
          <w:sz w:val="22"/>
          <w:szCs w:val="22"/>
          <w:lang w:val="sr-Latn-ME"/>
        </w:rPr>
        <w:t xml:space="preserve"> je bilo odloženo do 15 min. Nije potrebno podešavanje doze prilikom istovremene primjene sa paracetamolom.</w:t>
      </w:r>
    </w:p>
    <w:p w14:paraId="10C1D91D" w14:textId="77777777" w:rsidR="001160EC" w:rsidRPr="00D95F2B" w:rsidRDefault="001160EC" w:rsidP="001160EC">
      <w:pPr>
        <w:tabs>
          <w:tab w:val="left" w:pos="540"/>
          <w:tab w:val="left" w:pos="569"/>
        </w:tabs>
        <w:rPr>
          <w:bCs/>
          <w:sz w:val="22"/>
          <w:szCs w:val="22"/>
          <w:lang w:val="sr-Latn-ME"/>
        </w:rPr>
      </w:pPr>
    </w:p>
    <w:p w14:paraId="77B2EA4D"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 xml:space="preserve">Atorvastatin </w:t>
      </w:r>
    </w:p>
    <w:p w14:paraId="25D371BA" w14:textId="77777777" w:rsidR="001160EC" w:rsidRPr="00D95F2B" w:rsidRDefault="001160EC" w:rsidP="001160EC">
      <w:pPr>
        <w:tabs>
          <w:tab w:val="left" w:pos="540"/>
          <w:tab w:val="left" w:pos="569"/>
        </w:tabs>
        <w:rPr>
          <w:bCs/>
          <w:sz w:val="22"/>
          <w:szCs w:val="22"/>
          <w:lang w:val="sr-Latn-ME"/>
        </w:rPr>
      </w:pPr>
    </w:p>
    <w:p w14:paraId="3BBEB9D2" w14:textId="578921F4"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Liraglutid nije uticao na ukupnu </w:t>
      </w:r>
      <w:r w:rsidR="0012459D" w:rsidRPr="00D95F2B">
        <w:rPr>
          <w:bCs/>
          <w:sz w:val="22"/>
          <w:szCs w:val="22"/>
          <w:lang w:val="sr-Latn-ME"/>
        </w:rPr>
        <w:t>izloženost</w:t>
      </w:r>
      <w:r w:rsidRPr="00D95F2B">
        <w:rPr>
          <w:bCs/>
          <w:sz w:val="22"/>
          <w:szCs w:val="22"/>
          <w:lang w:val="sr-Latn-ME"/>
        </w:rPr>
        <w:t xml:space="preserve"> atorvastatina do klinički relevantnog stepena nakon primjene jedne doze atorvastatina od 40 mg. Stoga, nije potrebno podešavanje doze atorvastatina kada se istovremeno primjenjuje sa liraglutidom. C</w:t>
      </w:r>
      <w:r w:rsidR="00521B83" w:rsidRPr="00D95F2B">
        <w:rPr>
          <w:bCs/>
          <w:sz w:val="22"/>
          <w:szCs w:val="22"/>
          <w:vertAlign w:val="subscript"/>
          <w:lang w:val="sr-Latn-ME"/>
        </w:rPr>
        <w:t>max</w:t>
      </w:r>
      <w:r w:rsidRPr="00D95F2B">
        <w:rPr>
          <w:bCs/>
          <w:sz w:val="22"/>
          <w:szCs w:val="22"/>
          <w:lang w:val="sr-Latn-ME"/>
        </w:rPr>
        <w:t xml:space="preserve"> atorvastatina bila je smanjena za 38%, a srednje t</w:t>
      </w:r>
      <w:r w:rsidR="00521B83" w:rsidRPr="00D95F2B">
        <w:rPr>
          <w:bCs/>
          <w:sz w:val="22"/>
          <w:szCs w:val="22"/>
          <w:vertAlign w:val="subscript"/>
          <w:lang w:val="sr-Latn-ME"/>
        </w:rPr>
        <w:t>max</w:t>
      </w:r>
      <w:r w:rsidRPr="00D95F2B">
        <w:rPr>
          <w:bCs/>
          <w:sz w:val="22"/>
          <w:szCs w:val="22"/>
          <w:lang w:val="sr-Latn-ME"/>
        </w:rPr>
        <w:t xml:space="preserve"> je bilo produženo sa 1h na 3h prilikom istovremene primjene sa liraglutidom.</w:t>
      </w:r>
    </w:p>
    <w:p w14:paraId="1EEB918C" w14:textId="77777777" w:rsidR="001160EC" w:rsidRPr="00D95F2B" w:rsidRDefault="001160EC" w:rsidP="00480FB1">
      <w:pPr>
        <w:tabs>
          <w:tab w:val="left" w:pos="540"/>
          <w:tab w:val="left" w:pos="569"/>
        </w:tabs>
        <w:rPr>
          <w:bCs/>
          <w:sz w:val="22"/>
          <w:szCs w:val="22"/>
          <w:lang w:val="sr-Latn-ME"/>
        </w:rPr>
      </w:pPr>
    </w:p>
    <w:p w14:paraId="4E3B5CAF"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Grizeofulvin</w:t>
      </w:r>
    </w:p>
    <w:p w14:paraId="565F8196" w14:textId="77777777" w:rsidR="001160EC" w:rsidRPr="00D95F2B" w:rsidRDefault="001160EC" w:rsidP="001160EC">
      <w:pPr>
        <w:tabs>
          <w:tab w:val="left" w:pos="540"/>
          <w:tab w:val="left" w:pos="569"/>
        </w:tabs>
        <w:rPr>
          <w:bCs/>
          <w:sz w:val="22"/>
          <w:szCs w:val="22"/>
          <w:lang w:val="sr-Latn-ME"/>
        </w:rPr>
      </w:pPr>
    </w:p>
    <w:p w14:paraId="28FB336E" w14:textId="4E589C78"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Liraglutid nije uticao na ukupnu </w:t>
      </w:r>
      <w:r w:rsidR="0012459D" w:rsidRPr="00D95F2B">
        <w:rPr>
          <w:bCs/>
          <w:sz w:val="22"/>
          <w:szCs w:val="22"/>
          <w:lang w:val="sr-Latn-ME"/>
        </w:rPr>
        <w:t xml:space="preserve">izloženost </w:t>
      </w:r>
      <w:r w:rsidRPr="00D95F2B">
        <w:rPr>
          <w:bCs/>
          <w:sz w:val="22"/>
          <w:szCs w:val="22"/>
          <w:lang w:val="sr-Latn-ME"/>
        </w:rPr>
        <w:t>grizeofulvina nakon primjene jedne doze grizeofulvina od 500 mg. C</w:t>
      </w:r>
      <w:r w:rsidR="00521B83" w:rsidRPr="00D95F2B">
        <w:rPr>
          <w:bCs/>
          <w:sz w:val="22"/>
          <w:szCs w:val="22"/>
          <w:vertAlign w:val="subscript"/>
          <w:lang w:val="sr-Latn-ME"/>
        </w:rPr>
        <w:t>max</w:t>
      </w:r>
      <w:r w:rsidRPr="00D95F2B">
        <w:rPr>
          <w:bCs/>
          <w:sz w:val="22"/>
          <w:szCs w:val="22"/>
          <w:lang w:val="sr-Latn-ME"/>
        </w:rPr>
        <w:t xml:space="preserve"> grizeofulvina bila je povećana za 37%, dok se </w:t>
      </w:r>
      <w:r w:rsidR="00C240C8" w:rsidRPr="00D95F2B">
        <w:rPr>
          <w:bCs/>
          <w:sz w:val="22"/>
          <w:szCs w:val="22"/>
          <w:lang w:val="sr-Latn-ME"/>
        </w:rPr>
        <w:t xml:space="preserve">medijana </w:t>
      </w:r>
      <w:r w:rsidRPr="00D95F2B">
        <w:rPr>
          <w:bCs/>
          <w:sz w:val="22"/>
          <w:szCs w:val="22"/>
          <w:lang w:val="sr-Latn-ME"/>
        </w:rPr>
        <w:t>t</w:t>
      </w:r>
      <w:r w:rsidR="00521B83" w:rsidRPr="00D95F2B">
        <w:rPr>
          <w:bCs/>
          <w:sz w:val="22"/>
          <w:szCs w:val="22"/>
          <w:vertAlign w:val="subscript"/>
          <w:lang w:val="sr-Latn-ME"/>
        </w:rPr>
        <w:t>max</w:t>
      </w:r>
      <w:r w:rsidRPr="00D95F2B">
        <w:rPr>
          <w:bCs/>
          <w:sz w:val="22"/>
          <w:szCs w:val="22"/>
          <w:lang w:val="sr-Latn-ME"/>
        </w:rPr>
        <w:t xml:space="preserve"> nije prom</w:t>
      </w:r>
      <w:r w:rsidR="00C240C8" w:rsidRPr="00D95F2B">
        <w:rPr>
          <w:bCs/>
          <w:sz w:val="22"/>
          <w:szCs w:val="22"/>
          <w:lang w:val="sr-Latn-ME"/>
        </w:rPr>
        <w:t>i</w:t>
      </w:r>
      <w:r w:rsidRPr="00D95F2B">
        <w:rPr>
          <w:bCs/>
          <w:sz w:val="22"/>
          <w:szCs w:val="22"/>
          <w:lang w:val="sr-Latn-ME"/>
        </w:rPr>
        <w:t xml:space="preserve">jenila. Nije potrebno </w:t>
      </w:r>
      <w:r w:rsidR="0012459D" w:rsidRPr="00D95F2B">
        <w:rPr>
          <w:bCs/>
          <w:sz w:val="22"/>
          <w:szCs w:val="22"/>
          <w:lang w:val="sr-Latn-ME"/>
        </w:rPr>
        <w:t xml:space="preserve">prilagođavanje </w:t>
      </w:r>
      <w:r w:rsidRPr="00D95F2B">
        <w:rPr>
          <w:bCs/>
          <w:sz w:val="22"/>
          <w:szCs w:val="22"/>
          <w:lang w:val="sr-Latn-ME"/>
        </w:rPr>
        <w:t>doze grizeofulvina, kao ni drugih jedinjenja male rastvorljivosti i visoke permeabilnosti.</w:t>
      </w:r>
    </w:p>
    <w:p w14:paraId="47F0D7EE" w14:textId="77777777" w:rsidR="001160EC" w:rsidRPr="00D95F2B" w:rsidRDefault="001160EC" w:rsidP="001160EC">
      <w:pPr>
        <w:tabs>
          <w:tab w:val="left" w:pos="540"/>
          <w:tab w:val="left" w:pos="569"/>
        </w:tabs>
        <w:rPr>
          <w:bCs/>
          <w:sz w:val="22"/>
          <w:szCs w:val="22"/>
          <w:lang w:val="sr-Latn-ME"/>
        </w:rPr>
      </w:pPr>
    </w:p>
    <w:p w14:paraId="7D989E8C"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Digoksin</w:t>
      </w:r>
    </w:p>
    <w:p w14:paraId="63075FF0" w14:textId="77777777" w:rsidR="001160EC" w:rsidRPr="00D95F2B" w:rsidRDefault="001160EC" w:rsidP="001160EC">
      <w:pPr>
        <w:tabs>
          <w:tab w:val="left" w:pos="540"/>
          <w:tab w:val="left" w:pos="569"/>
        </w:tabs>
        <w:rPr>
          <w:bCs/>
          <w:sz w:val="22"/>
          <w:szCs w:val="22"/>
          <w:lang w:val="sr-Latn-ME"/>
        </w:rPr>
      </w:pPr>
    </w:p>
    <w:p w14:paraId="2CF8566D" w14:textId="7DAF0FBD"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Primjena jedne doze digoksina od 1 mg sa liraglutidom dovela je do smanjenja površine ispod krive (</w:t>
      </w:r>
      <w:r w:rsidR="0012459D" w:rsidRPr="00D95F2B">
        <w:rPr>
          <w:bCs/>
          <w:sz w:val="22"/>
          <w:szCs w:val="22"/>
          <w:lang w:val="sr-Latn-ME"/>
        </w:rPr>
        <w:t>PIK</w:t>
      </w:r>
      <w:r w:rsidRPr="00D95F2B">
        <w:rPr>
          <w:bCs/>
          <w:sz w:val="22"/>
          <w:szCs w:val="22"/>
          <w:lang w:val="sr-Latn-ME"/>
        </w:rPr>
        <w:t>) digoksina za 16%; C</w:t>
      </w:r>
      <w:r w:rsidR="00521B83" w:rsidRPr="00D95F2B">
        <w:rPr>
          <w:bCs/>
          <w:sz w:val="22"/>
          <w:szCs w:val="22"/>
          <w:vertAlign w:val="subscript"/>
          <w:lang w:val="sr-Latn-ME"/>
        </w:rPr>
        <w:t>max</w:t>
      </w:r>
      <w:r w:rsidRPr="00D95F2B">
        <w:rPr>
          <w:bCs/>
          <w:sz w:val="22"/>
          <w:szCs w:val="22"/>
          <w:lang w:val="sr-Latn-ME"/>
        </w:rPr>
        <w:t xml:space="preserve"> je bila smanjena za 31%. </w:t>
      </w:r>
      <w:r w:rsidR="00087009" w:rsidRPr="00D95F2B">
        <w:rPr>
          <w:bCs/>
          <w:sz w:val="22"/>
          <w:szCs w:val="22"/>
          <w:lang w:val="sr-Latn-ME"/>
        </w:rPr>
        <w:t xml:space="preserve">Medijana </w:t>
      </w:r>
      <w:r w:rsidRPr="00D95F2B">
        <w:rPr>
          <w:bCs/>
          <w:sz w:val="22"/>
          <w:szCs w:val="22"/>
          <w:lang w:val="sr-Latn-ME"/>
        </w:rPr>
        <w:t>t</w:t>
      </w:r>
      <w:r w:rsidR="00521B83" w:rsidRPr="00D95F2B">
        <w:rPr>
          <w:bCs/>
          <w:sz w:val="22"/>
          <w:szCs w:val="22"/>
          <w:vertAlign w:val="subscript"/>
          <w:lang w:val="sr-Latn-ME"/>
        </w:rPr>
        <w:t>max</w:t>
      </w:r>
      <w:r w:rsidRPr="00D95F2B">
        <w:rPr>
          <w:bCs/>
          <w:sz w:val="22"/>
          <w:szCs w:val="22"/>
          <w:lang w:val="sr-Latn-ME"/>
        </w:rPr>
        <w:t xml:space="preserve"> digoksina je </w:t>
      </w:r>
      <w:r w:rsidR="00087009" w:rsidRPr="00D95F2B">
        <w:rPr>
          <w:bCs/>
          <w:sz w:val="22"/>
          <w:szCs w:val="22"/>
          <w:lang w:val="sr-Latn-ME"/>
        </w:rPr>
        <w:t xml:space="preserve">bila produžena </w:t>
      </w:r>
      <w:r w:rsidRPr="00D95F2B">
        <w:rPr>
          <w:bCs/>
          <w:sz w:val="22"/>
          <w:szCs w:val="22"/>
          <w:lang w:val="sr-Latn-ME"/>
        </w:rPr>
        <w:t>sa 1h na 1,5</w:t>
      </w:r>
      <w:r w:rsidR="00116A7B" w:rsidRPr="00D95F2B">
        <w:rPr>
          <w:bCs/>
          <w:sz w:val="22"/>
          <w:szCs w:val="22"/>
          <w:lang w:val="sr-Latn-ME"/>
        </w:rPr>
        <w:t xml:space="preserve"> </w:t>
      </w:r>
      <w:r w:rsidRPr="00D95F2B">
        <w:rPr>
          <w:bCs/>
          <w:sz w:val="22"/>
          <w:szCs w:val="22"/>
          <w:lang w:val="sr-Latn-ME"/>
        </w:rPr>
        <w:t xml:space="preserve">h. Na osnovu ovih rezultata nije potrebno </w:t>
      </w:r>
      <w:r w:rsidR="0012459D" w:rsidRPr="00D95F2B">
        <w:rPr>
          <w:bCs/>
          <w:sz w:val="22"/>
          <w:szCs w:val="22"/>
          <w:lang w:val="sr-Latn-ME"/>
        </w:rPr>
        <w:t>prilagođavanje</w:t>
      </w:r>
      <w:r w:rsidRPr="00D95F2B">
        <w:rPr>
          <w:bCs/>
          <w:sz w:val="22"/>
          <w:szCs w:val="22"/>
          <w:lang w:val="sr-Latn-ME"/>
        </w:rPr>
        <w:t xml:space="preserve"> doze digoksina.</w:t>
      </w:r>
    </w:p>
    <w:p w14:paraId="4E185E13" w14:textId="77777777" w:rsidR="001160EC" w:rsidRPr="00D95F2B" w:rsidRDefault="001160EC" w:rsidP="001160EC">
      <w:pPr>
        <w:tabs>
          <w:tab w:val="left" w:pos="540"/>
          <w:tab w:val="left" w:pos="569"/>
        </w:tabs>
        <w:rPr>
          <w:bCs/>
          <w:sz w:val="22"/>
          <w:szCs w:val="22"/>
          <w:lang w:val="sr-Latn-ME"/>
        </w:rPr>
      </w:pPr>
    </w:p>
    <w:p w14:paraId="17DDEDE0"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Lizinopril</w:t>
      </w:r>
    </w:p>
    <w:p w14:paraId="37FB5E3A" w14:textId="77777777" w:rsidR="001160EC" w:rsidRPr="00D95F2B" w:rsidRDefault="001160EC" w:rsidP="001160EC">
      <w:pPr>
        <w:tabs>
          <w:tab w:val="left" w:pos="540"/>
          <w:tab w:val="left" w:pos="569"/>
        </w:tabs>
        <w:rPr>
          <w:bCs/>
          <w:sz w:val="22"/>
          <w:szCs w:val="22"/>
          <w:lang w:val="sr-Latn-ME"/>
        </w:rPr>
      </w:pPr>
    </w:p>
    <w:p w14:paraId="415AA539" w14:textId="71EF29B0"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Primjena jedne doze lizinoprila od 20 mg sa liraglutidom dovela je do smanjenja površine ispod krive (</w:t>
      </w:r>
      <w:r w:rsidR="0012459D" w:rsidRPr="00D95F2B">
        <w:rPr>
          <w:bCs/>
          <w:sz w:val="22"/>
          <w:szCs w:val="22"/>
          <w:lang w:val="sr-Latn-ME"/>
        </w:rPr>
        <w:t>PIK</w:t>
      </w:r>
      <w:r w:rsidRPr="00D95F2B">
        <w:rPr>
          <w:bCs/>
          <w:sz w:val="22"/>
          <w:szCs w:val="22"/>
          <w:lang w:val="sr-Latn-ME"/>
        </w:rPr>
        <w:t>) lizinoprila za 15%; C</w:t>
      </w:r>
      <w:r w:rsidR="00521B83" w:rsidRPr="00D95F2B">
        <w:rPr>
          <w:bCs/>
          <w:sz w:val="22"/>
          <w:szCs w:val="22"/>
          <w:vertAlign w:val="subscript"/>
          <w:lang w:val="sr-Latn-ME"/>
        </w:rPr>
        <w:t>max</w:t>
      </w:r>
      <w:r w:rsidRPr="00D95F2B">
        <w:rPr>
          <w:bCs/>
          <w:sz w:val="22"/>
          <w:szCs w:val="22"/>
          <w:lang w:val="sr-Latn-ME"/>
        </w:rPr>
        <w:t xml:space="preserve"> je bila smanjena za 27%. </w:t>
      </w:r>
      <w:r w:rsidR="00087009" w:rsidRPr="00D95F2B">
        <w:rPr>
          <w:bCs/>
          <w:sz w:val="22"/>
          <w:szCs w:val="22"/>
          <w:lang w:val="sr-Latn-ME"/>
        </w:rPr>
        <w:t>Medijana</w:t>
      </w:r>
      <w:r w:rsidRPr="00D95F2B">
        <w:rPr>
          <w:bCs/>
          <w:sz w:val="22"/>
          <w:szCs w:val="22"/>
          <w:lang w:val="sr-Latn-ME"/>
        </w:rPr>
        <w:t xml:space="preserve"> t</w:t>
      </w:r>
      <w:r w:rsidR="00521B83" w:rsidRPr="00D95F2B">
        <w:rPr>
          <w:bCs/>
          <w:sz w:val="22"/>
          <w:szCs w:val="22"/>
          <w:vertAlign w:val="subscript"/>
          <w:lang w:val="sr-Latn-ME"/>
        </w:rPr>
        <w:t>max</w:t>
      </w:r>
      <w:r w:rsidRPr="00D95F2B">
        <w:rPr>
          <w:bCs/>
          <w:sz w:val="22"/>
          <w:szCs w:val="22"/>
          <w:lang w:val="sr-Latn-ME"/>
        </w:rPr>
        <w:t xml:space="preserve"> lizinoprila </w:t>
      </w:r>
      <w:r w:rsidR="00087009" w:rsidRPr="00D95F2B">
        <w:rPr>
          <w:bCs/>
          <w:sz w:val="22"/>
          <w:szCs w:val="22"/>
          <w:lang w:val="sr-Latn-ME"/>
        </w:rPr>
        <w:t xml:space="preserve">bila </w:t>
      </w:r>
      <w:r w:rsidRPr="00D95F2B">
        <w:rPr>
          <w:bCs/>
          <w:sz w:val="22"/>
          <w:szCs w:val="22"/>
          <w:lang w:val="sr-Latn-ME"/>
        </w:rPr>
        <w:t xml:space="preserve">je </w:t>
      </w:r>
      <w:r w:rsidR="00087009" w:rsidRPr="00D95F2B">
        <w:rPr>
          <w:bCs/>
          <w:sz w:val="22"/>
          <w:szCs w:val="22"/>
          <w:lang w:val="sr-Latn-ME"/>
        </w:rPr>
        <w:t xml:space="preserve">produžena </w:t>
      </w:r>
      <w:r w:rsidRPr="00D95F2B">
        <w:rPr>
          <w:bCs/>
          <w:sz w:val="22"/>
          <w:szCs w:val="22"/>
          <w:lang w:val="sr-Latn-ME"/>
        </w:rPr>
        <w:t>sa 6</w:t>
      </w:r>
      <w:r w:rsidR="00116A7B" w:rsidRPr="00D95F2B">
        <w:rPr>
          <w:bCs/>
          <w:sz w:val="22"/>
          <w:szCs w:val="22"/>
          <w:lang w:val="sr-Latn-ME"/>
        </w:rPr>
        <w:t xml:space="preserve"> </w:t>
      </w:r>
      <w:r w:rsidRPr="00D95F2B">
        <w:rPr>
          <w:bCs/>
          <w:sz w:val="22"/>
          <w:szCs w:val="22"/>
          <w:lang w:val="sr-Latn-ME"/>
        </w:rPr>
        <w:t>h na 8</w:t>
      </w:r>
      <w:r w:rsidR="00116A7B" w:rsidRPr="00D95F2B">
        <w:rPr>
          <w:bCs/>
          <w:sz w:val="22"/>
          <w:szCs w:val="22"/>
          <w:lang w:val="sr-Latn-ME"/>
        </w:rPr>
        <w:t xml:space="preserve"> </w:t>
      </w:r>
      <w:r w:rsidRPr="00D95F2B">
        <w:rPr>
          <w:bCs/>
          <w:sz w:val="22"/>
          <w:szCs w:val="22"/>
          <w:lang w:val="sr-Latn-ME"/>
        </w:rPr>
        <w:t xml:space="preserve">h prilikom istovremene primjene sa liraglutidom. Na osnovu ovih rezultata nije potrebno podešavanje doze lizinoprila. </w:t>
      </w:r>
    </w:p>
    <w:p w14:paraId="4D81407E" w14:textId="77777777" w:rsidR="001160EC" w:rsidRPr="00D95F2B" w:rsidRDefault="001160EC" w:rsidP="001160EC">
      <w:pPr>
        <w:tabs>
          <w:tab w:val="left" w:pos="540"/>
          <w:tab w:val="left" w:pos="569"/>
        </w:tabs>
        <w:rPr>
          <w:bCs/>
          <w:sz w:val="22"/>
          <w:szCs w:val="22"/>
          <w:lang w:val="sr-Latn-ME"/>
        </w:rPr>
      </w:pPr>
    </w:p>
    <w:p w14:paraId="7293F1DE" w14:textId="0FAAF390"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Oralni kontraceptivni ljekovi</w:t>
      </w:r>
    </w:p>
    <w:p w14:paraId="30B2D885" w14:textId="77777777" w:rsidR="001160EC" w:rsidRPr="00D95F2B" w:rsidRDefault="001160EC" w:rsidP="001160EC">
      <w:pPr>
        <w:tabs>
          <w:tab w:val="left" w:pos="540"/>
          <w:tab w:val="left" w:pos="569"/>
        </w:tabs>
        <w:rPr>
          <w:bCs/>
          <w:sz w:val="22"/>
          <w:szCs w:val="22"/>
          <w:lang w:val="sr-Latn-ME"/>
        </w:rPr>
      </w:pPr>
    </w:p>
    <w:p w14:paraId="58293E5B" w14:textId="2C4E84D3"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Liraglutid je uticao na smanjenje C</w:t>
      </w:r>
      <w:r w:rsidR="00521B83" w:rsidRPr="00D95F2B">
        <w:rPr>
          <w:bCs/>
          <w:sz w:val="22"/>
          <w:szCs w:val="22"/>
          <w:vertAlign w:val="subscript"/>
          <w:lang w:val="sr-Latn-ME"/>
        </w:rPr>
        <w:t>max</w:t>
      </w:r>
      <w:r w:rsidRPr="00D95F2B">
        <w:rPr>
          <w:bCs/>
          <w:sz w:val="22"/>
          <w:szCs w:val="22"/>
          <w:lang w:val="sr-Latn-ME"/>
        </w:rPr>
        <w:t xml:space="preserve"> etinilestradiola i levonorgestrela za 12%, odnosno 13%, nakon oralne primjene jedne doze kontraceptivnog lijeka. T</w:t>
      </w:r>
      <w:r w:rsidR="00521B83" w:rsidRPr="00D95F2B">
        <w:rPr>
          <w:bCs/>
          <w:sz w:val="22"/>
          <w:szCs w:val="22"/>
          <w:vertAlign w:val="subscript"/>
          <w:lang w:val="sr-Latn-ME"/>
        </w:rPr>
        <w:t>max</w:t>
      </w:r>
      <w:r w:rsidRPr="00D95F2B">
        <w:rPr>
          <w:bCs/>
          <w:sz w:val="22"/>
          <w:szCs w:val="22"/>
          <w:lang w:val="sr-Latn-ME"/>
        </w:rPr>
        <w:t xml:space="preserve"> je odloženo za 1,5</w:t>
      </w:r>
      <w:r w:rsidR="00116A7B" w:rsidRPr="00D95F2B">
        <w:rPr>
          <w:bCs/>
          <w:sz w:val="22"/>
          <w:szCs w:val="22"/>
          <w:lang w:val="sr-Latn-ME"/>
        </w:rPr>
        <w:t xml:space="preserve"> </w:t>
      </w:r>
      <w:r w:rsidRPr="00D95F2B">
        <w:rPr>
          <w:bCs/>
          <w:sz w:val="22"/>
          <w:szCs w:val="22"/>
          <w:lang w:val="sr-Latn-ME"/>
        </w:rPr>
        <w:t xml:space="preserve">h u oba slučaja istovremene primjene sa liraglutidom. Nije utvrđen klinički relevantan uticaj na ukupnu </w:t>
      </w:r>
      <w:r w:rsidR="0012459D" w:rsidRPr="00D95F2B">
        <w:rPr>
          <w:bCs/>
          <w:sz w:val="22"/>
          <w:szCs w:val="22"/>
          <w:lang w:val="sr-Latn-ME"/>
        </w:rPr>
        <w:t>izloženost</w:t>
      </w:r>
      <w:r w:rsidRPr="00D95F2B">
        <w:rPr>
          <w:bCs/>
          <w:sz w:val="22"/>
          <w:szCs w:val="22"/>
          <w:lang w:val="sr-Latn-ME"/>
        </w:rPr>
        <w:t xml:space="preserve"> bilo etinilestradiola, ili levonorgestrela, pa se stoga može očekivati da istovremena primjena ovih supstanci sa liraglutidom nema uticaja na kontraceptivni efekat.</w:t>
      </w:r>
    </w:p>
    <w:p w14:paraId="414A134F" w14:textId="77777777" w:rsidR="001160EC" w:rsidRPr="00D95F2B" w:rsidRDefault="001160EC" w:rsidP="001160EC">
      <w:pPr>
        <w:tabs>
          <w:tab w:val="left" w:pos="540"/>
          <w:tab w:val="left" w:pos="569"/>
        </w:tabs>
        <w:rPr>
          <w:bCs/>
          <w:sz w:val="22"/>
          <w:szCs w:val="22"/>
          <w:lang w:val="sr-Latn-ME"/>
        </w:rPr>
      </w:pPr>
    </w:p>
    <w:p w14:paraId="51D386E7" w14:textId="77777777" w:rsidR="001160EC" w:rsidRPr="00D95F2B" w:rsidRDefault="001160EC" w:rsidP="001160EC">
      <w:pPr>
        <w:tabs>
          <w:tab w:val="left" w:pos="540"/>
          <w:tab w:val="left" w:pos="569"/>
        </w:tabs>
        <w:rPr>
          <w:bCs/>
          <w:sz w:val="22"/>
          <w:szCs w:val="22"/>
          <w:u w:val="single"/>
          <w:lang w:val="sr-Latn-ME"/>
        </w:rPr>
      </w:pPr>
      <w:r w:rsidRPr="00D95F2B">
        <w:rPr>
          <w:bCs/>
          <w:sz w:val="22"/>
          <w:szCs w:val="22"/>
          <w:u w:val="single"/>
          <w:lang w:val="sr-Latn-ME"/>
        </w:rPr>
        <w:t>Insulin</w:t>
      </w:r>
    </w:p>
    <w:p w14:paraId="3AEB3784" w14:textId="77777777" w:rsidR="001160EC" w:rsidRPr="00D95F2B" w:rsidRDefault="001160EC" w:rsidP="001160EC">
      <w:pPr>
        <w:tabs>
          <w:tab w:val="left" w:pos="540"/>
          <w:tab w:val="left" w:pos="569"/>
        </w:tabs>
        <w:rPr>
          <w:bCs/>
          <w:sz w:val="22"/>
          <w:szCs w:val="22"/>
          <w:lang w:val="sr-Latn-ME"/>
        </w:rPr>
      </w:pPr>
    </w:p>
    <w:p w14:paraId="6CBD967F" w14:textId="61CA974A" w:rsidR="001160EC" w:rsidRPr="00D95F2B" w:rsidRDefault="001160EC" w:rsidP="00AB551E">
      <w:pPr>
        <w:tabs>
          <w:tab w:val="left" w:pos="540"/>
          <w:tab w:val="left" w:pos="569"/>
        </w:tabs>
        <w:jc w:val="both"/>
        <w:rPr>
          <w:bCs/>
          <w:sz w:val="22"/>
          <w:szCs w:val="22"/>
          <w:lang w:val="sr-Latn-ME"/>
        </w:rPr>
      </w:pPr>
      <w:r w:rsidRPr="00D95F2B">
        <w:rPr>
          <w:bCs/>
          <w:sz w:val="22"/>
          <w:szCs w:val="22"/>
          <w:lang w:val="sr-Latn-ME"/>
        </w:rPr>
        <w:t xml:space="preserve">Kod pacijenata sa dijabetesom tip 2 nijesu zapažene ni farmakokinetičke, ni farmakodinamske interakcije između liraglutida i insulin detemira prilikom primjene jedne doze insulin detemira od 0,5 </w:t>
      </w:r>
      <w:r w:rsidR="00AB551E" w:rsidRPr="00D95F2B">
        <w:rPr>
          <w:bCs/>
          <w:sz w:val="22"/>
          <w:szCs w:val="22"/>
          <w:lang w:val="sr-Latn-ME"/>
        </w:rPr>
        <w:t>j.</w:t>
      </w:r>
      <w:r w:rsidRPr="00D95F2B">
        <w:rPr>
          <w:bCs/>
          <w:sz w:val="22"/>
          <w:szCs w:val="22"/>
          <w:lang w:val="sr-Latn-ME"/>
        </w:rPr>
        <w:t>/kg sa 1</w:t>
      </w:r>
      <w:r w:rsidR="009B0A14" w:rsidRPr="00D95F2B">
        <w:rPr>
          <w:bCs/>
          <w:sz w:val="22"/>
          <w:szCs w:val="22"/>
          <w:lang w:val="sr-Latn-ME"/>
        </w:rPr>
        <w:t>,</w:t>
      </w:r>
      <w:r w:rsidRPr="00D95F2B">
        <w:rPr>
          <w:bCs/>
          <w:sz w:val="22"/>
          <w:szCs w:val="22"/>
          <w:lang w:val="sr-Latn-ME"/>
        </w:rPr>
        <w:t>8 mg liraglutida u ravnotežnom stanju.</w:t>
      </w:r>
    </w:p>
    <w:p w14:paraId="40437448" w14:textId="77777777" w:rsidR="00DD063C" w:rsidRPr="00D95F2B" w:rsidRDefault="00DD063C" w:rsidP="001160EC">
      <w:pPr>
        <w:tabs>
          <w:tab w:val="left" w:pos="540"/>
          <w:tab w:val="left" w:pos="569"/>
        </w:tabs>
        <w:rPr>
          <w:bCs/>
          <w:sz w:val="22"/>
          <w:szCs w:val="22"/>
          <w:lang w:val="sr-Latn-ME"/>
        </w:rPr>
      </w:pPr>
    </w:p>
    <w:p w14:paraId="76D0C897" w14:textId="77777777" w:rsidR="00DD063C" w:rsidRPr="00D95F2B" w:rsidRDefault="00DD063C" w:rsidP="00DD063C">
      <w:pPr>
        <w:tabs>
          <w:tab w:val="left" w:pos="540"/>
          <w:tab w:val="left" w:pos="569"/>
        </w:tabs>
        <w:rPr>
          <w:bCs/>
          <w:sz w:val="22"/>
          <w:szCs w:val="22"/>
          <w:u w:val="single"/>
          <w:lang w:val="sr-Latn-ME"/>
        </w:rPr>
      </w:pPr>
      <w:r w:rsidRPr="00D95F2B">
        <w:rPr>
          <w:bCs/>
          <w:sz w:val="22"/>
          <w:szCs w:val="22"/>
          <w:u w:val="single"/>
          <w:lang w:val="sr-Latn-ME"/>
        </w:rPr>
        <w:t>Pedijatrijska populacija</w:t>
      </w:r>
    </w:p>
    <w:p w14:paraId="42AC5246" w14:textId="77777777" w:rsidR="00DD063C" w:rsidRPr="00D95F2B" w:rsidRDefault="00DD063C" w:rsidP="00DD063C">
      <w:pPr>
        <w:tabs>
          <w:tab w:val="left" w:pos="540"/>
          <w:tab w:val="left" w:pos="569"/>
        </w:tabs>
        <w:rPr>
          <w:bCs/>
          <w:sz w:val="22"/>
          <w:szCs w:val="22"/>
          <w:lang w:val="sr-Latn-ME"/>
        </w:rPr>
      </w:pPr>
    </w:p>
    <w:p w14:paraId="67DD265D" w14:textId="77777777" w:rsidR="00DD063C" w:rsidRPr="00D95F2B" w:rsidRDefault="00DD063C" w:rsidP="00AB551E">
      <w:pPr>
        <w:tabs>
          <w:tab w:val="left" w:pos="540"/>
          <w:tab w:val="left" w:pos="569"/>
        </w:tabs>
        <w:jc w:val="both"/>
        <w:rPr>
          <w:bCs/>
          <w:sz w:val="22"/>
          <w:szCs w:val="22"/>
          <w:lang w:val="sr-Latn-ME"/>
        </w:rPr>
      </w:pPr>
      <w:r w:rsidRPr="00D95F2B">
        <w:rPr>
          <w:bCs/>
          <w:sz w:val="22"/>
          <w:szCs w:val="22"/>
          <w:lang w:val="sr-Latn-ME"/>
        </w:rPr>
        <w:t>Ispitivanja interakcija sprovedena su samo kod odraslih pacijenata.</w:t>
      </w:r>
    </w:p>
    <w:p w14:paraId="2A159CF2" w14:textId="63762387" w:rsidR="001160EC" w:rsidRDefault="001160EC" w:rsidP="00480FB1">
      <w:pPr>
        <w:tabs>
          <w:tab w:val="left" w:pos="540"/>
          <w:tab w:val="left" w:pos="569"/>
        </w:tabs>
        <w:rPr>
          <w:bCs/>
          <w:sz w:val="22"/>
          <w:szCs w:val="22"/>
          <w:lang w:val="sr-Latn-ME"/>
        </w:rPr>
      </w:pPr>
    </w:p>
    <w:p w14:paraId="463DEE46" w14:textId="37674F6F" w:rsidR="002F5D08" w:rsidRDefault="002F5D08" w:rsidP="00480FB1">
      <w:pPr>
        <w:tabs>
          <w:tab w:val="left" w:pos="540"/>
          <w:tab w:val="left" w:pos="569"/>
        </w:tabs>
        <w:rPr>
          <w:bCs/>
          <w:sz w:val="22"/>
          <w:szCs w:val="22"/>
          <w:lang w:val="sr-Latn-ME"/>
        </w:rPr>
      </w:pPr>
    </w:p>
    <w:p w14:paraId="115F2700" w14:textId="3DBCE08D" w:rsidR="002F5D08" w:rsidRDefault="002F5D08" w:rsidP="00480FB1">
      <w:pPr>
        <w:tabs>
          <w:tab w:val="left" w:pos="540"/>
          <w:tab w:val="left" w:pos="569"/>
        </w:tabs>
        <w:rPr>
          <w:bCs/>
          <w:sz w:val="22"/>
          <w:szCs w:val="22"/>
          <w:lang w:val="sr-Latn-ME"/>
        </w:rPr>
      </w:pPr>
    </w:p>
    <w:p w14:paraId="11FF4BA1" w14:textId="55ACF63C" w:rsidR="002F5D08" w:rsidRDefault="002F5D08" w:rsidP="00480FB1">
      <w:pPr>
        <w:tabs>
          <w:tab w:val="left" w:pos="540"/>
          <w:tab w:val="left" w:pos="569"/>
        </w:tabs>
        <w:rPr>
          <w:bCs/>
          <w:sz w:val="22"/>
          <w:szCs w:val="22"/>
          <w:lang w:val="sr-Latn-ME"/>
        </w:rPr>
      </w:pPr>
    </w:p>
    <w:p w14:paraId="676F327D" w14:textId="77777777" w:rsidR="002F5D08" w:rsidRPr="00D95F2B" w:rsidRDefault="002F5D08" w:rsidP="00480FB1">
      <w:pPr>
        <w:tabs>
          <w:tab w:val="left" w:pos="540"/>
          <w:tab w:val="left" w:pos="569"/>
        </w:tabs>
        <w:rPr>
          <w:bCs/>
          <w:sz w:val="22"/>
          <w:szCs w:val="22"/>
          <w:lang w:val="sr-Latn-ME"/>
        </w:rPr>
      </w:pPr>
    </w:p>
    <w:p w14:paraId="1A32BD9E" w14:textId="77777777" w:rsidR="0072020E" w:rsidRPr="00D95F2B" w:rsidRDefault="0072020E" w:rsidP="00480FB1">
      <w:pPr>
        <w:tabs>
          <w:tab w:val="left" w:pos="540"/>
          <w:tab w:val="left" w:pos="569"/>
        </w:tabs>
        <w:rPr>
          <w:b/>
          <w:sz w:val="22"/>
          <w:szCs w:val="22"/>
          <w:lang w:val="sr-Latn-ME"/>
        </w:rPr>
      </w:pPr>
      <w:r w:rsidRPr="00D95F2B">
        <w:rPr>
          <w:b/>
          <w:bCs/>
          <w:sz w:val="22"/>
          <w:szCs w:val="22"/>
          <w:lang w:val="sr-Latn-ME"/>
        </w:rPr>
        <w:lastRenderedPageBreak/>
        <w:t xml:space="preserve">4.6. </w:t>
      </w:r>
      <w:r w:rsidR="00480FB1" w:rsidRPr="00D95F2B">
        <w:rPr>
          <w:b/>
          <w:bCs/>
          <w:sz w:val="22"/>
          <w:szCs w:val="22"/>
          <w:lang w:val="sr-Latn-ME"/>
        </w:rPr>
        <w:tab/>
      </w:r>
      <w:r w:rsidR="006D20A5" w:rsidRPr="00D95F2B">
        <w:rPr>
          <w:b/>
          <w:sz w:val="22"/>
          <w:szCs w:val="22"/>
          <w:lang w:val="sr-Latn-ME"/>
        </w:rPr>
        <w:t>Plodnost, trudnoća i dojenje</w:t>
      </w:r>
    </w:p>
    <w:p w14:paraId="27A117BD" w14:textId="77777777" w:rsidR="002031B3" w:rsidRPr="00D95F2B" w:rsidRDefault="002031B3" w:rsidP="00480FB1">
      <w:pPr>
        <w:tabs>
          <w:tab w:val="left" w:pos="540"/>
          <w:tab w:val="left" w:pos="569"/>
        </w:tabs>
        <w:rPr>
          <w:sz w:val="22"/>
          <w:szCs w:val="22"/>
          <w:u w:val="single"/>
          <w:lang w:val="sr-Latn-ME"/>
        </w:rPr>
      </w:pPr>
    </w:p>
    <w:p w14:paraId="6A18701F" w14:textId="77777777" w:rsidR="007A3ECB" w:rsidRPr="00D95F2B" w:rsidRDefault="007A3ECB" w:rsidP="00480FB1">
      <w:pPr>
        <w:tabs>
          <w:tab w:val="left" w:pos="540"/>
          <w:tab w:val="left" w:pos="569"/>
        </w:tabs>
        <w:rPr>
          <w:sz w:val="22"/>
          <w:szCs w:val="22"/>
          <w:u w:val="single"/>
          <w:lang w:val="sr-Latn-ME"/>
        </w:rPr>
      </w:pPr>
      <w:r w:rsidRPr="00D95F2B">
        <w:rPr>
          <w:sz w:val="22"/>
          <w:szCs w:val="22"/>
          <w:u w:val="single"/>
          <w:lang w:val="sr-Latn-ME"/>
        </w:rPr>
        <w:t>Trudnoća</w:t>
      </w:r>
    </w:p>
    <w:p w14:paraId="46923385" w14:textId="77777777" w:rsidR="002031B3" w:rsidRPr="00D95F2B" w:rsidRDefault="002031B3" w:rsidP="00480FB1">
      <w:pPr>
        <w:tabs>
          <w:tab w:val="left" w:pos="540"/>
          <w:tab w:val="left" w:pos="569"/>
        </w:tabs>
        <w:rPr>
          <w:sz w:val="22"/>
          <w:szCs w:val="22"/>
          <w:lang w:val="sr-Latn-ME"/>
        </w:rPr>
      </w:pPr>
    </w:p>
    <w:p w14:paraId="71CF627C" w14:textId="6ACFD456" w:rsidR="001160EC" w:rsidRPr="00D95F2B" w:rsidRDefault="001160EC" w:rsidP="00AB551E">
      <w:pPr>
        <w:tabs>
          <w:tab w:val="left" w:pos="540"/>
          <w:tab w:val="left" w:pos="569"/>
        </w:tabs>
        <w:jc w:val="both"/>
        <w:rPr>
          <w:sz w:val="22"/>
          <w:szCs w:val="22"/>
          <w:lang w:val="sr-Latn-ME"/>
        </w:rPr>
      </w:pPr>
      <w:r w:rsidRPr="00D95F2B">
        <w:rPr>
          <w:sz w:val="22"/>
          <w:szCs w:val="22"/>
          <w:lang w:val="sr-Latn-ME"/>
        </w:rPr>
        <w:t xml:space="preserve">Ne postoje odgovarajući podaci o primjeni liraglutida kod trudnica. Ispitivanja na životinjama su pokazala reproduktivnu toksičnost (vidjeti </w:t>
      </w:r>
      <w:r w:rsidR="00C53A26" w:rsidRPr="00D95F2B">
        <w:rPr>
          <w:sz w:val="22"/>
          <w:szCs w:val="22"/>
          <w:lang w:val="sr-Latn-ME"/>
        </w:rPr>
        <w:t>dio</w:t>
      </w:r>
      <w:r w:rsidRPr="00D95F2B">
        <w:rPr>
          <w:sz w:val="22"/>
          <w:szCs w:val="22"/>
          <w:lang w:val="sr-Latn-ME"/>
        </w:rPr>
        <w:t xml:space="preserve"> 5.3). Mogući rizik kod ljudi nije poznat.</w:t>
      </w:r>
    </w:p>
    <w:p w14:paraId="3C0221D6" w14:textId="77777777" w:rsidR="001160EC" w:rsidRPr="00D95F2B" w:rsidRDefault="001160EC" w:rsidP="00AB551E">
      <w:pPr>
        <w:tabs>
          <w:tab w:val="left" w:pos="540"/>
          <w:tab w:val="left" w:pos="569"/>
        </w:tabs>
        <w:jc w:val="both"/>
        <w:rPr>
          <w:sz w:val="22"/>
          <w:szCs w:val="22"/>
          <w:lang w:val="sr-Latn-ME"/>
        </w:rPr>
      </w:pPr>
    </w:p>
    <w:p w14:paraId="38D8F312" w14:textId="4B3C1749" w:rsidR="001160EC" w:rsidRPr="00D95F2B" w:rsidRDefault="001160EC" w:rsidP="00AB551E">
      <w:pPr>
        <w:tabs>
          <w:tab w:val="left" w:pos="540"/>
          <w:tab w:val="left" w:pos="569"/>
        </w:tabs>
        <w:jc w:val="both"/>
        <w:rPr>
          <w:sz w:val="22"/>
          <w:szCs w:val="22"/>
          <w:lang w:val="sr-Latn-ME"/>
        </w:rPr>
      </w:pPr>
      <w:r w:rsidRPr="00D95F2B">
        <w:rPr>
          <w:sz w:val="22"/>
          <w:szCs w:val="22"/>
          <w:lang w:val="sr-Latn-ME"/>
        </w:rPr>
        <w:t xml:space="preserve">Liraglutid ne treba primjenjivati tokom trudnoće, te se umjesto ovog lijeka preporučuje insulin. Ako pacijentkinja planira trudnoću, ili je trudna, liječenje lijekom </w:t>
      </w:r>
      <w:r w:rsidR="00203EA1" w:rsidRPr="00D95F2B">
        <w:rPr>
          <w:sz w:val="22"/>
          <w:szCs w:val="22"/>
          <w:lang w:val="sr-Latn-ME"/>
        </w:rPr>
        <w:t>Victoza</w:t>
      </w:r>
      <w:r w:rsidRPr="00D95F2B">
        <w:rPr>
          <w:sz w:val="22"/>
          <w:szCs w:val="22"/>
          <w:lang w:val="sr-Latn-ME"/>
        </w:rPr>
        <w:t xml:space="preserve"> treba prekinuti.</w:t>
      </w:r>
    </w:p>
    <w:p w14:paraId="75F1DBB1" w14:textId="77777777" w:rsidR="001160EC" w:rsidRPr="00D95F2B" w:rsidRDefault="001160EC" w:rsidP="00AB551E">
      <w:pPr>
        <w:tabs>
          <w:tab w:val="left" w:pos="540"/>
          <w:tab w:val="left" w:pos="569"/>
        </w:tabs>
        <w:jc w:val="both"/>
        <w:rPr>
          <w:sz w:val="22"/>
          <w:szCs w:val="22"/>
          <w:lang w:val="sr-Latn-ME"/>
        </w:rPr>
      </w:pPr>
    </w:p>
    <w:p w14:paraId="5A86138E" w14:textId="77777777" w:rsidR="0072020E" w:rsidRPr="00D95F2B" w:rsidRDefault="007A3ECB" w:rsidP="00480FB1">
      <w:pPr>
        <w:tabs>
          <w:tab w:val="left" w:pos="540"/>
          <w:tab w:val="left" w:pos="569"/>
        </w:tabs>
        <w:rPr>
          <w:sz w:val="22"/>
          <w:szCs w:val="22"/>
          <w:u w:val="single"/>
          <w:lang w:val="sr-Latn-ME"/>
        </w:rPr>
      </w:pPr>
      <w:r w:rsidRPr="00D95F2B">
        <w:rPr>
          <w:sz w:val="22"/>
          <w:szCs w:val="22"/>
          <w:u w:val="single"/>
          <w:lang w:val="sr-Latn-ME"/>
        </w:rPr>
        <w:t xml:space="preserve">Dojenje </w:t>
      </w:r>
    </w:p>
    <w:p w14:paraId="64A90AF8" w14:textId="77777777" w:rsidR="001160EC" w:rsidRPr="00D95F2B" w:rsidRDefault="001160EC" w:rsidP="00480FB1">
      <w:pPr>
        <w:tabs>
          <w:tab w:val="left" w:pos="540"/>
          <w:tab w:val="left" w:pos="569"/>
        </w:tabs>
        <w:rPr>
          <w:sz w:val="22"/>
          <w:szCs w:val="22"/>
          <w:lang w:val="sr-Latn-ME"/>
        </w:rPr>
      </w:pPr>
    </w:p>
    <w:p w14:paraId="4416CADF" w14:textId="4211CCD8" w:rsidR="001160EC" w:rsidRPr="00D95F2B" w:rsidRDefault="001160EC" w:rsidP="00AB551E">
      <w:pPr>
        <w:tabs>
          <w:tab w:val="left" w:pos="540"/>
          <w:tab w:val="left" w:pos="569"/>
        </w:tabs>
        <w:jc w:val="both"/>
        <w:rPr>
          <w:sz w:val="22"/>
          <w:szCs w:val="22"/>
          <w:lang w:val="sr-Latn-ME"/>
        </w:rPr>
      </w:pPr>
      <w:r w:rsidRPr="00D95F2B">
        <w:rPr>
          <w:sz w:val="22"/>
          <w:szCs w:val="22"/>
          <w:lang w:val="sr-Latn-ME"/>
        </w:rPr>
        <w:t xml:space="preserve">Nije poznato da li se u humanoj populaciji liraglutid izlučuje u mlijeko. Ispitivanja na životinjama su pokazala da liraglutid, kao i njegovi metaboliti srodne strukture prelaze u mlijeko u malom stepenu. Pretklinička ispitivanja su pokazala smanjenje neonatalnog rasta </w:t>
      </w:r>
      <w:r w:rsidR="0012459D" w:rsidRPr="00D95F2B">
        <w:rPr>
          <w:sz w:val="22"/>
          <w:szCs w:val="22"/>
          <w:lang w:val="sr-Latn-ME"/>
        </w:rPr>
        <w:t xml:space="preserve">odojčeta </w:t>
      </w:r>
      <w:r w:rsidRPr="00D95F2B">
        <w:rPr>
          <w:sz w:val="22"/>
          <w:szCs w:val="22"/>
          <w:lang w:val="sr-Latn-ME"/>
        </w:rPr>
        <w:t xml:space="preserve">pacova koje se dovodi u vezu sa primjenom lijeka (vidjeti </w:t>
      </w:r>
      <w:r w:rsidR="00C53A26" w:rsidRPr="00D95F2B">
        <w:rPr>
          <w:sz w:val="22"/>
          <w:szCs w:val="22"/>
          <w:lang w:val="sr-Latn-ME"/>
        </w:rPr>
        <w:t>dio</w:t>
      </w:r>
      <w:r w:rsidRPr="00D95F2B">
        <w:rPr>
          <w:sz w:val="22"/>
          <w:szCs w:val="22"/>
          <w:lang w:val="sr-Latn-ME"/>
        </w:rPr>
        <w:t xml:space="preserve"> 5.3). Zbog nedostatka iskustva, lijek </w:t>
      </w:r>
      <w:r w:rsidR="00203EA1" w:rsidRPr="00D95F2B">
        <w:rPr>
          <w:sz w:val="22"/>
          <w:szCs w:val="22"/>
          <w:lang w:val="sr-Latn-ME"/>
        </w:rPr>
        <w:t>Victoza</w:t>
      </w:r>
      <w:r w:rsidRPr="00D95F2B">
        <w:rPr>
          <w:sz w:val="22"/>
          <w:szCs w:val="22"/>
          <w:lang w:val="sr-Latn-ME"/>
        </w:rPr>
        <w:t xml:space="preserve"> ne treba primjenjivati tokom dojenja.</w:t>
      </w:r>
    </w:p>
    <w:p w14:paraId="3971B3BD" w14:textId="77777777" w:rsidR="001160EC" w:rsidRPr="00D95F2B" w:rsidRDefault="001160EC" w:rsidP="00480FB1">
      <w:pPr>
        <w:tabs>
          <w:tab w:val="left" w:pos="540"/>
          <w:tab w:val="left" w:pos="569"/>
        </w:tabs>
        <w:rPr>
          <w:sz w:val="22"/>
          <w:szCs w:val="22"/>
          <w:lang w:val="sr-Latn-ME"/>
        </w:rPr>
      </w:pPr>
    </w:p>
    <w:p w14:paraId="5A09349F" w14:textId="77777777" w:rsidR="001160EC" w:rsidRPr="00D95F2B" w:rsidRDefault="001160EC" w:rsidP="00480FB1">
      <w:pPr>
        <w:tabs>
          <w:tab w:val="left" w:pos="540"/>
          <w:tab w:val="left" w:pos="569"/>
        </w:tabs>
        <w:rPr>
          <w:b/>
          <w:bCs/>
          <w:sz w:val="22"/>
          <w:szCs w:val="22"/>
          <w:lang w:val="sr-Latn-ME"/>
        </w:rPr>
      </w:pPr>
      <w:r w:rsidRPr="00D95F2B">
        <w:rPr>
          <w:sz w:val="22"/>
          <w:szCs w:val="22"/>
          <w:u w:val="single"/>
          <w:lang w:val="sr-Latn-ME"/>
        </w:rPr>
        <w:t>Plodnost</w:t>
      </w:r>
    </w:p>
    <w:p w14:paraId="2E34A53C" w14:textId="77777777" w:rsidR="00227BDB" w:rsidRPr="00D95F2B" w:rsidRDefault="00227BDB" w:rsidP="00396DFD">
      <w:pPr>
        <w:tabs>
          <w:tab w:val="left" w:pos="540"/>
          <w:tab w:val="left" w:pos="569"/>
        </w:tabs>
        <w:ind w:left="540" w:hanging="540"/>
        <w:rPr>
          <w:sz w:val="22"/>
          <w:szCs w:val="22"/>
          <w:lang w:val="sr-Latn-ME"/>
        </w:rPr>
      </w:pPr>
    </w:p>
    <w:p w14:paraId="34B3B0BC" w14:textId="4D1DBB75" w:rsidR="001160EC" w:rsidRPr="00D95F2B" w:rsidRDefault="001160EC" w:rsidP="00AB551E">
      <w:pPr>
        <w:tabs>
          <w:tab w:val="left" w:pos="0"/>
        </w:tabs>
        <w:jc w:val="both"/>
        <w:rPr>
          <w:sz w:val="22"/>
          <w:szCs w:val="22"/>
          <w:lang w:val="sr-Latn-ME"/>
        </w:rPr>
      </w:pPr>
      <w:r w:rsidRPr="00D95F2B">
        <w:rPr>
          <w:sz w:val="22"/>
          <w:szCs w:val="22"/>
          <w:lang w:val="sr-Latn-ME"/>
        </w:rPr>
        <w:t xml:space="preserve">Bez obzira na blago smanjenje broja živih implantata, ispitivanja na životinjama nijesu ukazala na štetne efekte u odnosu na </w:t>
      </w:r>
      <w:r w:rsidR="0012459D" w:rsidRPr="00D95F2B">
        <w:rPr>
          <w:sz w:val="22"/>
          <w:szCs w:val="22"/>
          <w:lang w:val="sr-Latn-ME"/>
        </w:rPr>
        <w:t>plodnost</w:t>
      </w:r>
      <w:r w:rsidRPr="00D95F2B">
        <w:rPr>
          <w:sz w:val="22"/>
          <w:szCs w:val="22"/>
          <w:lang w:val="sr-Latn-ME"/>
        </w:rPr>
        <w:t>.</w:t>
      </w:r>
    </w:p>
    <w:p w14:paraId="6C8FF024" w14:textId="77777777" w:rsidR="001160EC" w:rsidRPr="00D95F2B" w:rsidRDefault="001160EC" w:rsidP="00396DFD">
      <w:pPr>
        <w:tabs>
          <w:tab w:val="left" w:pos="540"/>
          <w:tab w:val="left" w:pos="569"/>
        </w:tabs>
        <w:ind w:left="540" w:hanging="540"/>
        <w:rPr>
          <w:sz w:val="22"/>
          <w:szCs w:val="22"/>
          <w:lang w:val="sr-Latn-ME"/>
        </w:rPr>
      </w:pPr>
    </w:p>
    <w:p w14:paraId="68FC78BB" w14:textId="77777777" w:rsidR="0072020E" w:rsidRPr="00D95F2B" w:rsidRDefault="0072020E" w:rsidP="00396DFD">
      <w:pPr>
        <w:tabs>
          <w:tab w:val="left" w:pos="540"/>
          <w:tab w:val="left" w:pos="569"/>
        </w:tabs>
        <w:ind w:left="540" w:hanging="540"/>
        <w:rPr>
          <w:b/>
          <w:bCs/>
          <w:sz w:val="22"/>
          <w:szCs w:val="22"/>
          <w:lang w:val="sr-Latn-ME"/>
        </w:rPr>
      </w:pPr>
      <w:r w:rsidRPr="00D95F2B">
        <w:rPr>
          <w:b/>
          <w:bCs/>
          <w:sz w:val="22"/>
          <w:szCs w:val="22"/>
          <w:lang w:val="sr-Latn-ME"/>
        </w:rPr>
        <w:t xml:space="preserve">4.7. </w:t>
      </w:r>
      <w:r w:rsidR="00480FB1" w:rsidRPr="00D95F2B">
        <w:rPr>
          <w:b/>
          <w:bCs/>
          <w:sz w:val="22"/>
          <w:szCs w:val="22"/>
          <w:lang w:val="sr-Latn-ME"/>
        </w:rPr>
        <w:tab/>
      </w:r>
      <w:r w:rsidRPr="00D95F2B">
        <w:rPr>
          <w:b/>
          <w:bCs/>
          <w:sz w:val="22"/>
          <w:szCs w:val="22"/>
          <w:lang w:val="sr-Latn-ME"/>
        </w:rPr>
        <w:t xml:space="preserve">Uticaj na </w:t>
      </w:r>
      <w:r w:rsidR="002031B3" w:rsidRPr="00D95F2B">
        <w:rPr>
          <w:b/>
          <w:bCs/>
          <w:sz w:val="22"/>
          <w:szCs w:val="22"/>
          <w:lang w:val="sr-Latn-ME"/>
        </w:rPr>
        <w:t xml:space="preserve">sposobnost </w:t>
      </w:r>
      <w:r w:rsidR="00F34554" w:rsidRPr="00D95F2B">
        <w:rPr>
          <w:b/>
          <w:bCs/>
          <w:sz w:val="22"/>
          <w:szCs w:val="22"/>
          <w:lang w:val="sr-Latn-ME"/>
        </w:rPr>
        <w:t>upravljanja vozili</w:t>
      </w:r>
      <w:r w:rsidRPr="00D95F2B">
        <w:rPr>
          <w:b/>
          <w:bCs/>
          <w:sz w:val="22"/>
          <w:szCs w:val="22"/>
          <w:lang w:val="sr-Latn-ME"/>
        </w:rPr>
        <w:t>m</w:t>
      </w:r>
      <w:r w:rsidR="00F34554" w:rsidRPr="00D95F2B">
        <w:rPr>
          <w:b/>
          <w:bCs/>
          <w:sz w:val="22"/>
          <w:szCs w:val="22"/>
          <w:lang w:val="sr-Latn-ME"/>
        </w:rPr>
        <w:t>a</w:t>
      </w:r>
      <w:r w:rsidRPr="00D95F2B">
        <w:rPr>
          <w:b/>
          <w:bCs/>
          <w:sz w:val="22"/>
          <w:szCs w:val="22"/>
          <w:lang w:val="sr-Latn-ME"/>
        </w:rPr>
        <w:t xml:space="preserve"> i </w:t>
      </w:r>
      <w:r w:rsidR="000D3449" w:rsidRPr="00D95F2B">
        <w:rPr>
          <w:b/>
          <w:bCs/>
          <w:sz w:val="22"/>
          <w:szCs w:val="22"/>
          <w:lang w:val="sr-Latn-ME"/>
        </w:rPr>
        <w:t xml:space="preserve">rukovanje </w:t>
      </w:r>
      <w:r w:rsidRPr="00D95F2B">
        <w:rPr>
          <w:b/>
          <w:bCs/>
          <w:sz w:val="22"/>
          <w:szCs w:val="22"/>
          <w:lang w:val="sr-Latn-ME"/>
        </w:rPr>
        <w:t>mašinama</w:t>
      </w:r>
    </w:p>
    <w:p w14:paraId="38B08E40" w14:textId="77777777" w:rsidR="0072020E" w:rsidRPr="00D95F2B" w:rsidRDefault="0072020E" w:rsidP="00480FB1">
      <w:pPr>
        <w:tabs>
          <w:tab w:val="left" w:pos="540"/>
          <w:tab w:val="left" w:pos="569"/>
        </w:tabs>
        <w:rPr>
          <w:sz w:val="22"/>
          <w:szCs w:val="22"/>
          <w:lang w:val="sr-Latn-ME"/>
        </w:rPr>
      </w:pPr>
    </w:p>
    <w:p w14:paraId="684E11CD" w14:textId="7F392FB8" w:rsidR="001160EC" w:rsidRPr="00D95F2B" w:rsidRDefault="00C53A26" w:rsidP="00AB551E">
      <w:pPr>
        <w:tabs>
          <w:tab w:val="left" w:pos="540"/>
          <w:tab w:val="left" w:pos="569"/>
        </w:tabs>
        <w:jc w:val="both"/>
        <w:rPr>
          <w:sz w:val="22"/>
          <w:szCs w:val="22"/>
          <w:lang w:val="sr-Latn-ME"/>
        </w:rPr>
      </w:pPr>
      <w:r w:rsidRPr="00D95F2B">
        <w:rPr>
          <w:sz w:val="22"/>
          <w:szCs w:val="22"/>
          <w:lang w:val="sr-Latn-ME"/>
        </w:rPr>
        <w:t xml:space="preserve">Lijek </w:t>
      </w:r>
      <w:r w:rsidR="00203EA1" w:rsidRPr="00D95F2B">
        <w:rPr>
          <w:sz w:val="22"/>
          <w:szCs w:val="22"/>
          <w:lang w:val="sr-Latn-ME"/>
        </w:rPr>
        <w:t>Victoza</w:t>
      </w:r>
      <w:r w:rsidR="001160EC" w:rsidRPr="00D95F2B">
        <w:rPr>
          <w:sz w:val="22"/>
          <w:szCs w:val="22"/>
          <w:lang w:val="sr-Latn-ME"/>
        </w:rPr>
        <w:t xml:space="preserve"> nema ili ima zanemarljivo mali uticaj na sposobnost upravljanja motornim vozilom i rukovanja mašinama. Pacijente treba posavjetovati da preduzmu mjere opreza kako bi izbjegli hipoglikemiju dok upravljaju motornim vozilom i rukuju mašinama, posebno kada se </w:t>
      </w:r>
      <w:r w:rsidR="00203EA1" w:rsidRPr="00D95F2B">
        <w:rPr>
          <w:sz w:val="22"/>
          <w:szCs w:val="22"/>
          <w:lang w:val="sr-Latn-ME"/>
        </w:rPr>
        <w:t>Victoza</w:t>
      </w:r>
      <w:r w:rsidR="001160EC" w:rsidRPr="00D95F2B">
        <w:rPr>
          <w:sz w:val="22"/>
          <w:szCs w:val="22"/>
          <w:lang w:val="sr-Latn-ME"/>
        </w:rPr>
        <w:t xml:space="preserve"> primjenjuje u kombinaciji sa sulfonilureom ili insulinom.</w:t>
      </w:r>
    </w:p>
    <w:p w14:paraId="160DDC89" w14:textId="77777777" w:rsidR="001160EC" w:rsidRPr="00D95F2B" w:rsidRDefault="001160EC" w:rsidP="00480FB1">
      <w:pPr>
        <w:tabs>
          <w:tab w:val="left" w:pos="540"/>
          <w:tab w:val="left" w:pos="569"/>
        </w:tabs>
        <w:rPr>
          <w:sz w:val="22"/>
          <w:szCs w:val="22"/>
          <w:lang w:val="sr-Latn-ME"/>
        </w:rPr>
      </w:pPr>
    </w:p>
    <w:p w14:paraId="2CD23F4C"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4.8. </w:t>
      </w:r>
      <w:r w:rsidR="00480FB1" w:rsidRPr="00D95F2B">
        <w:rPr>
          <w:b/>
          <w:bCs/>
          <w:sz w:val="22"/>
          <w:szCs w:val="22"/>
          <w:lang w:val="sr-Latn-ME"/>
        </w:rPr>
        <w:tab/>
      </w:r>
      <w:r w:rsidRPr="00D95F2B">
        <w:rPr>
          <w:b/>
          <w:bCs/>
          <w:sz w:val="22"/>
          <w:szCs w:val="22"/>
          <w:lang w:val="sr-Latn-ME"/>
        </w:rPr>
        <w:t>Neželjena dejstva</w:t>
      </w:r>
    </w:p>
    <w:p w14:paraId="18D3240C" w14:textId="77777777" w:rsidR="001160EC" w:rsidRPr="00D95F2B" w:rsidRDefault="001160EC" w:rsidP="001160EC">
      <w:pPr>
        <w:rPr>
          <w:rFonts w:eastAsia="Calibri"/>
          <w:sz w:val="22"/>
          <w:szCs w:val="22"/>
          <w:lang w:val="sr-Latn-ME"/>
        </w:rPr>
      </w:pPr>
    </w:p>
    <w:p w14:paraId="771AA73D" w14:textId="379A181D" w:rsidR="001160EC" w:rsidRPr="00D95F2B" w:rsidRDefault="001160EC" w:rsidP="001160EC">
      <w:pPr>
        <w:rPr>
          <w:rFonts w:eastAsia="Calibri"/>
          <w:sz w:val="22"/>
          <w:szCs w:val="22"/>
          <w:u w:val="single"/>
          <w:lang w:val="sr-Latn-ME"/>
        </w:rPr>
      </w:pPr>
      <w:r w:rsidRPr="00D95F2B">
        <w:rPr>
          <w:rFonts w:eastAsia="Calibri"/>
          <w:sz w:val="22"/>
          <w:szCs w:val="22"/>
          <w:u w:val="single"/>
          <w:lang w:val="sr-Latn-ME"/>
        </w:rPr>
        <w:t>Sažetak bezb</w:t>
      </w:r>
      <w:r w:rsidR="00B84FF4" w:rsidRPr="00D95F2B">
        <w:rPr>
          <w:rFonts w:eastAsia="Calibri"/>
          <w:sz w:val="22"/>
          <w:szCs w:val="22"/>
          <w:u w:val="single"/>
          <w:lang w:val="sr-Latn-ME"/>
        </w:rPr>
        <w:t>j</w:t>
      </w:r>
      <w:r w:rsidRPr="00D95F2B">
        <w:rPr>
          <w:rFonts w:eastAsia="Calibri"/>
          <w:sz w:val="22"/>
          <w:szCs w:val="22"/>
          <w:u w:val="single"/>
          <w:lang w:val="sr-Latn-ME"/>
        </w:rPr>
        <w:t>ednosnog profila</w:t>
      </w:r>
    </w:p>
    <w:p w14:paraId="548EC8EB" w14:textId="77777777" w:rsidR="001160EC" w:rsidRPr="00D95F2B" w:rsidRDefault="001160EC" w:rsidP="001160EC">
      <w:pPr>
        <w:rPr>
          <w:rFonts w:eastAsia="Calibri"/>
          <w:sz w:val="22"/>
          <w:szCs w:val="22"/>
          <w:lang w:val="sr-Latn-ME"/>
        </w:rPr>
      </w:pPr>
    </w:p>
    <w:p w14:paraId="04BEBFA8" w14:textId="088370CD" w:rsidR="001160EC" w:rsidRPr="00D95F2B" w:rsidRDefault="001160EC" w:rsidP="00AB551E">
      <w:pPr>
        <w:jc w:val="both"/>
        <w:rPr>
          <w:rFonts w:eastAsia="Calibri"/>
          <w:sz w:val="22"/>
          <w:szCs w:val="22"/>
          <w:lang w:val="sr-Latn-ME"/>
        </w:rPr>
      </w:pPr>
      <w:r w:rsidRPr="00D95F2B">
        <w:rPr>
          <w:rFonts w:eastAsia="Calibri"/>
          <w:sz w:val="22"/>
          <w:szCs w:val="22"/>
          <w:lang w:val="sr-Latn-ME"/>
        </w:rPr>
        <w:t xml:space="preserve">Tokom pet dugotrajnih kliničkih studija faze 3a preko 2500 </w:t>
      </w:r>
      <w:r w:rsidR="00DD063C" w:rsidRPr="00D95F2B">
        <w:rPr>
          <w:rFonts w:eastAsia="Calibri"/>
          <w:sz w:val="22"/>
          <w:szCs w:val="22"/>
          <w:lang w:val="sr-Latn-ME"/>
        </w:rPr>
        <w:t xml:space="preserve">odraslih </w:t>
      </w:r>
      <w:r w:rsidRPr="00D95F2B">
        <w:rPr>
          <w:rFonts w:eastAsia="Calibri"/>
          <w:sz w:val="22"/>
          <w:szCs w:val="22"/>
          <w:lang w:val="sr-Latn-ME"/>
        </w:rPr>
        <w:t xml:space="preserve">pacijenata je dobijalo lijek </w:t>
      </w:r>
      <w:r w:rsidR="00203EA1" w:rsidRPr="00D95F2B">
        <w:rPr>
          <w:rFonts w:eastAsia="Calibri"/>
          <w:sz w:val="22"/>
          <w:szCs w:val="22"/>
          <w:lang w:val="sr-Latn-ME"/>
        </w:rPr>
        <w:t>Victoza</w:t>
      </w:r>
      <w:r w:rsidRPr="00D95F2B">
        <w:rPr>
          <w:rFonts w:eastAsia="Calibri"/>
          <w:sz w:val="22"/>
          <w:szCs w:val="22"/>
          <w:lang w:val="sr-Latn-ME"/>
        </w:rPr>
        <w:t xml:space="preserve"> kao monoterapiju ili u kombinaciji sa metforminom, sulfonilureom (sa ili bez metformina) ili metforminom i ro</w:t>
      </w:r>
      <w:r w:rsidR="0012459D" w:rsidRPr="00D95F2B">
        <w:rPr>
          <w:rFonts w:eastAsia="Calibri"/>
          <w:sz w:val="22"/>
          <w:szCs w:val="22"/>
          <w:lang w:val="sr-Latn-ME"/>
        </w:rPr>
        <w:t>s</w:t>
      </w:r>
      <w:r w:rsidRPr="00D95F2B">
        <w:rPr>
          <w:rFonts w:eastAsia="Calibri"/>
          <w:sz w:val="22"/>
          <w:szCs w:val="22"/>
          <w:lang w:val="sr-Latn-ME"/>
        </w:rPr>
        <w:t>iglitazonom.</w:t>
      </w:r>
    </w:p>
    <w:p w14:paraId="24CB532B" w14:textId="77777777" w:rsidR="001160EC" w:rsidRPr="00D95F2B" w:rsidRDefault="001160EC" w:rsidP="00AB551E">
      <w:pPr>
        <w:jc w:val="both"/>
        <w:rPr>
          <w:rFonts w:eastAsia="Calibri"/>
          <w:sz w:val="22"/>
          <w:szCs w:val="22"/>
          <w:lang w:val="sr-Latn-ME"/>
        </w:rPr>
      </w:pPr>
    </w:p>
    <w:p w14:paraId="274268DF" w14:textId="77777777" w:rsidR="001160EC" w:rsidRPr="00D95F2B" w:rsidRDefault="001160EC" w:rsidP="00AB551E">
      <w:pPr>
        <w:jc w:val="both"/>
        <w:rPr>
          <w:rFonts w:eastAsia="Calibri"/>
          <w:sz w:val="22"/>
          <w:szCs w:val="22"/>
          <w:lang w:val="sr-Latn-ME"/>
        </w:rPr>
      </w:pPr>
      <w:r w:rsidRPr="00D95F2B">
        <w:rPr>
          <w:rFonts w:eastAsia="Calibri"/>
          <w:sz w:val="22"/>
          <w:szCs w:val="22"/>
          <w:lang w:val="sr-Latn-ME"/>
        </w:rPr>
        <w:t>Najčešće prijavljivana neželjena dejstva u toku kliničkih ispitivanja bila su gastrointestinalni poremećaji: mučnina i dijareja su bile veoma česte, dok su se povraćanje, zatvor, bol u stomaku i dispepsija javljali često. Na početku terapije liraglutidom ova gastrointestinalna neželjena dejstva mogu se češće javljati. Ove reakcije obično nestaju za nekoliko dana ili nedjelja kontinuiranog liječenja. Glavobolja i nazofaringitis su takođe često prijavljivani. Štaviše, hipoglikemija je bila česta, a kada se liraglutid primjenjivao u kombinaciji sa sulfonilureom vrlo česta. Ozbiljne hipoglikemijske krize su prvobitno uočene pri kombinovanoj primjeni sa sulfonilureom.</w:t>
      </w:r>
    </w:p>
    <w:p w14:paraId="39BDFB18" w14:textId="77777777" w:rsidR="001160EC" w:rsidRPr="00D95F2B" w:rsidRDefault="001160EC" w:rsidP="001160EC">
      <w:pPr>
        <w:rPr>
          <w:rFonts w:eastAsia="Calibri"/>
          <w:sz w:val="22"/>
          <w:szCs w:val="22"/>
          <w:lang w:val="sr-Latn-ME"/>
        </w:rPr>
      </w:pPr>
    </w:p>
    <w:p w14:paraId="48569784" w14:textId="77777777" w:rsidR="001160EC" w:rsidRPr="00D95F2B" w:rsidRDefault="001160EC" w:rsidP="001160EC">
      <w:pPr>
        <w:rPr>
          <w:rFonts w:eastAsia="Calibri"/>
          <w:sz w:val="22"/>
          <w:szCs w:val="22"/>
          <w:u w:val="single"/>
          <w:lang w:val="sr-Latn-ME"/>
        </w:rPr>
      </w:pPr>
      <w:r w:rsidRPr="00D95F2B">
        <w:rPr>
          <w:rFonts w:eastAsia="Calibri"/>
          <w:sz w:val="22"/>
          <w:szCs w:val="22"/>
          <w:u w:val="single"/>
          <w:lang w:val="sr-Latn-ME"/>
        </w:rPr>
        <w:t>Tabelarni prikaz neželjenih dejstava</w:t>
      </w:r>
    </w:p>
    <w:p w14:paraId="3CFF8DF4" w14:textId="77777777" w:rsidR="001160EC" w:rsidRPr="00D95F2B" w:rsidRDefault="001160EC" w:rsidP="001160EC">
      <w:pPr>
        <w:rPr>
          <w:rFonts w:eastAsia="Calibri"/>
          <w:sz w:val="22"/>
          <w:szCs w:val="22"/>
          <w:lang w:val="sr-Latn-ME"/>
        </w:rPr>
      </w:pPr>
    </w:p>
    <w:p w14:paraId="32F58BCE" w14:textId="77777777" w:rsidR="001160EC" w:rsidRPr="00D95F2B" w:rsidRDefault="001160EC" w:rsidP="00AB551E">
      <w:pPr>
        <w:jc w:val="both"/>
        <w:rPr>
          <w:rFonts w:eastAsia="Calibri"/>
          <w:sz w:val="22"/>
          <w:szCs w:val="22"/>
          <w:lang w:val="sr-Latn-ME"/>
        </w:rPr>
      </w:pPr>
      <w:r w:rsidRPr="00D95F2B">
        <w:rPr>
          <w:rFonts w:eastAsia="Calibri"/>
          <w:sz w:val="22"/>
          <w:szCs w:val="22"/>
          <w:lang w:val="sr-Latn-ME"/>
        </w:rPr>
        <w:t>U Tabeli 1 su navedena neželjena dejstva prijavljena u fazi 3a dugoročnih, kontrolisanih kliničkih ispitivanja, tokom LEADER ispitivanja (dugotrajno ispitivanje kardiovaskularnih ishoda) i putem spontanog (postmarketinškog) prijavljivanja. Učestalost svih događaja je izračunata na osnovu njihove incidence u fazi 3a kliničkih ispitivanja.</w:t>
      </w:r>
    </w:p>
    <w:p w14:paraId="1101203A" w14:textId="3FEC5FFF" w:rsidR="001160EC" w:rsidRPr="00D95F2B" w:rsidRDefault="001160EC" w:rsidP="00AB551E">
      <w:pPr>
        <w:jc w:val="both"/>
        <w:rPr>
          <w:rFonts w:eastAsia="Calibri"/>
          <w:sz w:val="22"/>
          <w:szCs w:val="22"/>
          <w:lang w:val="sr-Latn-ME"/>
        </w:rPr>
      </w:pPr>
      <w:r w:rsidRPr="00D95F2B">
        <w:rPr>
          <w:rFonts w:eastAsia="Calibri"/>
          <w:sz w:val="22"/>
          <w:szCs w:val="22"/>
          <w:lang w:val="sr-Latn-ME"/>
        </w:rPr>
        <w:t xml:space="preserve">Učestalost je definisana kao: </w:t>
      </w:r>
      <w:r w:rsidR="00C53A26" w:rsidRPr="00D95F2B">
        <w:rPr>
          <w:rFonts w:eastAsia="Calibri"/>
          <w:sz w:val="22"/>
          <w:szCs w:val="22"/>
          <w:lang w:val="sr-Latn-ME"/>
        </w:rPr>
        <w:t>v</w:t>
      </w:r>
      <w:r w:rsidRPr="00D95F2B">
        <w:rPr>
          <w:rFonts w:eastAsia="Calibri"/>
          <w:sz w:val="22"/>
          <w:szCs w:val="22"/>
          <w:lang w:val="sr-Latn-ME"/>
        </w:rPr>
        <w:t>eoma česta (≥</w:t>
      </w:r>
      <w:r w:rsidR="00C53A26" w:rsidRPr="00D95F2B">
        <w:rPr>
          <w:rFonts w:eastAsia="Calibri"/>
          <w:sz w:val="22"/>
          <w:szCs w:val="22"/>
          <w:lang w:val="sr-Latn-ME"/>
        </w:rPr>
        <w:t xml:space="preserve"> </w:t>
      </w:r>
      <w:r w:rsidRPr="00D95F2B">
        <w:rPr>
          <w:rFonts w:eastAsia="Calibri"/>
          <w:sz w:val="22"/>
          <w:szCs w:val="22"/>
          <w:lang w:val="sr-Latn-ME"/>
        </w:rPr>
        <w:t>1/10); česta (≥</w:t>
      </w:r>
      <w:r w:rsidR="00C53A26" w:rsidRPr="00D95F2B">
        <w:rPr>
          <w:rFonts w:eastAsia="Calibri"/>
          <w:sz w:val="22"/>
          <w:szCs w:val="22"/>
          <w:lang w:val="sr-Latn-ME"/>
        </w:rPr>
        <w:t xml:space="preserve"> </w:t>
      </w:r>
      <w:r w:rsidRPr="00D95F2B">
        <w:rPr>
          <w:rFonts w:eastAsia="Calibri"/>
          <w:sz w:val="22"/>
          <w:szCs w:val="22"/>
          <w:lang w:val="sr-Latn-ME"/>
        </w:rPr>
        <w:t>1/100 do &lt;</w:t>
      </w:r>
      <w:r w:rsidR="00C53A26" w:rsidRPr="00D95F2B">
        <w:rPr>
          <w:rFonts w:eastAsia="Calibri"/>
          <w:sz w:val="22"/>
          <w:szCs w:val="22"/>
          <w:lang w:val="sr-Latn-ME"/>
        </w:rPr>
        <w:t xml:space="preserve"> </w:t>
      </w:r>
      <w:r w:rsidRPr="00D95F2B">
        <w:rPr>
          <w:rFonts w:eastAsia="Calibri"/>
          <w:sz w:val="22"/>
          <w:szCs w:val="22"/>
          <w:lang w:val="sr-Latn-ME"/>
        </w:rPr>
        <w:t>1/10); povremena (≥</w:t>
      </w:r>
      <w:r w:rsidR="00C53A26" w:rsidRPr="00D95F2B">
        <w:rPr>
          <w:rFonts w:eastAsia="Calibri"/>
          <w:sz w:val="22"/>
          <w:szCs w:val="22"/>
          <w:lang w:val="sr-Latn-ME"/>
        </w:rPr>
        <w:t xml:space="preserve"> </w:t>
      </w:r>
      <w:r w:rsidRPr="00D95F2B">
        <w:rPr>
          <w:rFonts w:eastAsia="Calibri"/>
          <w:sz w:val="22"/>
          <w:szCs w:val="22"/>
          <w:lang w:val="sr-Latn-ME"/>
        </w:rPr>
        <w:t>1/1 000 do &lt;</w:t>
      </w:r>
      <w:r w:rsidR="00C53A26" w:rsidRPr="00D95F2B">
        <w:rPr>
          <w:rFonts w:eastAsia="Calibri"/>
          <w:sz w:val="22"/>
          <w:szCs w:val="22"/>
          <w:lang w:val="sr-Latn-ME"/>
        </w:rPr>
        <w:t xml:space="preserve"> </w:t>
      </w:r>
      <w:r w:rsidRPr="00D95F2B">
        <w:rPr>
          <w:rFonts w:eastAsia="Calibri"/>
          <w:sz w:val="22"/>
          <w:szCs w:val="22"/>
          <w:lang w:val="sr-Latn-ME"/>
        </w:rPr>
        <w:t>1/100); rijetka (≥</w:t>
      </w:r>
      <w:r w:rsidR="00C53A26" w:rsidRPr="00D95F2B">
        <w:rPr>
          <w:rFonts w:eastAsia="Calibri"/>
          <w:sz w:val="22"/>
          <w:szCs w:val="22"/>
          <w:lang w:val="sr-Latn-ME"/>
        </w:rPr>
        <w:t xml:space="preserve"> </w:t>
      </w:r>
      <w:r w:rsidRPr="00D95F2B">
        <w:rPr>
          <w:rFonts w:eastAsia="Calibri"/>
          <w:sz w:val="22"/>
          <w:szCs w:val="22"/>
          <w:lang w:val="sr-Latn-ME"/>
        </w:rPr>
        <w:t>1/10 000 do &lt;</w:t>
      </w:r>
      <w:r w:rsidR="00C53A26" w:rsidRPr="00D95F2B">
        <w:rPr>
          <w:rFonts w:eastAsia="Calibri"/>
          <w:sz w:val="22"/>
          <w:szCs w:val="22"/>
          <w:lang w:val="sr-Latn-ME"/>
        </w:rPr>
        <w:t xml:space="preserve"> </w:t>
      </w:r>
      <w:r w:rsidRPr="00D95F2B">
        <w:rPr>
          <w:rFonts w:eastAsia="Calibri"/>
          <w:sz w:val="22"/>
          <w:szCs w:val="22"/>
          <w:lang w:val="sr-Latn-ME"/>
        </w:rPr>
        <w:t>1/1 000); veoma rijetka (&lt;</w:t>
      </w:r>
      <w:r w:rsidR="00C53A26" w:rsidRPr="00D95F2B">
        <w:rPr>
          <w:rFonts w:eastAsia="Calibri"/>
          <w:sz w:val="22"/>
          <w:szCs w:val="22"/>
          <w:lang w:val="sr-Latn-ME"/>
        </w:rPr>
        <w:t xml:space="preserve"> </w:t>
      </w:r>
      <w:r w:rsidRPr="00D95F2B">
        <w:rPr>
          <w:rFonts w:eastAsia="Calibri"/>
          <w:sz w:val="22"/>
          <w:szCs w:val="22"/>
          <w:lang w:val="sr-Latn-ME"/>
        </w:rPr>
        <w:t xml:space="preserve">1/10 000); nepoznata (ne može biti procjenjena iz raspoloživih podataka). U okviru svake grupe učestalosti, </w:t>
      </w:r>
      <w:r w:rsidR="00C229F5" w:rsidRPr="00D95F2B">
        <w:rPr>
          <w:rFonts w:eastAsia="Calibri"/>
          <w:sz w:val="22"/>
          <w:szCs w:val="22"/>
          <w:lang w:val="sr-Latn-ME"/>
        </w:rPr>
        <w:t xml:space="preserve">neželjena dejstva </w:t>
      </w:r>
      <w:r w:rsidRPr="00D95F2B">
        <w:rPr>
          <w:rFonts w:eastAsia="Calibri"/>
          <w:sz w:val="22"/>
          <w:szCs w:val="22"/>
          <w:lang w:val="sr-Latn-ME"/>
        </w:rPr>
        <w:t xml:space="preserve">su </w:t>
      </w:r>
      <w:r w:rsidR="00C229F5" w:rsidRPr="00D95F2B">
        <w:rPr>
          <w:rFonts w:eastAsia="Calibri"/>
          <w:sz w:val="22"/>
          <w:szCs w:val="22"/>
          <w:lang w:val="sr-Latn-ME"/>
        </w:rPr>
        <w:t xml:space="preserve">prikazana </w:t>
      </w:r>
      <w:r w:rsidRPr="00D95F2B">
        <w:rPr>
          <w:rFonts w:eastAsia="Calibri"/>
          <w:sz w:val="22"/>
          <w:szCs w:val="22"/>
          <w:lang w:val="sr-Latn-ME"/>
        </w:rPr>
        <w:t>po opadajućem stepenu ozbiljnosti.</w:t>
      </w:r>
    </w:p>
    <w:p w14:paraId="733E01FF" w14:textId="017A7819" w:rsidR="001160EC" w:rsidRDefault="001160EC" w:rsidP="001160EC">
      <w:pPr>
        <w:rPr>
          <w:rFonts w:eastAsia="Calibri"/>
          <w:sz w:val="22"/>
          <w:szCs w:val="22"/>
          <w:lang w:val="sr-Latn-ME"/>
        </w:rPr>
      </w:pPr>
    </w:p>
    <w:p w14:paraId="2CDF84EE" w14:textId="083EC23C" w:rsidR="001160EC" w:rsidRPr="00D95F2B" w:rsidRDefault="001160EC" w:rsidP="00720885">
      <w:pPr>
        <w:jc w:val="both"/>
        <w:rPr>
          <w:rFonts w:eastAsia="Calibri"/>
          <w:b/>
          <w:bCs/>
          <w:sz w:val="22"/>
          <w:szCs w:val="22"/>
          <w:lang w:val="sr-Latn-ME"/>
        </w:rPr>
      </w:pPr>
      <w:r w:rsidRPr="00D95F2B">
        <w:rPr>
          <w:rFonts w:eastAsia="Calibri"/>
          <w:b/>
          <w:bCs/>
          <w:sz w:val="22"/>
          <w:szCs w:val="22"/>
          <w:lang w:val="sr-Latn-ME"/>
        </w:rPr>
        <w:lastRenderedPageBreak/>
        <w:t>Tabela 1 Neželjena dejstva u dugotrajnim kontrolisanim</w:t>
      </w:r>
      <w:r w:rsidR="0012459D" w:rsidRPr="00D95F2B">
        <w:rPr>
          <w:rFonts w:eastAsia="Calibri"/>
          <w:b/>
          <w:bCs/>
          <w:sz w:val="22"/>
          <w:szCs w:val="22"/>
          <w:lang w:val="sr-Latn-ME"/>
        </w:rPr>
        <w:t xml:space="preserve"> kliničkim</w:t>
      </w:r>
      <w:r w:rsidRPr="00D95F2B">
        <w:rPr>
          <w:rFonts w:eastAsia="Calibri"/>
          <w:b/>
          <w:bCs/>
          <w:sz w:val="22"/>
          <w:szCs w:val="22"/>
          <w:lang w:val="sr-Latn-ME"/>
        </w:rPr>
        <w:t xml:space="preserve"> ispitivanjima faze 3a, iz dugotrajnog ispitivanja kardiovaskularnih ishoda (LEADER) i spontan</w:t>
      </w:r>
      <w:r w:rsidR="0012459D" w:rsidRPr="00D95F2B">
        <w:rPr>
          <w:rFonts w:eastAsia="Calibri"/>
          <w:b/>
          <w:bCs/>
          <w:sz w:val="22"/>
          <w:szCs w:val="22"/>
          <w:lang w:val="sr-Latn-ME"/>
        </w:rPr>
        <w:t>ih</w:t>
      </w:r>
      <w:r w:rsidRPr="00D95F2B">
        <w:rPr>
          <w:rFonts w:eastAsia="Calibri"/>
          <w:b/>
          <w:bCs/>
          <w:sz w:val="22"/>
          <w:szCs w:val="22"/>
          <w:lang w:val="sr-Latn-ME"/>
        </w:rPr>
        <w:t xml:space="preserve"> (post-marketinšk</w:t>
      </w:r>
      <w:r w:rsidR="0012459D" w:rsidRPr="00D95F2B">
        <w:rPr>
          <w:rFonts w:eastAsia="Calibri"/>
          <w:b/>
          <w:bCs/>
          <w:sz w:val="22"/>
          <w:szCs w:val="22"/>
          <w:lang w:val="sr-Latn-ME"/>
        </w:rPr>
        <w:t>ih</w:t>
      </w:r>
      <w:r w:rsidRPr="00D95F2B">
        <w:rPr>
          <w:rFonts w:eastAsia="Calibri"/>
          <w:b/>
          <w:bCs/>
          <w:sz w:val="22"/>
          <w:szCs w:val="22"/>
          <w:lang w:val="sr-Latn-ME"/>
        </w:rPr>
        <w:t>) prijav</w:t>
      </w:r>
      <w:r w:rsidR="0012459D" w:rsidRPr="00D95F2B">
        <w:rPr>
          <w:rFonts w:eastAsia="Calibri"/>
          <w:b/>
          <w:bCs/>
          <w:sz w:val="22"/>
          <w:szCs w:val="22"/>
          <w:lang w:val="sr-Latn-ME"/>
        </w:rPr>
        <w:t>a</w:t>
      </w:r>
    </w:p>
    <w:p w14:paraId="15FB6A84" w14:textId="77777777" w:rsidR="001160EC" w:rsidRPr="00D95F2B" w:rsidRDefault="001160EC" w:rsidP="001160EC">
      <w:pPr>
        <w:rPr>
          <w:rFonts w:eastAsia="Calibri"/>
          <w:sz w:val="22"/>
          <w:szCs w:val="22"/>
          <w:lang w:val="sr-Latn-M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999"/>
        <w:gridCol w:w="1866"/>
        <w:gridCol w:w="1463"/>
        <w:gridCol w:w="1414"/>
        <w:gridCol w:w="1316"/>
        <w:gridCol w:w="1219"/>
      </w:tblGrid>
      <w:tr w:rsidR="00F9175C" w:rsidRPr="00D95F2B" w14:paraId="49EC84DF" w14:textId="2FC5BE11"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69320B70" w14:textId="77777777" w:rsidR="00F9175C" w:rsidRPr="00D95F2B" w:rsidRDefault="00F9175C" w:rsidP="00F9175C">
            <w:pPr>
              <w:tabs>
                <w:tab w:val="left" w:pos="284"/>
                <w:tab w:val="left" w:pos="612"/>
                <w:tab w:val="center" w:pos="4536"/>
                <w:tab w:val="right" w:pos="9072"/>
              </w:tabs>
              <w:jc w:val="both"/>
              <w:rPr>
                <w:b/>
                <w:sz w:val="22"/>
                <w:szCs w:val="22"/>
                <w:lang w:val="sr-Latn-ME"/>
              </w:rPr>
            </w:pPr>
            <w:r w:rsidRPr="00D95F2B">
              <w:rPr>
                <w:b/>
                <w:sz w:val="22"/>
                <w:szCs w:val="22"/>
                <w:lang w:val="sr-Latn-ME"/>
              </w:rPr>
              <w:t>MedDRA klasifikacija sistema organa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EDBE73" w14:textId="77777777" w:rsidR="00F9175C" w:rsidRPr="00D95F2B" w:rsidRDefault="00F9175C" w:rsidP="00F9175C">
            <w:pPr>
              <w:tabs>
                <w:tab w:val="left" w:pos="612"/>
                <w:tab w:val="center" w:pos="4536"/>
                <w:tab w:val="right" w:pos="9072"/>
              </w:tabs>
              <w:jc w:val="center"/>
              <w:rPr>
                <w:b/>
                <w:sz w:val="22"/>
                <w:szCs w:val="22"/>
                <w:lang w:val="sr-Latn-ME"/>
              </w:rPr>
            </w:pPr>
            <w:r w:rsidRPr="00D95F2B">
              <w:rPr>
                <w:b/>
                <w:sz w:val="22"/>
                <w:szCs w:val="22"/>
                <w:lang w:val="sr-Latn-ME"/>
              </w:rPr>
              <w:t>Veoma često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B017CC" w14:textId="77777777" w:rsidR="00F9175C" w:rsidRPr="00D95F2B" w:rsidRDefault="00F9175C" w:rsidP="00F9175C">
            <w:pPr>
              <w:tabs>
                <w:tab w:val="left" w:pos="612"/>
                <w:tab w:val="center" w:pos="4536"/>
                <w:tab w:val="right" w:pos="9072"/>
              </w:tabs>
              <w:jc w:val="center"/>
              <w:rPr>
                <w:b/>
                <w:sz w:val="22"/>
                <w:szCs w:val="22"/>
                <w:lang w:val="sr-Latn-ME"/>
              </w:rPr>
            </w:pPr>
            <w:r w:rsidRPr="00D95F2B">
              <w:rPr>
                <w:b/>
                <w:sz w:val="22"/>
                <w:szCs w:val="22"/>
                <w:lang w:val="sr-Latn-ME"/>
              </w:rPr>
              <w:t>Često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8DB4AA" w14:textId="77777777" w:rsidR="00F9175C" w:rsidRPr="00D95F2B" w:rsidRDefault="00F9175C" w:rsidP="00F9175C">
            <w:pPr>
              <w:tabs>
                <w:tab w:val="left" w:pos="612"/>
                <w:tab w:val="center" w:pos="4536"/>
                <w:tab w:val="right" w:pos="9072"/>
              </w:tabs>
              <w:jc w:val="center"/>
              <w:rPr>
                <w:b/>
                <w:sz w:val="22"/>
                <w:szCs w:val="22"/>
                <w:lang w:val="sr-Latn-ME"/>
              </w:rPr>
            </w:pPr>
            <w:r w:rsidRPr="00D95F2B">
              <w:rPr>
                <w:b/>
                <w:sz w:val="22"/>
                <w:szCs w:val="22"/>
                <w:lang w:val="sr-Latn-ME"/>
              </w:rPr>
              <w:t>Povremeno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58C982" w14:textId="77777777" w:rsidR="00F9175C" w:rsidRPr="00D95F2B" w:rsidRDefault="00F9175C" w:rsidP="00F9175C">
            <w:pPr>
              <w:tabs>
                <w:tab w:val="left" w:pos="612"/>
                <w:tab w:val="center" w:pos="4536"/>
                <w:tab w:val="right" w:pos="9072"/>
              </w:tabs>
              <w:jc w:val="center"/>
              <w:rPr>
                <w:b/>
                <w:sz w:val="22"/>
                <w:szCs w:val="22"/>
                <w:lang w:val="sr-Latn-ME"/>
              </w:rPr>
            </w:pPr>
            <w:r w:rsidRPr="00D95F2B">
              <w:rPr>
                <w:b/>
                <w:sz w:val="22"/>
                <w:szCs w:val="22"/>
                <w:lang w:val="sr-Latn-ME"/>
              </w:rPr>
              <w:t>Rijetko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373B59" w14:textId="77777777" w:rsidR="00F9175C" w:rsidRPr="00D95F2B" w:rsidRDefault="00F9175C" w:rsidP="00F9175C">
            <w:pPr>
              <w:tabs>
                <w:tab w:val="left" w:pos="612"/>
                <w:tab w:val="center" w:pos="4536"/>
                <w:tab w:val="right" w:pos="9072"/>
              </w:tabs>
              <w:jc w:val="center"/>
              <w:rPr>
                <w:b/>
                <w:sz w:val="22"/>
                <w:szCs w:val="22"/>
                <w:lang w:val="sr-Latn-ME"/>
              </w:rPr>
            </w:pPr>
            <w:r w:rsidRPr="00D95F2B">
              <w:rPr>
                <w:b/>
                <w:sz w:val="22"/>
                <w:szCs w:val="22"/>
                <w:lang w:val="sr-Latn-ME"/>
              </w:rPr>
              <w:t>Veoma rijetko</w:t>
            </w:r>
          </w:p>
        </w:tc>
        <w:tc>
          <w:tcPr>
            <w:tcW w:w="1238" w:type="dxa"/>
            <w:tcBorders>
              <w:top w:val="single" w:sz="4" w:space="0" w:color="000000"/>
              <w:left w:val="single" w:sz="4" w:space="0" w:color="000000"/>
              <w:bottom w:val="single" w:sz="4" w:space="0" w:color="000000"/>
              <w:right w:val="single" w:sz="4" w:space="0" w:color="000000"/>
            </w:tcBorders>
            <w:vAlign w:val="center"/>
          </w:tcPr>
          <w:p w14:paraId="50196160" w14:textId="34931321" w:rsidR="00F9175C" w:rsidRPr="00D95F2B" w:rsidRDefault="00F9175C" w:rsidP="00F9175C">
            <w:pPr>
              <w:tabs>
                <w:tab w:val="left" w:pos="612"/>
                <w:tab w:val="center" w:pos="4536"/>
                <w:tab w:val="right" w:pos="9072"/>
              </w:tabs>
              <w:jc w:val="center"/>
              <w:rPr>
                <w:b/>
                <w:sz w:val="22"/>
                <w:szCs w:val="22"/>
                <w:lang w:val="sr-Latn-ME"/>
              </w:rPr>
            </w:pPr>
            <w:r w:rsidRPr="00D95F2B">
              <w:rPr>
                <w:b/>
                <w:sz w:val="22"/>
                <w:szCs w:val="22"/>
                <w:lang w:val="sr-Latn-ME"/>
              </w:rPr>
              <w:t>Nepoznato</w:t>
            </w:r>
          </w:p>
        </w:tc>
      </w:tr>
      <w:tr w:rsidR="00F9175C" w:rsidRPr="00D95F2B" w14:paraId="5BB5C36D" w14:textId="78B9797C"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11B23A0E"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Infekcije i infestacije</w:t>
            </w:r>
          </w:p>
        </w:tc>
        <w:tc>
          <w:tcPr>
            <w:tcW w:w="0" w:type="auto"/>
            <w:tcBorders>
              <w:top w:val="single" w:sz="4" w:space="0" w:color="000000"/>
              <w:left w:val="single" w:sz="4" w:space="0" w:color="000000"/>
              <w:bottom w:val="single" w:sz="4" w:space="0" w:color="000000"/>
              <w:right w:val="single" w:sz="4" w:space="0" w:color="000000"/>
            </w:tcBorders>
            <w:vAlign w:val="center"/>
          </w:tcPr>
          <w:p w14:paraId="7D69D2CB"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C8C049"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Nazofaringitis</w:t>
            </w:r>
          </w:p>
          <w:p w14:paraId="3385AB2E"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Bronhitis</w:t>
            </w:r>
          </w:p>
        </w:tc>
        <w:tc>
          <w:tcPr>
            <w:tcW w:w="0" w:type="auto"/>
            <w:tcBorders>
              <w:top w:val="single" w:sz="4" w:space="0" w:color="000000"/>
              <w:left w:val="single" w:sz="4" w:space="0" w:color="000000"/>
              <w:bottom w:val="single" w:sz="4" w:space="0" w:color="000000"/>
              <w:right w:val="single" w:sz="4" w:space="0" w:color="000000"/>
            </w:tcBorders>
            <w:vAlign w:val="center"/>
          </w:tcPr>
          <w:p w14:paraId="2A04C473"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3F14739"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460836"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E769389"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4813E7C2" w14:textId="2606FAF6"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67171532" w14:textId="77777777" w:rsidR="00F9175C" w:rsidRPr="00D95F2B" w:rsidRDefault="00F9175C" w:rsidP="00F9175C">
            <w:pPr>
              <w:tabs>
                <w:tab w:val="left" w:pos="284"/>
                <w:tab w:val="left" w:pos="612"/>
                <w:tab w:val="center" w:pos="4536"/>
                <w:tab w:val="right" w:pos="9072"/>
              </w:tabs>
              <w:rPr>
                <w:sz w:val="22"/>
                <w:szCs w:val="22"/>
                <w:lang w:val="sr-Latn-ME"/>
              </w:rPr>
            </w:pPr>
            <w:r w:rsidRPr="00D95F2B">
              <w:rPr>
                <w:sz w:val="22"/>
                <w:szCs w:val="22"/>
                <w:lang w:val="sr-Latn-ME"/>
              </w:rPr>
              <w:t xml:space="preserve">Imunološki poremećaji </w:t>
            </w:r>
          </w:p>
        </w:tc>
        <w:tc>
          <w:tcPr>
            <w:tcW w:w="0" w:type="auto"/>
            <w:tcBorders>
              <w:top w:val="single" w:sz="4" w:space="0" w:color="000000"/>
              <w:left w:val="single" w:sz="4" w:space="0" w:color="000000"/>
              <w:bottom w:val="single" w:sz="4" w:space="0" w:color="000000"/>
              <w:right w:val="single" w:sz="4" w:space="0" w:color="000000"/>
            </w:tcBorders>
            <w:vAlign w:val="center"/>
          </w:tcPr>
          <w:p w14:paraId="7B950EE1"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68C746"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B193E1"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831B92"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Anafilaktičke reakcije</w:t>
            </w:r>
          </w:p>
        </w:tc>
        <w:tc>
          <w:tcPr>
            <w:tcW w:w="0" w:type="auto"/>
            <w:tcBorders>
              <w:top w:val="single" w:sz="4" w:space="0" w:color="000000"/>
              <w:left w:val="single" w:sz="4" w:space="0" w:color="000000"/>
              <w:bottom w:val="single" w:sz="4" w:space="0" w:color="000000"/>
              <w:right w:val="single" w:sz="4" w:space="0" w:color="000000"/>
            </w:tcBorders>
            <w:vAlign w:val="center"/>
          </w:tcPr>
          <w:p w14:paraId="19C57B32"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4D68382"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21D425CA" w14:textId="648011C1"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3EAED8F7"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Poremećaji metabolizma i ishrane</w:t>
            </w:r>
          </w:p>
        </w:tc>
        <w:tc>
          <w:tcPr>
            <w:tcW w:w="0" w:type="auto"/>
            <w:tcBorders>
              <w:top w:val="single" w:sz="4" w:space="0" w:color="000000"/>
              <w:left w:val="single" w:sz="4" w:space="0" w:color="000000"/>
              <w:bottom w:val="single" w:sz="4" w:space="0" w:color="000000"/>
              <w:right w:val="single" w:sz="4" w:space="0" w:color="000000"/>
            </w:tcBorders>
            <w:vAlign w:val="center"/>
          </w:tcPr>
          <w:p w14:paraId="54C64D40"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8E8211"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Hipoglikemija</w:t>
            </w:r>
          </w:p>
          <w:p w14:paraId="34209CA5" w14:textId="7BEEDE6B"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Anoreksija</w:t>
            </w:r>
          </w:p>
          <w:p w14:paraId="622630F1"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Smanjen apetit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3086EF"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Dehidratacija</w:t>
            </w:r>
          </w:p>
        </w:tc>
        <w:tc>
          <w:tcPr>
            <w:tcW w:w="0" w:type="auto"/>
            <w:tcBorders>
              <w:top w:val="single" w:sz="4" w:space="0" w:color="000000"/>
              <w:left w:val="single" w:sz="4" w:space="0" w:color="000000"/>
              <w:bottom w:val="single" w:sz="4" w:space="0" w:color="000000"/>
              <w:right w:val="single" w:sz="4" w:space="0" w:color="000000"/>
            </w:tcBorders>
            <w:vAlign w:val="center"/>
          </w:tcPr>
          <w:p w14:paraId="56B5628D"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792B270"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035F8F3"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1573B7DA" w14:textId="519C41F7"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62BA8B93"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Poremećaji nervnog sistema</w:t>
            </w:r>
          </w:p>
        </w:tc>
        <w:tc>
          <w:tcPr>
            <w:tcW w:w="0" w:type="auto"/>
            <w:tcBorders>
              <w:top w:val="single" w:sz="4" w:space="0" w:color="000000"/>
              <w:left w:val="single" w:sz="4" w:space="0" w:color="000000"/>
              <w:bottom w:val="single" w:sz="4" w:space="0" w:color="000000"/>
              <w:right w:val="single" w:sz="4" w:space="0" w:color="000000"/>
            </w:tcBorders>
            <w:vAlign w:val="center"/>
          </w:tcPr>
          <w:p w14:paraId="29897466"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33969"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Glavobolja</w:t>
            </w:r>
          </w:p>
          <w:p w14:paraId="42FE2824"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Vrtoglavica</w:t>
            </w:r>
          </w:p>
        </w:tc>
        <w:tc>
          <w:tcPr>
            <w:tcW w:w="0" w:type="auto"/>
            <w:tcBorders>
              <w:top w:val="single" w:sz="4" w:space="0" w:color="000000"/>
              <w:left w:val="single" w:sz="4" w:space="0" w:color="000000"/>
              <w:bottom w:val="single" w:sz="4" w:space="0" w:color="000000"/>
              <w:right w:val="single" w:sz="4" w:space="0" w:color="000000"/>
            </w:tcBorders>
            <w:vAlign w:val="center"/>
          </w:tcPr>
          <w:p w14:paraId="2B56D35B" w14:textId="68CD7C5E"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Disgeuzija</w:t>
            </w:r>
          </w:p>
        </w:tc>
        <w:tc>
          <w:tcPr>
            <w:tcW w:w="0" w:type="auto"/>
            <w:tcBorders>
              <w:top w:val="single" w:sz="4" w:space="0" w:color="000000"/>
              <w:left w:val="single" w:sz="4" w:space="0" w:color="000000"/>
              <w:bottom w:val="single" w:sz="4" w:space="0" w:color="000000"/>
              <w:right w:val="single" w:sz="4" w:space="0" w:color="000000"/>
            </w:tcBorders>
            <w:vAlign w:val="center"/>
          </w:tcPr>
          <w:p w14:paraId="3CF72193"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FCFE43C"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29B89B4"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7C0C096B" w14:textId="53FEAA96"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1360E8F6"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Kardiološki poremećaji</w:t>
            </w:r>
          </w:p>
        </w:tc>
        <w:tc>
          <w:tcPr>
            <w:tcW w:w="0" w:type="auto"/>
            <w:tcBorders>
              <w:top w:val="single" w:sz="4" w:space="0" w:color="000000"/>
              <w:left w:val="single" w:sz="4" w:space="0" w:color="000000"/>
              <w:bottom w:val="single" w:sz="4" w:space="0" w:color="000000"/>
              <w:right w:val="single" w:sz="4" w:space="0" w:color="000000"/>
            </w:tcBorders>
            <w:vAlign w:val="center"/>
          </w:tcPr>
          <w:p w14:paraId="07D5D2C7"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03D29E"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Ubrzan rad srca</w:t>
            </w:r>
          </w:p>
        </w:tc>
        <w:tc>
          <w:tcPr>
            <w:tcW w:w="0" w:type="auto"/>
            <w:tcBorders>
              <w:top w:val="single" w:sz="4" w:space="0" w:color="000000"/>
              <w:left w:val="single" w:sz="4" w:space="0" w:color="000000"/>
              <w:bottom w:val="single" w:sz="4" w:space="0" w:color="000000"/>
              <w:right w:val="single" w:sz="4" w:space="0" w:color="000000"/>
            </w:tcBorders>
            <w:vAlign w:val="center"/>
          </w:tcPr>
          <w:p w14:paraId="7AB3C552"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A5D765"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451A3A"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6BE3216B"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324C41EC" w14:textId="0385F96A"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74D252B7"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Gastrointestinalni poremećaji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C38A2"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Mučnina</w:t>
            </w:r>
          </w:p>
          <w:p w14:paraId="26D565F6"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Dijareja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B5504D"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Povraćanje</w:t>
            </w:r>
          </w:p>
          <w:p w14:paraId="3DD6942E"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Dispepsija</w:t>
            </w:r>
          </w:p>
          <w:p w14:paraId="6BFF8C5D"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Bol u gornjem dijelu stomaka</w:t>
            </w:r>
          </w:p>
          <w:p w14:paraId="45B8BBF4"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Zatvor</w:t>
            </w:r>
          </w:p>
          <w:p w14:paraId="5B0F5655"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Gastritis</w:t>
            </w:r>
          </w:p>
          <w:p w14:paraId="766FDAC9"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Nadimanje</w:t>
            </w:r>
          </w:p>
          <w:p w14:paraId="3C293E0A"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Nadutost stomaka</w:t>
            </w:r>
          </w:p>
          <w:p w14:paraId="153DEA90"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Gastroezofagealno refluksno oboljenje</w:t>
            </w:r>
          </w:p>
          <w:p w14:paraId="035C637E"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Stomačne smetnje</w:t>
            </w:r>
          </w:p>
          <w:p w14:paraId="0A618FB3"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Zubobolja</w:t>
            </w:r>
          </w:p>
        </w:tc>
        <w:tc>
          <w:tcPr>
            <w:tcW w:w="0" w:type="auto"/>
            <w:tcBorders>
              <w:top w:val="single" w:sz="4" w:space="0" w:color="000000"/>
              <w:left w:val="single" w:sz="4" w:space="0" w:color="000000"/>
              <w:bottom w:val="single" w:sz="4" w:space="0" w:color="000000"/>
              <w:right w:val="single" w:sz="4" w:space="0" w:color="000000"/>
            </w:tcBorders>
            <w:vAlign w:val="center"/>
          </w:tcPr>
          <w:p w14:paraId="5BD27EF9"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Odloženo pražnjenje želuca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5DF218"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Intestinalna opstrukcija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1D622D"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Pankreatitis (uključujući nekrotični pankreatitis)</w:t>
            </w:r>
          </w:p>
        </w:tc>
        <w:tc>
          <w:tcPr>
            <w:tcW w:w="1238" w:type="dxa"/>
            <w:tcBorders>
              <w:top w:val="single" w:sz="4" w:space="0" w:color="000000"/>
              <w:left w:val="single" w:sz="4" w:space="0" w:color="000000"/>
              <w:bottom w:val="single" w:sz="4" w:space="0" w:color="000000"/>
              <w:right w:val="single" w:sz="4" w:space="0" w:color="000000"/>
            </w:tcBorders>
            <w:vAlign w:val="center"/>
          </w:tcPr>
          <w:p w14:paraId="45BE0E95" w14:textId="7079ADF9" w:rsidR="00F9175C" w:rsidRPr="00D95F2B" w:rsidRDefault="00F9175C" w:rsidP="00F9175C">
            <w:pPr>
              <w:tabs>
                <w:tab w:val="left" w:pos="612"/>
                <w:tab w:val="center" w:pos="4536"/>
                <w:tab w:val="right" w:pos="9072"/>
              </w:tabs>
              <w:rPr>
                <w:sz w:val="22"/>
                <w:szCs w:val="22"/>
                <w:lang w:val="sr-Latn-ME"/>
              </w:rPr>
            </w:pPr>
          </w:p>
        </w:tc>
      </w:tr>
      <w:tr w:rsidR="00F9175C" w:rsidRPr="00D95F2B" w14:paraId="6AE3DA72" w14:textId="27423103"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3289D207"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Hepatobilijarni poremećaji</w:t>
            </w:r>
          </w:p>
        </w:tc>
        <w:tc>
          <w:tcPr>
            <w:tcW w:w="0" w:type="auto"/>
            <w:tcBorders>
              <w:top w:val="single" w:sz="4" w:space="0" w:color="000000"/>
              <w:left w:val="single" w:sz="4" w:space="0" w:color="000000"/>
              <w:bottom w:val="single" w:sz="4" w:space="0" w:color="000000"/>
              <w:right w:val="single" w:sz="4" w:space="0" w:color="000000"/>
            </w:tcBorders>
            <w:vAlign w:val="center"/>
          </w:tcPr>
          <w:p w14:paraId="6C4B2178"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4FEB03"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F793A7" w14:textId="77777777" w:rsidR="00F9175C" w:rsidRPr="00D95F2B" w:rsidRDefault="00F9175C" w:rsidP="00F9175C">
            <w:pPr>
              <w:tabs>
                <w:tab w:val="left" w:pos="284"/>
                <w:tab w:val="left" w:pos="612"/>
                <w:tab w:val="center" w:pos="4536"/>
                <w:tab w:val="right" w:pos="9072"/>
              </w:tabs>
              <w:rPr>
                <w:sz w:val="22"/>
                <w:szCs w:val="22"/>
                <w:lang w:val="sr-Latn-ME"/>
              </w:rPr>
            </w:pPr>
            <w:r w:rsidRPr="00D95F2B">
              <w:rPr>
                <w:sz w:val="22"/>
                <w:szCs w:val="22"/>
                <w:lang w:val="sr-Latn-ME"/>
              </w:rPr>
              <w:t>Holelitijaza</w:t>
            </w:r>
          </w:p>
          <w:p w14:paraId="19E84509" w14:textId="77777777" w:rsidR="00F9175C" w:rsidRPr="00D95F2B" w:rsidRDefault="00F9175C" w:rsidP="00F9175C">
            <w:pPr>
              <w:tabs>
                <w:tab w:val="left" w:pos="284"/>
                <w:tab w:val="left" w:pos="612"/>
                <w:tab w:val="center" w:pos="4536"/>
                <w:tab w:val="right" w:pos="9072"/>
              </w:tabs>
              <w:rPr>
                <w:sz w:val="22"/>
                <w:szCs w:val="22"/>
                <w:lang w:val="sr-Latn-ME"/>
              </w:rPr>
            </w:pPr>
            <w:r w:rsidRPr="00D95F2B">
              <w:rPr>
                <w:sz w:val="22"/>
                <w:szCs w:val="22"/>
                <w:lang w:val="sr-Latn-ME"/>
              </w:rPr>
              <w:t>Holecistitis</w:t>
            </w:r>
          </w:p>
        </w:tc>
        <w:tc>
          <w:tcPr>
            <w:tcW w:w="0" w:type="auto"/>
            <w:tcBorders>
              <w:top w:val="single" w:sz="4" w:space="0" w:color="000000"/>
              <w:left w:val="single" w:sz="4" w:space="0" w:color="000000"/>
              <w:bottom w:val="single" w:sz="4" w:space="0" w:color="000000"/>
              <w:right w:val="single" w:sz="4" w:space="0" w:color="000000"/>
            </w:tcBorders>
            <w:vAlign w:val="center"/>
          </w:tcPr>
          <w:p w14:paraId="7EAD3C2A"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EA058D"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315F137C"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78E173FA" w14:textId="277B5C42"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42403AA7"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Poremećaji na nivou kože i potkožnog tkiva</w:t>
            </w:r>
          </w:p>
        </w:tc>
        <w:tc>
          <w:tcPr>
            <w:tcW w:w="0" w:type="auto"/>
            <w:tcBorders>
              <w:top w:val="single" w:sz="4" w:space="0" w:color="000000"/>
              <w:left w:val="single" w:sz="4" w:space="0" w:color="000000"/>
              <w:bottom w:val="single" w:sz="4" w:space="0" w:color="000000"/>
              <w:right w:val="single" w:sz="4" w:space="0" w:color="000000"/>
            </w:tcBorders>
            <w:vAlign w:val="center"/>
          </w:tcPr>
          <w:p w14:paraId="35170098"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7E9E96"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Osip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96B263"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Urtikarija</w:t>
            </w:r>
          </w:p>
          <w:p w14:paraId="32466E43"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Svrab</w:t>
            </w:r>
          </w:p>
        </w:tc>
        <w:tc>
          <w:tcPr>
            <w:tcW w:w="0" w:type="auto"/>
            <w:tcBorders>
              <w:top w:val="single" w:sz="4" w:space="0" w:color="000000"/>
              <w:left w:val="single" w:sz="4" w:space="0" w:color="000000"/>
              <w:bottom w:val="single" w:sz="4" w:space="0" w:color="000000"/>
              <w:right w:val="single" w:sz="4" w:space="0" w:color="000000"/>
            </w:tcBorders>
            <w:vAlign w:val="center"/>
          </w:tcPr>
          <w:p w14:paraId="5300C233"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F2711C4"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428F0C25" w14:textId="3B10F5F9"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Kutana amiloidoza</w:t>
            </w:r>
          </w:p>
        </w:tc>
      </w:tr>
      <w:tr w:rsidR="00F9175C" w:rsidRPr="00D95F2B" w14:paraId="6C9D72A4" w14:textId="04D1BBD1"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7C2B2D9C" w14:textId="77777777" w:rsidR="00F9175C" w:rsidRPr="00D95F2B" w:rsidRDefault="00F9175C" w:rsidP="00F9175C">
            <w:pPr>
              <w:tabs>
                <w:tab w:val="left" w:pos="284"/>
                <w:tab w:val="left" w:pos="612"/>
                <w:tab w:val="center" w:pos="4536"/>
                <w:tab w:val="right" w:pos="9072"/>
              </w:tabs>
              <w:rPr>
                <w:sz w:val="22"/>
                <w:szCs w:val="22"/>
                <w:lang w:val="sr-Latn-ME"/>
              </w:rPr>
            </w:pPr>
            <w:r w:rsidRPr="00D95F2B">
              <w:rPr>
                <w:sz w:val="22"/>
                <w:szCs w:val="22"/>
                <w:lang w:val="sr-Latn-ME"/>
              </w:rPr>
              <w:t xml:space="preserve">Poremećaji na nivou bubrega i urinarnog sistema </w:t>
            </w:r>
          </w:p>
        </w:tc>
        <w:tc>
          <w:tcPr>
            <w:tcW w:w="0" w:type="auto"/>
            <w:tcBorders>
              <w:top w:val="single" w:sz="4" w:space="0" w:color="000000"/>
              <w:left w:val="single" w:sz="4" w:space="0" w:color="000000"/>
              <w:bottom w:val="single" w:sz="4" w:space="0" w:color="000000"/>
              <w:right w:val="single" w:sz="4" w:space="0" w:color="000000"/>
            </w:tcBorders>
            <w:vAlign w:val="center"/>
          </w:tcPr>
          <w:p w14:paraId="1F81BA2D"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D0179B"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26652F"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Oštećenje bubrega</w:t>
            </w:r>
          </w:p>
          <w:p w14:paraId="7C0487AC"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Akutna bubrežna insuficijencija</w:t>
            </w:r>
          </w:p>
        </w:tc>
        <w:tc>
          <w:tcPr>
            <w:tcW w:w="0" w:type="auto"/>
            <w:tcBorders>
              <w:top w:val="single" w:sz="4" w:space="0" w:color="000000"/>
              <w:left w:val="single" w:sz="4" w:space="0" w:color="000000"/>
              <w:bottom w:val="single" w:sz="4" w:space="0" w:color="000000"/>
              <w:right w:val="single" w:sz="4" w:space="0" w:color="000000"/>
            </w:tcBorders>
            <w:vAlign w:val="center"/>
          </w:tcPr>
          <w:p w14:paraId="54D5DC40"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6F6C60"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D1EE244"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08146163" w14:textId="24DB4463"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6F4400A0"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 xml:space="preserve">Opšti poremećaji i reakcije na mjestu primjene </w:t>
            </w:r>
          </w:p>
        </w:tc>
        <w:tc>
          <w:tcPr>
            <w:tcW w:w="0" w:type="auto"/>
            <w:tcBorders>
              <w:top w:val="single" w:sz="4" w:space="0" w:color="000000"/>
              <w:left w:val="single" w:sz="4" w:space="0" w:color="000000"/>
              <w:bottom w:val="single" w:sz="4" w:space="0" w:color="000000"/>
              <w:right w:val="single" w:sz="4" w:space="0" w:color="000000"/>
            </w:tcBorders>
            <w:vAlign w:val="center"/>
          </w:tcPr>
          <w:p w14:paraId="1ED8EE7E"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420EB3"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Zamor</w:t>
            </w:r>
          </w:p>
          <w:p w14:paraId="183AA1FA" w14:textId="77777777" w:rsidR="00F9175C" w:rsidRPr="00D95F2B" w:rsidRDefault="00F9175C" w:rsidP="00F9175C">
            <w:pPr>
              <w:tabs>
                <w:tab w:val="left" w:pos="284"/>
                <w:tab w:val="left" w:pos="612"/>
                <w:tab w:val="center" w:pos="4536"/>
                <w:tab w:val="right" w:pos="9072"/>
              </w:tabs>
              <w:rPr>
                <w:sz w:val="22"/>
                <w:szCs w:val="22"/>
                <w:lang w:val="sr-Latn-ME"/>
              </w:rPr>
            </w:pPr>
            <w:r w:rsidRPr="00D95F2B">
              <w:rPr>
                <w:sz w:val="22"/>
                <w:szCs w:val="22"/>
                <w:lang w:val="sr-Latn-ME"/>
              </w:rPr>
              <w:t>Reakcije na mjestu primjene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64A919"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Slabost</w:t>
            </w:r>
          </w:p>
        </w:tc>
        <w:tc>
          <w:tcPr>
            <w:tcW w:w="0" w:type="auto"/>
            <w:tcBorders>
              <w:top w:val="single" w:sz="4" w:space="0" w:color="000000"/>
              <w:left w:val="single" w:sz="4" w:space="0" w:color="000000"/>
              <w:bottom w:val="single" w:sz="4" w:space="0" w:color="000000"/>
              <w:right w:val="single" w:sz="4" w:space="0" w:color="000000"/>
            </w:tcBorders>
            <w:vAlign w:val="center"/>
          </w:tcPr>
          <w:p w14:paraId="5CB7F42E"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1F6939"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0ADB6335" w14:textId="77777777" w:rsidR="00F9175C" w:rsidRPr="00D95F2B" w:rsidRDefault="00F9175C" w:rsidP="00F9175C">
            <w:pPr>
              <w:tabs>
                <w:tab w:val="left" w:pos="612"/>
                <w:tab w:val="center" w:pos="4536"/>
                <w:tab w:val="right" w:pos="9072"/>
              </w:tabs>
              <w:rPr>
                <w:sz w:val="22"/>
                <w:szCs w:val="22"/>
                <w:lang w:val="sr-Latn-ME"/>
              </w:rPr>
            </w:pPr>
          </w:p>
        </w:tc>
      </w:tr>
      <w:tr w:rsidR="00F9175C" w:rsidRPr="00D95F2B" w14:paraId="1A2E41D6" w14:textId="1D79A88B" w:rsidTr="002826BC">
        <w:tc>
          <w:tcPr>
            <w:tcW w:w="0" w:type="auto"/>
            <w:tcBorders>
              <w:top w:val="single" w:sz="4" w:space="0" w:color="000000"/>
              <w:left w:val="single" w:sz="4" w:space="0" w:color="000000"/>
              <w:bottom w:val="single" w:sz="4" w:space="0" w:color="000000"/>
              <w:right w:val="single" w:sz="4" w:space="0" w:color="000000"/>
            </w:tcBorders>
            <w:vAlign w:val="center"/>
            <w:hideMark/>
          </w:tcPr>
          <w:p w14:paraId="10E8D6DA"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Ispitivanja</w:t>
            </w:r>
          </w:p>
        </w:tc>
        <w:tc>
          <w:tcPr>
            <w:tcW w:w="0" w:type="auto"/>
            <w:tcBorders>
              <w:top w:val="single" w:sz="4" w:space="0" w:color="000000"/>
              <w:left w:val="single" w:sz="4" w:space="0" w:color="000000"/>
              <w:bottom w:val="single" w:sz="4" w:space="0" w:color="000000"/>
              <w:right w:val="single" w:sz="4" w:space="0" w:color="000000"/>
            </w:tcBorders>
            <w:vAlign w:val="center"/>
          </w:tcPr>
          <w:p w14:paraId="4F873266"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A55EA8" w14:textId="77777777" w:rsidR="00F9175C" w:rsidRPr="00D95F2B" w:rsidRDefault="00F9175C" w:rsidP="00F9175C">
            <w:pPr>
              <w:tabs>
                <w:tab w:val="center" w:pos="4536"/>
                <w:tab w:val="right" w:pos="9072"/>
              </w:tabs>
              <w:jc w:val="both"/>
              <w:rPr>
                <w:sz w:val="22"/>
                <w:szCs w:val="22"/>
                <w:lang w:val="sr-Latn-ME"/>
              </w:rPr>
            </w:pPr>
            <w:r w:rsidRPr="00D95F2B">
              <w:rPr>
                <w:sz w:val="22"/>
                <w:szCs w:val="22"/>
                <w:lang w:val="sr-Latn-ME"/>
              </w:rPr>
              <w:t>Povišen nivo lipaze*</w:t>
            </w:r>
          </w:p>
          <w:p w14:paraId="332D0037" w14:textId="77777777" w:rsidR="00F9175C" w:rsidRPr="00D95F2B" w:rsidRDefault="00F9175C" w:rsidP="00F9175C">
            <w:pPr>
              <w:tabs>
                <w:tab w:val="left" w:pos="612"/>
                <w:tab w:val="center" w:pos="4536"/>
                <w:tab w:val="right" w:pos="9072"/>
              </w:tabs>
              <w:rPr>
                <w:sz w:val="22"/>
                <w:szCs w:val="22"/>
                <w:lang w:val="sr-Latn-ME"/>
              </w:rPr>
            </w:pPr>
            <w:r w:rsidRPr="00D95F2B">
              <w:rPr>
                <w:sz w:val="22"/>
                <w:szCs w:val="22"/>
                <w:lang w:val="sr-Latn-ME"/>
              </w:rPr>
              <w:t>Povišen nivo amilaze*</w:t>
            </w:r>
          </w:p>
        </w:tc>
        <w:tc>
          <w:tcPr>
            <w:tcW w:w="0" w:type="auto"/>
            <w:tcBorders>
              <w:top w:val="single" w:sz="4" w:space="0" w:color="000000"/>
              <w:left w:val="single" w:sz="4" w:space="0" w:color="000000"/>
              <w:bottom w:val="single" w:sz="4" w:space="0" w:color="000000"/>
              <w:right w:val="single" w:sz="4" w:space="0" w:color="000000"/>
            </w:tcBorders>
            <w:vAlign w:val="center"/>
          </w:tcPr>
          <w:p w14:paraId="606E05C3"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7DFE420" w14:textId="77777777" w:rsidR="00F9175C" w:rsidRPr="00D95F2B" w:rsidRDefault="00F9175C" w:rsidP="00F9175C">
            <w:pPr>
              <w:tabs>
                <w:tab w:val="left" w:pos="612"/>
                <w:tab w:val="center" w:pos="4536"/>
                <w:tab w:val="right" w:pos="9072"/>
              </w:tabs>
              <w:rPr>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3F9B1B" w14:textId="77777777" w:rsidR="00F9175C" w:rsidRPr="00D95F2B" w:rsidRDefault="00F9175C" w:rsidP="00F9175C">
            <w:pPr>
              <w:tabs>
                <w:tab w:val="left" w:pos="612"/>
                <w:tab w:val="center" w:pos="4536"/>
                <w:tab w:val="right" w:pos="9072"/>
              </w:tabs>
              <w:rPr>
                <w:sz w:val="22"/>
                <w:szCs w:val="22"/>
                <w:lang w:val="sr-Latn-ME"/>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F43B07D" w14:textId="77777777" w:rsidR="00F9175C" w:rsidRPr="00D95F2B" w:rsidRDefault="00F9175C" w:rsidP="00F9175C">
            <w:pPr>
              <w:tabs>
                <w:tab w:val="left" w:pos="612"/>
                <w:tab w:val="center" w:pos="4536"/>
                <w:tab w:val="right" w:pos="9072"/>
              </w:tabs>
              <w:rPr>
                <w:sz w:val="22"/>
                <w:szCs w:val="22"/>
                <w:lang w:val="sr-Latn-ME"/>
              </w:rPr>
            </w:pPr>
          </w:p>
        </w:tc>
      </w:tr>
    </w:tbl>
    <w:p w14:paraId="7BA07F36" w14:textId="42BFE80B" w:rsidR="001160EC" w:rsidRPr="00D95F2B" w:rsidRDefault="001160EC" w:rsidP="001160EC">
      <w:pPr>
        <w:rPr>
          <w:rFonts w:eastAsia="Calibri"/>
          <w:sz w:val="22"/>
          <w:szCs w:val="22"/>
          <w:lang w:val="sr-Latn-ME"/>
        </w:rPr>
      </w:pPr>
      <w:r w:rsidRPr="00D95F2B">
        <w:rPr>
          <w:rFonts w:eastAsia="Calibri"/>
          <w:sz w:val="20"/>
          <w:szCs w:val="20"/>
          <w:lang w:val="sr-Latn-ME"/>
        </w:rPr>
        <w:t>* Iz kontrolisanih kliničkih ispitivanja faze 3b i 4 samo tamo gd</w:t>
      </w:r>
      <w:r w:rsidR="00C53A26" w:rsidRPr="00D95F2B">
        <w:rPr>
          <w:rFonts w:eastAsia="Calibri"/>
          <w:sz w:val="20"/>
          <w:szCs w:val="20"/>
          <w:lang w:val="sr-Latn-ME"/>
        </w:rPr>
        <w:t>j</w:t>
      </w:r>
      <w:r w:rsidRPr="00D95F2B">
        <w:rPr>
          <w:rFonts w:eastAsia="Calibri"/>
          <w:sz w:val="20"/>
          <w:szCs w:val="20"/>
          <w:lang w:val="sr-Latn-ME"/>
        </w:rPr>
        <w:t>e su m</w:t>
      </w:r>
      <w:r w:rsidR="00347D78" w:rsidRPr="00D95F2B">
        <w:rPr>
          <w:rFonts w:eastAsia="Calibri"/>
          <w:sz w:val="20"/>
          <w:szCs w:val="20"/>
          <w:lang w:val="sr-Latn-ME"/>
        </w:rPr>
        <w:t>j</w:t>
      </w:r>
      <w:r w:rsidRPr="00D95F2B">
        <w:rPr>
          <w:rFonts w:eastAsia="Calibri"/>
          <w:sz w:val="20"/>
          <w:szCs w:val="20"/>
          <w:lang w:val="sr-Latn-ME"/>
        </w:rPr>
        <w:t>erene.</w:t>
      </w:r>
    </w:p>
    <w:p w14:paraId="573D3DF7" w14:textId="77777777" w:rsidR="001160EC" w:rsidRPr="00D95F2B" w:rsidRDefault="001160EC" w:rsidP="001160EC">
      <w:pPr>
        <w:rPr>
          <w:rFonts w:eastAsia="Calibri"/>
          <w:sz w:val="22"/>
          <w:szCs w:val="22"/>
          <w:lang w:val="sr-Latn-ME"/>
        </w:rPr>
      </w:pPr>
    </w:p>
    <w:p w14:paraId="637F169A" w14:textId="77777777" w:rsidR="001160EC" w:rsidRPr="00D95F2B" w:rsidRDefault="001160EC" w:rsidP="001160EC">
      <w:pPr>
        <w:rPr>
          <w:rFonts w:eastAsia="Calibri"/>
          <w:sz w:val="22"/>
          <w:szCs w:val="22"/>
          <w:u w:val="single"/>
          <w:lang w:val="sr-Latn-ME"/>
        </w:rPr>
      </w:pPr>
      <w:r w:rsidRPr="00D95F2B">
        <w:rPr>
          <w:rFonts w:eastAsia="Calibri"/>
          <w:sz w:val="22"/>
          <w:szCs w:val="22"/>
          <w:u w:val="single"/>
          <w:lang w:val="sr-Latn-ME"/>
        </w:rPr>
        <w:t>Opis određenih neželjenih dejstava</w:t>
      </w:r>
    </w:p>
    <w:p w14:paraId="1D93050A" w14:textId="77777777" w:rsidR="001160EC" w:rsidRPr="00D95F2B" w:rsidRDefault="001160EC" w:rsidP="001160EC">
      <w:pPr>
        <w:rPr>
          <w:rFonts w:eastAsia="Calibri"/>
          <w:sz w:val="22"/>
          <w:szCs w:val="22"/>
          <w:lang w:val="sr-Latn-ME"/>
        </w:rPr>
      </w:pPr>
    </w:p>
    <w:p w14:paraId="2C35041C" w14:textId="694A8F3F" w:rsidR="00490E2B" w:rsidRPr="00D95F2B" w:rsidRDefault="00490E2B" w:rsidP="00AB551E">
      <w:pPr>
        <w:jc w:val="both"/>
        <w:rPr>
          <w:rFonts w:eastAsia="Calibri"/>
          <w:sz w:val="22"/>
          <w:szCs w:val="22"/>
          <w:lang w:val="sr-Latn-ME"/>
        </w:rPr>
      </w:pPr>
      <w:r w:rsidRPr="00D95F2B">
        <w:rPr>
          <w:rFonts w:eastAsia="Calibri"/>
          <w:sz w:val="22"/>
          <w:szCs w:val="22"/>
          <w:lang w:val="sr-Latn-ME"/>
        </w:rPr>
        <w:t>U jednom kliničkom ispitivanju sa liraglutidom prim</w:t>
      </w:r>
      <w:r w:rsidR="00A21359" w:rsidRPr="00D95F2B">
        <w:rPr>
          <w:rFonts w:eastAsia="Calibri"/>
          <w:sz w:val="22"/>
          <w:szCs w:val="22"/>
          <w:lang w:val="sr-Latn-ME"/>
        </w:rPr>
        <w:t>i</w:t>
      </w:r>
      <w:r w:rsidRPr="00D95F2B">
        <w:rPr>
          <w:rFonts w:eastAsia="Calibri"/>
          <w:sz w:val="22"/>
          <w:szCs w:val="22"/>
          <w:lang w:val="sr-Latn-ME"/>
        </w:rPr>
        <w:t xml:space="preserve">jenjenim kao monoterapija, bilo je manje slučajeva hipoglikemije prijavljenih u terapiji sa liraglutidom nego onih prijavljenih kod pacijenata liječenih aktivnim komparativnim lijekom (glimepirid). Najčešće </w:t>
      </w:r>
      <w:r w:rsidR="00A21359" w:rsidRPr="00D95F2B">
        <w:rPr>
          <w:rFonts w:eastAsia="Calibri"/>
          <w:sz w:val="22"/>
          <w:szCs w:val="22"/>
          <w:lang w:val="sr-Latn-ME"/>
        </w:rPr>
        <w:t xml:space="preserve">prijavljivana neželjena dejstva bila </w:t>
      </w:r>
      <w:r w:rsidRPr="00D95F2B">
        <w:rPr>
          <w:rFonts w:eastAsia="Calibri"/>
          <w:sz w:val="22"/>
          <w:szCs w:val="22"/>
          <w:lang w:val="sr-Latn-ME"/>
        </w:rPr>
        <w:t>su gastrointestinalni poremećaji, kao i infekcije i infestacije.</w:t>
      </w:r>
    </w:p>
    <w:p w14:paraId="08EB77D9" w14:textId="77777777" w:rsidR="00490E2B" w:rsidRPr="00D95F2B" w:rsidRDefault="00490E2B" w:rsidP="00490E2B">
      <w:pPr>
        <w:rPr>
          <w:rFonts w:eastAsia="Calibri"/>
          <w:sz w:val="22"/>
          <w:szCs w:val="22"/>
          <w:lang w:val="sr-Latn-ME"/>
        </w:rPr>
      </w:pPr>
    </w:p>
    <w:p w14:paraId="4C6172DC"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lastRenderedPageBreak/>
        <w:t>Hipoglikemija</w:t>
      </w:r>
    </w:p>
    <w:p w14:paraId="51803025" w14:textId="257A98D9" w:rsidR="00490E2B" w:rsidRPr="00D95F2B" w:rsidRDefault="00490E2B" w:rsidP="00AB551E">
      <w:pPr>
        <w:jc w:val="both"/>
        <w:rPr>
          <w:rFonts w:eastAsia="Calibri"/>
          <w:sz w:val="22"/>
          <w:szCs w:val="22"/>
          <w:lang w:val="sr-Latn-ME"/>
        </w:rPr>
      </w:pPr>
      <w:r w:rsidRPr="00D95F2B">
        <w:rPr>
          <w:rFonts w:eastAsia="Calibri"/>
          <w:sz w:val="22"/>
          <w:szCs w:val="22"/>
          <w:lang w:val="sr-Latn-ME"/>
        </w:rPr>
        <w:t>Većina epizoda potvrđene hipoglikemije u kliničkim ispitivanjima bile su blažeg stepena. Nije uočena nijedna epizoda ozbiljne hipoglikemije u ispitivanju sa liraglutidom koji se primjenjivao kao monoterapija. Ozbiljna hipoglikemija može se povremeno javiti, a prvobitno je uočena u slučaju kombinovane primjene liraglutida sa sulfonilureom (0,02 slučaja/pacijent</w:t>
      </w:r>
      <w:r w:rsidR="006E1EBF" w:rsidRPr="00D95F2B">
        <w:rPr>
          <w:rFonts w:eastAsia="Calibri"/>
          <w:sz w:val="22"/>
          <w:szCs w:val="22"/>
          <w:lang w:val="sr-Latn-ME"/>
        </w:rPr>
        <w:t>-</w:t>
      </w:r>
      <w:r w:rsidRPr="00D95F2B">
        <w:rPr>
          <w:rFonts w:eastAsia="Calibri"/>
          <w:sz w:val="22"/>
          <w:szCs w:val="22"/>
          <w:lang w:val="sr-Latn-ME"/>
        </w:rPr>
        <w:t>godina). Samo nekoliko epizoda (0,001 slučaj/pacijent</w:t>
      </w:r>
      <w:r w:rsidR="00D444A7" w:rsidRPr="00D95F2B">
        <w:rPr>
          <w:rFonts w:eastAsia="Calibri"/>
          <w:sz w:val="22"/>
          <w:szCs w:val="22"/>
          <w:lang w:val="sr-Latn-ME"/>
        </w:rPr>
        <w:t xml:space="preserve"> </w:t>
      </w:r>
      <w:r w:rsidR="006E1EBF" w:rsidRPr="00D95F2B">
        <w:rPr>
          <w:rFonts w:eastAsia="Calibri"/>
          <w:sz w:val="22"/>
          <w:szCs w:val="22"/>
          <w:lang w:val="sr-Latn-ME"/>
        </w:rPr>
        <w:t>-</w:t>
      </w:r>
      <w:r w:rsidRPr="00D95F2B">
        <w:rPr>
          <w:rFonts w:eastAsia="Calibri"/>
          <w:sz w:val="22"/>
          <w:szCs w:val="22"/>
          <w:lang w:val="sr-Latn-ME"/>
        </w:rPr>
        <w:t xml:space="preserve"> godina) uočeno je pri primjeni liraglutida u kombinaciji sa oralnim antidijabeticima koji ne pripadaju grupi derivata sulfoniluree. Rizik od hipoglikemija je nizak kod kombinovane primjene bazalnog insulina i liraglutida (1,0 slučaj po pacijent</w:t>
      </w:r>
      <w:r w:rsidR="00D444A7" w:rsidRPr="00D95F2B">
        <w:rPr>
          <w:rFonts w:eastAsia="Calibri"/>
          <w:sz w:val="22"/>
          <w:szCs w:val="22"/>
          <w:lang w:val="sr-Latn-ME"/>
        </w:rPr>
        <w:t xml:space="preserve"> </w:t>
      </w:r>
      <w:r w:rsidR="006E1EBF" w:rsidRPr="00D95F2B">
        <w:rPr>
          <w:rFonts w:eastAsia="Calibri"/>
          <w:sz w:val="22"/>
          <w:szCs w:val="22"/>
          <w:lang w:val="sr-Latn-ME"/>
        </w:rPr>
        <w:t>-</w:t>
      </w:r>
      <w:r w:rsidRPr="00D95F2B">
        <w:rPr>
          <w:rFonts w:eastAsia="Calibri"/>
          <w:sz w:val="22"/>
          <w:szCs w:val="22"/>
          <w:lang w:val="sr-Latn-ME"/>
        </w:rPr>
        <w:t xml:space="preserve"> godini, vidjeti </w:t>
      </w:r>
      <w:r w:rsidR="00D444A7" w:rsidRPr="00D95F2B">
        <w:rPr>
          <w:rFonts w:eastAsia="Calibri"/>
          <w:sz w:val="22"/>
          <w:szCs w:val="22"/>
          <w:lang w:val="sr-Latn-ME"/>
        </w:rPr>
        <w:t>dio</w:t>
      </w:r>
      <w:r w:rsidR="0012459D" w:rsidRPr="00D95F2B">
        <w:rPr>
          <w:rFonts w:eastAsia="Calibri"/>
          <w:sz w:val="22"/>
          <w:szCs w:val="22"/>
          <w:lang w:val="sr-Latn-ME"/>
        </w:rPr>
        <w:t xml:space="preserve"> </w:t>
      </w:r>
      <w:r w:rsidRPr="00D95F2B">
        <w:rPr>
          <w:rFonts w:eastAsia="Calibri"/>
          <w:sz w:val="22"/>
          <w:szCs w:val="22"/>
          <w:lang w:val="sr-Latn-ME"/>
        </w:rPr>
        <w:t>5.1). U kliničkom ispitivanju LEADER, stopa prijavljenih epizoda ozbiljne hipoglikemije bila je niža uz liraglutid nego uz placebo (1,0 naspram 1,5 događaja na 100 pacijent-godina; proc</w:t>
      </w:r>
      <w:r w:rsidR="006E1EBF" w:rsidRPr="00D95F2B">
        <w:rPr>
          <w:rFonts w:eastAsia="Calibri"/>
          <w:sz w:val="22"/>
          <w:szCs w:val="22"/>
          <w:lang w:val="sr-Latn-ME"/>
        </w:rPr>
        <w:t>ij</w:t>
      </w:r>
      <w:r w:rsidRPr="00D95F2B">
        <w:rPr>
          <w:rFonts w:eastAsia="Calibri"/>
          <w:sz w:val="22"/>
          <w:szCs w:val="22"/>
          <w:lang w:val="sr-Latn-ME"/>
        </w:rPr>
        <w:t xml:space="preserve">enjen odnos stopa 0,69 [0,51 do 0,93]) (vidjeti </w:t>
      </w:r>
      <w:r w:rsidR="00D444A7" w:rsidRPr="00D95F2B">
        <w:rPr>
          <w:rFonts w:eastAsia="Calibri"/>
          <w:sz w:val="22"/>
          <w:szCs w:val="22"/>
          <w:lang w:val="sr-Latn-ME"/>
        </w:rPr>
        <w:t>dio</w:t>
      </w:r>
      <w:r w:rsidRPr="00D95F2B">
        <w:rPr>
          <w:rFonts w:eastAsia="Calibri"/>
          <w:sz w:val="22"/>
          <w:szCs w:val="22"/>
          <w:lang w:val="sr-Latn-ME"/>
        </w:rPr>
        <w:t xml:space="preserve"> 5.1). Kod pacijenata koji su bili liječeni premiks insulinom na početku ispitivanja i najmanje tokom sl</w:t>
      </w:r>
      <w:r w:rsidR="006E1EBF" w:rsidRPr="00D95F2B">
        <w:rPr>
          <w:rFonts w:eastAsia="Calibri"/>
          <w:sz w:val="22"/>
          <w:szCs w:val="22"/>
          <w:lang w:val="sr-Latn-ME"/>
        </w:rPr>
        <w:t>j</w:t>
      </w:r>
      <w:r w:rsidRPr="00D95F2B">
        <w:rPr>
          <w:rFonts w:eastAsia="Calibri"/>
          <w:sz w:val="22"/>
          <w:szCs w:val="22"/>
          <w:lang w:val="sr-Latn-ME"/>
        </w:rPr>
        <w:t>edećih 26 nedjelja, stopa ozbiljne hipoglikemije iznosila je 2,2 slučaja na 100 pacijent-godina uz liragl</w:t>
      </w:r>
      <w:r w:rsidR="00116A7B" w:rsidRPr="00D95F2B">
        <w:rPr>
          <w:rFonts w:eastAsia="Calibri"/>
          <w:sz w:val="22"/>
          <w:szCs w:val="22"/>
          <w:lang w:val="sr-Latn-ME"/>
        </w:rPr>
        <w:t>u</w:t>
      </w:r>
      <w:r w:rsidRPr="00D95F2B">
        <w:rPr>
          <w:rFonts w:eastAsia="Calibri"/>
          <w:sz w:val="22"/>
          <w:szCs w:val="22"/>
          <w:lang w:val="sr-Latn-ME"/>
        </w:rPr>
        <w:t>t</w:t>
      </w:r>
      <w:r w:rsidR="00116A7B" w:rsidRPr="00D95F2B">
        <w:rPr>
          <w:rFonts w:eastAsia="Calibri"/>
          <w:sz w:val="22"/>
          <w:szCs w:val="22"/>
          <w:lang w:val="sr-Latn-ME"/>
        </w:rPr>
        <w:t>i</w:t>
      </w:r>
      <w:r w:rsidRPr="00D95F2B">
        <w:rPr>
          <w:rFonts w:eastAsia="Calibri"/>
          <w:sz w:val="22"/>
          <w:szCs w:val="22"/>
          <w:lang w:val="sr-Latn-ME"/>
        </w:rPr>
        <w:t>d, kao i uz placebo.</w:t>
      </w:r>
    </w:p>
    <w:p w14:paraId="3DC3ED8F" w14:textId="77777777" w:rsidR="00490E2B" w:rsidRPr="00D95F2B" w:rsidRDefault="00490E2B" w:rsidP="00490E2B">
      <w:pPr>
        <w:rPr>
          <w:rFonts w:eastAsia="Calibri"/>
          <w:sz w:val="22"/>
          <w:szCs w:val="22"/>
          <w:lang w:val="sr-Latn-ME"/>
        </w:rPr>
      </w:pPr>
    </w:p>
    <w:p w14:paraId="207D52EE"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t>Gastrointestinalna neželjena dejstva</w:t>
      </w:r>
    </w:p>
    <w:p w14:paraId="02E32EFC" w14:textId="081F4CF8" w:rsidR="00490E2B" w:rsidRPr="00D95F2B" w:rsidRDefault="00490E2B" w:rsidP="00AB551E">
      <w:pPr>
        <w:jc w:val="both"/>
        <w:rPr>
          <w:rFonts w:eastAsia="Calibri"/>
          <w:sz w:val="22"/>
          <w:szCs w:val="22"/>
          <w:lang w:val="sr-Latn-ME"/>
        </w:rPr>
      </w:pPr>
      <w:r w:rsidRPr="00D95F2B">
        <w:rPr>
          <w:rFonts w:eastAsia="Calibri"/>
          <w:sz w:val="22"/>
          <w:szCs w:val="22"/>
          <w:lang w:val="sr-Latn-ME"/>
        </w:rPr>
        <w:t>U kombinovanoj primjeni liraglutida sa metforminom, 20,7% pacijenata je prijavilo najmanje jednu epizodu mučnine, a 12,6% pacijenata prijavilo je najmanje jednu epizodu dijareje. U slučaju kombinovane primjene liraglutida sa sulfonilureom, 9,1% pacijenata prijavilo je barem jednu epizodu mučnine, a 7,9% pacijenata je prijavilo barem jednu epizodu dijareje. Većina epizoda su bile blage do um</w:t>
      </w:r>
      <w:r w:rsidR="006E1EBF" w:rsidRPr="00D95F2B">
        <w:rPr>
          <w:rFonts w:eastAsia="Calibri"/>
          <w:sz w:val="22"/>
          <w:szCs w:val="22"/>
          <w:lang w:val="sr-Latn-ME"/>
        </w:rPr>
        <w:t>j</w:t>
      </w:r>
      <w:r w:rsidRPr="00D95F2B">
        <w:rPr>
          <w:rFonts w:eastAsia="Calibri"/>
          <w:sz w:val="22"/>
          <w:szCs w:val="22"/>
          <w:lang w:val="sr-Latn-ME"/>
        </w:rPr>
        <w:t>erene i javljale su se u zavisnosti od prim</w:t>
      </w:r>
      <w:r w:rsidR="006E1EBF" w:rsidRPr="00D95F2B">
        <w:rPr>
          <w:rFonts w:eastAsia="Calibri"/>
          <w:sz w:val="22"/>
          <w:szCs w:val="22"/>
          <w:lang w:val="sr-Latn-ME"/>
        </w:rPr>
        <w:t>i</w:t>
      </w:r>
      <w:r w:rsidRPr="00D95F2B">
        <w:rPr>
          <w:rFonts w:eastAsia="Calibri"/>
          <w:sz w:val="22"/>
          <w:szCs w:val="22"/>
          <w:lang w:val="sr-Latn-ME"/>
        </w:rPr>
        <w:t>jenjene doze lijeka. Kod većine pacijenata koji su prvo imali mučninu, učestalost i ozbiljnost se smanjuju tokom kontinuirane terapije.</w:t>
      </w:r>
    </w:p>
    <w:p w14:paraId="608E27B3" w14:textId="77777777" w:rsidR="00490E2B" w:rsidRPr="00D95F2B" w:rsidRDefault="00490E2B" w:rsidP="00AB551E">
      <w:pPr>
        <w:jc w:val="both"/>
        <w:rPr>
          <w:rFonts w:eastAsia="Calibri"/>
          <w:sz w:val="22"/>
          <w:szCs w:val="22"/>
          <w:lang w:val="sr-Latn-ME"/>
        </w:rPr>
      </w:pPr>
    </w:p>
    <w:p w14:paraId="4895FA09" w14:textId="006CCB6C" w:rsidR="00490E2B" w:rsidRPr="00D95F2B" w:rsidRDefault="00490E2B" w:rsidP="00AB551E">
      <w:pPr>
        <w:jc w:val="both"/>
        <w:rPr>
          <w:rFonts w:eastAsia="Calibri"/>
          <w:sz w:val="22"/>
          <w:szCs w:val="22"/>
          <w:lang w:val="sr-Latn-ME"/>
        </w:rPr>
      </w:pPr>
      <w:r w:rsidRPr="00D95F2B">
        <w:rPr>
          <w:rFonts w:eastAsia="Calibri"/>
          <w:sz w:val="22"/>
          <w:szCs w:val="22"/>
          <w:lang w:val="sr-Latn-ME"/>
        </w:rPr>
        <w:t>Kod pacijenata starosti &gt;</w:t>
      </w:r>
      <w:r w:rsidR="00D444A7" w:rsidRPr="00D95F2B">
        <w:rPr>
          <w:rFonts w:eastAsia="Calibri"/>
          <w:sz w:val="22"/>
          <w:szCs w:val="22"/>
          <w:lang w:val="sr-Latn-ME"/>
        </w:rPr>
        <w:t xml:space="preserve"> </w:t>
      </w:r>
      <w:r w:rsidRPr="00D95F2B">
        <w:rPr>
          <w:rFonts w:eastAsia="Calibri"/>
          <w:sz w:val="22"/>
          <w:szCs w:val="22"/>
          <w:lang w:val="sr-Latn-ME"/>
        </w:rPr>
        <w:t>70 godina može se javiti više gastrointestinalnih smetnji tokom liječenja liraglutidom. Kod pacijenata sa bubrežnom insuficijencijom blažeg i um</w:t>
      </w:r>
      <w:r w:rsidR="00E90942" w:rsidRPr="00D95F2B">
        <w:rPr>
          <w:rFonts w:eastAsia="Calibri"/>
          <w:sz w:val="22"/>
          <w:szCs w:val="22"/>
          <w:lang w:val="sr-Latn-ME"/>
        </w:rPr>
        <w:t>j</w:t>
      </w:r>
      <w:r w:rsidRPr="00D95F2B">
        <w:rPr>
          <w:rFonts w:eastAsia="Calibri"/>
          <w:sz w:val="22"/>
          <w:szCs w:val="22"/>
          <w:lang w:val="sr-Latn-ME"/>
        </w:rPr>
        <w:t>erenog stepena (klirens kreatinina 60-90 ml/min, odnosno 30-59 m</w:t>
      </w:r>
      <w:r w:rsidR="00830D75" w:rsidRPr="00D95F2B">
        <w:rPr>
          <w:rFonts w:eastAsia="Calibri"/>
          <w:sz w:val="22"/>
          <w:szCs w:val="22"/>
          <w:lang w:val="sr-Latn-ME"/>
        </w:rPr>
        <w:t>l</w:t>
      </w:r>
      <w:r w:rsidRPr="00D95F2B">
        <w:rPr>
          <w:rFonts w:eastAsia="Calibri"/>
          <w:sz w:val="22"/>
          <w:szCs w:val="22"/>
          <w:lang w:val="sr-Latn-ME"/>
        </w:rPr>
        <w:t>/min) može se ispoljiti više gastrointestinalnih neželjenih dejstava tokom terapije liraglutidom.</w:t>
      </w:r>
    </w:p>
    <w:p w14:paraId="3CA60D5A" w14:textId="77777777" w:rsidR="00490E2B" w:rsidRPr="00D95F2B" w:rsidRDefault="00490E2B" w:rsidP="00AB551E">
      <w:pPr>
        <w:jc w:val="both"/>
        <w:rPr>
          <w:rFonts w:eastAsia="Calibri"/>
          <w:sz w:val="22"/>
          <w:szCs w:val="22"/>
          <w:lang w:val="sr-Latn-ME"/>
        </w:rPr>
      </w:pPr>
    </w:p>
    <w:p w14:paraId="495B069E"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t>Holelitijaza i holecistitis</w:t>
      </w:r>
    </w:p>
    <w:p w14:paraId="4419BBD5" w14:textId="6B4678C6" w:rsidR="00490E2B" w:rsidRPr="00D95F2B" w:rsidRDefault="00490E2B" w:rsidP="00AB551E">
      <w:pPr>
        <w:jc w:val="both"/>
        <w:rPr>
          <w:rFonts w:eastAsia="Calibri"/>
          <w:sz w:val="22"/>
          <w:szCs w:val="22"/>
          <w:lang w:val="sr-Latn-ME"/>
        </w:rPr>
      </w:pPr>
      <w:r w:rsidRPr="00D95F2B">
        <w:rPr>
          <w:rFonts w:eastAsia="Calibri"/>
          <w:sz w:val="22"/>
          <w:szCs w:val="22"/>
          <w:lang w:val="sr-Latn-ME"/>
        </w:rPr>
        <w:t xml:space="preserve">Tokom dugotrajnih kontrolisanih kliničkih ispitivanja liraglutida faze 3a prijavljeno je nekoliko slučajeva holelitijaze (0,4%) i holecistitisa (0,1%). U kliničkom ispitivanju LEADER, učestalost holelitijaze i holecistitisa iznosila je 1,5% odnosno 1,1% uz liraglutid i 1,1% odnosno 0,7% uz placebo (vidjeti </w:t>
      </w:r>
      <w:r w:rsidR="00D444A7" w:rsidRPr="00D95F2B">
        <w:rPr>
          <w:rFonts w:eastAsia="Calibri"/>
          <w:sz w:val="22"/>
          <w:szCs w:val="22"/>
          <w:lang w:val="sr-Latn-ME"/>
        </w:rPr>
        <w:t>dio</w:t>
      </w:r>
      <w:r w:rsidRPr="00D95F2B">
        <w:rPr>
          <w:rFonts w:eastAsia="Calibri"/>
          <w:sz w:val="22"/>
          <w:szCs w:val="22"/>
          <w:lang w:val="sr-Latn-ME"/>
        </w:rPr>
        <w:t xml:space="preserve"> 5.1).</w:t>
      </w:r>
    </w:p>
    <w:p w14:paraId="2A47AB74" w14:textId="77777777" w:rsidR="00490E2B" w:rsidRPr="00D95F2B" w:rsidRDefault="00490E2B" w:rsidP="00AB551E">
      <w:pPr>
        <w:jc w:val="both"/>
        <w:rPr>
          <w:rFonts w:eastAsia="Calibri"/>
          <w:sz w:val="22"/>
          <w:szCs w:val="22"/>
          <w:lang w:val="sr-Latn-ME"/>
        </w:rPr>
      </w:pPr>
    </w:p>
    <w:p w14:paraId="500F8DAA" w14:textId="77777777" w:rsidR="00F9175C" w:rsidRPr="00D95F2B" w:rsidRDefault="00F9175C" w:rsidP="00F9175C">
      <w:pPr>
        <w:tabs>
          <w:tab w:val="left" w:pos="284"/>
        </w:tabs>
        <w:jc w:val="both"/>
        <w:rPr>
          <w:noProof/>
          <w:sz w:val="22"/>
          <w:szCs w:val="22"/>
          <w:lang w:val="sr-Latn-ME"/>
        </w:rPr>
      </w:pPr>
      <w:r w:rsidRPr="00D95F2B">
        <w:rPr>
          <w:noProof/>
          <w:sz w:val="22"/>
          <w:szCs w:val="22"/>
          <w:lang w:val="sr-Latn-ME"/>
        </w:rPr>
        <w:t>Kutana amiloidoza</w:t>
      </w:r>
    </w:p>
    <w:p w14:paraId="2B26D8E1" w14:textId="099429C3" w:rsidR="00F9175C" w:rsidRPr="00D95F2B" w:rsidRDefault="00F9175C" w:rsidP="00F9175C">
      <w:pPr>
        <w:jc w:val="both"/>
        <w:rPr>
          <w:rFonts w:eastAsia="Calibri"/>
          <w:sz w:val="22"/>
          <w:szCs w:val="22"/>
          <w:lang w:val="sr-Latn-ME"/>
        </w:rPr>
      </w:pPr>
      <w:r w:rsidRPr="00D95F2B">
        <w:rPr>
          <w:noProof/>
          <w:sz w:val="22"/>
          <w:szCs w:val="22"/>
          <w:lang w:val="sr-Latn-ME"/>
        </w:rPr>
        <w:t xml:space="preserve">Kutana amiloidoza se može pojaviti na mjestu primjene injekcije (vidjeti </w:t>
      </w:r>
      <w:r w:rsidR="00D444A7" w:rsidRPr="00D95F2B">
        <w:rPr>
          <w:noProof/>
          <w:sz w:val="22"/>
          <w:szCs w:val="22"/>
          <w:lang w:val="sr-Latn-ME"/>
        </w:rPr>
        <w:t>dio</w:t>
      </w:r>
      <w:r w:rsidRPr="00D95F2B">
        <w:rPr>
          <w:noProof/>
          <w:sz w:val="22"/>
          <w:szCs w:val="22"/>
          <w:lang w:val="sr-Latn-ME"/>
        </w:rPr>
        <w:t xml:space="preserve"> 4.2).</w:t>
      </w:r>
    </w:p>
    <w:p w14:paraId="7BC7F549" w14:textId="77777777" w:rsidR="00F9175C" w:rsidRPr="00D95F2B" w:rsidRDefault="00F9175C" w:rsidP="00AB551E">
      <w:pPr>
        <w:jc w:val="both"/>
        <w:rPr>
          <w:rFonts w:eastAsia="Calibri"/>
          <w:sz w:val="22"/>
          <w:szCs w:val="22"/>
          <w:lang w:val="sr-Latn-ME"/>
        </w:rPr>
      </w:pPr>
    </w:p>
    <w:p w14:paraId="1A894926"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t>Isključivanje iz studije</w:t>
      </w:r>
    </w:p>
    <w:p w14:paraId="1FC7FFA3" w14:textId="77777777" w:rsidR="00490E2B" w:rsidRPr="00D95F2B" w:rsidRDefault="00490E2B" w:rsidP="00AB551E">
      <w:pPr>
        <w:jc w:val="both"/>
        <w:rPr>
          <w:rFonts w:eastAsia="Calibri"/>
          <w:sz w:val="22"/>
          <w:szCs w:val="22"/>
          <w:lang w:val="sr-Latn-ME"/>
        </w:rPr>
      </w:pPr>
      <w:r w:rsidRPr="00D95F2B">
        <w:rPr>
          <w:rFonts w:eastAsia="Calibri"/>
          <w:sz w:val="22"/>
          <w:szCs w:val="22"/>
          <w:lang w:val="sr-Latn-ME"/>
        </w:rPr>
        <w:t>U dugotrajnim kontrolisanim studijama (26 nedjelja ili duže) učestalost isključivanja ispitanika iz studije zbog neželjenih dejstava iznosila je 7,8% kod pacijenata koji su primali liraglutid, a 3,4% kod pacijenata koji su dobijali komparator. Najčešća neželjena dejstva koja su dovodila do isključivanja pacijenata liječenih liraglutidom iz ispitivanja bila su mučnina (2,8% pacijenata) i povraćanje (1,5%).</w:t>
      </w:r>
    </w:p>
    <w:p w14:paraId="56A6D8F8" w14:textId="77777777" w:rsidR="00490E2B" w:rsidRPr="00D95F2B" w:rsidRDefault="00490E2B" w:rsidP="00AB551E">
      <w:pPr>
        <w:jc w:val="both"/>
        <w:rPr>
          <w:rFonts w:eastAsia="Calibri"/>
          <w:sz w:val="22"/>
          <w:szCs w:val="22"/>
          <w:lang w:val="sr-Latn-ME"/>
        </w:rPr>
      </w:pPr>
    </w:p>
    <w:p w14:paraId="59DE8A3E"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t>Reakcije na mjestu ubrizgavanja</w:t>
      </w:r>
    </w:p>
    <w:p w14:paraId="496A58CB" w14:textId="58168A4B" w:rsidR="00490E2B" w:rsidRPr="00D95F2B" w:rsidRDefault="00490E2B" w:rsidP="00AB551E">
      <w:pPr>
        <w:jc w:val="both"/>
        <w:rPr>
          <w:rFonts w:eastAsia="Calibri"/>
          <w:sz w:val="22"/>
          <w:szCs w:val="22"/>
          <w:lang w:val="sr-Latn-ME"/>
        </w:rPr>
      </w:pPr>
      <w:r w:rsidRPr="00D95F2B">
        <w:rPr>
          <w:rFonts w:eastAsia="Calibri"/>
          <w:sz w:val="22"/>
          <w:szCs w:val="22"/>
          <w:lang w:val="sr-Latn-ME"/>
        </w:rPr>
        <w:t xml:space="preserve">Reakcije na mjestu ubrizgavanja prijavljene su kod približno 2% pacijenata koji su primali lijek </w:t>
      </w:r>
      <w:r w:rsidR="00203EA1" w:rsidRPr="00D95F2B">
        <w:rPr>
          <w:rFonts w:eastAsia="Calibri"/>
          <w:sz w:val="22"/>
          <w:szCs w:val="22"/>
          <w:lang w:val="sr-Latn-ME"/>
        </w:rPr>
        <w:t>Victoza</w:t>
      </w:r>
      <w:r w:rsidRPr="00D95F2B">
        <w:rPr>
          <w:rFonts w:eastAsia="Calibri"/>
          <w:sz w:val="22"/>
          <w:szCs w:val="22"/>
          <w:lang w:val="sr-Latn-ME"/>
        </w:rPr>
        <w:t xml:space="preserve"> tokom dugotrajnih (26 nedjelja ili duže) kontrolisanih studija. Ove reakcije su obično bile blage. </w:t>
      </w:r>
    </w:p>
    <w:p w14:paraId="0FDD4FA5" w14:textId="77777777" w:rsidR="00490E2B" w:rsidRPr="00D95F2B" w:rsidRDefault="00490E2B" w:rsidP="00490E2B">
      <w:pPr>
        <w:rPr>
          <w:rFonts w:eastAsia="Calibri"/>
          <w:sz w:val="22"/>
          <w:szCs w:val="22"/>
          <w:lang w:val="sr-Latn-ME"/>
        </w:rPr>
      </w:pPr>
    </w:p>
    <w:p w14:paraId="384535FF"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t>Pankreatitis</w:t>
      </w:r>
    </w:p>
    <w:p w14:paraId="5235554C" w14:textId="1412CBA0" w:rsidR="00490E2B" w:rsidRPr="00D95F2B" w:rsidRDefault="00490E2B" w:rsidP="00AB551E">
      <w:pPr>
        <w:jc w:val="both"/>
        <w:rPr>
          <w:rFonts w:eastAsia="Calibri"/>
          <w:sz w:val="22"/>
          <w:szCs w:val="22"/>
          <w:lang w:val="sr-Latn-ME"/>
        </w:rPr>
      </w:pPr>
      <w:r w:rsidRPr="00D95F2B">
        <w:rPr>
          <w:rFonts w:eastAsia="Calibri"/>
          <w:sz w:val="22"/>
          <w:szCs w:val="22"/>
          <w:lang w:val="sr-Latn-ME"/>
        </w:rPr>
        <w:t>Prijavljeno je nekoliko slučajeva akutnog pankreatitisa (&lt;</w:t>
      </w:r>
      <w:r w:rsidR="00D444A7" w:rsidRPr="00D95F2B">
        <w:rPr>
          <w:rFonts w:eastAsia="Calibri"/>
          <w:sz w:val="22"/>
          <w:szCs w:val="22"/>
          <w:lang w:val="sr-Latn-ME"/>
        </w:rPr>
        <w:t xml:space="preserve"> </w:t>
      </w:r>
      <w:r w:rsidRPr="00D95F2B">
        <w:rPr>
          <w:rFonts w:eastAsia="Calibri"/>
          <w:sz w:val="22"/>
          <w:szCs w:val="22"/>
          <w:lang w:val="sr-Latn-ME"/>
        </w:rPr>
        <w:t xml:space="preserve">0,2%) tokom dugotrajnih, kontrolisanih kliničkih ispitivanja faze 3 sa lijekom </w:t>
      </w:r>
      <w:r w:rsidR="00203EA1" w:rsidRPr="00D95F2B">
        <w:rPr>
          <w:rFonts w:eastAsia="Calibri"/>
          <w:sz w:val="22"/>
          <w:szCs w:val="22"/>
          <w:lang w:val="sr-Latn-ME"/>
        </w:rPr>
        <w:t>Victoza</w:t>
      </w:r>
      <w:r w:rsidRPr="00D95F2B">
        <w:rPr>
          <w:rFonts w:eastAsia="Calibri"/>
          <w:sz w:val="22"/>
          <w:szCs w:val="22"/>
          <w:lang w:val="sr-Latn-ME"/>
        </w:rPr>
        <w:t xml:space="preserve">. Pankreatitis je takođe prijavljivan i u postmarketinškom periodu. U kliničkom ispitivanju LEADER, dodatno potvrđena učestalost akutnog pankreatitisa iznosila je 0,4% uz liraglutid i 0,5% uz placebo (vidjeti </w:t>
      </w:r>
      <w:r w:rsidR="00D444A7" w:rsidRPr="00D95F2B">
        <w:rPr>
          <w:rFonts w:eastAsia="Calibri"/>
          <w:sz w:val="22"/>
          <w:szCs w:val="22"/>
          <w:lang w:val="sr-Latn-ME"/>
        </w:rPr>
        <w:t>djelove</w:t>
      </w:r>
      <w:r w:rsidRPr="00D95F2B">
        <w:rPr>
          <w:rFonts w:eastAsia="Calibri"/>
          <w:sz w:val="22"/>
          <w:szCs w:val="22"/>
          <w:lang w:val="sr-Latn-ME"/>
        </w:rPr>
        <w:t xml:space="preserve"> 4.4 i 5.1).</w:t>
      </w:r>
    </w:p>
    <w:p w14:paraId="63162065" w14:textId="77777777" w:rsidR="00490E2B" w:rsidRPr="00D95F2B" w:rsidRDefault="00490E2B" w:rsidP="00490E2B">
      <w:pPr>
        <w:rPr>
          <w:rFonts w:eastAsia="Calibri"/>
          <w:sz w:val="22"/>
          <w:szCs w:val="22"/>
          <w:lang w:val="sr-Latn-ME"/>
        </w:rPr>
      </w:pPr>
    </w:p>
    <w:p w14:paraId="62E5B016" w14:textId="77777777" w:rsidR="00490E2B" w:rsidRPr="00D95F2B" w:rsidRDefault="00490E2B" w:rsidP="00490E2B">
      <w:pPr>
        <w:rPr>
          <w:rFonts w:eastAsia="Calibri"/>
          <w:i/>
          <w:iCs/>
          <w:sz w:val="22"/>
          <w:szCs w:val="22"/>
          <w:lang w:val="sr-Latn-ME"/>
        </w:rPr>
      </w:pPr>
      <w:r w:rsidRPr="00D95F2B">
        <w:rPr>
          <w:rFonts w:eastAsia="Calibri"/>
          <w:i/>
          <w:iCs/>
          <w:sz w:val="22"/>
          <w:szCs w:val="22"/>
          <w:lang w:val="sr-Latn-ME"/>
        </w:rPr>
        <w:t>Alergijske reakcije</w:t>
      </w:r>
    </w:p>
    <w:p w14:paraId="20A11D54" w14:textId="20484AF3" w:rsidR="00490E2B" w:rsidRPr="00D95F2B" w:rsidRDefault="00490E2B" w:rsidP="00AB551E">
      <w:pPr>
        <w:jc w:val="both"/>
        <w:rPr>
          <w:rFonts w:eastAsia="Calibri"/>
          <w:sz w:val="22"/>
          <w:szCs w:val="22"/>
          <w:lang w:val="sr-Latn-ME"/>
        </w:rPr>
      </w:pPr>
      <w:r w:rsidRPr="00D95F2B">
        <w:rPr>
          <w:rFonts w:eastAsia="Calibri"/>
          <w:sz w:val="22"/>
          <w:szCs w:val="22"/>
          <w:lang w:val="sr-Latn-ME"/>
        </w:rPr>
        <w:t xml:space="preserve">Alergijske reakcije, uključujući urtikariju, osip i svrab su prijavljivane nakon stavljanja lijeka </w:t>
      </w:r>
      <w:r w:rsidR="00203EA1" w:rsidRPr="00D95F2B">
        <w:rPr>
          <w:rFonts w:eastAsia="Calibri"/>
          <w:sz w:val="22"/>
          <w:szCs w:val="22"/>
          <w:lang w:val="sr-Latn-ME"/>
        </w:rPr>
        <w:t>Victoza</w:t>
      </w:r>
      <w:r w:rsidRPr="00D95F2B">
        <w:rPr>
          <w:rFonts w:eastAsia="Calibri"/>
          <w:sz w:val="22"/>
          <w:szCs w:val="22"/>
          <w:lang w:val="sr-Latn-ME"/>
        </w:rPr>
        <w:t xml:space="preserve"> u promet.</w:t>
      </w:r>
    </w:p>
    <w:p w14:paraId="5FEED11E" w14:textId="5F18A7AD" w:rsidR="001160EC" w:rsidRPr="00D95F2B" w:rsidRDefault="00490E2B" w:rsidP="00AB551E">
      <w:pPr>
        <w:jc w:val="both"/>
        <w:rPr>
          <w:rFonts w:eastAsia="Calibri"/>
          <w:sz w:val="22"/>
          <w:szCs w:val="22"/>
          <w:lang w:val="sr-Latn-ME"/>
        </w:rPr>
      </w:pPr>
      <w:r w:rsidRPr="00D95F2B">
        <w:rPr>
          <w:rFonts w:eastAsia="Calibri"/>
          <w:sz w:val="22"/>
          <w:szCs w:val="22"/>
          <w:lang w:val="sr-Latn-ME"/>
        </w:rPr>
        <w:lastRenderedPageBreak/>
        <w:t xml:space="preserve">Nekoliko slučajeva anafilaktičkih reakcija sa dodatnim simptomima kao što su hipotenzija, palpitacije, dispneja i edemi su prijavljeni nakon stavljanja lijeka </w:t>
      </w:r>
      <w:r w:rsidR="00203EA1" w:rsidRPr="00D95F2B">
        <w:rPr>
          <w:rFonts w:eastAsia="Calibri"/>
          <w:sz w:val="22"/>
          <w:szCs w:val="22"/>
          <w:lang w:val="sr-Latn-ME"/>
        </w:rPr>
        <w:t>Victoza</w:t>
      </w:r>
      <w:r w:rsidRPr="00D95F2B">
        <w:rPr>
          <w:rFonts w:eastAsia="Calibri"/>
          <w:sz w:val="22"/>
          <w:szCs w:val="22"/>
          <w:lang w:val="sr-Latn-ME"/>
        </w:rPr>
        <w:t xml:space="preserve"> u promet. Prijavljeno je nekoliko slučajeva (0,05%) angioedema tokom svih dugotrajnih kliničkih ispitivanja sprovedenih sa lijekom </w:t>
      </w:r>
      <w:r w:rsidR="00203EA1" w:rsidRPr="00D95F2B">
        <w:rPr>
          <w:rFonts w:eastAsia="Calibri"/>
          <w:sz w:val="22"/>
          <w:szCs w:val="22"/>
          <w:lang w:val="sr-Latn-ME"/>
        </w:rPr>
        <w:t>Victoza</w:t>
      </w:r>
      <w:r w:rsidRPr="00D95F2B">
        <w:rPr>
          <w:rFonts w:eastAsia="Calibri"/>
          <w:sz w:val="22"/>
          <w:szCs w:val="22"/>
          <w:lang w:val="sr-Latn-ME"/>
        </w:rPr>
        <w:t>.</w:t>
      </w:r>
    </w:p>
    <w:p w14:paraId="78BB6321" w14:textId="77777777" w:rsidR="003B5692" w:rsidRPr="00D95F2B" w:rsidRDefault="003B5692" w:rsidP="00DD063C">
      <w:pPr>
        <w:rPr>
          <w:rFonts w:eastAsia="Calibri"/>
          <w:sz w:val="22"/>
          <w:szCs w:val="22"/>
          <w:lang w:val="sr-Latn-ME"/>
        </w:rPr>
      </w:pPr>
    </w:p>
    <w:p w14:paraId="16BF650A" w14:textId="77777777" w:rsidR="00DD063C" w:rsidRPr="00D95F2B" w:rsidRDefault="00DD063C" w:rsidP="00DD063C">
      <w:pPr>
        <w:rPr>
          <w:rFonts w:eastAsia="Calibri"/>
          <w:i/>
          <w:iCs/>
          <w:sz w:val="22"/>
          <w:szCs w:val="22"/>
          <w:lang w:val="sr-Latn-ME"/>
        </w:rPr>
      </w:pPr>
      <w:r w:rsidRPr="00D95F2B">
        <w:rPr>
          <w:rFonts w:eastAsia="Calibri"/>
          <w:i/>
          <w:iCs/>
          <w:sz w:val="22"/>
          <w:szCs w:val="22"/>
          <w:lang w:val="sr-Latn-ME"/>
        </w:rPr>
        <w:t>Pedijatrijska populacija</w:t>
      </w:r>
    </w:p>
    <w:p w14:paraId="4793F57E" w14:textId="02E370CD" w:rsidR="00DD063C" w:rsidRPr="00D95F2B" w:rsidRDefault="00DD063C" w:rsidP="00AB551E">
      <w:pPr>
        <w:jc w:val="both"/>
        <w:rPr>
          <w:rFonts w:eastAsia="Calibri"/>
          <w:sz w:val="22"/>
          <w:szCs w:val="22"/>
          <w:lang w:val="sr-Latn-ME"/>
        </w:rPr>
      </w:pPr>
      <w:r w:rsidRPr="00D95F2B">
        <w:rPr>
          <w:rFonts w:eastAsia="Calibri"/>
          <w:sz w:val="22"/>
          <w:szCs w:val="22"/>
          <w:lang w:val="sr-Latn-ME"/>
        </w:rPr>
        <w:t xml:space="preserve">Uopšteno posmatrano, učestalost, tip i ozbiljnost </w:t>
      </w:r>
      <w:r w:rsidR="0080711A" w:rsidRPr="00D95F2B">
        <w:rPr>
          <w:rFonts w:eastAsia="Calibri"/>
          <w:sz w:val="22"/>
          <w:szCs w:val="22"/>
          <w:lang w:val="sr-Latn-ME"/>
        </w:rPr>
        <w:t>neželjen</w:t>
      </w:r>
      <w:r w:rsidR="00AB551E" w:rsidRPr="00D95F2B">
        <w:rPr>
          <w:rFonts w:eastAsia="Calibri"/>
          <w:sz w:val="22"/>
          <w:szCs w:val="22"/>
          <w:lang w:val="sr-Latn-ME"/>
        </w:rPr>
        <w:t>ih</w:t>
      </w:r>
      <w:r w:rsidR="0080711A" w:rsidRPr="00D95F2B">
        <w:rPr>
          <w:rFonts w:eastAsia="Calibri"/>
          <w:sz w:val="22"/>
          <w:szCs w:val="22"/>
          <w:lang w:val="sr-Latn-ME"/>
        </w:rPr>
        <w:t xml:space="preserve"> dejst</w:t>
      </w:r>
      <w:r w:rsidR="00AB551E" w:rsidRPr="00D95F2B">
        <w:rPr>
          <w:rFonts w:eastAsia="Calibri"/>
          <w:sz w:val="22"/>
          <w:szCs w:val="22"/>
          <w:lang w:val="sr-Latn-ME"/>
        </w:rPr>
        <w:t>a</w:t>
      </w:r>
      <w:r w:rsidR="0080711A" w:rsidRPr="00D95F2B">
        <w:rPr>
          <w:rFonts w:eastAsia="Calibri"/>
          <w:sz w:val="22"/>
          <w:szCs w:val="22"/>
          <w:lang w:val="sr-Latn-ME"/>
        </w:rPr>
        <w:t xml:space="preserve">va </w:t>
      </w:r>
      <w:r w:rsidRPr="00D95F2B">
        <w:rPr>
          <w:rFonts w:eastAsia="Calibri"/>
          <w:sz w:val="22"/>
          <w:szCs w:val="22"/>
          <w:lang w:val="sr-Latn-ME"/>
        </w:rPr>
        <w:t>kod adolescenata i djece uzrasta od 10 i više godina bil</w:t>
      </w:r>
      <w:r w:rsidR="0080711A" w:rsidRPr="00D95F2B">
        <w:rPr>
          <w:rFonts w:eastAsia="Calibri"/>
          <w:sz w:val="22"/>
          <w:szCs w:val="22"/>
          <w:lang w:val="sr-Latn-ME"/>
        </w:rPr>
        <w:t>i</w:t>
      </w:r>
      <w:r w:rsidRPr="00D95F2B">
        <w:rPr>
          <w:rFonts w:eastAsia="Calibri"/>
          <w:sz w:val="22"/>
          <w:szCs w:val="22"/>
          <w:lang w:val="sr-Latn-ME"/>
        </w:rPr>
        <w:t xml:space="preserve"> su uporediv</w:t>
      </w:r>
      <w:r w:rsidR="00AB551E" w:rsidRPr="00D95F2B">
        <w:rPr>
          <w:rFonts w:eastAsia="Calibri"/>
          <w:sz w:val="22"/>
          <w:szCs w:val="22"/>
          <w:lang w:val="sr-Latn-ME"/>
        </w:rPr>
        <w:t>i</w:t>
      </w:r>
      <w:r w:rsidRPr="00D95F2B">
        <w:rPr>
          <w:rFonts w:eastAsia="Calibri"/>
          <w:sz w:val="22"/>
          <w:szCs w:val="22"/>
          <w:lang w:val="sr-Latn-ME"/>
        </w:rPr>
        <w:t xml:space="preserve"> sa neželjenim </w:t>
      </w:r>
      <w:r w:rsidR="0080711A" w:rsidRPr="00D95F2B">
        <w:rPr>
          <w:rFonts w:eastAsia="Calibri"/>
          <w:sz w:val="22"/>
          <w:szCs w:val="22"/>
          <w:lang w:val="sr-Latn-ME"/>
        </w:rPr>
        <w:t>dejstvima</w:t>
      </w:r>
      <w:r w:rsidRPr="00D95F2B">
        <w:rPr>
          <w:rFonts w:eastAsia="Calibri"/>
          <w:sz w:val="22"/>
          <w:szCs w:val="22"/>
          <w:lang w:val="sr-Latn-ME"/>
        </w:rPr>
        <w:t xml:space="preserve"> koj</w:t>
      </w:r>
      <w:r w:rsidR="0080711A" w:rsidRPr="00D95F2B">
        <w:rPr>
          <w:rFonts w:eastAsia="Calibri"/>
          <w:sz w:val="22"/>
          <w:szCs w:val="22"/>
          <w:lang w:val="sr-Latn-ME"/>
        </w:rPr>
        <w:t>a</w:t>
      </w:r>
      <w:r w:rsidRPr="00D95F2B">
        <w:rPr>
          <w:rFonts w:eastAsia="Calibri"/>
          <w:sz w:val="22"/>
          <w:szCs w:val="22"/>
          <w:lang w:val="sr-Latn-ME"/>
        </w:rPr>
        <w:t xml:space="preserve"> su zabilježen</w:t>
      </w:r>
      <w:r w:rsidR="0080711A" w:rsidRPr="00D95F2B">
        <w:rPr>
          <w:rFonts w:eastAsia="Calibri"/>
          <w:sz w:val="22"/>
          <w:szCs w:val="22"/>
          <w:lang w:val="sr-Latn-ME"/>
        </w:rPr>
        <w:t>a</w:t>
      </w:r>
      <w:r w:rsidRPr="00D95F2B">
        <w:rPr>
          <w:rFonts w:eastAsia="Calibri"/>
          <w:sz w:val="22"/>
          <w:szCs w:val="22"/>
          <w:lang w:val="sr-Latn-ME"/>
        </w:rPr>
        <w:t xml:space="preserve"> u odrasloj populaciji. Stopa potvrđenih epizoda hipoglikemije bila je viša uz liraglutid (0,58 slučaja/pacijent</w:t>
      </w:r>
      <w:r w:rsidR="00D444A7" w:rsidRPr="00D95F2B">
        <w:rPr>
          <w:rFonts w:eastAsia="Calibri"/>
          <w:sz w:val="22"/>
          <w:szCs w:val="22"/>
          <w:lang w:val="sr-Latn-ME"/>
        </w:rPr>
        <w:t xml:space="preserve"> </w:t>
      </w:r>
      <w:r w:rsidR="00480D6E" w:rsidRPr="00D95F2B">
        <w:rPr>
          <w:rFonts w:eastAsia="Calibri"/>
          <w:sz w:val="22"/>
          <w:szCs w:val="22"/>
          <w:lang w:val="sr-Latn-ME"/>
        </w:rPr>
        <w:t>-</w:t>
      </w:r>
      <w:r w:rsidRPr="00D95F2B">
        <w:rPr>
          <w:rFonts w:eastAsia="Calibri"/>
          <w:sz w:val="22"/>
          <w:szCs w:val="22"/>
          <w:lang w:val="sr-Latn-ME"/>
        </w:rPr>
        <w:t xml:space="preserve"> godina) u poređenju sa placebom (0,29 slučaja/pacijent</w:t>
      </w:r>
      <w:r w:rsidR="00D444A7" w:rsidRPr="00D95F2B">
        <w:rPr>
          <w:rFonts w:eastAsia="Calibri"/>
          <w:sz w:val="22"/>
          <w:szCs w:val="22"/>
          <w:lang w:val="sr-Latn-ME"/>
        </w:rPr>
        <w:t xml:space="preserve"> </w:t>
      </w:r>
      <w:r w:rsidR="0080711A" w:rsidRPr="00D95F2B">
        <w:rPr>
          <w:rFonts w:eastAsia="Calibri"/>
          <w:sz w:val="22"/>
          <w:szCs w:val="22"/>
          <w:lang w:val="sr-Latn-ME"/>
        </w:rPr>
        <w:t>-</w:t>
      </w:r>
      <w:r w:rsidRPr="00D95F2B">
        <w:rPr>
          <w:rFonts w:eastAsia="Calibri"/>
          <w:sz w:val="22"/>
          <w:szCs w:val="22"/>
          <w:lang w:val="sr-Latn-ME"/>
        </w:rPr>
        <w:t xml:space="preserve"> godina). Kod pacijenata koji su liječeni insulinom prije potvrđene epizode hipoglikemije, stopa je bila viša uz liraglutid (1,82 slučaja/pacijent</w:t>
      </w:r>
      <w:r w:rsidR="009D5921" w:rsidRPr="00D95F2B">
        <w:rPr>
          <w:rFonts w:eastAsia="Calibri"/>
          <w:sz w:val="22"/>
          <w:szCs w:val="22"/>
          <w:lang w:val="sr-Latn-ME"/>
        </w:rPr>
        <w:t xml:space="preserve"> </w:t>
      </w:r>
      <w:r w:rsidR="0080711A" w:rsidRPr="00D95F2B">
        <w:rPr>
          <w:rFonts w:eastAsia="Calibri"/>
          <w:sz w:val="22"/>
          <w:szCs w:val="22"/>
          <w:lang w:val="sr-Latn-ME"/>
        </w:rPr>
        <w:t>-</w:t>
      </w:r>
      <w:r w:rsidRPr="00D95F2B">
        <w:rPr>
          <w:rFonts w:eastAsia="Calibri"/>
          <w:sz w:val="22"/>
          <w:szCs w:val="22"/>
          <w:lang w:val="sr-Latn-ME"/>
        </w:rPr>
        <w:t xml:space="preserve"> godina) u poređenju sa placebom (0,91 slučaj/pacijent</w:t>
      </w:r>
      <w:r w:rsidR="009D5921" w:rsidRPr="00D95F2B">
        <w:rPr>
          <w:rFonts w:eastAsia="Calibri"/>
          <w:sz w:val="22"/>
          <w:szCs w:val="22"/>
          <w:lang w:val="sr-Latn-ME"/>
        </w:rPr>
        <w:t xml:space="preserve"> </w:t>
      </w:r>
      <w:r w:rsidR="0080711A" w:rsidRPr="00D95F2B">
        <w:rPr>
          <w:rFonts w:eastAsia="Calibri"/>
          <w:sz w:val="22"/>
          <w:szCs w:val="22"/>
          <w:lang w:val="sr-Latn-ME"/>
        </w:rPr>
        <w:t>-</w:t>
      </w:r>
      <w:r w:rsidRPr="00D95F2B">
        <w:rPr>
          <w:rFonts w:eastAsia="Calibri"/>
          <w:sz w:val="22"/>
          <w:szCs w:val="22"/>
          <w:lang w:val="sr-Latn-ME"/>
        </w:rPr>
        <w:t xml:space="preserve"> godina). U grupi liječenoj liraglutidom nijesu zabilježene epizode teške hipoglikemije.</w:t>
      </w:r>
    </w:p>
    <w:p w14:paraId="123DB9D8" w14:textId="77777777" w:rsidR="001160EC" w:rsidRPr="00D95F2B" w:rsidRDefault="001160EC" w:rsidP="001160EC">
      <w:pPr>
        <w:rPr>
          <w:rFonts w:eastAsia="Calibri"/>
          <w:sz w:val="22"/>
          <w:szCs w:val="22"/>
          <w:lang w:val="sr-Latn-ME"/>
        </w:rPr>
      </w:pPr>
    </w:p>
    <w:p w14:paraId="650F497D" w14:textId="77777777" w:rsidR="005A23D2" w:rsidRPr="00D95F2B" w:rsidRDefault="005A23D2" w:rsidP="001160EC">
      <w:pPr>
        <w:rPr>
          <w:rFonts w:eastAsia="Calibri"/>
          <w:sz w:val="22"/>
          <w:szCs w:val="22"/>
          <w:u w:val="single"/>
          <w:lang w:val="sr-Latn-ME"/>
        </w:rPr>
      </w:pPr>
      <w:r w:rsidRPr="00D95F2B">
        <w:rPr>
          <w:rFonts w:eastAsia="Calibri"/>
          <w:sz w:val="22"/>
          <w:szCs w:val="22"/>
          <w:u w:val="single"/>
          <w:lang w:val="sr-Latn-ME"/>
        </w:rPr>
        <w:t>Prijavljivanje sumnji na neželjena dejstva</w:t>
      </w:r>
    </w:p>
    <w:p w14:paraId="16833F31" w14:textId="77777777" w:rsidR="001160EC" w:rsidRPr="00D95F2B" w:rsidRDefault="001160EC" w:rsidP="001160EC">
      <w:pPr>
        <w:jc w:val="both"/>
        <w:rPr>
          <w:rFonts w:eastAsia="Calibri"/>
          <w:sz w:val="22"/>
          <w:szCs w:val="22"/>
          <w:lang w:val="sr-Latn-ME"/>
        </w:rPr>
      </w:pPr>
    </w:p>
    <w:p w14:paraId="15B21B50" w14:textId="77777777" w:rsidR="003E769F" w:rsidRPr="00D95F2B" w:rsidRDefault="003E769F" w:rsidP="003E769F">
      <w:pPr>
        <w:spacing w:after="200"/>
        <w:jc w:val="both"/>
        <w:rPr>
          <w:rFonts w:eastAsia="Calibri"/>
          <w:sz w:val="22"/>
          <w:szCs w:val="22"/>
          <w:lang w:val="sr-Latn-ME"/>
        </w:rPr>
      </w:pPr>
      <w:r w:rsidRPr="00D95F2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CCE8F1F" w14:textId="77777777" w:rsidR="003E769F" w:rsidRPr="00D95F2B" w:rsidRDefault="003E769F" w:rsidP="003E769F">
      <w:pPr>
        <w:pStyle w:val="NoSpacing"/>
        <w:jc w:val="both"/>
        <w:rPr>
          <w:rFonts w:eastAsia="Calibri"/>
          <w:sz w:val="22"/>
          <w:szCs w:val="22"/>
          <w:lang w:val="sr-Latn-ME"/>
        </w:rPr>
      </w:pPr>
      <w:r w:rsidRPr="00D95F2B">
        <w:rPr>
          <w:rFonts w:eastAsia="Calibri"/>
          <w:sz w:val="22"/>
          <w:szCs w:val="22"/>
          <w:lang w:val="sr-Latn-ME"/>
        </w:rPr>
        <w:t xml:space="preserve">Institut za ljekove i medicinska sredstva </w:t>
      </w:r>
    </w:p>
    <w:p w14:paraId="4B5587E8" w14:textId="77777777" w:rsidR="003E769F" w:rsidRPr="00D95F2B" w:rsidRDefault="003E769F" w:rsidP="003E769F">
      <w:pPr>
        <w:pStyle w:val="NoSpacing"/>
        <w:jc w:val="both"/>
        <w:rPr>
          <w:rFonts w:eastAsia="Calibri"/>
          <w:sz w:val="22"/>
          <w:szCs w:val="22"/>
          <w:lang w:val="sr-Latn-ME"/>
        </w:rPr>
      </w:pPr>
      <w:r w:rsidRPr="00D95F2B">
        <w:rPr>
          <w:rFonts w:eastAsia="Calibri"/>
          <w:sz w:val="22"/>
          <w:szCs w:val="22"/>
          <w:lang w:val="sr-Latn-ME"/>
        </w:rPr>
        <w:t>Odjeljenje za farmakovigilancu</w:t>
      </w:r>
    </w:p>
    <w:p w14:paraId="2B4B9BA3" w14:textId="77777777" w:rsidR="003E769F" w:rsidRPr="00D95F2B" w:rsidRDefault="003E769F" w:rsidP="003E769F">
      <w:pPr>
        <w:pStyle w:val="NoSpacing"/>
        <w:jc w:val="both"/>
        <w:rPr>
          <w:rFonts w:eastAsia="Calibri"/>
          <w:sz w:val="22"/>
          <w:szCs w:val="22"/>
          <w:lang w:val="sr-Latn-ME"/>
        </w:rPr>
      </w:pPr>
      <w:r w:rsidRPr="00D95F2B">
        <w:rPr>
          <w:rFonts w:eastAsia="Calibri"/>
          <w:sz w:val="22"/>
          <w:szCs w:val="22"/>
          <w:lang w:val="sr-Latn-ME"/>
        </w:rPr>
        <w:t>Bulevar Ivana Crnojevića 64a, 81000 Podgorica</w:t>
      </w:r>
    </w:p>
    <w:p w14:paraId="0E9E7337" w14:textId="77777777" w:rsidR="003E769F" w:rsidRPr="00D95F2B" w:rsidRDefault="003E769F" w:rsidP="003E769F">
      <w:pPr>
        <w:pStyle w:val="NoSpacing"/>
        <w:rPr>
          <w:rFonts w:eastAsia="Calibri"/>
          <w:sz w:val="22"/>
          <w:szCs w:val="22"/>
          <w:lang w:val="sr-Latn-ME"/>
        </w:rPr>
      </w:pPr>
    </w:p>
    <w:p w14:paraId="6FB6C4E4" w14:textId="77777777" w:rsidR="003E769F" w:rsidRPr="00D95F2B" w:rsidRDefault="003E769F" w:rsidP="003E769F">
      <w:pPr>
        <w:pStyle w:val="NoSpacing"/>
        <w:jc w:val="both"/>
        <w:rPr>
          <w:rFonts w:eastAsia="Calibri"/>
          <w:sz w:val="22"/>
          <w:szCs w:val="22"/>
          <w:lang w:val="sr-Latn-ME"/>
        </w:rPr>
      </w:pPr>
      <w:r w:rsidRPr="00D95F2B">
        <w:rPr>
          <w:rFonts w:eastAsia="Calibri"/>
          <w:sz w:val="22"/>
          <w:szCs w:val="22"/>
          <w:lang w:val="sr-Latn-ME"/>
        </w:rPr>
        <w:t>tel: +382 (0) 20 310 280</w:t>
      </w:r>
    </w:p>
    <w:p w14:paraId="51AC5CB5" w14:textId="77777777" w:rsidR="003E769F" w:rsidRPr="00D95F2B" w:rsidRDefault="003E769F" w:rsidP="003E769F">
      <w:pPr>
        <w:pStyle w:val="NoSpacing"/>
        <w:tabs>
          <w:tab w:val="left" w:pos="6720"/>
        </w:tabs>
        <w:jc w:val="both"/>
        <w:rPr>
          <w:rFonts w:eastAsia="Calibri"/>
          <w:sz w:val="22"/>
          <w:szCs w:val="22"/>
          <w:lang w:val="sr-Latn-ME"/>
        </w:rPr>
      </w:pPr>
      <w:r w:rsidRPr="00D95F2B">
        <w:rPr>
          <w:rFonts w:eastAsia="Calibri"/>
          <w:sz w:val="22"/>
          <w:szCs w:val="22"/>
          <w:lang w:val="sr-Latn-ME"/>
        </w:rPr>
        <w:t>fax: +382 (0) 20 310 581</w:t>
      </w:r>
      <w:r w:rsidRPr="00D95F2B">
        <w:rPr>
          <w:rFonts w:eastAsia="Calibri"/>
          <w:sz w:val="22"/>
          <w:szCs w:val="22"/>
          <w:lang w:val="sr-Latn-ME"/>
        </w:rPr>
        <w:tab/>
      </w:r>
    </w:p>
    <w:p w14:paraId="5C6D6B96" w14:textId="77777777" w:rsidR="003E769F" w:rsidRPr="00D95F2B" w:rsidRDefault="00C81C3B" w:rsidP="003E769F">
      <w:pPr>
        <w:pStyle w:val="NoSpacing"/>
        <w:jc w:val="both"/>
        <w:rPr>
          <w:rFonts w:eastAsia="Calibri"/>
          <w:sz w:val="22"/>
          <w:szCs w:val="22"/>
          <w:lang w:val="sr-Latn-ME"/>
        </w:rPr>
      </w:pPr>
      <w:hyperlink r:id="rId8" w:history="1">
        <w:r w:rsidR="003E769F" w:rsidRPr="00D95F2B">
          <w:rPr>
            <w:rStyle w:val="Hyperlink"/>
            <w:rFonts w:eastAsia="Calibri"/>
            <w:sz w:val="22"/>
            <w:szCs w:val="22"/>
            <w:lang w:val="sr-Latn-ME"/>
          </w:rPr>
          <w:t>www.cinmed.me</w:t>
        </w:r>
      </w:hyperlink>
    </w:p>
    <w:p w14:paraId="6CC53F8B" w14:textId="77777777" w:rsidR="003E769F" w:rsidRPr="00D95F2B" w:rsidRDefault="00C81C3B" w:rsidP="003E769F">
      <w:pPr>
        <w:pStyle w:val="NoSpacing"/>
        <w:jc w:val="both"/>
        <w:rPr>
          <w:rFonts w:eastAsia="Calibri"/>
          <w:color w:val="0000FF"/>
          <w:sz w:val="22"/>
          <w:szCs w:val="22"/>
          <w:u w:val="single"/>
          <w:lang w:val="sr-Latn-ME"/>
        </w:rPr>
      </w:pPr>
      <w:hyperlink r:id="rId9" w:history="1">
        <w:r w:rsidR="003E769F" w:rsidRPr="00D95F2B">
          <w:rPr>
            <w:rStyle w:val="Hyperlink"/>
            <w:rFonts w:eastAsia="Calibri"/>
            <w:sz w:val="22"/>
            <w:szCs w:val="22"/>
            <w:lang w:val="sr-Latn-ME"/>
          </w:rPr>
          <w:t>nezeljenadejstva@cinmed.me</w:t>
        </w:r>
      </w:hyperlink>
    </w:p>
    <w:p w14:paraId="6623A078" w14:textId="77777777" w:rsidR="003E769F" w:rsidRPr="00D95F2B" w:rsidRDefault="003E769F" w:rsidP="003E769F">
      <w:pPr>
        <w:pStyle w:val="NoSpacing"/>
        <w:jc w:val="both"/>
        <w:rPr>
          <w:rFonts w:eastAsia="Calibri"/>
          <w:sz w:val="22"/>
          <w:szCs w:val="22"/>
          <w:lang w:val="sr-Latn-ME"/>
        </w:rPr>
      </w:pPr>
      <w:r w:rsidRPr="00D95F2B">
        <w:rPr>
          <w:rFonts w:eastAsia="Calibri"/>
          <w:sz w:val="22"/>
          <w:szCs w:val="22"/>
          <w:lang w:val="sr-Latn-ME"/>
        </w:rPr>
        <w:t>putem IS zdravstvene zaštite</w:t>
      </w:r>
    </w:p>
    <w:p w14:paraId="7FD007DD" w14:textId="77777777" w:rsidR="003E769F" w:rsidRPr="00D95F2B" w:rsidRDefault="003E769F" w:rsidP="003E769F">
      <w:pPr>
        <w:pStyle w:val="NoSpacing"/>
        <w:jc w:val="both"/>
        <w:rPr>
          <w:rFonts w:eastAsia="Calibri"/>
          <w:sz w:val="22"/>
          <w:szCs w:val="22"/>
          <w:lang w:val="sr-Latn-ME"/>
        </w:rPr>
      </w:pPr>
      <w:r w:rsidRPr="00D95F2B">
        <w:rPr>
          <w:rFonts w:eastAsia="Calibri"/>
          <w:sz w:val="22"/>
          <w:szCs w:val="22"/>
          <w:lang w:val="sr-Latn-ME"/>
        </w:rPr>
        <w:t>QR kod za online prijavu sumnje na neželjeno dejstvo lijeka:</w:t>
      </w:r>
    </w:p>
    <w:p w14:paraId="6ACA952E" w14:textId="77777777" w:rsidR="003E769F" w:rsidRPr="00D95F2B" w:rsidRDefault="003E769F" w:rsidP="003E769F">
      <w:pPr>
        <w:pStyle w:val="NoSpacing"/>
        <w:jc w:val="both"/>
        <w:rPr>
          <w:rFonts w:eastAsia="Calibri"/>
          <w:sz w:val="22"/>
          <w:szCs w:val="22"/>
          <w:lang w:val="sr-Latn-ME"/>
        </w:rPr>
      </w:pPr>
    </w:p>
    <w:p w14:paraId="78C9F520" w14:textId="2E5F09A2" w:rsidR="003E769F" w:rsidRPr="00D95F2B" w:rsidRDefault="009D5921" w:rsidP="003E769F">
      <w:pPr>
        <w:pStyle w:val="NoSpacing"/>
        <w:rPr>
          <w:rFonts w:eastAsia="Calibri"/>
          <w:sz w:val="22"/>
          <w:szCs w:val="22"/>
          <w:lang w:val="sr-Latn-ME"/>
        </w:rPr>
      </w:pPr>
      <w:r w:rsidRPr="00D95F2B">
        <w:rPr>
          <w:b/>
          <w:bCs/>
          <w:noProof/>
          <w:sz w:val="22"/>
          <w:szCs w:val="22"/>
        </w:rPr>
        <w:drawing>
          <wp:inline distT="0" distB="0" distL="0" distR="0" wp14:anchorId="4B82CE80" wp14:editId="3D140B1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B87B45" w14:textId="77777777" w:rsidR="00836B35" w:rsidRPr="00D95F2B" w:rsidRDefault="00836B35" w:rsidP="001160EC">
      <w:pPr>
        <w:tabs>
          <w:tab w:val="left" w:pos="540"/>
          <w:tab w:val="left" w:pos="569"/>
        </w:tabs>
        <w:rPr>
          <w:b/>
          <w:bCs/>
          <w:sz w:val="22"/>
          <w:szCs w:val="22"/>
          <w:lang w:val="sr-Latn-ME"/>
        </w:rPr>
      </w:pPr>
    </w:p>
    <w:p w14:paraId="445DF962" w14:textId="77777777" w:rsidR="00CD6F02"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4.9. </w:t>
      </w:r>
      <w:r w:rsidR="00480FB1" w:rsidRPr="00D95F2B">
        <w:rPr>
          <w:b/>
          <w:bCs/>
          <w:sz w:val="22"/>
          <w:szCs w:val="22"/>
          <w:lang w:val="sr-Latn-ME"/>
        </w:rPr>
        <w:tab/>
      </w:r>
      <w:r w:rsidRPr="00D95F2B">
        <w:rPr>
          <w:b/>
          <w:bCs/>
          <w:sz w:val="22"/>
          <w:szCs w:val="22"/>
          <w:lang w:val="sr-Latn-ME"/>
        </w:rPr>
        <w:t>Predoziranje</w:t>
      </w:r>
      <w:r w:rsidR="002846DB" w:rsidRPr="00D95F2B">
        <w:rPr>
          <w:b/>
          <w:bCs/>
          <w:sz w:val="22"/>
          <w:szCs w:val="22"/>
          <w:lang w:val="sr-Latn-ME"/>
        </w:rPr>
        <w:t xml:space="preserve"> </w:t>
      </w:r>
    </w:p>
    <w:p w14:paraId="6434ECFB" w14:textId="77777777" w:rsidR="00490E2B" w:rsidRPr="00D95F2B" w:rsidRDefault="00490E2B" w:rsidP="00480FB1">
      <w:pPr>
        <w:tabs>
          <w:tab w:val="left" w:pos="540"/>
          <w:tab w:val="left" w:pos="569"/>
        </w:tabs>
        <w:rPr>
          <w:sz w:val="22"/>
          <w:szCs w:val="22"/>
          <w:lang w:val="sr-Latn-ME"/>
        </w:rPr>
      </w:pPr>
    </w:p>
    <w:p w14:paraId="50826012" w14:textId="2303E868" w:rsidR="00490E2B" w:rsidRPr="00D95F2B" w:rsidRDefault="00490E2B" w:rsidP="00AB551E">
      <w:pPr>
        <w:tabs>
          <w:tab w:val="left" w:pos="540"/>
          <w:tab w:val="left" w:pos="569"/>
        </w:tabs>
        <w:jc w:val="both"/>
        <w:rPr>
          <w:sz w:val="22"/>
          <w:szCs w:val="22"/>
          <w:lang w:val="sr-Latn-ME"/>
        </w:rPr>
      </w:pPr>
      <w:r w:rsidRPr="00D95F2B">
        <w:rPr>
          <w:sz w:val="22"/>
          <w:szCs w:val="22"/>
          <w:lang w:val="sr-Latn-ME"/>
        </w:rPr>
        <w:t xml:space="preserve">Tokom kliničkih studija i nakon stavljanja u promet, prijavljeni su slučajevi predoziranja čak i sa 40 puta većom dozom (72 mg) od preporučene doze održavanja. </w:t>
      </w:r>
      <w:r w:rsidR="00F2568B" w:rsidRPr="00D95F2B">
        <w:rPr>
          <w:sz w:val="22"/>
          <w:szCs w:val="22"/>
          <w:lang w:val="sr-Latn-ME"/>
        </w:rPr>
        <w:t>Prijavljeni događaji uključuju</w:t>
      </w:r>
      <w:r w:rsidRPr="00D95F2B">
        <w:rPr>
          <w:sz w:val="22"/>
          <w:szCs w:val="22"/>
          <w:lang w:val="sr-Latn-ME"/>
        </w:rPr>
        <w:t xml:space="preserve"> tešku mučninu, povraćanje</w:t>
      </w:r>
      <w:r w:rsidR="00F2568B" w:rsidRPr="00D95F2B">
        <w:rPr>
          <w:sz w:val="22"/>
          <w:szCs w:val="22"/>
          <w:lang w:val="sr-Latn-ME"/>
        </w:rPr>
        <w:t>,</w:t>
      </w:r>
      <w:r w:rsidRPr="00D95F2B">
        <w:rPr>
          <w:sz w:val="22"/>
          <w:szCs w:val="22"/>
          <w:lang w:val="sr-Latn-ME"/>
        </w:rPr>
        <w:t xml:space="preserve"> dijareju</w:t>
      </w:r>
      <w:r w:rsidR="00F2568B" w:rsidRPr="00D95F2B">
        <w:rPr>
          <w:sz w:val="22"/>
          <w:szCs w:val="22"/>
          <w:lang w:val="sr-Latn-ME"/>
        </w:rPr>
        <w:t xml:space="preserve"> i ozbiljnu hipoglikemiju</w:t>
      </w:r>
      <w:r w:rsidRPr="00D95F2B">
        <w:rPr>
          <w:sz w:val="22"/>
          <w:szCs w:val="22"/>
          <w:lang w:val="sr-Latn-ME"/>
        </w:rPr>
        <w:t xml:space="preserve">. </w:t>
      </w:r>
    </w:p>
    <w:p w14:paraId="34AC7C90" w14:textId="77777777" w:rsidR="00490E2B" w:rsidRPr="00D95F2B" w:rsidRDefault="00490E2B" w:rsidP="00AB551E">
      <w:pPr>
        <w:tabs>
          <w:tab w:val="left" w:pos="540"/>
          <w:tab w:val="left" w:pos="569"/>
        </w:tabs>
        <w:jc w:val="both"/>
        <w:rPr>
          <w:sz w:val="22"/>
          <w:szCs w:val="22"/>
          <w:lang w:val="sr-Latn-ME"/>
        </w:rPr>
      </w:pPr>
      <w:r w:rsidRPr="00D95F2B">
        <w:rPr>
          <w:sz w:val="22"/>
          <w:szCs w:val="22"/>
          <w:lang w:val="sr-Latn-ME"/>
        </w:rPr>
        <w:t>U slučaju predoziranja, treba započeti odgovarajuće liječenje u skladu sa kliničkom procjenom stanja pacijenta i simptomima.</w:t>
      </w:r>
      <w:r w:rsidR="00F2568B" w:rsidRPr="00D95F2B">
        <w:rPr>
          <w:sz w:val="22"/>
          <w:szCs w:val="22"/>
          <w:lang w:val="sr-Latn-ME"/>
        </w:rPr>
        <w:t xml:space="preserve"> Treba pratiti kliničke znake dehidratacije i nivo glukoze u krvi kod pacijenta.</w:t>
      </w:r>
    </w:p>
    <w:p w14:paraId="58337AF9" w14:textId="4E7A92CE" w:rsidR="00227BDB" w:rsidRPr="00D95F2B" w:rsidRDefault="00227BDB" w:rsidP="00AB551E">
      <w:pPr>
        <w:tabs>
          <w:tab w:val="left" w:pos="540"/>
          <w:tab w:val="left" w:pos="569"/>
        </w:tabs>
        <w:jc w:val="both"/>
        <w:rPr>
          <w:sz w:val="22"/>
          <w:szCs w:val="22"/>
          <w:lang w:val="sr-Latn-ME"/>
        </w:rPr>
      </w:pPr>
    </w:p>
    <w:p w14:paraId="4F5EB75C" w14:textId="77777777" w:rsidR="003B5692" w:rsidRPr="00D95F2B" w:rsidRDefault="003B5692" w:rsidP="00AB551E">
      <w:pPr>
        <w:tabs>
          <w:tab w:val="left" w:pos="540"/>
          <w:tab w:val="left" w:pos="569"/>
        </w:tabs>
        <w:jc w:val="both"/>
        <w:rPr>
          <w:sz w:val="22"/>
          <w:szCs w:val="22"/>
          <w:lang w:val="sr-Latn-ME"/>
        </w:rPr>
      </w:pPr>
    </w:p>
    <w:p w14:paraId="4A019A6B" w14:textId="77777777" w:rsidR="0072020E" w:rsidRPr="00D95F2B" w:rsidRDefault="0072020E" w:rsidP="00720885">
      <w:pPr>
        <w:tabs>
          <w:tab w:val="left" w:pos="540"/>
          <w:tab w:val="left" w:pos="569"/>
        </w:tabs>
        <w:jc w:val="both"/>
        <w:rPr>
          <w:b/>
          <w:bCs/>
          <w:sz w:val="22"/>
          <w:szCs w:val="22"/>
          <w:lang w:val="sr-Latn-ME"/>
        </w:rPr>
      </w:pPr>
      <w:r w:rsidRPr="00D95F2B">
        <w:rPr>
          <w:b/>
          <w:bCs/>
          <w:sz w:val="22"/>
          <w:szCs w:val="22"/>
          <w:lang w:val="sr-Latn-ME"/>
        </w:rPr>
        <w:t xml:space="preserve">5. </w:t>
      </w:r>
      <w:r w:rsidR="00480FB1" w:rsidRPr="00D95F2B">
        <w:rPr>
          <w:b/>
          <w:bCs/>
          <w:sz w:val="22"/>
          <w:szCs w:val="22"/>
          <w:lang w:val="sr-Latn-ME"/>
        </w:rPr>
        <w:tab/>
      </w:r>
      <w:r w:rsidRPr="00D95F2B">
        <w:rPr>
          <w:b/>
          <w:bCs/>
          <w:sz w:val="22"/>
          <w:szCs w:val="22"/>
          <w:lang w:val="sr-Latn-ME"/>
        </w:rPr>
        <w:t>FARMAKOLOŠK</w:t>
      </w:r>
      <w:r w:rsidR="000D425A" w:rsidRPr="00D95F2B">
        <w:rPr>
          <w:b/>
          <w:bCs/>
          <w:sz w:val="22"/>
          <w:szCs w:val="22"/>
          <w:lang w:val="sr-Latn-ME"/>
        </w:rPr>
        <w:t>I</w:t>
      </w:r>
      <w:r w:rsidRPr="00D95F2B">
        <w:rPr>
          <w:b/>
          <w:bCs/>
          <w:sz w:val="22"/>
          <w:szCs w:val="22"/>
          <w:lang w:val="sr-Latn-ME"/>
        </w:rPr>
        <w:t xml:space="preserve"> PODACI</w:t>
      </w:r>
    </w:p>
    <w:p w14:paraId="3A8DCD4B" w14:textId="77777777" w:rsidR="0072020E" w:rsidRPr="00D95F2B" w:rsidRDefault="0072020E" w:rsidP="00720885">
      <w:pPr>
        <w:tabs>
          <w:tab w:val="left" w:pos="540"/>
          <w:tab w:val="left" w:pos="569"/>
        </w:tabs>
        <w:jc w:val="both"/>
        <w:rPr>
          <w:b/>
          <w:bCs/>
          <w:sz w:val="22"/>
          <w:szCs w:val="22"/>
          <w:lang w:val="sr-Latn-ME"/>
        </w:rPr>
      </w:pPr>
    </w:p>
    <w:p w14:paraId="6D098897" w14:textId="77777777" w:rsidR="0072020E" w:rsidRPr="00D95F2B" w:rsidRDefault="0072020E" w:rsidP="00720885">
      <w:pPr>
        <w:tabs>
          <w:tab w:val="left" w:pos="540"/>
          <w:tab w:val="left" w:pos="569"/>
        </w:tabs>
        <w:jc w:val="both"/>
        <w:rPr>
          <w:b/>
          <w:bCs/>
          <w:sz w:val="22"/>
          <w:szCs w:val="22"/>
          <w:lang w:val="sr-Latn-ME"/>
        </w:rPr>
      </w:pPr>
      <w:r w:rsidRPr="00D95F2B">
        <w:rPr>
          <w:b/>
          <w:bCs/>
          <w:sz w:val="22"/>
          <w:szCs w:val="22"/>
          <w:lang w:val="sr-Latn-ME"/>
        </w:rPr>
        <w:t xml:space="preserve">5.1. </w:t>
      </w:r>
      <w:r w:rsidR="00480FB1" w:rsidRPr="00D95F2B">
        <w:rPr>
          <w:b/>
          <w:bCs/>
          <w:sz w:val="22"/>
          <w:szCs w:val="22"/>
          <w:lang w:val="sr-Latn-ME"/>
        </w:rPr>
        <w:tab/>
      </w:r>
      <w:r w:rsidRPr="00D95F2B">
        <w:rPr>
          <w:b/>
          <w:bCs/>
          <w:sz w:val="22"/>
          <w:szCs w:val="22"/>
          <w:lang w:val="sr-Latn-ME"/>
        </w:rPr>
        <w:t>Farmakodinamski podaci</w:t>
      </w:r>
      <w:r w:rsidR="003A7059" w:rsidRPr="00D95F2B">
        <w:rPr>
          <w:b/>
          <w:bCs/>
          <w:sz w:val="22"/>
          <w:szCs w:val="22"/>
          <w:lang w:val="sr-Latn-ME"/>
        </w:rPr>
        <w:t xml:space="preserve"> </w:t>
      </w:r>
    </w:p>
    <w:p w14:paraId="21C9FA99" w14:textId="77777777" w:rsidR="00F45F77" w:rsidRPr="00D95F2B" w:rsidRDefault="00F45F77" w:rsidP="00720885">
      <w:pPr>
        <w:tabs>
          <w:tab w:val="left" w:pos="540"/>
          <w:tab w:val="left" w:pos="569"/>
        </w:tabs>
        <w:jc w:val="both"/>
        <w:rPr>
          <w:b/>
          <w:bCs/>
          <w:sz w:val="22"/>
          <w:szCs w:val="22"/>
          <w:lang w:val="sr-Latn-ME"/>
        </w:rPr>
      </w:pPr>
    </w:p>
    <w:p w14:paraId="5C9F8F3B" w14:textId="67F7A629" w:rsidR="0072020E" w:rsidRPr="00D95F2B" w:rsidRDefault="0072020E" w:rsidP="00720885">
      <w:pPr>
        <w:tabs>
          <w:tab w:val="left" w:pos="540"/>
          <w:tab w:val="left" w:pos="569"/>
        </w:tabs>
        <w:jc w:val="both"/>
        <w:rPr>
          <w:bCs/>
          <w:sz w:val="22"/>
          <w:szCs w:val="22"/>
          <w:lang w:val="sr-Latn-ME"/>
        </w:rPr>
      </w:pPr>
      <w:r w:rsidRPr="00D95F2B">
        <w:rPr>
          <w:bCs/>
          <w:sz w:val="22"/>
          <w:szCs w:val="22"/>
          <w:lang w:val="sr-Latn-ME"/>
        </w:rPr>
        <w:t>Farmakoterapijska grupa:</w:t>
      </w:r>
      <w:r w:rsidR="00490E2B" w:rsidRPr="00D95F2B">
        <w:rPr>
          <w:bCs/>
          <w:sz w:val="22"/>
          <w:szCs w:val="22"/>
          <w:lang w:val="sr-Latn-ME"/>
        </w:rPr>
        <w:t xml:space="preserve"> Ljekovi koji se upotrebljavaju u dijabetesu, analozi glukagonu-sličnog peptida-1 (GLP-1).</w:t>
      </w:r>
    </w:p>
    <w:p w14:paraId="7046A77E" w14:textId="77777777" w:rsidR="0072020E" w:rsidRPr="00D95F2B" w:rsidRDefault="0072020E" w:rsidP="00720885">
      <w:pPr>
        <w:tabs>
          <w:tab w:val="left" w:pos="540"/>
          <w:tab w:val="left" w:pos="569"/>
        </w:tabs>
        <w:jc w:val="both"/>
        <w:rPr>
          <w:bCs/>
          <w:sz w:val="22"/>
          <w:szCs w:val="22"/>
          <w:lang w:val="sr-Latn-ME"/>
        </w:rPr>
      </w:pPr>
    </w:p>
    <w:p w14:paraId="61947D8A" w14:textId="77777777" w:rsidR="0072020E" w:rsidRPr="00D95F2B" w:rsidRDefault="0072020E" w:rsidP="00720885">
      <w:pPr>
        <w:tabs>
          <w:tab w:val="left" w:pos="540"/>
          <w:tab w:val="left" w:pos="569"/>
        </w:tabs>
        <w:jc w:val="both"/>
        <w:rPr>
          <w:bCs/>
          <w:sz w:val="22"/>
          <w:szCs w:val="22"/>
          <w:lang w:val="sr-Latn-ME"/>
        </w:rPr>
      </w:pPr>
      <w:r w:rsidRPr="00D95F2B">
        <w:rPr>
          <w:bCs/>
          <w:sz w:val="22"/>
          <w:szCs w:val="22"/>
          <w:lang w:val="sr-Latn-ME"/>
        </w:rPr>
        <w:t>ATC kod:</w:t>
      </w:r>
      <w:r w:rsidR="00490E2B" w:rsidRPr="00D95F2B">
        <w:rPr>
          <w:bCs/>
          <w:sz w:val="22"/>
          <w:szCs w:val="22"/>
          <w:lang w:val="sr-Latn-ME"/>
        </w:rPr>
        <w:t xml:space="preserve"> A10BJ02</w:t>
      </w:r>
    </w:p>
    <w:p w14:paraId="18A0FF36" w14:textId="57831208" w:rsidR="00490E2B" w:rsidRDefault="00490E2B" w:rsidP="00720885">
      <w:pPr>
        <w:tabs>
          <w:tab w:val="left" w:pos="540"/>
          <w:tab w:val="left" w:pos="569"/>
        </w:tabs>
        <w:jc w:val="both"/>
        <w:rPr>
          <w:bCs/>
          <w:sz w:val="22"/>
          <w:szCs w:val="22"/>
          <w:lang w:val="sr-Latn-ME"/>
        </w:rPr>
      </w:pPr>
    </w:p>
    <w:p w14:paraId="5A57A1C2" w14:textId="5E19C517" w:rsidR="00D95F2B" w:rsidRDefault="00D95F2B" w:rsidP="00720885">
      <w:pPr>
        <w:tabs>
          <w:tab w:val="left" w:pos="540"/>
          <w:tab w:val="left" w:pos="569"/>
        </w:tabs>
        <w:jc w:val="both"/>
        <w:rPr>
          <w:bCs/>
          <w:sz w:val="22"/>
          <w:szCs w:val="22"/>
          <w:lang w:val="sr-Latn-ME"/>
        </w:rPr>
      </w:pPr>
    </w:p>
    <w:p w14:paraId="1DAADE52" w14:textId="77777777" w:rsidR="00D95F2B" w:rsidRPr="00D95F2B" w:rsidRDefault="00D95F2B" w:rsidP="00720885">
      <w:pPr>
        <w:tabs>
          <w:tab w:val="left" w:pos="540"/>
          <w:tab w:val="left" w:pos="569"/>
        </w:tabs>
        <w:jc w:val="both"/>
        <w:rPr>
          <w:bCs/>
          <w:sz w:val="22"/>
          <w:szCs w:val="22"/>
          <w:lang w:val="sr-Latn-ME"/>
        </w:rPr>
      </w:pPr>
    </w:p>
    <w:p w14:paraId="736B798E" w14:textId="77777777" w:rsidR="00490E2B" w:rsidRPr="00D95F2B" w:rsidRDefault="00490E2B" w:rsidP="00720885">
      <w:pPr>
        <w:tabs>
          <w:tab w:val="left" w:pos="540"/>
          <w:tab w:val="left" w:pos="569"/>
        </w:tabs>
        <w:jc w:val="both"/>
        <w:rPr>
          <w:bCs/>
          <w:sz w:val="22"/>
          <w:szCs w:val="22"/>
          <w:u w:val="single"/>
          <w:lang w:val="sr-Latn-ME"/>
        </w:rPr>
      </w:pPr>
      <w:r w:rsidRPr="00D95F2B">
        <w:rPr>
          <w:bCs/>
          <w:sz w:val="22"/>
          <w:szCs w:val="22"/>
          <w:u w:val="single"/>
          <w:lang w:val="sr-Latn-ME"/>
        </w:rPr>
        <w:lastRenderedPageBreak/>
        <w:t>Mehanizam dejstva</w:t>
      </w:r>
    </w:p>
    <w:p w14:paraId="7D232C9A" w14:textId="77777777" w:rsidR="00490E2B" w:rsidRPr="00D95F2B" w:rsidRDefault="00490E2B" w:rsidP="00720885">
      <w:pPr>
        <w:tabs>
          <w:tab w:val="left" w:pos="540"/>
          <w:tab w:val="left" w:pos="569"/>
        </w:tabs>
        <w:jc w:val="both"/>
        <w:rPr>
          <w:bCs/>
          <w:sz w:val="22"/>
          <w:szCs w:val="22"/>
          <w:lang w:val="sr-Latn-ME"/>
        </w:rPr>
      </w:pPr>
    </w:p>
    <w:p w14:paraId="4972FF10" w14:textId="6C98BABA" w:rsidR="00490E2B" w:rsidRPr="00D95F2B" w:rsidRDefault="00490E2B">
      <w:pPr>
        <w:tabs>
          <w:tab w:val="left" w:pos="540"/>
          <w:tab w:val="left" w:pos="569"/>
        </w:tabs>
        <w:jc w:val="both"/>
        <w:rPr>
          <w:bCs/>
          <w:sz w:val="22"/>
          <w:szCs w:val="22"/>
          <w:lang w:val="sr-Latn-ME"/>
        </w:rPr>
      </w:pPr>
      <w:r w:rsidRPr="00D95F2B">
        <w:rPr>
          <w:bCs/>
          <w:sz w:val="22"/>
          <w:szCs w:val="22"/>
          <w:lang w:val="sr-Latn-ME"/>
        </w:rPr>
        <w:t xml:space="preserve">Liraglutid je </w:t>
      </w:r>
      <w:r w:rsidR="003E299A" w:rsidRPr="00D95F2B">
        <w:rPr>
          <w:bCs/>
          <w:sz w:val="22"/>
          <w:szCs w:val="22"/>
          <w:lang w:val="sr-Latn-ME"/>
        </w:rPr>
        <w:t xml:space="preserve">analog </w:t>
      </w:r>
      <w:r w:rsidRPr="00D95F2B">
        <w:rPr>
          <w:bCs/>
          <w:sz w:val="22"/>
          <w:szCs w:val="22"/>
          <w:lang w:val="sr-Latn-ME"/>
        </w:rPr>
        <w:t>GLP-1</w:t>
      </w:r>
      <w:r w:rsidR="00311D65" w:rsidRPr="00D95F2B">
        <w:rPr>
          <w:bCs/>
          <w:sz w:val="22"/>
          <w:szCs w:val="22"/>
          <w:lang w:val="sr-Latn-ME"/>
        </w:rPr>
        <w:t>,</w:t>
      </w:r>
      <w:r w:rsidRPr="00D95F2B">
        <w:rPr>
          <w:bCs/>
          <w:sz w:val="22"/>
          <w:szCs w:val="22"/>
          <w:lang w:val="sr-Latn-ME"/>
        </w:rPr>
        <w:t xml:space="preserve"> 97% sekvencijalni homolog humanog GLP-1, koji nakon vezivanja aktivira GLP-1 receptor. GLP-1 receptor predstavlja ciljno mjesto dejstva nativnog GLP-1, hormona iz grupe endogenih inkretina, koji potencira izlučivanje insulina iz beta-ćelija pankreasa zavisno od koncentracije glukoze u krvi. Za razliku od nativnog GLP-1, liraglutid ima u humanoj populaciji farmakokinetički i farmakodinamski profil koji je pogodan za primjenu jednom dnevno. Nakon su</w:t>
      </w:r>
      <w:r w:rsidR="009D5921" w:rsidRPr="00D95F2B">
        <w:rPr>
          <w:bCs/>
          <w:sz w:val="22"/>
          <w:szCs w:val="22"/>
          <w:lang w:val="sr-Latn-ME"/>
        </w:rPr>
        <w:t>b</w:t>
      </w:r>
      <w:r w:rsidRPr="00D95F2B">
        <w:rPr>
          <w:bCs/>
          <w:sz w:val="22"/>
          <w:szCs w:val="22"/>
          <w:lang w:val="sr-Latn-ME"/>
        </w:rPr>
        <w:t>kutane primjene, profil produženog dejstva se zasniva na tri mehanizma: samo-asocijaciji, što rezultuje u sporoj resorpciji</w:t>
      </w:r>
      <w:r w:rsidR="00A927E1" w:rsidRPr="00D95F2B">
        <w:rPr>
          <w:bCs/>
          <w:sz w:val="22"/>
          <w:szCs w:val="22"/>
          <w:lang w:val="sr-Latn-ME"/>
        </w:rPr>
        <w:t>;</w:t>
      </w:r>
      <w:r w:rsidRPr="00D95F2B">
        <w:rPr>
          <w:bCs/>
          <w:sz w:val="22"/>
          <w:szCs w:val="22"/>
          <w:lang w:val="sr-Latn-ME"/>
        </w:rPr>
        <w:t xml:space="preserve"> vezivanju za albumine</w:t>
      </w:r>
      <w:r w:rsidR="00A927E1" w:rsidRPr="00D95F2B">
        <w:rPr>
          <w:bCs/>
          <w:sz w:val="22"/>
          <w:szCs w:val="22"/>
          <w:lang w:val="sr-Latn-ME"/>
        </w:rPr>
        <w:t>;</w:t>
      </w:r>
      <w:r w:rsidRPr="00D95F2B">
        <w:rPr>
          <w:bCs/>
          <w:sz w:val="22"/>
          <w:szCs w:val="22"/>
          <w:lang w:val="sr-Latn-ME"/>
        </w:rPr>
        <w:t xml:space="preserve"> većoj enzimskoj stabilnosti prema enzimima dipeptidil peptidazi</w:t>
      </w:r>
      <w:r w:rsidR="00A927E1" w:rsidRPr="00D95F2B">
        <w:rPr>
          <w:bCs/>
          <w:sz w:val="22"/>
          <w:szCs w:val="22"/>
          <w:lang w:val="sr-Latn-ME"/>
        </w:rPr>
        <w:t>-</w:t>
      </w:r>
      <w:r w:rsidRPr="00D95F2B">
        <w:rPr>
          <w:bCs/>
          <w:sz w:val="22"/>
          <w:szCs w:val="22"/>
          <w:lang w:val="sr-Latn-ME"/>
        </w:rPr>
        <w:t xml:space="preserve">4 (DPP-4) i neutralnim endopeptidazama (NEP), što rezultuje dugim poluvremenom eliminacije iz plazme. </w:t>
      </w:r>
    </w:p>
    <w:p w14:paraId="5BAFF109" w14:textId="77777777" w:rsidR="00490E2B" w:rsidRPr="00D95F2B" w:rsidRDefault="00490E2B" w:rsidP="00AB551E">
      <w:pPr>
        <w:tabs>
          <w:tab w:val="left" w:pos="540"/>
          <w:tab w:val="left" w:pos="569"/>
        </w:tabs>
        <w:jc w:val="both"/>
        <w:rPr>
          <w:bCs/>
          <w:sz w:val="22"/>
          <w:szCs w:val="22"/>
          <w:lang w:val="sr-Latn-ME"/>
        </w:rPr>
      </w:pPr>
    </w:p>
    <w:p w14:paraId="07BED983" w14:textId="77777777"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Dejstvo liraglutida odvija se ostvarivanjem specifične interakcije sa GLP-1 receptorima, što dovodi do povećanja cikličnog adenozin monofosfata (cAMP). Liraglutid stimuliše izlučivanje insulina zavisno od koncentracije glukoze u krvi. U isto vrijeme, liraglutid smanjuje isuviše veliko izlučivanje glukagona, takođe zavisno od koncentracije glukoze. Stoga, kada je nivo šećera u krvi visok, stimuliše se izlučivanje insulina, a inhibira izlučivanje glukagona. Obratno, za vrijeme hipoglikemije, liraglutid smanjuje izlučivanje insulina, ali ne utiče na izlučivanje glukagona. Mehanizam smanjenja nivoa šećera u krvi takođe uključuje i minimalno zadržavanje pražnjenja želuca. Liraglutid smanjuje tjelesnu masu, kao i masnu tjelesnu masu putem mehanizama koji uključuju smanjenje potrebe za jelom i energetskog unosa.</w:t>
      </w:r>
    </w:p>
    <w:p w14:paraId="462BEE44" w14:textId="4F6E2B88" w:rsidR="00A927E1" w:rsidRPr="00D95F2B" w:rsidRDefault="00490E2B" w:rsidP="00AB551E">
      <w:pPr>
        <w:tabs>
          <w:tab w:val="left" w:pos="540"/>
          <w:tab w:val="left" w:pos="569"/>
        </w:tabs>
        <w:jc w:val="both"/>
        <w:rPr>
          <w:bCs/>
          <w:sz w:val="22"/>
          <w:szCs w:val="22"/>
          <w:lang w:val="sr-Latn-ME"/>
        </w:rPr>
      </w:pPr>
      <w:r w:rsidRPr="00D95F2B">
        <w:rPr>
          <w:bCs/>
          <w:sz w:val="22"/>
          <w:szCs w:val="22"/>
          <w:lang w:val="sr-Latn-ME"/>
        </w:rPr>
        <w:t xml:space="preserve">GLP-1 je fiziološki regulator apetita i unosa </w:t>
      </w:r>
      <w:r w:rsidR="00A927E1" w:rsidRPr="00D95F2B">
        <w:rPr>
          <w:bCs/>
          <w:sz w:val="22"/>
          <w:szCs w:val="22"/>
          <w:lang w:val="sr-Latn-ME"/>
        </w:rPr>
        <w:t>hrane</w:t>
      </w:r>
      <w:r w:rsidRPr="00D95F2B">
        <w:rPr>
          <w:bCs/>
          <w:sz w:val="22"/>
          <w:szCs w:val="22"/>
          <w:lang w:val="sr-Latn-ME"/>
        </w:rPr>
        <w:t>, ali tačan mehanizam njegovog dejstva nije u potpunosti jasan.</w:t>
      </w:r>
    </w:p>
    <w:p w14:paraId="0A3EB708" w14:textId="77777777" w:rsidR="00A927E1" w:rsidRPr="00D95F2B" w:rsidRDefault="00A927E1" w:rsidP="00AB551E">
      <w:pPr>
        <w:tabs>
          <w:tab w:val="left" w:pos="540"/>
          <w:tab w:val="left" w:pos="569"/>
        </w:tabs>
        <w:jc w:val="both"/>
        <w:rPr>
          <w:bCs/>
          <w:sz w:val="22"/>
          <w:szCs w:val="22"/>
          <w:lang w:val="sr-Latn-ME"/>
        </w:rPr>
      </w:pPr>
    </w:p>
    <w:p w14:paraId="269047CB" w14:textId="3A4050BB"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 xml:space="preserve">U ispitivanjima na životinjama, nakon periferne primjene liraglutida došlo je do preuzimanja u određene djelove mozga koji su uključeni u regulaciju apetita, gdje je liraglutid putem specifične aktivacije GLP-1 receptora </w:t>
      </w:r>
      <w:r w:rsidR="00A927E1" w:rsidRPr="00D95F2B">
        <w:rPr>
          <w:bCs/>
          <w:sz w:val="22"/>
          <w:szCs w:val="22"/>
          <w:lang w:val="sr-Latn-ME"/>
        </w:rPr>
        <w:t xml:space="preserve">(GLP-1R) </w:t>
      </w:r>
      <w:r w:rsidRPr="00D95F2B">
        <w:rPr>
          <w:bCs/>
          <w:sz w:val="22"/>
          <w:szCs w:val="22"/>
          <w:lang w:val="sr-Latn-ME"/>
        </w:rPr>
        <w:t xml:space="preserve">doveo do povećanja signala sitosti i smanjenja signala gladi, i time doveo do smanjenja tjelesne </w:t>
      </w:r>
      <w:r w:rsidR="00CE1B30" w:rsidRPr="00D95F2B">
        <w:rPr>
          <w:bCs/>
          <w:sz w:val="22"/>
          <w:szCs w:val="22"/>
          <w:lang w:val="sr-Latn-ME"/>
        </w:rPr>
        <w:t>mase</w:t>
      </w:r>
      <w:r w:rsidRPr="00D95F2B">
        <w:rPr>
          <w:bCs/>
          <w:sz w:val="22"/>
          <w:szCs w:val="22"/>
          <w:lang w:val="sr-Latn-ME"/>
        </w:rPr>
        <w:t>.</w:t>
      </w:r>
    </w:p>
    <w:p w14:paraId="081F10E3" w14:textId="77777777" w:rsidR="00490E2B" w:rsidRPr="00D95F2B" w:rsidRDefault="00490E2B" w:rsidP="00AB551E">
      <w:pPr>
        <w:tabs>
          <w:tab w:val="left" w:pos="540"/>
          <w:tab w:val="left" w:pos="569"/>
        </w:tabs>
        <w:jc w:val="both"/>
        <w:rPr>
          <w:bCs/>
          <w:sz w:val="22"/>
          <w:szCs w:val="22"/>
          <w:lang w:val="sr-Latn-ME"/>
        </w:rPr>
      </w:pPr>
    </w:p>
    <w:p w14:paraId="2AD79BA6" w14:textId="3F622F86"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GLP-1 receptori su eksprimirani i na specifičnim m</w:t>
      </w:r>
      <w:r w:rsidR="009D5921" w:rsidRPr="00D95F2B">
        <w:rPr>
          <w:bCs/>
          <w:sz w:val="22"/>
          <w:szCs w:val="22"/>
          <w:lang w:val="sr-Latn-ME"/>
        </w:rPr>
        <w:t>j</w:t>
      </w:r>
      <w:r w:rsidRPr="00D95F2B">
        <w:rPr>
          <w:bCs/>
          <w:sz w:val="22"/>
          <w:szCs w:val="22"/>
          <w:lang w:val="sr-Latn-ME"/>
        </w:rPr>
        <w:t>estima u srcu, vaskularnom sistemu, imunološkom sistemu i bubrezima. U modelima ateroskleroze na miševima, liraglutid je spriječio progresiju plaka aorte i smanjio inflamaciju plaka. Dodatno, liraglutid je imao povoljan efekat na vrijednost lipida u plazmi. Liraglutid nije smanjio veličinu plaka kod već ustanovljenih plakova.</w:t>
      </w:r>
    </w:p>
    <w:p w14:paraId="2C7AF836" w14:textId="77777777" w:rsidR="00490E2B" w:rsidRPr="00D95F2B" w:rsidRDefault="00490E2B" w:rsidP="00490E2B">
      <w:pPr>
        <w:tabs>
          <w:tab w:val="left" w:pos="540"/>
          <w:tab w:val="left" w:pos="569"/>
        </w:tabs>
        <w:rPr>
          <w:bCs/>
          <w:sz w:val="22"/>
          <w:szCs w:val="22"/>
          <w:lang w:val="sr-Latn-ME"/>
        </w:rPr>
      </w:pPr>
    </w:p>
    <w:p w14:paraId="0490FF58" w14:textId="77777777" w:rsidR="00490E2B" w:rsidRPr="00D95F2B" w:rsidRDefault="00490E2B" w:rsidP="00490E2B">
      <w:pPr>
        <w:tabs>
          <w:tab w:val="left" w:pos="540"/>
          <w:tab w:val="left" w:pos="569"/>
        </w:tabs>
        <w:rPr>
          <w:bCs/>
          <w:sz w:val="22"/>
          <w:szCs w:val="22"/>
          <w:u w:val="single"/>
          <w:lang w:val="sr-Latn-ME"/>
        </w:rPr>
      </w:pPr>
      <w:r w:rsidRPr="00D95F2B">
        <w:rPr>
          <w:bCs/>
          <w:sz w:val="22"/>
          <w:szCs w:val="22"/>
          <w:u w:val="single"/>
          <w:lang w:val="sr-Latn-ME"/>
        </w:rPr>
        <w:t>Farmakodinamski efekti</w:t>
      </w:r>
    </w:p>
    <w:p w14:paraId="49A090A2" w14:textId="77777777" w:rsidR="00490E2B" w:rsidRPr="00D95F2B" w:rsidRDefault="00490E2B" w:rsidP="00490E2B">
      <w:pPr>
        <w:tabs>
          <w:tab w:val="left" w:pos="540"/>
          <w:tab w:val="left" w:pos="569"/>
        </w:tabs>
        <w:rPr>
          <w:bCs/>
          <w:sz w:val="22"/>
          <w:szCs w:val="22"/>
          <w:lang w:val="sr-Latn-ME"/>
        </w:rPr>
      </w:pPr>
    </w:p>
    <w:p w14:paraId="2FD98380" w14:textId="4BDB04B7"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Dejstvo liraglutida traje 24 časa. Liraglutid poboljšava glikemijsku kontrolu smanjenjem vrijednosti šećera u krvi na</w:t>
      </w:r>
      <w:r w:rsidR="00632FBD" w:rsidRPr="00D95F2B">
        <w:rPr>
          <w:bCs/>
          <w:sz w:val="22"/>
          <w:szCs w:val="22"/>
          <w:lang w:val="sr-Latn-ME"/>
        </w:rPr>
        <w:t>ta</w:t>
      </w:r>
      <w:r w:rsidRPr="00D95F2B">
        <w:rPr>
          <w:bCs/>
          <w:sz w:val="22"/>
          <w:szCs w:val="22"/>
          <w:lang w:val="sr-Latn-ME"/>
        </w:rPr>
        <w:t xml:space="preserve">šte i postprandijalno kod pacijenata sa </w:t>
      </w:r>
      <w:r w:rsidR="00A927E1" w:rsidRPr="00D95F2B">
        <w:rPr>
          <w:bCs/>
          <w:sz w:val="22"/>
          <w:szCs w:val="22"/>
          <w:lang w:val="sr-Latn-ME"/>
        </w:rPr>
        <w:t>d</w:t>
      </w:r>
      <w:r w:rsidRPr="00D95F2B">
        <w:rPr>
          <w:bCs/>
          <w:sz w:val="22"/>
          <w:szCs w:val="22"/>
          <w:lang w:val="sr-Latn-ME"/>
        </w:rPr>
        <w:t>i</w:t>
      </w:r>
      <w:r w:rsidR="00A927E1" w:rsidRPr="00D95F2B">
        <w:rPr>
          <w:bCs/>
          <w:sz w:val="22"/>
          <w:szCs w:val="22"/>
          <w:lang w:val="sr-Latn-ME"/>
        </w:rPr>
        <w:t>j</w:t>
      </w:r>
      <w:r w:rsidRPr="00D95F2B">
        <w:rPr>
          <w:bCs/>
          <w:sz w:val="22"/>
          <w:szCs w:val="22"/>
          <w:lang w:val="sr-Latn-ME"/>
        </w:rPr>
        <w:t xml:space="preserve">abetes melitusom tip 2. </w:t>
      </w:r>
    </w:p>
    <w:p w14:paraId="46968783" w14:textId="77777777" w:rsidR="00490E2B" w:rsidRPr="00D95F2B" w:rsidRDefault="00490E2B" w:rsidP="00490E2B">
      <w:pPr>
        <w:tabs>
          <w:tab w:val="left" w:pos="540"/>
          <w:tab w:val="left" w:pos="569"/>
        </w:tabs>
        <w:rPr>
          <w:bCs/>
          <w:sz w:val="22"/>
          <w:szCs w:val="22"/>
          <w:lang w:val="sr-Latn-ME"/>
        </w:rPr>
      </w:pPr>
    </w:p>
    <w:p w14:paraId="17D98768" w14:textId="77777777" w:rsidR="00490E2B" w:rsidRPr="00D95F2B" w:rsidRDefault="00490E2B" w:rsidP="00490E2B">
      <w:pPr>
        <w:tabs>
          <w:tab w:val="left" w:pos="540"/>
          <w:tab w:val="left" w:pos="569"/>
        </w:tabs>
        <w:rPr>
          <w:bCs/>
          <w:sz w:val="22"/>
          <w:szCs w:val="22"/>
          <w:u w:val="single"/>
          <w:lang w:val="sr-Latn-ME"/>
        </w:rPr>
      </w:pPr>
      <w:r w:rsidRPr="00D95F2B">
        <w:rPr>
          <w:bCs/>
          <w:sz w:val="22"/>
          <w:szCs w:val="22"/>
          <w:u w:val="single"/>
          <w:lang w:val="sr-Latn-ME"/>
        </w:rPr>
        <w:t>Klinička efikasnost i bezbjednost</w:t>
      </w:r>
    </w:p>
    <w:p w14:paraId="0F2C59F4" w14:textId="77777777" w:rsidR="00490E2B" w:rsidRPr="00D95F2B" w:rsidRDefault="00490E2B" w:rsidP="00490E2B">
      <w:pPr>
        <w:tabs>
          <w:tab w:val="left" w:pos="540"/>
          <w:tab w:val="left" w:pos="569"/>
        </w:tabs>
        <w:rPr>
          <w:bCs/>
          <w:sz w:val="22"/>
          <w:szCs w:val="22"/>
          <w:lang w:val="sr-Latn-ME"/>
        </w:rPr>
      </w:pPr>
    </w:p>
    <w:p w14:paraId="3383AFD2" w14:textId="35C75D44"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Poboljšanje kontrole glikemije i smanjenje kardiovaskluarnog morbiditeta i mortaliteta sastavni su d</w:t>
      </w:r>
      <w:r w:rsidR="000A3BBC" w:rsidRPr="00D95F2B">
        <w:rPr>
          <w:bCs/>
          <w:sz w:val="22"/>
          <w:szCs w:val="22"/>
          <w:lang w:val="sr-Latn-ME"/>
        </w:rPr>
        <w:t>i</w:t>
      </w:r>
      <w:r w:rsidRPr="00D95F2B">
        <w:rPr>
          <w:bCs/>
          <w:sz w:val="22"/>
          <w:szCs w:val="22"/>
          <w:lang w:val="sr-Latn-ME"/>
        </w:rPr>
        <w:t>o liječenja dijabetesa tip 2.</w:t>
      </w:r>
    </w:p>
    <w:p w14:paraId="5DFCDE62" w14:textId="77777777" w:rsidR="00490E2B" w:rsidRPr="00D95F2B" w:rsidRDefault="00490E2B" w:rsidP="00AB551E">
      <w:pPr>
        <w:tabs>
          <w:tab w:val="left" w:pos="540"/>
          <w:tab w:val="left" w:pos="569"/>
        </w:tabs>
        <w:jc w:val="both"/>
        <w:rPr>
          <w:bCs/>
          <w:sz w:val="22"/>
          <w:szCs w:val="22"/>
          <w:lang w:val="sr-Latn-ME"/>
        </w:rPr>
      </w:pPr>
    </w:p>
    <w:p w14:paraId="48EC404D" w14:textId="02B707D7"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 xml:space="preserve">Sprovedeno je pet randomizovanih, kontrolisanih kliničkih ispitivanja faze 3a </w:t>
      </w:r>
      <w:r w:rsidR="00DD063C" w:rsidRPr="00D95F2B">
        <w:rPr>
          <w:bCs/>
          <w:sz w:val="22"/>
          <w:szCs w:val="22"/>
          <w:lang w:val="sr-Latn-ME"/>
        </w:rPr>
        <w:t xml:space="preserve">kod odraslih pacijenata, </w:t>
      </w:r>
      <w:r w:rsidRPr="00D95F2B">
        <w:rPr>
          <w:bCs/>
          <w:sz w:val="22"/>
          <w:szCs w:val="22"/>
          <w:lang w:val="sr-Latn-ME"/>
        </w:rPr>
        <w:t>duplo-sl</w:t>
      </w:r>
      <w:r w:rsidR="00E96E6E" w:rsidRPr="00D95F2B">
        <w:rPr>
          <w:bCs/>
          <w:sz w:val="22"/>
          <w:szCs w:val="22"/>
          <w:lang w:val="sr-Latn-ME"/>
        </w:rPr>
        <w:t>ij</w:t>
      </w:r>
      <w:r w:rsidRPr="00D95F2B">
        <w:rPr>
          <w:bCs/>
          <w:sz w:val="22"/>
          <w:szCs w:val="22"/>
          <w:lang w:val="sr-Latn-ME"/>
        </w:rPr>
        <w:t>epog karaktera, sa ciljem utvrđivanja dejstva liraglutida na glikemijsku kontrolu (Tabela 2). Liječenje liraglutidom dovelo je do klinički i statistički značajnih poboljšanja u vrijednostima glikoziliranog hemoglobina A</w:t>
      </w:r>
      <w:r w:rsidRPr="00D95F2B">
        <w:rPr>
          <w:bCs/>
          <w:sz w:val="22"/>
          <w:szCs w:val="22"/>
          <w:vertAlign w:val="subscript"/>
          <w:lang w:val="sr-Latn-ME"/>
        </w:rPr>
        <w:t>1c</w:t>
      </w:r>
      <w:r w:rsidRPr="00D95F2B">
        <w:rPr>
          <w:bCs/>
          <w:sz w:val="22"/>
          <w:szCs w:val="22"/>
          <w:lang w:val="sr-Latn-ME"/>
        </w:rPr>
        <w:t xml:space="preserve"> (HbA</w:t>
      </w:r>
      <w:r w:rsidRPr="00D95F2B">
        <w:rPr>
          <w:bCs/>
          <w:sz w:val="22"/>
          <w:szCs w:val="22"/>
          <w:vertAlign w:val="subscript"/>
          <w:lang w:val="sr-Latn-ME"/>
        </w:rPr>
        <w:t>1c</w:t>
      </w:r>
      <w:r w:rsidRPr="00D95F2B">
        <w:rPr>
          <w:bCs/>
          <w:sz w:val="22"/>
          <w:szCs w:val="22"/>
          <w:lang w:val="sr-Latn-ME"/>
        </w:rPr>
        <w:t>), glikemije na</w:t>
      </w:r>
      <w:r w:rsidR="00632FBD" w:rsidRPr="00D95F2B">
        <w:rPr>
          <w:bCs/>
          <w:sz w:val="22"/>
          <w:szCs w:val="22"/>
          <w:lang w:val="sr-Latn-ME"/>
        </w:rPr>
        <w:t>ta</w:t>
      </w:r>
      <w:r w:rsidRPr="00D95F2B">
        <w:rPr>
          <w:bCs/>
          <w:sz w:val="22"/>
          <w:szCs w:val="22"/>
          <w:lang w:val="sr-Latn-ME"/>
        </w:rPr>
        <w:t xml:space="preserve">šte, kao i postprandijalno u poređenju sa placebom. </w:t>
      </w:r>
    </w:p>
    <w:p w14:paraId="2A6B96A0" w14:textId="77777777" w:rsidR="00490E2B" w:rsidRPr="00D95F2B" w:rsidRDefault="00490E2B" w:rsidP="00AB551E">
      <w:pPr>
        <w:tabs>
          <w:tab w:val="left" w:pos="540"/>
          <w:tab w:val="left" w:pos="569"/>
        </w:tabs>
        <w:jc w:val="both"/>
        <w:rPr>
          <w:bCs/>
          <w:sz w:val="22"/>
          <w:szCs w:val="22"/>
          <w:lang w:val="sr-Latn-ME"/>
        </w:rPr>
      </w:pPr>
    </w:p>
    <w:p w14:paraId="7C7E4AFE" w14:textId="77777777"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Ova ispitivanja su uključivala 3978 pacijenata sa dijabetes melitusom tip 2 (2501 pacijent liječen je liraglutidom), 53,7% muškaraca i 46,3% žena, 797 pacijenata (508 liječenih liraglutidom) bilo je ≥ 65 godina starosti i 113 pacijenata (66 liječenih liraglutidom) bilo je ≥ 75 godina starosti.</w:t>
      </w:r>
    </w:p>
    <w:p w14:paraId="140FEE6F" w14:textId="77777777" w:rsidR="00490E2B" w:rsidRPr="00D95F2B" w:rsidRDefault="00490E2B" w:rsidP="00AB551E">
      <w:pPr>
        <w:tabs>
          <w:tab w:val="left" w:pos="540"/>
          <w:tab w:val="left" w:pos="569"/>
        </w:tabs>
        <w:jc w:val="both"/>
        <w:rPr>
          <w:bCs/>
          <w:sz w:val="22"/>
          <w:szCs w:val="22"/>
          <w:lang w:val="sr-Latn-ME"/>
        </w:rPr>
      </w:pPr>
    </w:p>
    <w:p w14:paraId="423ACB0D" w14:textId="1CAB0D8D"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Sprovedena su dodatna ispitivanja liraglutida koja su obuhvatila 1901 pacijenta u četiri randomizovana, kontrolisana, otvorena klinička ispitivanja (obuhvativši 464, 658, 323 i 177 pacijenata po ispitivanju) i jedno duplo-slijepo, randomizovano, kontrolisano kliničko ispitivanje pacijenata sa dijabetes melitusom tip 2 i um</w:t>
      </w:r>
      <w:r w:rsidR="00E90942" w:rsidRPr="00D95F2B">
        <w:rPr>
          <w:bCs/>
          <w:sz w:val="22"/>
          <w:szCs w:val="22"/>
          <w:lang w:val="sr-Latn-ME"/>
        </w:rPr>
        <w:t>j</w:t>
      </w:r>
      <w:r w:rsidRPr="00D95F2B">
        <w:rPr>
          <w:bCs/>
          <w:sz w:val="22"/>
          <w:szCs w:val="22"/>
          <w:lang w:val="sr-Latn-ME"/>
        </w:rPr>
        <w:t>erenom bubrežnom insuficijencijom (279 pacijenata).</w:t>
      </w:r>
    </w:p>
    <w:p w14:paraId="648C8A70" w14:textId="77777777" w:rsidR="00490E2B" w:rsidRPr="00D95F2B" w:rsidRDefault="00490E2B" w:rsidP="00AB551E">
      <w:pPr>
        <w:tabs>
          <w:tab w:val="left" w:pos="540"/>
          <w:tab w:val="left" w:pos="569"/>
        </w:tabs>
        <w:jc w:val="both"/>
        <w:rPr>
          <w:bCs/>
          <w:sz w:val="22"/>
          <w:szCs w:val="22"/>
          <w:lang w:val="sr-Latn-ME"/>
        </w:rPr>
      </w:pPr>
    </w:p>
    <w:p w14:paraId="7EA7C6EC" w14:textId="77777777"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lastRenderedPageBreak/>
        <w:t>Sprovedeno je i veliko ispitivanje kardiovaskularnih ishoda (kliničko ispitivanje LEADER) sa liraglutidom kod 9340 pacijenata sa dijabetes melitusom tip 2 i visokim kardiovaskularnim rizikom.</w:t>
      </w:r>
    </w:p>
    <w:p w14:paraId="05873C95" w14:textId="77777777" w:rsidR="00490E2B" w:rsidRPr="00D95F2B" w:rsidRDefault="00490E2B" w:rsidP="00AB551E">
      <w:pPr>
        <w:tabs>
          <w:tab w:val="left" w:pos="540"/>
          <w:tab w:val="left" w:pos="569"/>
        </w:tabs>
        <w:jc w:val="both"/>
        <w:rPr>
          <w:bCs/>
          <w:sz w:val="22"/>
          <w:szCs w:val="22"/>
          <w:lang w:val="sr-Latn-ME"/>
        </w:rPr>
      </w:pPr>
    </w:p>
    <w:p w14:paraId="302BC286" w14:textId="77777777" w:rsidR="00490E2B" w:rsidRPr="00D95F2B" w:rsidRDefault="00490E2B" w:rsidP="00490E2B">
      <w:pPr>
        <w:pStyle w:val="ListParagraph"/>
        <w:numPr>
          <w:ilvl w:val="0"/>
          <w:numId w:val="13"/>
        </w:numPr>
        <w:tabs>
          <w:tab w:val="left" w:pos="540"/>
          <w:tab w:val="left" w:pos="569"/>
        </w:tabs>
        <w:rPr>
          <w:bCs/>
          <w:sz w:val="22"/>
          <w:szCs w:val="22"/>
          <w:lang w:val="sr-Latn-ME"/>
        </w:rPr>
      </w:pPr>
      <w:r w:rsidRPr="00D95F2B">
        <w:rPr>
          <w:bCs/>
          <w:sz w:val="22"/>
          <w:szCs w:val="22"/>
          <w:lang w:val="sr-Latn-ME"/>
        </w:rPr>
        <w:t>Kontrola glikemije</w:t>
      </w:r>
    </w:p>
    <w:p w14:paraId="645E1F86" w14:textId="77777777" w:rsidR="003B5692" w:rsidRPr="00D95F2B" w:rsidRDefault="003B5692" w:rsidP="00490E2B">
      <w:pPr>
        <w:tabs>
          <w:tab w:val="left" w:pos="540"/>
          <w:tab w:val="left" w:pos="569"/>
        </w:tabs>
        <w:rPr>
          <w:bCs/>
          <w:i/>
          <w:iCs/>
          <w:sz w:val="22"/>
          <w:szCs w:val="22"/>
          <w:lang w:val="sr-Latn-ME"/>
        </w:rPr>
      </w:pPr>
    </w:p>
    <w:p w14:paraId="19D25078" w14:textId="2AADB0A3" w:rsidR="00490E2B" w:rsidRPr="00D95F2B" w:rsidRDefault="00490E2B" w:rsidP="00490E2B">
      <w:pPr>
        <w:tabs>
          <w:tab w:val="left" w:pos="540"/>
          <w:tab w:val="left" w:pos="569"/>
        </w:tabs>
        <w:rPr>
          <w:bCs/>
          <w:i/>
          <w:iCs/>
          <w:sz w:val="22"/>
          <w:szCs w:val="22"/>
          <w:lang w:val="sr-Latn-ME"/>
        </w:rPr>
      </w:pPr>
      <w:r w:rsidRPr="00D95F2B">
        <w:rPr>
          <w:bCs/>
          <w:i/>
          <w:iCs/>
          <w:sz w:val="22"/>
          <w:szCs w:val="22"/>
          <w:lang w:val="sr-Latn-ME"/>
        </w:rPr>
        <w:t>Monoterapija</w:t>
      </w:r>
    </w:p>
    <w:p w14:paraId="3465D181" w14:textId="77777777"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Monoterapija liraglutidom tokom 52 nedjelje dovela je do statistički značajnog i održivog smanjenja vrijednosti HbA</w:t>
      </w:r>
      <w:r w:rsidRPr="00D95F2B">
        <w:rPr>
          <w:bCs/>
          <w:sz w:val="22"/>
          <w:szCs w:val="22"/>
          <w:vertAlign w:val="subscript"/>
          <w:lang w:val="sr-Latn-ME"/>
        </w:rPr>
        <w:t>1c</w:t>
      </w:r>
      <w:r w:rsidRPr="00D95F2B">
        <w:rPr>
          <w:bCs/>
          <w:sz w:val="22"/>
          <w:szCs w:val="22"/>
          <w:lang w:val="sr-Latn-ME"/>
        </w:rPr>
        <w:t xml:space="preserve"> u poređenju sa glimepiridom u dozi od 8 mg (-0,84% za dozu od 1,2 mg, -1,14% za dozu od 1,8 mg naspram -0,51% za komparator) kod pacijenata koji su prethodno liječeni dijetom i fizičkom aktivnošću ili monoterapijom nekim oralnim antidijabetikom u dozi najviše do pola maksimalne doze (Tabela 2).</w:t>
      </w:r>
    </w:p>
    <w:p w14:paraId="41230766" w14:textId="77777777" w:rsidR="00490E2B" w:rsidRPr="00D95F2B" w:rsidRDefault="00490E2B" w:rsidP="00490E2B">
      <w:pPr>
        <w:tabs>
          <w:tab w:val="left" w:pos="540"/>
          <w:tab w:val="left" w:pos="569"/>
        </w:tabs>
        <w:rPr>
          <w:bCs/>
          <w:sz w:val="22"/>
          <w:szCs w:val="22"/>
          <w:lang w:val="sr-Latn-ME"/>
        </w:rPr>
      </w:pPr>
    </w:p>
    <w:p w14:paraId="77DF9D1B" w14:textId="77777777" w:rsidR="00490E2B" w:rsidRPr="00D95F2B" w:rsidRDefault="00490E2B" w:rsidP="00490E2B">
      <w:pPr>
        <w:tabs>
          <w:tab w:val="left" w:pos="540"/>
          <w:tab w:val="left" w:pos="569"/>
        </w:tabs>
        <w:rPr>
          <w:bCs/>
          <w:i/>
          <w:iCs/>
          <w:sz w:val="22"/>
          <w:szCs w:val="22"/>
          <w:lang w:val="sr-Latn-ME"/>
        </w:rPr>
      </w:pPr>
      <w:r w:rsidRPr="00D95F2B">
        <w:rPr>
          <w:bCs/>
          <w:i/>
          <w:iCs/>
          <w:sz w:val="22"/>
          <w:szCs w:val="22"/>
          <w:lang w:val="sr-Latn-ME"/>
        </w:rPr>
        <w:t>Kombinovana terapija sa oralnim antidijabeticima</w:t>
      </w:r>
    </w:p>
    <w:p w14:paraId="589B18D5" w14:textId="66214A8A" w:rsidR="00490E2B" w:rsidRPr="00D95F2B" w:rsidRDefault="00490E2B" w:rsidP="00AB551E">
      <w:pPr>
        <w:tabs>
          <w:tab w:val="left" w:pos="540"/>
          <w:tab w:val="left" w:pos="569"/>
        </w:tabs>
        <w:jc w:val="both"/>
        <w:rPr>
          <w:bCs/>
          <w:sz w:val="22"/>
          <w:szCs w:val="22"/>
          <w:lang w:val="sr-Latn-ME"/>
        </w:rPr>
      </w:pPr>
      <w:r w:rsidRPr="00D95F2B">
        <w:rPr>
          <w:bCs/>
          <w:sz w:val="22"/>
          <w:szCs w:val="22"/>
          <w:lang w:val="sr-Latn-ME"/>
        </w:rPr>
        <w:t>Liraglutid primjenjivan u kombinovanoj terapiji, tokom 26 nedjelja, sa metforminom, glimepiridom ili metforminom i ro</w:t>
      </w:r>
      <w:r w:rsidR="00A927E1" w:rsidRPr="00D95F2B">
        <w:rPr>
          <w:bCs/>
          <w:sz w:val="22"/>
          <w:szCs w:val="22"/>
          <w:lang w:val="sr-Latn-ME"/>
        </w:rPr>
        <w:t>s</w:t>
      </w:r>
      <w:r w:rsidRPr="00D95F2B">
        <w:rPr>
          <w:bCs/>
          <w:sz w:val="22"/>
          <w:szCs w:val="22"/>
          <w:lang w:val="sr-Latn-ME"/>
        </w:rPr>
        <w:t xml:space="preserve">iglitazonom </w:t>
      </w:r>
      <w:r w:rsidR="00D523A9" w:rsidRPr="00D95F2B">
        <w:rPr>
          <w:bCs/>
          <w:sz w:val="22"/>
          <w:szCs w:val="22"/>
          <w:lang w:val="sr-Latn-ME"/>
        </w:rPr>
        <w:t xml:space="preserve">ili inhibitorom SGLT2 ± metforminom, </w:t>
      </w:r>
      <w:r w:rsidRPr="00D95F2B">
        <w:rPr>
          <w:bCs/>
          <w:sz w:val="22"/>
          <w:szCs w:val="22"/>
          <w:lang w:val="sr-Latn-ME"/>
        </w:rPr>
        <w:t>imao je za rezultat statistički značajna i održiva smanjenja vrijednosti HbA</w:t>
      </w:r>
      <w:r w:rsidRPr="00D95F2B">
        <w:rPr>
          <w:bCs/>
          <w:sz w:val="22"/>
          <w:szCs w:val="22"/>
          <w:vertAlign w:val="subscript"/>
          <w:lang w:val="sr-Latn-ME"/>
        </w:rPr>
        <w:t>1c</w:t>
      </w:r>
      <w:r w:rsidRPr="00D95F2B">
        <w:rPr>
          <w:bCs/>
          <w:sz w:val="22"/>
          <w:szCs w:val="22"/>
          <w:lang w:val="sr-Latn-ME"/>
        </w:rPr>
        <w:t xml:space="preserve"> u poređenju sa pacijentima koji su dobijali placebo (Tabela 2). </w:t>
      </w:r>
    </w:p>
    <w:p w14:paraId="5D9B69F8" w14:textId="77777777" w:rsidR="00CE1B30" w:rsidRPr="00D95F2B" w:rsidRDefault="00CE1B30" w:rsidP="00490E2B">
      <w:pPr>
        <w:tabs>
          <w:tab w:val="left" w:pos="540"/>
          <w:tab w:val="left" w:pos="569"/>
        </w:tabs>
        <w:rPr>
          <w:bCs/>
          <w:sz w:val="22"/>
          <w:szCs w:val="22"/>
          <w:lang w:val="sr-Latn-ME"/>
        </w:rPr>
      </w:pPr>
    </w:p>
    <w:p w14:paraId="1A651B66" w14:textId="3935123B" w:rsidR="00490E2B" w:rsidRPr="00D95F2B" w:rsidRDefault="00490E2B" w:rsidP="00720885">
      <w:pPr>
        <w:tabs>
          <w:tab w:val="left" w:pos="540"/>
          <w:tab w:val="left" w:pos="569"/>
        </w:tabs>
        <w:jc w:val="both"/>
        <w:rPr>
          <w:b/>
          <w:sz w:val="22"/>
          <w:szCs w:val="22"/>
          <w:lang w:val="sr-Latn-ME"/>
        </w:rPr>
      </w:pPr>
      <w:r w:rsidRPr="00D95F2B">
        <w:rPr>
          <w:b/>
          <w:sz w:val="22"/>
          <w:szCs w:val="22"/>
          <w:lang w:val="sr-Latn-ME"/>
        </w:rPr>
        <w:t>Tabela 2 Klinička ispitivanja faze 3 u kojima se liraglutid prim</w:t>
      </w:r>
      <w:r w:rsidR="00A927E1" w:rsidRPr="00D95F2B">
        <w:rPr>
          <w:b/>
          <w:sz w:val="22"/>
          <w:szCs w:val="22"/>
          <w:lang w:val="sr-Latn-ME"/>
        </w:rPr>
        <w:t>j</w:t>
      </w:r>
      <w:r w:rsidRPr="00D95F2B">
        <w:rPr>
          <w:b/>
          <w:sz w:val="22"/>
          <w:szCs w:val="22"/>
          <w:lang w:val="sr-Latn-ME"/>
        </w:rPr>
        <w:t>enjivao kao monoterapija (52 ned</w:t>
      </w:r>
      <w:r w:rsidR="00A927E1" w:rsidRPr="00D95F2B">
        <w:rPr>
          <w:b/>
          <w:sz w:val="22"/>
          <w:szCs w:val="22"/>
          <w:lang w:val="sr-Latn-ME"/>
        </w:rPr>
        <w:t>j</w:t>
      </w:r>
      <w:r w:rsidRPr="00D95F2B">
        <w:rPr>
          <w:b/>
          <w:sz w:val="22"/>
          <w:szCs w:val="22"/>
          <w:lang w:val="sr-Latn-ME"/>
        </w:rPr>
        <w:t>elje) i u kombinaciji sa oralnim antidijabeticima (26 nedjelja)</w:t>
      </w:r>
    </w:p>
    <w:tbl>
      <w:tblPr>
        <w:tblW w:w="996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2"/>
        <w:gridCol w:w="710"/>
        <w:gridCol w:w="1275"/>
        <w:gridCol w:w="1560"/>
        <w:gridCol w:w="1417"/>
        <w:gridCol w:w="1134"/>
        <w:gridCol w:w="1452"/>
      </w:tblGrid>
      <w:tr w:rsidR="00490E2B" w:rsidRPr="00D95F2B" w14:paraId="1EEB1655" w14:textId="77777777" w:rsidTr="00490E2B">
        <w:trPr>
          <w:trHeight w:val="1187"/>
        </w:trPr>
        <w:tc>
          <w:tcPr>
            <w:tcW w:w="2412" w:type="dxa"/>
            <w:tcBorders>
              <w:top w:val="single" w:sz="4" w:space="0" w:color="000000"/>
              <w:left w:val="single" w:sz="4" w:space="0" w:color="000000"/>
              <w:bottom w:val="single" w:sz="4" w:space="0" w:color="000000"/>
              <w:right w:val="single" w:sz="4" w:space="0" w:color="000000"/>
            </w:tcBorders>
            <w:vAlign w:val="center"/>
          </w:tcPr>
          <w:p w14:paraId="33D8CAC8" w14:textId="77777777" w:rsidR="00490E2B" w:rsidRPr="00D95F2B" w:rsidRDefault="00490E2B" w:rsidP="00490E2B">
            <w:pPr>
              <w:tabs>
                <w:tab w:val="left" w:pos="612"/>
                <w:tab w:val="center" w:pos="4536"/>
                <w:tab w:val="right" w:pos="9072"/>
              </w:tabs>
              <w:rPr>
                <w:b/>
                <w:sz w:val="20"/>
                <w:szCs w:val="20"/>
                <w:lang w:val="sr-Latn-ME"/>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1EE8336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N</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079FB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Srednja početna vrijednost HbA</w:t>
            </w:r>
            <w:r w:rsidRPr="00D95F2B">
              <w:rPr>
                <w:sz w:val="20"/>
                <w:szCs w:val="20"/>
                <w:vertAlign w:val="subscript"/>
                <w:lang w:val="sr-Latn-ME"/>
              </w:rPr>
              <w:t>1c</w:t>
            </w:r>
            <w:r w:rsidRPr="00D95F2B">
              <w:rPr>
                <w:sz w:val="20"/>
                <w:szCs w:val="20"/>
                <w:lang w:val="sr-Latn-ME"/>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888533B" w14:textId="395B9643"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Srednja prom</w:t>
            </w:r>
            <w:r w:rsidR="000A3BBC" w:rsidRPr="00D95F2B">
              <w:rPr>
                <w:sz w:val="20"/>
                <w:szCs w:val="20"/>
                <w:lang w:val="sr-Latn-ME"/>
              </w:rPr>
              <w:t>j</w:t>
            </w:r>
            <w:r w:rsidRPr="00D95F2B">
              <w:rPr>
                <w:sz w:val="20"/>
                <w:szCs w:val="20"/>
                <w:lang w:val="sr-Latn-ME"/>
              </w:rPr>
              <w:t>ena HbA</w:t>
            </w:r>
            <w:r w:rsidRPr="00D95F2B">
              <w:rPr>
                <w:sz w:val="20"/>
                <w:szCs w:val="20"/>
                <w:vertAlign w:val="subscript"/>
                <w:lang w:val="sr-Latn-ME"/>
              </w:rPr>
              <w:t>1c</w:t>
            </w:r>
            <w:r w:rsidRPr="00D95F2B">
              <w:rPr>
                <w:sz w:val="20"/>
                <w:szCs w:val="20"/>
                <w:lang w:val="sr-Latn-ME"/>
              </w:rPr>
              <w:t xml:space="preserve"> od početne vrijednosti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EDC70A"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Udio pacijenata (%) koji dostigne HbA</w:t>
            </w:r>
            <w:r w:rsidRPr="00D95F2B">
              <w:rPr>
                <w:sz w:val="20"/>
                <w:szCs w:val="20"/>
                <w:vertAlign w:val="subscript"/>
                <w:lang w:val="sr-Latn-ME"/>
              </w:rPr>
              <w:t>1c</w:t>
            </w:r>
            <w:r w:rsidRPr="00D95F2B">
              <w:rPr>
                <w:sz w:val="20"/>
                <w:szCs w:val="20"/>
                <w:lang w:val="sr-Latn-ME"/>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F9A4D9" w14:textId="3C51C681" w:rsidR="00490E2B" w:rsidRPr="00D95F2B" w:rsidRDefault="00490E2B">
            <w:pPr>
              <w:tabs>
                <w:tab w:val="left" w:pos="612"/>
                <w:tab w:val="center" w:pos="4536"/>
                <w:tab w:val="right" w:pos="9072"/>
              </w:tabs>
              <w:rPr>
                <w:sz w:val="20"/>
                <w:szCs w:val="20"/>
                <w:lang w:val="sr-Latn-ME"/>
              </w:rPr>
            </w:pPr>
            <w:r w:rsidRPr="00D95F2B">
              <w:rPr>
                <w:sz w:val="20"/>
                <w:szCs w:val="20"/>
                <w:lang w:val="sr-Latn-ME"/>
              </w:rPr>
              <w:t xml:space="preserve">Srednja početna vrijednost </w:t>
            </w:r>
            <w:r w:rsidR="00CE1B30" w:rsidRPr="00D95F2B">
              <w:rPr>
                <w:sz w:val="20"/>
                <w:szCs w:val="20"/>
                <w:lang w:val="sr-Latn-ME"/>
              </w:rPr>
              <w:t xml:space="preserve">tjelesne mase </w:t>
            </w:r>
            <w:r w:rsidRPr="00D95F2B">
              <w:rPr>
                <w:sz w:val="20"/>
                <w:szCs w:val="20"/>
                <w:lang w:val="sr-Latn-ME"/>
              </w:rPr>
              <w:t>(kg)</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035E6FC" w14:textId="331A4B09" w:rsidR="00490E2B" w:rsidRPr="00D95F2B" w:rsidRDefault="00490E2B">
            <w:pPr>
              <w:tabs>
                <w:tab w:val="left" w:pos="612"/>
                <w:tab w:val="center" w:pos="4536"/>
                <w:tab w:val="right" w:pos="9072"/>
              </w:tabs>
              <w:rPr>
                <w:sz w:val="20"/>
                <w:szCs w:val="20"/>
                <w:lang w:val="sr-Latn-ME"/>
              </w:rPr>
            </w:pPr>
            <w:r w:rsidRPr="00D95F2B">
              <w:rPr>
                <w:sz w:val="20"/>
                <w:szCs w:val="20"/>
                <w:lang w:val="sr-Latn-ME"/>
              </w:rPr>
              <w:t>Srednja</w:t>
            </w:r>
            <w:r w:rsidR="00CE1B30" w:rsidRPr="00D95F2B">
              <w:rPr>
                <w:sz w:val="20"/>
                <w:szCs w:val="20"/>
                <w:lang w:val="sr-Latn-ME"/>
              </w:rPr>
              <w:t xml:space="preserve"> vrijednost</w:t>
            </w:r>
            <w:r w:rsidRPr="00D95F2B">
              <w:rPr>
                <w:sz w:val="20"/>
                <w:szCs w:val="20"/>
                <w:lang w:val="sr-Latn-ME"/>
              </w:rPr>
              <w:t xml:space="preserve"> </w:t>
            </w:r>
            <w:r w:rsidR="00CE1B30" w:rsidRPr="00D95F2B">
              <w:rPr>
                <w:sz w:val="20"/>
                <w:szCs w:val="20"/>
                <w:lang w:val="sr-Latn-ME"/>
              </w:rPr>
              <w:t xml:space="preserve">promjene tjelesne mase </w:t>
            </w:r>
            <w:r w:rsidRPr="00D95F2B">
              <w:rPr>
                <w:sz w:val="20"/>
                <w:szCs w:val="20"/>
                <w:lang w:val="sr-Latn-ME"/>
              </w:rPr>
              <w:t>od početne vrijednosti (kg)</w:t>
            </w:r>
          </w:p>
        </w:tc>
      </w:tr>
      <w:tr w:rsidR="00490E2B" w:rsidRPr="00D95F2B" w14:paraId="7E147953" w14:textId="77777777" w:rsidTr="00490E2B">
        <w:trPr>
          <w:trHeight w:val="373"/>
        </w:trPr>
        <w:tc>
          <w:tcPr>
            <w:tcW w:w="9960" w:type="dxa"/>
            <w:gridSpan w:val="7"/>
            <w:tcBorders>
              <w:top w:val="single" w:sz="4" w:space="0" w:color="000000"/>
              <w:left w:val="single" w:sz="4" w:space="0" w:color="000000"/>
              <w:bottom w:val="single" w:sz="4" w:space="0" w:color="auto"/>
              <w:right w:val="single" w:sz="4" w:space="0" w:color="000000"/>
            </w:tcBorders>
            <w:vAlign w:val="center"/>
            <w:hideMark/>
          </w:tcPr>
          <w:p w14:paraId="3BC48AFA" w14:textId="77777777" w:rsidR="00490E2B" w:rsidRPr="00D95F2B" w:rsidRDefault="00490E2B" w:rsidP="00490E2B">
            <w:pPr>
              <w:tabs>
                <w:tab w:val="left" w:pos="612"/>
                <w:tab w:val="center" w:pos="4536"/>
                <w:tab w:val="right" w:pos="9072"/>
              </w:tabs>
              <w:rPr>
                <w:b/>
                <w:i/>
                <w:sz w:val="20"/>
                <w:szCs w:val="20"/>
                <w:lang w:val="sr-Latn-ME"/>
              </w:rPr>
            </w:pPr>
            <w:r w:rsidRPr="00D95F2B">
              <w:rPr>
                <w:b/>
                <w:i/>
                <w:sz w:val="20"/>
                <w:szCs w:val="20"/>
                <w:lang w:val="sr-Latn-ME"/>
              </w:rPr>
              <w:t>Monoterapija</w:t>
            </w:r>
          </w:p>
        </w:tc>
      </w:tr>
      <w:tr w:rsidR="00490E2B" w:rsidRPr="00D95F2B" w14:paraId="092D5FC8" w14:textId="77777777" w:rsidTr="00A40DAB">
        <w:trPr>
          <w:trHeight w:val="403"/>
        </w:trPr>
        <w:tc>
          <w:tcPr>
            <w:tcW w:w="2412" w:type="dxa"/>
            <w:tcBorders>
              <w:top w:val="single" w:sz="4" w:space="0" w:color="auto"/>
              <w:left w:val="single" w:sz="4" w:space="0" w:color="auto"/>
              <w:bottom w:val="nil"/>
              <w:right w:val="single" w:sz="4" w:space="0" w:color="auto"/>
            </w:tcBorders>
            <w:vAlign w:val="center"/>
            <w:hideMark/>
          </w:tcPr>
          <w:p w14:paraId="727F638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1,2 mg</w:t>
            </w:r>
          </w:p>
        </w:tc>
        <w:tc>
          <w:tcPr>
            <w:tcW w:w="710" w:type="dxa"/>
            <w:tcBorders>
              <w:top w:val="single" w:sz="4" w:space="0" w:color="auto"/>
              <w:left w:val="single" w:sz="4" w:space="0" w:color="auto"/>
              <w:bottom w:val="nil"/>
              <w:right w:val="single" w:sz="4" w:space="0" w:color="auto"/>
            </w:tcBorders>
            <w:vAlign w:val="center"/>
            <w:hideMark/>
          </w:tcPr>
          <w:p w14:paraId="1C1B28E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251</w:t>
            </w:r>
          </w:p>
        </w:tc>
        <w:tc>
          <w:tcPr>
            <w:tcW w:w="1275" w:type="dxa"/>
            <w:tcBorders>
              <w:top w:val="single" w:sz="4" w:space="0" w:color="auto"/>
              <w:left w:val="single" w:sz="4" w:space="0" w:color="auto"/>
              <w:bottom w:val="nil"/>
              <w:right w:val="single" w:sz="4" w:space="0" w:color="auto"/>
            </w:tcBorders>
            <w:vAlign w:val="center"/>
            <w:hideMark/>
          </w:tcPr>
          <w:p w14:paraId="58FD42E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8,18</w:t>
            </w:r>
          </w:p>
        </w:tc>
        <w:tc>
          <w:tcPr>
            <w:tcW w:w="1560" w:type="dxa"/>
            <w:tcBorders>
              <w:top w:val="single" w:sz="4" w:space="0" w:color="auto"/>
              <w:left w:val="single" w:sz="4" w:space="0" w:color="auto"/>
              <w:bottom w:val="nil"/>
              <w:right w:val="single" w:sz="4" w:space="0" w:color="auto"/>
            </w:tcBorders>
            <w:vAlign w:val="center"/>
            <w:hideMark/>
          </w:tcPr>
          <w:p w14:paraId="06FC134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-0,84*</w:t>
            </w:r>
          </w:p>
        </w:tc>
        <w:tc>
          <w:tcPr>
            <w:tcW w:w="1417" w:type="dxa"/>
            <w:tcBorders>
              <w:top w:val="single" w:sz="4" w:space="0" w:color="auto"/>
              <w:left w:val="single" w:sz="4" w:space="0" w:color="auto"/>
              <w:bottom w:val="nil"/>
              <w:right w:val="single" w:sz="4" w:space="0" w:color="auto"/>
            </w:tcBorders>
            <w:vAlign w:val="center"/>
            <w:hideMark/>
          </w:tcPr>
          <w:p w14:paraId="0F7C343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42,8</w:t>
            </w:r>
            <w:r w:rsidRPr="00D95F2B">
              <w:rPr>
                <w:sz w:val="20"/>
                <w:szCs w:val="20"/>
                <w:vertAlign w:val="superscript"/>
                <w:lang w:val="sr-Latn-ME"/>
              </w:rPr>
              <w:t>1</w:t>
            </w:r>
            <w:r w:rsidRPr="00D95F2B">
              <w:rPr>
                <w:sz w:val="20"/>
                <w:szCs w:val="20"/>
                <w:lang w:val="sr-Latn-ME"/>
              </w:rPr>
              <w:t>, 58,3</w:t>
            </w:r>
            <w:r w:rsidRPr="00D95F2B">
              <w:rPr>
                <w:sz w:val="20"/>
                <w:szCs w:val="20"/>
                <w:vertAlign w:val="superscript"/>
                <w:lang w:val="sr-Latn-ME"/>
              </w:rPr>
              <w:t>3</w:t>
            </w:r>
          </w:p>
        </w:tc>
        <w:tc>
          <w:tcPr>
            <w:tcW w:w="1134" w:type="dxa"/>
            <w:tcBorders>
              <w:top w:val="single" w:sz="4" w:space="0" w:color="auto"/>
              <w:left w:val="single" w:sz="4" w:space="0" w:color="auto"/>
              <w:bottom w:val="nil"/>
              <w:right w:val="single" w:sz="4" w:space="0" w:color="auto"/>
            </w:tcBorders>
            <w:vAlign w:val="center"/>
            <w:hideMark/>
          </w:tcPr>
          <w:p w14:paraId="2AEC8012"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92,1</w:t>
            </w:r>
          </w:p>
        </w:tc>
        <w:tc>
          <w:tcPr>
            <w:tcW w:w="1452" w:type="dxa"/>
            <w:tcBorders>
              <w:top w:val="single" w:sz="4" w:space="0" w:color="auto"/>
              <w:left w:val="single" w:sz="4" w:space="0" w:color="auto"/>
              <w:bottom w:val="nil"/>
              <w:right w:val="single" w:sz="4" w:space="0" w:color="auto"/>
            </w:tcBorders>
            <w:vAlign w:val="center"/>
            <w:hideMark/>
          </w:tcPr>
          <w:p w14:paraId="4DF9F4B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-2,05**</w:t>
            </w:r>
          </w:p>
        </w:tc>
      </w:tr>
      <w:tr w:rsidR="00490E2B" w:rsidRPr="00D95F2B" w14:paraId="5F2A91E2" w14:textId="77777777" w:rsidTr="00A40DAB">
        <w:trPr>
          <w:trHeight w:val="421"/>
        </w:trPr>
        <w:tc>
          <w:tcPr>
            <w:tcW w:w="2412" w:type="dxa"/>
            <w:tcBorders>
              <w:top w:val="nil"/>
              <w:left w:val="single" w:sz="4" w:space="0" w:color="auto"/>
              <w:bottom w:val="nil"/>
              <w:right w:val="single" w:sz="4" w:space="0" w:color="auto"/>
            </w:tcBorders>
            <w:vAlign w:val="center"/>
            <w:hideMark/>
          </w:tcPr>
          <w:p w14:paraId="2CC02C96"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1,8 mg</w:t>
            </w:r>
          </w:p>
        </w:tc>
        <w:tc>
          <w:tcPr>
            <w:tcW w:w="710" w:type="dxa"/>
            <w:tcBorders>
              <w:top w:val="nil"/>
              <w:left w:val="single" w:sz="4" w:space="0" w:color="auto"/>
              <w:bottom w:val="nil"/>
              <w:right w:val="single" w:sz="4" w:space="0" w:color="auto"/>
            </w:tcBorders>
            <w:vAlign w:val="center"/>
            <w:hideMark/>
          </w:tcPr>
          <w:p w14:paraId="637B416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246</w:t>
            </w:r>
          </w:p>
        </w:tc>
        <w:tc>
          <w:tcPr>
            <w:tcW w:w="1275" w:type="dxa"/>
            <w:tcBorders>
              <w:top w:val="nil"/>
              <w:left w:val="single" w:sz="4" w:space="0" w:color="auto"/>
              <w:bottom w:val="nil"/>
              <w:right w:val="single" w:sz="4" w:space="0" w:color="auto"/>
            </w:tcBorders>
            <w:vAlign w:val="center"/>
            <w:hideMark/>
          </w:tcPr>
          <w:p w14:paraId="0A89984A"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8,19</w:t>
            </w:r>
          </w:p>
        </w:tc>
        <w:tc>
          <w:tcPr>
            <w:tcW w:w="1560" w:type="dxa"/>
            <w:tcBorders>
              <w:top w:val="nil"/>
              <w:left w:val="single" w:sz="4" w:space="0" w:color="auto"/>
              <w:bottom w:val="nil"/>
              <w:right w:val="single" w:sz="4" w:space="0" w:color="auto"/>
            </w:tcBorders>
            <w:vAlign w:val="center"/>
            <w:hideMark/>
          </w:tcPr>
          <w:p w14:paraId="5BA4105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-1,14**</w:t>
            </w:r>
          </w:p>
        </w:tc>
        <w:tc>
          <w:tcPr>
            <w:tcW w:w="1417" w:type="dxa"/>
            <w:tcBorders>
              <w:top w:val="nil"/>
              <w:left w:val="single" w:sz="4" w:space="0" w:color="auto"/>
              <w:bottom w:val="nil"/>
              <w:right w:val="single" w:sz="4" w:space="0" w:color="auto"/>
            </w:tcBorders>
            <w:vAlign w:val="center"/>
            <w:hideMark/>
          </w:tcPr>
          <w:p w14:paraId="4014DCE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50,9</w:t>
            </w:r>
            <w:r w:rsidRPr="00D95F2B">
              <w:rPr>
                <w:sz w:val="20"/>
                <w:szCs w:val="20"/>
                <w:vertAlign w:val="superscript"/>
                <w:lang w:val="sr-Latn-ME"/>
              </w:rPr>
              <w:t>1</w:t>
            </w:r>
            <w:r w:rsidRPr="00D95F2B">
              <w:rPr>
                <w:sz w:val="20"/>
                <w:szCs w:val="20"/>
                <w:lang w:val="sr-Latn-ME"/>
              </w:rPr>
              <w:t>, 62,0</w:t>
            </w:r>
            <w:r w:rsidRPr="00D95F2B">
              <w:rPr>
                <w:sz w:val="20"/>
                <w:szCs w:val="20"/>
                <w:vertAlign w:val="superscript"/>
                <w:lang w:val="sr-Latn-ME"/>
              </w:rPr>
              <w:t>3</w:t>
            </w:r>
          </w:p>
        </w:tc>
        <w:tc>
          <w:tcPr>
            <w:tcW w:w="1134" w:type="dxa"/>
            <w:tcBorders>
              <w:top w:val="nil"/>
              <w:left w:val="single" w:sz="4" w:space="0" w:color="auto"/>
              <w:bottom w:val="nil"/>
              <w:right w:val="single" w:sz="4" w:space="0" w:color="auto"/>
            </w:tcBorders>
            <w:vAlign w:val="center"/>
            <w:hideMark/>
          </w:tcPr>
          <w:p w14:paraId="7B6BACA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92,6</w:t>
            </w:r>
          </w:p>
        </w:tc>
        <w:tc>
          <w:tcPr>
            <w:tcW w:w="1452" w:type="dxa"/>
            <w:tcBorders>
              <w:top w:val="nil"/>
              <w:left w:val="single" w:sz="4" w:space="0" w:color="auto"/>
              <w:bottom w:val="nil"/>
              <w:right w:val="single" w:sz="4" w:space="0" w:color="auto"/>
            </w:tcBorders>
            <w:vAlign w:val="center"/>
            <w:hideMark/>
          </w:tcPr>
          <w:p w14:paraId="6CCBBD5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-2,45**</w:t>
            </w:r>
          </w:p>
        </w:tc>
      </w:tr>
      <w:tr w:rsidR="00490E2B" w:rsidRPr="00D95F2B" w14:paraId="46F2BEEB" w14:textId="77777777" w:rsidTr="00A40DAB">
        <w:trPr>
          <w:trHeight w:val="426"/>
        </w:trPr>
        <w:tc>
          <w:tcPr>
            <w:tcW w:w="2412" w:type="dxa"/>
            <w:tcBorders>
              <w:top w:val="nil"/>
              <w:left w:val="single" w:sz="4" w:space="0" w:color="auto"/>
              <w:bottom w:val="single" w:sz="4" w:space="0" w:color="auto"/>
              <w:right w:val="single" w:sz="4" w:space="0" w:color="auto"/>
            </w:tcBorders>
            <w:vAlign w:val="center"/>
            <w:hideMark/>
          </w:tcPr>
          <w:p w14:paraId="7F2B739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Glimepirid 8 mg/dan</w:t>
            </w:r>
          </w:p>
        </w:tc>
        <w:tc>
          <w:tcPr>
            <w:tcW w:w="710" w:type="dxa"/>
            <w:tcBorders>
              <w:top w:val="nil"/>
              <w:left w:val="single" w:sz="4" w:space="0" w:color="auto"/>
              <w:bottom w:val="single" w:sz="4" w:space="0" w:color="auto"/>
              <w:right w:val="single" w:sz="4" w:space="0" w:color="auto"/>
            </w:tcBorders>
            <w:vAlign w:val="center"/>
            <w:hideMark/>
          </w:tcPr>
          <w:p w14:paraId="40FFA9E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248</w:t>
            </w:r>
          </w:p>
        </w:tc>
        <w:tc>
          <w:tcPr>
            <w:tcW w:w="1275" w:type="dxa"/>
            <w:tcBorders>
              <w:top w:val="nil"/>
              <w:left w:val="single" w:sz="4" w:space="0" w:color="auto"/>
              <w:bottom w:val="single" w:sz="4" w:space="0" w:color="auto"/>
              <w:right w:val="single" w:sz="4" w:space="0" w:color="auto"/>
            </w:tcBorders>
            <w:vAlign w:val="center"/>
            <w:hideMark/>
          </w:tcPr>
          <w:p w14:paraId="2B24CDD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8,23</w:t>
            </w:r>
          </w:p>
        </w:tc>
        <w:tc>
          <w:tcPr>
            <w:tcW w:w="1560" w:type="dxa"/>
            <w:tcBorders>
              <w:top w:val="nil"/>
              <w:left w:val="single" w:sz="4" w:space="0" w:color="auto"/>
              <w:bottom w:val="single" w:sz="4" w:space="0" w:color="auto"/>
              <w:right w:val="single" w:sz="4" w:space="0" w:color="auto"/>
            </w:tcBorders>
            <w:vAlign w:val="center"/>
            <w:hideMark/>
          </w:tcPr>
          <w:p w14:paraId="3DF8A3C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-0,51</w:t>
            </w:r>
          </w:p>
        </w:tc>
        <w:tc>
          <w:tcPr>
            <w:tcW w:w="1417" w:type="dxa"/>
            <w:tcBorders>
              <w:top w:val="nil"/>
              <w:left w:val="single" w:sz="4" w:space="0" w:color="auto"/>
              <w:bottom w:val="single" w:sz="4" w:space="0" w:color="auto"/>
              <w:right w:val="single" w:sz="4" w:space="0" w:color="auto"/>
            </w:tcBorders>
            <w:vAlign w:val="center"/>
            <w:hideMark/>
          </w:tcPr>
          <w:p w14:paraId="06B0668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27,8</w:t>
            </w:r>
            <w:r w:rsidRPr="00D95F2B">
              <w:rPr>
                <w:sz w:val="20"/>
                <w:szCs w:val="20"/>
                <w:vertAlign w:val="superscript"/>
                <w:lang w:val="sr-Latn-ME"/>
              </w:rPr>
              <w:t>1</w:t>
            </w:r>
            <w:r w:rsidRPr="00D95F2B">
              <w:rPr>
                <w:sz w:val="20"/>
                <w:szCs w:val="20"/>
                <w:lang w:val="sr-Latn-ME"/>
              </w:rPr>
              <w:t>, 30,8</w:t>
            </w:r>
            <w:r w:rsidRPr="00D95F2B">
              <w:rPr>
                <w:sz w:val="20"/>
                <w:szCs w:val="20"/>
                <w:vertAlign w:val="superscript"/>
                <w:lang w:val="sr-Latn-ME"/>
              </w:rPr>
              <w:t>3</w:t>
            </w:r>
          </w:p>
        </w:tc>
        <w:tc>
          <w:tcPr>
            <w:tcW w:w="1134" w:type="dxa"/>
            <w:tcBorders>
              <w:top w:val="nil"/>
              <w:left w:val="single" w:sz="4" w:space="0" w:color="auto"/>
              <w:bottom w:val="single" w:sz="4" w:space="0" w:color="auto"/>
              <w:right w:val="single" w:sz="4" w:space="0" w:color="auto"/>
            </w:tcBorders>
            <w:vAlign w:val="center"/>
            <w:hideMark/>
          </w:tcPr>
          <w:p w14:paraId="385B3E3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93,3</w:t>
            </w:r>
          </w:p>
        </w:tc>
        <w:tc>
          <w:tcPr>
            <w:tcW w:w="1452" w:type="dxa"/>
            <w:tcBorders>
              <w:top w:val="nil"/>
              <w:left w:val="single" w:sz="4" w:space="0" w:color="auto"/>
              <w:bottom w:val="single" w:sz="4" w:space="0" w:color="auto"/>
              <w:right w:val="single" w:sz="4" w:space="0" w:color="auto"/>
            </w:tcBorders>
            <w:vAlign w:val="center"/>
            <w:hideMark/>
          </w:tcPr>
          <w:p w14:paraId="1F6D80C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1,12</w:t>
            </w:r>
          </w:p>
        </w:tc>
      </w:tr>
      <w:tr w:rsidR="00490E2B" w:rsidRPr="00D95F2B" w14:paraId="48C09D61" w14:textId="77777777" w:rsidTr="00490E2B">
        <w:trPr>
          <w:trHeight w:val="347"/>
        </w:trPr>
        <w:tc>
          <w:tcPr>
            <w:tcW w:w="9960" w:type="dxa"/>
            <w:gridSpan w:val="7"/>
            <w:tcBorders>
              <w:top w:val="single" w:sz="4" w:space="0" w:color="auto"/>
              <w:left w:val="single" w:sz="4" w:space="0" w:color="000000"/>
              <w:bottom w:val="single" w:sz="4" w:space="0" w:color="000000"/>
              <w:right w:val="single" w:sz="4" w:space="0" w:color="000000"/>
            </w:tcBorders>
            <w:vAlign w:val="center"/>
            <w:hideMark/>
          </w:tcPr>
          <w:p w14:paraId="699308AC" w14:textId="08CC8DFA" w:rsidR="00490E2B" w:rsidRPr="00D95F2B" w:rsidRDefault="000A3BBC">
            <w:pPr>
              <w:tabs>
                <w:tab w:val="left" w:pos="612"/>
                <w:tab w:val="center" w:pos="4536"/>
                <w:tab w:val="right" w:pos="9072"/>
              </w:tabs>
              <w:rPr>
                <w:b/>
                <w:i/>
                <w:sz w:val="20"/>
                <w:szCs w:val="20"/>
                <w:lang w:val="sr-Latn-ME"/>
              </w:rPr>
            </w:pPr>
            <w:r w:rsidRPr="00D95F2B">
              <w:rPr>
                <w:b/>
                <w:i/>
                <w:sz w:val="20"/>
                <w:szCs w:val="20"/>
                <w:lang w:val="sr-Latn-ME"/>
              </w:rPr>
              <w:t>Dodatna terapija m</w:t>
            </w:r>
            <w:r w:rsidR="00490E2B" w:rsidRPr="00D95F2B">
              <w:rPr>
                <w:b/>
                <w:i/>
                <w:sz w:val="20"/>
                <w:szCs w:val="20"/>
                <w:lang w:val="sr-Latn-ME"/>
              </w:rPr>
              <w:t>etformin</w:t>
            </w:r>
            <w:r w:rsidRPr="00D95F2B">
              <w:rPr>
                <w:b/>
                <w:i/>
                <w:sz w:val="20"/>
                <w:szCs w:val="20"/>
                <w:lang w:val="sr-Latn-ME"/>
              </w:rPr>
              <w:t>u</w:t>
            </w:r>
            <w:r w:rsidR="00490E2B" w:rsidRPr="00D95F2B">
              <w:rPr>
                <w:b/>
                <w:i/>
                <w:sz w:val="20"/>
                <w:szCs w:val="20"/>
                <w:vertAlign w:val="superscript"/>
                <w:lang w:val="sr-Latn-ME"/>
              </w:rPr>
              <w:t xml:space="preserve"> </w:t>
            </w:r>
            <w:r w:rsidR="00490E2B" w:rsidRPr="00D95F2B">
              <w:rPr>
                <w:b/>
                <w:i/>
                <w:sz w:val="20"/>
                <w:szCs w:val="20"/>
                <w:lang w:val="sr-Latn-ME"/>
              </w:rPr>
              <w:t xml:space="preserve">(2000 mg/dan) </w:t>
            </w:r>
          </w:p>
        </w:tc>
      </w:tr>
      <w:tr w:rsidR="00490E2B" w:rsidRPr="00D95F2B" w14:paraId="589A9D2E" w14:textId="77777777" w:rsidTr="00A40DAB">
        <w:trPr>
          <w:trHeight w:val="356"/>
        </w:trPr>
        <w:tc>
          <w:tcPr>
            <w:tcW w:w="2412" w:type="dxa"/>
            <w:tcBorders>
              <w:top w:val="single" w:sz="4" w:space="0" w:color="000000"/>
              <w:left w:val="single" w:sz="4" w:space="0" w:color="000000"/>
              <w:bottom w:val="nil"/>
              <w:right w:val="single" w:sz="4" w:space="0" w:color="000000"/>
            </w:tcBorders>
            <w:vAlign w:val="center"/>
            <w:hideMark/>
          </w:tcPr>
          <w:p w14:paraId="2062657C"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1,2 mg</w:t>
            </w:r>
          </w:p>
        </w:tc>
        <w:tc>
          <w:tcPr>
            <w:tcW w:w="710" w:type="dxa"/>
            <w:tcBorders>
              <w:top w:val="single" w:sz="4" w:space="0" w:color="000000"/>
              <w:left w:val="single" w:sz="4" w:space="0" w:color="000000"/>
              <w:bottom w:val="nil"/>
              <w:right w:val="single" w:sz="4" w:space="0" w:color="000000"/>
            </w:tcBorders>
            <w:vAlign w:val="center"/>
            <w:hideMark/>
          </w:tcPr>
          <w:p w14:paraId="79DC185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240</w:t>
            </w:r>
          </w:p>
        </w:tc>
        <w:tc>
          <w:tcPr>
            <w:tcW w:w="1275" w:type="dxa"/>
            <w:tcBorders>
              <w:top w:val="single" w:sz="4" w:space="0" w:color="000000"/>
              <w:left w:val="single" w:sz="4" w:space="0" w:color="000000"/>
              <w:bottom w:val="nil"/>
              <w:right w:val="single" w:sz="4" w:space="0" w:color="000000"/>
            </w:tcBorders>
            <w:vAlign w:val="center"/>
            <w:hideMark/>
          </w:tcPr>
          <w:p w14:paraId="0B9DC63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8,3</w:t>
            </w:r>
          </w:p>
        </w:tc>
        <w:tc>
          <w:tcPr>
            <w:tcW w:w="1560" w:type="dxa"/>
            <w:tcBorders>
              <w:top w:val="single" w:sz="4" w:space="0" w:color="000000"/>
              <w:left w:val="single" w:sz="4" w:space="0" w:color="000000"/>
              <w:bottom w:val="nil"/>
              <w:right w:val="single" w:sz="4" w:space="0" w:color="000000"/>
            </w:tcBorders>
            <w:vAlign w:val="center"/>
            <w:hideMark/>
          </w:tcPr>
          <w:p w14:paraId="3EC96639" w14:textId="2635859F"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-0,97</w:t>
            </w:r>
            <w:r w:rsidR="00A927E1" w:rsidRPr="00D95F2B">
              <w:rPr>
                <w:sz w:val="20"/>
                <w:szCs w:val="20"/>
                <w:vertAlign w:val="superscript"/>
                <w:lang w:val="sr-Latn-ME"/>
              </w:rPr>
              <w:t>†</w:t>
            </w:r>
          </w:p>
        </w:tc>
        <w:tc>
          <w:tcPr>
            <w:tcW w:w="1417" w:type="dxa"/>
            <w:tcBorders>
              <w:top w:val="single" w:sz="4" w:space="0" w:color="000000"/>
              <w:left w:val="single" w:sz="4" w:space="0" w:color="000000"/>
              <w:bottom w:val="nil"/>
              <w:right w:val="single" w:sz="4" w:space="0" w:color="000000"/>
            </w:tcBorders>
            <w:vAlign w:val="center"/>
            <w:hideMark/>
          </w:tcPr>
          <w:p w14:paraId="4F636E6D"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35,3</w:t>
            </w:r>
            <w:r w:rsidRPr="00D95F2B">
              <w:rPr>
                <w:sz w:val="20"/>
                <w:szCs w:val="20"/>
                <w:vertAlign w:val="superscript"/>
                <w:lang w:val="sr-Latn-ME"/>
              </w:rPr>
              <w:t>1</w:t>
            </w:r>
            <w:r w:rsidRPr="00D95F2B">
              <w:rPr>
                <w:sz w:val="20"/>
                <w:szCs w:val="20"/>
                <w:lang w:val="sr-Latn-ME"/>
              </w:rPr>
              <w:t>, 52,8</w:t>
            </w:r>
            <w:r w:rsidRPr="00D95F2B">
              <w:rPr>
                <w:sz w:val="20"/>
                <w:szCs w:val="20"/>
                <w:vertAlign w:val="superscript"/>
                <w:lang w:val="sr-Latn-ME"/>
              </w:rPr>
              <w:t>2</w:t>
            </w:r>
          </w:p>
        </w:tc>
        <w:tc>
          <w:tcPr>
            <w:tcW w:w="1134" w:type="dxa"/>
            <w:tcBorders>
              <w:top w:val="single" w:sz="4" w:space="0" w:color="000000"/>
              <w:left w:val="single" w:sz="4" w:space="0" w:color="000000"/>
              <w:bottom w:val="nil"/>
              <w:right w:val="single" w:sz="4" w:space="0" w:color="000000"/>
            </w:tcBorders>
            <w:vAlign w:val="center"/>
            <w:hideMark/>
          </w:tcPr>
          <w:p w14:paraId="34901DA5"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88,5</w:t>
            </w:r>
          </w:p>
        </w:tc>
        <w:tc>
          <w:tcPr>
            <w:tcW w:w="1452" w:type="dxa"/>
            <w:tcBorders>
              <w:top w:val="single" w:sz="4" w:space="0" w:color="000000"/>
              <w:left w:val="single" w:sz="4" w:space="0" w:color="000000"/>
              <w:bottom w:val="nil"/>
              <w:right w:val="single" w:sz="4" w:space="0" w:color="000000"/>
            </w:tcBorders>
            <w:vAlign w:val="center"/>
            <w:hideMark/>
          </w:tcPr>
          <w:p w14:paraId="17CE18D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-2,58**</w:t>
            </w:r>
          </w:p>
        </w:tc>
      </w:tr>
      <w:tr w:rsidR="00490E2B" w:rsidRPr="00D95F2B" w14:paraId="1CEFCD23" w14:textId="77777777" w:rsidTr="00A40DAB">
        <w:trPr>
          <w:trHeight w:val="411"/>
        </w:trPr>
        <w:tc>
          <w:tcPr>
            <w:tcW w:w="2412" w:type="dxa"/>
            <w:tcBorders>
              <w:top w:val="nil"/>
              <w:left w:val="single" w:sz="4" w:space="0" w:color="000000"/>
              <w:bottom w:val="nil"/>
              <w:right w:val="single" w:sz="4" w:space="0" w:color="000000"/>
            </w:tcBorders>
            <w:vAlign w:val="center"/>
            <w:hideMark/>
          </w:tcPr>
          <w:p w14:paraId="3E8CE1B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1,8 mg</w:t>
            </w:r>
          </w:p>
        </w:tc>
        <w:tc>
          <w:tcPr>
            <w:tcW w:w="710" w:type="dxa"/>
            <w:tcBorders>
              <w:top w:val="nil"/>
              <w:left w:val="single" w:sz="4" w:space="0" w:color="000000"/>
              <w:bottom w:val="nil"/>
              <w:right w:val="single" w:sz="4" w:space="0" w:color="000000"/>
            </w:tcBorders>
            <w:vAlign w:val="center"/>
            <w:hideMark/>
          </w:tcPr>
          <w:p w14:paraId="3DBB70C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242</w:t>
            </w:r>
          </w:p>
        </w:tc>
        <w:tc>
          <w:tcPr>
            <w:tcW w:w="1275" w:type="dxa"/>
            <w:tcBorders>
              <w:top w:val="nil"/>
              <w:left w:val="single" w:sz="4" w:space="0" w:color="000000"/>
              <w:bottom w:val="nil"/>
              <w:right w:val="single" w:sz="4" w:space="0" w:color="000000"/>
            </w:tcBorders>
            <w:vAlign w:val="center"/>
            <w:hideMark/>
          </w:tcPr>
          <w:p w14:paraId="5AE1AF6C"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w:t>
            </w:r>
          </w:p>
        </w:tc>
        <w:tc>
          <w:tcPr>
            <w:tcW w:w="1560" w:type="dxa"/>
            <w:tcBorders>
              <w:top w:val="nil"/>
              <w:left w:val="single" w:sz="4" w:space="0" w:color="000000"/>
              <w:bottom w:val="nil"/>
              <w:right w:val="single" w:sz="4" w:space="0" w:color="000000"/>
            </w:tcBorders>
            <w:vAlign w:val="center"/>
            <w:hideMark/>
          </w:tcPr>
          <w:p w14:paraId="1F13A01F" w14:textId="6E53F768" w:rsidR="00490E2B" w:rsidRPr="00D95F2B" w:rsidRDefault="00490E2B" w:rsidP="00490E2B">
            <w:pPr>
              <w:tabs>
                <w:tab w:val="left" w:pos="612"/>
                <w:tab w:val="center" w:pos="4536"/>
                <w:tab w:val="right" w:pos="9072"/>
              </w:tabs>
              <w:rPr>
                <w:sz w:val="20"/>
                <w:szCs w:val="20"/>
                <w:vertAlign w:val="superscript"/>
                <w:lang w:val="sr-Latn-ME"/>
              </w:rPr>
            </w:pPr>
            <w:r w:rsidRPr="00D95F2B">
              <w:rPr>
                <w:sz w:val="20"/>
                <w:szCs w:val="20"/>
                <w:lang w:val="sr-Latn-ME"/>
              </w:rPr>
              <w:t>-1,00</w:t>
            </w:r>
            <w:r w:rsidR="00A927E1" w:rsidRPr="00D95F2B">
              <w:rPr>
                <w:sz w:val="20"/>
                <w:szCs w:val="20"/>
                <w:vertAlign w:val="superscript"/>
                <w:lang w:val="sr-Latn-ME"/>
              </w:rPr>
              <w:t>†</w:t>
            </w:r>
          </w:p>
        </w:tc>
        <w:tc>
          <w:tcPr>
            <w:tcW w:w="1417" w:type="dxa"/>
            <w:tcBorders>
              <w:top w:val="nil"/>
              <w:left w:val="single" w:sz="4" w:space="0" w:color="000000"/>
              <w:bottom w:val="nil"/>
              <w:right w:val="single" w:sz="4" w:space="0" w:color="000000"/>
            </w:tcBorders>
            <w:vAlign w:val="center"/>
            <w:hideMark/>
          </w:tcPr>
          <w:p w14:paraId="4EF28F9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42,4</w:t>
            </w:r>
            <w:r w:rsidRPr="00D95F2B">
              <w:rPr>
                <w:sz w:val="20"/>
                <w:szCs w:val="20"/>
                <w:vertAlign w:val="superscript"/>
                <w:lang w:val="sr-Latn-ME"/>
              </w:rPr>
              <w:t>1</w:t>
            </w:r>
            <w:r w:rsidRPr="00D95F2B">
              <w:rPr>
                <w:sz w:val="20"/>
                <w:szCs w:val="20"/>
                <w:lang w:val="sr-Latn-ME"/>
              </w:rPr>
              <w:t>, 66,3</w:t>
            </w:r>
            <w:r w:rsidRPr="00D95F2B">
              <w:rPr>
                <w:sz w:val="20"/>
                <w:szCs w:val="20"/>
                <w:vertAlign w:val="superscript"/>
                <w:lang w:val="sr-Latn-ME"/>
              </w:rPr>
              <w:t>2</w:t>
            </w:r>
          </w:p>
        </w:tc>
        <w:tc>
          <w:tcPr>
            <w:tcW w:w="1134" w:type="dxa"/>
            <w:tcBorders>
              <w:top w:val="nil"/>
              <w:left w:val="single" w:sz="4" w:space="0" w:color="000000"/>
              <w:bottom w:val="nil"/>
              <w:right w:val="single" w:sz="4" w:space="0" w:color="000000"/>
            </w:tcBorders>
            <w:vAlign w:val="center"/>
            <w:hideMark/>
          </w:tcPr>
          <w:p w14:paraId="4A7B74E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88,0</w:t>
            </w:r>
          </w:p>
        </w:tc>
        <w:tc>
          <w:tcPr>
            <w:tcW w:w="1452" w:type="dxa"/>
            <w:tcBorders>
              <w:top w:val="nil"/>
              <w:left w:val="single" w:sz="4" w:space="0" w:color="000000"/>
              <w:bottom w:val="nil"/>
              <w:right w:val="single" w:sz="4" w:space="0" w:color="000000"/>
            </w:tcBorders>
            <w:vAlign w:val="center"/>
            <w:hideMark/>
          </w:tcPr>
          <w:p w14:paraId="7D400AE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-2,79**</w:t>
            </w:r>
          </w:p>
        </w:tc>
      </w:tr>
      <w:tr w:rsidR="00490E2B" w:rsidRPr="00D95F2B" w14:paraId="70644C5B" w14:textId="77777777" w:rsidTr="00A40DAB">
        <w:trPr>
          <w:trHeight w:val="392"/>
        </w:trPr>
        <w:tc>
          <w:tcPr>
            <w:tcW w:w="2412" w:type="dxa"/>
            <w:tcBorders>
              <w:top w:val="nil"/>
              <w:left w:val="single" w:sz="4" w:space="0" w:color="000000"/>
              <w:bottom w:val="nil"/>
              <w:right w:val="single" w:sz="4" w:space="0" w:color="000000"/>
            </w:tcBorders>
            <w:vAlign w:val="center"/>
            <w:hideMark/>
          </w:tcPr>
          <w:p w14:paraId="369D839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Placebo</w:t>
            </w:r>
          </w:p>
        </w:tc>
        <w:tc>
          <w:tcPr>
            <w:tcW w:w="710" w:type="dxa"/>
            <w:tcBorders>
              <w:top w:val="nil"/>
              <w:left w:val="single" w:sz="4" w:space="0" w:color="000000"/>
              <w:bottom w:val="nil"/>
              <w:right w:val="single" w:sz="4" w:space="0" w:color="000000"/>
            </w:tcBorders>
            <w:vAlign w:val="center"/>
            <w:hideMark/>
          </w:tcPr>
          <w:p w14:paraId="53CF1E5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121</w:t>
            </w:r>
          </w:p>
        </w:tc>
        <w:tc>
          <w:tcPr>
            <w:tcW w:w="1275" w:type="dxa"/>
            <w:tcBorders>
              <w:top w:val="nil"/>
              <w:left w:val="single" w:sz="4" w:space="0" w:color="000000"/>
              <w:bottom w:val="nil"/>
              <w:right w:val="single" w:sz="4" w:space="0" w:color="000000"/>
            </w:tcBorders>
            <w:vAlign w:val="center"/>
            <w:hideMark/>
          </w:tcPr>
          <w:p w14:paraId="4BCABBB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w:t>
            </w:r>
          </w:p>
        </w:tc>
        <w:tc>
          <w:tcPr>
            <w:tcW w:w="1560" w:type="dxa"/>
            <w:tcBorders>
              <w:top w:val="nil"/>
              <w:left w:val="single" w:sz="4" w:space="0" w:color="000000"/>
              <w:bottom w:val="nil"/>
              <w:right w:val="single" w:sz="4" w:space="0" w:color="000000"/>
            </w:tcBorders>
            <w:vAlign w:val="center"/>
            <w:hideMark/>
          </w:tcPr>
          <w:p w14:paraId="3B8FBDA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0,09</w:t>
            </w:r>
          </w:p>
        </w:tc>
        <w:tc>
          <w:tcPr>
            <w:tcW w:w="1417" w:type="dxa"/>
            <w:tcBorders>
              <w:top w:val="nil"/>
              <w:left w:val="single" w:sz="4" w:space="0" w:color="000000"/>
              <w:bottom w:val="nil"/>
              <w:right w:val="single" w:sz="4" w:space="0" w:color="000000"/>
            </w:tcBorders>
            <w:vAlign w:val="center"/>
            <w:hideMark/>
          </w:tcPr>
          <w:p w14:paraId="146BCAF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10,8</w:t>
            </w:r>
            <w:r w:rsidRPr="00D95F2B">
              <w:rPr>
                <w:sz w:val="20"/>
                <w:szCs w:val="20"/>
                <w:vertAlign w:val="superscript"/>
                <w:lang w:val="sr-Latn-ME"/>
              </w:rPr>
              <w:t>1</w:t>
            </w:r>
            <w:r w:rsidRPr="00D95F2B">
              <w:rPr>
                <w:sz w:val="20"/>
                <w:szCs w:val="20"/>
                <w:lang w:val="sr-Latn-ME"/>
              </w:rPr>
              <w:t>, 22,5</w:t>
            </w:r>
            <w:r w:rsidRPr="00D95F2B">
              <w:rPr>
                <w:sz w:val="20"/>
                <w:szCs w:val="20"/>
                <w:vertAlign w:val="superscript"/>
                <w:lang w:val="sr-Latn-ME"/>
              </w:rPr>
              <w:t>2</w:t>
            </w:r>
          </w:p>
        </w:tc>
        <w:tc>
          <w:tcPr>
            <w:tcW w:w="1134" w:type="dxa"/>
            <w:tcBorders>
              <w:top w:val="nil"/>
              <w:left w:val="single" w:sz="4" w:space="0" w:color="000000"/>
              <w:bottom w:val="nil"/>
              <w:right w:val="single" w:sz="4" w:space="0" w:color="000000"/>
            </w:tcBorders>
            <w:vAlign w:val="center"/>
            <w:hideMark/>
          </w:tcPr>
          <w:p w14:paraId="065760D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91,0</w:t>
            </w:r>
          </w:p>
        </w:tc>
        <w:tc>
          <w:tcPr>
            <w:tcW w:w="1452" w:type="dxa"/>
            <w:tcBorders>
              <w:top w:val="nil"/>
              <w:left w:val="single" w:sz="4" w:space="0" w:color="000000"/>
              <w:bottom w:val="nil"/>
              <w:right w:val="single" w:sz="4" w:space="0" w:color="000000"/>
            </w:tcBorders>
            <w:vAlign w:val="center"/>
            <w:hideMark/>
          </w:tcPr>
          <w:p w14:paraId="612C0262"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-1,51</w:t>
            </w:r>
          </w:p>
        </w:tc>
      </w:tr>
      <w:tr w:rsidR="00490E2B" w:rsidRPr="00D95F2B" w14:paraId="0219EC86" w14:textId="77777777" w:rsidTr="00A40DAB">
        <w:trPr>
          <w:trHeight w:val="392"/>
        </w:trPr>
        <w:tc>
          <w:tcPr>
            <w:tcW w:w="2412" w:type="dxa"/>
            <w:tcBorders>
              <w:top w:val="nil"/>
              <w:left w:val="single" w:sz="4" w:space="0" w:color="000000"/>
              <w:bottom w:val="single" w:sz="4" w:space="0" w:color="000000"/>
              <w:right w:val="single" w:sz="4" w:space="0" w:color="000000"/>
            </w:tcBorders>
            <w:vAlign w:val="center"/>
            <w:hideMark/>
          </w:tcPr>
          <w:p w14:paraId="52D22855"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Glimepirid 4 mg/dan</w:t>
            </w:r>
          </w:p>
        </w:tc>
        <w:tc>
          <w:tcPr>
            <w:tcW w:w="710" w:type="dxa"/>
            <w:tcBorders>
              <w:top w:val="nil"/>
              <w:left w:val="single" w:sz="4" w:space="0" w:color="000000"/>
              <w:bottom w:val="single" w:sz="4" w:space="0" w:color="000000"/>
              <w:right w:val="single" w:sz="4" w:space="0" w:color="000000"/>
            </w:tcBorders>
            <w:vAlign w:val="center"/>
            <w:hideMark/>
          </w:tcPr>
          <w:p w14:paraId="636226A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242</w:t>
            </w:r>
          </w:p>
        </w:tc>
        <w:tc>
          <w:tcPr>
            <w:tcW w:w="1275" w:type="dxa"/>
            <w:tcBorders>
              <w:top w:val="nil"/>
              <w:left w:val="single" w:sz="4" w:space="0" w:color="000000"/>
              <w:bottom w:val="single" w:sz="4" w:space="0" w:color="000000"/>
              <w:right w:val="single" w:sz="4" w:space="0" w:color="000000"/>
            </w:tcBorders>
            <w:vAlign w:val="center"/>
            <w:hideMark/>
          </w:tcPr>
          <w:p w14:paraId="4771FCC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w:t>
            </w:r>
          </w:p>
        </w:tc>
        <w:tc>
          <w:tcPr>
            <w:tcW w:w="1560" w:type="dxa"/>
            <w:tcBorders>
              <w:top w:val="nil"/>
              <w:left w:val="single" w:sz="4" w:space="0" w:color="000000"/>
              <w:bottom w:val="single" w:sz="4" w:space="0" w:color="000000"/>
              <w:right w:val="single" w:sz="4" w:space="0" w:color="000000"/>
            </w:tcBorders>
            <w:vAlign w:val="center"/>
            <w:hideMark/>
          </w:tcPr>
          <w:p w14:paraId="7AFC5BC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-0,98</w:t>
            </w:r>
          </w:p>
        </w:tc>
        <w:tc>
          <w:tcPr>
            <w:tcW w:w="1417" w:type="dxa"/>
            <w:tcBorders>
              <w:top w:val="nil"/>
              <w:left w:val="single" w:sz="4" w:space="0" w:color="000000"/>
              <w:bottom w:val="single" w:sz="4" w:space="0" w:color="000000"/>
              <w:right w:val="single" w:sz="4" w:space="0" w:color="000000"/>
            </w:tcBorders>
            <w:vAlign w:val="center"/>
            <w:hideMark/>
          </w:tcPr>
          <w:p w14:paraId="3E58CAB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36,3</w:t>
            </w:r>
            <w:r w:rsidRPr="00D95F2B">
              <w:rPr>
                <w:sz w:val="20"/>
                <w:szCs w:val="20"/>
                <w:vertAlign w:val="superscript"/>
                <w:lang w:val="sr-Latn-ME"/>
              </w:rPr>
              <w:t>1</w:t>
            </w:r>
            <w:r w:rsidRPr="00D95F2B">
              <w:rPr>
                <w:sz w:val="20"/>
                <w:szCs w:val="20"/>
                <w:lang w:val="sr-Latn-ME"/>
              </w:rPr>
              <w:t>, 56,0</w:t>
            </w:r>
            <w:r w:rsidRPr="00D95F2B">
              <w:rPr>
                <w:sz w:val="20"/>
                <w:szCs w:val="20"/>
                <w:vertAlign w:val="superscript"/>
                <w:lang w:val="sr-Latn-ME"/>
              </w:rPr>
              <w:t>2</w:t>
            </w:r>
          </w:p>
        </w:tc>
        <w:tc>
          <w:tcPr>
            <w:tcW w:w="1134" w:type="dxa"/>
            <w:tcBorders>
              <w:top w:val="nil"/>
              <w:left w:val="single" w:sz="4" w:space="0" w:color="000000"/>
              <w:bottom w:val="single" w:sz="4" w:space="0" w:color="000000"/>
              <w:right w:val="single" w:sz="4" w:space="0" w:color="000000"/>
            </w:tcBorders>
            <w:vAlign w:val="center"/>
            <w:hideMark/>
          </w:tcPr>
          <w:p w14:paraId="6F64982D"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89,0</w:t>
            </w:r>
          </w:p>
        </w:tc>
        <w:tc>
          <w:tcPr>
            <w:tcW w:w="1452" w:type="dxa"/>
            <w:tcBorders>
              <w:top w:val="nil"/>
              <w:left w:val="single" w:sz="4" w:space="0" w:color="000000"/>
              <w:bottom w:val="single" w:sz="4" w:space="0" w:color="000000"/>
              <w:right w:val="single" w:sz="4" w:space="0" w:color="000000"/>
            </w:tcBorders>
            <w:vAlign w:val="center"/>
            <w:hideMark/>
          </w:tcPr>
          <w:p w14:paraId="012EF92D"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0,95</w:t>
            </w:r>
          </w:p>
        </w:tc>
      </w:tr>
      <w:tr w:rsidR="00490E2B" w:rsidRPr="00D95F2B" w14:paraId="2EE90ABC" w14:textId="77777777" w:rsidTr="00490E2B">
        <w:trPr>
          <w:trHeight w:val="416"/>
        </w:trPr>
        <w:tc>
          <w:tcPr>
            <w:tcW w:w="9960" w:type="dxa"/>
            <w:gridSpan w:val="7"/>
            <w:tcBorders>
              <w:top w:val="single" w:sz="4" w:space="0" w:color="000000"/>
              <w:left w:val="single" w:sz="4" w:space="0" w:color="000000"/>
              <w:bottom w:val="single" w:sz="4" w:space="0" w:color="000000"/>
              <w:right w:val="single" w:sz="4" w:space="0" w:color="000000"/>
            </w:tcBorders>
            <w:vAlign w:val="center"/>
            <w:hideMark/>
          </w:tcPr>
          <w:p w14:paraId="3793747F" w14:textId="0ECE05F3" w:rsidR="00490E2B" w:rsidRPr="00D95F2B" w:rsidRDefault="000A3BBC">
            <w:pPr>
              <w:tabs>
                <w:tab w:val="left" w:pos="612"/>
                <w:tab w:val="center" w:pos="4536"/>
                <w:tab w:val="right" w:pos="9072"/>
              </w:tabs>
              <w:rPr>
                <w:b/>
                <w:i/>
                <w:sz w:val="20"/>
                <w:szCs w:val="20"/>
                <w:lang w:val="sr-Latn-ME"/>
              </w:rPr>
            </w:pPr>
            <w:r w:rsidRPr="00D95F2B">
              <w:rPr>
                <w:b/>
                <w:i/>
                <w:sz w:val="20"/>
                <w:szCs w:val="20"/>
                <w:lang w:val="sr-Latn-ME"/>
              </w:rPr>
              <w:t>Dodatna terapija g</w:t>
            </w:r>
            <w:r w:rsidR="00490E2B" w:rsidRPr="00D95F2B">
              <w:rPr>
                <w:b/>
                <w:i/>
                <w:sz w:val="20"/>
                <w:szCs w:val="20"/>
                <w:lang w:val="sr-Latn-ME"/>
              </w:rPr>
              <w:t>limepirid</w:t>
            </w:r>
            <w:r w:rsidRPr="00D95F2B">
              <w:rPr>
                <w:b/>
                <w:i/>
                <w:sz w:val="20"/>
                <w:szCs w:val="20"/>
                <w:lang w:val="sr-Latn-ME"/>
              </w:rPr>
              <w:t>u</w:t>
            </w:r>
            <w:r w:rsidR="00490E2B" w:rsidRPr="00D95F2B">
              <w:rPr>
                <w:b/>
                <w:i/>
                <w:sz w:val="20"/>
                <w:szCs w:val="20"/>
                <w:vertAlign w:val="superscript"/>
                <w:lang w:val="sr-Latn-ME"/>
              </w:rPr>
              <w:t xml:space="preserve"> </w:t>
            </w:r>
            <w:r w:rsidR="00490E2B" w:rsidRPr="00D95F2B">
              <w:rPr>
                <w:b/>
                <w:i/>
                <w:sz w:val="20"/>
                <w:szCs w:val="20"/>
                <w:lang w:val="sr-Latn-ME"/>
              </w:rPr>
              <w:t xml:space="preserve">(4 mg/dan) </w:t>
            </w:r>
          </w:p>
        </w:tc>
      </w:tr>
      <w:tr w:rsidR="00490E2B" w:rsidRPr="00D95F2B" w14:paraId="58F14E07" w14:textId="77777777" w:rsidTr="00A40DAB">
        <w:trPr>
          <w:trHeight w:val="408"/>
        </w:trPr>
        <w:tc>
          <w:tcPr>
            <w:tcW w:w="2412" w:type="dxa"/>
            <w:tcBorders>
              <w:top w:val="single" w:sz="4" w:space="0" w:color="000000"/>
              <w:left w:val="single" w:sz="4" w:space="0" w:color="000000"/>
              <w:bottom w:val="nil"/>
              <w:right w:val="single" w:sz="4" w:space="0" w:color="000000"/>
            </w:tcBorders>
            <w:vAlign w:val="center"/>
            <w:hideMark/>
          </w:tcPr>
          <w:p w14:paraId="3D4D8A5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1,2 mg</w:t>
            </w:r>
          </w:p>
        </w:tc>
        <w:tc>
          <w:tcPr>
            <w:tcW w:w="710" w:type="dxa"/>
            <w:tcBorders>
              <w:top w:val="single" w:sz="4" w:space="0" w:color="000000"/>
              <w:left w:val="single" w:sz="4" w:space="0" w:color="000000"/>
              <w:bottom w:val="nil"/>
              <w:right w:val="single" w:sz="4" w:space="0" w:color="000000"/>
            </w:tcBorders>
            <w:vAlign w:val="center"/>
            <w:hideMark/>
          </w:tcPr>
          <w:p w14:paraId="62C00BD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228</w:t>
            </w:r>
          </w:p>
        </w:tc>
        <w:tc>
          <w:tcPr>
            <w:tcW w:w="1275" w:type="dxa"/>
            <w:tcBorders>
              <w:top w:val="single" w:sz="4" w:space="0" w:color="000000"/>
              <w:left w:val="single" w:sz="4" w:space="0" w:color="000000"/>
              <w:bottom w:val="nil"/>
              <w:right w:val="single" w:sz="4" w:space="0" w:color="000000"/>
            </w:tcBorders>
            <w:vAlign w:val="center"/>
            <w:hideMark/>
          </w:tcPr>
          <w:p w14:paraId="7C93C6D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8,5</w:t>
            </w:r>
          </w:p>
        </w:tc>
        <w:tc>
          <w:tcPr>
            <w:tcW w:w="1560" w:type="dxa"/>
            <w:tcBorders>
              <w:top w:val="single" w:sz="4" w:space="0" w:color="000000"/>
              <w:left w:val="single" w:sz="4" w:space="0" w:color="000000"/>
              <w:bottom w:val="nil"/>
              <w:right w:val="single" w:sz="4" w:space="0" w:color="000000"/>
            </w:tcBorders>
            <w:vAlign w:val="center"/>
            <w:hideMark/>
          </w:tcPr>
          <w:p w14:paraId="4C412B95"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-1,08**</w:t>
            </w:r>
          </w:p>
        </w:tc>
        <w:tc>
          <w:tcPr>
            <w:tcW w:w="1417" w:type="dxa"/>
            <w:tcBorders>
              <w:top w:val="single" w:sz="4" w:space="0" w:color="000000"/>
              <w:left w:val="single" w:sz="4" w:space="0" w:color="000000"/>
              <w:bottom w:val="nil"/>
              <w:right w:val="single" w:sz="4" w:space="0" w:color="000000"/>
            </w:tcBorders>
            <w:vAlign w:val="center"/>
            <w:hideMark/>
          </w:tcPr>
          <w:p w14:paraId="7B31D38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34,5</w:t>
            </w:r>
            <w:r w:rsidRPr="00D95F2B">
              <w:rPr>
                <w:sz w:val="20"/>
                <w:szCs w:val="20"/>
                <w:vertAlign w:val="superscript"/>
                <w:lang w:val="sr-Latn-ME"/>
              </w:rPr>
              <w:t>1</w:t>
            </w:r>
            <w:r w:rsidRPr="00D95F2B">
              <w:rPr>
                <w:sz w:val="20"/>
                <w:szCs w:val="20"/>
                <w:lang w:val="sr-Latn-ME"/>
              </w:rPr>
              <w:t>, 57,4</w:t>
            </w:r>
            <w:r w:rsidRPr="00D95F2B">
              <w:rPr>
                <w:sz w:val="20"/>
                <w:szCs w:val="20"/>
                <w:vertAlign w:val="superscript"/>
                <w:lang w:val="sr-Latn-ME"/>
              </w:rPr>
              <w:t>2</w:t>
            </w:r>
          </w:p>
        </w:tc>
        <w:tc>
          <w:tcPr>
            <w:tcW w:w="1134" w:type="dxa"/>
            <w:tcBorders>
              <w:top w:val="single" w:sz="4" w:space="0" w:color="000000"/>
              <w:left w:val="single" w:sz="4" w:space="0" w:color="000000"/>
              <w:bottom w:val="nil"/>
              <w:right w:val="single" w:sz="4" w:space="0" w:color="000000"/>
            </w:tcBorders>
            <w:vAlign w:val="center"/>
            <w:hideMark/>
          </w:tcPr>
          <w:p w14:paraId="418E0C6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80,0</w:t>
            </w:r>
          </w:p>
        </w:tc>
        <w:tc>
          <w:tcPr>
            <w:tcW w:w="1452" w:type="dxa"/>
            <w:tcBorders>
              <w:top w:val="single" w:sz="4" w:space="0" w:color="000000"/>
              <w:left w:val="single" w:sz="4" w:space="0" w:color="000000"/>
              <w:bottom w:val="nil"/>
              <w:right w:val="single" w:sz="4" w:space="0" w:color="000000"/>
            </w:tcBorders>
            <w:vAlign w:val="center"/>
            <w:hideMark/>
          </w:tcPr>
          <w:p w14:paraId="017DFA2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0,32**</w:t>
            </w:r>
          </w:p>
        </w:tc>
      </w:tr>
      <w:tr w:rsidR="00490E2B" w:rsidRPr="00D95F2B" w14:paraId="7ACCBFB2" w14:textId="77777777" w:rsidTr="00A40DAB">
        <w:trPr>
          <w:trHeight w:val="437"/>
        </w:trPr>
        <w:tc>
          <w:tcPr>
            <w:tcW w:w="2412" w:type="dxa"/>
            <w:tcBorders>
              <w:top w:val="nil"/>
              <w:left w:val="single" w:sz="4" w:space="0" w:color="000000"/>
              <w:bottom w:val="nil"/>
              <w:right w:val="single" w:sz="4" w:space="0" w:color="000000"/>
            </w:tcBorders>
            <w:vAlign w:val="center"/>
            <w:hideMark/>
          </w:tcPr>
          <w:p w14:paraId="3C4B496C"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1,8 mg</w:t>
            </w:r>
          </w:p>
        </w:tc>
        <w:tc>
          <w:tcPr>
            <w:tcW w:w="710" w:type="dxa"/>
            <w:tcBorders>
              <w:top w:val="nil"/>
              <w:left w:val="single" w:sz="4" w:space="0" w:color="000000"/>
              <w:bottom w:val="nil"/>
              <w:right w:val="single" w:sz="4" w:space="0" w:color="000000"/>
            </w:tcBorders>
            <w:vAlign w:val="center"/>
            <w:hideMark/>
          </w:tcPr>
          <w:p w14:paraId="2F4C823C"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234</w:t>
            </w:r>
          </w:p>
        </w:tc>
        <w:tc>
          <w:tcPr>
            <w:tcW w:w="1275" w:type="dxa"/>
            <w:tcBorders>
              <w:top w:val="nil"/>
              <w:left w:val="single" w:sz="4" w:space="0" w:color="000000"/>
              <w:bottom w:val="nil"/>
              <w:right w:val="single" w:sz="4" w:space="0" w:color="000000"/>
            </w:tcBorders>
            <w:vAlign w:val="center"/>
            <w:hideMark/>
          </w:tcPr>
          <w:p w14:paraId="252D1502"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8,5</w:t>
            </w:r>
          </w:p>
        </w:tc>
        <w:tc>
          <w:tcPr>
            <w:tcW w:w="1560" w:type="dxa"/>
            <w:tcBorders>
              <w:top w:val="nil"/>
              <w:left w:val="single" w:sz="4" w:space="0" w:color="000000"/>
              <w:bottom w:val="nil"/>
              <w:right w:val="single" w:sz="4" w:space="0" w:color="000000"/>
            </w:tcBorders>
            <w:vAlign w:val="center"/>
            <w:hideMark/>
          </w:tcPr>
          <w:p w14:paraId="4D8BC61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-1,13**</w:t>
            </w:r>
          </w:p>
        </w:tc>
        <w:tc>
          <w:tcPr>
            <w:tcW w:w="1417" w:type="dxa"/>
            <w:tcBorders>
              <w:top w:val="nil"/>
              <w:left w:val="single" w:sz="4" w:space="0" w:color="000000"/>
              <w:bottom w:val="nil"/>
              <w:right w:val="single" w:sz="4" w:space="0" w:color="000000"/>
            </w:tcBorders>
            <w:vAlign w:val="center"/>
            <w:hideMark/>
          </w:tcPr>
          <w:p w14:paraId="063A59F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41,6</w:t>
            </w:r>
            <w:r w:rsidRPr="00D95F2B">
              <w:rPr>
                <w:sz w:val="20"/>
                <w:szCs w:val="20"/>
                <w:vertAlign w:val="superscript"/>
                <w:lang w:val="sr-Latn-ME"/>
              </w:rPr>
              <w:t>1</w:t>
            </w:r>
            <w:r w:rsidRPr="00D95F2B">
              <w:rPr>
                <w:sz w:val="20"/>
                <w:szCs w:val="20"/>
                <w:lang w:val="sr-Latn-ME"/>
              </w:rPr>
              <w:t>, 55,9</w:t>
            </w:r>
            <w:r w:rsidRPr="00D95F2B">
              <w:rPr>
                <w:sz w:val="20"/>
                <w:szCs w:val="20"/>
                <w:vertAlign w:val="superscript"/>
                <w:lang w:val="sr-Latn-ME"/>
              </w:rPr>
              <w:t>2</w:t>
            </w:r>
          </w:p>
        </w:tc>
        <w:tc>
          <w:tcPr>
            <w:tcW w:w="1134" w:type="dxa"/>
            <w:tcBorders>
              <w:top w:val="nil"/>
              <w:left w:val="single" w:sz="4" w:space="0" w:color="000000"/>
              <w:bottom w:val="nil"/>
              <w:right w:val="single" w:sz="4" w:space="0" w:color="000000"/>
            </w:tcBorders>
            <w:vAlign w:val="center"/>
            <w:hideMark/>
          </w:tcPr>
          <w:p w14:paraId="079904E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83,0</w:t>
            </w:r>
          </w:p>
        </w:tc>
        <w:tc>
          <w:tcPr>
            <w:tcW w:w="1452" w:type="dxa"/>
            <w:tcBorders>
              <w:top w:val="nil"/>
              <w:left w:val="single" w:sz="4" w:space="0" w:color="000000"/>
              <w:bottom w:val="nil"/>
              <w:right w:val="single" w:sz="4" w:space="0" w:color="000000"/>
            </w:tcBorders>
            <w:vAlign w:val="center"/>
            <w:hideMark/>
          </w:tcPr>
          <w:p w14:paraId="145E256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-0,23**</w:t>
            </w:r>
          </w:p>
        </w:tc>
      </w:tr>
      <w:tr w:rsidR="00490E2B" w:rsidRPr="00D95F2B" w14:paraId="46C45B3E" w14:textId="77777777" w:rsidTr="00A40DAB">
        <w:trPr>
          <w:trHeight w:val="401"/>
        </w:trPr>
        <w:tc>
          <w:tcPr>
            <w:tcW w:w="2412" w:type="dxa"/>
            <w:tcBorders>
              <w:top w:val="nil"/>
              <w:left w:val="single" w:sz="4" w:space="0" w:color="000000"/>
              <w:bottom w:val="nil"/>
              <w:right w:val="single" w:sz="4" w:space="0" w:color="000000"/>
            </w:tcBorders>
            <w:vAlign w:val="center"/>
            <w:hideMark/>
          </w:tcPr>
          <w:p w14:paraId="1BE2F81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Placebo</w:t>
            </w:r>
          </w:p>
        </w:tc>
        <w:tc>
          <w:tcPr>
            <w:tcW w:w="710" w:type="dxa"/>
            <w:tcBorders>
              <w:top w:val="nil"/>
              <w:left w:val="single" w:sz="4" w:space="0" w:color="000000"/>
              <w:bottom w:val="nil"/>
              <w:right w:val="single" w:sz="4" w:space="0" w:color="000000"/>
            </w:tcBorders>
            <w:vAlign w:val="center"/>
            <w:hideMark/>
          </w:tcPr>
          <w:p w14:paraId="6D55527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114</w:t>
            </w:r>
          </w:p>
        </w:tc>
        <w:tc>
          <w:tcPr>
            <w:tcW w:w="1275" w:type="dxa"/>
            <w:tcBorders>
              <w:top w:val="nil"/>
              <w:left w:val="single" w:sz="4" w:space="0" w:color="000000"/>
              <w:bottom w:val="nil"/>
              <w:right w:val="single" w:sz="4" w:space="0" w:color="000000"/>
            </w:tcBorders>
            <w:vAlign w:val="center"/>
            <w:hideMark/>
          </w:tcPr>
          <w:p w14:paraId="7D49889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w:t>
            </w:r>
          </w:p>
        </w:tc>
        <w:tc>
          <w:tcPr>
            <w:tcW w:w="1560" w:type="dxa"/>
            <w:tcBorders>
              <w:top w:val="nil"/>
              <w:left w:val="single" w:sz="4" w:space="0" w:color="000000"/>
              <w:bottom w:val="nil"/>
              <w:right w:val="single" w:sz="4" w:space="0" w:color="000000"/>
            </w:tcBorders>
            <w:vAlign w:val="center"/>
            <w:hideMark/>
          </w:tcPr>
          <w:p w14:paraId="09097E98"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0,23</w:t>
            </w:r>
          </w:p>
        </w:tc>
        <w:tc>
          <w:tcPr>
            <w:tcW w:w="1417" w:type="dxa"/>
            <w:tcBorders>
              <w:top w:val="nil"/>
              <w:left w:val="single" w:sz="4" w:space="0" w:color="000000"/>
              <w:bottom w:val="nil"/>
              <w:right w:val="single" w:sz="4" w:space="0" w:color="000000"/>
            </w:tcBorders>
            <w:vAlign w:val="center"/>
            <w:hideMark/>
          </w:tcPr>
          <w:p w14:paraId="4C4A453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7,5</w:t>
            </w:r>
            <w:r w:rsidRPr="00D95F2B">
              <w:rPr>
                <w:sz w:val="20"/>
                <w:szCs w:val="20"/>
                <w:vertAlign w:val="superscript"/>
                <w:lang w:val="sr-Latn-ME"/>
              </w:rPr>
              <w:t>1</w:t>
            </w:r>
            <w:r w:rsidRPr="00D95F2B">
              <w:rPr>
                <w:sz w:val="20"/>
                <w:szCs w:val="20"/>
                <w:lang w:val="sr-Latn-ME"/>
              </w:rPr>
              <w:t>, 11,8</w:t>
            </w:r>
            <w:r w:rsidRPr="00D95F2B">
              <w:rPr>
                <w:sz w:val="20"/>
                <w:szCs w:val="20"/>
                <w:vertAlign w:val="superscript"/>
                <w:lang w:val="sr-Latn-ME"/>
              </w:rPr>
              <w:t>2</w:t>
            </w:r>
          </w:p>
        </w:tc>
        <w:tc>
          <w:tcPr>
            <w:tcW w:w="1134" w:type="dxa"/>
            <w:tcBorders>
              <w:top w:val="nil"/>
              <w:left w:val="single" w:sz="4" w:space="0" w:color="000000"/>
              <w:bottom w:val="nil"/>
              <w:right w:val="single" w:sz="4" w:space="0" w:color="000000"/>
            </w:tcBorders>
            <w:vAlign w:val="center"/>
            <w:hideMark/>
          </w:tcPr>
          <w:p w14:paraId="584D369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81,9</w:t>
            </w:r>
          </w:p>
        </w:tc>
        <w:tc>
          <w:tcPr>
            <w:tcW w:w="1452" w:type="dxa"/>
            <w:tcBorders>
              <w:top w:val="nil"/>
              <w:left w:val="single" w:sz="4" w:space="0" w:color="000000"/>
              <w:bottom w:val="nil"/>
              <w:right w:val="single" w:sz="4" w:space="0" w:color="000000"/>
            </w:tcBorders>
            <w:vAlign w:val="center"/>
            <w:hideMark/>
          </w:tcPr>
          <w:p w14:paraId="2533941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-0,10</w:t>
            </w:r>
          </w:p>
        </w:tc>
      </w:tr>
      <w:tr w:rsidR="00490E2B" w:rsidRPr="00D95F2B" w14:paraId="0FBD41D2" w14:textId="77777777" w:rsidTr="00A40DAB">
        <w:trPr>
          <w:trHeight w:val="449"/>
        </w:trPr>
        <w:tc>
          <w:tcPr>
            <w:tcW w:w="2412" w:type="dxa"/>
            <w:tcBorders>
              <w:top w:val="nil"/>
              <w:left w:val="single" w:sz="4" w:space="0" w:color="000000"/>
              <w:bottom w:val="single" w:sz="4" w:space="0" w:color="000000"/>
              <w:right w:val="single" w:sz="4" w:space="0" w:color="000000"/>
            </w:tcBorders>
            <w:vAlign w:val="center"/>
            <w:hideMark/>
          </w:tcPr>
          <w:p w14:paraId="75ED3828"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Rosiglitazon 4 mg/dan</w:t>
            </w:r>
          </w:p>
        </w:tc>
        <w:tc>
          <w:tcPr>
            <w:tcW w:w="710" w:type="dxa"/>
            <w:tcBorders>
              <w:top w:val="nil"/>
              <w:left w:val="single" w:sz="4" w:space="0" w:color="000000"/>
              <w:bottom w:val="single" w:sz="4" w:space="0" w:color="000000"/>
              <w:right w:val="single" w:sz="4" w:space="0" w:color="000000"/>
            </w:tcBorders>
            <w:vAlign w:val="center"/>
            <w:hideMark/>
          </w:tcPr>
          <w:p w14:paraId="2890402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231</w:t>
            </w:r>
          </w:p>
        </w:tc>
        <w:tc>
          <w:tcPr>
            <w:tcW w:w="1275" w:type="dxa"/>
            <w:tcBorders>
              <w:top w:val="nil"/>
              <w:left w:val="single" w:sz="4" w:space="0" w:color="000000"/>
              <w:bottom w:val="single" w:sz="4" w:space="0" w:color="000000"/>
              <w:right w:val="single" w:sz="4" w:space="0" w:color="000000"/>
            </w:tcBorders>
            <w:vAlign w:val="center"/>
            <w:hideMark/>
          </w:tcPr>
          <w:p w14:paraId="40FB030C"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w:t>
            </w:r>
          </w:p>
        </w:tc>
        <w:tc>
          <w:tcPr>
            <w:tcW w:w="1560" w:type="dxa"/>
            <w:tcBorders>
              <w:top w:val="nil"/>
              <w:left w:val="single" w:sz="4" w:space="0" w:color="000000"/>
              <w:bottom w:val="single" w:sz="4" w:space="0" w:color="000000"/>
              <w:right w:val="single" w:sz="4" w:space="0" w:color="000000"/>
            </w:tcBorders>
            <w:vAlign w:val="center"/>
            <w:hideMark/>
          </w:tcPr>
          <w:p w14:paraId="78B0B122"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-0,44</w:t>
            </w:r>
          </w:p>
        </w:tc>
        <w:tc>
          <w:tcPr>
            <w:tcW w:w="1417" w:type="dxa"/>
            <w:tcBorders>
              <w:top w:val="nil"/>
              <w:left w:val="single" w:sz="4" w:space="0" w:color="000000"/>
              <w:bottom w:val="single" w:sz="4" w:space="0" w:color="000000"/>
              <w:right w:val="single" w:sz="4" w:space="0" w:color="000000"/>
            </w:tcBorders>
            <w:vAlign w:val="center"/>
            <w:hideMark/>
          </w:tcPr>
          <w:p w14:paraId="2D885406"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21,9</w:t>
            </w:r>
            <w:r w:rsidRPr="00D95F2B">
              <w:rPr>
                <w:sz w:val="20"/>
                <w:szCs w:val="20"/>
                <w:vertAlign w:val="superscript"/>
                <w:lang w:val="sr-Latn-ME"/>
              </w:rPr>
              <w:t>1</w:t>
            </w:r>
            <w:r w:rsidRPr="00D95F2B">
              <w:rPr>
                <w:sz w:val="20"/>
                <w:szCs w:val="20"/>
                <w:lang w:val="sr-Latn-ME"/>
              </w:rPr>
              <w:t>, 36,1</w:t>
            </w:r>
            <w:r w:rsidRPr="00D95F2B">
              <w:rPr>
                <w:sz w:val="20"/>
                <w:szCs w:val="20"/>
                <w:vertAlign w:val="superscript"/>
                <w:lang w:val="sr-Latn-ME"/>
              </w:rPr>
              <w:t>2</w:t>
            </w:r>
          </w:p>
        </w:tc>
        <w:tc>
          <w:tcPr>
            <w:tcW w:w="1134" w:type="dxa"/>
            <w:tcBorders>
              <w:top w:val="nil"/>
              <w:left w:val="single" w:sz="4" w:space="0" w:color="000000"/>
              <w:bottom w:val="single" w:sz="4" w:space="0" w:color="000000"/>
              <w:right w:val="single" w:sz="4" w:space="0" w:color="000000"/>
            </w:tcBorders>
            <w:vAlign w:val="center"/>
            <w:hideMark/>
          </w:tcPr>
          <w:p w14:paraId="620C2898"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80,6</w:t>
            </w:r>
          </w:p>
        </w:tc>
        <w:tc>
          <w:tcPr>
            <w:tcW w:w="1452" w:type="dxa"/>
            <w:tcBorders>
              <w:top w:val="nil"/>
              <w:left w:val="single" w:sz="4" w:space="0" w:color="000000"/>
              <w:bottom w:val="single" w:sz="4" w:space="0" w:color="000000"/>
              <w:right w:val="single" w:sz="4" w:space="0" w:color="000000"/>
            </w:tcBorders>
            <w:vAlign w:val="center"/>
            <w:hideMark/>
          </w:tcPr>
          <w:p w14:paraId="077E34D3"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2,11</w:t>
            </w:r>
          </w:p>
        </w:tc>
      </w:tr>
      <w:tr w:rsidR="00490E2B" w:rsidRPr="00D95F2B" w14:paraId="1CE1F0BB" w14:textId="77777777" w:rsidTr="00A40DAB">
        <w:trPr>
          <w:trHeight w:val="403"/>
        </w:trPr>
        <w:tc>
          <w:tcPr>
            <w:tcW w:w="9960" w:type="dxa"/>
            <w:gridSpan w:val="7"/>
            <w:tcBorders>
              <w:top w:val="single" w:sz="4" w:space="0" w:color="000000"/>
              <w:left w:val="single" w:sz="4" w:space="0" w:color="000000"/>
              <w:bottom w:val="single" w:sz="4" w:space="0" w:color="000000"/>
              <w:right w:val="single" w:sz="4" w:space="0" w:color="000000"/>
            </w:tcBorders>
            <w:vAlign w:val="center"/>
            <w:hideMark/>
          </w:tcPr>
          <w:p w14:paraId="6A92CD7C" w14:textId="392CE605" w:rsidR="00490E2B" w:rsidRPr="00D95F2B" w:rsidRDefault="000A3BBC">
            <w:pPr>
              <w:tabs>
                <w:tab w:val="left" w:pos="612"/>
                <w:tab w:val="center" w:pos="4536"/>
                <w:tab w:val="right" w:pos="9072"/>
              </w:tabs>
              <w:rPr>
                <w:b/>
                <w:sz w:val="20"/>
                <w:szCs w:val="20"/>
                <w:lang w:val="sr-Latn-ME"/>
              </w:rPr>
            </w:pPr>
            <w:r w:rsidRPr="00D95F2B">
              <w:rPr>
                <w:b/>
                <w:i/>
                <w:sz w:val="20"/>
                <w:szCs w:val="20"/>
                <w:lang w:val="sr-Latn-ME"/>
              </w:rPr>
              <w:t>Dodatna terapija m</w:t>
            </w:r>
            <w:r w:rsidR="00490E2B" w:rsidRPr="00D95F2B">
              <w:rPr>
                <w:b/>
                <w:i/>
                <w:sz w:val="20"/>
                <w:szCs w:val="20"/>
                <w:lang w:val="sr-Latn-ME"/>
              </w:rPr>
              <w:t>etformin</w:t>
            </w:r>
            <w:r w:rsidRPr="00D95F2B">
              <w:rPr>
                <w:b/>
                <w:i/>
                <w:sz w:val="20"/>
                <w:szCs w:val="20"/>
                <w:lang w:val="sr-Latn-ME"/>
              </w:rPr>
              <w:t>u</w:t>
            </w:r>
            <w:r w:rsidR="00490E2B" w:rsidRPr="00D95F2B">
              <w:rPr>
                <w:b/>
                <w:i/>
                <w:sz w:val="20"/>
                <w:szCs w:val="20"/>
                <w:lang w:val="sr-Latn-ME"/>
              </w:rPr>
              <w:t xml:space="preserve"> (2000 mg/dan) + rosiglitazon</w:t>
            </w:r>
            <w:r w:rsidRPr="00D95F2B">
              <w:rPr>
                <w:b/>
                <w:i/>
                <w:sz w:val="20"/>
                <w:szCs w:val="20"/>
                <w:lang w:val="sr-Latn-ME"/>
              </w:rPr>
              <w:t>u</w:t>
            </w:r>
            <w:r w:rsidR="00490E2B" w:rsidRPr="00D95F2B">
              <w:rPr>
                <w:b/>
                <w:i/>
                <w:sz w:val="20"/>
                <w:szCs w:val="20"/>
                <w:lang w:val="sr-Latn-ME"/>
              </w:rPr>
              <w:t xml:space="preserve"> (4 mg dva puta dnevno) </w:t>
            </w:r>
          </w:p>
        </w:tc>
      </w:tr>
      <w:tr w:rsidR="00490E2B" w:rsidRPr="00D95F2B" w14:paraId="09820E55" w14:textId="77777777" w:rsidTr="00A40DAB">
        <w:trPr>
          <w:trHeight w:val="409"/>
        </w:trPr>
        <w:tc>
          <w:tcPr>
            <w:tcW w:w="2412" w:type="dxa"/>
            <w:tcBorders>
              <w:top w:val="single" w:sz="4" w:space="0" w:color="000000"/>
              <w:left w:val="single" w:sz="4" w:space="0" w:color="000000"/>
              <w:bottom w:val="nil"/>
              <w:right w:val="single" w:sz="4" w:space="0" w:color="000000"/>
            </w:tcBorders>
            <w:vAlign w:val="center"/>
            <w:hideMark/>
          </w:tcPr>
          <w:p w14:paraId="22DCF1E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1,2 mg</w:t>
            </w:r>
          </w:p>
        </w:tc>
        <w:tc>
          <w:tcPr>
            <w:tcW w:w="710" w:type="dxa"/>
            <w:tcBorders>
              <w:top w:val="single" w:sz="4" w:space="0" w:color="000000"/>
              <w:left w:val="single" w:sz="4" w:space="0" w:color="000000"/>
              <w:bottom w:val="nil"/>
              <w:right w:val="single" w:sz="4" w:space="0" w:color="000000"/>
            </w:tcBorders>
            <w:vAlign w:val="center"/>
            <w:hideMark/>
          </w:tcPr>
          <w:p w14:paraId="11380435"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177</w:t>
            </w:r>
          </w:p>
        </w:tc>
        <w:tc>
          <w:tcPr>
            <w:tcW w:w="1275" w:type="dxa"/>
            <w:tcBorders>
              <w:top w:val="single" w:sz="4" w:space="0" w:color="000000"/>
              <w:left w:val="single" w:sz="4" w:space="0" w:color="000000"/>
              <w:bottom w:val="nil"/>
              <w:right w:val="single" w:sz="4" w:space="0" w:color="000000"/>
            </w:tcBorders>
            <w:vAlign w:val="center"/>
            <w:hideMark/>
          </w:tcPr>
          <w:p w14:paraId="2D0612F6"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8,48</w:t>
            </w:r>
          </w:p>
        </w:tc>
        <w:tc>
          <w:tcPr>
            <w:tcW w:w="1560" w:type="dxa"/>
            <w:tcBorders>
              <w:top w:val="single" w:sz="4" w:space="0" w:color="000000"/>
              <w:left w:val="single" w:sz="4" w:space="0" w:color="000000"/>
              <w:bottom w:val="nil"/>
              <w:right w:val="single" w:sz="4" w:space="0" w:color="000000"/>
            </w:tcBorders>
            <w:vAlign w:val="center"/>
            <w:hideMark/>
          </w:tcPr>
          <w:p w14:paraId="5D12399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-1,48</w:t>
            </w:r>
          </w:p>
        </w:tc>
        <w:tc>
          <w:tcPr>
            <w:tcW w:w="1417" w:type="dxa"/>
            <w:tcBorders>
              <w:top w:val="single" w:sz="4" w:space="0" w:color="000000"/>
              <w:left w:val="single" w:sz="4" w:space="0" w:color="000000"/>
              <w:bottom w:val="nil"/>
              <w:right w:val="single" w:sz="4" w:space="0" w:color="000000"/>
            </w:tcBorders>
            <w:vAlign w:val="center"/>
            <w:hideMark/>
          </w:tcPr>
          <w:p w14:paraId="1F372D1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57,5</w:t>
            </w:r>
            <w:r w:rsidRPr="00D95F2B">
              <w:rPr>
                <w:sz w:val="20"/>
                <w:szCs w:val="20"/>
                <w:vertAlign w:val="superscript"/>
                <w:lang w:val="sr-Latn-ME"/>
              </w:rPr>
              <w:t>1</w:t>
            </w:r>
          </w:p>
        </w:tc>
        <w:tc>
          <w:tcPr>
            <w:tcW w:w="1134" w:type="dxa"/>
            <w:tcBorders>
              <w:top w:val="single" w:sz="4" w:space="0" w:color="000000"/>
              <w:left w:val="single" w:sz="4" w:space="0" w:color="000000"/>
              <w:bottom w:val="nil"/>
              <w:right w:val="single" w:sz="4" w:space="0" w:color="000000"/>
            </w:tcBorders>
            <w:vAlign w:val="center"/>
            <w:hideMark/>
          </w:tcPr>
          <w:p w14:paraId="22CAAFA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95,3</w:t>
            </w:r>
          </w:p>
        </w:tc>
        <w:tc>
          <w:tcPr>
            <w:tcW w:w="1452" w:type="dxa"/>
            <w:tcBorders>
              <w:top w:val="single" w:sz="4" w:space="0" w:color="000000"/>
              <w:left w:val="single" w:sz="4" w:space="0" w:color="000000"/>
              <w:bottom w:val="nil"/>
              <w:right w:val="single" w:sz="4" w:space="0" w:color="000000"/>
            </w:tcBorders>
            <w:vAlign w:val="center"/>
            <w:hideMark/>
          </w:tcPr>
          <w:p w14:paraId="54C0F4F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-1,02</w:t>
            </w:r>
          </w:p>
        </w:tc>
      </w:tr>
      <w:tr w:rsidR="00490E2B" w:rsidRPr="00D95F2B" w14:paraId="6216DC2F" w14:textId="77777777" w:rsidTr="00A40DAB">
        <w:trPr>
          <w:trHeight w:val="425"/>
        </w:trPr>
        <w:tc>
          <w:tcPr>
            <w:tcW w:w="2412" w:type="dxa"/>
            <w:tcBorders>
              <w:top w:val="nil"/>
              <w:left w:val="single" w:sz="4" w:space="0" w:color="000000"/>
              <w:bottom w:val="nil"/>
              <w:right w:val="single" w:sz="4" w:space="0" w:color="000000"/>
            </w:tcBorders>
            <w:vAlign w:val="center"/>
            <w:hideMark/>
          </w:tcPr>
          <w:p w14:paraId="5D6C969D"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Liraglutid 1,8 mg</w:t>
            </w:r>
          </w:p>
        </w:tc>
        <w:tc>
          <w:tcPr>
            <w:tcW w:w="710" w:type="dxa"/>
            <w:tcBorders>
              <w:top w:val="nil"/>
              <w:left w:val="single" w:sz="4" w:space="0" w:color="000000"/>
              <w:bottom w:val="nil"/>
              <w:right w:val="single" w:sz="4" w:space="0" w:color="000000"/>
            </w:tcBorders>
            <w:vAlign w:val="center"/>
            <w:hideMark/>
          </w:tcPr>
          <w:p w14:paraId="29DAE6A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178</w:t>
            </w:r>
          </w:p>
        </w:tc>
        <w:tc>
          <w:tcPr>
            <w:tcW w:w="1275" w:type="dxa"/>
            <w:tcBorders>
              <w:top w:val="nil"/>
              <w:left w:val="single" w:sz="4" w:space="0" w:color="000000"/>
              <w:bottom w:val="nil"/>
              <w:right w:val="single" w:sz="4" w:space="0" w:color="000000"/>
            </w:tcBorders>
            <w:vAlign w:val="center"/>
            <w:hideMark/>
          </w:tcPr>
          <w:p w14:paraId="4DCFFB9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8,56</w:t>
            </w:r>
          </w:p>
        </w:tc>
        <w:tc>
          <w:tcPr>
            <w:tcW w:w="1560" w:type="dxa"/>
            <w:tcBorders>
              <w:top w:val="nil"/>
              <w:left w:val="single" w:sz="4" w:space="0" w:color="000000"/>
              <w:bottom w:val="nil"/>
              <w:right w:val="single" w:sz="4" w:space="0" w:color="000000"/>
            </w:tcBorders>
            <w:vAlign w:val="center"/>
            <w:hideMark/>
          </w:tcPr>
          <w:p w14:paraId="3EF3EF6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-1,48</w:t>
            </w:r>
          </w:p>
        </w:tc>
        <w:tc>
          <w:tcPr>
            <w:tcW w:w="1417" w:type="dxa"/>
            <w:tcBorders>
              <w:top w:val="nil"/>
              <w:left w:val="single" w:sz="4" w:space="0" w:color="000000"/>
              <w:bottom w:val="nil"/>
              <w:right w:val="single" w:sz="4" w:space="0" w:color="000000"/>
            </w:tcBorders>
            <w:vAlign w:val="center"/>
            <w:hideMark/>
          </w:tcPr>
          <w:p w14:paraId="2F332B1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53,7</w:t>
            </w:r>
            <w:r w:rsidRPr="00D95F2B">
              <w:rPr>
                <w:sz w:val="20"/>
                <w:szCs w:val="20"/>
                <w:vertAlign w:val="superscript"/>
                <w:lang w:val="sr-Latn-ME"/>
              </w:rPr>
              <w:t>1</w:t>
            </w:r>
          </w:p>
        </w:tc>
        <w:tc>
          <w:tcPr>
            <w:tcW w:w="1134" w:type="dxa"/>
            <w:tcBorders>
              <w:top w:val="nil"/>
              <w:left w:val="single" w:sz="4" w:space="0" w:color="000000"/>
              <w:bottom w:val="nil"/>
              <w:right w:val="single" w:sz="4" w:space="0" w:color="000000"/>
            </w:tcBorders>
            <w:vAlign w:val="center"/>
            <w:hideMark/>
          </w:tcPr>
          <w:p w14:paraId="5907E1F2"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94,9</w:t>
            </w:r>
          </w:p>
        </w:tc>
        <w:tc>
          <w:tcPr>
            <w:tcW w:w="1452" w:type="dxa"/>
            <w:tcBorders>
              <w:top w:val="nil"/>
              <w:left w:val="single" w:sz="4" w:space="0" w:color="000000"/>
              <w:bottom w:val="nil"/>
              <w:right w:val="single" w:sz="4" w:space="0" w:color="000000"/>
            </w:tcBorders>
            <w:vAlign w:val="center"/>
            <w:hideMark/>
          </w:tcPr>
          <w:p w14:paraId="1E73F8A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-2,02</w:t>
            </w:r>
          </w:p>
        </w:tc>
      </w:tr>
      <w:tr w:rsidR="00490E2B" w:rsidRPr="00D95F2B" w14:paraId="37731D57" w14:textId="77777777" w:rsidTr="00A40DAB">
        <w:trPr>
          <w:trHeight w:val="431"/>
        </w:trPr>
        <w:tc>
          <w:tcPr>
            <w:tcW w:w="2412" w:type="dxa"/>
            <w:tcBorders>
              <w:top w:val="nil"/>
              <w:left w:val="single" w:sz="4" w:space="0" w:color="000000"/>
              <w:bottom w:val="single" w:sz="4" w:space="0" w:color="000000"/>
              <w:right w:val="single" w:sz="4" w:space="0" w:color="000000"/>
            </w:tcBorders>
            <w:vAlign w:val="center"/>
            <w:hideMark/>
          </w:tcPr>
          <w:p w14:paraId="2209D5C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Placebo</w:t>
            </w:r>
          </w:p>
        </w:tc>
        <w:tc>
          <w:tcPr>
            <w:tcW w:w="710" w:type="dxa"/>
            <w:tcBorders>
              <w:top w:val="nil"/>
              <w:left w:val="single" w:sz="4" w:space="0" w:color="000000"/>
              <w:bottom w:val="single" w:sz="4" w:space="0" w:color="000000"/>
              <w:right w:val="single" w:sz="4" w:space="0" w:color="000000"/>
            </w:tcBorders>
            <w:vAlign w:val="center"/>
            <w:hideMark/>
          </w:tcPr>
          <w:p w14:paraId="6E5B4A45"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175</w:t>
            </w:r>
          </w:p>
        </w:tc>
        <w:tc>
          <w:tcPr>
            <w:tcW w:w="1275" w:type="dxa"/>
            <w:tcBorders>
              <w:top w:val="nil"/>
              <w:left w:val="single" w:sz="4" w:space="0" w:color="000000"/>
              <w:bottom w:val="single" w:sz="4" w:space="0" w:color="000000"/>
              <w:right w:val="single" w:sz="4" w:space="0" w:color="000000"/>
            </w:tcBorders>
            <w:vAlign w:val="center"/>
            <w:hideMark/>
          </w:tcPr>
          <w:p w14:paraId="3F3D397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8,42</w:t>
            </w:r>
          </w:p>
        </w:tc>
        <w:tc>
          <w:tcPr>
            <w:tcW w:w="1560" w:type="dxa"/>
            <w:tcBorders>
              <w:top w:val="nil"/>
              <w:left w:val="single" w:sz="4" w:space="0" w:color="000000"/>
              <w:bottom w:val="single" w:sz="4" w:space="0" w:color="000000"/>
              <w:right w:val="single" w:sz="4" w:space="0" w:color="000000"/>
            </w:tcBorders>
            <w:vAlign w:val="center"/>
            <w:hideMark/>
          </w:tcPr>
          <w:p w14:paraId="2AD37D8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-0,54</w:t>
            </w:r>
          </w:p>
        </w:tc>
        <w:tc>
          <w:tcPr>
            <w:tcW w:w="1417" w:type="dxa"/>
            <w:tcBorders>
              <w:top w:val="nil"/>
              <w:left w:val="single" w:sz="4" w:space="0" w:color="000000"/>
              <w:bottom w:val="single" w:sz="4" w:space="0" w:color="000000"/>
              <w:right w:val="single" w:sz="4" w:space="0" w:color="000000"/>
            </w:tcBorders>
            <w:vAlign w:val="center"/>
            <w:hideMark/>
          </w:tcPr>
          <w:p w14:paraId="0E82727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28,1</w:t>
            </w:r>
            <w:r w:rsidRPr="00D95F2B">
              <w:rPr>
                <w:sz w:val="20"/>
                <w:szCs w:val="20"/>
                <w:vertAlign w:val="superscript"/>
                <w:lang w:val="sr-Latn-ME"/>
              </w:rPr>
              <w:t>1</w:t>
            </w:r>
          </w:p>
        </w:tc>
        <w:tc>
          <w:tcPr>
            <w:tcW w:w="1134" w:type="dxa"/>
            <w:tcBorders>
              <w:top w:val="nil"/>
              <w:left w:val="single" w:sz="4" w:space="0" w:color="000000"/>
              <w:bottom w:val="single" w:sz="4" w:space="0" w:color="000000"/>
              <w:right w:val="single" w:sz="4" w:space="0" w:color="000000"/>
            </w:tcBorders>
            <w:vAlign w:val="center"/>
            <w:hideMark/>
          </w:tcPr>
          <w:p w14:paraId="3D6E065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98,5</w:t>
            </w:r>
          </w:p>
        </w:tc>
        <w:tc>
          <w:tcPr>
            <w:tcW w:w="1452" w:type="dxa"/>
            <w:tcBorders>
              <w:top w:val="nil"/>
              <w:left w:val="single" w:sz="4" w:space="0" w:color="000000"/>
              <w:bottom w:val="single" w:sz="4" w:space="0" w:color="000000"/>
              <w:right w:val="single" w:sz="4" w:space="0" w:color="000000"/>
            </w:tcBorders>
            <w:vAlign w:val="center"/>
            <w:hideMark/>
          </w:tcPr>
          <w:p w14:paraId="40F5F98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0,60</w:t>
            </w:r>
          </w:p>
        </w:tc>
      </w:tr>
      <w:tr w:rsidR="00490E2B" w:rsidRPr="00D95F2B" w14:paraId="757AB224" w14:textId="77777777" w:rsidTr="00A40DAB">
        <w:trPr>
          <w:trHeight w:val="413"/>
        </w:trPr>
        <w:tc>
          <w:tcPr>
            <w:tcW w:w="9960" w:type="dxa"/>
            <w:gridSpan w:val="7"/>
            <w:tcBorders>
              <w:top w:val="single" w:sz="4" w:space="0" w:color="000000"/>
              <w:left w:val="single" w:sz="4" w:space="0" w:color="000000"/>
              <w:bottom w:val="single" w:sz="4" w:space="0" w:color="000000"/>
              <w:right w:val="single" w:sz="4" w:space="0" w:color="000000"/>
            </w:tcBorders>
            <w:vAlign w:val="center"/>
            <w:hideMark/>
          </w:tcPr>
          <w:p w14:paraId="56397642" w14:textId="77777777" w:rsidR="00490E2B" w:rsidRPr="00D95F2B" w:rsidRDefault="00490E2B" w:rsidP="00490E2B">
            <w:pPr>
              <w:tabs>
                <w:tab w:val="left" w:pos="612"/>
                <w:tab w:val="center" w:pos="4536"/>
                <w:tab w:val="right" w:pos="9072"/>
              </w:tabs>
              <w:rPr>
                <w:b/>
                <w:i/>
                <w:sz w:val="20"/>
                <w:szCs w:val="20"/>
                <w:lang w:val="sr-Latn-ME"/>
              </w:rPr>
            </w:pPr>
            <w:r w:rsidRPr="00D95F2B">
              <w:rPr>
                <w:b/>
                <w:i/>
                <w:sz w:val="20"/>
                <w:szCs w:val="20"/>
                <w:lang w:val="sr-Latn-ME"/>
              </w:rPr>
              <w:t>Metformin (2000 mg/dan) + glimepirid</w:t>
            </w:r>
            <w:r w:rsidRPr="00D95F2B">
              <w:rPr>
                <w:b/>
                <w:i/>
                <w:sz w:val="20"/>
                <w:szCs w:val="20"/>
                <w:vertAlign w:val="superscript"/>
                <w:lang w:val="sr-Latn-ME"/>
              </w:rPr>
              <w:t xml:space="preserve"> </w:t>
            </w:r>
            <w:r w:rsidRPr="00D95F2B">
              <w:rPr>
                <w:b/>
                <w:i/>
                <w:sz w:val="20"/>
                <w:szCs w:val="20"/>
                <w:lang w:val="sr-Latn-ME"/>
              </w:rPr>
              <w:t>(4 mg/dan) dodatna terapija</w:t>
            </w:r>
          </w:p>
        </w:tc>
      </w:tr>
      <w:tr w:rsidR="00490E2B" w:rsidRPr="00D95F2B" w14:paraId="696A7DEE" w14:textId="77777777" w:rsidTr="00A40DAB">
        <w:trPr>
          <w:trHeight w:val="419"/>
        </w:trPr>
        <w:tc>
          <w:tcPr>
            <w:tcW w:w="2412" w:type="dxa"/>
            <w:tcBorders>
              <w:top w:val="single" w:sz="4" w:space="0" w:color="000000"/>
              <w:left w:val="single" w:sz="4" w:space="0" w:color="000000"/>
              <w:bottom w:val="nil"/>
              <w:right w:val="single" w:sz="4" w:space="0" w:color="000000"/>
            </w:tcBorders>
            <w:vAlign w:val="center"/>
            <w:hideMark/>
          </w:tcPr>
          <w:p w14:paraId="7F110C0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lastRenderedPageBreak/>
              <w:t>Liraglutid 1,8 mg</w:t>
            </w:r>
          </w:p>
        </w:tc>
        <w:tc>
          <w:tcPr>
            <w:tcW w:w="710" w:type="dxa"/>
            <w:tcBorders>
              <w:top w:val="single" w:sz="4" w:space="0" w:color="000000"/>
              <w:left w:val="single" w:sz="4" w:space="0" w:color="000000"/>
              <w:bottom w:val="nil"/>
              <w:right w:val="single" w:sz="4" w:space="0" w:color="000000"/>
            </w:tcBorders>
            <w:vAlign w:val="center"/>
            <w:hideMark/>
          </w:tcPr>
          <w:p w14:paraId="4C087464"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230</w:t>
            </w:r>
          </w:p>
        </w:tc>
        <w:tc>
          <w:tcPr>
            <w:tcW w:w="1275" w:type="dxa"/>
            <w:tcBorders>
              <w:top w:val="single" w:sz="4" w:space="0" w:color="000000"/>
              <w:left w:val="single" w:sz="4" w:space="0" w:color="000000"/>
              <w:bottom w:val="nil"/>
              <w:right w:val="single" w:sz="4" w:space="0" w:color="000000"/>
            </w:tcBorders>
            <w:vAlign w:val="center"/>
            <w:hideMark/>
          </w:tcPr>
          <w:p w14:paraId="7B65EB2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8,3</w:t>
            </w:r>
          </w:p>
        </w:tc>
        <w:tc>
          <w:tcPr>
            <w:tcW w:w="1560" w:type="dxa"/>
            <w:tcBorders>
              <w:top w:val="single" w:sz="4" w:space="0" w:color="000000"/>
              <w:left w:val="single" w:sz="4" w:space="0" w:color="000000"/>
              <w:bottom w:val="nil"/>
              <w:right w:val="single" w:sz="4" w:space="0" w:color="000000"/>
            </w:tcBorders>
            <w:vAlign w:val="center"/>
            <w:hideMark/>
          </w:tcPr>
          <w:p w14:paraId="0FFC2F29"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-1,33*</w:t>
            </w:r>
          </w:p>
        </w:tc>
        <w:tc>
          <w:tcPr>
            <w:tcW w:w="1417" w:type="dxa"/>
            <w:tcBorders>
              <w:top w:val="single" w:sz="4" w:space="0" w:color="000000"/>
              <w:left w:val="single" w:sz="4" w:space="0" w:color="000000"/>
              <w:bottom w:val="nil"/>
              <w:right w:val="single" w:sz="4" w:space="0" w:color="000000"/>
            </w:tcBorders>
            <w:vAlign w:val="center"/>
            <w:hideMark/>
          </w:tcPr>
          <w:p w14:paraId="58A9FDA7"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53,1</w:t>
            </w:r>
            <w:r w:rsidRPr="00D95F2B">
              <w:rPr>
                <w:sz w:val="20"/>
                <w:szCs w:val="20"/>
                <w:vertAlign w:val="superscript"/>
                <w:lang w:val="sr-Latn-ME"/>
              </w:rPr>
              <w:t>1</w:t>
            </w:r>
          </w:p>
        </w:tc>
        <w:tc>
          <w:tcPr>
            <w:tcW w:w="1134" w:type="dxa"/>
            <w:tcBorders>
              <w:top w:val="single" w:sz="4" w:space="0" w:color="000000"/>
              <w:left w:val="single" w:sz="4" w:space="0" w:color="000000"/>
              <w:bottom w:val="nil"/>
              <w:right w:val="single" w:sz="4" w:space="0" w:color="000000"/>
            </w:tcBorders>
            <w:vAlign w:val="center"/>
            <w:hideMark/>
          </w:tcPr>
          <w:p w14:paraId="0C74CDA2"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85,8</w:t>
            </w:r>
          </w:p>
        </w:tc>
        <w:tc>
          <w:tcPr>
            <w:tcW w:w="1452" w:type="dxa"/>
            <w:tcBorders>
              <w:top w:val="single" w:sz="4" w:space="0" w:color="000000"/>
              <w:left w:val="single" w:sz="4" w:space="0" w:color="000000"/>
              <w:bottom w:val="nil"/>
              <w:right w:val="single" w:sz="4" w:space="0" w:color="000000"/>
            </w:tcBorders>
            <w:vAlign w:val="center"/>
            <w:hideMark/>
          </w:tcPr>
          <w:p w14:paraId="78016AC8"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-1,81**</w:t>
            </w:r>
          </w:p>
        </w:tc>
      </w:tr>
      <w:tr w:rsidR="00490E2B" w:rsidRPr="00D95F2B" w14:paraId="54C1B2AE" w14:textId="77777777" w:rsidTr="00086AEB">
        <w:trPr>
          <w:trHeight w:val="421"/>
        </w:trPr>
        <w:tc>
          <w:tcPr>
            <w:tcW w:w="2412" w:type="dxa"/>
            <w:tcBorders>
              <w:top w:val="nil"/>
              <w:left w:val="single" w:sz="4" w:space="0" w:color="000000"/>
              <w:bottom w:val="single" w:sz="4" w:space="0" w:color="000000"/>
              <w:right w:val="single" w:sz="4" w:space="0" w:color="000000"/>
            </w:tcBorders>
            <w:vAlign w:val="center"/>
            <w:hideMark/>
          </w:tcPr>
          <w:p w14:paraId="356DF64B"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Placebo</w:t>
            </w:r>
          </w:p>
        </w:tc>
        <w:tc>
          <w:tcPr>
            <w:tcW w:w="710" w:type="dxa"/>
            <w:tcBorders>
              <w:top w:val="nil"/>
              <w:left w:val="single" w:sz="4" w:space="0" w:color="000000"/>
              <w:bottom w:val="single" w:sz="4" w:space="0" w:color="000000"/>
              <w:right w:val="single" w:sz="4" w:space="0" w:color="000000"/>
            </w:tcBorders>
            <w:vAlign w:val="center"/>
            <w:hideMark/>
          </w:tcPr>
          <w:p w14:paraId="568E652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114</w:t>
            </w:r>
          </w:p>
        </w:tc>
        <w:tc>
          <w:tcPr>
            <w:tcW w:w="1275" w:type="dxa"/>
            <w:tcBorders>
              <w:top w:val="nil"/>
              <w:left w:val="single" w:sz="4" w:space="0" w:color="000000"/>
              <w:bottom w:val="single" w:sz="4" w:space="0" w:color="000000"/>
              <w:right w:val="single" w:sz="4" w:space="0" w:color="000000"/>
            </w:tcBorders>
            <w:vAlign w:val="center"/>
            <w:hideMark/>
          </w:tcPr>
          <w:p w14:paraId="2FCA5A36"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8,3</w:t>
            </w:r>
          </w:p>
        </w:tc>
        <w:tc>
          <w:tcPr>
            <w:tcW w:w="1560" w:type="dxa"/>
            <w:tcBorders>
              <w:top w:val="nil"/>
              <w:left w:val="single" w:sz="4" w:space="0" w:color="000000"/>
              <w:bottom w:val="single" w:sz="4" w:space="0" w:color="000000"/>
              <w:right w:val="single" w:sz="4" w:space="0" w:color="000000"/>
            </w:tcBorders>
            <w:vAlign w:val="center"/>
            <w:hideMark/>
          </w:tcPr>
          <w:p w14:paraId="00F39E7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-0,24</w:t>
            </w:r>
          </w:p>
        </w:tc>
        <w:tc>
          <w:tcPr>
            <w:tcW w:w="1417" w:type="dxa"/>
            <w:tcBorders>
              <w:top w:val="nil"/>
              <w:left w:val="single" w:sz="4" w:space="0" w:color="000000"/>
              <w:bottom w:val="single" w:sz="4" w:space="0" w:color="000000"/>
              <w:right w:val="single" w:sz="4" w:space="0" w:color="000000"/>
            </w:tcBorders>
            <w:vAlign w:val="center"/>
            <w:hideMark/>
          </w:tcPr>
          <w:p w14:paraId="1D11F9D8"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15,3</w:t>
            </w:r>
            <w:r w:rsidRPr="00D95F2B">
              <w:rPr>
                <w:sz w:val="20"/>
                <w:szCs w:val="20"/>
                <w:vertAlign w:val="superscript"/>
                <w:lang w:val="sr-Latn-ME"/>
              </w:rPr>
              <w:t>1</w:t>
            </w:r>
          </w:p>
        </w:tc>
        <w:tc>
          <w:tcPr>
            <w:tcW w:w="1134" w:type="dxa"/>
            <w:tcBorders>
              <w:top w:val="nil"/>
              <w:left w:val="single" w:sz="4" w:space="0" w:color="000000"/>
              <w:bottom w:val="single" w:sz="4" w:space="0" w:color="000000"/>
              <w:right w:val="single" w:sz="4" w:space="0" w:color="000000"/>
            </w:tcBorders>
            <w:vAlign w:val="center"/>
            <w:hideMark/>
          </w:tcPr>
          <w:p w14:paraId="55AA8E10"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85,4</w:t>
            </w:r>
          </w:p>
        </w:tc>
        <w:tc>
          <w:tcPr>
            <w:tcW w:w="1452" w:type="dxa"/>
            <w:tcBorders>
              <w:top w:val="nil"/>
              <w:left w:val="single" w:sz="4" w:space="0" w:color="000000"/>
              <w:bottom w:val="single" w:sz="4" w:space="0" w:color="000000"/>
              <w:right w:val="single" w:sz="4" w:space="0" w:color="000000"/>
            </w:tcBorders>
            <w:vAlign w:val="center"/>
            <w:hideMark/>
          </w:tcPr>
          <w:p w14:paraId="0B18E2C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-0,42</w:t>
            </w:r>
          </w:p>
        </w:tc>
      </w:tr>
      <w:tr w:rsidR="00490E2B" w:rsidRPr="00D95F2B" w14:paraId="53E3EFA0" w14:textId="77777777" w:rsidTr="00086AEB">
        <w:trPr>
          <w:trHeight w:val="427"/>
        </w:trPr>
        <w:tc>
          <w:tcPr>
            <w:tcW w:w="2412" w:type="dxa"/>
            <w:tcBorders>
              <w:top w:val="single" w:sz="4" w:space="0" w:color="000000"/>
              <w:left w:val="single" w:sz="4" w:space="0" w:color="000000"/>
              <w:bottom w:val="single" w:sz="4" w:space="0" w:color="000000"/>
              <w:right w:val="nil"/>
            </w:tcBorders>
            <w:vAlign w:val="center"/>
            <w:hideMark/>
          </w:tcPr>
          <w:p w14:paraId="25F09FB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Insulin glargin</w:t>
            </w:r>
            <w:r w:rsidRPr="00D95F2B">
              <w:rPr>
                <w:sz w:val="20"/>
                <w:szCs w:val="20"/>
                <w:vertAlign w:val="superscript"/>
                <w:lang w:val="sr-Latn-ME"/>
              </w:rPr>
              <w:t>4</w:t>
            </w:r>
          </w:p>
        </w:tc>
        <w:tc>
          <w:tcPr>
            <w:tcW w:w="710" w:type="dxa"/>
            <w:tcBorders>
              <w:top w:val="single" w:sz="4" w:space="0" w:color="000000"/>
              <w:left w:val="nil"/>
              <w:bottom w:val="single" w:sz="4" w:space="0" w:color="000000"/>
              <w:right w:val="nil"/>
            </w:tcBorders>
            <w:vAlign w:val="center"/>
            <w:hideMark/>
          </w:tcPr>
          <w:p w14:paraId="1B2D1065"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232</w:t>
            </w:r>
          </w:p>
        </w:tc>
        <w:tc>
          <w:tcPr>
            <w:tcW w:w="1275" w:type="dxa"/>
            <w:tcBorders>
              <w:top w:val="single" w:sz="4" w:space="0" w:color="000000"/>
              <w:left w:val="nil"/>
              <w:bottom w:val="single" w:sz="4" w:space="0" w:color="000000"/>
              <w:right w:val="nil"/>
            </w:tcBorders>
            <w:vAlign w:val="center"/>
            <w:hideMark/>
          </w:tcPr>
          <w:p w14:paraId="2ADABA66"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8,1</w:t>
            </w:r>
          </w:p>
        </w:tc>
        <w:tc>
          <w:tcPr>
            <w:tcW w:w="1560" w:type="dxa"/>
            <w:tcBorders>
              <w:top w:val="single" w:sz="4" w:space="0" w:color="000000"/>
              <w:left w:val="nil"/>
              <w:bottom w:val="single" w:sz="4" w:space="0" w:color="000000"/>
              <w:right w:val="nil"/>
            </w:tcBorders>
            <w:vAlign w:val="center"/>
            <w:hideMark/>
          </w:tcPr>
          <w:p w14:paraId="242DAE61"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-1,09</w:t>
            </w:r>
          </w:p>
        </w:tc>
        <w:tc>
          <w:tcPr>
            <w:tcW w:w="1417" w:type="dxa"/>
            <w:tcBorders>
              <w:top w:val="single" w:sz="4" w:space="0" w:color="000000"/>
              <w:left w:val="nil"/>
              <w:bottom w:val="single" w:sz="4" w:space="0" w:color="000000"/>
              <w:right w:val="nil"/>
            </w:tcBorders>
            <w:vAlign w:val="center"/>
            <w:hideMark/>
          </w:tcPr>
          <w:p w14:paraId="0787721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45,8</w:t>
            </w:r>
            <w:r w:rsidRPr="00D95F2B">
              <w:rPr>
                <w:sz w:val="20"/>
                <w:szCs w:val="20"/>
                <w:vertAlign w:val="superscript"/>
                <w:lang w:val="sr-Latn-ME"/>
              </w:rPr>
              <w:t>1</w:t>
            </w:r>
          </w:p>
        </w:tc>
        <w:tc>
          <w:tcPr>
            <w:tcW w:w="1134" w:type="dxa"/>
            <w:tcBorders>
              <w:top w:val="single" w:sz="4" w:space="0" w:color="000000"/>
              <w:left w:val="nil"/>
              <w:bottom w:val="single" w:sz="4" w:space="0" w:color="000000"/>
              <w:right w:val="nil"/>
            </w:tcBorders>
            <w:vAlign w:val="center"/>
            <w:hideMark/>
          </w:tcPr>
          <w:p w14:paraId="7231A92F"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85,2</w:t>
            </w:r>
          </w:p>
        </w:tc>
        <w:tc>
          <w:tcPr>
            <w:tcW w:w="1452" w:type="dxa"/>
            <w:tcBorders>
              <w:top w:val="single" w:sz="4" w:space="0" w:color="000000"/>
              <w:left w:val="nil"/>
              <w:bottom w:val="single" w:sz="4" w:space="0" w:color="000000"/>
              <w:right w:val="single" w:sz="4" w:space="0" w:color="000000"/>
            </w:tcBorders>
            <w:vAlign w:val="center"/>
            <w:hideMark/>
          </w:tcPr>
          <w:p w14:paraId="76346A6E" w14:textId="77777777" w:rsidR="00490E2B" w:rsidRPr="00D95F2B" w:rsidRDefault="00490E2B" w:rsidP="00490E2B">
            <w:pPr>
              <w:tabs>
                <w:tab w:val="left" w:pos="612"/>
                <w:tab w:val="center" w:pos="4536"/>
                <w:tab w:val="right" w:pos="9072"/>
              </w:tabs>
              <w:rPr>
                <w:sz w:val="20"/>
                <w:szCs w:val="20"/>
                <w:lang w:val="sr-Latn-ME"/>
              </w:rPr>
            </w:pPr>
            <w:r w:rsidRPr="00D95F2B">
              <w:rPr>
                <w:sz w:val="20"/>
                <w:szCs w:val="20"/>
                <w:lang w:val="sr-Latn-ME"/>
              </w:rPr>
              <w:t>1,62</w:t>
            </w:r>
          </w:p>
        </w:tc>
      </w:tr>
      <w:tr w:rsidR="00D523A9" w:rsidRPr="00D95F2B" w14:paraId="6878BEEE" w14:textId="77777777" w:rsidTr="00086AEB">
        <w:trPr>
          <w:trHeight w:val="433"/>
        </w:trPr>
        <w:tc>
          <w:tcPr>
            <w:tcW w:w="9960" w:type="dxa"/>
            <w:gridSpan w:val="7"/>
            <w:tcBorders>
              <w:top w:val="single" w:sz="4" w:space="0" w:color="000000"/>
              <w:left w:val="single" w:sz="4" w:space="0" w:color="000000"/>
              <w:bottom w:val="single" w:sz="4" w:space="0" w:color="000000"/>
              <w:right w:val="single" w:sz="4" w:space="0" w:color="000000"/>
            </w:tcBorders>
            <w:vAlign w:val="center"/>
          </w:tcPr>
          <w:p w14:paraId="6A6CBC17" w14:textId="0C6CC8A1" w:rsidR="00D523A9" w:rsidRPr="00D95F2B" w:rsidRDefault="00D523A9" w:rsidP="00490E2B">
            <w:pPr>
              <w:tabs>
                <w:tab w:val="left" w:pos="612"/>
                <w:tab w:val="center" w:pos="4536"/>
                <w:tab w:val="right" w:pos="9072"/>
              </w:tabs>
              <w:rPr>
                <w:sz w:val="20"/>
                <w:szCs w:val="20"/>
                <w:lang w:val="sr-Latn-ME"/>
              </w:rPr>
            </w:pPr>
            <w:r w:rsidRPr="00D95F2B">
              <w:rPr>
                <w:b/>
                <w:bCs/>
                <w:i/>
                <w:iCs/>
                <w:sz w:val="20"/>
                <w:szCs w:val="20"/>
                <w:lang w:val="sr-Latn-ME"/>
              </w:rPr>
              <w:t>Dodatak inhibitoru SGLT2</w:t>
            </w:r>
            <w:r w:rsidRPr="00D95F2B">
              <w:rPr>
                <w:b/>
                <w:bCs/>
                <w:i/>
                <w:sz w:val="20"/>
                <w:szCs w:val="20"/>
                <w:vertAlign w:val="superscript"/>
                <w:lang w:val="sr-Latn-ME"/>
              </w:rPr>
              <w:t>5</w:t>
            </w:r>
            <w:r w:rsidRPr="00D95F2B">
              <w:rPr>
                <w:b/>
                <w:bCs/>
                <w:i/>
                <w:iCs/>
                <w:sz w:val="20"/>
                <w:szCs w:val="20"/>
                <w:lang w:val="sr-Latn-ME"/>
              </w:rPr>
              <w:t xml:space="preserve"> ± metforminu (≥</w:t>
            </w:r>
            <w:r w:rsidR="00C71308" w:rsidRPr="00D95F2B">
              <w:rPr>
                <w:b/>
                <w:bCs/>
                <w:i/>
                <w:iCs/>
                <w:sz w:val="20"/>
                <w:szCs w:val="20"/>
                <w:lang w:val="sr-Latn-ME"/>
              </w:rPr>
              <w:t xml:space="preserve"> </w:t>
            </w:r>
            <w:r w:rsidRPr="00D95F2B">
              <w:rPr>
                <w:b/>
                <w:bCs/>
                <w:i/>
                <w:iCs/>
                <w:sz w:val="20"/>
                <w:szCs w:val="20"/>
                <w:lang w:val="sr-Latn-ME"/>
              </w:rPr>
              <w:t>1500 mg/dan)</w:t>
            </w:r>
          </w:p>
        </w:tc>
      </w:tr>
      <w:tr w:rsidR="00A40DAB" w:rsidRPr="00D95F2B" w14:paraId="1E17472A" w14:textId="77777777" w:rsidTr="00086AEB">
        <w:trPr>
          <w:trHeight w:val="425"/>
        </w:trPr>
        <w:tc>
          <w:tcPr>
            <w:tcW w:w="2412" w:type="dxa"/>
            <w:tcBorders>
              <w:top w:val="single" w:sz="4" w:space="0" w:color="000000"/>
              <w:left w:val="single" w:sz="4" w:space="0" w:color="000000"/>
              <w:bottom w:val="single" w:sz="4" w:space="0" w:color="000000"/>
              <w:right w:val="nil"/>
            </w:tcBorders>
            <w:vAlign w:val="center"/>
          </w:tcPr>
          <w:p w14:paraId="7B41A4F9"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Liraglutid 1,8 mg</w:t>
            </w:r>
          </w:p>
        </w:tc>
        <w:tc>
          <w:tcPr>
            <w:tcW w:w="710" w:type="dxa"/>
            <w:tcBorders>
              <w:top w:val="single" w:sz="4" w:space="0" w:color="000000"/>
              <w:left w:val="nil"/>
              <w:bottom w:val="single" w:sz="4" w:space="0" w:color="000000"/>
              <w:right w:val="nil"/>
            </w:tcBorders>
            <w:vAlign w:val="center"/>
          </w:tcPr>
          <w:p w14:paraId="2062CF9B"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203</w:t>
            </w:r>
          </w:p>
        </w:tc>
        <w:tc>
          <w:tcPr>
            <w:tcW w:w="1275" w:type="dxa"/>
            <w:tcBorders>
              <w:top w:val="single" w:sz="4" w:space="0" w:color="000000"/>
              <w:left w:val="nil"/>
              <w:bottom w:val="single" w:sz="4" w:space="0" w:color="000000"/>
              <w:right w:val="nil"/>
            </w:tcBorders>
            <w:vAlign w:val="center"/>
          </w:tcPr>
          <w:p w14:paraId="09C33D8F"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8,00</w:t>
            </w:r>
          </w:p>
        </w:tc>
        <w:tc>
          <w:tcPr>
            <w:tcW w:w="1560" w:type="dxa"/>
            <w:tcBorders>
              <w:top w:val="single" w:sz="4" w:space="0" w:color="000000"/>
              <w:left w:val="nil"/>
              <w:bottom w:val="single" w:sz="4" w:space="0" w:color="000000"/>
              <w:right w:val="nil"/>
            </w:tcBorders>
            <w:vAlign w:val="center"/>
          </w:tcPr>
          <w:p w14:paraId="221D5F08"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-1,02***</w:t>
            </w:r>
          </w:p>
        </w:tc>
        <w:tc>
          <w:tcPr>
            <w:tcW w:w="1417" w:type="dxa"/>
            <w:tcBorders>
              <w:top w:val="single" w:sz="4" w:space="0" w:color="000000"/>
              <w:left w:val="nil"/>
              <w:bottom w:val="single" w:sz="4" w:space="0" w:color="000000"/>
              <w:right w:val="nil"/>
            </w:tcBorders>
            <w:vAlign w:val="center"/>
          </w:tcPr>
          <w:p w14:paraId="5BD385B4"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54,8***</w:t>
            </w:r>
          </w:p>
        </w:tc>
        <w:tc>
          <w:tcPr>
            <w:tcW w:w="1134" w:type="dxa"/>
            <w:tcBorders>
              <w:top w:val="single" w:sz="4" w:space="0" w:color="000000"/>
              <w:left w:val="nil"/>
              <w:bottom w:val="single" w:sz="4" w:space="0" w:color="000000"/>
              <w:right w:val="nil"/>
            </w:tcBorders>
            <w:vAlign w:val="center"/>
          </w:tcPr>
          <w:p w14:paraId="5CBD3563"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91,0</w:t>
            </w:r>
          </w:p>
        </w:tc>
        <w:tc>
          <w:tcPr>
            <w:tcW w:w="1452" w:type="dxa"/>
            <w:tcBorders>
              <w:top w:val="single" w:sz="4" w:space="0" w:color="000000"/>
              <w:left w:val="nil"/>
              <w:bottom w:val="single" w:sz="4" w:space="0" w:color="000000"/>
              <w:right w:val="single" w:sz="4" w:space="0" w:color="000000"/>
            </w:tcBorders>
            <w:vAlign w:val="center"/>
          </w:tcPr>
          <w:p w14:paraId="61B5FF7D"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-2,92</w:t>
            </w:r>
          </w:p>
        </w:tc>
      </w:tr>
      <w:tr w:rsidR="00A40DAB" w:rsidRPr="00D95F2B" w14:paraId="372A66D9" w14:textId="77777777" w:rsidTr="00086AEB">
        <w:trPr>
          <w:trHeight w:val="432"/>
        </w:trPr>
        <w:tc>
          <w:tcPr>
            <w:tcW w:w="2412" w:type="dxa"/>
            <w:tcBorders>
              <w:top w:val="single" w:sz="4" w:space="0" w:color="000000"/>
              <w:left w:val="single" w:sz="4" w:space="0" w:color="000000"/>
              <w:bottom w:val="single" w:sz="4" w:space="0" w:color="000000"/>
              <w:right w:val="nil"/>
            </w:tcBorders>
            <w:vAlign w:val="center"/>
          </w:tcPr>
          <w:p w14:paraId="7E11C72F"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Placebo</w:t>
            </w:r>
          </w:p>
        </w:tc>
        <w:tc>
          <w:tcPr>
            <w:tcW w:w="710" w:type="dxa"/>
            <w:tcBorders>
              <w:top w:val="single" w:sz="4" w:space="0" w:color="000000"/>
              <w:left w:val="nil"/>
              <w:bottom w:val="single" w:sz="4" w:space="0" w:color="000000"/>
              <w:right w:val="nil"/>
            </w:tcBorders>
            <w:vAlign w:val="center"/>
          </w:tcPr>
          <w:p w14:paraId="0B13475F"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100</w:t>
            </w:r>
          </w:p>
        </w:tc>
        <w:tc>
          <w:tcPr>
            <w:tcW w:w="1275" w:type="dxa"/>
            <w:tcBorders>
              <w:top w:val="single" w:sz="4" w:space="0" w:color="000000"/>
              <w:left w:val="nil"/>
              <w:bottom w:val="single" w:sz="4" w:space="0" w:color="000000"/>
              <w:right w:val="nil"/>
            </w:tcBorders>
            <w:vAlign w:val="center"/>
          </w:tcPr>
          <w:p w14:paraId="7DA5AD32"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7,96</w:t>
            </w:r>
          </w:p>
        </w:tc>
        <w:tc>
          <w:tcPr>
            <w:tcW w:w="1560" w:type="dxa"/>
            <w:tcBorders>
              <w:top w:val="single" w:sz="4" w:space="0" w:color="000000"/>
              <w:left w:val="nil"/>
              <w:bottom w:val="single" w:sz="4" w:space="0" w:color="000000"/>
              <w:right w:val="nil"/>
            </w:tcBorders>
            <w:vAlign w:val="center"/>
          </w:tcPr>
          <w:p w14:paraId="57F26560"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-0,28</w:t>
            </w:r>
          </w:p>
        </w:tc>
        <w:tc>
          <w:tcPr>
            <w:tcW w:w="1417" w:type="dxa"/>
            <w:tcBorders>
              <w:top w:val="single" w:sz="4" w:space="0" w:color="000000"/>
              <w:left w:val="nil"/>
              <w:bottom w:val="single" w:sz="4" w:space="0" w:color="000000"/>
              <w:right w:val="nil"/>
            </w:tcBorders>
            <w:vAlign w:val="center"/>
          </w:tcPr>
          <w:p w14:paraId="09280ACA"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13,9</w:t>
            </w:r>
          </w:p>
        </w:tc>
        <w:tc>
          <w:tcPr>
            <w:tcW w:w="1134" w:type="dxa"/>
            <w:tcBorders>
              <w:top w:val="single" w:sz="4" w:space="0" w:color="000000"/>
              <w:left w:val="nil"/>
              <w:bottom w:val="single" w:sz="4" w:space="0" w:color="000000"/>
              <w:right w:val="nil"/>
            </w:tcBorders>
            <w:vAlign w:val="center"/>
          </w:tcPr>
          <w:p w14:paraId="6032A4F9"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91,4</w:t>
            </w:r>
          </w:p>
        </w:tc>
        <w:tc>
          <w:tcPr>
            <w:tcW w:w="1452" w:type="dxa"/>
            <w:tcBorders>
              <w:top w:val="single" w:sz="4" w:space="0" w:color="000000"/>
              <w:left w:val="nil"/>
              <w:bottom w:val="single" w:sz="4" w:space="0" w:color="000000"/>
              <w:right w:val="single" w:sz="4" w:space="0" w:color="000000"/>
            </w:tcBorders>
            <w:vAlign w:val="center"/>
          </w:tcPr>
          <w:p w14:paraId="11EFCA23" w14:textId="77777777" w:rsidR="00A40DAB" w:rsidRPr="00D95F2B" w:rsidRDefault="00A40DAB" w:rsidP="00A40DAB">
            <w:pPr>
              <w:tabs>
                <w:tab w:val="left" w:pos="612"/>
                <w:tab w:val="center" w:pos="4536"/>
                <w:tab w:val="right" w:pos="9072"/>
              </w:tabs>
              <w:rPr>
                <w:sz w:val="20"/>
                <w:szCs w:val="20"/>
                <w:lang w:val="sr-Latn-ME"/>
              </w:rPr>
            </w:pPr>
            <w:r w:rsidRPr="00D95F2B">
              <w:rPr>
                <w:sz w:val="20"/>
                <w:szCs w:val="20"/>
                <w:lang w:val="sr-Latn-ME"/>
              </w:rPr>
              <w:t>-2,06</w:t>
            </w:r>
          </w:p>
        </w:tc>
      </w:tr>
    </w:tbl>
    <w:p w14:paraId="70B86D45" w14:textId="7E2C3798" w:rsidR="00490E2B" w:rsidRPr="00D95F2B" w:rsidRDefault="00490E2B" w:rsidP="00720885">
      <w:pPr>
        <w:tabs>
          <w:tab w:val="left" w:pos="540"/>
          <w:tab w:val="left" w:pos="569"/>
        </w:tabs>
        <w:jc w:val="both"/>
        <w:rPr>
          <w:bCs/>
          <w:sz w:val="20"/>
          <w:szCs w:val="20"/>
          <w:lang w:val="sr-Latn-ME"/>
        </w:rPr>
      </w:pPr>
      <w:r w:rsidRPr="00D95F2B">
        <w:rPr>
          <w:bCs/>
          <w:sz w:val="20"/>
          <w:szCs w:val="20"/>
          <w:lang w:val="sr-Latn-ME"/>
        </w:rPr>
        <w:t>*Superiornost (p˂0,01) u odnosu na aktivni komparator; **Superiornost (p˂0,0001) u odnosu na aktivni komparator;</w:t>
      </w:r>
      <w:r w:rsidR="001A5F43" w:rsidRPr="00D95F2B">
        <w:rPr>
          <w:bCs/>
          <w:sz w:val="20"/>
          <w:szCs w:val="20"/>
          <w:lang w:val="sr-Latn-ME"/>
        </w:rPr>
        <w:t xml:space="preserve"> *** Superiornost (</w:t>
      </w:r>
      <w:r w:rsidR="001A5F43" w:rsidRPr="00D95F2B">
        <w:rPr>
          <w:bCs/>
          <w:iCs/>
          <w:sz w:val="20"/>
          <w:szCs w:val="20"/>
          <w:lang w:val="sr-Latn-ME"/>
        </w:rPr>
        <w:t>p&lt;0.001</w:t>
      </w:r>
      <w:r w:rsidR="001A5F43" w:rsidRPr="00D95F2B">
        <w:rPr>
          <w:bCs/>
          <w:sz w:val="20"/>
          <w:szCs w:val="20"/>
          <w:lang w:val="sr-Latn-ME"/>
        </w:rPr>
        <w:t>) u odnosu na aktivni komparator;</w:t>
      </w:r>
      <w:r w:rsidRPr="00D95F2B">
        <w:rPr>
          <w:bCs/>
          <w:sz w:val="20"/>
          <w:szCs w:val="20"/>
          <w:lang w:val="sr-Latn-ME"/>
        </w:rPr>
        <w:t xml:space="preserve"> </w:t>
      </w:r>
      <w:r w:rsidR="00A927E1" w:rsidRPr="00D95F2B">
        <w:rPr>
          <w:sz w:val="20"/>
          <w:szCs w:val="20"/>
          <w:vertAlign w:val="superscript"/>
          <w:lang w:val="sr-Latn-ME"/>
        </w:rPr>
        <w:t>†</w:t>
      </w:r>
      <w:r w:rsidRPr="00D95F2B">
        <w:rPr>
          <w:bCs/>
          <w:sz w:val="20"/>
          <w:szCs w:val="20"/>
          <w:lang w:val="sr-Latn-ME"/>
        </w:rPr>
        <w:t>Nije pokazao inferiornost (p˂0,0001) u odnosu na aktivni komparator</w:t>
      </w:r>
    </w:p>
    <w:p w14:paraId="6E44D31E" w14:textId="77777777" w:rsidR="00490E2B" w:rsidRPr="00D95F2B" w:rsidRDefault="00490E2B" w:rsidP="00720885">
      <w:pPr>
        <w:tabs>
          <w:tab w:val="left" w:pos="540"/>
          <w:tab w:val="left" w:pos="569"/>
        </w:tabs>
        <w:jc w:val="both"/>
        <w:rPr>
          <w:bCs/>
          <w:sz w:val="20"/>
          <w:szCs w:val="20"/>
          <w:lang w:val="sr-Latn-ME"/>
        </w:rPr>
      </w:pPr>
      <w:r w:rsidRPr="00D95F2B">
        <w:rPr>
          <w:bCs/>
          <w:sz w:val="20"/>
          <w:szCs w:val="20"/>
          <w:vertAlign w:val="superscript"/>
          <w:lang w:val="sr-Latn-ME"/>
        </w:rPr>
        <w:t>1</w:t>
      </w:r>
      <w:r w:rsidRPr="00D95F2B">
        <w:rPr>
          <w:bCs/>
          <w:sz w:val="20"/>
          <w:szCs w:val="20"/>
          <w:lang w:val="sr-Latn-ME"/>
        </w:rPr>
        <w:t xml:space="preserve">svi pacijenti; </w:t>
      </w:r>
      <w:r w:rsidRPr="00D95F2B">
        <w:rPr>
          <w:bCs/>
          <w:sz w:val="20"/>
          <w:szCs w:val="20"/>
          <w:vertAlign w:val="superscript"/>
          <w:lang w:val="sr-Latn-ME"/>
        </w:rPr>
        <w:t>2</w:t>
      </w:r>
      <w:r w:rsidRPr="00D95F2B">
        <w:rPr>
          <w:bCs/>
          <w:sz w:val="20"/>
          <w:szCs w:val="20"/>
          <w:lang w:val="sr-Latn-ME"/>
        </w:rPr>
        <w:t xml:space="preserve">prethodna monoterapija oralnim antidijabeticima; </w:t>
      </w:r>
      <w:r w:rsidRPr="00D95F2B">
        <w:rPr>
          <w:bCs/>
          <w:sz w:val="20"/>
          <w:szCs w:val="20"/>
          <w:vertAlign w:val="superscript"/>
          <w:lang w:val="sr-Latn-ME"/>
        </w:rPr>
        <w:t>3</w:t>
      </w:r>
      <w:r w:rsidRPr="00D95F2B">
        <w:rPr>
          <w:bCs/>
          <w:sz w:val="20"/>
          <w:szCs w:val="20"/>
          <w:lang w:val="sr-Latn-ME"/>
        </w:rPr>
        <w:t>pacijenti koji su prethodno bili na dijeti</w:t>
      </w:r>
    </w:p>
    <w:p w14:paraId="61642B32" w14:textId="18A180C8" w:rsidR="001A5F43" w:rsidRPr="00D95F2B" w:rsidRDefault="001A5F43" w:rsidP="00720885">
      <w:pPr>
        <w:tabs>
          <w:tab w:val="left" w:pos="540"/>
          <w:tab w:val="left" w:pos="569"/>
        </w:tabs>
        <w:jc w:val="both"/>
        <w:rPr>
          <w:bCs/>
          <w:sz w:val="20"/>
          <w:szCs w:val="20"/>
          <w:lang w:val="sr-Latn-ME"/>
        </w:rPr>
      </w:pPr>
      <w:r w:rsidRPr="00D95F2B">
        <w:rPr>
          <w:bCs/>
          <w:sz w:val="20"/>
          <w:szCs w:val="20"/>
          <w:vertAlign w:val="superscript"/>
          <w:lang w:val="sr-Latn-ME"/>
        </w:rPr>
        <w:t>5</w:t>
      </w:r>
      <w:r w:rsidRPr="00D95F2B">
        <w:rPr>
          <w:bCs/>
          <w:sz w:val="20"/>
          <w:szCs w:val="20"/>
          <w:lang w:val="sr-Latn-ME"/>
        </w:rPr>
        <w:t xml:space="preserve">Lijek </w:t>
      </w:r>
      <w:r w:rsidR="00203EA1" w:rsidRPr="00D95F2B">
        <w:rPr>
          <w:bCs/>
          <w:sz w:val="20"/>
          <w:szCs w:val="20"/>
          <w:lang w:val="sr-Latn-ME"/>
        </w:rPr>
        <w:t>Victoza</w:t>
      </w:r>
      <w:r w:rsidRPr="00D95F2B">
        <w:rPr>
          <w:bCs/>
          <w:sz w:val="20"/>
          <w:szCs w:val="20"/>
          <w:lang w:val="sr-Latn-ME"/>
        </w:rPr>
        <w:t xml:space="preserve"> kao dodatak inhibitoru SGLT2 ispitivan je u svim odobrenim dozama inhibitora SGLT2.</w:t>
      </w:r>
    </w:p>
    <w:p w14:paraId="5AD9FC66" w14:textId="40688F4A" w:rsidR="00490E2B" w:rsidRPr="00D95F2B" w:rsidRDefault="00490E2B" w:rsidP="00720885">
      <w:pPr>
        <w:tabs>
          <w:tab w:val="left" w:pos="540"/>
          <w:tab w:val="left" w:pos="569"/>
        </w:tabs>
        <w:jc w:val="both"/>
        <w:rPr>
          <w:bCs/>
          <w:sz w:val="22"/>
          <w:szCs w:val="22"/>
          <w:lang w:val="sr-Latn-ME"/>
        </w:rPr>
      </w:pPr>
      <w:r w:rsidRPr="00D95F2B">
        <w:rPr>
          <w:bCs/>
          <w:sz w:val="20"/>
          <w:szCs w:val="20"/>
          <w:vertAlign w:val="superscript"/>
          <w:lang w:val="sr-Latn-ME"/>
        </w:rPr>
        <w:t>4</w:t>
      </w:r>
      <w:r w:rsidRPr="00D95F2B">
        <w:rPr>
          <w:bCs/>
          <w:sz w:val="20"/>
          <w:szCs w:val="20"/>
          <w:lang w:val="sr-Latn-ME"/>
        </w:rPr>
        <w:t>Doziranje insulin glargina je otvorenog karaktera i prim</w:t>
      </w:r>
      <w:r w:rsidR="005D7D61" w:rsidRPr="00D95F2B">
        <w:rPr>
          <w:bCs/>
          <w:sz w:val="20"/>
          <w:szCs w:val="20"/>
          <w:lang w:val="sr-Latn-ME"/>
        </w:rPr>
        <w:t>j</w:t>
      </w:r>
      <w:r w:rsidRPr="00D95F2B">
        <w:rPr>
          <w:bCs/>
          <w:sz w:val="20"/>
          <w:szCs w:val="20"/>
          <w:lang w:val="sr-Latn-ME"/>
        </w:rPr>
        <w:t>enjivano je u skladu sa sm</w:t>
      </w:r>
      <w:r w:rsidR="00C71308" w:rsidRPr="00D95F2B">
        <w:rPr>
          <w:bCs/>
          <w:sz w:val="20"/>
          <w:szCs w:val="20"/>
          <w:lang w:val="sr-Latn-ME"/>
        </w:rPr>
        <w:t>j</w:t>
      </w:r>
      <w:r w:rsidRPr="00D95F2B">
        <w:rPr>
          <w:bCs/>
          <w:sz w:val="20"/>
          <w:szCs w:val="20"/>
          <w:lang w:val="sr-Latn-ME"/>
        </w:rPr>
        <w:t>ernicama za titriranje insulin glargina. Titriranje doze insulin glargina je vršio sam pacijent pošto je dobio uputstva od istraživača</w:t>
      </w:r>
      <w:r w:rsidR="00116A7B" w:rsidRPr="00D95F2B">
        <w:rPr>
          <w:bCs/>
          <w:sz w:val="20"/>
          <w:szCs w:val="20"/>
          <w:lang w:val="sr-Latn-ME"/>
        </w:rPr>
        <w:t>:</w:t>
      </w:r>
    </w:p>
    <w:p w14:paraId="77B4A9B8" w14:textId="77777777" w:rsidR="00490E2B" w:rsidRPr="00D95F2B" w:rsidRDefault="00490E2B" w:rsidP="00720885">
      <w:pPr>
        <w:tabs>
          <w:tab w:val="left" w:pos="540"/>
          <w:tab w:val="left" w:pos="569"/>
        </w:tabs>
        <w:jc w:val="both"/>
        <w:rPr>
          <w:bCs/>
          <w:sz w:val="22"/>
          <w:szCs w:val="22"/>
          <w:lang w:val="sr-Latn-ME"/>
        </w:rPr>
      </w:pPr>
    </w:p>
    <w:p w14:paraId="68E001C9" w14:textId="77777777" w:rsidR="00490E2B" w:rsidRPr="00D95F2B" w:rsidRDefault="00490E2B">
      <w:pPr>
        <w:tabs>
          <w:tab w:val="left" w:pos="612"/>
          <w:tab w:val="center" w:pos="4536"/>
          <w:tab w:val="right" w:pos="9072"/>
        </w:tabs>
        <w:jc w:val="both"/>
        <w:rPr>
          <w:b/>
          <w:sz w:val="22"/>
          <w:szCs w:val="22"/>
          <w:lang w:val="sr-Latn-ME"/>
        </w:rPr>
      </w:pPr>
      <w:r w:rsidRPr="00D95F2B">
        <w:rPr>
          <w:b/>
          <w:sz w:val="22"/>
          <w:szCs w:val="22"/>
          <w:lang w:val="sr-Latn-ME"/>
        </w:rPr>
        <w:t>Smjernice za titriranje insulin glargina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8"/>
        <w:gridCol w:w="4979"/>
      </w:tblGrid>
      <w:tr w:rsidR="00490E2B" w:rsidRPr="00D95F2B" w14:paraId="79419815" w14:textId="77777777" w:rsidTr="00490E2B">
        <w:tc>
          <w:tcPr>
            <w:tcW w:w="4978" w:type="dxa"/>
            <w:tcBorders>
              <w:top w:val="single" w:sz="4" w:space="0" w:color="000000"/>
              <w:left w:val="single" w:sz="4" w:space="0" w:color="000000"/>
              <w:bottom w:val="single" w:sz="4" w:space="0" w:color="000000"/>
              <w:right w:val="single" w:sz="4" w:space="0" w:color="000000"/>
            </w:tcBorders>
            <w:hideMark/>
          </w:tcPr>
          <w:p w14:paraId="74B1654A" w14:textId="2DF262B9"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Samo-izmjerene vrijednosti glikemije na</w:t>
            </w:r>
            <w:r w:rsidR="00632FBD" w:rsidRPr="00D95F2B">
              <w:rPr>
                <w:sz w:val="20"/>
                <w:szCs w:val="22"/>
                <w:lang w:val="sr-Latn-ME"/>
              </w:rPr>
              <w:t>ta</w:t>
            </w:r>
            <w:r w:rsidRPr="00D95F2B">
              <w:rPr>
                <w:sz w:val="20"/>
                <w:szCs w:val="22"/>
                <w:lang w:val="sr-Latn-ME"/>
              </w:rPr>
              <w:t>šte</w:t>
            </w:r>
          </w:p>
        </w:tc>
        <w:tc>
          <w:tcPr>
            <w:tcW w:w="4979" w:type="dxa"/>
            <w:tcBorders>
              <w:top w:val="single" w:sz="4" w:space="0" w:color="000000"/>
              <w:left w:val="single" w:sz="4" w:space="0" w:color="000000"/>
              <w:bottom w:val="single" w:sz="4" w:space="0" w:color="000000"/>
              <w:right w:val="single" w:sz="4" w:space="0" w:color="000000"/>
            </w:tcBorders>
            <w:hideMark/>
          </w:tcPr>
          <w:p w14:paraId="5487CFF4"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Povećanje doze insulin glargina (i.j.)</w:t>
            </w:r>
          </w:p>
        </w:tc>
      </w:tr>
      <w:tr w:rsidR="00490E2B" w:rsidRPr="00D95F2B" w14:paraId="1A6D9826" w14:textId="77777777" w:rsidTr="00490E2B">
        <w:tc>
          <w:tcPr>
            <w:tcW w:w="4978" w:type="dxa"/>
            <w:tcBorders>
              <w:top w:val="single" w:sz="4" w:space="0" w:color="000000"/>
              <w:left w:val="single" w:sz="4" w:space="0" w:color="000000"/>
              <w:bottom w:val="single" w:sz="4" w:space="0" w:color="000000"/>
              <w:right w:val="single" w:sz="4" w:space="0" w:color="000000"/>
            </w:tcBorders>
            <w:hideMark/>
          </w:tcPr>
          <w:p w14:paraId="647452AA"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≤5,5 mmol/l (≤100 mg/dl) Cilj</w:t>
            </w:r>
          </w:p>
        </w:tc>
        <w:tc>
          <w:tcPr>
            <w:tcW w:w="4979" w:type="dxa"/>
            <w:tcBorders>
              <w:top w:val="single" w:sz="4" w:space="0" w:color="000000"/>
              <w:left w:val="single" w:sz="4" w:space="0" w:color="000000"/>
              <w:bottom w:val="single" w:sz="4" w:space="0" w:color="000000"/>
              <w:right w:val="single" w:sz="4" w:space="0" w:color="000000"/>
            </w:tcBorders>
            <w:hideMark/>
          </w:tcPr>
          <w:p w14:paraId="5D943978"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Doza se ne podešava</w:t>
            </w:r>
          </w:p>
        </w:tc>
      </w:tr>
      <w:tr w:rsidR="00490E2B" w:rsidRPr="00D95F2B" w14:paraId="1781FCE1" w14:textId="77777777" w:rsidTr="00490E2B">
        <w:tc>
          <w:tcPr>
            <w:tcW w:w="4978" w:type="dxa"/>
            <w:tcBorders>
              <w:top w:val="single" w:sz="4" w:space="0" w:color="000000"/>
              <w:left w:val="single" w:sz="4" w:space="0" w:color="000000"/>
              <w:bottom w:val="single" w:sz="4" w:space="0" w:color="000000"/>
              <w:right w:val="single" w:sz="4" w:space="0" w:color="000000"/>
            </w:tcBorders>
            <w:hideMark/>
          </w:tcPr>
          <w:p w14:paraId="79729E54"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&gt;5,5 i &lt;6,7 mmol/l (&gt;100 i &lt;120 mg/dl)</w:t>
            </w:r>
          </w:p>
        </w:tc>
        <w:tc>
          <w:tcPr>
            <w:tcW w:w="4979" w:type="dxa"/>
            <w:tcBorders>
              <w:top w:val="single" w:sz="4" w:space="0" w:color="000000"/>
              <w:left w:val="single" w:sz="4" w:space="0" w:color="000000"/>
              <w:bottom w:val="single" w:sz="4" w:space="0" w:color="000000"/>
              <w:right w:val="single" w:sz="4" w:space="0" w:color="000000"/>
            </w:tcBorders>
            <w:hideMark/>
          </w:tcPr>
          <w:p w14:paraId="3D30E305"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0 – 2 i.j.</w:t>
            </w:r>
            <w:r w:rsidRPr="00D95F2B">
              <w:rPr>
                <w:b/>
                <w:sz w:val="20"/>
                <w:szCs w:val="22"/>
                <w:vertAlign w:val="superscript"/>
                <w:lang w:val="sr-Latn-ME"/>
              </w:rPr>
              <w:t>a</w:t>
            </w:r>
          </w:p>
        </w:tc>
      </w:tr>
      <w:tr w:rsidR="00490E2B" w:rsidRPr="00D95F2B" w14:paraId="1C80196E" w14:textId="77777777" w:rsidTr="00490E2B">
        <w:tc>
          <w:tcPr>
            <w:tcW w:w="4978" w:type="dxa"/>
            <w:tcBorders>
              <w:top w:val="single" w:sz="4" w:space="0" w:color="000000"/>
              <w:left w:val="single" w:sz="4" w:space="0" w:color="000000"/>
              <w:bottom w:val="single" w:sz="4" w:space="0" w:color="000000"/>
              <w:right w:val="single" w:sz="4" w:space="0" w:color="000000"/>
            </w:tcBorders>
            <w:hideMark/>
          </w:tcPr>
          <w:p w14:paraId="70CEF0D8"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≥6,7 mmol/l (≥120 mg/dl)</w:t>
            </w:r>
          </w:p>
        </w:tc>
        <w:tc>
          <w:tcPr>
            <w:tcW w:w="4979" w:type="dxa"/>
            <w:tcBorders>
              <w:top w:val="single" w:sz="4" w:space="0" w:color="000000"/>
              <w:left w:val="single" w:sz="4" w:space="0" w:color="000000"/>
              <w:bottom w:val="single" w:sz="4" w:space="0" w:color="000000"/>
              <w:right w:val="single" w:sz="4" w:space="0" w:color="000000"/>
            </w:tcBorders>
            <w:hideMark/>
          </w:tcPr>
          <w:p w14:paraId="4DFA75A5" w14:textId="77777777" w:rsidR="00490E2B" w:rsidRPr="00D95F2B" w:rsidRDefault="00490E2B">
            <w:pPr>
              <w:tabs>
                <w:tab w:val="left" w:pos="612"/>
                <w:tab w:val="center" w:pos="4536"/>
                <w:tab w:val="right" w:pos="9072"/>
              </w:tabs>
              <w:jc w:val="both"/>
              <w:rPr>
                <w:sz w:val="20"/>
                <w:szCs w:val="22"/>
                <w:lang w:val="sr-Latn-ME"/>
              </w:rPr>
            </w:pPr>
            <w:r w:rsidRPr="00D95F2B">
              <w:rPr>
                <w:sz w:val="20"/>
                <w:szCs w:val="22"/>
                <w:lang w:val="sr-Latn-ME"/>
              </w:rPr>
              <w:t>2 i.j.</w:t>
            </w:r>
          </w:p>
        </w:tc>
      </w:tr>
    </w:tbl>
    <w:p w14:paraId="795C464F" w14:textId="77777777" w:rsidR="00490E2B" w:rsidRPr="00D95F2B" w:rsidRDefault="00490E2B">
      <w:pPr>
        <w:tabs>
          <w:tab w:val="left" w:pos="612"/>
          <w:tab w:val="center" w:pos="4536"/>
          <w:tab w:val="right" w:pos="9072"/>
        </w:tabs>
        <w:jc w:val="both"/>
        <w:rPr>
          <w:sz w:val="22"/>
          <w:szCs w:val="22"/>
          <w:lang w:val="sr-Latn-ME"/>
        </w:rPr>
      </w:pPr>
      <w:r w:rsidRPr="00D95F2B">
        <w:rPr>
          <w:sz w:val="20"/>
          <w:szCs w:val="22"/>
          <w:vertAlign w:val="superscript"/>
          <w:lang w:val="sr-Latn-ME"/>
        </w:rPr>
        <w:t>a</w:t>
      </w:r>
      <w:r w:rsidRPr="00D95F2B">
        <w:rPr>
          <w:sz w:val="20"/>
          <w:szCs w:val="22"/>
          <w:lang w:val="sr-Latn-ME"/>
        </w:rPr>
        <w:t xml:space="preserve"> U skladu sa preporukom istraživača prilagođenom za svakog pojedinog ispitanika prilikom prethodne posjete, na primjer u zavisnosti od toga da li je pacijent imao hipoglikemijsku epizodu.</w:t>
      </w:r>
    </w:p>
    <w:p w14:paraId="64022B20" w14:textId="77777777" w:rsidR="00490E2B" w:rsidRPr="00D95F2B" w:rsidRDefault="00490E2B">
      <w:pPr>
        <w:tabs>
          <w:tab w:val="left" w:pos="612"/>
          <w:tab w:val="center" w:pos="4536"/>
          <w:tab w:val="right" w:pos="9072"/>
        </w:tabs>
        <w:jc w:val="both"/>
        <w:rPr>
          <w:sz w:val="22"/>
          <w:szCs w:val="22"/>
          <w:lang w:val="sr-Latn-ME"/>
        </w:rPr>
      </w:pPr>
    </w:p>
    <w:p w14:paraId="423D5027" w14:textId="77777777" w:rsidR="00490E2B" w:rsidRPr="00D95F2B" w:rsidRDefault="00490E2B">
      <w:pPr>
        <w:tabs>
          <w:tab w:val="left" w:pos="612"/>
          <w:tab w:val="center" w:pos="4536"/>
          <w:tab w:val="right" w:pos="9072"/>
        </w:tabs>
        <w:jc w:val="both"/>
        <w:rPr>
          <w:i/>
          <w:sz w:val="22"/>
          <w:szCs w:val="22"/>
          <w:lang w:val="sr-Latn-ME"/>
        </w:rPr>
      </w:pPr>
      <w:r w:rsidRPr="00D95F2B">
        <w:rPr>
          <w:i/>
          <w:sz w:val="22"/>
          <w:szCs w:val="22"/>
          <w:lang w:val="sr-Latn-ME"/>
        </w:rPr>
        <w:t>Kombinovana terapija sa insulinom</w:t>
      </w:r>
    </w:p>
    <w:p w14:paraId="4538C6BA" w14:textId="390554E4" w:rsidR="00490E2B" w:rsidRPr="00D95F2B" w:rsidRDefault="00490E2B" w:rsidP="00C71308">
      <w:pPr>
        <w:tabs>
          <w:tab w:val="left" w:pos="612"/>
          <w:tab w:val="center" w:pos="4536"/>
          <w:tab w:val="right" w:pos="9072"/>
        </w:tabs>
        <w:jc w:val="both"/>
        <w:rPr>
          <w:sz w:val="22"/>
          <w:szCs w:val="22"/>
          <w:lang w:val="sr-Latn-ME"/>
        </w:rPr>
      </w:pPr>
      <w:r w:rsidRPr="00D95F2B">
        <w:rPr>
          <w:sz w:val="22"/>
          <w:szCs w:val="22"/>
          <w:lang w:val="sr-Latn-ME"/>
        </w:rPr>
        <w:t>U kliničkom ispitivanju koje je trajalo 104 nedjelje, 57% pacijenata sa dijabetesom tip 2 liječenih insulin degludekom u kombinaciji sa metforminom je postiglo ciljani HbA</w:t>
      </w:r>
      <w:r w:rsidRPr="00D95F2B">
        <w:rPr>
          <w:sz w:val="22"/>
          <w:szCs w:val="22"/>
          <w:vertAlign w:val="subscript"/>
          <w:lang w:val="sr-Latn-ME"/>
        </w:rPr>
        <w:t>1c</w:t>
      </w:r>
      <w:r w:rsidRPr="00D95F2B">
        <w:rPr>
          <w:sz w:val="22"/>
          <w:szCs w:val="22"/>
          <w:lang w:val="sr-Latn-ME"/>
        </w:rPr>
        <w:t>&lt;7%</w:t>
      </w:r>
      <w:r w:rsidR="00830D75" w:rsidRPr="00D95F2B">
        <w:rPr>
          <w:sz w:val="22"/>
          <w:szCs w:val="22"/>
          <w:lang w:val="sr-Latn-ME"/>
        </w:rPr>
        <w:t>,</w:t>
      </w:r>
      <w:r w:rsidRPr="00D95F2B">
        <w:rPr>
          <w:sz w:val="22"/>
          <w:szCs w:val="22"/>
          <w:lang w:val="sr-Latn-ME"/>
        </w:rPr>
        <w:t xml:space="preserve"> a ostali pacijenti su nastavili terapiju u otvorenom kliničkom ispitivanju u trajanju od 26 nedjelja uz randomizovano dodavanje liraglutida ili jedne doze insulin asparta (uz najveći obrok). U grupi insulin degludek + liraglutid, doza insulina je smanjena za 20% kako bi se umanjio rizik od hipoglikemije. Dodavanje liraglutida je imalo za rezultat statistički značajno smanjenje HbA</w:t>
      </w:r>
      <w:r w:rsidRPr="00D95F2B">
        <w:rPr>
          <w:sz w:val="22"/>
          <w:szCs w:val="22"/>
          <w:vertAlign w:val="subscript"/>
          <w:lang w:val="sr-Latn-ME"/>
        </w:rPr>
        <w:t>1c</w:t>
      </w:r>
      <w:r w:rsidRPr="00D95F2B">
        <w:rPr>
          <w:sz w:val="22"/>
          <w:szCs w:val="22"/>
          <w:lang w:val="sr-Latn-ME"/>
        </w:rPr>
        <w:t xml:space="preserve"> (-0,73% za liraglutid naspram -0,40% za komparator) i tjelesne mase (-3,03 naspram 0,72 kg).</w:t>
      </w:r>
      <w:r w:rsidR="00830D75" w:rsidRPr="00D95F2B">
        <w:rPr>
          <w:sz w:val="22"/>
          <w:szCs w:val="22"/>
          <w:lang w:val="sr-Latn-ME"/>
        </w:rPr>
        <w:t xml:space="preserve"> </w:t>
      </w:r>
      <w:r w:rsidRPr="00D95F2B">
        <w:rPr>
          <w:sz w:val="22"/>
          <w:szCs w:val="22"/>
          <w:lang w:val="sr-Latn-ME"/>
        </w:rPr>
        <w:t>Stopa hipoglikemijskih epizoda (po izloženosti</w:t>
      </w:r>
      <w:r w:rsidR="00C71308" w:rsidRPr="00D95F2B">
        <w:rPr>
          <w:sz w:val="22"/>
          <w:szCs w:val="22"/>
          <w:lang w:val="sr-Latn-ME"/>
        </w:rPr>
        <w:t xml:space="preserve"> pacijent-godina</w:t>
      </w:r>
      <w:r w:rsidRPr="00D95F2B">
        <w:rPr>
          <w:sz w:val="22"/>
          <w:szCs w:val="22"/>
          <w:lang w:val="sr-Latn-ME"/>
        </w:rPr>
        <w:t>) je bila statistički značajno niža kada se dodavao liraglutid u poređenju sa dodavanjem jedne doze insulin asparta (1,0 naspram 8,15; odnos: 0,13; 95% CI: 0,08 do 0,21).</w:t>
      </w:r>
    </w:p>
    <w:p w14:paraId="2E2CB041" w14:textId="77777777" w:rsidR="00490E2B" w:rsidRPr="00D95F2B" w:rsidRDefault="00490E2B">
      <w:pPr>
        <w:tabs>
          <w:tab w:val="left" w:pos="612"/>
          <w:tab w:val="center" w:pos="4536"/>
          <w:tab w:val="right" w:pos="9072"/>
        </w:tabs>
        <w:jc w:val="both"/>
        <w:rPr>
          <w:sz w:val="22"/>
          <w:szCs w:val="22"/>
          <w:lang w:val="sr-Latn-ME"/>
        </w:rPr>
      </w:pPr>
    </w:p>
    <w:p w14:paraId="0372698F" w14:textId="544F622F" w:rsidR="00490E2B" w:rsidRPr="00D95F2B" w:rsidRDefault="00490E2B">
      <w:pPr>
        <w:tabs>
          <w:tab w:val="left" w:pos="612"/>
          <w:tab w:val="center" w:pos="4536"/>
          <w:tab w:val="right" w:pos="9072"/>
        </w:tabs>
        <w:jc w:val="both"/>
        <w:rPr>
          <w:sz w:val="22"/>
          <w:szCs w:val="22"/>
          <w:lang w:val="sr-Latn-ME"/>
        </w:rPr>
      </w:pPr>
      <w:r w:rsidRPr="00D95F2B">
        <w:rPr>
          <w:sz w:val="22"/>
          <w:szCs w:val="22"/>
          <w:lang w:val="sr-Latn-ME"/>
        </w:rPr>
        <w:t>U kliničkom ispitivanju koje je trajalo 52 nedjelje, dodavanje insulin detemira kombinovanoj primjeni liraglutida u dozi od 1</w:t>
      </w:r>
      <w:r w:rsidR="00830D75" w:rsidRPr="00D95F2B">
        <w:rPr>
          <w:sz w:val="22"/>
          <w:szCs w:val="22"/>
          <w:lang w:val="sr-Latn-ME"/>
        </w:rPr>
        <w:t>,</w:t>
      </w:r>
      <w:r w:rsidRPr="00D95F2B">
        <w:rPr>
          <w:sz w:val="22"/>
          <w:szCs w:val="22"/>
          <w:lang w:val="sr-Latn-ME"/>
        </w:rPr>
        <w:t>8 mg i metformina kod pacijenata kod kojih nijesu postignuti glikemijski ciljevi primjenom samo liraglutida i metformina, rezultovalo je smanjenjem HbA</w:t>
      </w:r>
      <w:r w:rsidRPr="00D95F2B">
        <w:rPr>
          <w:sz w:val="22"/>
          <w:szCs w:val="22"/>
          <w:vertAlign w:val="subscript"/>
          <w:lang w:val="sr-Latn-ME"/>
        </w:rPr>
        <w:t>1c</w:t>
      </w:r>
      <w:r w:rsidRPr="00D95F2B">
        <w:rPr>
          <w:sz w:val="22"/>
          <w:szCs w:val="22"/>
          <w:lang w:val="sr-Latn-ME"/>
        </w:rPr>
        <w:t xml:space="preserve"> od početne vrijednosti za 0,54%, u poređenju sa smanjenjem od 0,20% u kontrolnoj grupi koja je dobijala liraglutid u dozi od 1,8 mg i metformin. Gubitak tjelesne mase je bio održiv. Došlo je do malog povećanja stope blažih hipoglikemijskih epizoda (0,23 prema 0,03 događaja po pacijent</w:t>
      </w:r>
      <w:r w:rsidR="00C71308" w:rsidRPr="00D95F2B">
        <w:rPr>
          <w:sz w:val="22"/>
          <w:szCs w:val="22"/>
          <w:lang w:val="sr-Latn-ME"/>
        </w:rPr>
        <w:t xml:space="preserve"> </w:t>
      </w:r>
      <w:r w:rsidR="002A430D" w:rsidRPr="00D95F2B">
        <w:rPr>
          <w:sz w:val="22"/>
          <w:szCs w:val="22"/>
          <w:lang w:val="sr-Latn-ME"/>
        </w:rPr>
        <w:t>-</w:t>
      </w:r>
      <w:r w:rsidRPr="00D95F2B">
        <w:rPr>
          <w:sz w:val="22"/>
          <w:szCs w:val="22"/>
          <w:lang w:val="sr-Latn-ME"/>
        </w:rPr>
        <w:t xml:space="preserve"> godini).</w:t>
      </w:r>
    </w:p>
    <w:p w14:paraId="5748526A" w14:textId="77777777" w:rsidR="00490E2B" w:rsidRPr="00D95F2B" w:rsidRDefault="00490E2B">
      <w:pPr>
        <w:tabs>
          <w:tab w:val="left" w:pos="612"/>
          <w:tab w:val="center" w:pos="4536"/>
          <w:tab w:val="right" w:pos="9072"/>
        </w:tabs>
        <w:jc w:val="both"/>
        <w:rPr>
          <w:sz w:val="22"/>
          <w:szCs w:val="22"/>
          <w:lang w:val="sr-Latn-ME"/>
        </w:rPr>
      </w:pPr>
    </w:p>
    <w:p w14:paraId="0C8E8095" w14:textId="1C967018" w:rsidR="00490E2B" w:rsidRPr="00D95F2B" w:rsidRDefault="00490E2B">
      <w:pPr>
        <w:tabs>
          <w:tab w:val="left" w:pos="612"/>
          <w:tab w:val="center" w:pos="4536"/>
          <w:tab w:val="right" w:pos="9072"/>
        </w:tabs>
        <w:jc w:val="both"/>
        <w:rPr>
          <w:sz w:val="22"/>
          <w:szCs w:val="22"/>
          <w:lang w:val="sr-Latn-ME"/>
        </w:rPr>
      </w:pPr>
      <w:r w:rsidRPr="00D95F2B">
        <w:rPr>
          <w:sz w:val="22"/>
          <w:szCs w:val="22"/>
          <w:lang w:val="sr-Latn-ME"/>
        </w:rPr>
        <w:t>U kliničkom ispitivanju LEADER (vidjeti dio Kardiovaskularna evaluacija) 873 pacijenta primala su premiks insulin (u kombinaciji sa oralnim antidijabeticima ili bez njih) na početku ispitivanja i najmanje sl</w:t>
      </w:r>
      <w:r w:rsidR="00C71308" w:rsidRPr="00D95F2B">
        <w:rPr>
          <w:sz w:val="22"/>
          <w:szCs w:val="22"/>
          <w:lang w:val="sr-Latn-ME"/>
        </w:rPr>
        <w:t>j</w:t>
      </w:r>
      <w:r w:rsidRPr="00D95F2B">
        <w:rPr>
          <w:sz w:val="22"/>
          <w:szCs w:val="22"/>
          <w:lang w:val="sr-Latn-ME"/>
        </w:rPr>
        <w:t>edećih 26 nedjelja. Srednja vrijednost HbA</w:t>
      </w:r>
      <w:r w:rsidRPr="00D95F2B">
        <w:rPr>
          <w:sz w:val="22"/>
          <w:szCs w:val="22"/>
          <w:vertAlign w:val="subscript"/>
          <w:lang w:val="sr-Latn-ME"/>
        </w:rPr>
        <w:t>1c</w:t>
      </w:r>
      <w:r w:rsidRPr="00D95F2B">
        <w:rPr>
          <w:sz w:val="22"/>
          <w:szCs w:val="22"/>
          <w:lang w:val="sr-Latn-ME"/>
        </w:rPr>
        <w:t xml:space="preserve"> na početku ispitivanja iznosila je 8,7% i uz liraglutid i uz placebo. U 26. nedjelji proc</w:t>
      </w:r>
      <w:r w:rsidR="00C71308" w:rsidRPr="00D95F2B">
        <w:rPr>
          <w:sz w:val="22"/>
          <w:szCs w:val="22"/>
          <w:lang w:val="sr-Latn-ME"/>
        </w:rPr>
        <w:t>ij</w:t>
      </w:r>
      <w:r w:rsidRPr="00D95F2B">
        <w:rPr>
          <w:sz w:val="22"/>
          <w:szCs w:val="22"/>
          <w:lang w:val="sr-Latn-ME"/>
        </w:rPr>
        <w:t>enjena srednja vrijednost promjene HbA</w:t>
      </w:r>
      <w:r w:rsidRPr="00D95F2B">
        <w:rPr>
          <w:sz w:val="22"/>
          <w:szCs w:val="22"/>
          <w:vertAlign w:val="subscript"/>
          <w:lang w:val="sr-Latn-ME"/>
        </w:rPr>
        <w:t>1c</w:t>
      </w:r>
      <w:r w:rsidRPr="00D95F2B">
        <w:rPr>
          <w:sz w:val="22"/>
          <w:szCs w:val="22"/>
          <w:lang w:val="sr-Latn-ME"/>
        </w:rPr>
        <w:t xml:space="preserve"> iznosila je -1,4% uz liraglutid i -0,5% uz placebo, uz proc</w:t>
      </w:r>
      <w:r w:rsidR="00C71308" w:rsidRPr="00D95F2B">
        <w:rPr>
          <w:sz w:val="22"/>
          <w:szCs w:val="22"/>
          <w:lang w:val="sr-Latn-ME"/>
        </w:rPr>
        <w:t>ij</w:t>
      </w:r>
      <w:r w:rsidRPr="00D95F2B">
        <w:rPr>
          <w:sz w:val="22"/>
          <w:szCs w:val="22"/>
          <w:lang w:val="sr-Latn-ME"/>
        </w:rPr>
        <w:t>enjenu razliku između liječenja od -0,9 [-1,00; -0,70]</w:t>
      </w:r>
      <w:r w:rsidRPr="00D95F2B">
        <w:rPr>
          <w:sz w:val="22"/>
          <w:szCs w:val="22"/>
          <w:vertAlign w:val="subscript"/>
          <w:lang w:val="sr-Latn-ME"/>
        </w:rPr>
        <w:t>95% CI</w:t>
      </w:r>
      <w:r w:rsidRPr="00D95F2B">
        <w:rPr>
          <w:sz w:val="22"/>
          <w:szCs w:val="22"/>
          <w:lang w:val="sr-Latn-ME"/>
        </w:rPr>
        <w:t>. Bezb</w:t>
      </w:r>
      <w:r w:rsidR="00A927E1" w:rsidRPr="00D95F2B">
        <w:rPr>
          <w:sz w:val="22"/>
          <w:szCs w:val="22"/>
          <w:lang w:val="sr-Latn-ME"/>
        </w:rPr>
        <w:t>j</w:t>
      </w:r>
      <w:r w:rsidRPr="00D95F2B">
        <w:rPr>
          <w:sz w:val="22"/>
          <w:szCs w:val="22"/>
          <w:lang w:val="sr-Latn-ME"/>
        </w:rPr>
        <w:t>ednosni profil liraglutida u kombinaciji sa premiks insulinom ukupno je bio uporediv sa onim koji je prim</w:t>
      </w:r>
      <w:r w:rsidR="00A927E1" w:rsidRPr="00D95F2B">
        <w:rPr>
          <w:sz w:val="22"/>
          <w:szCs w:val="22"/>
          <w:lang w:val="sr-Latn-ME"/>
        </w:rPr>
        <w:t>j</w:t>
      </w:r>
      <w:r w:rsidRPr="00D95F2B">
        <w:rPr>
          <w:sz w:val="22"/>
          <w:szCs w:val="22"/>
          <w:lang w:val="sr-Latn-ME"/>
        </w:rPr>
        <w:t xml:space="preserve">ećen kod primjene placeba u kombinaciji sa premiks insulinom (vidjeti </w:t>
      </w:r>
      <w:r w:rsidR="00C71308" w:rsidRPr="00D95F2B">
        <w:rPr>
          <w:sz w:val="22"/>
          <w:szCs w:val="22"/>
          <w:lang w:val="sr-Latn-ME"/>
        </w:rPr>
        <w:t>dio</w:t>
      </w:r>
      <w:r w:rsidRPr="00D95F2B">
        <w:rPr>
          <w:sz w:val="22"/>
          <w:szCs w:val="22"/>
          <w:lang w:val="sr-Latn-ME"/>
        </w:rPr>
        <w:t xml:space="preserve"> 4.8).</w:t>
      </w:r>
    </w:p>
    <w:p w14:paraId="51E77FF6" w14:textId="77777777" w:rsidR="00490E2B" w:rsidRPr="00D95F2B" w:rsidRDefault="00490E2B">
      <w:pPr>
        <w:tabs>
          <w:tab w:val="left" w:pos="612"/>
          <w:tab w:val="center" w:pos="4536"/>
          <w:tab w:val="right" w:pos="9072"/>
        </w:tabs>
        <w:jc w:val="both"/>
        <w:rPr>
          <w:sz w:val="22"/>
          <w:szCs w:val="22"/>
          <w:lang w:val="sr-Latn-ME"/>
        </w:rPr>
      </w:pPr>
    </w:p>
    <w:p w14:paraId="3924E42C" w14:textId="77777777" w:rsidR="00490E2B" w:rsidRPr="00D95F2B" w:rsidRDefault="00490E2B">
      <w:pPr>
        <w:tabs>
          <w:tab w:val="left" w:pos="612"/>
          <w:tab w:val="center" w:pos="4536"/>
          <w:tab w:val="right" w:pos="9072"/>
        </w:tabs>
        <w:jc w:val="both"/>
        <w:rPr>
          <w:i/>
          <w:sz w:val="22"/>
          <w:szCs w:val="22"/>
          <w:lang w:val="sr-Latn-ME"/>
        </w:rPr>
      </w:pPr>
      <w:r w:rsidRPr="00D95F2B">
        <w:rPr>
          <w:i/>
          <w:sz w:val="22"/>
          <w:szCs w:val="22"/>
          <w:lang w:val="sr-Latn-ME"/>
        </w:rPr>
        <w:t>Upotreba kod pacijenata sa oštećenjem bubrega</w:t>
      </w:r>
    </w:p>
    <w:p w14:paraId="69B2D7FF" w14:textId="77777777" w:rsidR="00C71308" w:rsidRPr="00D95F2B" w:rsidRDefault="00490E2B">
      <w:pPr>
        <w:tabs>
          <w:tab w:val="left" w:pos="612"/>
          <w:tab w:val="center" w:pos="4536"/>
          <w:tab w:val="right" w:pos="9072"/>
        </w:tabs>
        <w:jc w:val="both"/>
        <w:rPr>
          <w:sz w:val="22"/>
          <w:szCs w:val="22"/>
          <w:lang w:val="sr-Latn-ME"/>
        </w:rPr>
      </w:pPr>
      <w:r w:rsidRPr="00D95F2B">
        <w:rPr>
          <w:sz w:val="22"/>
          <w:szCs w:val="22"/>
          <w:lang w:val="sr-Latn-ME"/>
        </w:rPr>
        <w:t>U duplo</w:t>
      </w:r>
      <w:r w:rsidR="00E96E6E" w:rsidRPr="00D95F2B">
        <w:rPr>
          <w:sz w:val="22"/>
          <w:szCs w:val="22"/>
          <w:lang w:val="sr-Latn-ME"/>
        </w:rPr>
        <w:t>-</w:t>
      </w:r>
      <w:r w:rsidRPr="00D95F2B">
        <w:rPr>
          <w:sz w:val="22"/>
          <w:szCs w:val="22"/>
          <w:lang w:val="sr-Latn-ME"/>
        </w:rPr>
        <w:t>slijepom ispitivanju koje je poredilo efikasnost i bezbjednost dodavanja 1,8 mg liraglutida i placeba terapij</w:t>
      </w:r>
      <w:r w:rsidR="002A430D" w:rsidRPr="00D95F2B">
        <w:rPr>
          <w:sz w:val="22"/>
          <w:szCs w:val="22"/>
          <w:lang w:val="sr-Latn-ME"/>
        </w:rPr>
        <w:t>i</w:t>
      </w:r>
      <w:r w:rsidRPr="00D95F2B">
        <w:rPr>
          <w:sz w:val="22"/>
          <w:szCs w:val="22"/>
          <w:lang w:val="sr-Latn-ME"/>
        </w:rPr>
        <w:t xml:space="preserve"> insulinom i/ili OAD kod pacijenata sa dijabetesom tip 2 i um</w:t>
      </w:r>
      <w:r w:rsidR="002A430D" w:rsidRPr="00D95F2B">
        <w:rPr>
          <w:sz w:val="22"/>
          <w:szCs w:val="22"/>
          <w:lang w:val="sr-Latn-ME"/>
        </w:rPr>
        <w:t>j</w:t>
      </w:r>
      <w:r w:rsidRPr="00D95F2B">
        <w:rPr>
          <w:sz w:val="22"/>
          <w:szCs w:val="22"/>
          <w:lang w:val="sr-Latn-ME"/>
        </w:rPr>
        <w:t>erenom bubrežnom insuficijencijom, liraglutid je bio superioran u odnosu na placebo u vidu smanjenja HbA</w:t>
      </w:r>
      <w:r w:rsidRPr="00D95F2B">
        <w:rPr>
          <w:sz w:val="22"/>
          <w:szCs w:val="22"/>
          <w:vertAlign w:val="subscript"/>
          <w:lang w:val="sr-Latn-ME"/>
        </w:rPr>
        <w:t>1c</w:t>
      </w:r>
      <w:r w:rsidRPr="00D95F2B">
        <w:rPr>
          <w:sz w:val="22"/>
          <w:szCs w:val="22"/>
          <w:lang w:val="sr-Latn-ME"/>
        </w:rPr>
        <w:t xml:space="preserve"> nakon 26 nedjelja (-1,05% naspram -0,38%).</w:t>
      </w:r>
    </w:p>
    <w:p w14:paraId="09FD04F3" w14:textId="52570436" w:rsidR="00490E2B" w:rsidRPr="00D95F2B" w:rsidRDefault="00490E2B">
      <w:pPr>
        <w:tabs>
          <w:tab w:val="left" w:pos="612"/>
          <w:tab w:val="center" w:pos="4536"/>
          <w:tab w:val="right" w:pos="9072"/>
        </w:tabs>
        <w:jc w:val="both"/>
        <w:rPr>
          <w:sz w:val="22"/>
          <w:szCs w:val="22"/>
          <w:lang w:val="sr-Latn-ME"/>
        </w:rPr>
      </w:pPr>
      <w:r w:rsidRPr="00D95F2B">
        <w:rPr>
          <w:sz w:val="22"/>
          <w:szCs w:val="22"/>
          <w:lang w:val="sr-Latn-ME"/>
        </w:rPr>
        <w:lastRenderedPageBreak/>
        <w:t>Značajno više pacijenata je postiglo HbA</w:t>
      </w:r>
      <w:r w:rsidRPr="00D95F2B">
        <w:rPr>
          <w:sz w:val="22"/>
          <w:szCs w:val="22"/>
          <w:vertAlign w:val="subscript"/>
          <w:lang w:val="sr-Latn-ME"/>
        </w:rPr>
        <w:t>1c</w:t>
      </w:r>
      <w:r w:rsidRPr="00D95F2B">
        <w:rPr>
          <w:sz w:val="22"/>
          <w:szCs w:val="22"/>
          <w:lang w:val="sr-Latn-ME"/>
        </w:rPr>
        <w:t xml:space="preserve"> ispod 7% sa liraglutidom u poređenju sa placebom (52,8% naspram 19,5%). U ob</w:t>
      </w:r>
      <w:r w:rsidR="002A430D" w:rsidRPr="00D95F2B">
        <w:rPr>
          <w:sz w:val="22"/>
          <w:szCs w:val="22"/>
          <w:lang w:val="sr-Latn-ME"/>
        </w:rPr>
        <w:t>j</w:t>
      </w:r>
      <w:r w:rsidRPr="00D95F2B">
        <w:rPr>
          <w:sz w:val="22"/>
          <w:szCs w:val="22"/>
          <w:lang w:val="sr-Latn-ME"/>
        </w:rPr>
        <w:t xml:space="preserve">e grupe je uočeno smanjenje tjelesne mase: -2,4 kg sa liraglutidom naspram -1,09 </w:t>
      </w:r>
      <w:r w:rsidR="00116A7B" w:rsidRPr="00D95F2B">
        <w:rPr>
          <w:sz w:val="22"/>
          <w:szCs w:val="22"/>
          <w:lang w:val="sr-Latn-ME"/>
        </w:rPr>
        <w:t xml:space="preserve">kg </w:t>
      </w:r>
      <w:r w:rsidRPr="00D95F2B">
        <w:rPr>
          <w:sz w:val="22"/>
          <w:szCs w:val="22"/>
          <w:lang w:val="sr-Latn-ME"/>
        </w:rPr>
        <w:t>sa placebom. Rizik od hipoglikemijskih epizoda je bio uporediv između dvije terapijske grupe. Bezbjednosni profil liraglutida je</w:t>
      </w:r>
      <w:r w:rsidR="00A927E1" w:rsidRPr="00D95F2B">
        <w:rPr>
          <w:sz w:val="22"/>
          <w:szCs w:val="22"/>
          <w:lang w:val="sr-Latn-ME"/>
        </w:rPr>
        <w:t>,</w:t>
      </w:r>
      <w:r w:rsidRPr="00D95F2B">
        <w:rPr>
          <w:sz w:val="22"/>
          <w:szCs w:val="22"/>
          <w:lang w:val="sr-Latn-ME"/>
        </w:rPr>
        <w:t xml:space="preserve"> </w:t>
      </w:r>
      <w:r w:rsidR="00A927E1" w:rsidRPr="00D95F2B">
        <w:rPr>
          <w:sz w:val="22"/>
          <w:szCs w:val="22"/>
          <w:lang w:val="sr-Latn-ME"/>
        </w:rPr>
        <w:t>uopšteno posmatrano,</w:t>
      </w:r>
      <w:r w:rsidRPr="00D95F2B">
        <w:rPr>
          <w:sz w:val="22"/>
          <w:szCs w:val="22"/>
          <w:lang w:val="sr-Latn-ME"/>
        </w:rPr>
        <w:t xml:space="preserve"> bio sličan profilu zapaženom u ostalim ispitivanjima liraglutida.</w:t>
      </w:r>
    </w:p>
    <w:p w14:paraId="4AB3919A" w14:textId="77777777" w:rsidR="00490E2B" w:rsidRPr="00D95F2B" w:rsidRDefault="00490E2B">
      <w:pPr>
        <w:tabs>
          <w:tab w:val="left" w:pos="612"/>
          <w:tab w:val="center" w:pos="4536"/>
          <w:tab w:val="right" w:pos="9072"/>
        </w:tabs>
        <w:jc w:val="both"/>
        <w:rPr>
          <w:sz w:val="22"/>
          <w:szCs w:val="22"/>
          <w:lang w:val="sr-Latn-ME"/>
        </w:rPr>
      </w:pPr>
    </w:p>
    <w:p w14:paraId="65E5AB0B" w14:textId="77777777" w:rsidR="00490E2B" w:rsidRPr="00D95F2B" w:rsidRDefault="00490E2B">
      <w:pPr>
        <w:numPr>
          <w:ilvl w:val="0"/>
          <w:numId w:val="14"/>
        </w:numPr>
        <w:tabs>
          <w:tab w:val="left" w:pos="612"/>
          <w:tab w:val="center" w:pos="4536"/>
          <w:tab w:val="right" w:pos="9072"/>
        </w:tabs>
        <w:jc w:val="both"/>
        <w:rPr>
          <w:sz w:val="16"/>
          <w:szCs w:val="16"/>
          <w:lang w:val="sr-Latn-ME"/>
        </w:rPr>
      </w:pPr>
      <w:r w:rsidRPr="00D95F2B">
        <w:rPr>
          <w:sz w:val="22"/>
          <w:szCs w:val="22"/>
          <w:lang w:val="sr-Latn-ME"/>
        </w:rPr>
        <w:t>Udio pacijenata kod kojih je postignuto smanjenje HbA</w:t>
      </w:r>
      <w:r w:rsidRPr="00D95F2B">
        <w:rPr>
          <w:sz w:val="22"/>
          <w:szCs w:val="22"/>
          <w:vertAlign w:val="subscript"/>
          <w:lang w:val="sr-Latn-ME"/>
        </w:rPr>
        <w:t>1c</w:t>
      </w:r>
    </w:p>
    <w:p w14:paraId="36DFA6A1" w14:textId="77777777" w:rsidR="00490E2B" w:rsidRPr="00D95F2B" w:rsidRDefault="00490E2B">
      <w:pPr>
        <w:tabs>
          <w:tab w:val="left" w:pos="612"/>
          <w:tab w:val="center" w:pos="4536"/>
          <w:tab w:val="right" w:pos="9072"/>
        </w:tabs>
        <w:jc w:val="both"/>
        <w:rPr>
          <w:sz w:val="22"/>
          <w:szCs w:val="22"/>
          <w:lang w:val="sr-Latn-ME"/>
        </w:rPr>
      </w:pPr>
      <w:r w:rsidRPr="00D95F2B">
        <w:rPr>
          <w:sz w:val="22"/>
          <w:szCs w:val="22"/>
          <w:lang w:val="sr-Latn-ME"/>
        </w:rPr>
        <w:t>Liraglutid primjenjen samostalno doveo je do statistički značajno većeg udjela pacijenata koji su postigli</w:t>
      </w:r>
    </w:p>
    <w:p w14:paraId="3D083BF7" w14:textId="77777777" w:rsidR="00490E2B" w:rsidRPr="00D95F2B" w:rsidRDefault="00490E2B">
      <w:pPr>
        <w:tabs>
          <w:tab w:val="left" w:pos="612"/>
          <w:tab w:val="center" w:pos="4536"/>
          <w:tab w:val="right" w:pos="9072"/>
        </w:tabs>
        <w:jc w:val="both"/>
        <w:rPr>
          <w:sz w:val="22"/>
          <w:szCs w:val="22"/>
          <w:lang w:val="sr-Latn-ME"/>
        </w:rPr>
      </w:pPr>
      <w:r w:rsidRPr="00D95F2B">
        <w:rPr>
          <w:sz w:val="22"/>
          <w:szCs w:val="22"/>
          <w:lang w:val="sr-Latn-ME"/>
        </w:rPr>
        <w:t>HbA</w:t>
      </w:r>
      <w:r w:rsidRPr="00D95F2B">
        <w:rPr>
          <w:sz w:val="22"/>
          <w:szCs w:val="22"/>
          <w:vertAlign w:val="subscript"/>
          <w:lang w:val="sr-Latn-ME"/>
        </w:rPr>
        <w:t>1c</w:t>
      </w:r>
      <w:r w:rsidRPr="00D95F2B">
        <w:rPr>
          <w:sz w:val="22"/>
          <w:szCs w:val="22"/>
          <w:lang w:val="sr-Latn-ME"/>
        </w:rPr>
        <w:t xml:space="preserve"> ≤ 6,5% nakon 52 nedjelje, u poređenju sa pacijentima koji su primali glimepirid (37,6% uz dozu od 1,8</w:t>
      </w:r>
      <w:r w:rsidR="00830D75" w:rsidRPr="00D95F2B">
        <w:rPr>
          <w:sz w:val="22"/>
          <w:szCs w:val="22"/>
          <w:lang w:val="sr-Latn-ME"/>
        </w:rPr>
        <w:t xml:space="preserve"> </w:t>
      </w:r>
      <w:r w:rsidRPr="00D95F2B">
        <w:rPr>
          <w:sz w:val="22"/>
          <w:szCs w:val="22"/>
          <w:lang w:val="sr-Latn-ME"/>
        </w:rPr>
        <w:t>mg i 28,0% uz dozu od 1,2 mg naspram 16,2% z</w:t>
      </w:r>
      <w:r w:rsidR="00116A7B" w:rsidRPr="00D95F2B">
        <w:rPr>
          <w:sz w:val="22"/>
          <w:szCs w:val="22"/>
          <w:lang w:val="sr-Latn-ME"/>
        </w:rPr>
        <w:t>a</w:t>
      </w:r>
      <w:r w:rsidRPr="00D95F2B">
        <w:rPr>
          <w:sz w:val="22"/>
          <w:szCs w:val="22"/>
          <w:lang w:val="sr-Latn-ME"/>
        </w:rPr>
        <w:t xml:space="preserve"> komparator).</w:t>
      </w:r>
    </w:p>
    <w:p w14:paraId="7FF14586" w14:textId="77777777" w:rsidR="00490E2B" w:rsidRPr="00D95F2B" w:rsidRDefault="00490E2B" w:rsidP="00490E2B">
      <w:pPr>
        <w:tabs>
          <w:tab w:val="left" w:pos="612"/>
          <w:tab w:val="center" w:pos="4536"/>
          <w:tab w:val="right" w:pos="9072"/>
        </w:tabs>
        <w:jc w:val="both"/>
        <w:rPr>
          <w:sz w:val="22"/>
          <w:szCs w:val="22"/>
          <w:lang w:val="sr-Latn-ME"/>
        </w:rPr>
      </w:pPr>
    </w:p>
    <w:p w14:paraId="66051ADE" w14:textId="7D145350" w:rsidR="00490E2B" w:rsidRPr="00D95F2B" w:rsidRDefault="00490E2B" w:rsidP="001A5F43">
      <w:pPr>
        <w:tabs>
          <w:tab w:val="left" w:pos="612"/>
          <w:tab w:val="center" w:pos="4536"/>
          <w:tab w:val="right" w:pos="9072"/>
        </w:tabs>
        <w:jc w:val="both"/>
        <w:rPr>
          <w:sz w:val="22"/>
          <w:szCs w:val="22"/>
          <w:lang w:val="sr-Latn-ME"/>
        </w:rPr>
      </w:pPr>
      <w:r w:rsidRPr="00D95F2B">
        <w:rPr>
          <w:sz w:val="22"/>
          <w:szCs w:val="22"/>
          <w:lang w:val="sr-Latn-ME"/>
        </w:rPr>
        <w:t>Primjena liraglutida u kombinaciji sa metforminom, glimepiridom</w:t>
      </w:r>
      <w:r w:rsidR="001A5F43" w:rsidRPr="00D95F2B">
        <w:rPr>
          <w:sz w:val="22"/>
          <w:szCs w:val="22"/>
          <w:lang w:val="sr-Latn-ME"/>
        </w:rPr>
        <w:t>,</w:t>
      </w:r>
      <w:r w:rsidRPr="00D95F2B">
        <w:rPr>
          <w:sz w:val="22"/>
          <w:szCs w:val="22"/>
          <w:lang w:val="sr-Latn-ME"/>
        </w:rPr>
        <w:t xml:space="preserve"> metforminom i ro</w:t>
      </w:r>
      <w:r w:rsidR="00A927E1" w:rsidRPr="00D95F2B">
        <w:rPr>
          <w:sz w:val="22"/>
          <w:szCs w:val="22"/>
          <w:lang w:val="sr-Latn-ME"/>
        </w:rPr>
        <w:t>s</w:t>
      </w:r>
      <w:r w:rsidRPr="00D95F2B">
        <w:rPr>
          <w:sz w:val="22"/>
          <w:szCs w:val="22"/>
          <w:lang w:val="sr-Latn-ME"/>
        </w:rPr>
        <w:t>iglitazonom</w:t>
      </w:r>
      <w:r w:rsidR="001A5F43" w:rsidRPr="00D95F2B">
        <w:rPr>
          <w:sz w:val="22"/>
          <w:szCs w:val="22"/>
          <w:lang w:val="sr-Latn-ME"/>
        </w:rPr>
        <w:t xml:space="preserve"> ili inhibitorom SGLT2 ± metforminom</w:t>
      </w:r>
      <w:r w:rsidRPr="00D95F2B">
        <w:rPr>
          <w:sz w:val="22"/>
          <w:szCs w:val="22"/>
          <w:lang w:val="sr-Latn-ME"/>
        </w:rPr>
        <w:t xml:space="preserve"> dovela je do statistički značajno većeg udjela pacijenata kod kojih je nakon 26 nedjelja postignuto HbA</w:t>
      </w:r>
      <w:r w:rsidRPr="00D95F2B">
        <w:rPr>
          <w:sz w:val="22"/>
          <w:szCs w:val="22"/>
          <w:vertAlign w:val="subscript"/>
          <w:lang w:val="sr-Latn-ME"/>
        </w:rPr>
        <w:t>1c</w:t>
      </w:r>
      <w:r w:rsidRPr="00D95F2B">
        <w:rPr>
          <w:sz w:val="22"/>
          <w:szCs w:val="22"/>
          <w:lang w:val="sr-Latn-ME"/>
        </w:rPr>
        <w:t xml:space="preserve"> ≤ 6,5% u poređenju sa pacijentima koji su primali ove ljekove same.</w:t>
      </w:r>
    </w:p>
    <w:p w14:paraId="6CE493C8" w14:textId="77777777" w:rsidR="00490E2B" w:rsidRPr="00D95F2B" w:rsidRDefault="00490E2B" w:rsidP="00490E2B">
      <w:pPr>
        <w:tabs>
          <w:tab w:val="left" w:pos="612"/>
          <w:tab w:val="center" w:pos="4536"/>
          <w:tab w:val="right" w:pos="9072"/>
        </w:tabs>
        <w:jc w:val="both"/>
        <w:rPr>
          <w:sz w:val="22"/>
          <w:szCs w:val="22"/>
          <w:lang w:val="sr-Latn-ME"/>
        </w:rPr>
      </w:pPr>
    </w:p>
    <w:p w14:paraId="18065765" w14:textId="5426DEBA" w:rsidR="00490E2B" w:rsidRPr="00D95F2B" w:rsidRDefault="00490E2B" w:rsidP="00490E2B">
      <w:pPr>
        <w:numPr>
          <w:ilvl w:val="0"/>
          <w:numId w:val="14"/>
        </w:numPr>
        <w:tabs>
          <w:tab w:val="left" w:pos="612"/>
          <w:tab w:val="center" w:pos="4536"/>
          <w:tab w:val="right" w:pos="9072"/>
        </w:tabs>
        <w:jc w:val="both"/>
        <w:rPr>
          <w:sz w:val="22"/>
          <w:szCs w:val="22"/>
          <w:lang w:val="sr-Latn-ME"/>
        </w:rPr>
      </w:pPr>
      <w:r w:rsidRPr="00D95F2B">
        <w:rPr>
          <w:sz w:val="22"/>
          <w:szCs w:val="22"/>
          <w:lang w:val="sr-Latn-ME"/>
        </w:rPr>
        <w:t>Glikemija na</w:t>
      </w:r>
      <w:r w:rsidR="00501202" w:rsidRPr="00D95F2B">
        <w:rPr>
          <w:sz w:val="22"/>
          <w:szCs w:val="22"/>
          <w:lang w:val="sr-Latn-ME"/>
        </w:rPr>
        <w:t>ta</w:t>
      </w:r>
      <w:r w:rsidRPr="00D95F2B">
        <w:rPr>
          <w:sz w:val="22"/>
          <w:szCs w:val="22"/>
          <w:lang w:val="sr-Latn-ME"/>
        </w:rPr>
        <w:t>šte</w:t>
      </w:r>
    </w:p>
    <w:p w14:paraId="46537B5B" w14:textId="26EC2CB2"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Liječenje samo liraglutidom ili u kombinaciji sa jednim ili dva oralna antidijabetika rezultovalo je smanjenjem glikemije na</w:t>
      </w:r>
      <w:r w:rsidR="00632FBD" w:rsidRPr="00D95F2B">
        <w:rPr>
          <w:sz w:val="22"/>
          <w:szCs w:val="22"/>
          <w:lang w:val="sr-Latn-ME"/>
        </w:rPr>
        <w:t>ta</w:t>
      </w:r>
      <w:r w:rsidRPr="00D95F2B">
        <w:rPr>
          <w:sz w:val="22"/>
          <w:szCs w:val="22"/>
          <w:lang w:val="sr-Latn-ME"/>
        </w:rPr>
        <w:t>šte za 13-43,5 mg/dl (0,72-2,42 mmol/l). Ovo smanjenje je uočeno u toku prve dvije nedjelje liječenja.</w:t>
      </w:r>
    </w:p>
    <w:p w14:paraId="0BB03EB5" w14:textId="77777777" w:rsidR="00490E2B" w:rsidRPr="00D95F2B" w:rsidRDefault="00490E2B" w:rsidP="00490E2B">
      <w:pPr>
        <w:tabs>
          <w:tab w:val="left" w:pos="612"/>
          <w:tab w:val="center" w:pos="4536"/>
          <w:tab w:val="right" w:pos="9072"/>
        </w:tabs>
        <w:jc w:val="both"/>
        <w:rPr>
          <w:sz w:val="22"/>
          <w:szCs w:val="22"/>
          <w:lang w:val="sr-Latn-ME"/>
        </w:rPr>
      </w:pPr>
    </w:p>
    <w:p w14:paraId="036267C5" w14:textId="77777777" w:rsidR="00490E2B" w:rsidRPr="00D95F2B" w:rsidRDefault="00490E2B" w:rsidP="00490E2B">
      <w:pPr>
        <w:numPr>
          <w:ilvl w:val="0"/>
          <w:numId w:val="14"/>
        </w:numPr>
        <w:tabs>
          <w:tab w:val="left" w:pos="612"/>
          <w:tab w:val="center" w:pos="4536"/>
          <w:tab w:val="right" w:pos="9072"/>
        </w:tabs>
        <w:jc w:val="both"/>
        <w:rPr>
          <w:sz w:val="22"/>
          <w:szCs w:val="22"/>
          <w:lang w:val="sr-Latn-ME"/>
        </w:rPr>
      </w:pPr>
      <w:r w:rsidRPr="00D95F2B">
        <w:rPr>
          <w:sz w:val="22"/>
          <w:szCs w:val="22"/>
          <w:lang w:val="sr-Latn-ME"/>
        </w:rPr>
        <w:t>Postprandijalna glikemija</w:t>
      </w:r>
    </w:p>
    <w:p w14:paraId="7133A503" w14:textId="7777777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Liraglutid je smanjio postprandijalnu vrijednost glikemije uključujući sva tri dnevna obroka za 31-49 mg/dl (1,68-2,71 mmol/l).</w:t>
      </w:r>
    </w:p>
    <w:p w14:paraId="654E69FC" w14:textId="77777777" w:rsidR="00490E2B" w:rsidRPr="00D95F2B" w:rsidRDefault="00490E2B" w:rsidP="00490E2B">
      <w:pPr>
        <w:tabs>
          <w:tab w:val="left" w:pos="612"/>
          <w:tab w:val="center" w:pos="4536"/>
          <w:tab w:val="right" w:pos="9072"/>
        </w:tabs>
        <w:jc w:val="both"/>
        <w:rPr>
          <w:sz w:val="22"/>
          <w:szCs w:val="22"/>
          <w:lang w:val="sr-Latn-ME"/>
        </w:rPr>
      </w:pPr>
    </w:p>
    <w:p w14:paraId="0C44D92B" w14:textId="77777777" w:rsidR="00490E2B" w:rsidRPr="00D95F2B" w:rsidRDefault="00490E2B" w:rsidP="00490E2B">
      <w:pPr>
        <w:numPr>
          <w:ilvl w:val="0"/>
          <w:numId w:val="14"/>
        </w:numPr>
        <w:tabs>
          <w:tab w:val="left" w:pos="612"/>
          <w:tab w:val="center" w:pos="4536"/>
          <w:tab w:val="right" w:pos="9072"/>
        </w:tabs>
        <w:jc w:val="both"/>
        <w:rPr>
          <w:sz w:val="22"/>
          <w:szCs w:val="22"/>
          <w:lang w:val="sr-Latn-ME"/>
        </w:rPr>
      </w:pPr>
      <w:r w:rsidRPr="00D95F2B">
        <w:rPr>
          <w:sz w:val="22"/>
          <w:szCs w:val="22"/>
          <w:lang w:val="sr-Latn-ME"/>
        </w:rPr>
        <w:t>Funkcija beta-ćelija</w:t>
      </w:r>
    </w:p>
    <w:p w14:paraId="484BFA52" w14:textId="0676F5D8"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Klinička ispitivanja sa liraglutidom ukazuju na poboljšanje funkcije beta-ćelija na osnovu mjerenja kao što su homeostatski model za procjenu funkcije beta-ćelija (HOMA-B) i odnos proinsulin/insulin. Poboljšanje prve i druge faze sekrecije insulina posl</w:t>
      </w:r>
      <w:r w:rsidR="00DF43DF" w:rsidRPr="00D95F2B">
        <w:rPr>
          <w:sz w:val="22"/>
          <w:szCs w:val="22"/>
          <w:lang w:val="sr-Latn-ME"/>
        </w:rPr>
        <w:t>ij</w:t>
      </w:r>
      <w:r w:rsidRPr="00D95F2B">
        <w:rPr>
          <w:sz w:val="22"/>
          <w:szCs w:val="22"/>
          <w:lang w:val="sr-Latn-ME"/>
        </w:rPr>
        <w:t>e 52 nedjelje liječenja liraglutidom uočeno je u podgrupi ispitanika sa dijabetesom tip 2 (n=29).</w:t>
      </w:r>
    </w:p>
    <w:p w14:paraId="25CF025E" w14:textId="77777777" w:rsidR="00490E2B" w:rsidRPr="00D95F2B" w:rsidRDefault="00490E2B" w:rsidP="00490E2B">
      <w:pPr>
        <w:tabs>
          <w:tab w:val="left" w:pos="612"/>
          <w:tab w:val="center" w:pos="4536"/>
          <w:tab w:val="right" w:pos="9072"/>
        </w:tabs>
        <w:jc w:val="both"/>
        <w:rPr>
          <w:sz w:val="22"/>
          <w:szCs w:val="22"/>
          <w:lang w:val="sr-Latn-ME"/>
        </w:rPr>
      </w:pPr>
    </w:p>
    <w:p w14:paraId="119A9D2E" w14:textId="77777777" w:rsidR="00490E2B" w:rsidRPr="00D95F2B" w:rsidRDefault="00490E2B" w:rsidP="00490E2B">
      <w:pPr>
        <w:numPr>
          <w:ilvl w:val="0"/>
          <w:numId w:val="14"/>
        </w:numPr>
        <w:tabs>
          <w:tab w:val="left" w:pos="612"/>
          <w:tab w:val="center" w:pos="4536"/>
          <w:tab w:val="right" w:pos="9072"/>
        </w:tabs>
        <w:jc w:val="both"/>
        <w:rPr>
          <w:sz w:val="22"/>
          <w:szCs w:val="22"/>
          <w:lang w:val="sr-Latn-ME"/>
        </w:rPr>
      </w:pPr>
      <w:r w:rsidRPr="00D95F2B">
        <w:rPr>
          <w:sz w:val="22"/>
          <w:szCs w:val="22"/>
          <w:lang w:val="sr-Latn-ME"/>
        </w:rPr>
        <w:t>Tjelesna masa</w:t>
      </w:r>
    </w:p>
    <w:p w14:paraId="738C96B2" w14:textId="229A8CFF" w:rsidR="00490E2B" w:rsidRPr="00D95F2B" w:rsidRDefault="001A5F43" w:rsidP="001A5F43">
      <w:pPr>
        <w:tabs>
          <w:tab w:val="left" w:pos="612"/>
          <w:tab w:val="center" w:pos="4536"/>
          <w:tab w:val="right" w:pos="9072"/>
        </w:tabs>
        <w:jc w:val="both"/>
        <w:rPr>
          <w:sz w:val="22"/>
          <w:szCs w:val="22"/>
          <w:lang w:val="sr-Latn-ME"/>
        </w:rPr>
      </w:pPr>
      <w:r w:rsidRPr="00D95F2B">
        <w:rPr>
          <w:sz w:val="22"/>
          <w:szCs w:val="22"/>
          <w:lang w:val="sr-Latn-ME"/>
        </w:rPr>
        <w:t>Primjena l</w:t>
      </w:r>
      <w:r w:rsidR="00490E2B" w:rsidRPr="00D95F2B">
        <w:rPr>
          <w:sz w:val="22"/>
          <w:szCs w:val="22"/>
          <w:lang w:val="sr-Latn-ME"/>
        </w:rPr>
        <w:t>iraglutid</w:t>
      </w:r>
      <w:r w:rsidRPr="00D95F2B">
        <w:rPr>
          <w:sz w:val="22"/>
          <w:szCs w:val="22"/>
          <w:lang w:val="sr-Latn-ME"/>
        </w:rPr>
        <w:t>a</w:t>
      </w:r>
      <w:r w:rsidR="00490E2B" w:rsidRPr="00D95F2B">
        <w:rPr>
          <w:sz w:val="22"/>
          <w:szCs w:val="22"/>
          <w:lang w:val="sr-Latn-ME"/>
        </w:rPr>
        <w:t xml:space="preserve"> u kombinaciji sa metforminom, metforminom i glimepiridom</w:t>
      </w:r>
      <w:r w:rsidRPr="00D95F2B">
        <w:rPr>
          <w:sz w:val="22"/>
          <w:szCs w:val="22"/>
          <w:lang w:val="sr-Latn-ME"/>
        </w:rPr>
        <w:t>,</w:t>
      </w:r>
      <w:r w:rsidR="00490E2B" w:rsidRPr="00D95F2B">
        <w:rPr>
          <w:sz w:val="22"/>
          <w:szCs w:val="22"/>
          <w:lang w:val="sr-Latn-ME"/>
        </w:rPr>
        <w:t xml:space="preserve"> metforminom i ro</w:t>
      </w:r>
      <w:r w:rsidR="00034E0A" w:rsidRPr="00D95F2B">
        <w:rPr>
          <w:sz w:val="22"/>
          <w:szCs w:val="22"/>
          <w:lang w:val="sr-Latn-ME"/>
        </w:rPr>
        <w:t>s</w:t>
      </w:r>
      <w:r w:rsidR="00490E2B" w:rsidRPr="00D95F2B">
        <w:rPr>
          <w:sz w:val="22"/>
          <w:szCs w:val="22"/>
          <w:lang w:val="sr-Latn-ME"/>
        </w:rPr>
        <w:t>iglitazonom</w:t>
      </w:r>
      <w:r w:rsidRPr="00D95F2B">
        <w:rPr>
          <w:sz w:val="22"/>
          <w:szCs w:val="22"/>
          <w:lang w:val="sr-Latn-ME"/>
        </w:rPr>
        <w:t xml:space="preserve"> ili inhibitorom SGLT2 sa ili bez metformina</w:t>
      </w:r>
      <w:r w:rsidR="00490E2B" w:rsidRPr="00D95F2B">
        <w:rPr>
          <w:sz w:val="22"/>
          <w:szCs w:val="22"/>
          <w:lang w:val="sr-Latn-ME"/>
        </w:rPr>
        <w:t xml:space="preserve"> </w:t>
      </w:r>
      <w:r w:rsidRPr="00D95F2B">
        <w:rPr>
          <w:sz w:val="22"/>
          <w:szCs w:val="22"/>
          <w:lang w:val="sr-Latn-ME"/>
        </w:rPr>
        <w:t>bila je povezana</w:t>
      </w:r>
      <w:r w:rsidR="00490E2B" w:rsidRPr="00D95F2B">
        <w:rPr>
          <w:sz w:val="22"/>
          <w:szCs w:val="22"/>
          <w:lang w:val="sr-Latn-ME"/>
        </w:rPr>
        <w:t xml:space="preserve"> sa održivim gubitkom tjelesne mase</w:t>
      </w:r>
      <w:r w:rsidRPr="00D95F2B">
        <w:rPr>
          <w:sz w:val="22"/>
          <w:szCs w:val="22"/>
          <w:lang w:val="sr-Latn-ME"/>
        </w:rPr>
        <w:t xml:space="preserve"> u rasponu</w:t>
      </w:r>
      <w:r w:rsidR="00490E2B" w:rsidRPr="00D95F2B">
        <w:rPr>
          <w:sz w:val="22"/>
          <w:szCs w:val="22"/>
          <w:lang w:val="sr-Latn-ME"/>
        </w:rPr>
        <w:t xml:space="preserve"> od 0</w:t>
      </w:r>
      <w:r w:rsidRPr="00D95F2B">
        <w:rPr>
          <w:sz w:val="22"/>
          <w:szCs w:val="22"/>
          <w:lang w:val="sr-Latn-ME"/>
        </w:rPr>
        <w:t>,86</w:t>
      </w:r>
      <w:r w:rsidR="00490E2B" w:rsidRPr="00D95F2B">
        <w:rPr>
          <w:sz w:val="22"/>
          <w:szCs w:val="22"/>
          <w:lang w:val="sr-Latn-ME"/>
        </w:rPr>
        <w:t xml:space="preserve"> kg do 2,</w:t>
      </w:r>
      <w:r w:rsidRPr="00D95F2B">
        <w:rPr>
          <w:sz w:val="22"/>
          <w:szCs w:val="22"/>
          <w:lang w:val="sr-Latn-ME"/>
        </w:rPr>
        <w:t>62</w:t>
      </w:r>
      <w:r w:rsidR="00490E2B" w:rsidRPr="00D95F2B">
        <w:rPr>
          <w:sz w:val="22"/>
          <w:szCs w:val="22"/>
          <w:lang w:val="sr-Latn-ME"/>
        </w:rPr>
        <w:t xml:space="preserve"> kg </w:t>
      </w:r>
      <w:r w:rsidRPr="00D95F2B">
        <w:rPr>
          <w:sz w:val="22"/>
          <w:szCs w:val="22"/>
          <w:lang w:val="sr-Latn-ME"/>
        </w:rPr>
        <w:t>u poređenju sa placebom</w:t>
      </w:r>
      <w:r w:rsidR="00490E2B" w:rsidRPr="00D95F2B">
        <w:rPr>
          <w:sz w:val="22"/>
          <w:szCs w:val="22"/>
          <w:lang w:val="sr-Latn-ME"/>
        </w:rPr>
        <w:t xml:space="preserve">. </w:t>
      </w:r>
    </w:p>
    <w:p w14:paraId="737E1236" w14:textId="77777777" w:rsidR="00490E2B" w:rsidRPr="00D95F2B" w:rsidRDefault="00490E2B" w:rsidP="00490E2B">
      <w:pPr>
        <w:tabs>
          <w:tab w:val="left" w:pos="612"/>
          <w:tab w:val="center" w:pos="4536"/>
          <w:tab w:val="right" w:pos="9072"/>
        </w:tabs>
        <w:jc w:val="both"/>
        <w:rPr>
          <w:sz w:val="22"/>
          <w:szCs w:val="22"/>
          <w:lang w:val="sr-Latn-ME"/>
        </w:rPr>
      </w:pPr>
    </w:p>
    <w:p w14:paraId="468DA305" w14:textId="7777777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Veći gubitak tjelesne mase uočen je kod većih polaznih vrijednosti indeksa tjelesne mase (BMI).</w:t>
      </w:r>
    </w:p>
    <w:p w14:paraId="42B3C4F7" w14:textId="77777777" w:rsidR="00490E2B" w:rsidRPr="00D95F2B" w:rsidRDefault="00490E2B" w:rsidP="00490E2B">
      <w:pPr>
        <w:tabs>
          <w:tab w:val="left" w:pos="612"/>
          <w:tab w:val="center" w:pos="4536"/>
          <w:tab w:val="right" w:pos="9072"/>
        </w:tabs>
        <w:jc w:val="both"/>
        <w:rPr>
          <w:sz w:val="22"/>
          <w:szCs w:val="22"/>
          <w:lang w:val="sr-Latn-ME"/>
        </w:rPr>
      </w:pPr>
    </w:p>
    <w:p w14:paraId="059822E2" w14:textId="77777777" w:rsidR="00490E2B" w:rsidRPr="00D95F2B" w:rsidRDefault="00490E2B" w:rsidP="00490E2B">
      <w:pPr>
        <w:numPr>
          <w:ilvl w:val="0"/>
          <w:numId w:val="14"/>
        </w:numPr>
        <w:tabs>
          <w:tab w:val="left" w:pos="612"/>
          <w:tab w:val="center" w:pos="4536"/>
          <w:tab w:val="right" w:pos="9072"/>
        </w:tabs>
        <w:jc w:val="both"/>
        <w:rPr>
          <w:i/>
          <w:sz w:val="22"/>
          <w:szCs w:val="22"/>
          <w:lang w:val="sr-Latn-ME"/>
        </w:rPr>
      </w:pPr>
      <w:r w:rsidRPr="00D95F2B">
        <w:rPr>
          <w:sz w:val="22"/>
          <w:szCs w:val="22"/>
          <w:lang w:val="sr-Latn-ME"/>
        </w:rPr>
        <w:t>Kardiovaskularna evaluacija</w:t>
      </w:r>
    </w:p>
    <w:p w14:paraId="387EE1D6" w14:textId="77777777" w:rsidR="00490E2B" w:rsidRPr="00D95F2B" w:rsidRDefault="00490E2B" w:rsidP="00490E2B">
      <w:pPr>
        <w:tabs>
          <w:tab w:val="left" w:pos="612"/>
          <w:tab w:val="center" w:pos="4536"/>
          <w:tab w:val="right" w:pos="9072"/>
        </w:tabs>
        <w:jc w:val="both"/>
        <w:rPr>
          <w:sz w:val="22"/>
          <w:szCs w:val="22"/>
          <w:lang w:val="sr-Latn-ME"/>
        </w:rPr>
      </w:pPr>
    </w:p>
    <w:p w14:paraId="76AAAF3F" w14:textId="7777777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Naknadna analiza ozbiljnih značajnih kardiovaskularnih neželjenih događaja (kardiovaskularna smrt, infarkt miokarda, šlog) iz svih srednje dugih i dugotrajnih kliničkih ispitivanja faze 2 i 3 (trajanja od 26 do 100 nedjelja) obuhvatajući 5607 pacijenata (3651 izloženo liraglutidu) nije pokazala povećanje kardiovaskularnog rizika (odnos učestalosti od 0,75 (95% CI 0,35; 1,63)) za liraglutid naspram svih komparatora.</w:t>
      </w:r>
    </w:p>
    <w:p w14:paraId="0D12024B" w14:textId="77777777" w:rsidR="00490E2B" w:rsidRPr="00D95F2B" w:rsidRDefault="00490E2B" w:rsidP="00490E2B">
      <w:pPr>
        <w:tabs>
          <w:tab w:val="left" w:pos="612"/>
          <w:tab w:val="center" w:pos="4536"/>
          <w:tab w:val="right" w:pos="9072"/>
        </w:tabs>
        <w:jc w:val="both"/>
        <w:rPr>
          <w:sz w:val="22"/>
          <w:szCs w:val="22"/>
          <w:lang w:val="sr-Latn-ME"/>
        </w:rPr>
      </w:pPr>
    </w:p>
    <w:p w14:paraId="06EEBB36" w14:textId="2A641F1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 xml:space="preserve">Kliničko ispitivanje LEADER (engl. </w:t>
      </w:r>
      <w:r w:rsidRPr="00D95F2B">
        <w:rPr>
          <w:i/>
          <w:sz w:val="22"/>
          <w:szCs w:val="22"/>
          <w:lang w:val="sr-Latn-ME"/>
        </w:rPr>
        <w:t>Liraglutide Effect and Action in Diabetes Evaluation of Cardiovascular Outcome Results</w:t>
      </w:r>
      <w:r w:rsidRPr="00D95F2B">
        <w:rPr>
          <w:sz w:val="22"/>
          <w:szCs w:val="22"/>
          <w:lang w:val="sr-Latn-ME"/>
        </w:rPr>
        <w:t>) bilo je multicentrično, placebo-kontrolisano, d</w:t>
      </w:r>
      <w:r w:rsidR="00A927E1" w:rsidRPr="00D95F2B">
        <w:rPr>
          <w:sz w:val="22"/>
          <w:szCs w:val="22"/>
          <w:lang w:val="sr-Latn-ME"/>
        </w:rPr>
        <w:t>uplo</w:t>
      </w:r>
      <w:r w:rsidR="00E96E6E" w:rsidRPr="00D95F2B">
        <w:rPr>
          <w:sz w:val="22"/>
          <w:szCs w:val="22"/>
          <w:lang w:val="sr-Latn-ME"/>
        </w:rPr>
        <w:t>-</w:t>
      </w:r>
      <w:r w:rsidRPr="00D95F2B">
        <w:rPr>
          <w:sz w:val="22"/>
          <w:szCs w:val="22"/>
          <w:lang w:val="sr-Latn-ME"/>
        </w:rPr>
        <w:t>slijepo kliničko ispitivanje, u kome je 9340 pacijenata bilo randomizovano, pri čemu su primali liraglutid (4668) ili placebo (4672), oba kao dodatak standardnim terapijama za HbA</w:t>
      </w:r>
      <w:r w:rsidRPr="00D95F2B">
        <w:rPr>
          <w:sz w:val="22"/>
          <w:szCs w:val="22"/>
          <w:vertAlign w:val="subscript"/>
          <w:lang w:val="sr-Latn-ME"/>
        </w:rPr>
        <w:t>1c</w:t>
      </w:r>
      <w:r w:rsidRPr="00D95F2B">
        <w:rPr>
          <w:sz w:val="22"/>
          <w:szCs w:val="22"/>
          <w:lang w:val="sr-Latn-ME"/>
        </w:rPr>
        <w:t xml:space="preserve"> i faktore kardiovaskularnog (KV) rizika. Podaci o primarnom ishodu ili vitalnom statusu na kraju ispitivanja bili su dostupni za 99,7% učesnika liječenih liraglutidom i 99,6% učesnika koji su primali placebo. Praćenje je trajalo najmanje 3,5 godin</w:t>
      </w:r>
      <w:r w:rsidR="00B663E1" w:rsidRPr="00D95F2B">
        <w:rPr>
          <w:sz w:val="22"/>
          <w:szCs w:val="22"/>
          <w:lang w:val="sr-Latn-ME"/>
        </w:rPr>
        <w:t>e</w:t>
      </w:r>
      <w:r w:rsidRPr="00D95F2B">
        <w:rPr>
          <w:sz w:val="22"/>
          <w:szCs w:val="22"/>
          <w:lang w:val="sr-Latn-ME"/>
        </w:rPr>
        <w:t>, a najviše 5 godina. Ispitivana populacija uključivala je pacijente starosti od ≥</w:t>
      </w:r>
      <w:r w:rsidR="00F220A6" w:rsidRPr="00D95F2B">
        <w:rPr>
          <w:sz w:val="22"/>
          <w:szCs w:val="22"/>
          <w:lang w:val="sr-Latn-ME"/>
        </w:rPr>
        <w:t xml:space="preserve"> </w:t>
      </w:r>
      <w:r w:rsidRPr="00D95F2B">
        <w:rPr>
          <w:sz w:val="22"/>
          <w:szCs w:val="22"/>
          <w:lang w:val="sr-Latn-ME"/>
        </w:rPr>
        <w:t>65 godina (n=4329) i pacijente starosti od ≥</w:t>
      </w:r>
      <w:r w:rsidR="00F220A6" w:rsidRPr="00D95F2B">
        <w:rPr>
          <w:sz w:val="22"/>
          <w:szCs w:val="22"/>
          <w:lang w:val="sr-Latn-ME"/>
        </w:rPr>
        <w:t xml:space="preserve"> </w:t>
      </w:r>
      <w:r w:rsidRPr="00D95F2B">
        <w:rPr>
          <w:sz w:val="22"/>
          <w:szCs w:val="22"/>
          <w:lang w:val="sr-Latn-ME"/>
        </w:rPr>
        <w:t>75 godina (n=836) i pacijen</w:t>
      </w:r>
      <w:r w:rsidR="00B663E1" w:rsidRPr="00D95F2B">
        <w:rPr>
          <w:sz w:val="22"/>
          <w:szCs w:val="22"/>
          <w:lang w:val="sr-Latn-ME"/>
        </w:rPr>
        <w:t>e</w:t>
      </w:r>
      <w:r w:rsidRPr="00D95F2B">
        <w:rPr>
          <w:sz w:val="22"/>
          <w:szCs w:val="22"/>
          <w:lang w:val="sr-Latn-ME"/>
        </w:rPr>
        <w:t xml:space="preserve"> sa blagim (n=3907), um</w:t>
      </w:r>
      <w:r w:rsidR="00A927E1" w:rsidRPr="00D95F2B">
        <w:rPr>
          <w:sz w:val="22"/>
          <w:szCs w:val="22"/>
          <w:lang w:val="sr-Latn-ME"/>
        </w:rPr>
        <w:t>j</w:t>
      </w:r>
      <w:r w:rsidRPr="00D95F2B">
        <w:rPr>
          <w:sz w:val="22"/>
          <w:szCs w:val="22"/>
          <w:lang w:val="sr-Latn-ME"/>
        </w:rPr>
        <w:t>erenim (n=1934) ili teškim (n=224) oštećenjem</w:t>
      </w:r>
      <w:r w:rsidR="00F220A6" w:rsidRPr="00D95F2B">
        <w:rPr>
          <w:sz w:val="22"/>
          <w:szCs w:val="22"/>
          <w:lang w:val="sr-Latn-ME"/>
        </w:rPr>
        <w:t xml:space="preserve"> funkcije</w:t>
      </w:r>
      <w:r w:rsidRPr="00D95F2B">
        <w:rPr>
          <w:sz w:val="22"/>
          <w:szCs w:val="22"/>
          <w:lang w:val="sr-Latn-ME"/>
        </w:rPr>
        <w:t xml:space="preserve"> bubrega. Srednja vrijednost starosti iznosila je 64 godine, a srednja vrijednost indeksa tjelesne mase (I</w:t>
      </w:r>
      <w:r w:rsidR="00A927E1" w:rsidRPr="00D95F2B">
        <w:rPr>
          <w:sz w:val="22"/>
          <w:szCs w:val="22"/>
          <w:lang w:val="sr-Latn-ME"/>
        </w:rPr>
        <w:t>TM</w:t>
      </w:r>
      <w:r w:rsidRPr="00D95F2B">
        <w:rPr>
          <w:sz w:val="22"/>
          <w:szCs w:val="22"/>
          <w:lang w:val="sr-Latn-ME"/>
        </w:rPr>
        <w:t>) iznosila je 32,5 kg/m</w:t>
      </w:r>
      <w:r w:rsidRPr="00D95F2B">
        <w:rPr>
          <w:sz w:val="22"/>
          <w:szCs w:val="22"/>
          <w:vertAlign w:val="superscript"/>
          <w:lang w:val="sr-Latn-ME"/>
        </w:rPr>
        <w:t>2</w:t>
      </w:r>
      <w:r w:rsidRPr="00D95F2B">
        <w:rPr>
          <w:sz w:val="22"/>
          <w:szCs w:val="22"/>
          <w:lang w:val="sr-Latn-ME"/>
        </w:rPr>
        <w:t>. Srednja vrijednost trajanja dijabetesa iznosila je 12,8 godina.</w:t>
      </w:r>
    </w:p>
    <w:p w14:paraId="0F90B06E" w14:textId="77777777" w:rsidR="00490E2B" w:rsidRPr="00D95F2B" w:rsidRDefault="00490E2B" w:rsidP="00490E2B">
      <w:pPr>
        <w:tabs>
          <w:tab w:val="left" w:pos="612"/>
          <w:tab w:val="center" w:pos="4536"/>
          <w:tab w:val="right" w:pos="9072"/>
        </w:tabs>
        <w:jc w:val="both"/>
        <w:rPr>
          <w:sz w:val="22"/>
          <w:szCs w:val="22"/>
          <w:lang w:val="sr-Latn-ME"/>
        </w:rPr>
      </w:pPr>
    </w:p>
    <w:p w14:paraId="3CCD2D13" w14:textId="7777777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 xml:space="preserve">Primarni krajnji cilj bilo je vrijeme od randomizacije do prvog ispoljavanja bilo kog velikog kardiovaskularnog neželjenjog događaja (engl. </w:t>
      </w:r>
      <w:r w:rsidRPr="00D95F2B">
        <w:rPr>
          <w:i/>
          <w:sz w:val="22"/>
          <w:szCs w:val="22"/>
          <w:lang w:val="sr-Latn-ME"/>
        </w:rPr>
        <w:t>Major Adverse Cardiovascular Events</w:t>
      </w:r>
      <w:r w:rsidRPr="00D95F2B">
        <w:rPr>
          <w:sz w:val="22"/>
          <w:szCs w:val="22"/>
          <w:lang w:val="sr-Latn-ME"/>
        </w:rPr>
        <w:t xml:space="preserve">, MACE): smrti prouzrokovane KV događajem, infarkta miokarda bez smrtnog ishoda ili moždanog udara bez smrtnog ishoda. Liraglutid je bio superioran u prevenciji MACE događaja u odnosu na placebo (Slika 1). Procenjen odnos štetnog uticaja (engl. </w:t>
      </w:r>
      <w:r w:rsidRPr="00D95F2B">
        <w:rPr>
          <w:i/>
          <w:iCs/>
          <w:sz w:val="22"/>
          <w:szCs w:val="22"/>
          <w:lang w:val="sr-Latn-ME"/>
        </w:rPr>
        <w:t>hazard ratio</w:t>
      </w:r>
      <w:r w:rsidRPr="00D95F2B">
        <w:rPr>
          <w:sz w:val="22"/>
          <w:szCs w:val="22"/>
          <w:lang w:val="sr-Latn-ME"/>
        </w:rPr>
        <w:t>, HR) konzistentno je bio manji od 1 za sva 3 pojedinačna MACE događaja.</w:t>
      </w:r>
    </w:p>
    <w:p w14:paraId="264705D3" w14:textId="77777777" w:rsidR="00490E2B" w:rsidRPr="00D95F2B" w:rsidRDefault="00490E2B" w:rsidP="00490E2B">
      <w:pPr>
        <w:tabs>
          <w:tab w:val="left" w:pos="612"/>
          <w:tab w:val="center" w:pos="4536"/>
          <w:tab w:val="right" w:pos="9072"/>
        </w:tabs>
        <w:jc w:val="both"/>
        <w:rPr>
          <w:sz w:val="22"/>
          <w:szCs w:val="22"/>
          <w:lang w:val="sr-Latn-ME"/>
        </w:rPr>
      </w:pPr>
    </w:p>
    <w:p w14:paraId="0DB733EA" w14:textId="7777777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Liraglutid je značajno smanjio i rizik od proširenih MACE događaja (primarni MACE događaji, nestabilna angina pektoris koja dovodi do hospitalizacije, koronarna revaskularizacija ili hospitalizacija zbog srčane insuficijencije) i drugih sekundarnih krajnjih ciljeva (Slika 2).</w:t>
      </w:r>
    </w:p>
    <w:p w14:paraId="484F5DB1" w14:textId="77777777" w:rsidR="00490E2B" w:rsidRPr="00D95F2B" w:rsidRDefault="00490E2B" w:rsidP="00490E2B">
      <w:pPr>
        <w:tabs>
          <w:tab w:val="left" w:pos="612"/>
          <w:tab w:val="center" w:pos="4536"/>
          <w:tab w:val="right" w:pos="9072"/>
        </w:tabs>
        <w:jc w:val="both"/>
        <w:rPr>
          <w:sz w:val="22"/>
          <w:szCs w:val="22"/>
          <w:lang w:val="sr-Latn-ME"/>
        </w:rPr>
      </w:pPr>
    </w:p>
    <w:bookmarkStart w:id="0" w:name="_MON_1754378033"/>
    <w:bookmarkEnd w:id="0"/>
    <w:p w14:paraId="27CA264B" w14:textId="1A7DF647" w:rsidR="00490E2B" w:rsidRPr="00D95F2B" w:rsidRDefault="00A927E1" w:rsidP="00490E2B">
      <w:pPr>
        <w:tabs>
          <w:tab w:val="left" w:pos="612"/>
          <w:tab w:val="center" w:pos="4536"/>
          <w:tab w:val="right" w:pos="9072"/>
        </w:tabs>
        <w:jc w:val="both"/>
        <w:rPr>
          <w:rStyle w:val="PageNumber"/>
          <w:rFonts w:ascii="Humanist777" w:hAnsi="Humanist777"/>
          <w:szCs w:val="22"/>
          <w:lang w:val="sr-Latn-ME"/>
        </w:rPr>
      </w:pPr>
      <w:r w:rsidRPr="00D95F2B">
        <w:rPr>
          <w:rFonts w:ascii="Humanist777" w:hAnsi="Humanist777"/>
          <w:szCs w:val="22"/>
          <w:lang w:val="sr-Latn-ME"/>
        </w:rPr>
        <w:object w:dxaOrig="7371" w:dyaOrig="4087" w14:anchorId="0D4B4F73">
          <v:shape id="_x0000_i1026" type="#_x0000_t75" style="width:367.5pt;height:204pt" o:ole="">
            <v:imagedata r:id="rId12" o:title=""/>
          </v:shape>
          <o:OLEObject Type="Embed" ProgID="Word.Document.12" ShapeID="_x0000_i1026" DrawAspect="Content" ObjectID="_1816508087" r:id="rId13">
            <o:FieldCodes>\s</o:FieldCodes>
          </o:OLEObject>
        </w:object>
      </w:r>
    </w:p>
    <w:p w14:paraId="112BE0AB" w14:textId="6F496DFF" w:rsidR="00490E2B" w:rsidRPr="00D95F2B" w:rsidRDefault="00490E2B" w:rsidP="00490E2B">
      <w:pPr>
        <w:tabs>
          <w:tab w:val="left" w:pos="284"/>
        </w:tabs>
        <w:jc w:val="both"/>
        <w:rPr>
          <w:sz w:val="22"/>
          <w:szCs w:val="22"/>
          <w:lang w:val="sr-Latn-ME"/>
        </w:rPr>
      </w:pPr>
      <w:r w:rsidRPr="00D95F2B">
        <w:rPr>
          <w:b/>
          <w:sz w:val="22"/>
          <w:szCs w:val="22"/>
          <w:lang w:val="sr-Latn-ME"/>
        </w:rPr>
        <w:t>Slika 1:</w:t>
      </w:r>
      <w:r w:rsidRPr="00D95F2B">
        <w:rPr>
          <w:sz w:val="22"/>
          <w:szCs w:val="22"/>
          <w:lang w:val="sr-Latn-ME"/>
        </w:rPr>
        <w:t xml:space="preserve"> </w:t>
      </w:r>
      <w:r w:rsidRPr="00D95F2B">
        <w:rPr>
          <w:b/>
          <w:sz w:val="22"/>
          <w:szCs w:val="22"/>
          <w:lang w:val="sr-Latn-ME"/>
        </w:rPr>
        <w:t xml:space="preserve">Kaplan-Meier-ova kriva vremena </w:t>
      </w:r>
      <w:r w:rsidR="00F220A6" w:rsidRPr="00D95F2B">
        <w:rPr>
          <w:b/>
          <w:sz w:val="22"/>
          <w:szCs w:val="22"/>
          <w:lang w:val="sr-Latn-ME"/>
        </w:rPr>
        <w:t>do</w:t>
      </w:r>
      <w:r w:rsidRPr="00D95F2B">
        <w:rPr>
          <w:b/>
          <w:sz w:val="22"/>
          <w:szCs w:val="22"/>
          <w:lang w:val="sr-Latn-ME"/>
        </w:rPr>
        <w:t xml:space="preserve"> prvog MACE događaja – FAS populacija</w:t>
      </w:r>
    </w:p>
    <w:p w14:paraId="5B56B64B" w14:textId="77777777" w:rsidR="00490E2B" w:rsidRPr="00D95F2B" w:rsidRDefault="00490E2B" w:rsidP="00490E2B">
      <w:pPr>
        <w:tabs>
          <w:tab w:val="left" w:pos="612"/>
          <w:tab w:val="center" w:pos="4536"/>
          <w:tab w:val="right" w:pos="9072"/>
        </w:tabs>
        <w:jc w:val="both"/>
        <w:rPr>
          <w:sz w:val="22"/>
          <w:szCs w:val="22"/>
          <w:lang w:val="sr-Latn-ME"/>
        </w:rPr>
      </w:pPr>
    </w:p>
    <w:p w14:paraId="289C419A" w14:textId="77777777" w:rsidR="00490E2B" w:rsidRPr="00D95F2B" w:rsidRDefault="00490E2B" w:rsidP="00490E2B">
      <w:pPr>
        <w:tabs>
          <w:tab w:val="left" w:pos="612"/>
          <w:tab w:val="center" w:pos="4536"/>
          <w:tab w:val="right" w:pos="9072"/>
        </w:tabs>
        <w:jc w:val="both"/>
        <w:rPr>
          <w:sz w:val="22"/>
          <w:szCs w:val="22"/>
          <w:lang w:val="sr-Latn-ME"/>
        </w:rPr>
      </w:pPr>
      <w:r w:rsidRPr="00D95F2B">
        <w:rPr>
          <w:rFonts w:ascii="Humanist777" w:hAnsi="Humanist777"/>
          <w:iCs/>
          <w:lang w:val="sr-Latn-ME"/>
        </w:rPr>
        <w:object w:dxaOrig="7365" w:dyaOrig="5640" w14:anchorId="1D33B510">
          <v:shape id="_x0000_i1027" type="#_x0000_t75" style="width:368.25pt;height:282pt" o:ole="">
            <v:imagedata r:id="rId14" o:title=""/>
          </v:shape>
          <o:OLEObject Type="Embed" ProgID="Word.Document.12" ShapeID="_x0000_i1027" DrawAspect="Content" ObjectID="_1816508088" r:id="rId15">
            <o:FieldCodes>\s</o:FieldCodes>
          </o:OLEObject>
        </w:object>
      </w:r>
    </w:p>
    <w:p w14:paraId="0D8D6912" w14:textId="77777777" w:rsidR="00490E2B" w:rsidRPr="00D95F2B" w:rsidRDefault="00490E2B" w:rsidP="00490E2B">
      <w:pPr>
        <w:tabs>
          <w:tab w:val="left" w:pos="612"/>
          <w:tab w:val="center" w:pos="4536"/>
          <w:tab w:val="right" w:pos="9072"/>
        </w:tabs>
        <w:jc w:val="both"/>
        <w:rPr>
          <w:sz w:val="22"/>
          <w:szCs w:val="22"/>
          <w:lang w:val="sr-Latn-ME"/>
        </w:rPr>
      </w:pPr>
      <w:r w:rsidRPr="00D95F2B">
        <w:rPr>
          <w:b/>
          <w:iCs/>
          <w:sz w:val="22"/>
          <w:szCs w:val="22"/>
          <w:lang w:val="sr-Latn-ME"/>
        </w:rPr>
        <w:t xml:space="preserve">Slika 2: Grafikon raspona pouzdanosti (engl. </w:t>
      </w:r>
      <w:r w:rsidRPr="00D95F2B">
        <w:rPr>
          <w:b/>
          <w:i/>
          <w:iCs/>
          <w:sz w:val="22"/>
          <w:szCs w:val="22"/>
          <w:lang w:val="sr-Latn-ME"/>
        </w:rPr>
        <w:t>forest plot</w:t>
      </w:r>
      <w:r w:rsidRPr="00D95F2B">
        <w:rPr>
          <w:b/>
          <w:iCs/>
          <w:sz w:val="22"/>
          <w:szCs w:val="22"/>
          <w:lang w:val="sr-Latn-ME"/>
        </w:rPr>
        <w:t xml:space="preserve">) za analize pojedinačnih vrsta kardiovaskularnih događaja </w:t>
      </w:r>
      <w:r w:rsidRPr="00D95F2B">
        <w:rPr>
          <w:b/>
          <w:sz w:val="22"/>
          <w:szCs w:val="22"/>
          <w:lang w:val="sr-Latn-ME"/>
        </w:rPr>
        <w:t>–</w:t>
      </w:r>
      <w:r w:rsidRPr="00D95F2B">
        <w:rPr>
          <w:b/>
          <w:iCs/>
          <w:sz w:val="22"/>
          <w:szCs w:val="22"/>
          <w:lang w:val="sr-Latn-ME"/>
        </w:rPr>
        <w:t xml:space="preserve"> FAS populacija</w:t>
      </w:r>
    </w:p>
    <w:p w14:paraId="05048CE4" w14:textId="77777777" w:rsidR="00490E2B" w:rsidRPr="00D95F2B" w:rsidRDefault="00490E2B" w:rsidP="00490E2B">
      <w:pPr>
        <w:tabs>
          <w:tab w:val="left" w:pos="612"/>
          <w:tab w:val="center" w:pos="4536"/>
          <w:tab w:val="right" w:pos="9072"/>
        </w:tabs>
        <w:jc w:val="both"/>
        <w:rPr>
          <w:sz w:val="22"/>
          <w:szCs w:val="22"/>
          <w:lang w:val="sr-Latn-ME"/>
        </w:rPr>
      </w:pPr>
    </w:p>
    <w:p w14:paraId="1A9DC6E5" w14:textId="36C2C785"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Kod primjene liraglutida kao dodatka standardnom liječenju prim</w:t>
      </w:r>
      <w:r w:rsidR="00F220A6" w:rsidRPr="00D95F2B">
        <w:rPr>
          <w:sz w:val="22"/>
          <w:szCs w:val="22"/>
          <w:lang w:val="sr-Latn-ME"/>
        </w:rPr>
        <w:t>i</w:t>
      </w:r>
      <w:r w:rsidRPr="00D95F2B">
        <w:rPr>
          <w:sz w:val="22"/>
          <w:szCs w:val="22"/>
          <w:lang w:val="sr-Latn-ME"/>
        </w:rPr>
        <w:t>jećeno je značajno i održivo sniženje HbA</w:t>
      </w:r>
      <w:r w:rsidRPr="00D95F2B">
        <w:rPr>
          <w:sz w:val="22"/>
          <w:szCs w:val="22"/>
          <w:vertAlign w:val="subscript"/>
          <w:lang w:val="sr-Latn-ME"/>
        </w:rPr>
        <w:t>1c</w:t>
      </w:r>
      <w:r w:rsidRPr="00D95F2B">
        <w:rPr>
          <w:sz w:val="22"/>
          <w:szCs w:val="22"/>
          <w:lang w:val="sr-Latn-ME"/>
        </w:rPr>
        <w:t xml:space="preserve"> od početka ispitivanja do 36. mjeseca u odnosu na placebo (-1,16% prema -0,77%; proc</w:t>
      </w:r>
      <w:r w:rsidR="00F220A6" w:rsidRPr="00D95F2B">
        <w:rPr>
          <w:sz w:val="22"/>
          <w:szCs w:val="22"/>
          <w:lang w:val="sr-Latn-ME"/>
        </w:rPr>
        <w:t>ij</w:t>
      </w:r>
      <w:r w:rsidRPr="00D95F2B">
        <w:rPr>
          <w:sz w:val="22"/>
          <w:szCs w:val="22"/>
          <w:lang w:val="sr-Latn-ME"/>
        </w:rPr>
        <w:t xml:space="preserve">enjena </w:t>
      </w:r>
      <w:r w:rsidRPr="00D95F2B">
        <w:rPr>
          <w:sz w:val="22"/>
          <w:szCs w:val="22"/>
          <w:lang w:val="sr-Latn-ME"/>
        </w:rPr>
        <w:lastRenderedPageBreak/>
        <w:t>razlika između liječenja: -0,40% [-0,45; -0,34]). Potreba za intenziviranjem liječenja insulinom smanjila se za 48% uz liraglutid u odnosu na placebo među pacijentima koji prije početka ispitivanja nijesu bili liječeni insulinom (HR 0,52 [0,48; 0,57]).</w:t>
      </w:r>
    </w:p>
    <w:p w14:paraId="31E3FE48" w14:textId="001C5968" w:rsidR="00490E2B" w:rsidRPr="00D95F2B" w:rsidRDefault="00490E2B" w:rsidP="00490E2B">
      <w:pPr>
        <w:tabs>
          <w:tab w:val="left" w:pos="612"/>
          <w:tab w:val="center" w:pos="4536"/>
          <w:tab w:val="right" w:pos="9072"/>
        </w:tabs>
        <w:jc w:val="both"/>
        <w:rPr>
          <w:sz w:val="22"/>
          <w:szCs w:val="22"/>
          <w:lang w:val="sr-Latn-ME"/>
        </w:rPr>
      </w:pPr>
    </w:p>
    <w:p w14:paraId="129EE7C0" w14:textId="77777777" w:rsidR="00490E2B" w:rsidRPr="00D95F2B" w:rsidRDefault="00490E2B" w:rsidP="001C025C">
      <w:pPr>
        <w:pStyle w:val="ListParagraph"/>
        <w:numPr>
          <w:ilvl w:val="0"/>
          <w:numId w:val="13"/>
        </w:numPr>
        <w:tabs>
          <w:tab w:val="left" w:pos="612"/>
          <w:tab w:val="center" w:pos="4536"/>
          <w:tab w:val="right" w:pos="9072"/>
        </w:tabs>
        <w:jc w:val="both"/>
        <w:rPr>
          <w:sz w:val="22"/>
          <w:szCs w:val="22"/>
          <w:lang w:val="sr-Latn-ME"/>
        </w:rPr>
      </w:pPr>
      <w:r w:rsidRPr="00D95F2B">
        <w:rPr>
          <w:sz w:val="22"/>
          <w:szCs w:val="22"/>
          <w:lang w:val="sr-Latn-ME"/>
        </w:rPr>
        <w:t>Krvni pritisak i srčana frekvencija</w:t>
      </w:r>
    </w:p>
    <w:p w14:paraId="6B5C205E" w14:textId="6384731B"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Tokom trajanja ispitivanja faze 3a, liraglutid je snizio sistolni krvni pritisak u pros</w:t>
      </w:r>
      <w:r w:rsidR="00F220A6" w:rsidRPr="00D95F2B">
        <w:rPr>
          <w:sz w:val="22"/>
          <w:szCs w:val="22"/>
          <w:lang w:val="sr-Latn-ME"/>
        </w:rPr>
        <w:t>j</w:t>
      </w:r>
      <w:r w:rsidRPr="00D95F2B">
        <w:rPr>
          <w:sz w:val="22"/>
          <w:szCs w:val="22"/>
          <w:lang w:val="sr-Latn-ME"/>
        </w:rPr>
        <w:t>eku za 2,3 do 6,7 mmHg u odnosu na početnu vrijednost, što predstavlja sniženje od 1,9 do 4,5 mmHg u odnosu na aktivni komparativni lijek. U dugotrajnim kliničkim ispitivanjima, uključujući ispitivanje LEADER, prim</w:t>
      </w:r>
      <w:r w:rsidR="005D7D61" w:rsidRPr="00D95F2B">
        <w:rPr>
          <w:sz w:val="22"/>
          <w:szCs w:val="22"/>
          <w:lang w:val="sr-Latn-ME"/>
        </w:rPr>
        <w:t>i</w:t>
      </w:r>
      <w:r w:rsidRPr="00D95F2B">
        <w:rPr>
          <w:sz w:val="22"/>
          <w:szCs w:val="22"/>
          <w:lang w:val="sr-Latn-ME"/>
        </w:rPr>
        <w:t>jećena je srednja vrijednost porasta srčane frekvencije za 2-3 otkucaja u minutu u odnosu na početnu vrijednost. U ispitivanju LEADER nije zapažen dugoročan klinički uticaj povećane srčane frekvencije na rizik od kardiovaskularnih događaja.</w:t>
      </w:r>
    </w:p>
    <w:p w14:paraId="6B40C7D8" w14:textId="77777777" w:rsidR="003B5692" w:rsidRPr="00D95F2B" w:rsidRDefault="003B5692" w:rsidP="00490E2B">
      <w:pPr>
        <w:tabs>
          <w:tab w:val="left" w:pos="612"/>
          <w:tab w:val="center" w:pos="4536"/>
          <w:tab w:val="right" w:pos="9072"/>
        </w:tabs>
        <w:jc w:val="both"/>
        <w:rPr>
          <w:sz w:val="22"/>
          <w:szCs w:val="22"/>
          <w:lang w:val="sr-Latn-ME"/>
        </w:rPr>
      </w:pPr>
    </w:p>
    <w:p w14:paraId="48529F93" w14:textId="77777777" w:rsidR="00490E2B" w:rsidRPr="00D95F2B" w:rsidRDefault="00490E2B" w:rsidP="001C025C">
      <w:pPr>
        <w:pStyle w:val="ListParagraph"/>
        <w:numPr>
          <w:ilvl w:val="0"/>
          <w:numId w:val="13"/>
        </w:numPr>
        <w:tabs>
          <w:tab w:val="left" w:pos="612"/>
          <w:tab w:val="center" w:pos="4536"/>
          <w:tab w:val="right" w:pos="9072"/>
        </w:tabs>
        <w:jc w:val="both"/>
        <w:rPr>
          <w:sz w:val="22"/>
          <w:szCs w:val="22"/>
          <w:lang w:val="sr-Latn-ME"/>
        </w:rPr>
      </w:pPr>
      <w:r w:rsidRPr="00D95F2B">
        <w:rPr>
          <w:sz w:val="22"/>
          <w:szCs w:val="22"/>
          <w:lang w:val="sr-Latn-ME"/>
        </w:rPr>
        <w:t>Mikrovaskularna evaluacija</w:t>
      </w:r>
    </w:p>
    <w:p w14:paraId="24C093C2" w14:textId="77777777"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U kliničkom ispitivanju LEADER, mikrovaskularne događaje činili su ishodi nefropatije i retinopatije. U analizi vremena do prvog mikrovaskularnog događaja uz liraglutid u odnosu na placebo HR je iznosio 0,84 [0,73; 0,97]. Štetan uticaj za liraglutid u odnosu na placebo iznosio je 0,78 [0,67; 0,92] za vrijeme do prvog događaja nefropatije, i 1,15 [0,87; 1,52] za vrijeme do prvog događaja retinopatije.</w:t>
      </w:r>
    </w:p>
    <w:p w14:paraId="0AF14CA7" w14:textId="77777777" w:rsidR="00490E2B" w:rsidRPr="00D95F2B" w:rsidRDefault="00490E2B" w:rsidP="00490E2B">
      <w:pPr>
        <w:tabs>
          <w:tab w:val="left" w:pos="612"/>
          <w:tab w:val="center" w:pos="4536"/>
          <w:tab w:val="right" w:pos="9072"/>
        </w:tabs>
        <w:jc w:val="both"/>
        <w:rPr>
          <w:sz w:val="22"/>
          <w:szCs w:val="22"/>
          <w:lang w:val="sr-Latn-ME"/>
        </w:rPr>
      </w:pPr>
    </w:p>
    <w:p w14:paraId="6616479B" w14:textId="77777777" w:rsidR="00490E2B" w:rsidRPr="00D95F2B" w:rsidRDefault="00490E2B" w:rsidP="00490E2B">
      <w:pPr>
        <w:numPr>
          <w:ilvl w:val="0"/>
          <w:numId w:val="15"/>
        </w:numPr>
        <w:tabs>
          <w:tab w:val="left" w:pos="284"/>
          <w:tab w:val="left" w:pos="612"/>
          <w:tab w:val="center" w:pos="4536"/>
          <w:tab w:val="right" w:pos="9072"/>
        </w:tabs>
        <w:jc w:val="both"/>
        <w:rPr>
          <w:sz w:val="22"/>
          <w:szCs w:val="22"/>
          <w:lang w:val="sr-Latn-ME"/>
        </w:rPr>
      </w:pPr>
      <w:r w:rsidRPr="00D95F2B">
        <w:rPr>
          <w:sz w:val="22"/>
          <w:szCs w:val="22"/>
          <w:lang w:val="sr-Latn-ME"/>
        </w:rPr>
        <w:t>Imunogenost</w:t>
      </w:r>
    </w:p>
    <w:p w14:paraId="7FC5F433" w14:textId="029ECC13"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Imajući u vidu potencijalna imunogena svojstva ljekova koji sadrže proteine odnosno peptide, kod pacijenata se mogu razviti anti-liraglutid antit</w:t>
      </w:r>
      <w:r w:rsidR="00173C9F" w:rsidRPr="00D95F2B">
        <w:rPr>
          <w:sz w:val="22"/>
          <w:szCs w:val="22"/>
          <w:lang w:val="sr-Latn-ME"/>
        </w:rPr>
        <w:t>i</w:t>
      </w:r>
      <w:r w:rsidRPr="00D95F2B">
        <w:rPr>
          <w:sz w:val="22"/>
          <w:szCs w:val="22"/>
          <w:lang w:val="sr-Latn-ME"/>
        </w:rPr>
        <w:t>jela nakon liječenja liraglutidom. U prosjeku, kod 8,6% pacijenata razvijaju se antitjela. Stvaranje antitjela se ne dovodi u vezu sa smanjenjem efikasnosti liraglutida.</w:t>
      </w:r>
    </w:p>
    <w:p w14:paraId="68364222" w14:textId="77777777" w:rsidR="00490E2B" w:rsidRPr="00D95F2B" w:rsidRDefault="00490E2B" w:rsidP="00490E2B">
      <w:pPr>
        <w:tabs>
          <w:tab w:val="left" w:pos="612"/>
          <w:tab w:val="center" w:pos="4536"/>
          <w:tab w:val="right" w:pos="9072"/>
        </w:tabs>
        <w:jc w:val="both"/>
        <w:rPr>
          <w:sz w:val="22"/>
          <w:szCs w:val="22"/>
          <w:lang w:val="sr-Latn-ME"/>
        </w:rPr>
      </w:pPr>
    </w:p>
    <w:p w14:paraId="04940B11" w14:textId="77777777" w:rsidR="00490E2B" w:rsidRPr="00D95F2B" w:rsidRDefault="00490E2B" w:rsidP="00490E2B">
      <w:pPr>
        <w:tabs>
          <w:tab w:val="left" w:pos="612"/>
          <w:tab w:val="center" w:pos="4536"/>
          <w:tab w:val="right" w:pos="9072"/>
        </w:tabs>
        <w:jc w:val="both"/>
        <w:rPr>
          <w:sz w:val="22"/>
          <w:szCs w:val="22"/>
          <w:u w:val="single"/>
          <w:lang w:val="sr-Latn-ME"/>
        </w:rPr>
      </w:pPr>
      <w:r w:rsidRPr="00D95F2B">
        <w:rPr>
          <w:sz w:val="22"/>
          <w:szCs w:val="22"/>
          <w:u w:val="single"/>
          <w:lang w:val="sr-Latn-ME"/>
        </w:rPr>
        <w:t>Pedijatrijska populacija</w:t>
      </w:r>
    </w:p>
    <w:p w14:paraId="3E793031" w14:textId="77777777" w:rsidR="00DD063C" w:rsidRPr="00D95F2B" w:rsidRDefault="00DD063C" w:rsidP="00DD063C">
      <w:pPr>
        <w:tabs>
          <w:tab w:val="left" w:pos="612"/>
          <w:tab w:val="center" w:pos="4536"/>
          <w:tab w:val="right" w:pos="9072"/>
        </w:tabs>
        <w:jc w:val="both"/>
        <w:rPr>
          <w:sz w:val="22"/>
          <w:szCs w:val="22"/>
          <w:lang w:val="sr-Latn-ME"/>
        </w:rPr>
      </w:pPr>
    </w:p>
    <w:p w14:paraId="4A3A974D" w14:textId="7F78DB88" w:rsidR="00DD063C" w:rsidRPr="00D95F2B" w:rsidRDefault="00DD063C" w:rsidP="00DD063C">
      <w:pPr>
        <w:tabs>
          <w:tab w:val="left" w:pos="612"/>
          <w:tab w:val="center" w:pos="4536"/>
          <w:tab w:val="right" w:pos="9072"/>
        </w:tabs>
        <w:jc w:val="both"/>
        <w:rPr>
          <w:sz w:val="22"/>
          <w:szCs w:val="22"/>
          <w:lang w:val="sr-Latn-ME"/>
        </w:rPr>
      </w:pPr>
      <w:r w:rsidRPr="00D95F2B">
        <w:rPr>
          <w:sz w:val="22"/>
          <w:szCs w:val="22"/>
          <w:lang w:val="sr-Latn-ME"/>
        </w:rPr>
        <w:t>U duplo</w:t>
      </w:r>
      <w:r w:rsidR="00E96E6E" w:rsidRPr="00D95F2B">
        <w:rPr>
          <w:sz w:val="22"/>
          <w:szCs w:val="22"/>
          <w:lang w:val="sr-Latn-ME"/>
        </w:rPr>
        <w:t>-</w:t>
      </w:r>
      <w:r w:rsidRPr="00D95F2B">
        <w:rPr>
          <w:sz w:val="22"/>
          <w:szCs w:val="22"/>
          <w:lang w:val="sr-Latn-ME"/>
        </w:rPr>
        <w:t xml:space="preserve">slijepom ispitivanju koje je poredilo efikasnost i bezbjednost dodavanja lijeka </w:t>
      </w:r>
      <w:r w:rsidR="00203EA1" w:rsidRPr="00D95F2B">
        <w:rPr>
          <w:sz w:val="22"/>
          <w:szCs w:val="22"/>
          <w:lang w:val="sr-Latn-ME"/>
        </w:rPr>
        <w:t>Victoza</w:t>
      </w:r>
      <w:r w:rsidRPr="00D95F2B">
        <w:rPr>
          <w:sz w:val="22"/>
          <w:szCs w:val="22"/>
          <w:lang w:val="sr-Latn-ME"/>
        </w:rPr>
        <w:t xml:space="preserve"> 1,8 mg i placeba na terapiju metforminom ± insulinom kod adolescenata i djece uzrasta od 10 i više godina sa dijabetesom tip 2, lijek </w:t>
      </w:r>
      <w:r w:rsidR="00203EA1" w:rsidRPr="00D95F2B">
        <w:rPr>
          <w:sz w:val="22"/>
          <w:szCs w:val="22"/>
          <w:lang w:val="sr-Latn-ME"/>
        </w:rPr>
        <w:t>Victoza</w:t>
      </w:r>
      <w:r w:rsidRPr="00D95F2B">
        <w:rPr>
          <w:sz w:val="22"/>
          <w:szCs w:val="22"/>
          <w:lang w:val="sr-Latn-ME"/>
        </w:rPr>
        <w:t xml:space="preserve"> je bio superioran u odnosu na placebo u smanjenju HbA</w:t>
      </w:r>
      <w:r w:rsidRPr="00D95F2B">
        <w:rPr>
          <w:sz w:val="22"/>
          <w:szCs w:val="22"/>
          <w:vertAlign w:val="subscript"/>
          <w:lang w:val="sr-Latn-ME"/>
        </w:rPr>
        <w:t>1c</w:t>
      </w:r>
      <w:r w:rsidRPr="00D95F2B">
        <w:rPr>
          <w:sz w:val="22"/>
          <w:szCs w:val="22"/>
          <w:lang w:val="sr-Latn-ME"/>
        </w:rPr>
        <w:t xml:space="preserve"> nakon 26 nedjelja (-1,06, [-1,65; 0,46]). Nakon dodatnih 26 nedjelja otvorene produžne faze, razlika u liječenju u </w:t>
      </w:r>
      <w:r w:rsidR="00A927E1" w:rsidRPr="00D95F2B">
        <w:rPr>
          <w:sz w:val="22"/>
          <w:szCs w:val="22"/>
          <w:lang w:val="sr-Latn-ME"/>
        </w:rPr>
        <w:t xml:space="preserve">pogledu </w:t>
      </w:r>
      <w:r w:rsidRPr="00D95F2B">
        <w:rPr>
          <w:sz w:val="22"/>
          <w:szCs w:val="22"/>
          <w:lang w:val="sr-Latn-ME"/>
        </w:rPr>
        <w:t>HbA</w:t>
      </w:r>
      <w:r w:rsidRPr="00D95F2B">
        <w:rPr>
          <w:sz w:val="22"/>
          <w:szCs w:val="22"/>
          <w:vertAlign w:val="subscript"/>
          <w:lang w:val="sr-Latn-ME"/>
        </w:rPr>
        <w:t>1c</w:t>
      </w:r>
      <w:r w:rsidRPr="00D95F2B">
        <w:rPr>
          <w:sz w:val="22"/>
          <w:szCs w:val="22"/>
          <w:lang w:val="sr-Latn-ME"/>
        </w:rPr>
        <w:t xml:space="preserve"> bila je 1,3%, čime je potvrđena kontinuirana kontrola glikemije uz lijek </w:t>
      </w:r>
      <w:r w:rsidR="00203EA1" w:rsidRPr="00D95F2B">
        <w:rPr>
          <w:sz w:val="22"/>
          <w:szCs w:val="22"/>
          <w:lang w:val="sr-Latn-ME"/>
        </w:rPr>
        <w:t>Victoza</w:t>
      </w:r>
      <w:r w:rsidRPr="00D95F2B">
        <w:rPr>
          <w:sz w:val="22"/>
          <w:szCs w:val="22"/>
          <w:lang w:val="sr-Latn-ME"/>
        </w:rPr>
        <w:t>.</w:t>
      </w:r>
    </w:p>
    <w:p w14:paraId="429A75BA" w14:textId="4C329CC5" w:rsidR="00490E2B" w:rsidRPr="00D95F2B" w:rsidRDefault="00DD063C" w:rsidP="00A927E1">
      <w:pPr>
        <w:tabs>
          <w:tab w:val="left" w:pos="612"/>
          <w:tab w:val="center" w:pos="4536"/>
          <w:tab w:val="right" w:pos="9072"/>
        </w:tabs>
        <w:jc w:val="both"/>
        <w:rPr>
          <w:sz w:val="22"/>
          <w:szCs w:val="22"/>
          <w:lang w:val="sr-Latn-ME"/>
        </w:rPr>
      </w:pPr>
      <w:r w:rsidRPr="00D95F2B">
        <w:rPr>
          <w:sz w:val="22"/>
          <w:szCs w:val="22"/>
          <w:lang w:val="sr-Latn-ME"/>
        </w:rPr>
        <w:t xml:space="preserve">Profil efikasnosti i bezbjednosti lijeka </w:t>
      </w:r>
      <w:r w:rsidR="00203EA1" w:rsidRPr="00D95F2B">
        <w:rPr>
          <w:sz w:val="22"/>
          <w:szCs w:val="22"/>
          <w:lang w:val="sr-Latn-ME"/>
        </w:rPr>
        <w:t>Victoza</w:t>
      </w:r>
      <w:r w:rsidRPr="00D95F2B">
        <w:rPr>
          <w:sz w:val="22"/>
          <w:szCs w:val="22"/>
          <w:lang w:val="sr-Latn-ME"/>
        </w:rPr>
        <w:t xml:space="preserve"> uporediv je sa profilom zapaženim u odrasloj populaciji liječenoj lijekom </w:t>
      </w:r>
      <w:r w:rsidR="00203EA1" w:rsidRPr="00D95F2B">
        <w:rPr>
          <w:sz w:val="22"/>
          <w:szCs w:val="22"/>
          <w:lang w:val="sr-Latn-ME"/>
        </w:rPr>
        <w:t>Victoza</w:t>
      </w:r>
      <w:r w:rsidRPr="00D95F2B">
        <w:rPr>
          <w:sz w:val="22"/>
          <w:szCs w:val="22"/>
          <w:lang w:val="sr-Latn-ME"/>
        </w:rPr>
        <w:t>. Na osnovu adekvatne kontrole glikemije ili podnošljivosti, 30% ispitanika je ostalo na dozi od 0,6 mg, 17% je povećalo dozu na 1,2 mg dok je 53% povećalo dozu na 1,8 mg.</w:t>
      </w:r>
    </w:p>
    <w:p w14:paraId="3AA347D2" w14:textId="77777777" w:rsidR="00490E2B" w:rsidRPr="00D95F2B" w:rsidRDefault="00490E2B" w:rsidP="00490E2B">
      <w:pPr>
        <w:tabs>
          <w:tab w:val="left" w:pos="612"/>
          <w:tab w:val="center" w:pos="4536"/>
          <w:tab w:val="right" w:pos="9072"/>
        </w:tabs>
        <w:jc w:val="both"/>
        <w:rPr>
          <w:sz w:val="22"/>
          <w:szCs w:val="22"/>
          <w:lang w:val="sr-Latn-ME"/>
        </w:rPr>
      </w:pPr>
    </w:p>
    <w:p w14:paraId="250728AB" w14:textId="77777777" w:rsidR="00490E2B" w:rsidRPr="00D95F2B" w:rsidRDefault="00490E2B" w:rsidP="00490E2B">
      <w:pPr>
        <w:tabs>
          <w:tab w:val="left" w:pos="612"/>
          <w:tab w:val="center" w:pos="4536"/>
          <w:tab w:val="right" w:pos="9072"/>
        </w:tabs>
        <w:jc w:val="both"/>
        <w:rPr>
          <w:sz w:val="22"/>
          <w:szCs w:val="22"/>
          <w:u w:val="single"/>
          <w:lang w:val="sr-Latn-ME"/>
        </w:rPr>
      </w:pPr>
      <w:r w:rsidRPr="00D95F2B">
        <w:rPr>
          <w:sz w:val="22"/>
          <w:szCs w:val="22"/>
          <w:u w:val="single"/>
          <w:lang w:val="sr-Latn-ME"/>
        </w:rPr>
        <w:t>Ostali klinički podaci</w:t>
      </w:r>
    </w:p>
    <w:p w14:paraId="1EAFF8BF" w14:textId="77777777" w:rsidR="00490E2B" w:rsidRPr="00D95F2B" w:rsidRDefault="00490E2B" w:rsidP="00490E2B">
      <w:pPr>
        <w:tabs>
          <w:tab w:val="left" w:pos="612"/>
          <w:tab w:val="center" w:pos="4536"/>
          <w:tab w:val="right" w:pos="9072"/>
        </w:tabs>
        <w:jc w:val="both"/>
        <w:rPr>
          <w:sz w:val="22"/>
          <w:szCs w:val="22"/>
          <w:u w:val="single"/>
          <w:lang w:val="sr-Latn-ME"/>
        </w:rPr>
      </w:pPr>
    </w:p>
    <w:p w14:paraId="5FE67BF2" w14:textId="2916A0B5"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U otvorenom ispitivanju, u kom su se poredili efikasnost i bezbjednost liraglutida (1,2 mg i 1,8 mg) i sitagliptina (DPP-4 inhibitora, 100 mg) kod pacijenata koji nijesu bili adekvatno kontrolisani terapijom metforminom (pros</w:t>
      </w:r>
      <w:r w:rsidR="00173C9F" w:rsidRPr="00D95F2B">
        <w:rPr>
          <w:sz w:val="22"/>
          <w:szCs w:val="22"/>
          <w:lang w:val="sr-Latn-ME"/>
        </w:rPr>
        <w:t>j</w:t>
      </w:r>
      <w:r w:rsidRPr="00D95F2B">
        <w:rPr>
          <w:sz w:val="22"/>
          <w:szCs w:val="22"/>
          <w:lang w:val="sr-Latn-ME"/>
        </w:rPr>
        <w:t>ečni HbA</w:t>
      </w:r>
      <w:r w:rsidRPr="00D95F2B">
        <w:rPr>
          <w:sz w:val="22"/>
          <w:szCs w:val="22"/>
          <w:vertAlign w:val="subscript"/>
          <w:lang w:val="sr-Latn-ME"/>
        </w:rPr>
        <w:t>1c</w:t>
      </w:r>
      <w:r w:rsidRPr="00D95F2B">
        <w:rPr>
          <w:sz w:val="22"/>
          <w:szCs w:val="22"/>
          <w:lang w:val="sr-Latn-ME"/>
        </w:rPr>
        <w:t xml:space="preserve"> 8,5%), liraglutid prim</w:t>
      </w:r>
      <w:r w:rsidR="005D7D61" w:rsidRPr="00D95F2B">
        <w:rPr>
          <w:sz w:val="22"/>
          <w:szCs w:val="22"/>
          <w:lang w:val="sr-Latn-ME"/>
        </w:rPr>
        <w:t>i</w:t>
      </w:r>
      <w:r w:rsidRPr="00D95F2B">
        <w:rPr>
          <w:sz w:val="22"/>
          <w:szCs w:val="22"/>
          <w:lang w:val="sr-Latn-ME"/>
        </w:rPr>
        <w:t>jenjen u ob</w:t>
      </w:r>
      <w:r w:rsidR="006C0338" w:rsidRPr="00D95F2B">
        <w:rPr>
          <w:sz w:val="22"/>
          <w:szCs w:val="22"/>
          <w:lang w:val="sr-Latn-ME"/>
        </w:rPr>
        <w:t>j</w:t>
      </w:r>
      <w:r w:rsidRPr="00D95F2B">
        <w:rPr>
          <w:sz w:val="22"/>
          <w:szCs w:val="22"/>
          <w:lang w:val="sr-Latn-ME"/>
        </w:rPr>
        <w:t>e doze je bio statistički superioran u odnosu na terapiju sitagliptinom u snižavanju HbA</w:t>
      </w:r>
      <w:r w:rsidRPr="00D95F2B">
        <w:rPr>
          <w:sz w:val="22"/>
          <w:szCs w:val="22"/>
          <w:vertAlign w:val="subscript"/>
          <w:lang w:val="sr-Latn-ME"/>
        </w:rPr>
        <w:t>1c</w:t>
      </w:r>
      <w:r w:rsidRPr="00D95F2B">
        <w:rPr>
          <w:sz w:val="22"/>
          <w:szCs w:val="22"/>
          <w:lang w:val="sr-Latn-ME"/>
        </w:rPr>
        <w:t xml:space="preserve"> nakon 26 nedjelj</w:t>
      </w:r>
      <w:r w:rsidR="00B663E1" w:rsidRPr="00D95F2B">
        <w:rPr>
          <w:sz w:val="22"/>
          <w:szCs w:val="22"/>
          <w:lang w:val="sr-Latn-ME"/>
        </w:rPr>
        <w:t>a</w:t>
      </w:r>
      <w:r w:rsidRPr="00D95F2B">
        <w:rPr>
          <w:sz w:val="22"/>
          <w:szCs w:val="22"/>
          <w:lang w:val="sr-Latn-ME"/>
        </w:rPr>
        <w:t xml:space="preserve"> (-1,24%, -1,50% </w:t>
      </w:r>
      <w:r w:rsidR="00A927E1" w:rsidRPr="00D95F2B">
        <w:rPr>
          <w:sz w:val="22"/>
          <w:szCs w:val="22"/>
          <w:lang w:val="sr-Latn-ME"/>
        </w:rPr>
        <w:t xml:space="preserve">naspram </w:t>
      </w:r>
      <w:r w:rsidRPr="00D95F2B">
        <w:rPr>
          <w:sz w:val="22"/>
          <w:szCs w:val="22"/>
          <w:lang w:val="sr-Latn-ME"/>
        </w:rPr>
        <w:t>-0,90%, p&lt;0</w:t>
      </w:r>
      <w:r w:rsidR="00D849EE" w:rsidRPr="00D95F2B">
        <w:rPr>
          <w:sz w:val="22"/>
          <w:szCs w:val="22"/>
          <w:lang w:val="sr-Latn-ME"/>
        </w:rPr>
        <w:t>,</w:t>
      </w:r>
      <w:r w:rsidRPr="00D95F2B">
        <w:rPr>
          <w:sz w:val="22"/>
          <w:szCs w:val="22"/>
          <w:lang w:val="sr-Latn-ME"/>
        </w:rPr>
        <w:t xml:space="preserve">0001). Pacijenti liječeni liraglutidom su imali značajno smanjenje tjelesne </w:t>
      </w:r>
      <w:r w:rsidR="00CE1B30" w:rsidRPr="00D95F2B">
        <w:rPr>
          <w:sz w:val="22"/>
          <w:szCs w:val="22"/>
          <w:lang w:val="sr-Latn-ME"/>
        </w:rPr>
        <w:t xml:space="preserve">mase </w:t>
      </w:r>
      <w:r w:rsidRPr="00D95F2B">
        <w:rPr>
          <w:sz w:val="22"/>
          <w:szCs w:val="22"/>
          <w:lang w:val="sr-Latn-ME"/>
        </w:rPr>
        <w:t>u poređenju sa pacijentima liječenim sitagliptinom (-2</w:t>
      </w:r>
      <w:r w:rsidR="00D849EE" w:rsidRPr="00D95F2B">
        <w:rPr>
          <w:sz w:val="22"/>
          <w:szCs w:val="22"/>
          <w:lang w:val="sr-Latn-ME"/>
        </w:rPr>
        <w:t>,</w:t>
      </w:r>
      <w:r w:rsidRPr="00D95F2B">
        <w:rPr>
          <w:sz w:val="22"/>
          <w:szCs w:val="22"/>
          <w:lang w:val="sr-Latn-ME"/>
        </w:rPr>
        <w:t>9 kg i -3</w:t>
      </w:r>
      <w:r w:rsidR="00D849EE" w:rsidRPr="00D95F2B">
        <w:rPr>
          <w:sz w:val="22"/>
          <w:szCs w:val="22"/>
          <w:lang w:val="sr-Latn-ME"/>
        </w:rPr>
        <w:t>,</w:t>
      </w:r>
      <w:r w:rsidRPr="00D95F2B">
        <w:rPr>
          <w:sz w:val="22"/>
          <w:szCs w:val="22"/>
          <w:lang w:val="sr-Latn-ME"/>
        </w:rPr>
        <w:t xml:space="preserve">4 kg </w:t>
      </w:r>
      <w:r w:rsidR="00C0279A" w:rsidRPr="00D95F2B">
        <w:rPr>
          <w:sz w:val="22"/>
          <w:szCs w:val="22"/>
          <w:lang w:val="sr-Latn-ME"/>
        </w:rPr>
        <w:t>naspram</w:t>
      </w:r>
      <w:r w:rsidRPr="00D95F2B">
        <w:rPr>
          <w:sz w:val="22"/>
          <w:szCs w:val="22"/>
          <w:lang w:val="sr-Latn-ME"/>
        </w:rPr>
        <w:t xml:space="preserve"> -1</w:t>
      </w:r>
      <w:r w:rsidR="00D849EE" w:rsidRPr="00D95F2B">
        <w:rPr>
          <w:sz w:val="22"/>
          <w:szCs w:val="22"/>
          <w:lang w:val="sr-Latn-ME"/>
        </w:rPr>
        <w:t>,</w:t>
      </w:r>
      <w:r w:rsidRPr="00D95F2B">
        <w:rPr>
          <w:sz w:val="22"/>
          <w:szCs w:val="22"/>
          <w:lang w:val="sr-Latn-ME"/>
        </w:rPr>
        <w:t>0 kg, p&lt;0</w:t>
      </w:r>
      <w:r w:rsidR="00D849EE" w:rsidRPr="00D95F2B">
        <w:rPr>
          <w:sz w:val="22"/>
          <w:szCs w:val="22"/>
          <w:lang w:val="sr-Latn-ME"/>
        </w:rPr>
        <w:t>,</w:t>
      </w:r>
      <w:r w:rsidRPr="00D95F2B">
        <w:rPr>
          <w:sz w:val="22"/>
          <w:szCs w:val="22"/>
          <w:lang w:val="sr-Latn-ME"/>
        </w:rPr>
        <w:t>0001). Procenat pacijenata kod kojih se javila prolazna mučnina je bio veći kod onih koji su bili liječeni liraglutidom u odnosu na pacijente liječene sitagliptinom (20,8% i 27,1% za liraglutid prema 4</w:t>
      </w:r>
      <w:r w:rsidR="002B44CA" w:rsidRPr="00D95F2B">
        <w:rPr>
          <w:sz w:val="22"/>
          <w:szCs w:val="22"/>
          <w:lang w:val="sr-Latn-ME"/>
        </w:rPr>
        <w:t>,</w:t>
      </w:r>
      <w:r w:rsidRPr="00D95F2B">
        <w:rPr>
          <w:sz w:val="22"/>
          <w:szCs w:val="22"/>
          <w:lang w:val="sr-Latn-ME"/>
        </w:rPr>
        <w:t>6% za sitagliptin). Smanjenje HbA</w:t>
      </w:r>
      <w:r w:rsidRPr="00D95F2B">
        <w:rPr>
          <w:sz w:val="22"/>
          <w:szCs w:val="22"/>
          <w:vertAlign w:val="subscript"/>
          <w:lang w:val="sr-Latn-ME"/>
        </w:rPr>
        <w:t>1c</w:t>
      </w:r>
      <w:r w:rsidRPr="00D95F2B">
        <w:rPr>
          <w:sz w:val="22"/>
          <w:szCs w:val="22"/>
          <w:lang w:val="sr-Latn-ME"/>
        </w:rPr>
        <w:t xml:space="preserve"> i superiornost naspram sitagliptina zapažen</w:t>
      </w:r>
      <w:r w:rsidR="002B44CA" w:rsidRPr="00D95F2B">
        <w:rPr>
          <w:sz w:val="22"/>
          <w:szCs w:val="22"/>
          <w:lang w:val="sr-Latn-ME"/>
        </w:rPr>
        <w:t>i</w:t>
      </w:r>
      <w:r w:rsidRPr="00D95F2B">
        <w:rPr>
          <w:sz w:val="22"/>
          <w:szCs w:val="22"/>
          <w:lang w:val="sr-Latn-ME"/>
        </w:rPr>
        <w:t xml:space="preserve"> nakon 26 nedjelja terapije liraglutidom (1,2 mg i 1,8 mg) su bili održivi nakon 52 nedjelje terapije (-1,29% i -1,51% </w:t>
      </w:r>
      <w:r w:rsidR="00C0279A" w:rsidRPr="00D95F2B">
        <w:rPr>
          <w:sz w:val="22"/>
          <w:szCs w:val="22"/>
          <w:lang w:val="sr-Latn-ME"/>
        </w:rPr>
        <w:t>naspram</w:t>
      </w:r>
      <w:r w:rsidRPr="00D95F2B">
        <w:rPr>
          <w:sz w:val="22"/>
          <w:szCs w:val="22"/>
          <w:lang w:val="sr-Latn-ME"/>
        </w:rPr>
        <w:t xml:space="preserve"> -0,88%, p&lt;0,0001). Prebacivanje pacijenata sa sitagliptina na liraglutid nakon 52 nedjelje liječenja imalo je za rezultat dodatno i statistički značajno smanjenje HbA</w:t>
      </w:r>
      <w:r w:rsidRPr="00D95F2B">
        <w:rPr>
          <w:sz w:val="22"/>
          <w:szCs w:val="22"/>
          <w:vertAlign w:val="subscript"/>
          <w:lang w:val="sr-Latn-ME"/>
        </w:rPr>
        <w:t>1c</w:t>
      </w:r>
      <w:r w:rsidRPr="00D95F2B">
        <w:rPr>
          <w:sz w:val="22"/>
          <w:szCs w:val="22"/>
          <w:lang w:val="sr-Latn-ME"/>
        </w:rPr>
        <w:t xml:space="preserve"> (-0,24% i -0,45%, 95% CI: -0,41 do -0,07 i -0,67 do -0,23) u 78</w:t>
      </w:r>
      <w:r w:rsidR="00173C9F" w:rsidRPr="00D95F2B">
        <w:rPr>
          <w:sz w:val="22"/>
          <w:szCs w:val="22"/>
          <w:lang w:val="sr-Latn-ME"/>
        </w:rPr>
        <w:t>.</w:t>
      </w:r>
      <w:r w:rsidRPr="00D95F2B">
        <w:rPr>
          <w:sz w:val="22"/>
          <w:szCs w:val="22"/>
          <w:lang w:val="sr-Latn-ME"/>
        </w:rPr>
        <w:t xml:space="preserve"> nedjelji, ali nije postojala formalna kontrolna grupa.</w:t>
      </w:r>
    </w:p>
    <w:p w14:paraId="282DD479" w14:textId="77777777" w:rsidR="00490E2B" w:rsidRPr="00D95F2B" w:rsidRDefault="00490E2B" w:rsidP="00490E2B">
      <w:pPr>
        <w:tabs>
          <w:tab w:val="left" w:pos="612"/>
          <w:tab w:val="center" w:pos="4536"/>
          <w:tab w:val="right" w:pos="9072"/>
        </w:tabs>
        <w:jc w:val="both"/>
        <w:rPr>
          <w:sz w:val="22"/>
          <w:szCs w:val="22"/>
          <w:lang w:val="sr-Latn-ME"/>
        </w:rPr>
      </w:pPr>
    </w:p>
    <w:p w14:paraId="013CEC78" w14:textId="257422AC" w:rsidR="00490E2B" w:rsidRPr="00D95F2B" w:rsidRDefault="00490E2B" w:rsidP="00490E2B">
      <w:pPr>
        <w:tabs>
          <w:tab w:val="left" w:pos="612"/>
          <w:tab w:val="center" w:pos="4536"/>
          <w:tab w:val="right" w:pos="9072"/>
        </w:tabs>
        <w:jc w:val="both"/>
        <w:rPr>
          <w:sz w:val="22"/>
          <w:szCs w:val="22"/>
          <w:lang w:val="sr-Latn-ME"/>
        </w:rPr>
      </w:pPr>
      <w:r w:rsidRPr="00D95F2B">
        <w:rPr>
          <w:sz w:val="22"/>
          <w:szCs w:val="22"/>
          <w:lang w:val="sr-Latn-ME"/>
        </w:rPr>
        <w:t>U otvorenom ispitivanju u kom su se poredili efikasnost i bezbjednost liraglutida u dozi od 1,8 mg jednom dnevno i eksenatid u dozi 10 mcg dva puta dnevno, kod pacijenata koji nijesu bili adekvatno kontrolisani terapijom metforminom i/ili sulfonilureom (pros</w:t>
      </w:r>
      <w:r w:rsidR="00C0279A" w:rsidRPr="00D95F2B">
        <w:rPr>
          <w:sz w:val="22"/>
          <w:szCs w:val="22"/>
          <w:lang w:val="sr-Latn-ME"/>
        </w:rPr>
        <w:t>j</w:t>
      </w:r>
      <w:r w:rsidRPr="00D95F2B">
        <w:rPr>
          <w:sz w:val="22"/>
          <w:szCs w:val="22"/>
          <w:lang w:val="sr-Latn-ME"/>
        </w:rPr>
        <w:t>ečni HbA</w:t>
      </w:r>
      <w:r w:rsidRPr="00D95F2B">
        <w:rPr>
          <w:sz w:val="22"/>
          <w:szCs w:val="22"/>
          <w:vertAlign w:val="subscript"/>
          <w:lang w:val="sr-Latn-ME"/>
        </w:rPr>
        <w:t>1c</w:t>
      </w:r>
      <w:r w:rsidRPr="00D95F2B">
        <w:rPr>
          <w:sz w:val="22"/>
          <w:szCs w:val="22"/>
          <w:lang w:val="sr-Latn-ME"/>
        </w:rPr>
        <w:t xml:space="preserve"> 8,3%), liraglutid je bio statistički superioran u odnosu na terapiju eksenatidom u snižavanju HbA</w:t>
      </w:r>
      <w:r w:rsidRPr="00D95F2B">
        <w:rPr>
          <w:sz w:val="22"/>
          <w:szCs w:val="22"/>
          <w:vertAlign w:val="subscript"/>
          <w:lang w:val="sr-Latn-ME"/>
        </w:rPr>
        <w:t>1c</w:t>
      </w:r>
      <w:r w:rsidRPr="00D95F2B">
        <w:rPr>
          <w:sz w:val="22"/>
          <w:szCs w:val="22"/>
          <w:lang w:val="sr-Latn-ME"/>
        </w:rPr>
        <w:t xml:space="preserve"> nakon 26 nedjelja (-1,12% </w:t>
      </w:r>
      <w:r w:rsidR="00C0279A" w:rsidRPr="00D95F2B">
        <w:rPr>
          <w:sz w:val="22"/>
          <w:szCs w:val="22"/>
          <w:lang w:val="sr-Latn-ME"/>
        </w:rPr>
        <w:t>naspram</w:t>
      </w:r>
      <w:r w:rsidRPr="00D95F2B">
        <w:rPr>
          <w:sz w:val="22"/>
          <w:szCs w:val="22"/>
          <w:lang w:val="sr-Latn-ME"/>
        </w:rPr>
        <w:t xml:space="preserve"> -0,79%; proc</w:t>
      </w:r>
      <w:r w:rsidR="006C0338" w:rsidRPr="00D95F2B">
        <w:rPr>
          <w:sz w:val="22"/>
          <w:szCs w:val="22"/>
          <w:lang w:val="sr-Latn-ME"/>
        </w:rPr>
        <w:t>i</w:t>
      </w:r>
      <w:r w:rsidRPr="00D95F2B">
        <w:rPr>
          <w:sz w:val="22"/>
          <w:szCs w:val="22"/>
          <w:lang w:val="sr-Latn-ME"/>
        </w:rPr>
        <w:t>jenjena terapijska razlika: -0,33; 95% CI: -0,47 do -0,18). Značajno više pacijenata je dostiglo HbA</w:t>
      </w:r>
      <w:r w:rsidRPr="00D95F2B">
        <w:rPr>
          <w:sz w:val="22"/>
          <w:szCs w:val="22"/>
          <w:vertAlign w:val="subscript"/>
          <w:lang w:val="sr-Latn-ME"/>
        </w:rPr>
        <w:t>1c</w:t>
      </w:r>
      <w:r w:rsidRPr="00D95F2B">
        <w:rPr>
          <w:sz w:val="22"/>
          <w:szCs w:val="22"/>
          <w:lang w:val="sr-Latn-ME"/>
        </w:rPr>
        <w:t xml:space="preserve"> niži od 7% sa liraglutidom nego sa eksenatidom (54,2% </w:t>
      </w:r>
      <w:r w:rsidR="00C0279A" w:rsidRPr="00D95F2B">
        <w:rPr>
          <w:sz w:val="22"/>
          <w:szCs w:val="22"/>
          <w:lang w:val="sr-Latn-ME"/>
        </w:rPr>
        <w:t>naspram</w:t>
      </w:r>
      <w:r w:rsidRPr="00D95F2B">
        <w:rPr>
          <w:sz w:val="22"/>
          <w:szCs w:val="22"/>
          <w:lang w:val="sr-Latn-ME"/>
        </w:rPr>
        <w:t xml:space="preserve"> 43,4%, </w:t>
      </w:r>
      <w:r w:rsidRPr="00D95F2B">
        <w:rPr>
          <w:sz w:val="22"/>
          <w:szCs w:val="22"/>
          <w:lang w:val="sr-Latn-ME"/>
        </w:rPr>
        <w:lastRenderedPageBreak/>
        <w:t>p=0,0015). Ob</w:t>
      </w:r>
      <w:r w:rsidR="006C0338" w:rsidRPr="00D95F2B">
        <w:rPr>
          <w:sz w:val="22"/>
          <w:szCs w:val="22"/>
          <w:lang w:val="sr-Latn-ME"/>
        </w:rPr>
        <w:t>j</w:t>
      </w:r>
      <w:r w:rsidRPr="00D95F2B">
        <w:rPr>
          <w:sz w:val="22"/>
          <w:szCs w:val="22"/>
          <w:lang w:val="sr-Latn-ME"/>
        </w:rPr>
        <w:t xml:space="preserve">e terapije su imale kao rezultat sniženje srednje tjelesne </w:t>
      </w:r>
      <w:r w:rsidR="00CE1B30" w:rsidRPr="00D95F2B">
        <w:rPr>
          <w:sz w:val="22"/>
          <w:szCs w:val="22"/>
          <w:lang w:val="sr-Latn-ME"/>
        </w:rPr>
        <w:t xml:space="preserve">mase </w:t>
      </w:r>
      <w:r w:rsidRPr="00D95F2B">
        <w:rPr>
          <w:sz w:val="22"/>
          <w:szCs w:val="22"/>
          <w:lang w:val="sr-Latn-ME"/>
        </w:rPr>
        <w:t>za oko 3 kg. Prebacivanje pacijenata sa eksenatida na liraglutid nakon 26 nedjelj</w:t>
      </w:r>
      <w:r w:rsidR="002B44CA" w:rsidRPr="00D95F2B">
        <w:rPr>
          <w:sz w:val="22"/>
          <w:szCs w:val="22"/>
          <w:lang w:val="sr-Latn-ME"/>
        </w:rPr>
        <w:t>a</w:t>
      </w:r>
      <w:r w:rsidRPr="00D95F2B">
        <w:rPr>
          <w:sz w:val="22"/>
          <w:szCs w:val="22"/>
          <w:lang w:val="sr-Latn-ME"/>
        </w:rPr>
        <w:t xml:space="preserve"> liječenja imalo je za rezultat dodatno i statistički značajno smanjenje HbA</w:t>
      </w:r>
      <w:r w:rsidRPr="00D95F2B">
        <w:rPr>
          <w:sz w:val="22"/>
          <w:szCs w:val="22"/>
          <w:vertAlign w:val="subscript"/>
          <w:lang w:val="sr-Latn-ME"/>
        </w:rPr>
        <w:t>1c</w:t>
      </w:r>
      <w:r w:rsidRPr="00D95F2B">
        <w:rPr>
          <w:sz w:val="22"/>
          <w:szCs w:val="22"/>
          <w:lang w:val="sr-Latn-ME"/>
        </w:rPr>
        <w:t xml:space="preserve"> (-0,32%, 95% CI: -0,41 do -0,24) u 40</w:t>
      </w:r>
      <w:r w:rsidR="00173C9F" w:rsidRPr="00D95F2B">
        <w:rPr>
          <w:sz w:val="22"/>
          <w:szCs w:val="22"/>
          <w:lang w:val="sr-Latn-ME"/>
        </w:rPr>
        <w:t>.</w:t>
      </w:r>
      <w:r w:rsidRPr="00D95F2B">
        <w:rPr>
          <w:sz w:val="22"/>
          <w:szCs w:val="22"/>
          <w:lang w:val="sr-Latn-ME"/>
        </w:rPr>
        <w:t xml:space="preserve"> nedjelji, ali nije postojala formalna kontrolna grupa. Tokom 26 nedjelja, bilo je 12 ozbiljnih neželjenih dejstava u grupi od 235 (5,1%) pacijenata na liraglutidu, odnosno 6 ozbiljnih neželjenih dejstava u grupi od 232 (2,6%) pacijenata na eksenatidu. Nije postojao dosl</w:t>
      </w:r>
      <w:r w:rsidR="006C0338" w:rsidRPr="00D95F2B">
        <w:rPr>
          <w:sz w:val="22"/>
          <w:szCs w:val="22"/>
          <w:lang w:val="sr-Latn-ME"/>
        </w:rPr>
        <w:t>j</w:t>
      </w:r>
      <w:r w:rsidRPr="00D95F2B">
        <w:rPr>
          <w:sz w:val="22"/>
          <w:szCs w:val="22"/>
          <w:lang w:val="sr-Latn-ME"/>
        </w:rPr>
        <w:t>edan obrazac u odnosu na klasu sistema organa pogođenih neželjenim dejstvom.</w:t>
      </w:r>
    </w:p>
    <w:p w14:paraId="19486826" w14:textId="77777777" w:rsidR="00490E2B" w:rsidRPr="00D95F2B" w:rsidRDefault="00490E2B" w:rsidP="00490E2B">
      <w:pPr>
        <w:tabs>
          <w:tab w:val="left" w:pos="612"/>
          <w:tab w:val="center" w:pos="4536"/>
          <w:tab w:val="right" w:pos="9072"/>
        </w:tabs>
        <w:jc w:val="both"/>
        <w:rPr>
          <w:sz w:val="22"/>
          <w:szCs w:val="22"/>
          <w:lang w:val="sr-Latn-ME"/>
        </w:rPr>
      </w:pPr>
    </w:p>
    <w:p w14:paraId="09D04842" w14:textId="4DDE152B" w:rsidR="00490E2B" w:rsidRPr="00D95F2B" w:rsidRDefault="00490E2B" w:rsidP="001C025C">
      <w:pPr>
        <w:tabs>
          <w:tab w:val="left" w:pos="612"/>
          <w:tab w:val="center" w:pos="4536"/>
          <w:tab w:val="right" w:pos="9072"/>
        </w:tabs>
        <w:jc w:val="both"/>
        <w:rPr>
          <w:sz w:val="22"/>
          <w:szCs w:val="22"/>
          <w:lang w:val="sr-Latn-ME"/>
        </w:rPr>
      </w:pPr>
      <w:r w:rsidRPr="00D95F2B">
        <w:rPr>
          <w:sz w:val="22"/>
          <w:szCs w:val="22"/>
          <w:lang w:val="sr-Latn-ME"/>
        </w:rPr>
        <w:t>U otvorenom ispitivanju u kome su se poredili efikasnost i bezbjednost liraglutida u dozi od 1,8 mg i liksisenatida u dozi od 20 mcg kod 404 pacijenta koji nijesu bili adekvatno kontrolisani terapijom metforminom (prosječni HbA</w:t>
      </w:r>
      <w:r w:rsidRPr="00D95F2B">
        <w:rPr>
          <w:sz w:val="22"/>
          <w:szCs w:val="22"/>
          <w:vertAlign w:val="subscript"/>
          <w:lang w:val="sr-Latn-ME"/>
        </w:rPr>
        <w:t>1c</w:t>
      </w:r>
      <w:r w:rsidRPr="00D95F2B">
        <w:rPr>
          <w:sz w:val="22"/>
          <w:szCs w:val="22"/>
          <w:lang w:val="sr-Latn-ME"/>
        </w:rPr>
        <w:t xml:space="preserve"> 8,4%), liraglutid je bio superioran u odnosu na liksisenatid u snižavanju HbA</w:t>
      </w:r>
      <w:r w:rsidRPr="00D95F2B">
        <w:rPr>
          <w:sz w:val="22"/>
          <w:szCs w:val="22"/>
          <w:vertAlign w:val="subscript"/>
          <w:lang w:val="sr-Latn-ME"/>
        </w:rPr>
        <w:t>1c</w:t>
      </w:r>
      <w:r w:rsidRPr="00D95F2B">
        <w:rPr>
          <w:sz w:val="22"/>
          <w:szCs w:val="22"/>
          <w:lang w:val="sr-Latn-ME"/>
        </w:rPr>
        <w:t xml:space="preserve"> nakon 26 nedjelja liječenja (-1,83% naspram -1,21%, p&lt;0,0001). Značajno više pacijenata je dostiglo HbA</w:t>
      </w:r>
      <w:r w:rsidRPr="00D95F2B">
        <w:rPr>
          <w:sz w:val="22"/>
          <w:szCs w:val="22"/>
          <w:vertAlign w:val="subscript"/>
          <w:lang w:val="sr-Latn-ME"/>
        </w:rPr>
        <w:t>1c</w:t>
      </w:r>
      <w:r w:rsidRPr="00D95F2B">
        <w:rPr>
          <w:sz w:val="22"/>
          <w:szCs w:val="22"/>
          <w:lang w:val="sr-Latn-ME"/>
        </w:rPr>
        <w:t xml:space="preserve"> niži od 7% sa liraglutidom nego sa liksisenatidom (74,2% naspram 45,5%, p&lt;0,0001), kao i ciljni HbA</w:t>
      </w:r>
      <w:r w:rsidRPr="00D95F2B">
        <w:rPr>
          <w:sz w:val="22"/>
          <w:szCs w:val="22"/>
          <w:vertAlign w:val="subscript"/>
          <w:lang w:val="sr-Latn-ME"/>
        </w:rPr>
        <w:t>1c</w:t>
      </w:r>
      <w:r w:rsidRPr="00D95F2B">
        <w:rPr>
          <w:sz w:val="22"/>
          <w:szCs w:val="22"/>
          <w:lang w:val="sr-Latn-ME"/>
        </w:rPr>
        <w:t xml:space="preserve"> od 6,5% ili niži (54,6% naspram 26,2%, p&lt;0,0001). Kod ob</w:t>
      </w:r>
      <w:r w:rsidR="006C0338" w:rsidRPr="00D95F2B">
        <w:rPr>
          <w:sz w:val="22"/>
          <w:szCs w:val="22"/>
          <w:lang w:val="sr-Latn-ME"/>
        </w:rPr>
        <w:t>j</w:t>
      </w:r>
      <w:r w:rsidRPr="00D95F2B">
        <w:rPr>
          <w:sz w:val="22"/>
          <w:szCs w:val="22"/>
          <w:lang w:val="sr-Latn-ME"/>
        </w:rPr>
        <w:t>e liječene grupe prim</w:t>
      </w:r>
      <w:r w:rsidR="006C0338" w:rsidRPr="00D95F2B">
        <w:rPr>
          <w:sz w:val="22"/>
          <w:szCs w:val="22"/>
          <w:lang w:val="sr-Latn-ME"/>
        </w:rPr>
        <w:t>ij</w:t>
      </w:r>
      <w:r w:rsidRPr="00D95F2B">
        <w:rPr>
          <w:sz w:val="22"/>
          <w:szCs w:val="22"/>
          <w:lang w:val="sr-Latn-ME"/>
        </w:rPr>
        <w:t xml:space="preserve">ećen je gubitak tjelesne </w:t>
      </w:r>
      <w:r w:rsidR="006C0338" w:rsidRPr="00D95F2B">
        <w:rPr>
          <w:sz w:val="22"/>
          <w:szCs w:val="22"/>
          <w:lang w:val="sr-Latn-ME"/>
        </w:rPr>
        <w:t xml:space="preserve">mase </w:t>
      </w:r>
      <w:r w:rsidRPr="00D95F2B">
        <w:rPr>
          <w:sz w:val="22"/>
          <w:szCs w:val="22"/>
          <w:lang w:val="sr-Latn-ME"/>
        </w:rPr>
        <w:t>(-4,3 kg uz liraglutid i -3,7 kg uz liksisenatid). Gastrointestinalni neželjeni događaji bili su češće prijavljivani tokom liječenja liraglutidom (43,6% prema 37,1%).</w:t>
      </w:r>
    </w:p>
    <w:p w14:paraId="1670D1C6" w14:textId="77777777" w:rsidR="002E37A5" w:rsidRPr="00D95F2B" w:rsidRDefault="002E37A5" w:rsidP="00480FB1">
      <w:pPr>
        <w:tabs>
          <w:tab w:val="left" w:pos="540"/>
          <w:tab w:val="left" w:pos="569"/>
        </w:tabs>
        <w:rPr>
          <w:b/>
          <w:bCs/>
          <w:sz w:val="22"/>
          <w:szCs w:val="22"/>
          <w:lang w:val="sr-Latn-ME"/>
        </w:rPr>
      </w:pPr>
    </w:p>
    <w:p w14:paraId="012C6732"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5.2. </w:t>
      </w:r>
      <w:r w:rsidR="00480FB1" w:rsidRPr="00D95F2B">
        <w:rPr>
          <w:b/>
          <w:bCs/>
          <w:sz w:val="22"/>
          <w:szCs w:val="22"/>
          <w:lang w:val="sr-Latn-ME"/>
        </w:rPr>
        <w:tab/>
      </w:r>
      <w:r w:rsidRPr="00D95F2B">
        <w:rPr>
          <w:b/>
          <w:bCs/>
          <w:sz w:val="22"/>
          <w:szCs w:val="22"/>
          <w:lang w:val="sr-Latn-ME"/>
        </w:rPr>
        <w:t>Farmakokinetički podaci</w:t>
      </w:r>
      <w:r w:rsidR="003A7059" w:rsidRPr="00D95F2B">
        <w:rPr>
          <w:b/>
          <w:bCs/>
          <w:sz w:val="22"/>
          <w:szCs w:val="22"/>
          <w:lang w:val="sr-Latn-ME"/>
        </w:rPr>
        <w:t xml:space="preserve"> </w:t>
      </w:r>
    </w:p>
    <w:p w14:paraId="1F7FA539" w14:textId="77777777" w:rsidR="0072020E" w:rsidRPr="00D95F2B" w:rsidRDefault="0072020E" w:rsidP="00480FB1">
      <w:pPr>
        <w:tabs>
          <w:tab w:val="left" w:pos="540"/>
          <w:tab w:val="left" w:pos="569"/>
        </w:tabs>
        <w:rPr>
          <w:bCs/>
          <w:sz w:val="22"/>
          <w:szCs w:val="22"/>
          <w:lang w:val="sr-Latn-ME"/>
        </w:rPr>
      </w:pPr>
    </w:p>
    <w:p w14:paraId="7EF23271" w14:textId="77777777" w:rsidR="001C025C" w:rsidRPr="00D95F2B" w:rsidRDefault="001C025C" w:rsidP="001C025C">
      <w:pPr>
        <w:tabs>
          <w:tab w:val="left" w:pos="284"/>
          <w:tab w:val="center" w:pos="4536"/>
          <w:tab w:val="right" w:pos="9072"/>
        </w:tabs>
        <w:rPr>
          <w:rFonts w:cs="Arial"/>
          <w:bCs/>
          <w:sz w:val="22"/>
          <w:u w:val="single"/>
          <w:lang w:val="sr-Latn-ME"/>
        </w:rPr>
      </w:pPr>
      <w:r w:rsidRPr="00D95F2B">
        <w:rPr>
          <w:rFonts w:cs="Arial"/>
          <w:bCs/>
          <w:sz w:val="22"/>
          <w:u w:val="single"/>
          <w:lang w:val="sr-Latn-ME"/>
        </w:rPr>
        <w:t>Resorpcija</w:t>
      </w:r>
    </w:p>
    <w:p w14:paraId="2C8605A0" w14:textId="77777777" w:rsidR="001C025C" w:rsidRPr="00D95F2B" w:rsidRDefault="001C025C" w:rsidP="001C025C">
      <w:pPr>
        <w:tabs>
          <w:tab w:val="left" w:pos="284"/>
          <w:tab w:val="center" w:pos="4536"/>
          <w:tab w:val="right" w:pos="9072"/>
        </w:tabs>
        <w:rPr>
          <w:rFonts w:cs="Arial"/>
          <w:bCs/>
          <w:sz w:val="22"/>
          <w:u w:val="single"/>
          <w:lang w:val="sr-Latn-ME"/>
        </w:rPr>
      </w:pPr>
    </w:p>
    <w:p w14:paraId="2C92863F" w14:textId="1740408F" w:rsidR="001C025C" w:rsidRPr="00D95F2B" w:rsidRDefault="001C025C" w:rsidP="00DD063C">
      <w:pPr>
        <w:tabs>
          <w:tab w:val="left" w:pos="284"/>
          <w:tab w:val="left" w:pos="9540"/>
        </w:tabs>
        <w:jc w:val="both"/>
        <w:rPr>
          <w:rFonts w:cs="Arial"/>
          <w:bCs/>
          <w:sz w:val="22"/>
          <w:lang w:val="sr-Latn-ME"/>
        </w:rPr>
      </w:pPr>
      <w:r w:rsidRPr="00D95F2B">
        <w:rPr>
          <w:rFonts w:cs="Arial"/>
          <w:bCs/>
          <w:sz w:val="22"/>
          <w:lang w:val="sr-Latn-ME"/>
        </w:rPr>
        <w:t>Resorpcija liraglutida nakon su</w:t>
      </w:r>
      <w:r w:rsidR="00173C9F" w:rsidRPr="00D95F2B">
        <w:rPr>
          <w:rFonts w:cs="Arial"/>
          <w:bCs/>
          <w:sz w:val="22"/>
          <w:lang w:val="sr-Latn-ME"/>
        </w:rPr>
        <w:t>b</w:t>
      </w:r>
      <w:r w:rsidRPr="00D95F2B">
        <w:rPr>
          <w:rFonts w:cs="Arial"/>
          <w:bCs/>
          <w:sz w:val="22"/>
          <w:lang w:val="sr-Latn-ME"/>
        </w:rPr>
        <w:t>kutane primjene je spora, maksimalna koncentracija se dostiže za 8-12 sati nakon primjene doze lijeka. Proc</w:t>
      </w:r>
      <w:r w:rsidR="00173C9F" w:rsidRPr="00D95F2B">
        <w:rPr>
          <w:rFonts w:cs="Arial"/>
          <w:bCs/>
          <w:sz w:val="22"/>
          <w:lang w:val="sr-Latn-ME"/>
        </w:rPr>
        <w:t>i</w:t>
      </w:r>
      <w:r w:rsidRPr="00D95F2B">
        <w:rPr>
          <w:rFonts w:cs="Arial"/>
          <w:bCs/>
          <w:sz w:val="22"/>
          <w:lang w:val="sr-Latn-ME"/>
        </w:rPr>
        <w:t>jenjena maksimalna koncentracija liraglutida je bila 9,4 nmol/l</w:t>
      </w:r>
      <w:r w:rsidR="00FB4BB6" w:rsidRPr="00D95F2B">
        <w:rPr>
          <w:rFonts w:cs="Arial"/>
          <w:bCs/>
          <w:sz w:val="22"/>
          <w:lang w:val="sr-Latn-ME"/>
        </w:rPr>
        <w:t xml:space="preserve">  (srednja vrijednost t</w:t>
      </w:r>
      <w:r w:rsidR="00754E3D" w:rsidRPr="00D95F2B">
        <w:rPr>
          <w:rFonts w:cs="Arial"/>
          <w:bCs/>
          <w:sz w:val="22"/>
          <w:lang w:val="sr-Latn-ME"/>
        </w:rPr>
        <w:t>j</w:t>
      </w:r>
      <w:r w:rsidR="00FB4BB6" w:rsidRPr="00D95F2B">
        <w:rPr>
          <w:rFonts w:cs="Arial"/>
          <w:bCs/>
          <w:sz w:val="22"/>
          <w:lang w:val="sr-Latn-ME"/>
        </w:rPr>
        <w:t xml:space="preserve">elesne </w:t>
      </w:r>
      <w:r w:rsidR="00CE1B30" w:rsidRPr="00D95F2B">
        <w:rPr>
          <w:rFonts w:cs="Arial"/>
          <w:bCs/>
          <w:sz w:val="22"/>
          <w:lang w:val="sr-Latn-ME"/>
        </w:rPr>
        <w:t xml:space="preserve">mase </w:t>
      </w:r>
      <w:r w:rsidR="00FB4BB6" w:rsidRPr="00D95F2B">
        <w:rPr>
          <w:rFonts w:cs="Arial"/>
          <w:bCs/>
          <w:sz w:val="22"/>
          <w:lang w:val="sr-Latn-ME"/>
        </w:rPr>
        <w:t>približno 73 kg)</w:t>
      </w:r>
      <w:r w:rsidRPr="00D95F2B">
        <w:rPr>
          <w:rFonts w:cs="Arial"/>
          <w:bCs/>
          <w:sz w:val="22"/>
          <w:lang w:val="sr-Latn-ME"/>
        </w:rPr>
        <w:t xml:space="preserve"> pri primjeni jedne pojedinačne su</w:t>
      </w:r>
      <w:r w:rsidR="00094020" w:rsidRPr="00D95F2B">
        <w:rPr>
          <w:rFonts w:cs="Arial"/>
          <w:bCs/>
          <w:sz w:val="22"/>
          <w:lang w:val="sr-Latn-ME"/>
        </w:rPr>
        <w:t>b</w:t>
      </w:r>
      <w:r w:rsidRPr="00D95F2B">
        <w:rPr>
          <w:rFonts w:cs="Arial"/>
          <w:bCs/>
          <w:sz w:val="22"/>
          <w:lang w:val="sr-Latn-ME"/>
        </w:rPr>
        <w:t>kutane doze liraglutida od 0,6 mg. Primjenom doze od 1,8 mg liraglutida, prosječna ravnotežna koncentracija liraglutida (</w:t>
      </w:r>
      <w:r w:rsidR="00C0279A" w:rsidRPr="00D95F2B">
        <w:rPr>
          <w:rFonts w:cs="Arial"/>
          <w:bCs/>
          <w:sz w:val="22"/>
          <w:lang w:val="sr-Latn-ME"/>
        </w:rPr>
        <w:t>PIK</w:t>
      </w:r>
      <w:r w:rsidRPr="00D95F2B">
        <w:rPr>
          <w:bCs/>
          <w:sz w:val="22"/>
          <w:szCs w:val="16"/>
          <w:vertAlign w:val="subscript"/>
          <w:lang w:val="sr-Latn-ME"/>
        </w:rPr>
        <w:t>τ</w:t>
      </w:r>
      <w:r w:rsidRPr="00D95F2B">
        <w:rPr>
          <w:rFonts w:cs="Arial"/>
          <w:bCs/>
          <w:sz w:val="22"/>
          <w:szCs w:val="16"/>
          <w:vertAlign w:val="subscript"/>
          <w:lang w:val="sr-Latn-ME"/>
        </w:rPr>
        <w:t>/24</w:t>
      </w:r>
      <w:r w:rsidRPr="00D95F2B">
        <w:rPr>
          <w:sz w:val="22"/>
          <w:szCs w:val="22"/>
          <w:lang w:val="sr-Latn-ME"/>
        </w:rPr>
        <w:t>) dostigla je približno 34 nmol/l</w:t>
      </w:r>
      <w:r w:rsidR="00DD063C" w:rsidRPr="00D95F2B">
        <w:rPr>
          <w:sz w:val="22"/>
          <w:szCs w:val="22"/>
          <w:lang w:val="sr-Latn-ME"/>
        </w:rPr>
        <w:t xml:space="preserve"> (srednja vrijednost t</w:t>
      </w:r>
      <w:r w:rsidR="00754E3D" w:rsidRPr="00D95F2B">
        <w:rPr>
          <w:sz w:val="22"/>
          <w:szCs w:val="22"/>
          <w:lang w:val="sr-Latn-ME"/>
        </w:rPr>
        <w:t>j</w:t>
      </w:r>
      <w:r w:rsidR="00DD063C" w:rsidRPr="00D95F2B">
        <w:rPr>
          <w:sz w:val="22"/>
          <w:szCs w:val="22"/>
          <w:lang w:val="sr-Latn-ME"/>
        </w:rPr>
        <w:t xml:space="preserve">elesne </w:t>
      </w:r>
      <w:r w:rsidR="00CE1B30" w:rsidRPr="00D95F2B">
        <w:rPr>
          <w:sz w:val="22"/>
          <w:szCs w:val="22"/>
          <w:lang w:val="sr-Latn-ME"/>
        </w:rPr>
        <w:t xml:space="preserve">mase </w:t>
      </w:r>
      <w:r w:rsidR="00DD063C" w:rsidRPr="00D95F2B">
        <w:rPr>
          <w:sz w:val="22"/>
          <w:szCs w:val="22"/>
          <w:lang w:val="sr-Latn-ME"/>
        </w:rPr>
        <w:t>približno 76 kg). Izloženost liraglutidu se smanjuje sa povećanjem t</w:t>
      </w:r>
      <w:r w:rsidR="00754E3D" w:rsidRPr="00D95F2B">
        <w:rPr>
          <w:sz w:val="22"/>
          <w:szCs w:val="22"/>
          <w:lang w:val="sr-Latn-ME"/>
        </w:rPr>
        <w:t>j</w:t>
      </w:r>
      <w:r w:rsidR="00DD063C" w:rsidRPr="00D95F2B">
        <w:rPr>
          <w:sz w:val="22"/>
          <w:szCs w:val="22"/>
          <w:lang w:val="sr-Latn-ME"/>
        </w:rPr>
        <w:t xml:space="preserve">elesne </w:t>
      </w:r>
      <w:r w:rsidR="00CE1B30" w:rsidRPr="00D95F2B">
        <w:rPr>
          <w:sz w:val="22"/>
          <w:szCs w:val="22"/>
          <w:lang w:val="sr-Latn-ME"/>
        </w:rPr>
        <w:t>mase</w:t>
      </w:r>
      <w:r w:rsidRPr="00D95F2B">
        <w:rPr>
          <w:sz w:val="22"/>
          <w:szCs w:val="22"/>
          <w:lang w:val="sr-Latn-ME"/>
        </w:rPr>
        <w:t xml:space="preserve">. Raspoloživost liraglutida povećavala se proporcionalno sa povećanjem doze. </w:t>
      </w:r>
      <w:r w:rsidRPr="00D95F2B">
        <w:rPr>
          <w:rFonts w:cs="Arial"/>
          <w:bCs/>
          <w:sz w:val="22"/>
          <w:lang w:val="sr-Latn-ME"/>
        </w:rPr>
        <w:t xml:space="preserve">Koeficijent varijacije </w:t>
      </w:r>
      <w:r w:rsidRPr="00D95F2B">
        <w:rPr>
          <w:sz w:val="22"/>
          <w:szCs w:val="22"/>
          <w:lang w:val="sr-Latn-ME"/>
        </w:rPr>
        <w:t xml:space="preserve">unutar ispitanika </w:t>
      </w:r>
      <w:r w:rsidRPr="00D95F2B">
        <w:rPr>
          <w:rFonts w:cs="Arial"/>
          <w:bCs/>
          <w:sz w:val="22"/>
          <w:lang w:val="sr-Latn-ME"/>
        </w:rPr>
        <w:t xml:space="preserve">za liraglutid </w:t>
      </w:r>
      <w:r w:rsidR="00294989" w:rsidRPr="00D95F2B">
        <w:rPr>
          <w:rFonts w:cs="Arial"/>
          <w:bCs/>
          <w:sz w:val="22"/>
          <w:lang w:val="sr-Latn-ME"/>
        </w:rPr>
        <w:t xml:space="preserve">PIK </w:t>
      </w:r>
      <w:r w:rsidRPr="00D95F2B">
        <w:rPr>
          <w:rFonts w:cs="Arial"/>
          <w:bCs/>
          <w:sz w:val="22"/>
          <w:lang w:val="sr-Latn-ME"/>
        </w:rPr>
        <w:t xml:space="preserve">iznosio je 11% nakon primjene jedne pojedinačne doze. </w:t>
      </w:r>
    </w:p>
    <w:p w14:paraId="0C34DE6E" w14:textId="2129E37E"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Apsolutna biološka raspoloživost liraglutida nakon su</w:t>
      </w:r>
      <w:r w:rsidR="00AB1473" w:rsidRPr="00D95F2B">
        <w:rPr>
          <w:rFonts w:cs="Arial"/>
          <w:bCs/>
          <w:sz w:val="22"/>
          <w:lang w:val="sr-Latn-ME"/>
        </w:rPr>
        <w:t>b</w:t>
      </w:r>
      <w:r w:rsidRPr="00D95F2B">
        <w:rPr>
          <w:rFonts w:cs="Arial"/>
          <w:bCs/>
          <w:sz w:val="22"/>
          <w:lang w:val="sr-Latn-ME"/>
        </w:rPr>
        <w:t>kutane primjene je oko 55%.</w:t>
      </w:r>
    </w:p>
    <w:p w14:paraId="6345D6A2" w14:textId="77777777" w:rsidR="001C025C" w:rsidRPr="00D95F2B" w:rsidRDefault="001C025C" w:rsidP="001C025C">
      <w:pPr>
        <w:tabs>
          <w:tab w:val="left" w:pos="284"/>
          <w:tab w:val="center" w:pos="4536"/>
          <w:tab w:val="right" w:pos="9072"/>
        </w:tabs>
        <w:jc w:val="both"/>
        <w:rPr>
          <w:rFonts w:cs="Arial"/>
          <w:bCs/>
          <w:sz w:val="22"/>
          <w:lang w:val="sr-Latn-ME"/>
        </w:rPr>
      </w:pPr>
    </w:p>
    <w:p w14:paraId="0947F94B" w14:textId="77777777" w:rsidR="001C025C" w:rsidRPr="00D95F2B" w:rsidRDefault="001C025C" w:rsidP="001C025C">
      <w:pPr>
        <w:tabs>
          <w:tab w:val="left" w:pos="284"/>
          <w:tab w:val="center" w:pos="4536"/>
          <w:tab w:val="right" w:pos="9072"/>
        </w:tabs>
        <w:jc w:val="both"/>
        <w:rPr>
          <w:rFonts w:cs="Arial"/>
          <w:bCs/>
          <w:sz w:val="22"/>
          <w:u w:val="single"/>
          <w:lang w:val="sr-Latn-ME"/>
        </w:rPr>
      </w:pPr>
      <w:r w:rsidRPr="00D95F2B">
        <w:rPr>
          <w:rFonts w:cs="Arial"/>
          <w:bCs/>
          <w:sz w:val="22"/>
          <w:u w:val="single"/>
          <w:lang w:val="sr-Latn-ME"/>
        </w:rPr>
        <w:t>Distribucija</w:t>
      </w:r>
    </w:p>
    <w:p w14:paraId="29337010" w14:textId="77777777" w:rsidR="001C025C" w:rsidRPr="00D95F2B" w:rsidRDefault="001C025C" w:rsidP="001C025C">
      <w:pPr>
        <w:tabs>
          <w:tab w:val="left" w:pos="284"/>
          <w:tab w:val="center" w:pos="4536"/>
          <w:tab w:val="right" w:pos="9072"/>
        </w:tabs>
        <w:jc w:val="both"/>
        <w:rPr>
          <w:rFonts w:cs="Arial"/>
          <w:bCs/>
          <w:sz w:val="22"/>
          <w:u w:val="single"/>
          <w:lang w:val="sr-Latn-ME"/>
        </w:rPr>
      </w:pPr>
    </w:p>
    <w:p w14:paraId="355EEA08" w14:textId="5F092C3E"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Prividan volumen distribucije nakon su</w:t>
      </w:r>
      <w:r w:rsidR="00AB1473" w:rsidRPr="00D95F2B">
        <w:rPr>
          <w:rFonts w:cs="Arial"/>
          <w:bCs/>
          <w:sz w:val="22"/>
          <w:lang w:val="sr-Latn-ME"/>
        </w:rPr>
        <w:t>b</w:t>
      </w:r>
      <w:r w:rsidRPr="00D95F2B">
        <w:rPr>
          <w:rFonts w:cs="Arial"/>
          <w:bCs/>
          <w:sz w:val="22"/>
          <w:lang w:val="sr-Latn-ME"/>
        </w:rPr>
        <w:t>kutane primjene je 11-17 1. Srednji volumen distribucije poslije intravenske primjene liraglutida je 0,07 l/kg. Liraglutid se u velikoj mjeri vezuje za proteine plazme (</w:t>
      </w:r>
      <w:r w:rsidRPr="00D95F2B">
        <w:rPr>
          <w:bCs/>
          <w:sz w:val="22"/>
          <w:lang w:val="sr-Latn-ME"/>
        </w:rPr>
        <w:t>&gt;</w:t>
      </w:r>
      <w:r w:rsidR="00173C9F" w:rsidRPr="00D95F2B">
        <w:rPr>
          <w:bCs/>
          <w:sz w:val="22"/>
          <w:lang w:val="sr-Latn-ME"/>
        </w:rPr>
        <w:t xml:space="preserve"> </w:t>
      </w:r>
      <w:r w:rsidRPr="00D95F2B">
        <w:rPr>
          <w:rFonts w:cs="Arial"/>
          <w:bCs/>
          <w:sz w:val="22"/>
          <w:lang w:val="sr-Latn-ME"/>
        </w:rPr>
        <w:t>98%).</w:t>
      </w:r>
    </w:p>
    <w:p w14:paraId="1545150B" w14:textId="77777777" w:rsidR="001C025C" w:rsidRPr="00D95F2B" w:rsidRDefault="001C025C" w:rsidP="001C025C">
      <w:pPr>
        <w:tabs>
          <w:tab w:val="left" w:pos="284"/>
          <w:tab w:val="center" w:pos="4536"/>
          <w:tab w:val="right" w:pos="9072"/>
        </w:tabs>
        <w:jc w:val="both"/>
        <w:rPr>
          <w:rFonts w:cs="Arial"/>
          <w:bCs/>
          <w:sz w:val="22"/>
          <w:lang w:val="sr-Latn-ME"/>
        </w:rPr>
      </w:pPr>
    </w:p>
    <w:p w14:paraId="1644FC33" w14:textId="77777777" w:rsidR="001C025C" w:rsidRPr="00D95F2B" w:rsidRDefault="001C025C" w:rsidP="001C025C">
      <w:pPr>
        <w:tabs>
          <w:tab w:val="left" w:pos="284"/>
          <w:tab w:val="center" w:pos="4536"/>
          <w:tab w:val="right" w:pos="9072"/>
        </w:tabs>
        <w:jc w:val="both"/>
        <w:rPr>
          <w:rFonts w:cs="Arial"/>
          <w:bCs/>
          <w:sz w:val="22"/>
          <w:u w:val="single"/>
          <w:lang w:val="sr-Latn-ME"/>
        </w:rPr>
      </w:pPr>
      <w:r w:rsidRPr="00D95F2B">
        <w:rPr>
          <w:rFonts w:cs="Arial"/>
          <w:bCs/>
          <w:sz w:val="22"/>
          <w:u w:val="single"/>
          <w:lang w:val="sr-Latn-ME"/>
        </w:rPr>
        <w:t>Biotransformacija</w:t>
      </w:r>
    </w:p>
    <w:p w14:paraId="6F8BE2A7" w14:textId="77777777" w:rsidR="001C025C" w:rsidRPr="00D95F2B" w:rsidRDefault="001C025C" w:rsidP="001C025C">
      <w:pPr>
        <w:tabs>
          <w:tab w:val="left" w:pos="284"/>
          <w:tab w:val="center" w:pos="4536"/>
          <w:tab w:val="right" w:pos="9072"/>
        </w:tabs>
        <w:jc w:val="both"/>
        <w:rPr>
          <w:rFonts w:cs="Arial"/>
          <w:bCs/>
          <w:sz w:val="22"/>
          <w:u w:val="single"/>
          <w:lang w:val="sr-Latn-ME"/>
        </w:rPr>
      </w:pPr>
    </w:p>
    <w:p w14:paraId="64830E5C" w14:textId="5778C505"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Glavna komponenta u plazmi zdravih dobrovoljaca tokom 24 časa nakon primjene jedne pojedinačne doze radioaktivno obeleženog [</w:t>
      </w:r>
      <w:r w:rsidRPr="00D95F2B">
        <w:rPr>
          <w:b/>
          <w:sz w:val="22"/>
          <w:szCs w:val="22"/>
          <w:vertAlign w:val="superscript"/>
          <w:lang w:val="sr-Latn-ME"/>
        </w:rPr>
        <w:t>3</w:t>
      </w:r>
      <w:r w:rsidRPr="00D95F2B">
        <w:rPr>
          <w:sz w:val="22"/>
          <w:szCs w:val="22"/>
          <w:lang w:val="sr-Latn-ME"/>
        </w:rPr>
        <w:t>H</w:t>
      </w:r>
      <w:r w:rsidRPr="00D95F2B">
        <w:rPr>
          <w:rFonts w:cs="Arial"/>
          <w:bCs/>
          <w:sz w:val="22"/>
          <w:lang w:val="sr-Latn-ME"/>
        </w:rPr>
        <w:t>]-liraglutida bio je intaktni liraglutid. Otkrivena su dva manja metabolita u plazmi (</w:t>
      </w:r>
      <w:r w:rsidRPr="00D95F2B">
        <w:rPr>
          <w:bCs/>
          <w:sz w:val="22"/>
          <w:lang w:val="sr-Latn-ME"/>
        </w:rPr>
        <w:t>≤</w:t>
      </w:r>
      <w:r w:rsidR="00173C9F" w:rsidRPr="00D95F2B">
        <w:rPr>
          <w:bCs/>
          <w:sz w:val="22"/>
          <w:lang w:val="sr-Latn-ME"/>
        </w:rPr>
        <w:t xml:space="preserve"> </w:t>
      </w:r>
      <w:r w:rsidRPr="00D95F2B">
        <w:rPr>
          <w:rFonts w:cs="Arial"/>
          <w:bCs/>
          <w:sz w:val="22"/>
          <w:lang w:val="sr-Latn-ME"/>
        </w:rPr>
        <w:t xml:space="preserve">9% i </w:t>
      </w:r>
      <w:r w:rsidRPr="00D95F2B">
        <w:rPr>
          <w:bCs/>
          <w:sz w:val="22"/>
          <w:lang w:val="sr-Latn-ME"/>
        </w:rPr>
        <w:t>≤</w:t>
      </w:r>
      <w:r w:rsidR="00173C9F" w:rsidRPr="00D95F2B">
        <w:rPr>
          <w:bCs/>
          <w:sz w:val="22"/>
          <w:lang w:val="sr-Latn-ME"/>
        </w:rPr>
        <w:t xml:space="preserve"> </w:t>
      </w:r>
      <w:r w:rsidRPr="00D95F2B">
        <w:rPr>
          <w:rFonts w:cs="Arial"/>
          <w:bCs/>
          <w:sz w:val="22"/>
          <w:lang w:val="sr-Latn-ME"/>
        </w:rPr>
        <w:t xml:space="preserve">5% od ukupne plazma radioaktivne </w:t>
      </w:r>
      <w:r w:rsidR="00C0279A" w:rsidRPr="00D95F2B">
        <w:rPr>
          <w:rFonts w:cs="Arial"/>
          <w:bCs/>
          <w:sz w:val="22"/>
          <w:lang w:val="sr-Latn-ME"/>
        </w:rPr>
        <w:t>izloženosti</w:t>
      </w:r>
      <w:r w:rsidRPr="00D95F2B">
        <w:rPr>
          <w:rFonts w:cs="Arial"/>
          <w:bCs/>
          <w:sz w:val="22"/>
          <w:lang w:val="sr-Latn-ME"/>
        </w:rPr>
        <w:t>). Liraglutid se metaboliše na sličan način kao veliki proteini, nije definisan organ koji bi se okarakterisao kao glavni put za eliminaciju.</w:t>
      </w:r>
    </w:p>
    <w:p w14:paraId="12CADCA1" w14:textId="77777777" w:rsidR="001C025C" w:rsidRPr="00D95F2B" w:rsidRDefault="001C025C" w:rsidP="001C025C">
      <w:pPr>
        <w:tabs>
          <w:tab w:val="left" w:pos="284"/>
          <w:tab w:val="center" w:pos="4536"/>
          <w:tab w:val="right" w:pos="9072"/>
        </w:tabs>
        <w:jc w:val="both"/>
        <w:rPr>
          <w:rFonts w:cs="Arial"/>
          <w:bCs/>
          <w:sz w:val="22"/>
          <w:lang w:val="sr-Latn-ME"/>
        </w:rPr>
      </w:pPr>
    </w:p>
    <w:p w14:paraId="0B7ED3F9" w14:textId="77777777" w:rsidR="001C025C" w:rsidRPr="00D95F2B" w:rsidRDefault="001C025C" w:rsidP="001C025C">
      <w:pPr>
        <w:tabs>
          <w:tab w:val="left" w:pos="284"/>
          <w:tab w:val="center" w:pos="4536"/>
          <w:tab w:val="right" w:pos="9072"/>
        </w:tabs>
        <w:jc w:val="both"/>
        <w:rPr>
          <w:rFonts w:cs="Arial"/>
          <w:bCs/>
          <w:sz w:val="22"/>
          <w:u w:val="single"/>
          <w:lang w:val="sr-Latn-ME"/>
        </w:rPr>
      </w:pPr>
      <w:r w:rsidRPr="00D95F2B">
        <w:rPr>
          <w:rFonts w:cs="Arial"/>
          <w:bCs/>
          <w:sz w:val="22"/>
          <w:u w:val="single"/>
          <w:lang w:val="sr-Latn-ME"/>
        </w:rPr>
        <w:t>Eliminacija</w:t>
      </w:r>
    </w:p>
    <w:p w14:paraId="1B96B5E0" w14:textId="77777777" w:rsidR="001C025C" w:rsidRPr="00D95F2B" w:rsidRDefault="001C025C" w:rsidP="001C025C">
      <w:pPr>
        <w:tabs>
          <w:tab w:val="left" w:pos="284"/>
          <w:tab w:val="center" w:pos="4536"/>
          <w:tab w:val="right" w:pos="9072"/>
        </w:tabs>
        <w:jc w:val="both"/>
        <w:rPr>
          <w:rFonts w:cs="Arial"/>
          <w:bCs/>
          <w:sz w:val="22"/>
          <w:u w:val="single"/>
          <w:lang w:val="sr-Latn-ME"/>
        </w:rPr>
      </w:pPr>
    </w:p>
    <w:p w14:paraId="7FCC119C" w14:textId="054F79CE"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Posl</w:t>
      </w:r>
      <w:r w:rsidR="00564A37" w:rsidRPr="00D95F2B">
        <w:rPr>
          <w:rFonts w:cs="Arial"/>
          <w:bCs/>
          <w:sz w:val="22"/>
          <w:lang w:val="sr-Latn-ME"/>
        </w:rPr>
        <w:t>ij</w:t>
      </w:r>
      <w:r w:rsidRPr="00D95F2B">
        <w:rPr>
          <w:rFonts w:cs="Arial"/>
          <w:bCs/>
          <w:sz w:val="22"/>
          <w:lang w:val="sr-Latn-ME"/>
        </w:rPr>
        <w:t>e primjene doze [</w:t>
      </w:r>
      <w:r w:rsidRPr="00D95F2B">
        <w:rPr>
          <w:b/>
          <w:sz w:val="22"/>
          <w:szCs w:val="22"/>
          <w:vertAlign w:val="superscript"/>
          <w:lang w:val="sr-Latn-ME"/>
        </w:rPr>
        <w:t>3</w:t>
      </w:r>
      <w:r w:rsidRPr="00D95F2B">
        <w:rPr>
          <w:sz w:val="22"/>
          <w:szCs w:val="22"/>
          <w:lang w:val="sr-Latn-ME"/>
        </w:rPr>
        <w:t>H</w:t>
      </w:r>
      <w:r w:rsidRPr="00D95F2B">
        <w:rPr>
          <w:rFonts w:cs="Arial"/>
          <w:bCs/>
          <w:sz w:val="22"/>
          <w:lang w:val="sr-Latn-ME"/>
        </w:rPr>
        <w:t>]-liraglutida, intaktni liraglutid nije otkriven u urinu ili fecesu. Samo manji dio prim</w:t>
      </w:r>
      <w:r w:rsidR="009B081F" w:rsidRPr="00D95F2B">
        <w:rPr>
          <w:rFonts w:cs="Arial"/>
          <w:bCs/>
          <w:sz w:val="22"/>
          <w:lang w:val="sr-Latn-ME"/>
        </w:rPr>
        <w:t>i</w:t>
      </w:r>
      <w:r w:rsidRPr="00D95F2B">
        <w:rPr>
          <w:rFonts w:cs="Arial"/>
          <w:bCs/>
          <w:sz w:val="22"/>
          <w:lang w:val="sr-Latn-ME"/>
        </w:rPr>
        <w:t>jenjene radioaktivnosti je ekskretovan u obliku metabolita srodnih liraglutidu putem urina ili fecesa (6%, odnosno 5%). Radioaktivnost urina i fecesa je uglavnom ekskretovana u toku prvih 6-8 dana i odgovarala je trima minornim metabolitima.</w:t>
      </w:r>
    </w:p>
    <w:p w14:paraId="52CC9990" w14:textId="77777777" w:rsidR="001C025C" w:rsidRPr="00D95F2B" w:rsidRDefault="001C025C" w:rsidP="001C025C">
      <w:pPr>
        <w:tabs>
          <w:tab w:val="left" w:pos="284"/>
          <w:tab w:val="center" w:pos="4536"/>
          <w:tab w:val="right" w:pos="9072"/>
        </w:tabs>
        <w:jc w:val="both"/>
        <w:rPr>
          <w:rFonts w:cs="Arial"/>
          <w:bCs/>
          <w:sz w:val="22"/>
          <w:lang w:val="sr-Latn-ME"/>
        </w:rPr>
      </w:pPr>
    </w:p>
    <w:p w14:paraId="0E2C07F3" w14:textId="7DF32DB2"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Srednja vrijednost klirensa nakon su</w:t>
      </w:r>
      <w:r w:rsidR="00AB1473" w:rsidRPr="00D95F2B">
        <w:rPr>
          <w:rFonts w:cs="Arial"/>
          <w:bCs/>
          <w:sz w:val="22"/>
          <w:lang w:val="sr-Latn-ME"/>
        </w:rPr>
        <w:t>b</w:t>
      </w:r>
      <w:r w:rsidRPr="00D95F2B">
        <w:rPr>
          <w:rFonts w:cs="Arial"/>
          <w:bCs/>
          <w:sz w:val="22"/>
          <w:lang w:val="sr-Latn-ME"/>
        </w:rPr>
        <w:t>kutane primjene jedne pojedinačne doze liraglutida je oko 1,2 l/h, a poluvrijeme eliminacije oko 13 časova.</w:t>
      </w:r>
    </w:p>
    <w:p w14:paraId="4A39B890" w14:textId="31E864C4" w:rsidR="001C025C" w:rsidRDefault="001C025C" w:rsidP="001C025C">
      <w:pPr>
        <w:tabs>
          <w:tab w:val="left" w:pos="284"/>
          <w:tab w:val="center" w:pos="4536"/>
          <w:tab w:val="right" w:pos="9072"/>
        </w:tabs>
        <w:jc w:val="both"/>
        <w:rPr>
          <w:rFonts w:cs="Arial"/>
          <w:bCs/>
          <w:sz w:val="22"/>
          <w:lang w:val="sr-Latn-ME"/>
        </w:rPr>
      </w:pPr>
    </w:p>
    <w:p w14:paraId="3B6E8D7E" w14:textId="390640A7" w:rsidR="00D95F2B" w:rsidRDefault="00D95F2B" w:rsidP="001C025C">
      <w:pPr>
        <w:tabs>
          <w:tab w:val="left" w:pos="284"/>
          <w:tab w:val="center" w:pos="4536"/>
          <w:tab w:val="right" w:pos="9072"/>
        </w:tabs>
        <w:jc w:val="both"/>
        <w:rPr>
          <w:rFonts w:cs="Arial"/>
          <w:bCs/>
          <w:sz w:val="22"/>
          <w:lang w:val="sr-Latn-ME"/>
        </w:rPr>
      </w:pPr>
    </w:p>
    <w:p w14:paraId="3FEB2574" w14:textId="77777777" w:rsidR="00D95F2B" w:rsidRPr="00D95F2B" w:rsidRDefault="00D95F2B" w:rsidP="001C025C">
      <w:pPr>
        <w:tabs>
          <w:tab w:val="left" w:pos="284"/>
          <w:tab w:val="center" w:pos="4536"/>
          <w:tab w:val="right" w:pos="9072"/>
        </w:tabs>
        <w:jc w:val="both"/>
        <w:rPr>
          <w:rFonts w:cs="Arial"/>
          <w:bCs/>
          <w:sz w:val="22"/>
          <w:lang w:val="sr-Latn-ME"/>
        </w:rPr>
      </w:pPr>
    </w:p>
    <w:p w14:paraId="236A4A80" w14:textId="77777777" w:rsidR="001C025C" w:rsidRPr="00D95F2B" w:rsidRDefault="001C025C" w:rsidP="001C025C">
      <w:pPr>
        <w:tabs>
          <w:tab w:val="left" w:pos="284"/>
          <w:tab w:val="center" w:pos="4536"/>
          <w:tab w:val="right" w:pos="9072"/>
        </w:tabs>
        <w:jc w:val="both"/>
        <w:rPr>
          <w:rFonts w:cs="Arial"/>
          <w:bCs/>
          <w:sz w:val="22"/>
          <w:u w:val="single"/>
          <w:lang w:val="sr-Latn-ME"/>
        </w:rPr>
      </w:pPr>
      <w:r w:rsidRPr="00D95F2B">
        <w:rPr>
          <w:rFonts w:cs="Arial"/>
          <w:bCs/>
          <w:sz w:val="22"/>
          <w:u w:val="single"/>
          <w:lang w:val="sr-Latn-ME"/>
        </w:rPr>
        <w:lastRenderedPageBreak/>
        <w:t>Posebne populacije</w:t>
      </w:r>
    </w:p>
    <w:p w14:paraId="3FB8D057" w14:textId="77777777" w:rsidR="001C025C" w:rsidRPr="00D95F2B" w:rsidRDefault="001C025C" w:rsidP="001C025C">
      <w:pPr>
        <w:tabs>
          <w:tab w:val="left" w:pos="284"/>
          <w:tab w:val="center" w:pos="4536"/>
          <w:tab w:val="right" w:pos="9072"/>
        </w:tabs>
        <w:jc w:val="both"/>
        <w:rPr>
          <w:rFonts w:cs="Arial"/>
          <w:bCs/>
          <w:sz w:val="22"/>
          <w:u w:val="single"/>
          <w:lang w:val="sr-Latn-ME"/>
        </w:rPr>
      </w:pPr>
    </w:p>
    <w:p w14:paraId="301D6A28" w14:textId="77777777"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i/>
          <w:sz w:val="22"/>
          <w:lang w:val="sr-Latn-ME"/>
        </w:rPr>
        <w:t>Stariji pacijenti</w:t>
      </w:r>
      <w:r w:rsidRPr="00D95F2B">
        <w:rPr>
          <w:rFonts w:cs="Arial"/>
          <w:bCs/>
          <w:sz w:val="22"/>
          <w:lang w:val="sr-Latn-ME"/>
        </w:rPr>
        <w:t xml:space="preserve"> </w:t>
      </w:r>
    </w:p>
    <w:p w14:paraId="737E3E1F" w14:textId="77777777"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Godine starosti nijesu imale klinički relevantan uticaj na farmakokinetiku liraglutida na osnovu rezultata jedne farmakokinetičke studije na zdravim dobrovoljcima i populacionoj analizi farmakokinetičkih podataka pacijenata (18 do 80 godina).</w:t>
      </w:r>
    </w:p>
    <w:p w14:paraId="2EF0B3C3" w14:textId="77777777" w:rsidR="001C025C" w:rsidRPr="00D95F2B" w:rsidRDefault="001C025C" w:rsidP="001C025C">
      <w:pPr>
        <w:tabs>
          <w:tab w:val="left" w:pos="284"/>
          <w:tab w:val="center" w:pos="4536"/>
          <w:tab w:val="right" w:pos="9072"/>
        </w:tabs>
        <w:jc w:val="both"/>
        <w:rPr>
          <w:rFonts w:cs="Arial"/>
          <w:bCs/>
          <w:i/>
          <w:sz w:val="22"/>
          <w:lang w:val="sr-Latn-ME"/>
        </w:rPr>
      </w:pPr>
      <w:r w:rsidRPr="00D95F2B">
        <w:rPr>
          <w:rFonts w:cs="Arial"/>
          <w:bCs/>
          <w:i/>
          <w:sz w:val="22"/>
          <w:lang w:val="sr-Latn-ME"/>
        </w:rPr>
        <w:t xml:space="preserve">Pol </w:t>
      </w:r>
    </w:p>
    <w:p w14:paraId="632CFAE2" w14:textId="3B30523D"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 xml:space="preserve">Pol nije imao klinički značajan uticaj na farmakokinetiku liraglutida na osnovu rezultata populacione analize farmakokinetičkih podataka ispitanika muškaraca i žena, kao i na osnovu jedne farmakokinetičke studije na zdravim </w:t>
      </w:r>
      <w:r w:rsidR="00C0279A" w:rsidRPr="00D95F2B">
        <w:rPr>
          <w:rFonts w:cs="Arial"/>
          <w:bCs/>
          <w:sz w:val="22"/>
          <w:lang w:val="sr-Latn-ME"/>
        </w:rPr>
        <w:t>ispitanicima</w:t>
      </w:r>
      <w:r w:rsidRPr="00D95F2B">
        <w:rPr>
          <w:rFonts w:cs="Arial"/>
          <w:bCs/>
          <w:sz w:val="22"/>
          <w:lang w:val="sr-Latn-ME"/>
        </w:rPr>
        <w:t>.</w:t>
      </w:r>
    </w:p>
    <w:p w14:paraId="4FA18F09" w14:textId="77777777" w:rsidR="001C025C" w:rsidRPr="00D95F2B" w:rsidRDefault="001C025C" w:rsidP="001C025C">
      <w:pPr>
        <w:tabs>
          <w:tab w:val="left" w:pos="284"/>
          <w:tab w:val="center" w:pos="4536"/>
          <w:tab w:val="right" w:pos="9072"/>
        </w:tabs>
        <w:jc w:val="both"/>
        <w:rPr>
          <w:rFonts w:cs="Arial"/>
          <w:bCs/>
          <w:sz w:val="22"/>
          <w:lang w:val="sr-Latn-ME"/>
        </w:rPr>
      </w:pPr>
    </w:p>
    <w:p w14:paraId="03F92B6F" w14:textId="77777777"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i/>
          <w:sz w:val="22"/>
          <w:lang w:val="sr-Latn-ME"/>
        </w:rPr>
        <w:t xml:space="preserve">Etničko poreklo </w:t>
      </w:r>
    </w:p>
    <w:p w14:paraId="0903E8AA" w14:textId="719A0FF0" w:rsidR="001C025C" w:rsidRPr="00D95F2B" w:rsidRDefault="001C025C" w:rsidP="001C025C">
      <w:pPr>
        <w:tabs>
          <w:tab w:val="left" w:pos="284"/>
          <w:tab w:val="center" w:pos="4536"/>
          <w:tab w:val="right" w:pos="9072"/>
        </w:tabs>
        <w:jc w:val="both"/>
        <w:rPr>
          <w:rFonts w:cs="Arial"/>
          <w:bCs/>
          <w:sz w:val="22"/>
          <w:lang w:val="sr-Latn-ME"/>
        </w:rPr>
      </w:pPr>
      <w:bookmarkStart w:id="1" w:name="_Hlk11398940"/>
      <w:r w:rsidRPr="00D95F2B">
        <w:rPr>
          <w:rFonts w:cs="Arial"/>
          <w:bCs/>
          <w:sz w:val="22"/>
          <w:lang w:val="sr-Latn-ME"/>
        </w:rPr>
        <w:t>Etničko poreklo nije imalo klinički relevantan uticaj na farmakokinetiku liraglutida na osnovu rezultata populacione farmakokinetičke analize koja je uključila pacijente iz grupe b</w:t>
      </w:r>
      <w:r w:rsidR="00AB1473" w:rsidRPr="00D95F2B">
        <w:rPr>
          <w:rFonts w:cs="Arial"/>
          <w:bCs/>
          <w:sz w:val="22"/>
          <w:lang w:val="sr-Latn-ME"/>
        </w:rPr>
        <w:t>ij</w:t>
      </w:r>
      <w:r w:rsidRPr="00D95F2B">
        <w:rPr>
          <w:rFonts w:cs="Arial"/>
          <w:bCs/>
          <w:sz w:val="22"/>
          <w:lang w:val="sr-Latn-ME"/>
        </w:rPr>
        <w:t xml:space="preserve">elaca, crnaca, Azijata i </w:t>
      </w:r>
      <w:r w:rsidR="00152902" w:rsidRPr="00D95F2B">
        <w:rPr>
          <w:rFonts w:cs="Arial"/>
          <w:bCs/>
          <w:sz w:val="22"/>
          <w:lang w:val="sr-Latn-ME"/>
        </w:rPr>
        <w:t xml:space="preserve">iz </w:t>
      </w:r>
      <w:r w:rsidR="009B081F" w:rsidRPr="00D95F2B">
        <w:rPr>
          <w:rFonts w:cs="Arial"/>
          <w:bCs/>
          <w:sz w:val="22"/>
          <w:lang w:val="sr-Latn-ME"/>
        </w:rPr>
        <w:t>h</w:t>
      </w:r>
      <w:r w:rsidR="00C0279A" w:rsidRPr="00D95F2B">
        <w:rPr>
          <w:rFonts w:cs="Arial"/>
          <w:bCs/>
          <w:sz w:val="22"/>
          <w:lang w:val="sr-Latn-ME"/>
        </w:rPr>
        <w:t>ispan</w:t>
      </w:r>
      <w:r w:rsidR="00152902" w:rsidRPr="00D95F2B">
        <w:rPr>
          <w:rFonts w:cs="Arial"/>
          <w:bCs/>
          <w:sz w:val="22"/>
          <w:lang w:val="sr-Latn-ME"/>
        </w:rPr>
        <w:t>ske grupe</w:t>
      </w:r>
      <w:r w:rsidRPr="00D95F2B">
        <w:rPr>
          <w:rFonts w:cs="Arial"/>
          <w:bCs/>
          <w:sz w:val="22"/>
          <w:lang w:val="sr-Latn-ME"/>
        </w:rPr>
        <w:t>.</w:t>
      </w:r>
    </w:p>
    <w:p w14:paraId="76018318" w14:textId="77777777" w:rsidR="001C025C" w:rsidRPr="00D95F2B" w:rsidRDefault="001C025C" w:rsidP="001C025C">
      <w:pPr>
        <w:tabs>
          <w:tab w:val="left" w:pos="284"/>
          <w:tab w:val="center" w:pos="4536"/>
          <w:tab w:val="right" w:pos="9072"/>
        </w:tabs>
        <w:jc w:val="both"/>
        <w:rPr>
          <w:rFonts w:cs="Arial"/>
          <w:bCs/>
          <w:sz w:val="22"/>
          <w:lang w:val="sr-Latn-ME"/>
        </w:rPr>
      </w:pPr>
    </w:p>
    <w:p w14:paraId="330F188B" w14:textId="77777777"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i/>
          <w:sz w:val="22"/>
          <w:lang w:val="sr-Latn-ME"/>
        </w:rPr>
        <w:t xml:space="preserve">Gojaznost </w:t>
      </w:r>
    </w:p>
    <w:p w14:paraId="652D6AD4" w14:textId="0B29CEC4"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t>Populacione farmakokinetičke analize sugerišu da indeks tjelesne mase (I</w:t>
      </w:r>
      <w:r w:rsidR="00C0279A" w:rsidRPr="00D95F2B">
        <w:rPr>
          <w:rFonts w:cs="Arial"/>
          <w:bCs/>
          <w:sz w:val="22"/>
          <w:lang w:val="sr-Latn-ME"/>
        </w:rPr>
        <w:t>TM</w:t>
      </w:r>
      <w:r w:rsidRPr="00D95F2B">
        <w:rPr>
          <w:rFonts w:cs="Arial"/>
          <w:bCs/>
          <w:sz w:val="22"/>
          <w:lang w:val="sr-Latn-ME"/>
        </w:rPr>
        <w:t>) nema značajan uticaj na farmakokinetiku liraglutida.</w:t>
      </w:r>
    </w:p>
    <w:p w14:paraId="1A683B28" w14:textId="77777777" w:rsidR="001C025C" w:rsidRPr="00D95F2B" w:rsidRDefault="001C025C" w:rsidP="001C025C">
      <w:pPr>
        <w:tabs>
          <w:tab w:val="left" w:pos="284"/>
          <w:tab w:val="center" w:pos="4536"/>
          <w:tab w:val="right" w:pos="9072"/>
        </w:tabs>
        <w:jc w:val="both"/>
        <w:rPr>
          <w:rFonts w:cs="Arial"/>
          <w:bCs/>
          <w:sz w:val="22"/>
          <w:lang w:val="sr-Latn-ME"/>
        </w:rPr>
      </w:pPr>
    </w:p>
    <w:p w14:paraId="2BB235D7" w14:textId="77777777" w:rsidR="001C025C" w:rsidRPr="00D95F2B" w:rsidRDefault="001C025C" w:rsidP="001C025C">
      <w:pPr>
        <w:tabs>
          <w:tab w:val="left" w:pos="284"/>
          <w:tab w:val="left" w:pos="9588"/>
        </w:tabs>
        <w:jc w:val="both"/>
        <w:rPr>
          <w:sz w:val="22"/>
          <w:szCs w:val="22"/>
          <w:lang w:val="sr-Latn-ME"/>
        </w:rPr>
      </w:pPr>
      <w:r w:rsidRPr="00D95F2B">
        <w:rPr>
          <w:i/>
          <w:sz w:val="22"/>
          <w:szCs w:val="22"/>
          <w:lang w:val="sr-Latn-ME"/>
        </w:rPr>
        <w:t>Oštećenja jetre</w:t>
      </w:r>
      <w:r w:rsidRPr="00D95F2B">
        <w:rPr>
          <w:sz w:val="22"/>
          <w:szCs w:val="22"/>
          <w:lang w:val="sr-Latn-ME"/>
        </w:rPr>
        <w:t xml:space="preserve"> </w:t>
      </w:r>
    </w:p>
    <w:p w14:paraId="6EC83771" w14:textId="1F80C258" w:rsidR="001C025C" w:rsidRPr="00D95F2B" w:rsidRDefault="001C025C" w:rsidP="001C025C">
      <w:pPr>
        <w:tabs>
          <w:tab w:val="left" w:pos="284"/>
          <w:tab w:val="left" w:pos="9588"/>
        </w:tabs>
        <w:jc w:val="both"/>
        <w:rPr>
          <w:rFonts w:cs="Arial"/>
          <w:bCs/>
          <w:sz w:val="22"/>
          <w:lang w:val="sr-Latn-ME"/>
        </w:rPr>
      </w:pPr>
      <w:r w:rsidRPr="00D95F2B">
        <w:rPr>
          <w:sz w:val="22"/>
          <w:szCs w:val="22"/>
          <w:lang w:val="sr-Latn-ME"/>
        </w:rPr>
        <w:t xml:space="preserve">Farmakokinetika liraglutida je evaluirana kod pacijenata sa različitim stepenom oštećenja jetre u ispitivanju u kome se lijek primjenjivao u jednoj pojedinačnoj dozi. </w:t>
      </w:r>
      <w:r w:rsidR="00C0279A" w:rsidRPr="00D95F2B">
        <w:rPr>
          <w:sz w:val="22"/>
          <w:szCs w:val="22"/>
          <w:lang w:val="sr-Latn-ME"/>
        </w:rPr>
        <w:t>Izloženost</w:t>
      </w:r>
      <w:r w:rsidRPr="00D95F2B">
        <w:rPr>
          <w:sz w:val="22"/>
          <w:szCs w:val="22"/>
          <w:lang w:val="sr-Latn-ME"/>
        </w:rPr>
        <w:t xml:space="preserve"> liraglutida se smanjil</w:t>
      </w:r>
      <w:r w:rsidR="00C0279A" w:rsidRPr="00D95F2B">
        <w:rPr>
          <w:sz w:val="22"/>
          <w:szCs w:val="22"/>
          <w:lang w:val="sr-Latn-ME"/>
        </w:rPr>
        <w:t>a</w:t>
      </w:r>
      <w:r w:rsidRPr="00D95F2B">
        <w:rPr>
          <w:sz w:val="22"/>
          <w:szCs w:val="22"/>
          <w:lang w:val="sr-Latn-ME"/>
        </w:rPr>
        <w:t xml:space="preserve"> za 13-23% kod pacijenata sa blagim do um</w:t>
      </w:r>
      <w:r w:rsidR="00E90942" w:rsidRPr="00D95F2B">
        <w:rPr>
          <w:sz w:val="22"/>
          <w:szCs w:val="22"/>
          <w:lang w:val="sr-Latn-ME"/>
        </w:rPr>
        <w:t>j</w:t>
      </w:r>
      <w:r w:rsidRPr="00D95F2B">
        <w:rPr>
          <w:sz w:val="22"/>
          <w:szCs w:val="22"/>
          <w:lang w:val="sr-Latn-ME"/>
        </w:rPr>
        <w:t xml:space="preserve">erenim oštećenjem jetre u poređenju sa zdravim </w:t>
      </w:r>
      <w:r w:rsidR="00C0279A" w:rsidRPr="00D95F2B">
        <w:rPr>
          <w:sz w:val="22"/>
          <w:szCs w:val="22"/>
          <w:lang w:val="sr-Latn-ME"/>
        </w:rPr>
        <w:t>ispitanicima</w:t>
      </w:r>
      <w:r w:rsidRPr="00D95F2B">
        <w:rPr>
          <w:sz w:val="22"/>
          <w:szCs w:val="22"/>
          <w:lang w:val="sr-Latn-ME"/>
        </w:rPr>
        <w:t>.</w:t>
      </w:r>
      <w:r w:rsidRPr="00D95F2B">
        <w:rPr>
          <w:rFonts w:cs="Arial"/>
          <w:bCs/>
          <w:sz w:val="22"/>
          <w:lang w:val="sr-Latn-ME"/>
        </w:rPr>
        <w:t xml:space="preserve"> </w:t>
      </w:r>
    </w:p>
    <w:p w14:paraId="1203EF0D" w14:textId="2BA39BAE" w:rsidR="001C025C" w:rsidRPr="00D95F2B" w:rsidRDefault="00C0279A" w:rsidP="001C025C">
      <w:pPr>
        <w:tabs>
          <w:tab w:val="left" w:pos="284"/>
          <w:tab w:val="center" w:pos="4536"/>
          <w:tab w:val="right" w:pos="9072"/>
        </w:tabs>
        <w:jc w:val="both"/>
        <w:rPr>
          <w:sz w:val="22"/>
          <w:szCs w:val="22"/>
          <w:lang w:val="sr-Latn-ME"/>
        </w:rPr>
      </w:pPr>
      <w:r w:rsidRPr="00D95F2B">
        <w:rPr>
          <w:sz w:val="22"/>
          <w:szCs w:val="22"/>
          <w:lang w:val="sr-Latn-ME"/>
        </w:rPr>
        <w:t xml:space="preserve">Izloženost </w:t>
      </w:r>
      <w:r w:rsidR="001C025C" w:rsidRPr="00D95F2B">
        <w:rPr>
          <w:sz w:val="22"/>
          <w:szCs w:val="22"/>
          <w:lang w:val="sr-Latn-ME"/>
        </w:rPr>
        <w:t>je bil</w:t>
      </w:r>
      <w:r w:rsidRPr="00D95F2B">
        <w:rPr>
          <w:sz w:val="22"/>
          <w:szCs w:val="22"/>
          <w:lang w:val="sr-Latn-ME"/>
        </w:rPr>
        <w:t>a</w:t>
      </w:r>
      <w:r w:rsidR="001C025C" w:rsidRPr="00D95F2B">
        <w:rPr>
          <w:sz w:val="22"/>
          <w:szCs w:val="22"/>
          <w:lang w:val="sr-Latn-ME"/>
        </w:rPr>
        <w:t xml:space="preserve"> značajno niž</w:t>
      </w:r>
      <w:r w:rsidRPr="00D95F2B">
        <w:rPr>
          <w:sz w:val="22"/>
          <w:szCs w:val="22"/>
          <w:lang w:val="sr-Latn-ME"/>
        </w:rPr>
        <w:t>a</w:t>
      </w:r>
      <w:r w:rsidR="001C025C" w:rsidRPr="00D95F2B">
        <w:rPr>
          <w:sz w:val="22"/>
          <w:szCs w:val="22"/>
          <w:lang w:val="sr-Latn-ME"/>
        </w:rPr>
        <w:t xml:space="preserve"> (44%) kod pacijenata sa teškim oštećenjem jetre (</w:t>
      </w:r>
      <w:r w:rsidR="001C025C" w:rsidRPr="00D95F2B">
        <w:rPr>
          <w:i/>
          <w:sz w:val="22"/>
          <w:szCs w:val="22"/>
          <w:lang w:val="sr-Latn-ME"/>
        </w:rPr>
        <w:t>Child Pugh</w:t>
      </w:r>
      <w:r w:rsidR="001C025C" w:rsidRPr="00D95F2B">
        <w:rPr>
          <w:sz w:val="22"/>
          <w:szCs w:val="22"/>
          <w:lang w:val="sr-Latn-ME"/>
        </w:rPr>
        <w:t xml:space="preserve"> oc</w:t>
      </w:r>
      <w:r w:rsidR="0032227D" w:rsidRPr="00D95F2B">
        <w:rPr>
          <w:sz w:val="22"/>
          <w:szCs w:val="22"/>
          <w:lang w:val="sr-Latn-ME"/>
        </w:rPr>
        <w:t>j</w:t>
      </w:r>
      <w:r w:rsidR="001C025C" w:rsidRPr="00D95F2B">
        <w:rPr>
          <w:sz w:val="22"/>
          <w:szCs w:val="22"/>
          <w:lang w:val="sr-Latn-ME"/>
        </w:rPr>
        <w:t>ena &gt;9).</w:t>
      </w:r>
    </w:p>
    <w:p w14:paraId="3BF68915" w14:textId="77777777" w:rsidR="001C025C" w:rsidRPr="00D95F2B" w:rsidRDefault="001C025C" w:rsidP="001C025C">
      <w:pPr>
        <w:tabs>
          <w:tab w:val="left" w:pos="284"/>
          <w:tab w:val="center" w:pos="4536"/>
          <w:tab w:val="right" w:pos="9072"/>
        </w:tabs>
        <w:jc w:val="both"/>
        <w:rPr>
          <w:sz w:val="22"/>
          <w:szCs w:val="22"/>
          <w:lang w:val="sr-Latn-ME"/>
        </w:rPr>
      </w:pPr>
    </w:p>
    <w:p w14:paraId="7BF5CFC7" w14:textId="77777777" w:rsidR="001C025C" w:rsidRPr="00D95F2B" w:rsidRDefault="001C025C" w:rsidP="001C025C">
      <w:pPr>
        <w:tabs>
          <w:tab w:val="left" w:pos="284"/>
          <w:tab w:val="center" w:pos="4536"/>
          <w:tab w:val="right" w:pos="9072"/>
        </w:tabs>
        <w:jc w:val="both"/>
        <w:rPr>
          <w:sz w:val="22"/>
          <w:szCs w:val="22"/>
          <w:lang w:val="sr-Latn-ME"/>
        </w:rPr>
      </w:pPr>
      <w:r w:rsidRPr="00D95F2B">
        <w:rPr>
          <w:i/>
          <w:sz w:val="22"/>
          <w:szCs w:val="22"/>
          <w:lang w:val="sr-Latn-ME"/>
        </w:rPr>
        <w:t xml:space="preserve">Oštećenje bubrega </w:t>
      </w:r>
    </w:p>
    <w:p w14:paraId="20310DBD" w14:textId="745CE3BB" w:rsidR="001C025C" w:rsidRPr="00D95F2B" w:rsidRDefault="00C0279A">
      <w:pPr>
        <w:tabs>
          <w:tab w:val="left" w:pos="284"/>
          <w:tab w:val="center" w:pos="4536"/>
          <w:tab w:val="right" w:pos="9072"/>
        </w:tabs>
        <w:jc w:val="both"/>
        <w:rPr>
          <w:sz w:val="22"/>
          <w:szCs w:val="22"/>
          <w:lang w:val="sr-Latn-ME"/>
        </w:rPr>
      </w:pPr>
      <w:r w:rsidRPr="00D95F2B">
        <w:rPr>
          <w:sz w:val="22"/>
          <w:szCs w:val="22"/>
          <w:lang w:val="sr-Latn-ME"/>
        </w:rPr>
        <w:t>Izloženost</w:t>
      </w:r>
      <w:r w:rsidR="001C025C" w:rsidRPr="00D95F2B">
        <w:rPr>
          <w:sz w:val="22"/>
          <w:szCs w:val="22"/>
          <w:lang w:val="sr-Latn-ME"/>
        </w:rPr>
        <w:t xml:space="preserve"> liraglutida je smanjen</w:t>
      </w:r>
      <w:r w:rsidRPr="00D95F2B">
        <w:rPr>
          <w:sz w:val="22"/>
          <w:szCs w:val="22"/>
          <w:lang w:val="sr-Latn-ME"/>
        </w:rPr>
        <w:t>a</w:t>
      </w:r>
      <w:r w:rsidR="001C025C" w:rsidRPr="00D95F2B">
        <w:rPr>
          <w:sz w:val="22"/>
          <w:szCs w:val="22"/>
          <w:lang w:val="sr-Latn-ME"/>
        </w:rPr>
        <w:t xml:space="preserve"> kod pacijenata sa oštećenjem bubrega u poređenju sa osobama sa normalnom bubrežnom funkcijom. Raspoloživost liraglutida je bila smanjena za 33%, 14%, 27%, odnosno 26% kod pacijenata sa blagim (klirens kreatinina, CrCl 50-80 ml/min), umjerenim (CrCl 30-50 ml/min) i teškim (CrCl</w:t>
      </w:r>
      <w:r w:rsidRPr="00D95F2B">
        <w:rPr>
          <w:sz w:val="22"/>
          <w:szCs w:val="22"/>
          <w:lang w:val="sr-Latn-ME"/>
        </w:rPr>
        <w:t xml:space="preserve"> </w:t>
      </w:r>
      <w:r w:rsidR="001C025C" w:rsidRPr="00D95F2B">
        <w:rPr>
          <w:sz w:val="22"/>
          <w:szCs w:val="22"/>
          <w:lang w:val="sr-Latn-ME"/>
        </w:rPr>
        <w:t>&lt;</w:t>
      </w:r>
      <w:r w:rsidR="00DF1ADB" w:rsidRPr="00D95F2B">
        <w:rPr>
          <w:sz w:val="22"/>
          <w:szCs w:val="22"/>
          <w:lang w:val="sr-Latn-ME"/>
        </w:rPr>
        <w:t xml:space="preserve"> </w:t>
      </w:r>
      <w:r w:rsidR="001C025C" w:rsidRPr="00D95F2B">
        <w:rPr>
          <w:sz w:val="22"/>
          <w:szCs w:val="22"/>
          <w:lang w:val="sr-Latn-ME"/>
        </w:rPr>
        <w:t>30 ml/min) oštećenjem bubrega, kao i u terminalnoj fazi bubrežnog oboljenja koja zaht</w:t>
      </w:r>
      <w:r w:rsidR="00DF1ADB" w:rsidRPr="00D95F2B">
        <w:rPr>
          <w:sz w:val="22"/>
          <w:szCs w:val="22"/>
          <w:lang w:val="sr-Latn-ME"/>
        </w:rPr>
        <w:t>ij</w:t>
      </w:r>
      <w:r w:rsidR="001C025C" w:rsidRPr="00D95F2B">
        <w:rPr>
          <w:sz w:val="22"/>
          <w:szCs w:val="22"/>
          <w:lang w:val="sr-Latn-ME"/>
        </w:rPr>
        <w:t xml:space="preserve">eva dijalizu. </w:t>
      </w:r>
    </w:p>
    <w:p w14:paraId="14E8DCA9" w14:textId="77777777" w:rsidR="001C025C" w:rsidRPr="00D95F2B" w:rsidRDefault="001C025C">
      <w:pPr>
        <w:tabs>
          <w:tab w:val="left" w:pos="284"/>
          <w:tab w:val="center" w:pos="4536"/>
          <w:tab w:val="right" w:pos="9072"/>
        </w:tabs>
        <w:jc w:val="both"/>
        <w:rPr>
          <w:sz w:val="22"/>
          <w:szCs w:val="22"/>
          <w:lang w:val="sr-Latn-ME"/>
        </w:rPr>
      </w:pPr>
    </w:p>
    <w:p w14:paraId="4466006F" w14:textId="752D0A6F" w:rsidR="001C025C" w:rsidRPr="00D95F2B" w:rsidRDefault="001C025C" w:rsidP="00AB551E">
      <w:pPr>
        <w:tabs>
          <w:tab w:val="left" w:pos="540"/>
          <w:tab w:val="left" w:pos="569"/>
        </w:tabs>
        <w:jc w:val="both"/>
        <w:rPr>
          <w:sz w:val="22"/>
          <w:szCs w:val="22"/>
          <w:lang w:val="sr-Latn-ME"/>
        </w:rPr>
      </w:pPr>
      <w:r w:rsidRPr="00D95F2B">
        <w:rPr>
          <w:sz w:val="22"/>
          <w:szCs w:val="22"/>
          <w:lang w:val="sr-Latn-ME"/>
        </w:rPr>
        <w:t>Slično, u kliničkom ispitivanju u trajanju od 26 nedjelja, kod pacijenata sa dijabetesom tip 2 i um</w:t>
      </w:r>
      <w:r w:rsidR="00E90942" w:rsidRPr="00D95F2B">
        <w:rPr>
          <w:sz w:val="22"/>
          <w:szCs w:val="22"/>
          <w:lang w:val="sr-Latn-ME"/>
        </w:rPr>
        <w:t>j</w:t>
      </w:r>
      <w:r w:rsidRPr="00D95F2B">
        <w:rPr>
          <w:sz w:val="22"/>
          <w:szCs w:val="22"/>
          <w:lang w:val="sr-Latn-ME"/>
        </w:rPr>
        <w:t>erenim oštećenjem bubrega (CrCL 30-59 m</w:t>
      </w:r>
      <w:r w:rsidR="002B44CA" w:rsidRPr="00D95F2B">
        <w:rPr>
          <w:sz w:val="22"/>
          <w:szCs w:val="22"/>
          <w:lang w:val="sr-Latn-ME"/>
        </w:rPr>
        <w:t>l</w:t>
      </w:r>
      <w:r w:rsidRPr="00D95F2B">
        <w:rPr>
          <w:sz w:val="22"/>
          <w:szCs w:val="22"/>
          <w:lang w:val="sr-Latn-ME"/>
        </w:rPr>
        <w:t>/min, vidjeti</w:t>
      </w:r>
      <w:r w:rsidR="00DF1ADB" w:rsidRPr="00D95F2B">
        <w:rPr>
          <w:sz w:val="22"/>
          <w:szCs w:val="22"/>
          <w:lang w:val="sr-Latn-ME"/>
        </w:rPr>
        <w:t xml:space="preserve"> dio</w:t>
      </w:r>
      <w:r w:rsidRPr="00D95F2B">
        <w:rPr>
          <w:sz w:val="22"/>
          <w:szCs w:val="22"/>
          <w:lang w:val="sr-Latn-ME"/>
        </w:rPr>
        <w:t xml:space="preserve"> 5.1) raspoloživost liraglutida je bila za 26% smanjena u poređenju sa nezavisnim ispitivanjem koje je obuhvatilo pacijente sa dijabetesom tip 2 sa normalnom bubrežnom funkcijom ili blagim oštećenjem bubrega.</w:t>
      </w:r>
      <w:bookmarkEnd w:id="1"/>
    </w:p>
    <w:p w14:paraId="182B6F47" w14:textId="77777777" w:rsidR="00DD063C" w:rsidRPr="00D95F2B" w:rsidRDefault="00DD063C" w:rsidP="00AB551E">
      <w:pPr>
        <w:tabs>
          <w:tab w:val="left" w:pos="540"/>
          <w:tab w:val="left" w:pos="569"/>
        </w:tabs>
        <w:jc w:val="both"/>
        <w:rPr>
          <w:bCs/>
          <w:sz w:val="22"/>
          <w:szCs w:val="22"/>
          <w:lang w:val="sr-Latn-ME"/>
        </w:rPr>
      </w:pPr>
    </w:p>
    <w:p w14:paraId="5558BF2C" w14:textId="77777777" w:rsidR="00DD063C" w:rsidRPr="00D95F2B" w:rsidRDefault="00DD063C" w:rsidP="00AB551E">
      <w:pPr>
        <w:tabs>
          <w:tab w:val="left" w:pos="540"/>
          <w:tab w:val="left" w:pos="569"/>
        </w:tabs>
        <w:jc w:val="both"/>
        <w:rPr>
          <w:bCs/>
          <w:i/>
          <w:iCs/>
          <w:sz w:val="22"/>
          <w:szCs w:val="22"/>
          <w:lang w:val="sr-Latn-ME"/>
        </w:rPr>
      </w:pPr>
      <w:r w:rsidRPr="00D95F2B">
        <w:rPr>
          <w:bCs/>
          <w:i/>
          <w:iCs/>
          <w:sz w:val="22"/>
          <w:szCs w:val="22"/>
          <w:lang w:val="sr-Latn-ME"/>
        </w:rPr>
        <w:t>Pedijatrijska populacija</w:t>
      </w:r>
    </w:p>
    <w:p w14:paraId="48AAE6A8" w14:textId="77777777" w:rsidR="00DD063C" w:rsidRPr="00D95F2B" w:rsidRDefault="00DD063C" w:rsidP="00AB551E">
      <w:pPr>
        <w:tabs>
          <w:tab w:val="left" w:pos="540"/>
          <w:tab w:val="left" w:pos="569"/>
        </w:tabs>
        <w:jc w:val="both"/>
        <w:rPr>
          <w:bCs/>
          <w:sz w:val="22"/>
          <w:szCs w:val="22"/>
          <w:lang w:val="sr-Latn-ME"/>
        </w:rPr>
      </w:pPr>
      <w:r w:rsidRPr="00D95F2B">
        <w:rPr>
          <w:bCs/>
          <w:sz w:val="22"/>
          <w:szCs w:val="22"/>
          <w:lang w:val="sr-Latn-ME"/>
        </w:rPr>
        <w:t>Farmakokinetičke karakteristike su procjenjivane u kliničkim ispitivanjima u pedijatrijskoj populaciji sa dijabetesom tip 2 uzrasta od 10 i više godina. Izloženost liraglutidu kod adolescenata i djece bila je uporediva sa izloženošću zapaženom u odrasloj populaciji.</w:t>
      </w:r>
    </w:p>
    <w:p w14:paraId="5F5F958B" w14:textId="77777777" w:rsidR="001C025C" w:rsidRPr="00D95F2B" w:rsidRDefault="001C025C" w:rsidP="00480FB1">
      <w:pPr>
        <w:tabs>
          <w:tab w:val="left" w:pos="540"/>
          <w:tab w:val="left" w:pos="569"/>
        </w:tabs>
        <w:rPr>
          <w:bCs/>
          <w:sz w:val="22"/>
          <w:szCs w:val="22"/>
          <w:lang w:val="sr-Latn-ME"/>
        </w:rPr>
      </w:pPr>
    </w:p>
    <w:p w14:paraId="70F8DF84"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5.3. </w:t>
      </w:r>
      <w:r w:rsidR="00480FB1" w:rsidRPr="00D95F2B">
        <w:rPr>
          <w:b/>
          <w:bCs/>
          <w:sz w:val="22"/>
          <w:szCs w:val="22"/>
          <w:lang w:val="sr-Latn-ME"/>
        </w:rPr>
        <w:tab/>
      </w:r>
      <w:r w:rsidRPr="00D95F2B">
        <w:rPr>
          <w:b/>
          <w:bCs/>
          <w:sz w:val="22"/>
          <w:szCs w:val="22"/>
          <w:lang w:val="sr-Latn-ME"/>
        </w:rPr>
        <w:t xml:space="preserve">Pretklinički podaci o bezbjednosti </w:t>
      </w:r>
    </w:p>
    <w:p w14:paraId="16A3CBFC" w14:textId="77777777" w:rsidR="00836B35" w:rsidRPr="00D95F2B" w:rsidRDefault="00836B35" w:rsidP="00480FB1">
      <w:pPr>
        <w:tabs>
          <w:tab w:val="left" w:pos="540"/>
          <w:tab w:val="left" w:pos="569"/>
        </w:tabs>
        <w:rPr>
          <w:bCs/>
          <w:sz w:val="22"/>
          <w:szCs w:val="22"/>
          <w:lang w:val="sr-Latn-ME"/>
        </w:rPr>
      </w:pPr>
    </w:p>
    <w:p w14:paraId="24D52DEF" w14:textId="77777777" w:rsidR="001C025C" w:rsidRPr="00D95F2B" w:rsidRDefault="001C025C">
      <w:pPr>
        <w:tabs>
          <w:tab w:val="left" w:pos="284"/>
          <w:tab w:val="center" w:pos="4536"/>
          <w:tab w:val="right" w:pos="9072"/>
        </w:tabs>
        <w:jc w:val="both"/>
        <w:rPr>
          <w:rFonts w:cs="Arial"/>
          <w:bCs/>
          <w:sz w:val="22"/>
          <w:lang w:val="sr-Latn-ME"/>
        </w:rPr>
      </w:pPr>
      <w:r w:rsidRPr="00D95F2B">
        <w:rPr>
          <w:rFonts w:cs="Arial"/>
          <w:bCs/>
          <w:sz w:val="22"/>
          <w:lang w:val="sr-Latn-ME"/>
        </w:rPr>
        <w:t>Pretklinički podaci ne ukazuju na posebne opasnosti za humanu primjenu na osnovu standardnih farmakoloških studija o bezbjednosti, toksičnosti ponovljenih doza ili genotoksičnosti.</w:t>
      </w:r>
    </w:p>
    <w:p w14:paraId="214FE3D2" w14:textId="77777777" w:rsidR="001C025C" w:rsidRPr="00D95F2B" w:rsidRDefault="001C025C" w:rsidP="00AB551E">
      <w:pPr>
        <w:tabs>
          <w:tab w:val="left" w:pos="284"/>
          <w:tab w:val="center" w:pos="4536"/>
          <w:tab w:val="right" w:pos="9072"/>
        </w:tabs>
        <w:jc w:val="both"/>
        <w:rPr>
          <w:rFonts w:cs="Arial"/>
          <w:bCs/>
          <w:sz w:val="22"/>
          <w:lang w:val="sr-Latn-ME"/>
        </w:rPr>
      </w:pPr>
    </w:p>
    <w:p w14:paraId="10E3B965" w14:textId="06E7AD07" w:rsidR="001C025C" w:rsidRPr="00D95F2B" w:rsidRDefault="001C025C">
      <w:pPr>
        <w:tabs>
          <w:tab w:val="left" w:pos="284"/>
          <w:tab w:val="center" w:pos="4536"/>
          <w:tab w:val="right" w:pos="9072"/>
        </w:tabs>
        <w:jc w:val="both"/>
        <w:rPr>
          <w:rFonts w:cs="Arial"/>
          <w:bCs/>
          <w:sz w:val="22"/>
          <w:lang w:val="sr-Latn-ME"/>
        </w:rPr>
      </w:pPr>
      <w:r w:rsidRPr="00D95F2B">
        <w:rPr>
          <w:rFonts w:cs="Arial"/>
          <w:bCs/>
          <w:sz w:val="22"/>
          <w:lang w:val="sr-Latn-ME"/>
        </w:rPr>
        <w:t>Tumori C-ćelija tireodne žl</w:t>
      </w:r>
      <w:r w:rsidR="00DF1ADB" w:rsidRPr="00D95F2B">
        <w:rPr>
          <w:rFonts w:cs="Arial"/>
          <w:bCs/>
          <w:sz w:val="22"/>
          <w:lang w:val="sr-Latn-ME"/>
        </w:rPr>
        <w:t>ij</w:t>
      </w:r>
      <w:r w:rsidRPr="00D95F2B">
        <w:rPr>
          <w:rFonts w:cs="Arial"/>
          <w:bCs/>
          <w:sz w:val="22"/>
          <w:lang w:val="sr-Latn-ME"/>
        </w:rPr>
        <w:t>ezde koji ne ugrožavaju život uočeni su u dvogodišnjim studijama kancerogenosti na pacovima i miševima. Kod pacova, nije zapažen nivo neuočljivih neželjenih dejstava (NOAEL). Ovi tumori nijesu uočeni kod majmuna na kojima je lijek primjenjivan tokom 20 mjeseci. Ovi nalazi kod glodara se objašnjavaju negenotoksičnim, specifičnim GLP-1 receptorskim mehanizmom na koji su glodari posebno osjetljivi. Relevantnost za prim</w:t>
      </w:r>
      <w:r w:rsidR="00C0279A" w:rsidRPr="00D95F2B">
        <w:rPr>
          <w:rFonts w:cs="Arial"/>
          <w:bCs/>
          <w:sz w:val="22"/>
          <w:lang w:val="sr-Latn-ME"/>
        </w:rPr>
        <w:t>j</w:t>
      </w:r>
      <w:r w:rsidRPr="00D95F2B">
        <w:rPr>
          <w:rFonts w:cs="Arial"/>
          <w:bCs/>
          <w:sz w:val="22"/>
          <w:lang w:val="sr-Latn-ME"/>
        </w:rPr>
        <w:t>enu kod ljudi bi trebalo da bude mala, ali se ne može potpuno isključiti. Nije utvrđen nijedan drugi tumor koji se može povezati sa terapijom ovim lijekom.</w:t>
      </w:r>
    </w:p>
    <w:p w14:paraId="0B4C23D2" w14:textId="77777777" w:rsidR="001C025C" w:rsidRPr="00D95F2B" w:rsidRDefault="001C025C" w:rsidP="001C025C">
      <w:pPr>
        <w:tabs>
          <w:tab w:val="left" w:pos="284"/>
          <w:tab w:val="center" w:pos="4536"/>
          <w:tab w:val="right" w:pos="9072"/>
        </w:tabs>
        <w:jc w:val="both"/>
        <w:rPr>
          <w:rFonts w:cs="Arial"/>
          <w:bCs/>
          <w:sz w:val="22"/>
          <w:lang w:val="sr-Latn-ME"/>
        </w:rPr>
      </w:pPr>
    </w:p>
    <w:p w14:paraId="0306F7C0" w14:textId="6FDC5D4E" w:rsidR="001C025C" w:rsidRPr="00D95F2B" w:rsidRDefault="001C025C" w:rsidP="001C025C">
      <w:pPr>
        <w:tabs>
          <w:tab w:val="left" w:pos="284"/>
          <w:tab w:val="center" w:pos="4536"/>
          <w:tab w:val="right" w:pos="9072"/>
        </w:tabs>
        <w:jc w:val="both"/>
        <w:rPr>
          <w:rFonts w:cs="Arial"/>
          <w:bCs/>
          <w:sz w:val="22"/>
          <w:lang w:val="sr-Latn-ME"/>
        </w:rPr>
      </w:pPr>
      <w:r w:rsidRPr="00D95F2B">
        <w:rPr>
          <w:rFonts w:cs="Arial"/>
          <w:bCs/>
          <w:sz w:val="22"/>
          <w:lang w:val="sr-Latn-ME"/>
        </w:rPr>
        <w:lastRenderedPageBreak/>
        <w:t xml:space="preserve">Ispitivanja na životinjama nijesu pokazala direktan štetan uticaj kada je u pitanju plodnost, ali se prilikom primjene najveće doze uočilo neznatno veće uginuće embriona u ranoj fazi trudnoće. Doziranje lijekom </w:t>
      </w:r>
      <w:r w:rsidR="00203EA1" w:rsidRPr="00D95F2B">
        <w:rPr>
          <w:sz w:val="22"/>
          <w:szCs w:val="22"/>
          <w:lang w:val="sr-Latn-ME"/>
        </w:rPr>
        <w:t>Victoza</w:t>
      </w:r>
      <w:r w:rsidRPr="00D95F2B">
        <w:rPr>
          <w:sz w:val="22"/>
          <w:szCs w:val="22"/>
          <w:lang w:val="sr-Latn-ME"/>
        </w:rPr>
        <w:t xml:space="preserve"> tokom srednjeg gestacionog perioda izazvalo je smanjenje tjelesne mase majke i fetalnog rasta sa neodređenim uticajem na rebra kod pacova i skeletne varijacije kod zečeva. Neonatalni rast pacova je bio smanjen dok su bili na terapiji lijekom </w:t>
      </w:r>
      <w:r w:rsidR="00203EA1" w:rsidRPr="00D95F2B">
        <w:rPr>
          <w:sz w:val="22"/>
          <w:szCs w:val="22"/>
          <w:lang w:val="sr-Latn-ME"/>
        </w:rPr>
        <w:t>Victoza</w:t>
      </w:r>
      <w:r w:rsidRPr="00D95F2B">
        <w:rPr>
          <w:sz w:val="22"/>
          <w:szCs w:val="22"/>
          <w:lang w:val="sr-Latn-ME"/>
        </w:rPr>
        <w:t xml:space="preserve"> što se nastavilo tokom perioda odbijanja od sisanja </w:t>
      </w:r>
      <w:r w:rsidRPr="00D95F2B">
        <w:rPr>
          <w:rFonts w:cs="Arial"/>
          <w:bCs/>
          <w:sz w:val="22"/>
          <w:lang w:val="sr-Latn-ME"/>
        </w:rPr>
        <w:t xml:space="preserve">u grupi koja je primala veliku dozu lijeka. Nije poznato da li je smanjen rast mladunaca izazvan time što je smanjeno unošenje mlijeka u mladunaca zbog direktnog GLP-1 uticaja, ili smanjenog stvaranja mlijeka kod majke zbog smanjenog unosa kalorija.  </w:t>
      </w:r>
    </w:p>
    <w:p w14:paraId="6071E1C3" w14:textId="73861DA5" w:rsidR="002654EB" w:rsidRPr="00D95F2B" w:rsidRDefault="002654EB" w:rsidP="00480FB1">
      <w:pPr>
        <w:tabs>
          <w:tab w:val="left" w:pos="540"/>
          <w:tab w:val="left" w:pos="569"/>
        </w:tabs>
        <w:rPr>
          <w:b/>
          <w:bCs/>
          <w:sz w:val="22"/>
          <w:szCs w:val="22"/>
          <w:lang w:val="sr-Latn-ME"/>
        </w:rPr>
      </w:pPr>
    </w:p>
    <w:p w14:paraId="7B2C30C8" w14:textId="77777777" w:rsidR="003B5692" w:rsidRPr="00D95F2B" w:rsidRDefault="003B5692" w:rsidP="00480FB1">
      <w:pPr>
        <w:tabs>
          <w:tab w:val="left" w:pos="540"/>
          <w:tab w:val="left" w:pos="569"/>
        </w:tabs>
        <w:rPr>
          <w:b/>
          <w:bCs/>
          <w:sz w:val="22"/>
          <w:szCs w:val="22"/>
          <w:lang w:val="sr-Latn-ME"/>
        </w:rPr>
      </w:pPr>
    </w:p>
    <w:p w14:paraId="6CE71E26"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6. </w:t>
      </w:r>
      <w:r w:rsidR="00480FB1" w:rsidRPr="00D95F2B">
        <w:rPr>
          <w:b/>
          <w:bCs/>
          <w:sz w:val="22"/>
          <w:szCs w:val="22"/>
          <w:lang w:val="sr-Latn-ME"/>
        </w:rPr>
        <w:tab/>
      </w:r>
      <w:r w:rsidRPr="00D95F2B">
        <w:rPr>
          <w:b/>
          <w:bCs/>
          <w:sz w:val="22"/>
          <w:szCs w:val="22"/>
          <w:lang w:val="sr-Latn-ME"/>
        </w:rPr>
        <w:t>FARMACEUTSKI PODACI</w:t>
      </w:r>
    </w:p>
    <w:p w14:paraId="797C9934" w14:textId="77777777" w:rsidR="00836B35" w:rsidRPr="00D95F2B" w:rsidRDefault="00836B35" w:rsidP="00480FB1">
      <w:pPr>
        <w:tabs>
          <w:tab w:val="left" w:pos="540"/>
          <w:tab w:val="left" w:pos="569"/>
        </w:tabs>
        <w:rPr>
          <w:bCs/>
          <w:sz w:val="22"/>
          <w:szCs w:val="22"/>
          <w:lang w:val="sr-Latn-ME"/>
        </w:rPr>
      </w:pPr>
    </w:p>
    <w:p w14:paraId="3C0E5468"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6.1. </w:t>
      </w:r>
      <w:r w:rsidR="00480FB1" w:rsidRPr="00D95F2B">
        <w:rPr>
          <w:b/>
          <w:bCs/>
          <w:sz w:val="22"/>
          <w:szCs w:val="22"/>
          <w:lang w:val="sr-Latn-ME"/>
        </w:rPr>
        <w:tab/>
      </w:r>
      <w:r w:rsidRPr="00D95F2B">
        <w:rPr>
          <w:b/>
          <w:bCs/>
          <w:sz w:val="22"/>
          <w:szCs w:val="22"/>
          <w:lang w:val="sr-Latn-ME"/>
        </w:rPr>
        <w:t>Lista pomoćnih supstanci</w:t>
      </w:r>
      <w:r w:rsidR="002E0135" w:rsidRPr="00D95F2B">
        <w:rPr>
          <w:b/>
          <w:bCs/>
          <w:sz w:val="22"/>
          <w:szCs w:val="22"/>
          <w:lang w:val="sr-Latn-ME"/>
        </w:rPr>
        <w:t xml:space="preserve"> (ekscipijenasa)</w:t>
      </w:r>
    </w:p>
    <w:p w14:paraId="0CC8DEA5" w14:textId="77777777" w:rsidR="0072020E" w:rsidRPr="00D95F2B" w:rsidRDefault="0072020E" w:rsidP="00480FB1">
      <w:pPr>
        <w:tabs>
          <w:tab w:val="left" w:pos="540"/>
          <w:tab w:val="left" w:pos="569"/>
        </w:tabs>
        <w:rPr>
          <w:bCs/>
          <w:sz w:val="22"/>
          <w:szCs w:val="22"/>
          <w:lang w:val="sr-Latn-ME"/>
        </w:rPr>
      </w:pPr>
    </w:p>
    <w:p w14:paraId="111210A6" w14:textId="51B446DD" w:rsidR="001C025C" w:rsidRPr="00D95F2B" w:rsidRDefault="001C025C" w:rsidP="001C025C">
      <w:pPr>
        <w:tabs>
          <w:tab w:val="left" w:pos="540"/>
          <w:tab w:val="left" w:pos="569"/>
        </w:tabs>
        <w:rPr>
          <w:bCs/>
          <w:sz w:val="22"/>
          <w:szCs w:val="22"/>
          <w:lang w:val="sr-Latn-ME"/>
        </w:rPr>
      </w:pPr>
      <w:r w:rsidRPr="00D95F2B">
        <w:rPr>
          <w:bCs/>
          <w:sz w:val="22"/>
          <w:szCs w:val="22"/>
          <w:lang w:val="sr-Latn-ME"/>
        </w:rPr>
        <w:t>Dinatrijum fosfat dihidrat</w:t>
      </w:r>
    </w:p>
    <w:p w14:paraId="7D156653" w14:textId="03B2B5B7" w:rsidR="001C025C" w:rsidRPr="00D95F2B" w:rsidRDefault="001C025C" w:rsidP="001C025C">
      <w:pPr>
        <w:tabs>
          <w:tab w:val="left" w:pos="540"/>
          <w:tab w:val="left" w:pos="569"/>
        </w:tabs>
        <w:rPr>
          <w:bCs/>
          <w:sz w:val="22"/>
          <w:szCs w:val="22"/>
          <w:lang w:val="sr-Latn-ME"/>
        </w:rPr>
      </w:pPr>
      <w:r w:rsidRPr="00D95F2B">
        <w:rPr>
          <w:bCs/>
          <w:sz w:val="22"/>
          <w:szCs w:val="22"/>
          <w:lang w:val="sr-Latn-ME"/>
        </w:rPr>
        <w:t>Propilen</w:t>
      </w:r>
      <w:r w:rsidR="002654EB" w:rsidRPr="00D95F2B">
        <w:rPr>
          <w:bCs/>
          <w:sz w:val="22"/>
          <w:szCs w:val="22"/>
          <w:lang w:val="sr-Latn-ME"/>
        </w:rPr>
        <w:t xml:space="preserve"> </w:t>
      </w:r>
      <w:r w:rsidRPr="00D95F2B">
        <w:rPr>
          <w:bCs/>
          <w:sz w:val="22"/>
          <w:szCs w:val="22"/>
          <w:lang w:val="sr-Latn-ME"/>
        </w:rPr>
        <w:t>glikol</w:t>
      </w:r>
    </w:p>
    <w:p w14:paraId="39037CEF" w14:textId="77777777" w:rsidR="001C025C" w:rsidRPr="00D95F2B" w:rsidRDefault="001C025C" w:rsidP="001C025C">
      <w:pPr>
        <w:tabs>
          <w:tab w:val="left" w:pos="540"/>
          <w:tab w:val="left" w:pos="569"/>
        </w:tabs>
        <w:rPr>
          <w:bCs/>
          <w:sz w:val="22"/>
          <w:szCs w:val="22"/>
          <w:lang w:val="sr-Latn-ME"/>
        </w:rPr>
      </w:pPr>
      <w:r w:rsidRPr="00D95F2B">
        <w:rPr>
          <w:bCs/>
          <w:sz w:val="22"/>
          <w:szCs w:val="22"/>
          <w:lang w:val="sr-Latn-ME"/>
        </w:rPr>
        <w:t>Fenol</w:t>
      </w:r>
    </w:p>
    <w:p w14:paraId="55DC9D30" w14:textId="77777777" w:rsidR="001C025C" w:rsidRPr="00D95F2B" w:rsidRDefault="001C025C" w:rsidP="001C025C">
      <w:pPr>
        <w:tabs>
          <w:tab w:val="left" w:pos="540"/>
          <w:tab w:val="left" w:pos="569"/>
        </w:tabs>
        <w:rPr>
          <w:bCs/>
          <w:sz w:val="22"/>
          <w:szCs w:val="22"/>
          <w:lang w:val="sr-Latn-ME"/>
        </w:rPr>
      </w:pPr>
      <w:r w:rsidRPr="00D95F2B">
        <w:rPr>
          <w:bCs/>
          <w:sz w:val="22"/>
          <w:szCs w:val="22"/>
          <w:lang w:val="sr-Latn-ME"/>
        </w:rPr>
        <w:t>Voda za injekcije</w:t>
      </w:r>
    </w:p>
    <w:p w14:paraId="0B871567" w14:textId="77777777" w:rsidR="001C025C" w:rsidRPr="00D95F2B" w:rsidRDefault="001C025C" w:rsidP="00480FB1">
      <w:pPr>
        <w:tabs>
          <w:tab w:val="left" w:pos="540"/>
          <w:tab w:val="left" w:pos="569"/>
        </w:tabs>
        <w:rPr>
          <w:bCs/>
          <w:sz w:val="22"/>
          <w:szCs w:val="22"/>
          <w:lang w:val="sr-Latn-ME"/>
        </w:rPr>
      </w:pPr>
    </w:p>
    <w:p w14:paraId="584CD786"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6.2. </w:t>
      </w:r>
      <w:r w:rsidR="00480FB1" w:rsidRPr="00D95F2B">
        <w:rPr>
          <w:b/>
          <w:bCs/>
          <w:sz w:val="22"/>
          <w:szCs w:val="22"/>
          <w:lang w:val="sr-Latn-ME"/>
        </w:rPr>
        <w:tab/>
      </w:r>
      <w:r w:rsidRPr="00D95F2B">
        <w:rPr>
          <w:b/>
          <w:bCs/>
          <w:sz w:val="22"/>
          <w:szCs w:val="22"/>
          <w:lang w:val="sr-Latn-ME"/>
        </w:rPr>
        <w:t>Inkompatibilnost</w:t>
      </w:r>
      <w:r w:rsidR="002846DB" w:rsidRPr="00D95F2B">
        <w:rPr>
          <w:b/>
          <w:bCs/>
          <w:sz w:val="22"/>
          <w:szCs w:val="22"/>
          <w:lang w:val="sr-Latn-ME"/>
        </w:rPr>
        <w:t>i</w:t>
      </w:r>
    </w:p>
    <w:p w14:paraId="16F517FC" w14:textId="77777777" w:rsidR="0072020E" w:rsidRPr="00D95F2B" w:rsidRDefault="0072020E" w:rsidP="00480FB1">
      <w:pPr>
        <w:tabs>
          <w:tab w:val="left" w:pos="540"/>
          <w:tab w:val="left" w:pos="569"/>
        </w:tabs>
        <w:rPr>
          <w:bCs/>
          <w:sz w:val="22"/>
          <w:szCs w:val="22"/>
          <w:lang w:val="sr-Latn-ME"/>
        </w:rPr>
      </w:pPr>
    </w:p>
    <w:p w14:paraId="53A5CC07" w14:textId="03C80F74" w:rsidR="001C025C" w:rsidRPr="00D95F2B" w:rsidRDefault="001C025C" w:rsidP="00AB551E">
      <w:pPr>
        <w:tabs>
          <w:tab w:val="left" w:pos="540"/>
          <w:tab w:val="left" w:pos="569"/>
        </w:tabs>
        <w:jc w:val="both"/>
        <w:rPr>
          <w:bCs/>
          <w:sz w:val="22"/>
          <w:szCs w:val="22"/>
          <w:lang w:val="sr-Latn-ME"/>
        </w:rPr>
      </w:pPr>
      <w:r w:rsidRPr="00D95F2B">
        <w:rPr>
          <w:bCs/>
          <w:sz w:val="22"/>
          <w:szCs w:val="22"/>
          <w:lang w:val="sr-Latn-ME"/>
        </w:rPr>
        <w:t xml:space="preserve">Supstance koje se dodaju lijeku </w:t>
      </w:r>
      <w:r w:rsidR="00203EA1" w:rsidRPr="00D95F2B">
        <w:rPr>
          <w:bCs/>
          <w:sz w:val="22"/>
          <w:szCs w:val="22"/>
          <w:lang w:val="sr-Latn-ME"/>
        </w:rPr>
        <w:t>Victoza</w:t>
      </w:r>
      <w:r w:rsidRPr="00D95F2B">
        <w:rPr>
          <w:bCs/>
          <w:sz w:val="22"/>
          <w:szCs w:val="22"/>
          <w:lang w:val="sr-Latn-ME"/>
        </w:rPr>
        <w:t xml:space="preserve"> mogu da izazovu degradaciju liraglutida. S obzirom da studije kompatibilnosti nijesu izvršene, ovaj lijek se ne smije m</w:t>
      </w:r>
      <w:r w:rsidR="00C428F6" w:rsidRPr="00D95F2B">
        <w:rPr>
          <w:bCs/>
          <w:sz w:val="22"/>
          <w:szCs w:val="22"/>
          <w:lang w:val="sr-Latn-ME"/>
        </w:rPr>
        <w:t>ij</w:t>
      </w:r>
      <w:r w:rsidRPr="00D95F2B">
        <w:rPr>
          <w:bCs/>
          <w:sz w:val="22"/>
          <w:szCs w:val="22"/>
          <w:lang w:val="sr-Latn-ME"/>
        </w:rPr>
        <w:t>ešati sa drugim ljekovima.</w:t>
      </w:r>
    </w:p>
    <w:p w14:paraId="1A910C33" w14:textId="77777777" w:rsidR="001C025C" w:rsidRPr="00D95F2B" w:rsidRDefault="001C025C" w:rsidP="00480FB1">
      <w:pPr>
        <w:tabs>
          <w:tab w:val="left" w:pos="540"/>
          <w:tab w:val="left" w:pos="569"/>
        </w:tabs>
        <w:rPr>
          <w:bCs/>
          <w:sz w:val="22"/>
          <w:szCs w:val="22"/>
          <w:lang w:val="sr-Latn-ME"/>
        </w:rPr>
      </w:pPr>
    </w:p>
    <w:p w14:paraId="498DCA55"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6.3.</w:t>
      </w:r>
      <w:r w:rsidR="00C05DF8" w:rsidRPr="00D95F2B">
        <w:rPr>
          <w:b/>
          <w:bCs/>
          <w:sz w:val="22"/>
          <w:szCs w:val="22"/>
          <w:lang w:val="sr-Latn-ME"/>
        </w:rPr>
        <w:t xml:space="preserve"> </w:t>
      </w:r>
      <w:r w:rsidR="00480FB1" w:rsidRPr="00D95F2B">
        <w:rPr>
          <w:b/>
          <w:bCs/>
          <w:sz w:val="22"/>
          <w:szCs w:val="22"/>
          <w:lang w:val="sr-Latn-ME"/>
        </w:rPr>
        <w:tab/>
      </w:r>
      <w:r w:rsidRPr="00D95F2B">
        <w:rPr>
          <w:b/>
          <w:bCs/>
          <w:sz w:val="22"/>
          <w:szCs w:val="22"/>
          <w:lang w:val="sr-Latn-ME"/>
        </w:rPr>
        <w:t>Rok upotrebe</w:t>
      </w:r>
    </w:p>
    <w:p w14:paraId="5F97F57F" w14:textId="77777777" w:rsidR="0072020E" w:rsidRPr="00D95F2B" w:rsidRDefault="0072020E" w:rsidP="00480FB1">
      <w:pPr>
        <w:tabs>
          <w:tab w:val="left" w:pos="540"/>
          <w:tab w:val="left" w:pos="569"/>
        </w:tabs>
        <w:rPr>
          <w:bCs/>
          <w:sz w:val="22"/>
          <w:szCs w:val="22"/>
          <w:lang w:val="sr-Latn-ME"/>
        </w:rPr>
      </w:pPr>
    </w:p>
    <w:p w14:paraId="63B1E213" w14:textId="0C0F737F" w:rsidR="001C025C" w:rsidRPr="00D95F2B" w:rsidRDefault="001C025C" w:rsidP="001C025C">
      <w:pPr>
        <w:tabs>
          <w:tab w:val="left" w:pos="540"/>
          <w:tab w:val="left" w:pos="569"/>
        </w:tabs>
        <w:rPr>
          <w:bCs/>
          <w:sz w:val="22"/>
          <w:szCs w:val="22"/>
          <w:lang w:val="sr-Latn-ME"/>
        </w:rPr>
      </w:pPr>
      <w:r w:rsidRPr="00D95F2B">
        <w:rPr>
          <w:bCs/>
          <w:sz w:val="22"/>
          <w:szCs w:val="22"/>
          <w:lang w:val="sr-Latn-ME"/>
        </w:rPr>
        <w:t>30 m</w:t>
      </w:r>
      <w:r w:rsidR="00C0279A" w:rsidRPr="00D95F2B">
        <w:rPr>
          <w:bCs/>
          <w:sz w:val="22"/>
          <w:szCs w:val="22"/>
          <w:lang w:val="sr-Latn-ME"/>
        </w:rPr>
        <w:t>j</w:t>
      </w:r>
      <w:r w:rsidRPr="00D95F2B">
        <w:rPr>
          <w:bCs/>
          <w:sz w:val="22"/>
          <w:szCs w:val="22"/>
          <w:lang w:val="sr-Latn-ME"/>
        </w:rPr>
        <w:t>eseci.</w:t>
      </w:r>
    </w:p>
    <w:p w14:paraId="004B5E7B" w14:textId="06F799EA" w:rsidR="001C025C" w:rsidRPr="00D95F2B" w:rsidRDefault="007E517B" w:rsidP="001C025C">
      <w:pPr>
        <w:tabs>
          <w:tab w:val="left" w:pos="540"/>
          <w:tab w:val="left" w:pos="569"/>
        </w:tabs>
        <w:rPr>
          <w:bCs/>
          <w:sz w:val="22"/>
          <w:szCs w:val="22"/>
          <w:lang w:val="sr-Latn-ME"/>
        </w:rPr>
      </w:pPr>
      <w:r w:rsidRPr="00D95F2B">
        <w:rPr>
          <w:bCs/>
          <w:i/>
          <w:iCs/>
          <w:sz w:val="22"/>
          <w:szCs w:val="22"/>
          <w:lang w:val="sr-Latn-ME"/>
        </w:rPr>
        <w:t>Poslije prve upotrebe</w:t>
      </w:r>
      <w:r w:rsidR="001C025C" w:rsidRPr="00D95F2B">
        <w:rPr>
          <w:bCs/>
          <w:i/>
          <w:iCs/>
          <w:sz w:val="22"/>
          <w:szCs w:val="22"/>
          <w:lang w:val="sr-Latn-ME"/>
        </w:rPr>
        <w:t>:</w:t>
      </w:r>
      <w:r w:rsidR="001C025C" w:rsidRPr="00D95F2B">
        <w:rPr>
          <w:bCs/>
          <w:sz w:val="22"/>
          <w:szCs w:val="22"/>
          <w:lang w:val="sr-Latn-ME"/>
        </w:rPr>
        <w:t xml:space="preserve"> 1 m</w:t>
      </w:r>
      <w:r w:rsidR="00C0279A" w:rsidRPr="00D95F2B">
        <w:rPr>
          <w:bCs/>
          <w:sz w:val="22"/>
          <w:szCs w:val="22"/>
          <w:lang w:val="sr-Latn-ME"/>
        </w:rPr>
        <w:t>j</w:t>
      </w:r>
      <w:r w:rsidR="001C025C" w:rsidRPr="00D95F2B">
        <w:rPr>
          <w:bCs/>
          <w:sz w:val="22"/>
          <w:szCs w:val="22"/>
          <w:lang w:val="sr-Latn-ME"/>
        </w:rPr>
        <w:t>esec</w:t>
      </w:r>
      <w:r w:rsidR="00D95F2B">
        <w:rPr>
          <w:bCs/>
          <w:sz w:val="22"/>
          <w:szCs w:val="22"/>
          <w:lang w:val="sr-Latn-ME"/>
        </w:rPr>
        <w:t>.</w:t>
      </w:r>
    </w:p>
    <w:p w14:paraId="6674380C" w14:textId="77777777" w:rsidR="001C025C" w:rsidRPr="00D95F2B" w:rsidRDefault="001C025C" w:rsidP="00480FB1">
      <w:pPr>
        <w:tabs>
          <w:tab w:val="left" w:pos="540"/>
          <w:tab w:val="left" w:pos="569"/>
        </w:tabs>
        <w:rPr>
          <w:bCs/>
          <w:sz w:val="22"/>
          <w:szCs w:val="22"/>
          <w:lang w:val="sr-Latn-ME"/>
        </w:rPr>
      </w:pPr>
    </w:p>
    <w:p w14:paraId="13971A60"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6.4. </w:t>
      </w:r>
      <w:r w:rsidR="00480FB1" w:rsidRPr="00D95F2B">
        <w:rPr>
          <w:b/>
          <w:bCs/>
          <w:sz w:val="22"/>
          <w:szCs w:val="22"/>
          <w:lang w:val="sr-Latn-ME"/>
        </w:rPr>
        <w:tab/>
      </w:r>
      <w:r w:rsidRPr="00D95F2B">
        <w:rPr>
          <w:b/>
          <w:bCs/>
          <w:sz w:val="22"/>
          <w:szCs w:val="22"/>
          <w:lang w:val="sr-Latn-ME"/>
        </w:rPr>
        <w:t>Posebne mjere upozorenja pri čuvanju</w:t>
      </w:r>
      <w:r w:rsidR="00F8570A" w:rsidRPr="00D95F2B">
        <w:rPr>
          <w:b/>
          <w:bCs/>
          <w:sz w:val="22"/>
          <w:szCs w:val="22"/>
          <w:lang w:val="sr-Latn-ME"/>
        </w:rPr>
        <w:t xml:space="preserve"> lijeka</w:t>
      </w:r>
    </w:p>
    <w:p w14:paraId="26DB99F6" w14:textId="77777777" w:rsidR="00EC2532" w:rsidRPr="00D95F2B" w:rsidRDefault="00EC2532" w:rsidP="00480FB1">
      <w:pPr>
        <w:tabs>
          <w:tab w:val="left" w:pos="540"/>
          <w:tab w:val="left" w:pos="569"/>
        </w:tabs>
        <w:rPr>
          <w:bCs/>
          <w:sz w:val="22"/>
          <w:szCs w:val="22"/>
          <w:lang w:val="sr-Latn-ME"/>
        </w:rPr>
      </w:pPr>
    </w:p>
    <w:p w14:paraId="51AE37FA" w14:textId="77777777" w:rsidR="001C025C" w:rsidRPr="00D95F2B" w:rsidRDefault="001C025C" w:rsidP="001C025C">
      <w:pPr>
        <w:tabs>
          <w:tab w:val="left" w:pos="284"/>
          <w:tab w:val="center" w:pos="4536"/>
          <w:tab w:val="right" w:pos="9072"/>
        </w:tabs>
        <w:rPr>
          <w:rFonts w:cs="Arial"/>
          <w:bCs/>
          <w:sz w:val="22"/>
          <w:lang w:val="sr-Latn-ME"/>
        </w:rPr>
      </w:pPr>
      <w:r w:rsidRPr="00D95F2B">
        <w:rPr>
          <w:rFonts w:cs="Arial"/>
          <w:bCs/>
          <w:sz w:val="22"/>
          <w:lang w:val="sr-Latn-ME"/>
        </w:rPr>
        <w:t>Čuvati u frižideru (2</w:t>
      </w:r>
      <w:r w:rsidRPr="00D95F2B">
        <w:rPr>
          <w:bCs/>
          <w:sz w:val="22"/>
          <w:lang w:val="sr-Latn-ME"/>
        </w:rPr>
        <w:t>°</w:t>
      </w:r>
      <w:r w:rsidRPr="00D95F2B">
        <w:rPr>
          <w:rFonts w:cs="Arial"/>
          <w:bCs/>
          <w:sz w:val="22"/>
          <w:lang w:val="sr-Latn-ME"/>
        </w:rPr>
        <w:t>C - 8</w:t>
      </w:r>
      <w:r w:rsidRPr="00D95F2B">
        <w:rPr>
          <w:bCs/>
          <w:sz w:val="22"/>
          <w:lang w:val="sr-Latn-ME"/>
        </w:rPr>
        <w:t>°</w:t>
      </w:r>
      <w:r w:rsidRPr="00D95F2B">
        <w:rPr>
          <w:rFonts w:cs="Arial"/>
          <w:bCs/>
          <w:sz w:val="22"/>
          <w:lang w:val="sr-Latn-ME"/>
        </w:rPr>
        <w:t>C).</w:t>
      </w:r>
    </w:p>
    <w:p w14:paraId="23A641D9" w14:textId="77777777" w:rsidR="001C025C" w:rsidRPr="00D95F2B" w:rsidRDefault="001C025C" w:rsidP="001C025C">
      <w:pPr>
        <w:tabs>
          <w:tab w:val="left" w:pos="284"/>
          <w:tab w:val="center" w:pos="4536"/>
          <w:tab w:val="right" w:pos="9072"/>
        </w:tabs>
        <w:rPr>
          <w:rFonts w:cs="Arial"/>
          <w:bCs/>
          <w:sz w:val="22"/>
          <w:lang w:val="sr-Latn-ME"/>
        </w:rPr>
      </w:pPr>
      <w:r w:rsidRPr="00D95F2B">
        <w:rPr>
          <w:rFonts w:cs="Arial"/>
          <w:bCs/>
          <w:sz w:val="22"/>
          <w:lang w:val="sr-Latn-ME"/>
        </w:rPr>
        <w:t>Ne zamrzavati.</w:t>
      </w:r>
    </w:p>
    <w:p w14:paraId="3C38D502" w14:textId="04E2E199" w:rsidR="001C025C" w:rsidRPr="00D95F2B" w:rsidRDefault="001C025C" w:rsidP="001C025C">
      <w:pPr>
        <w:tabs>
          <w:tab w:val="left" w:pos="284"/>
          <w:tab w:val="center" w:pos="4536"/>
          <w:tab w:val="right" w:pos="9072"/>
        </w:tabs>
        <w:rPr>
          <w:rFonts w:cs="Arial"/>
          <w:bCs/>
          <w:sz w:val="22"/>
          <w:lang w:val="sr-Latn-ME"/>
        </w:rPr>
      </w:pPr>
      <w:r w:rsidRPr="00D95F2B">
        <w:rPr>
          <w:rFonts w:cs="Arial"/>
          <w:bCs/>
          <w:sz w:val="22"/>
          <w:lang w:val="sr-Latn-ME"/>
        </w:rPr>
        <w:t>Čuvati dalje od komore za zamrzavanje.</w:t>
      </w:r>
    </w:p>
    <w:p w14:paraId="6B5089E3" w14:textId="77777777" w:rsidR="001C025C" w:rsidRPr="00D95F2B" w:rsidRDefault="001C025C" w:rsidP="001C025C">
      <w:pPr>
        <w:tabs>
          <w:tab w:val="left" w:pos="284"/>
          <w:tab w:val="center" w:pos="4536"/>
          <w:tab w:val="right" w:pos="9072"/>
        </w:tabs>
        <w:rPr>
          <w:rFonts w:cs="Arial"/>
          <w:bCs/>
          <w:sz w:val="22"/>
          <w:lang w:val="sr-Latn-ME"/>
        </w:rPr>
      </w:pPr>
    </w:p>
    <w:p w14:paraId="0BC6B358" w14:textId="1807766E" w:rsidR="001C025C" w:rsidRPr="00D95F2B" w:rsidRDefault="007E517B" w:rsidP="001C025C">
      <w:pPr>
        <w:tabs>
          <w:tab w:val="left" w:pos="284"/>
          <w:tab w:val="center" w:pos="4536"/>
          <w:tab w:val="right" w:pos="9072"/>
        </w:tabs>
        <w:jc w:val="both"/>
        <w:rPr>
          <w:rFonts w:cs="Arial"/>
          <w:bCs/>
          <w:sz w:val="22"/>
          <w:lang w:val="sr-Latn-ME"/>
        </w:rPr>
      </w:pPr>
      <w:r w:rsidRPr="00D95F2B">
        <w:rPr>
          <w:rFonts w:cs="Arial"/>
          <w:i/>
          <w:sz w:val="22"/>
          <w:lang w:val="sr-Latn-ME"/>
        </w:rPr>
        <w:t>Poslije</w:t>
      </w:r>
      <w:r w:rsidRPr="00D95F2B">
        <w:rPr>
          <w:bCs/>
          <w:i/>
          <w:iCs/>
          <w:sz w:val="22"/>
          <w:szCs w:val="22"/>
          <w:lang w:val="sr-Latn-ME"/>
        </w:rPr>
        <w:t xml:space="preserve"> prve upotrebe</w:t>
      </w:r>
      <w:r w:rsidR="001C025C" w:rsidRPr="00D95F2B">
        <w:rPr>
          <w:i/>
          <w:sz w:val="22"/>
          <w:lang w:val="sr-Latn-ME"/>
        </w:rPr>
        <w:t xml:space="preserve">: </w:t>
      </w:r>
      <w:r w:rsidR="001C025C" w:rsidRPr="00D95F2B">
        <w:rPr>
          <w:rFonts w:cs="Arial"/>
          <w:bCs/>
          <w:sz w:val="22"/>
          <w:lang w:val="sr-Latn-ME"/>
        </w:rPr>
        <w:t>Čuva</w:t>
      </w:r>
      <w:r w:rsidR="002654EB" w:rsidRPr="00D95F2B">
        <w:rPr>
          <w:rFonts w:cs="Arial"/>
          <w:bCs/>
          <w:sz w:val="22"/>
          <w:lang w:val="sr-Latn-ME"/>
        </w:rPr>
        <w:t>ti</w:t>
      </w:r>
      <w:r w:rsidR="001C025C" w:rsidRPr="00D95F2B">
        <w:rPr>
          <w:rFonts w:cs="Arial"/>
          <w:bCs/>
          <w:sz w:val="22"/>
          <w:lang w:val="sr-Latn-ME"/>
        </w:rPr>
        <w:t xml:space="preserve"> na temperaturi ispod 30</w:t>
      </w:r>
      <w:r w:rsidR="001C025C" w:rsidRPr="00D95F2B">
        <w:rPr>
          <w:bCs/>
          <w:sz w:val="22"/>
          <w:lang w:val="sr-Latn-ME"/>
        </w:rPr>
        <w:t xml:space="preserve">°C ili u frižideru </w:t>
      </w:r>
      <w:r w:rsidR="001C025C" w:rsidRPr="00D95F2B">
        <w:rPr>
          <w:rFonts w:cs="Arial"/>
          <w:bCs/>
          <w:sz w:val="22"/>
          <w:lang w:val="sr-Latn-ME"/>
        </w:rPr>
        <w:t>(2</w:t>
      </w:r>
      <w:r w:rsidR="001C025C" w:rsidRPr="00D95F2B">
        <w:rPr>
          <w:bCs/>
          <w:sz w:val="22"/>
          <w:lang w:val="sr-Latn-ME"/>
        </w:rPr>
        <w:t>°</w:t>
      </w:r>
      <w:r w:rsidR="001C025C" w:rsidRPr="00D95F2B">
        <w:rPr>
          <w:rFonts w:cs="Arial"/>
          <w:bCs/>
          <w:sz w:val="22"/>
          <w:lang w:val="sr-Latn-ME"/>
        </w:rPr>
        <w:t>C - 8</w:t>
      </w:r>
      <w:r w:rsidR="001C025C" w:rsidRPr="00D95F2B">
        <w:rPr>
          <w:bCs/>
          <w:sz w:val="22"/>
          <w:lang w:val="sr-Latn-ME"/>
        </w:rPr>
        <w:t>°</w:t>
      </w:r>
      <w:r w:rsidR="001C025C" w:rsidRPr="00D95F2B">
        <w:rPr>
          <w:rFonts w:cs="Arial"/>
          <w:bCs/>
          <w:sz w:val="22"/>
          <w:lang w:val="sr-Latn-ME"/>
        </w:rPr>
        <w:t>C). Ne zamrzavati.</w:t>
      </w:r>
    </w:p>
    <w:p w14:paraId="60DADD68" w14:textId="77777777" w:rsidR="001C025C" w:rsidRPr="00D95F2B" w:rsidRDefault="001C025C" w:rsidP="001C025C">
      <w:pPr>
        <w:tabs>
          <w:tab w:val="left" w:pos="284"/>
          <w:tab w:val="center" w:pos="4536"/>
          <w:tab w:val="right" w:pos="9072"/>
        </w:tabs>
        <w:jc w:val="both"/>
        <w:rPr>
          <w:rFonts w:cs="Arial"/>
          <w:bCs/>
          <w:sz w:val="22"/>
          <w:lang w:val="sr-Latn-ME"/>
        </w:rPr>
      </w:pPr>
    </w:p>
    <w:p w14:paraId="476CBF97" w14:textId="1FE0BF78" w:rsidR="001C025C" w:rsidRPr="00D95F2B" w:rsidRDefault="001C025C" w:rsidP="001C025C">
      <w:pPr>
        <w:tabs>
          <w:tab w:val="left" w:pos="540"/>
          <w:tab w:val="left" w:pos="569"/>
        </w:tabs>
        <w:rPr>
          <w:bCs/>
          <w:sz w:val="22"/>
          <w:szCs w:val="22"/>
          <w:lang w:val="sr-Latn-ME"/>
        </w:rPr>
      </w:pPr>
      <w:r w:rsidRPr="00D95F2B">
        <w:rPr>
          <w:rFonts w:cs="Arial"/>
          <w:bCs/>
          <w:sz w:val="22"/>
          <w:lang w:val="sr-Latn-ME"/>
        </w:rPr>
        <w:t xml:space="preserve">Pen čuvati sa poklopcem </w:t>
      </w:r>
      <w:r w:rsidR="00F6755E" w:rsidRPr="00D95F2B">
        <w:rPr>
          <w:rFonts w:cs="Arial"/>
          <w:bCs/>
          <w:sz w:val="22"/>
          <w:lang w:val="sr-Latn-ME"/>
        </w:rPr>
        <w:t>radi</w:t>
      </w:r>
      <w:r w:rsidRPr="00D95F2B">
        <w:rPr>
          <w:rFonts w:cs="Arial"/>
          <w:bCs/>
          <w:sz w:val="22"/>
          <w:lang w:val="sr-Latn-ME"/>
        </w:rPr>
        <w:t xml:space="preserve"> zaštite od svetlosti.</w:t>
      </w:r>
    </w:p>
    <w:p w14:paraId="31FED168" w14:textId="77777777" w:rsidR="001C025C" w:rsidRPr="00D95F2B" w:rsidRDefault="001C025C" w:rsidP="00480FB1">
      <w:pPr>
        <w:tabs>
          <w:tab w:val="left" w:pos="540"/>
          <w:tab w:val="left" w:pos="569"/>
        </w:tabs>
        <w:rPr>
          <w:bCs/>
          <w:sz w:val="22"/>
          <w:szCs w:val="22"/>
          <w:lang w:val="sr-Latn-ME"/>
        </w:rPr>
      </w:pPr>
    </w:p>
    <w:p w14:paraId="17B45C8C"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6.5. </w:t>
      </w:r>
      <w:r w:rsidR="00480FB1" w:rsidRPr="00D95F2B">
        <w:rPr>
          <w:b/>
          <w:bCs/>
          <w:sz w:val="22"/>
          <w:szCs w:val="22"/>
          <w:lang w:val="sr-Latn-ME"/>
        </w:rPr>
        <w:tab/>
      </w:r>
      <w:r w:rsidR="002846DB" w:rsidRPr="00D95F2B">
        <w:rPr>
          <w:b/>
          <w:bCs/>
          <w:sz w:val="22"/>
          <w:szCs w:val="22"/>
          <w:lang w:val="sr-Latn-ME"/>
        </w:rPr>
        <w:t xml:space="preserve">Vrsta i sadržaj </w:t>
      </w:r>
      <w:r w:rsidR="00F8570A" w:rsidRPr="00D95F2B">
        <w:rPr>
          <w:b/>
          <w:bCs/>
          <w:sz w:val="22"/>
          <w:szCs w:val="22"/>
          <w:lang w:val="sr-Latn-ME"/>
        </w:rPr>
        <w:t>pakovanja</w:t>
      </w:r>
      <w:r w:rsidR="00C06864" w:rsidRPr="00D95F2B">
        <w:rPr>
          <w:b/>
          <w:bCs/>
          <w:sz w:val="22"/>
          <w:szCs w:val="22"/>
          <w:lang w:val="sr-Latn-ME"/>
        </w:rPr>
        <w:t xml:space="preserve"> </w:t>
      </w:r>
    </w:p>
    <w:p w14:paraId="7D4F318F" w14:textId="77777777" w:rsidR="0072020E" w:rsidRPr="00D95F2B" w:rsidRDefault="0072020E" w:rsidP="00480FB1">
      <w:pPr>
        <w:tabs>
          <w:tab w:val="left" w:pos="540"/>
          <w:tab w:val="left" w:pos="569"/>
        </w:tabs>
        <w:rPr>
          <w:bCs/>
          <w:sz w:val="22"/>
          <w:szCs w:val="22"/>
          <w:lang w:val="sr-Latn-ME"/>
        </w:rPr>
      </w:pPr>
    </w:p>
    <w:p w14:paraId="622D3ED2" w14:textId="388C6EA8" w:rsidR="001C025C" w:rsidRPr="00D95F2B" w:rsidRDefault="002654EB" w:rsidP="00AB551E">
      <w:pPr>
        <w:tabs>
          <w:tab w:val="left" w:pos="540"/>
          <w:tab w:val="left" w:pos="569"/>
        </w:tabs>
        <w:jc w:val="both"/>
        <w:rPr>
          <w:bCs/>
          <w:sz w:val="22"/>
          <w:szCs w:val="22"/>
          <w:lang w:val="sr-Latn-ME"/>
        </w:rPr>
      </w:pPr>
      <w:r w:rsidRPr="00D95F2B">
        <w:rPr>
          <w:bCs/>
          <w:sz w:val="22"/>
          <w:szCs w:val="22"/>
          <w:lang w:val="sr-Latn-ME"/>
        </w:rPr>
        <w:t>Unutrašnje pakovanje je u</w:t>
      </w:r>
      <w:r w:rsidR="001C025C" w:rsidRPr="00D95F2B">
        <w:rPr>
          <w:bCs/>
          <w:sz w:val="22"/>
          <w:szCs w:val="22"/>
          <w:lang w:val="sr-Latn-ME"/>
        </w:rPr>
        <w:t xml:space="preserve">ložak (staklo tipa </w:t>
      </w:r>
      <w:r w:rsidRPr="00D95F2B">
        <w:rPr>
          <w:bCs/>
          <w:sz w:val="22"/>
          <w:szCs w:val="22"/>
          <w:lang w:val="sr-Latn-ME"/>
        </w:rPr>
        <w:t>I</w:t>
      </w:r>
      <w:r w:rsidR="001C025C" w:rsidRPr="00D95F2B">
        <w:rPr>
          <w:bCs/>
          <w:sz w:val="22"/>
          <w:szCs w:val="22"/>
          <w:lang w:val="sr-Latn-ME"/>
        </w:rPr>
        <w:t xml:space="preserve">) sa klipom (bromobutil) i </w:t>
      </w:r>
      <w:r w:rsidRPr="00D95F2B">
        <w:rPr>
          <w:bCs/>
          <w:sz w:val="22"/>
          <w:szCs w:val="22"/>
          <w:lang w:val="sr-Latn-ME"/>
        </w:rPr>
        <w:t xml:space="preserve">zatvaračem od </w:t>
      </w:r>
      <w:r w:rsidR="001C025C" w:rsidRPr="00D95F2B">
        <w:rPr>
          <w:bCs/>
          <w:sz w:val="22"/>
          <w:szCs w:val="22"/>
          <w:lang w:val="sr-Latn-ME"/>
        </w:rPr>
        <w:t>lamina</w:t>
      </w:r>
      <w:r w:rsidRPr="00D95F2B">
        <w:rPr>
          <w:bCs/>
          <w:sz w:val="22"/>
          <w:szCs w:val="22"/>
          <w:lang w:val="sr-Latn-ME"/>
        </w:rPr>
        <w:t>rne</w:t>
      </w:r>
      <w:r w:rsidR="001C025C" w:rsidRPr="00D95F2B">
        <w:rPr>
          <w:bCs/>
          <w:sz w:val="22"/>
          <w:szCs w:val="22"/>
          <w:lang w:val="sr-Latn-ME"/>
        </w:rPr>
        <w:t xml:space="preserve"> gume (bromobutil/poliizopren) </w:t>
      </w:r>
      <w:r w:rsidR="00FA3849" w:rsidRPr="00D95F2B">
        <w:rPr>
          <w:bCs/>
          <w:sz w:val="22"/>
          <w:szCs w:val="22"/>
          <w:lang w:val="sr-Latn-ME"/>
        </w:rPr>
        <w:t xml:space="preserve">koji se nalazi u jednokratnom, </w:t>
      </w:r>
      <w:r w:rsidR="001C025C" w:rsidRPr="00D95F2B">
        <w:rPr>
          <w:bCs/>
          <w:sz w:val="22"/>
          <w:szCs w:val="22"/>
          <w:lang w:val="sr-Latn-ME"/>
        </w:rPr>
        <w:t>višedoznom penu</w:t>
      </w:r>
      <w:r w:rsidR="00FA3849" w:rsidRPr="00D95F2B">
        <w:rPr>
          <w:bCs/>
          <w:sz w:val="22"/>
          <w:szCs w:val="22"/>
          <w:lang w:val="sr-Latn-ME"/>
        </w:rPr>
        <w:t>,</w:t>
      </w:r>
      <w:r w:rsidR="001C025C" w:rsidRPr="00D95F2B">
        <w:rPr>
          <w:bCs/>
          <w:sz w:val="22"/>
          <w:szCs w:val="22"/>
          <w:lang w:val="sr-Latn-ME"/>
        </w:rPr>
        <w:t xml:space="preserve"> izrađen</w:t>
      </w:r>
      <w:r w:rsidR="00FA3849" w:rsidRPr="00D95F2B">
        <w:rPr>
          <w:bCs/>
          <w:sz w:val="22"/>
          <w:szCs w:val="22"/>
          <w:lang w:val="sr-Latn-ME"/>
        </w:rPr>
        <w:t>om</w:t>
      </w:r>
      <w:r w:rsidR="001C025C" w:rsidRPr="00D95F2B">
        <w:rPr>
          <w:bCs/>
          <w:sz w:val="22"/>
          <w:szCs w:val="22"/>
          <w:lang w:val="sr-Latn-ME"/>
        </w:rPr>
        <w:t xml:space="preserve"> od poliolefina i poliacetala. </w:t>
      </w:r>
    </w:p>
    <w:p w14:paraId="50970E23" w14:textId="0ABE99FC" w:rsidR="001C025C" w:rsidRPr="00D95F2B" w:rsidRDefault="00FA3849" w:rsidP="001C025C">
      <w:pPr>
        <w:tabs>
          <w:tab w:val="left" w:pos="540"/>
          <w:tab w:val="left" w:pos="569"/>
        </w:tabs>
        <w:rPr>
          <w:bCs/>
          <w:sz w:val="22"/>
          <w:szCs w:val="22"/>
          <w:lang w:val="sr-Latn-ME"/>
        </w:rPr>
      </w:pPr>
      <w:r w:rsidRPr="00D95F2B">
        <w:rPr>
          <w:bCs/>
          <w:sz w:val="22"/>
          <w:szCs w:val="22"/>
          <w:lang w:val="sr-Latn-ME"/>
        </w:rPr>
        <w:t xml:space="preserve">Jedan napunjeni injekconi pen </w:t>
      </w:r>
      <w:r w:rsidR="00D95F2B">
        <w:rPr>
          <w:bCs/>
          <w:sz w:val="22"/>
          <w:szCs w:val="22"/>
          <w:lang w:val="sr-Latn-ME"/>
        </w:rPr>
        <w:t xml:space="preserve">koji </w:t>
      </w:r>
      <w:r w:rsidR="001C025C" w:rsidRPr="00D95F2B">
        <w:rPr>
          <w:bCs/>
          <w:sz w:val="22"/>
          <w:szCs w:val="22"/>
          <w:lang w:val="sr-Latn-ME"/>
        </w:rPr>
        <w:t xml:space="preserve">sadrži 3 ml rastvora, može otpustiti 30 doza od 0,6 mg, 15 doza od 1,2 mg ili 10 doza od 1,8 mg. </w:t>
      </w:r>
    </w:p>
    <w:p w14:paraId="71357BEC" w14:textId="77777777" w:rsidR="00FA3849" w:rsidRPr="00D95F2B" w:rsidRDefault="00FA3849" w:rsidP="00FA3849">
      <w:pPr>
        <w:tabs>
          <w:tab w:val="left" w:pos="540"/>
          <w:tab w:val="left" w:pos="569"/>
        </w:tabs>
        <w:rPr>
          <w:bCs/>
          <w:sz w:val="22"/>
          <w:szCs w:val="22"/>
          <w:lang w:val="sr-Latn-ME"/>
        </w:rPr>
      </w:pPr>
      <w:r w:rsidRPr="00D95F2B">
        <w:rPr>
          <w:bCs/>
          <w:sz w:val="22"/>
          <w:szCs w:val="22"/>
          <w:lang w:val="sr-Latn-ME"/>
        </w:rPr>
        <w:t>Spoljašnje pakovanje je složiva kartonska kutija u kojoj se nalaze 2 ili 3 napunjena injekciona pena i</w:t>
      </w:r>
    </w:p>
    <w:p w14:paraId="6FB20F22" w14:textId="5E52ADC0" w:rsidR="00FA3849" w:rsidRPr="00D95F2B" w:rsidRDefault="00FA3849" w:rsidP="00480FB1">
      <w:pPr>
        <w:tabs>
          <w:tab w:val="left" w:pos="540"/>
          <w:tab w:val="left" w:pos="569"/>
        </w:tabs>
        <w:rPr>
          <w:bCs/>
          <w:sz w:val="22"/>
          <w:szCs w:val="22"/>
          <w:lang w:val="sr-Latn-ME"/>
        </w:rPr>
      </w:pPr>
      <w:r w:rsidRPr="00D95F2B">
        <w:rPr>
          <w:bCs/>
          <w:sz w:val="22"/>
          <w:szCs w:val="22"/>
          <w:lang w:val="sr-Latn-ME"/>
        </w:rPr>
        <w:t>Uputstvo za lijek.</w:t>
      </w:r>
    </w:p>
    <w:p w14:paraId="4C4DFE4E" w14:textId="77777777" w:rsidR="001C025C" w:rsidRPr="00D95F2B" w:rsidRDefault="001C025C" w:rsidP="00480FB1">
      <w:pPr>
        <w:tabs>
          <w:tab w:val="left" w:pos="540"/>
          <w:tab w:val="left" w:pos="569"/>
        </w:tabs>
        <w:rPr>
          <w:bCs/>
          <w:sz w:val="22"/>
          <w:szCs w:val="22"/>
          <w:lang w:val="sr-Latn-ME"/>
        </w:rPr>
      </w:pPr>
    </w:p>
    <w:p w14:paraId="6721E707" w14:textId="77777777" w:rsidR="002846DB"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6.6. </w:t>
      </w:r>
      <w:r w:rsidR="00480FB1" w:rsidRPr="00D95F2B">
        <w:rPr>
          <w:b/>
          <w:bCs/>
          <w:sz w:val="22"/>
          <w:szCs w:val="22"/>
          <w:lang w:val="sr-Latn-ME"/>
        </w:rPr>
        <w:tab/>
      </w:r>
      <w:r w:rsidRPr="00D95F2B">
        <w:rPr>
          <w:b/>
          <w:bCs/>
          <w:color w:val="000000"/>
          <w:sz w:val="22"/>
          <w:szCs w:val="22"/>
          <w:lang w:val="sr-Latn-ME"/>
        </w:rPr>
        <w:t>Posebne mjere opreza pri odlaganju materijala koji treba odbaciti nakon primjene lijeka</w:t>
      </w:r>
      <w:r w:rsidRPr="00D95F2B">
        <w:rPr>
          <w:b/>
          <w:bCs/>
          <w:sz w:val="22"/>
          <w:szCs w:val="22"/>
          <w:lang w:val="sr-Latn-ME"/>
        </w:rPr>
        <w:t xml:space="preserve"> </w:t>
      </w:r>
      <w:r w:rsidR="00310F03" w:rsidRPr="00D95F2B">
        <w:rPr>
          <w:b/>
          <w:bCs/>
          <w:sz w:val="22"/>
          <w:szCs w:val="22"/>
          <w:lang w:val="sr-Latn-ME"/>
        </w:rPr>
        <w:t xml:space="preserve">(i druga uputsva za rukovanje lijekom) </w:t>
      </w:r>
    </w:p>
    <w:p w14:paraId="1AA8D894" w14:textId="77777777" w:rsidR="00B66A70" w:rsidRPr="00D95F2B" w:rsidRDefault="00B66A70" w:rsidP="00480FB1">
      <w:pPr>
        <w:tabs>
          <w:tab w:val="left" w:pos="540"/>
          <w:tab w:val="left" w:pos="569"/>
        </w:tabs>
        <w:rPr>
          <w:sz w:val="22"/>
          <w:szCs w:val="22"/>
          <w:lang w:val="sr-Latn-ME"/>
        </w:rPr>
      </w:pPr>
    </w:p>
    <w:p w14:paraId="5A8961DB" w14:textId="482EA8E1" w:rsidR="001C025C" w:rsidRPr="00D95F2B" w:rsidRDefault="001C025C" w:rsidP="001C025C">
      <w:pPr>
        <w:tabs>
          <w:tab w:val="left" w:pos="284"/>
          <w:tab w:val="center" w:pos="4536"/>
          <w:tab w:val="right" w:pos="9072"/>
        </w:tabs>
        <w:jc w:val="both"/>
        <w:rPr>
          <w:sz w:val="22"/>
          <w:szCs w:val="22"/>
          <w:lang w:val="sr-Latn-ME"/>
        </w:rPr>
      </w:pPr>
      <w:r w:rsidRPr="00D95F2B">
        <w:rPr>
          <w:sz w:val="22"/>
          <w:szCs w:val="22"/>
          <w:lang w:val="sr-Latn-ME"/>
        </w:rPr>
        <w:t xml:space="preserve">Lijek </w:t>
      </w:r>
      <w:r w:rsidR="00203EA1" w:rsidRPr="00D95F2B">
        <w:rPr>
          <w:sz w:val="22"/>
          <w:szCs w:val="22"/>
          <w:lang w:val="sr-Latn-ME"/>
        </w:rPr>
        <w:t>Victoza</w:t>
      </w:r>
      <w:r w:rsidRPr="00D95F2B">
        <w:rPr>
          <w:sz w:val="22"/>
          <w:szCs w:val="22"/>
          <w:lang w:val="sr-Latn-ME"/>
        </w:rPr>
        <w:t xml:space="preserve"> ne treba koristiti ako nije bistar i bezbojan, ili skoro bezbojan.</w:t>
      </w:r>
    </w:p>
    <w:p w14:paraId="637C0252" w14:textId="5E11F3D9" w:rsidR="001C025C" w:rsidRPr="00D95F2B" w:rsidRDefault="001C025C" w:rsidP="001C025C">
      <w:pPr>
        <w:tabs>
          <w:tab w:val="left" w:pos="284"/>
          <w:tab w:val="center" w:pos="4536"/>
          <w:tab w:val="right" w:pos="9072"/>
        </w:tabs>
        <w:jc w:val="both"/>
        <w:rPr>
          <w:sz w:val="22"/>
          <w:szCs w:val="22"/>
          <w:lang w:val="sr-Latn-ME"/>
        </w:rPr>
      </w:pPr>
      <w:r w:rsidRPr="00D95F2B">
        <w:rPr>
          <w:sz w:val="22"/>
          <w:szCs w:val="22"/>
          <w:lang w:val="sr-Latn-ME"/>
        </w:rPr>
        <w:t xml:space="preserve">Lijek </w:t>
      </w:r>
      <w:r w:rsidR="00203EA1" w:rsidRPr="00D95F2B">
        <w:rPr>
          <w:sz w:val="22"/>
          <w:szCs w:val="22"/>
          <w:lang w:val="sr-Latn-ME"/>
        </w:rPr>
        <w:t>Victoza</w:t>
      </w:r>
      <w:r w:rsidRPr="00D95F2B">
        <w:rPr>
          <w:sz w:val="22"/>
          <w:szCs w:val="22"/>
          <w:lang w:val="sr-Latn-ME"/>
        </w:rPr>
        <w:t xml:space="preserve"> ne treba koristiti ako je bio zamrznut.</w:t>
      </w:r>
    </w:p>
    <w:p w14:paraId="2771F5FB" w14:textId="77777777" w:rsidR="001C025C" w:rsidRPr="00D95F2B" w:rsidRDefault="001C025C" w:rsidP="001C025C">
      <w:pPr>
        <w:tabs>
          <w:tab w:val="left" w:pos="284"/>
          <w:tab w:val="center" w:pos="4536"/>
          <w:tab w:val="right" w:pos="9072"/>
        </w:tabs>
        <w:rPr>
          <w:sz w:val="22"/>
          <w:szCs w:val="22"/>
          <w:lang w:val="sr-Latn-ME"/>
        </w:rPr>
      </w:pPr>
    </w:p>
    <w:p w14:paraId="59F67121" w14:textId="42B1AF72" w:rsidR="001C025C" w:rsidRPr="00D95F2B" w:rsidRDefault="00203EA1" w:rsidP="00C428F6">
      <w:pPr>
        <w:tabs>
          <w:tab w:val="left" w:pos="284"/>
          <w:tab w:val="center" w:pos="4536"/>
          <w:tab w:val="right" w:pos="9072"/>
        </w:tabs>
        <w:jc w:val="both"/>
        <w:rPr>
          <w:sz w:val="22"/>
          <w:szCs w:val="22"/>
          <w:lang w:val="sr-Latn-ME"/>
        </w:rPr>
      </w:pPr>
      <w:r w:rsidRPr="00D95F2B">
        <w:rPr>
          <w:sz w:val="22"/>
          <w:szCs w:val="22"/>
          <w:lang w:val="sr-Latn-ME"/>
        </w:rPr>
        <w:t>Victoza</w:t>
      </w:r>
      <w:r w:rsidR="001C025C" w:rsidRPr="00D95F2B">
        <w:rPr>
          <w:sz w:val="22"/>
          <w:szCs w:val="22"/>
          <w:lang w:val="sr-Latn-ME"/>
        </w:rPr>
        <w:t xml:space="preserve"> se može primjenjivati pomoću igala dužine do 8 mm, debljine poput 32G. Predviđeno je da se pen koristi sa NovoFine ili NovoTwist iglama za jednokratnu upotrebu.</w:t>
      </w:r>
    </w:p>
    <w:p w14:paraId="5E5EDBBF" w14:textId="26CFE8FE" w:rsidR="001C025C" w:rsidRPr="00D95F2B" w:rsidRDefault="001C025C" w:rsidP="00AB551E">
      <w:pPr>
        <w:tabs>
          <w:tab w:val="left" w:pos="284"/>
          <w:tab w:val="center" w:pos="4536"/>
          <w:tab w:val="right" w:pos="9072"/>
        </w:tabs>
        <w:jc w:val="both"/>
        <w:rPr>
          <w:sz w:val="22"/>
          <w:szCs w:val="22"/>
          <w:lang w:val="sr-Latn-ME"/>
        </w:rPr>
      </w:pPr>
      <w:r w:rsidRPr="00D95F2B">
        <w:rPr>
          <w:sz w:val="22"/>
          <w:szCs w:val="22"/>
          <w:lang w:val="sr-Latn-ME"/>
        </w:rPr>
        <w:lastRenderedPageBreak/>
        <w:t>Igle nijesu priložene u originalnom pakovanju lijeka.</w:t>
      </w:r>
    </w:p>
    <w:p w14:paraId="112A2C59" w14:textId="77777777" w:rsidR="003F3F02" w:rsidRPr="00D95F2B" w:rsidRDefault="003F3F02" w:rsidP="00AB551E">
      <w:pPr>
        <w:tabs>
          <w:tab w:val="left" w:pos="284"/>
          <w:tab w:val="center" w:pos="4536"/>
          <w:tab w:val="right" w:pos="9072"/>
        </w:tabs>
        <w:jc w:val="both"/>
        <w:rPr>
          <w:sz w:val="22"/>
          <w:szCs w:val="22"/>
          <w:lang w:val="sr-Latn-ME"/>
        </w:rPr>
      </w:pPr>
    </w:p>
    <w:p w14:paraId="782129A4" w14:textId="03976EF4" w:rsidR="001C025C" w:rsidRPr="00D95F2B" w:rsidRDefault="001C025C" w:rsidP="00AB551E">
      <w:pPr>
        <w:tabs>
          <w:tab w:val="left" w:pos="540"/>
          <w:tab w:val="left" w:pos="569"/>
        </w:tabs>
        <w:jc w:val="both"/>
        <w:rPr>
          <w:sz w:val="22"/>
          <w:szCs w:val="22"/>
          <w:lang w:val="sr-Latn-ME"/>
        </w:rPr>
      </w:pPr>
      <w:r w:rsidRPr="00D95F2B">
        <w:rPr>
          <w:sz w:val="22"/>
          <w:szCs w:val="22"/>
          <w:lang w:val="sr-Latn-ME"/>
        </w:rPr>
        <w:t xml:space="preserve">Pacijenta treba uputiti da uklanja igle poslije svakog ubrizgavanja u skladu sa važećim propisima, kao i da odlaže i čuva </w:t>
      </w:r>
      <w:r w:rsidR="00FA3849" w:rsidRPr="00D95F2B">
        <w:rPr>
          <w:sz w:val="22"/>
          <w:szCs w:val="22"/>
          <w:lang w:val="sr-Latn-ME"/>
        </w:rPr>
        <w:t xml:space="preserve">napunjeni injekcioni </w:t>
      </w:r>
      <w:r w:rsidRPr="00D95F2B">
        <w:rPr>
          <w:sz w:val="22"/>
          <w:szCs w:val="22"/>
          <w:lang w:val="sr-Latn-ME"/>
        </w:rPr>
        <w:t xml:space="preserve">pen </w:t>
      </w:r>
      <w:r w:rsidR="00FA3849" w:rsidRPr="00D95F2B">
        <w:rPr>
          <w:sz w:val="22"/>
          <w:szCs w:val="22"/>
          <w:lang w:val="sr-Latn-ME"/>
        </w:rPr>
        <w:t>b</w:t>
      </w:r>
      <w:r w:rsidRPr="00D95F2B">
        <w:rPr>
          <w:sz w:val="22"/>
          <w:szCs w:val="22"/>
          <w:lang w:val="sr-Latn-ME"/>
        </w:rPr>
        <w:t>ez zavrnute igle. Na ovaj način se spr</w:t>
      </w:r>
      <w:r w:rsidR="00FA3849" w:rsidRPr="00D95F2B">
        <w:rPr>
          <w:sz w:val="22"/>
          <w:szCs w:val="22"/>
          <w:lang w:val="sr-Latn-ME"/>
        </w:rPr>
        <w:t>j</w:t>
      </w:r>
      <w:r w:rsidRPr="00D95F2B">
        <w:rPr>
          <w:sz w:val="22"/>
          <w:szCs w:val="22"/>
          <w:lang w:val="sr-Latn-ME"/>
        </w:rPr>
        <w:t>ečava kontaminacija, infekcija i curenje lijeka, a takođe se obezb</w:t>
      </w:r>
      <w:r w:rsidR="00C428F6" w:rsidRPr="00D95F2B">
        <w:rPr>
          <w:sz w:val="22"/>
          <w:szCs w:val="22"/>
          <w:lang w:val="sr-Latn-ME"/>
        </w:rPr>
        <w:t>j</w:t>
      </w:r>
      <w:r w:rsidRPr="00D95F2B">
        <w:rPr>
          <w:sz w:val="22"/>
          <w:szCs w:val="22"/>
          <w:lang w:val="sr-Latn-ME"/>
        </w:rPr>
        <w:t>eđuje i tačno doziranje.</w:t>
      </w:r>
    </w:p>
    <w:p w14:paraId="49AE6DB7" w14:textId="7612A7DF" w:rsidR="00FA3849" w:rsidRPr="00D95F2B" w:rsidRDefault="00FA3849" w:rsidP="00AB551E">
      <w:pPr>
        <w:tabs>
          <w:tab w:val="left" w:pos="540"/>
          <w:tab w:val="left" w:pos="569"/>
        </w:tabs>
        <w:jc w:val="both"/>
        <w:rPr>
          <w:sz w:val="22"/>
          <w:szCs w:val="22"/>
          <w:lang w:val="sr-Latn-ME"/>
        </w:rPr>
      </w:pPr>
    </w:p>
    <w:p w14:paraId="44BF1BFC" w14:textId="2E0C9623" w:rsidR="00FA3849" w:rsidRPr="00D95F2B" w:rsidRDefault="00FA3849" w:rsidP="00FA3849">
      <w:pPr>
        <w:tabs>
          <w:tab w:val="left" w:pos="540"/>
          <w:tab w:val="left" w:pos="569"/>
        </w:tabs>
        <w:jc w:val="both"/>
        <w:rPr>
          <w:bCs/>
          <w:sz w:val="22"/>
          <w:szCs w:val="22"/>
          <w:lang w:val="sr-Latn-ME"/>
        </w:rPr>
      </w:pPr>
      <w:r w:rsidRPr="00D95F2B">
        <w:rPr>
          <w:bCs/>
          <w:sz w:val="22"/>
          <w:szCs w:val="22"/>
          <w:lang w:val="sr-Latn-ME"/>
        </w:rPr>
        <w:t>Svu neiskorišćenu količinu lijeka ili otpadnog materijala nakon njegove upotrebe treba ukloniti, u skladu sa važećim propisima.</w:t>
      </w:r>
    </w:p>
    <w:p w14:paraId="33E88CBD" w14:textId="6D384ABB" w:rsidR="003F3F02" w:rsidRPr="00D95F2B" w:rsidRDefault="003F3F02" w:rsidP="00FA3849">
      <w:pPr>
        <w:tabs>
          <w:tab w:val="left" w:pos="540"/>
          <w:tab w:val="left" w:pos="569"/>
        </w:tabs>
        <w:jc w:val="both"/>
        <w:rPr>
          <w:bCs/>
          <w:sz w:val="22"/>
          <w:szCs w:val="22"/>
          <w:lang w:val="sr-Latn-ME"/>
        </w:rPr>
      </w:pPr>
    </w:p>
    <w:p w14:paraId="2397E43E" w14:textId="77777777" w:rsidR="003F3F02" w:rsidRPr="00D95F2B" w:rsidRDefault="003F3F02" w:rsidP="00FA3849">
      <w:pPr>
        <w:tabs>
          <w:tab w:val="left" w:pos="540"/>
          <w:tab w:val="left" w:pos="569"/>
        </w:tabs>
        <w:jc w:val="both"/>
        <w:rPr>
          <w:bCs/>
          <w:sz w:val="22"/>
          <w:szCs w:val="22"/>
          <w:lang w:val="sr-Latn-ME"/>
        </w:rPr>
      </w:pPr>
    </w:p>
    <w:p w14:paraId="6EC94FA5" w14:textId="77777777" w:rsidR="00F8570A"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7. </w:t>
      </w:r>
      <w:r w:rsidR="00480FB1" w:rsidRPr="00D95F2B">
        <w:rPr>
          <w:b/>
          <w:bCs/>
          <w:sz w:val="22"/>
          <w:szCs w:val="22"/>
          <w:lang w:val="sr-Latn-ME"/>
        </w:rPr>
        <w:tab/>
      </w:r>
      <w:r w:rsidRPr="00D95F2B">
        <w:rPr>
          <w:b/>
          <w:bCs/>
          <w:sz w:val="22"/>
          <w:szCs w:val="22"/>
          <w:lang w:val="sr-Latn-ME"/>
        </w:rPr>
        <w:t>NOSILAC DOZVOLE</w:t>
      </w:r>
      <w:r w:rsidR="00483928" w:rsidRPr="00D95F2B">
        <w:rPr>
          <w:b/>
          <w:bCs/>
          <w:sz w:val="22"/>
          <w:szCs w:val="22"/>
          <w:lang w:val="sr-Latn-ME"/>
        </w:rPr>
        <w:t xml:space="preserve"> </w:t>
      </w:r>
    </w:p>
    <w:p w14:paraId="3C016F2B" w14:textId="77777777" w:rsidR="00C61BE0" w:rsidRPr="00D95F2B" w:rsidRDefault="00C61BE0" w:rsidP="00480FB1">
      <w:pPr>
        <w:tabs>
          <w:tab w:val="left" w:pos="540"/>
          <w:tab w:val="left" w:pos="569"/>
        </w:tabs>
        <w:rPr>
          <w:bCs/>
          <w:sz w:val="22"/>
          <w:szCs w:val="22"/>
          <w:lang w:val="sr-Latn-ME"/>
        </w:rPr>
      </w:pPr>
    </w:p>
    <w:p w14:paraId="1E1292C6" w14:textId="63883F82" w:rsidR="001C025C" w:rsidRPr="00D95F2B" w:rsidRDefault="001C025C" w:rsidP="001C025C">
      <w:pPr>
        <w:tabs>
          <w:tab w:val="left" w:pos="540"/>
          <w:tab w:val="left" w:pos="569"/>
        </w:tabs>
        <w:rPr>
          <w:bCs/>
          <w:sz w:val="22"/>
          <w:szCs w:val="22"/>
          <w:lang w:val="sr-Latn-ME"/>
        </w:rPr>
      </w:pPr>
      <w:r w:rsidRPr="00D95F2B">
        <w:rPr>
          <w:bCs/>
          <w:sz w:val="22"/>
          <w:szCs w:val="22"/>
          <w:lang w:val="sr-Latn-ME"/>
        </w:rPr>
        <w:t xml:space="preserve">Novo Nordisk Pharma Operations A/S, Danska </w:t>
      </w:r>
      <w:r w:rsidR="00FA3849" w:rsidRPr="00D95F2B">
        <w:rPr>
          <w:bCs/>
          <w:sz w:val="22"/>
          <w:szCs w:val="22"/>
          <w:lang w:val="sr-Latn-ME"/>
        </w:rPr>
        <w:t>-</w:t>
      </w:r>
      <w:r w:rsidRPr="00D95F2B">
        <w:rPr>
          <w:bCs/>
          <w:sz w:val="22"/>
          <w:szCs w:val="22"/>
          <w:lang w:val="sr-Latn-ME"/>
        </w:rPr>
        <w:t xml:space="preserve"> Predstavništvo Crna Gora, Podgorica</w:t>
      </w:r>
    </w:p>
    <w:p w14:paraId="1917A447" w14:textId="4E117080" w:rsidR="001C025C" w:rsidRPr="00D95F2B" w:rsidRDefault="001C025C" w:rsidP="001C025C">
      <w:pPr>
        <w:tabs>
          <w:tab w:val="left" w:pos="540"/>
          <w:tab w:val="left" w:pos="569"/>
        </w:tabs>
        <w:rPr>
          <w:bCs/>
          <w:sz w:val="22"/>
          <w:szCs w:val="22"/>
          <w:lang w:val="sr-Latn-ME"/>
        </w:rPr>
      </w:pPr>
      <w:r w:rsidRPr="00D95F2B">
        <w:rPr>
          <w:bCs/>
          <w:sz w:val="22"/>
          <w:szCs w:val="22"/>
          <w:lang w:val="sr-Latn-ME"/>
        </w:rPr>
        <w:t>Kritskog odreda</w:t>
      </w:r>
      <w:r w:rsidR="00FA3849" w:rsidRPr="00D95F2B">
        <w:rPr>
          <w:bCs/>
          <w:sz w:val="22"/>
          <w:szCs w:val="22"/>
          <w:lang w:val="sr-Latn-ME"/>
        </w:rPr>
        <w:t xml:space="preserve"> br.</w:t>
      </w:r>
      <w:r w:rsidRPr="00D95F2B">
        <w:rPr>
          <w:bCs/>
          <w:sz w:val="22"/>
          <w:szCs w:val="22"/>
          <w:lang w:val="sr-Latn-ME"/>
        </w:rPr>
        <w:t xml:space="preserve"> 4/1, 81000 Podgorica</w:t>
      </w:r>
      <w:r w:rsidR="00F6755E" w:rsidRPr="00D95F2B">
        <w:rPr>
          <w:bCs/>
          <w:sz w:val="22"/>
          <w:szCs w:val="22"/>
          <w:lang w:val="sr-Latn-ME"/>
        </w:rPr>
        <w:t xml:space="preserve">, </w:t>
      </w:r>
      <w:r w:rsidRPr="00D95F2B">
        <w:rPr>
          <w:bCs/>
          <w:sz w:val="22"/>
          <w:szCs w:val="22"/>
          <w:lang w:val="sr-Latn-ME"/>
        </w:rPr>
        <w:t>Crna Gora</w:t>
      </w:r>
    </w:p>
    <w:p w14:paraId="54655D44" w14:textId="3F1E3F24" w:rsidR="00FA3849" w:rsidRPr="00D95F2B" w:rsidRDefault="00FA3849" w:rsidP="001C025C">
      <w:pPr>
        <w:tabs>
          <w:tab w:val="left" w:pos="540"/>
          <w:tab w:val="left" w:pos="569"/>
        </w:tabs>
        <w:rPr>
          <w:bCs/>
          <w:sz w:val="22"/>
          <w:szCs w:val="22"/>
          <w:lang w:val="sr-Latn-ME"/>
        </w:rPr>
      </w:pPr>
      <w:bookmarkStart w:id="2" w:name="_GoBack"/>
      <w:bookmarkEnd w:id="2"/>
    </w:p>
    <w:p w14:paraId="06692DAF" w14:textId="77777777" w:rsidR="00FA3849" w:rsidRPr="00D95F2B" w:rsidRDefault="00FA3849" w:rsidP="001C025C">
      <w:pPr>
        <w:tabs>
          <w:tab w:val="left" w:pos="540"/>
          <w:tab w:val="left" w:pos="569"/>
        </w:tabs>
        <w:rPr>
          <w:bCs/>
          <w:sz w:val="22"/>
          <w:szCs w:val="22"/>
          <w:lang w:val="sr-Latn-ME"/>
        </w:rPr>
      </w:pPr>
    </w:p>
    <w:p w14:paraId="6CDA8AD7"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8. </w:t>
      </w:r>
      <w:r w:rsidR="00480FB1" w:rsidRPr="00D95F2B">
        <w:rPr>
          <w:b/>
          <w:bCs/>
          <w:sz w:val="22"/>
          <w:szCs w:val="22"/>
          <w:lang w:val="sr-Latn-ME"/>
        </w:rPr>
        <w:tab/>
      </w:r>
      <w:r w:rsidRPr="00D95F2B">
        <w:rPr>
          <w:b/>
          <w:bCs/>
          <w:sz w:val="22"/>
          <w:szCs w:val="22"/>
          <w:lang w:val="sr-Latn-ME"/>
        </w:rPr>
        <w:t>BROJ DOZVOLE</w:t>
      </w:r>
      <w:r w:rsidR="008A6D43" w:rsidRPr="00D95F2B">
        <w:rPr>
          <w:b/>
          <w:bCs/>
          <w:sz w:val="22"/>
          <w:szCs w:val="22"/>
          <w:lang w:val="sr-Latn-ME"/>
        </w:rPr>
        <w:t xml:space="preserve"> ZA STAVLJANJE LIJEKA U PROMET</w:t>
      </w:r>
    </w:p>
    <w:p w14:paraId="170D49AD" w14:textId="77777777" w:rsidR="0072020E" w:rsidRPr="00D95F2B" w:rsidRDefault="0072020E" w:rsidP="00480FB1">
      <w:pPr>
        <w:tabs>
          <w:tab w:val="left" w:pos="540"/>
          <w:tab w:val="left" w:pos="569"/>
        </w:tabs>
        <w:rPr>
          <w:bCs/>
          <w:sz w:val="22"/>
          <w:szCs w:val="22"/>
          <w:lang w:val="sr-Latn-ME"/>
        </w:rPr>
      </w:pPr>
    </w:p>
    <w:p w14:paraId="73D03727" w14:textId="1642A83F" w:rsidR="001C025C" w:rsidRPr="00D95F2B" w:rsidRDefault="00203EA1" w:rsidP="001C025C">
      <w:pPr>
        <w:tabs>
          <w:tab w:val="left" w:pos="540"/>
          <w:tab w:val="left" w:pos="569"/>
        </w:tabs>
        <w:rPr>
          <w:bCs/>
          <w:sz w:val="22"/>
          <w:szCs w:val="22"/>
          <w:lang w:val="sr-Latn-ME"/>
        </w:rPr>
      </w:pPr>
      <w:r w:rsidRPr="00D95F2B">
        <w:rPr>
          <w:bCs/>
          <w:sz w:val="22"/>
          <w:szCs w:val="22"/>
          <w:lang w:val="sr-Latn-ME"/>
        </w:rPr>
        <w:t>Victoza</w:t>
      </w:r>
      <w:r w:rsidR="001C025C" w:rsidRPr="00D95F2B">
        <w:rPr>
          <w:bCs/>
          <w:sz w:val="22"/>
          <w:szCs w:val="22"/>
          <w:lang w:val="sr-Latn-ME"/>
        </w:rPr>
        <w:t xml:space="preserve">, </w:t>
      </w:r>
      <w:r w:rsidR="000318C2" w:rsidRPr="00D95F2B">
        <w:rPr>
          <w:bCs/>
          <w:sz w:val="22"/>
          <w:szCs w:val="22"/>
          <w:lang w:val="sr-Latn-ME"/>
        </w:rPr>
        <w:t xml:space="preserve">6 mg/ml, </w:t>
      </w:r>
      <w:r w:rsidR="001C025C" w:rsidRPr="00D95F2B">
        <w:rPr>
          <w:bCs/>
          <w:sz w:val="22"/>
          <w:szCs w:val="22"/>
          <w:lang w:val="sr-Latn-ME"/>
        </w:rPr>
        <w:t xml:space="preserve">rastvor za injekciju u </w:t>
      </w:r>
      <w:r w:rsidR="000318C2" w:rsidRPr="00D95F2B">
        <w:rPr>
          <w:bCs/>
          <w:sz w:val="22"/>
          <w:szCs w:val="22"/>
          <w:lang w:val="sr-Latn-ME"/>
        </w:rPr>
        <w:t xml:space="preserve">napunjenom injekcionom </w:t>
      </w:r>
      <w:r w:rsidR="001C025C" w:rsidRPr="00D95F2B">
        <w:rPr>
          <w:bCs/>
          <w:sz w:val="22"/>
          <w:szCs w:val="22"/>
          <w:lang w:val="sr-Latn-ME"/>
        </w:rPr>
        <w:t>penu</w:t>
      </w:r>
      <w:r w:rsidR="000318C2" w:rsidRPr="00D95F2B">
        <w:rPr>
          <w:bCs/>
          <w:sz w:val="22"/>
          <w:szCs w:val="22"/>
          <w:lang w:val="sr-Latn-ME"/>
        </w:rPr>
        <w:t>,</w:t>
      </w:r>
      <w:r w:rsidR="001C025C" w:rsidRPr="00D95F2B">
        <w:rPr>
          <w:bCs/>
          <w:sz w:val="22"/>
          <w:szCs w:val="22"/>
          <w:lang w:val="sr-Latn-ME"/>
        </w:rPr>
        <w:t xml:space="preserve"> 2 x 3 ml: </w:t>
      </w:r>
      <w:r w:rsidR="00D95F2B" w:rsidRPr="00D95F2B">
        <w:rPr>
          <w:bCs/>
          <w:sz w:val="22"/>
          <w:szCs w:val="22"/>
          <w:lang w:val="sr-Latn-ME"/>
        </w:rPr>
        <w:t>2030/25/2891 - 7023</w:t>
      </w:r>
    </w:p>
    <w:p w14:paraId="15E0D40C" w14:textId="09DD8958" w:rsidR="001C025C" w:rsidRPr="00D95F2B" w:rsidRDefault="00203EA1" w:rsidP="001C025C">
      <w:pPr>
        <w:tabs>
          <w:tab w:val="left" w:pos="540"/>
          <w:tab w:val="left" w:pos="569"/>
        </w:tabs>
        <w:rPr>
          <w:bCs/>
          <w:sz w:val="22"/>
          <w:szCs w:val="22"/>
          <w:lang w:val="sr-Latn-ME"/>
        </w:rPr>
      </w:pPr>
      <w:r w:rsidRPr="00D95F2B">
        <w:rPr>
          <w:bCs/>
          <w:sz w:val="22"/>
          <w:szCs w:val="22"/>
          <w:lang w:val="sr-Latn-ME"/>
        </w:rPr>
        <w:t>Victoza</w:t>
      </w:r>
      <w:r w:rsidR="001C025C" w:rsidRPr="00D95F2B">
        <w:rPr>
          <w:bCs/>
          <w:sz w:val="22"/>
          <w:szCs w:val="22"/>
          <w:lang w:val="sr-Latn-ME"/>
        </w:rPr>
        <w:t xml:space="preserve">, </w:t>
      </w:r>
      <w:r w:rsidR="000318C2" w:rsidRPr="00D95F2B">
        <w:rPr>
          <w:bCs/>
          <w:sz w:val="22"/>
          <w:szCs w:val="22"/>
          <w:lang w:val="sr-Latn-ME"/>
        </w:rPr>
        <w:t>6 mg/ml, rastvor za injekciju u napunjenom injekcionom penu</w:t>
      </w:r>
      <w:r w:rsidR="001C025C" w:rsidRPr="00D95F2B">
        <w:rPr>
          <w:bCs/>
          <w:sz w:val="22"/>
          <w:szCs w:val="22"/>
          <w:lang w:val="sr-Latn-ME"/>
        </w:rPr>
        <w:t xml:space="preserve">, 3 x 3 ml: </w:t>
      </w:r>
      <w:r w:rsidR="00D95F2B" w:rsidRPr="00D95F2B">
        <w:rPr>
          <w:bCs/>
          <w:sz w:val="22"/>
          <w:szCs w:val="22"/>
          <w:lang w:val="sr-Latn-ME"/>
        </w:rPr>
        <w:t>2030/25/2892 - 7024</w:t>
      </w:r>
    </w:p>
    <w:p w14:paraId="6D339404" w14:textId="6AF08AE0" w:rsidR="00F45F77" w:rsidRPr="00D95F2B" w:rsidRDefault="00F45F77" w:rsidP="00480FB1">
      <w:pPr>
        <w:tabs>
          <w:tab w:val="left" w:pos="540"/>
          <w:tab w:val="left" w:pos="569"/>
        </w:tabs>
        <w:rPr>
          <w:bCs/>
          <w:sz w:val="22"/>
          <w:szCs w:val="22"/>
          <w:lang w:val="sr-Latn-ME"/>
        </w:rPr>
      </w:pPr>
    </w:p>
    <w:p w14:paraId="290CA1D2" w14:textId="77777777" w:rsidR="00C428F6" w:rsidRPr="00D95F2B" w:rsidRDefault="00C428F6" w:rsidP="00480FB1">
      <w:pPr>
        <w:tabs>
          <w:tab w:val="left" w:pos="540"/>
          <w:tab w:val="left" w:pos="569"/>
        </w:tabs>
        <w:rPr>
          <w:bCs/>
          <w:sz w:val="22"/>
          <w:szCs w:val="22"/>
          <w:lang w:val="sr-Latn-ME"/>
        </w:rPr>
      </w:pPr>
    </w:p>
    <w:p w14:paraId="6EC25E7A" w14:textId="77777777" w:rsidR="0072020E" w:rsidRPr="00D95F2B" w:rsidRDefault="0072020E" w:rsidP="00480FB1">
      <w:pPr>
        <w:tabs>
          <w:tab w:val="left" w:pos="540"/>
          <w:tab w:val="left" w:pos="569"/>
        </w:tabs>
        <w:rPr>
          <w:b/>
          <w:bCs/>
          <w:sz w:val="22"/>
          <w:szCs w:val="22"/>
          <w:lang w:val="sr-Latn-ME"/>
        </w:rPr>
      </w:pPr>
      <w:r w:rsidRPr="00D95F2B">
        <w:rPr>
          <w:b/>
          <w:bCs/>
          <w:sz w:val="22"/>
          <w:szCs w:val="22"/>
          <w:lang w:val="sr-Latn-ME"/>
        </w:rPr>
        <w:t xml:space="preserve">9. </w:t>
      </w:r>
      <w:r w:rsidR="00480FB1" w:rsidRPr="00D95F2B">
        <w:rPr>
          <w:b/>
          <w:bCs/>
          <w:sz w:val="22"/>
          <w:szCs w:val="22"/>
          <w:lang w:val="sr-Latn-ME"/>
        </w:rPr>
        <w:tab/>
      </w:r>
      <w:r w:rsidRPr="00D95F2B">
        <w:rPr>
          <w:b/>
          <w:bCs/>
          <w:sz w:val="22"/>
          <w:szCs w:val="22"/>
          <w:lang w:val="sr-Latn-ME"/>
        </w:rPr>
        <w:t xml:space="preserve">DATUM </w:t>
      </w:r>
      <w:r w:rsidR="00C05DF8" w:rsidRPr="00D95F2B">
        <w:rPr>
          <w:b/>
          <w:bCs/>
          <w:sz w:val="22"/>
          <w:szCs w:val="22"/>
          <w:lang w:val="sr-Latn-ME"/>
        </w:rPr>
        <w:t xml:space="preserve">PRVE </w:t>
      </w:r>
      <w:r w:rsidR="008A6D43" w:rsidRPr="00D95F2B">
        <w:rPr>
          <w:b/>
          <w:bCs/>
          <w:sz w:val="22"/>
          <w:szCs w:val="22"/>
          <w:lang w:val="sr-Latn-ME"/>
        </w:rPr>
        <w:t>DOZVOLE</w:t>
      </w:r>
      <w:r w:rsidR="00C05DF8" w:rsidRPr="00D95F2B">
        <w:rPr>
          <w:b/>
          <w:bCs/>
          <w:sz w:val="22"/>
          <w:szCs w:val="22"/>
          <w:lang w:val="sr-Latn-ME"/>
        </w:rPr>
        <w:t>/OBNOVE DOZVOLE</w:t>
      </w:r>
      <w:r w:rsidR="008A6D43" w:rsidRPr="00D95F2B">
        <w:rPr>
          <w:b/>
          <w:bCs/>
          <w:sz w:val="22"/>
          <w:szCs w:val="22"/>
          <w:lang w:val="sr-Latn-ME"/>
        </w:rPr>
        <w:t xml:space="preserve"> ZA STAVLJANJE LIJEKA U PROMET</w:t>
      </w:r>
    </w:p>
    <w:p w14:paraId="31AF666E" w14:textId="77777777" w:rsidR="0072020E" w:rsidRPr="00D95F2B" w:rsidRDefault="0072020E" w:rsidP="00480FB1">
      <w:pPr>
        <w:tabs>
          <w:tab w:val="left" w:pos="540"/>
          <w:tab w:val="left" w:pos="569"/>
        </w:tabs>
        <w:rPr>
          <w:bCs/>
          <w:sz w:val="22"/>
          <w:szCs w:val="22"/>
          <w:lang w:val="sr-Latn-ME"/>
        </w:rPr>
      </w:pPr>
    </w:p>
    <w:p w14:paraId="30F96A65" w14:textId="42C30705" w:rsidR="001C025C" w:rsidRPr="00D95F2B" w:rsidRDefault="003F3F02" w:rsidP="00480FB1">
      <w:pPr>
        <w:tabs>
          <w:tab w:val="left" w:pos="540"/>
          <w:tab w:val="left" w:pos="569"/>
        </w:tabs>
        <w:rPr>
          <w:bCs/>
          <w:sz w:val="22"/>
          <w:szCs w:val="22"/>
          <w:lang w:val="sr-Latn-ME"/>
        </w:rPr>
      </w:pPr>
      <w:r w:rsidRPr="00D95F2B">
        <w:rPr>
          <w:bCs/>
          <w:sz w:val="22"/>
          <w:szCs w:val="22"/>
          <w:lang w:val="sr-Latn-ME"/>
        </w:rPr>
        <w:t xml:space="preserve">Datum prve dozvole: </w:t>
      </w:r>
      <w:r w:rsidR="007808B2" w:rsidRPr="00D95F2B">
        <w:rPr>
          <w:bCs/>
          <w:sz w:val="22"/>
          <w:szCs w:val="22"/>
          <w:lang w:val="sr-Latn-ME"/>
        </w:rPr>
        <w:t>10.07.2014.</w:t>
      </w:r>
      <w:r w:rsidR="00C428F6" w:rsidRPr="00D95F2B">
        <w:rPr>
          <w:bCs/>
          <w:sz w:val="22"/>
          <w:szCs w:val="22"/>
          <w:lang w:val="sr-Latn-ME"/>
        </w:rPr>
        <w:t xml:space="preserve"> godine</w:t>
      </w:r>
      <w:r w:rsidRPr="00D95F2B">
        <w:rPr>
          <w:bCs/>
          <w:sz w:val="22"/>
          <w:szCs w:val="22"/>
          <w:lang w:val="sr-Latn-ME"/>
        </w:rPr>
        <w:br/>
        <w:t>Datum poslednje obnove dozvole:</w:t>
      </w:r>
      <w:r w:rsidR="00D95F2B">
        <w:rPr>
          <w:bCs/>
          <w:sz w:val="22"/>
          <w:szCs w:val="22"/>
          <w:lang w:val="sr-Latn-ME"/>
        </w:rPr>
        <w:t xml:space="preserve"> </w:t>
      </w:r>
      <w:r w:rsidR="00D95F2B" w:rsidRPr="00D95F2B">
        <w:rPr>
          <w:bCs/>
          <w:sz w:val="22"/>
          <w:szCs w:val="22"/>
          <w:lang w:val="sr-Latn-ME"/>
        </w:rPr>
        <w:t>12.08.2025. godine</w:t>
      </w:r>
    </w:p>
    <w:p w14:paraId="6B7375C3" w14:textId="2EAE5DC9" w:rsidR="00836B35" w:rsidRPr="00D95F2B" w:rsidRDefault="00836B35" w:rsidP="00480FB1">
      <w:pPr>
        <w:tabs>
          <w:tab w:val="left" w:pos="540"/>
          <w:tab w:val="left" w:pos="569"/>
        </w:tabs>
        <w:rPr>
          <w:bCs/>
          <w:sz w:val="22"/>
          <w:szCs w:val="22"/>
          <w:lang w:val="sr-Latn-ME"/>
        </w:rPr>
      </w:pPr>
    </w:p>
    <w:p w14:paraId="7250A622" w14:textId="77777777" w:rsidR="00C428F6" w:rsidRPr="00D95F2B" w:rsidRDefault="00C428F6" w:rsidP="00480FB1">
      <w:pPr>
        <w:tabs>
          <w:tab w:val="left" w:pos="540"/>
          <w:tab w:val="left" w:pos="569"/>
        </w:tabs>
        <w:rPr>
          <w:bCs/>
          <w:sz w:val="22"/>
          <w:szCs w:val="22"/>
          <w:lang w:val="sr-Latn-ME"/>
        </w:rPr>
      </w:pPr>
    </w:p>
    <w:p w14:paraId="4779A836" w14:textId="77777777" w:rsidR="003F6A59" w:rsidRPr="00D95F2B" w:rsidRDefault="0072020E" w:rsidP="00C05DF8">
      <w:pPr>
        <w:tabs>
          <w:tab w:val="left" w:pos="540"/>
          <w:tab w:val="left" w:pos="569"/>
        </w:tabs>
        <w:ind w:left="540" w:hanging="540"/>
        <w:rPr>
          <w:bCs/>
          <w:sz w:val="22"/>
          <w:szCs w:val="22"/>
          <w:lang w:val="sr-Latn-ME"/>
        </w:rPr>
      </w:pPr>
      <w:r w:rsidRPr="00D95F2B">
        <w:rPr>
          <w:b/>
          <w:bCs/>
          <w:sz w:val="22"/>
          <w:szCs w:val="22"/>
          <w:lang w:val="sr-Latn-ME"/>
        </w:rPr>
        <w:t xml:space="preserve">10. </w:t>
      </w:r>
      <w:r w:rsidR="00480FB1" w:rsidRPr="00D95F2B">
        <w:rPr>
          <w:b/>
          <w:bCs/>
          <w:sz w:val="22"/>
          <w:szCs w:val="22"/>
          <w:lang w:val="sr-Latn-ME"/>
        </w:rPr>
        <w:tab/>
      </w:r>
      <w:r w:rsidR="002846DB" w:rsidRPr="00D95F2B">
        <w:rPr>
          <w:b/>
          <w:bCs/>
          <w:sz w:val="22"/>
          <w:szCs w:val="22"/>
          <w:lang w:val="sr-Latn-ME"/>
        </w:rPr>
        <w:t>D</w:t>
      </w:r>
      <w:r w:rsidR="00EC2532" w:rsidRPr="00D95F2B">
        <w:rPr>
          <w:b/>
          <w:bCs/>
          <w:sz w:val="22"/>
          <w:szCs w:val="22"/>
          <w:lang w:val="sr-Latn-ME"/>
        </w:rPr>
        <w:t xml:space="preserve">ATUM REVIZIJE TEKSTA </w:t>
      </w:r>
    </w:p>
    <w:p w14:paraId="2136E886" w14:textId="77777777" w:rsidR="003F6A59" w:rsidRPr="00D95F2B" w:rsidRDefault="003F6A59" w:rsidP="00480FB1">
      <w:pPr>
        <w:tabs>
          <w:tab w:val="left" w:pos="540"/>
          <w:tab w:val="left" w:pos="569"/>
        </w:tabs>
        <w:rPr>
          <w:bCs/>
          <w:sz w:val="22"/>
          <w:szCs w:val="22"/>
          <w:lang w:val="sr-Latn-ME"/>
        </w:rPr>
      </w:pPr>
    </w:p>
    <w:p w14:paraId="52832C67" w14:textId="3D752DC9" w:rsidR="003F6A59" w:rsidRPr="00D95F2B" w:rsidRDefault="00D95F2B" w:rsidP="00DE3F5C">
      <w:pPr>
        <w:rPr>
          <w:sz w:val="22"/>
          <w:szCs w:val="22"/>
          <w:lang w:val="sr-Latn-ME"/>
        </w:rPr>
      </w:pPr>
      <w:r>
        <w:rPr>
          <w:sz w:val="22"/>
          <w:szCs w:val="22"/>
          <w:lang w:val="sr-Latn-ME"/>
        </w:rPr>
        <w:t>Avgust, 2025. godine</w:t>
      </w:r>
    </w:p>
    <w:sectPr w:rsidR="003F6A59" w:rsidRPr="00D95F2B" w:rsidSect="00EF3B86">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A949" w14:textId="77777777" w:rsidR="00C81C3B" w:rsidRDefault="00C81C3B">
      <w:r>
        <w:separator/>
      </w:r>
    </w:p>
  </w:endnote>
  <w:endnote w:type="continuationSeparator" w:id="0">
    <w:p w14:paraId="0F77B02B" w14:textId="77777777" w:rsidR="00C81C3B" w:rsidRDefault="00C8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5D99" w14:textId="3AE1B54B" w:rsidR="003B5692" w:rsidRPr="00B23F69" w:rsidRDefault="003B569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F5D08">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F5D08">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6502" w14:textId="77777777" w:rsidR="00C81C3B" w:rsidRDefault="00C81C3B">
      <w:r>
        <w:separator/>
      </w:r>
    </w:p>
  </w:footnote>
  <w:footnote w:type="continuationSeparator" w:id="0">
    <w:p w14:paraId="689308D3" w14:textId="77777777" w:rsidR="00C81C3B" w:rsidRDefault="00C8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E53923"/>
    <w:multiLevelType w:val="hybridMultilevel"/>
    <w:tmpl w:val="7D08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5550FA1"/>
    <w:multiLevelType w:val="hybridMultilevel"/>
    <w:tmpl w:val="67DA8A6C"/>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4853C1E"/>
    <w:multiLevelType w:val="hybridMultilevel"/>
    <w:tmpl w:val="6FEE7B46"/>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9C407A"/>
    <w:multiLevelType w:val="hybridMultilevel"/>
    <w:tmpl w:val="739E1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5"/>
  </w:num>
  <w:num w:numId="6">
    <w:abstractNumId w:val="1"/>
  </w:num>
  <w:num w:numId="7">
    <w:abstractNumId w:val="9"/>
  </w:num>
  <w:num w:numId="8">
    <w:abstractNumId w:val="4"/>
  </w:num>
  <w:num w:numId="9">
    <w:abstractNumId w:val="7"/>
  </w:num>
  <w:num w:numId="10">
    <w:abstractNumId w:val="14"/>
  </w:num>
  <w:num w:numId="11">
    <w:abstractNumId w:val="6"/>
  </w:num>
  <w:num w:numId="12">
    <w:abstractNumId w:val="8"/>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A3"/>
    <w:rsid w:val="000176CA"/>
    <w:rsid w:val="00022AE1"/>
    <w:rsid w:val="000318C2"/>
    <w:rsid w:val="000338C8"/>
    <w:rsid w:val="00034E0A"/>
    <w:rsid w:val="00036FA0"/>
    <w:rsid w:val="0003793F"/>
    <w:rsid w:val="000429E6"/>
    <w:rsid w:val="00057E35"/>
    <w:rsid w:val="00070347"/>
    <w:rsid w:val="000703FF"/>
    <w:rsid w:val="00076726"/>
    <w:rsid w:val="00080303"/>
    <w:rsid w:val="00086AEB"/>
    <w:rsid w:val="00087009"/>
    <w:rsid w:val="0009156F"/>
    <w:rsid w:val="00094020"/>
    <w:rsid w:val="000A3BBC"/>
    <w:rsid w:val="000A3F58"/>
    <w:rsid w:val="000C6E69"/>
    <w:rsid w:val="000D2343"/>
    <w:rsid w:val="000D3449"/>
    <w:rsid w:val="000D425A"/>
    <w:rsid w:val="000D60CC"/>
    <w:rsid w:val="000D7B9C"/>
    <w:rsid w:val="000E2084"/>
    <w:rsid w:val="000E6F55"/>
    <w:rsid w:val="000F14D1"/>
    <w:rsid w:val="000F579A"/>
    <w:rsid w:val="000F77FA"/>
    <w:rsid w:val="00107BF7"/>
    <w:rsid w:val="001160EC"/>
    <w:rsid w:val="00116A7B"/>
    <w:rsid w:val="0012459D"/>
    <w:rsid w:val="00126F53"/>
    <w:rsid w:val="0014766D"/>
    <w:rsid w:val="00152902"/>
    <w:rsid w:val="001536CC"/>
    <w:rsid w:val="00173C9F"/>
    <w:rsid w:val="00180D24"/>
    <w:rsid w:val="001A3FBA"/>
    <w:rsid w:val="001A5518"/>
    <w:rsid w:val="001A5F43"/>
    <w:rsid w:val="001B1C6A"/>
    <w:rsid w:val="001C025C"/>
    <w:rsid w:val="001C1263"/>
    <w:rsid w:val="001C1417"/>
    <w:rsid w:val="001E390B"/>
    <w:rsid w:val="001E665D"/>
    <w:rsid w:val="001F42FB"/>
    <w:rsid w:val="001F603E"/>
    <w:rsid w:val="001F719A"/>
    <w:rsid w:val="002031B3"/>
    <w:rsid w:val="00203EA1"/>
    <w:rsid w:val="00215931"/>
    <w:rsid w:val="00227BDB"/>
    <w:rsid w:val="00234CB1"/>
    <w:rsid w:val="002352F8"/>
    <w:rsid w:val="002510A5"/>
    <w:rsid w:val="00253851"/>
    <w:rsid w:val="00254A0A"/>
    <w:rsid w:val="002654EB"/>
    <w:rsid w:val="00266046"/>
    <w:rsid w:val="002826BC"/>
    <w:rsid w:val="002846DB"/>
    <w:rsid w:val="00284CCD"/>
    <w:rsid w:val="00291D7E"/>
    <w:rsid w:val="00294989"/>
    <w:rsid w:val="002A430D"/>
    <w:rsid w:val="002B44CA"/>
    <w:rsid w:val="002B598C"/>
    <w:rsid w:val="002C6637"/>
    <w:rsid w:val="002D7445"/>
    <w:rsid w:val="002E0135"/>
    <w:rsid w:val="002E37A5"/>
    <w:rsid w:val="002F5D08"/>
    <w:rsid w:val="00310F03"/>
    <w:rsid w:val="00311D65"/>
    <w:rsid w:val="0032227D"/>
    <w:rsid w:val="003247D2"/>
    <w:rsid w:val="003445C1"/>
    <w:rsid w:val="00347D78"/>
    <w:rsid w:val="00355B61"/>
    <w:rsid w:val="00362686"/>
    <w:rsid w:val="00371510"/>
    <w:rsid w:val="00396DFD"/>
    <w:rsid w:val="003A7059"/>
    <w:rsid w:val="003B5692"/>
    <w:rsid w:val="003B7A36"/>
    <w:rsid w:val="003C17AB"/>
    <w:rsid w:val="003C7823"/>
    <w:rsid w:val="003E1DCC"/>
    <w:rsid w:val="003E299A"/>
    <w:rsid w:val="003E4413"/>
    <w:rsid w:val="003E769F"/>
    <w:rsid w:val="003F3F02"/>
    <w:rsid w:val="003F6A59"/>
    <w:rsid w:val="00404CFA"/>
    <w:rsid w:val="004065C8"/>
    <w:rsid w:val="00411B4B"/>
    <w:rsid w:val="00415BEE"/>
    <w:rsid w:val="00427F85"/>
    <w:rsid w:val="0043003C"/>
    <w:rsid w:val="00433CFB"/>
    <w:rsid w:val="00436F42"/>
    <w:rsid w:val="004378B4"/>
    <w:rsid w:val="00451314"/>
    <w:rsid w:val="00452E9D"/>
    <w:rsid w:val="004534C7"/>
    <w:rsid w:val="004671AA"/>
    <w:rsid w:val="00480D6E"/>
    <w:rsid w:val="00480FB1"/>
    <w:rsid w:val="00483928"/>
    <w:rsid w:val="00490E2B"/>
    <w:rsid w:val="004D6103"/>
    <w:rsid w:val="004E3BCE"/>
    <w:rsid w:val="004F0E97"/>
    <w:rsid w:val="00501202"/>
    <w:rsid w:val="00515C21"/>
    <w:rsid w:val="00521B83"/>
    <w:rsid w:val="0052768E"/>
    <w:rsid w:val="00530BD7"/>
    <w:rsid w:val="00545CD2"/>
    <w:rsid w:val="005476F3"/>
    <w:rsid w:val="00564A37"/>
    <w:rsid w:val="00572527"/>
    <w:rsid w:val="00573E40"/>
    <w:rsid w:val="00576348"/>
    <w:rsid w:val="00596773"/>
    <w:rsid w:val="005A0B2E"/>
    <w:rsid w:val="005A23D2"/>
    <w:rsid w:val="005A36CB"/>
    <w:rsid w:val="005B3A88"/>
    <w:rsid w:val="005B49B8"/>
    <w:rsid w:val="005C0741"/>
    <w:rsid w:val="005C58D0"/>
    <w:rsid w:val="005C5EF4"/>
    <w:rsid w:val="005D7D61"/>
    <w:rsid w:val="005E2E0B"/>
    <w:rsid w:val="005E7A7D"/>
    <w:rsid w:val="005F63E2"/>
    <w:rsid w:val="00632FBD"/>
    <w:rsid w:val="00646BD1"/>
    <w:rsid w:val="006561C2"/>
    <w:rsid w:val="00671CB3"/>
    <w:rsid w:val="00674BAF"/>
    <w:rsid w:val="00682200"/>
    <w:rsid w:val="006A1497"/>
    <w:rsid w:val="006B0BD1"/>
    <w:rsid w:val="006C0338"/>
    <w:rsid w:val="006C6365"/>
    <w:rsid w:val="006D20A5"/>
    <w:rsid w:val="006D37BF"/>
    <w:rsid w:val="006E1EBF"/>
    <w:rsid w:val="00701B51"/>
    <w:rsid w:val="00702E22"/>
    <w:rsid w:val="0072020E"/>
    <w:rsid w:val="00720885"/>
    <w:rsid w:val="007455E8"/>
    <w:rsid w:val="00754E3D"/>
    <w:rsid w:val="00777FF7"/>
    <w:rsid w:val="007808B2"/>
    <w:rsid w:val="007857B4"/>
    <w:rsid w:val="00786071"/>
    <w:rsid w:val="007A3ECB"/>
    <w:rsid w:val="007B3482"/>
    <w:rsid w:val="007C4B6A"/>
    <w:rsid w:val="007E230C"/>
    <w:rsid w:val="007E517B"/>
    <w:rsid w:val="00802335"/>
    <w:rsid w:val="008029FA"/>
    <w:rsid w:val="0080711A"/>
    <w:rsid w:val="00824AB9"/>
    <w:rsid w:val="00830D75"/>
    <w:rsid w:val="00836B35"/>
    <w:rsid w:val="00843BDE"/>
    <w:rsid w:val="00856E2A"/>
    <w:rsid w:val="00865ABF"/>
    <w:rsid w:val="0089705C"/>
    <w:rsid w:val="008A6D43"/>
    <w:rsid w:val="008B491E"/>
    <w:rsid w:val="008B7859"/>
    <w:rsid w:val="008C1A28"/>
    <w:rsid w:val="008C2E98"/>
    <w:rsid w:val="008E49BD"/>
    <w:rsid w:val="008E53E9"/>
    <w:rsid w:val="008E5771"/>
    <w:rsid w:val="008F7563"/>
    <w:rsid w:val="0090021E"/>
    <w:rsid w:val="00900D2E"/>
    <w:rsid w:val="00940B9B"/>
    <w:rsid w:val="0095676E"/>
    <w:rsid w:val="00956983"/>
    <w:rsid w:val="00963CF0"/>
    <w:rsid w:val="00964BB1"/>
    <w:rsid w:val="009775D9"/>
    <w:rsid w:val="00997175"/>
    <w:rsid w:val="009A1847"/>
    <w:rsid w:val="009B062A"/>
    <w:rsid w:val="009B081F"/>
    <w:rsid w:val="009B0A14"/>
    <w:rsid w:val="009D1C7E"/>
    <w:rsid w:val="009D5921"/>
    <w:rsid w:val="009E7C6F"/>
    <w:rsid w:val="009F1793"/>
    <w:rsid w:val="009F2D23"/>
    <w:rsid w:val="00A01D69"/>
    <w:rsid w:val="00A021A5"/>
    <w:rsid w:val="00A02335"/>
    <w:rsid w:val="00A074A3"/>
    <w:rsid w:val="00A21359"/>
    <w:rsid w:val="00A24BB6"/>
    <w:rsid w:val="00A25986"/>
    <w:rsid w:val="00A25F0B"/>
    <w:rsid w:val="00A31102"/>
    <w:rsid w:val="00A40DAB"/>
    <w:rsid w:val="00A43A68"/>
    <w:rsid w:val="00A46C9A"/>
    <w:rsid w:val="00A619F3"/>
    <w:rsid w:val="00A62A73"/>
    <w:rsid w:val="00A85BD8"/>
    <w:rsid w:val="00A87FF6"/>
    <w:rsid w:val="00A927E1"/>
    <w:rsid w:val="00AA0A3B"/>
    <w:rsid w:val="00AA13DA"/>
    <w:rsid w:val="00AB1473"/>
    <w:rsid w:val="00AB50CA"/>
    <w:rsid w:val="00AB551E"/>
    <w:rsid w:val="00AC53CE"/>
    <w:rsid w:val="00AD2193"/>
    <w:rsid w:val="00AD411B"/>
    <w:rsid w:val="00AE6B74"/>
    <w:rsid w:val="00AF2AC7"/>
    <w:rsid w:val="00AF74CE"/>
    <w:rsid w:val="00B208DB"/>
    <w:rsid w:val="00B23F69"/>
    <w:rsid w:val="00B60619"/>
    <w:rsid w:val="00B61074"/>
    <w:rsid w:val="00B63821"/>
    <w:rsid w:val="00B663E1"/>
    <w:rsid w:val="00B66A70"/>
    <w:rsid w:val="00B671BF"/>
    <w:rsid w:val="00B67366"/>
    <w:rsid w:val="00B77A7D"/>
    <w:rsid w:val="00B80EE1"/>
    <w:rsid w:val="00B84135"/>
    <w:rsid w:val="00B84FF4"/>
    <w:rsid w:val="00B85946"/>
    <w:rsid w:val="00BB1178"/>
    <w:rsid w:val="00BD11C4"/>
    <w:rsid w:val="00BD4A26"/>
    <w:rsid w:val="00BF0FF2"/>
    <w:rsid w:val="00C00FBA"/>
    <w:rsid w:val="00C0279A"/>
    <w:rsid w:val="00C04D34"/>
    <w:rsid w:val="00C05DF8"/>
    <w:rsid w:val="00C06864"/>
    <w:rsid w:val="00C10F54"/>
    <w:rsid w:val="00C16E35"/>
    <w:rsid w:val="00C229F5"/>
    <w:rsid w:val="00C23D8D"/>
    <w:rsid w:val="00C240C8"/>
    <w:rsid w:val="00C37AA3"/>
    <w:rsid w:val="00C37FD7"/>
    <w:rsid w:val="00C428F6"/>
    <w:rsid w:val="00C43419"/>
    <w:rsid w:val="00C44CF3"/>
    <w:rsid w:val="00C53A26"/>
    <w:rsid w:val="00C61BE0"/>
    <w:rsid w:val="00C66E3E"/>
    <w:rsid w:val="00C70B0E"/>
    <w:rsid w:val="00C71308"/>
    <w:rsid w:val="00C773CA"/>
    <w:rsid w:val="00C81C3B"/>
    <w:rsid w:val="00C83785"/>
    <w:rsid w:val="00C94C0D"/>
    <w:rsid w:val="00C95D05"/>
    <w:rsid w:val="00CA1FEB"/>
    <w:rsid w:val="00CD4F85"/>
    <w:rsid w:val="00CD6F02"/>
    <w:rsid w:val="00CE1B30"/>
    <w:rsid w:val="00CE246D"/>
    <w:rsid w:val="00CE5BB0"/>
    <w:rsid w:val="00CF07A0"/>
    <w:rsid w:val="00CF3E03"/>
    <w:rsid w:val="00D0082A"/>
    <w:rsid w:val="00D12165"/>
    <w:rsid w:val="00D21455"/>
    <w:rsid w:val="00D22C77"/>
    <w:rsid w:val="00D444A7"/>
    <w:rsid w:val="00D47612"/>
    <w:rsid w:val="00D47634"/>
    <w:rsid w:val="00D523A9"/>
    <w:rsid w:val="00D709B3"/>
    <w:rsid w:val="00D849EE"/>
    <w:rsid w:val="00D95F2B"/>
    <w:rsid w:val="00DA0069"/>
    <w:rsid w:val="00DA22B6"/>
    <w:rsid w:val="00DA2ED6"/>
    <w:rsid w:val="00DA3F2B"/>
    <w:rsid w:val="00DB76B8"/>
    <w:rsid w:val="00DC2EA1"/>
    <w:rsid w:val="00DC3EBA"/>
    <w:rsid w:val="00DD063C"/>
    <w:rsid w:val="00DD6AAF"/>
    <w:rsid w:val="00DE3F5C"/>
    <w:rsid w:val="00DE6C2E"/>
    <w:rsid w:val="00DF083E"/>
    <w:rsid w:val="00DF1ADB"/>
    <w:rsid w:val="00DF1D20"/>
    <w:rsid w:val="00DF43DF"/>
    <w:rsid w:val="00E0334F"/>
    <w:rsid w:val="00E21324"/>
    <w:rsid w:val="00E246B9"/>
    <w:rsid w:val="00E31FEA"/>
    <w:rsid w:val="00E35E7D"/>
    <w:rsid w:val="00E45169"/>
    <w:rsid w:val="00E47787"/>
    <w:rsid w:val="00E51C30"/>
    <w:rsid w:val="00E560B5"/>
    <w:rsid w:val="00E64180"/>
    <w:rsid w:val="00E74AEE"/>
    <w:rsid w:val="00E861B9"/>
    <w:rsid w:val="00E868E5"/>
    <w:rsid w:val="00E90942"/>
    <w:rsid w:val="00E9237A"/>
    <w:rsid w:val="00E939FA"/>
    <w:rsid w:val="00E96E6E"/>
    <w:rsid w:val="00EA5765"/>
    <w:rsid w:val="00EC1077"/>
    <w:rsid w:val="00EC2532"/>
    <w:rsid w:val="00ED1DFA"/>
    <w:rsid w:val="00ED7812"/>
    <w:rsid w:val="00EF3B86"/>
    <w:rsid w:val="00F061D2"/>
    <w:rsid w:val="00F220A6"/>
    <w:rsid w:val="00F2568B"/>
    <w:rsid w:val="00F317E9"/>
    <w:rsid w:val="00F34554"/>
    <w:rsid w:val="00F45F77"/>
    <w:rsid w:val="00F5167F"/>
    <w:rsid w:val="00F52258"/>
    <w:rsid w:val="00F6755E"/>
    <w:rsid w:val="00F7587F"/>
    <w:rsid w:val="00F7718D"/>
    <w:rsid w:val="00F8570A"/>
    <w:rsid w:val="00F9175C"/>
    <w:rsid w:val="00F91C7B"/>
    <w:rsid w:val="00FA3849"/>
    <w:rsid w:val="00FB151E"/>
    <w:rsid w:val="00FB4BB6"/>
    <w:rsid w:val="00FD514C"/>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BA32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1160EC"/>
    <w:pPr>
      <w:ind w:left="720"/>
      <w:contextualSpacing/>
    </w:pPr>
  </w:style>
  <w:style w:type="character" w:customStyle="1" w:styleId="HeaderChar">
    <w:name w:val="Header Char"/>
    <w:basedOn w:val="DefaultParagraphFont"/>
    <w:link w:val="Header"/>
    <w:rsid w:val="001160EC"/>
    <w:rPr>
      <w:sz w:val="24"/>
      <w:szCs w:val="24"/>
      <w:lang w:val="en-US" w:eastAsia="en-US"/>
    </w:rPr>
  </w:style>
  <w:style w:type="paragraph" w:styleId="Revision">
    <w:name w:val="Revision"/>
    <w:hidden/>
    <w:uiPriority w:val="99"/>
    <w:semiHidden/>
    <w:rsid w:val="003E769F"/>
    <w:rPr>
      <w:sz w:val="24"/>
      <w:szCs w:val="24"/>
      <w:lang w:val="en-US" w:eastAsia="en-US"/>
    </w:rPr>
  </w:style>
  <w:style w:type="character" w:styleId="Hyperlink">
    <w:name w:val="Hyperlink"/>
    <w:basedOn w:val="DefaultParagraphFont"/>
    <w:unhideWhenUsed/>
    <w:rsid w:val="003E76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0263">
      <w:bodyDiv w:val="1"/>
      <w:marLeft w:val="0"/>
      <w:marRight w:val="0"/>
      <w:marTop w:val="0"/>
      <w:marBottom w:val="0"/>
      <w:divBdr>
        <w:top w:val="none" w:sz="0" w:space="0" w:color="auto"/>
        <w:left w:val="none" w:sz="0" w:space="0" w:color="auto"/>
        <w:bottom w:val="none" w:sz="0" w:space="0" w:color="auto"/>
        <w:right w:val="none" w:sz="0" w:space="0" w:color="auto"/>
      </w:divBdr>
    </w:div>
    <w:div w:id="63189676">
      <w:bodyDiv w:val="1"/>
      <w:marLeft w:val="0"/>
      <w:marRight w:val="0"/>
      <w:marTop w:val="0"/>
      <w:marBottom w:val="0"/>
      <w:divBdr>
        <w:top w:val="none" w:sz="0" w:space="0" w:color="auto"/>
        <w:left w:val="none" w:sz="0" w:space="0" w:color="auto"/>
        <w:bottom w:val="none" w:sz="0" w:space="0" w:color="auto"/>
        <w:right w:val="none" w:sz="0" w:space="0" w:color="auto"/>
      </w:divBdr>
    </w:div>
    <w:div w:id="85928954">
      <w:bodyDiv w:val="1"/>
      <w:marLeft w:val="0"/>
      <w:marRight w:val="0"/>
      <w:marTop w:val="0"/>
      <w:marBottom w:val="0"/>
      <w:divBdr>
        <w:top w:val="none" w:sz="0" w:space="0" w:color="auto"/>
        <w:left w:val="none" w:sz="0" w:space="0" w:color="auto"/>
        <w:bottom w:val="none" w:sz="0" w:space="0" w:color="auto"/>
        <w:right w:val="none" w:sz="0" w:space="0" w:color="auto"/>
      </w:divBdr>
    </w:div>
    <w:div w:id="130683579">
      <w:bodyDiv w:val="1"/>
      <w:marLeft w:val="0"/>
      <w:marRight w:val="0"/>
      <w:marTop w:val="0"/>
      <w:marBottom w:val="0"/>
      <w:divBdr>
        <w:top w:val="none" w:sz="0" w:space="0" w:color="auto"/>
        <w:left w:val="none" w:sz="0" w:space="0" w:color="auto"/>
        <w:bottom w:val="none" w:sz="0" w:space="0" w:color="auto"/>
        <w:right w:val="none" w:sz="0" w:space="0" w:color="auto"/>
      </w:divBdr>
    </w:div>
    <w:div w:id="171191587">
      <w:bodyDiv w:val="1"/>
      <w:marLeft w:val="0"/>
      <w:marRight w:val="0"/>
      <w:marTop w:val="0"/>
      <w:marBottom w:val="0"/>
      <w:divBdr>
        <w:top w:val="none" w:sz="0" w:space="0" w:color="auto"/>
        <w:left w:val="none" w:sz="0" w:space="0" w:color="auto"/>
        <w:bottom w:val="none" w:sz="0" w:space="0" w:color="auto"/>
        <w:right w:val="none" w:sz="0" w:space="0" w:color="auto"/>
      </w:divBdr>
    </w:div>
    <w:div w:id="199368002">
      <w:bodyDiv w:val="1"/>
      <w:marLeft w:val="0"/>
      <w:marRight w:val="0"/>
      <w:marTop w:val="0"/>
      <w:marBottom w:val="0"/>
      <w:divBdr>
        <w:top w:val="none" w:sz="0" w:space="0" w:color="auto"/>
        <w:left w:val="none" w:sz="0" w:space="0" w:color="auto"/>
        <w:bottom w:val="none" w:sz="0" w:space="0" w:color="auto"/>
        <w:right w:val="none" w:sz="0" w:space="0" w:color="auto"/>
      </w:divBdr>
    </w:div>
    <w:div w:id="240022270">
      <w:bodyDiv w:val="1"/>
      <w:marLeft w:val="0"/>
      <w:marRight w:val="0"/>
      <w:marTop w:val="0"/>
      <w:marBottom w:val="0"/>
      <w:divBdr>
        <w:top w:val="none" w:sz="0" w:space="0" w:color="auto"/>
        <w:left w:val="none" w:sz="0" w:space="0" w:color="auto"/>
        <w:bottom w:val="none" w:sz="0" w:space="0" w:color="auto"/>
        <w:right w:val="none" w:sz="0" w:space="0" w:color="auto"/>
      </w:divBdr>
    </w:div>
    <w:div w:id="242764442">
      <w:bodyDiv w:val="1"/>
      <w:marLeft w:val="0"/>
      <w:marRight w:val="0"/>
      <w:marTop w:val="0"/>
      <w:marBottom w:val="0"/>
      <w:divBdr>
        <w:top w:val="none" w:sz="0" w:space="0" w:color="auto"/>
        <w:left w:val="none" w:sz="0" w:space="0" w:color="auto"/>
        <w:bottom w:val="none" w:sz="0" w:space="0" w:color="auto"/>
        <w:right w:val="none" w:sz="0" w:space="0" w:color="auto"/>
      </w:divBdr>
    </w:div>
    <w:div w:id="268052613">
      <w:bodyDiv w:val="1"/>
      <w:marLeft w:val="0"/>
      <w:marRight w:val="0"/>
      <w:marTop w:val="0"/>
      <w:marBottom w:val="0"/>
      <w:divBdr>
        <w:top w:val="none" w:sz="0" w:space="0" w:color="auto"/>
        <w:left w:val="none" w:sz="0" w:space="0" w:color="auto"/>
        <w:bottom w:val="none" w:sz="0" w:space="0" w:color="auto"/>
        <w:right w:val="none" w:sz="0" w:space="0" w:color="auto"/>
      </w:divBdr>
    </w:div>
    <w:div w:id="279381435">
      <w:bodyDiv w:val="1"/>
      <w:marLeft w:val="0"/>
      <w:marRight w:val="0"/>
      <w:marTop w:val="0"/>
      <w:marBottom w:val="0"/>
      <w:divBdr>
        <w:top w:val="none" w:sz="0" w:space="0" w:color="auto"/>
        <w:left w:val="none" w:sz="0" w:space="0" w:color="auto"/>
        <w:bottom w:val="none" w:sz="0" w:space="0" w:color="auto"/>
        <w:right w:val="none" w:sz="0" w:space="0" w:color="auto"/>
      </w:divBdr>
    </w:div>
    <w:div w:id="283586305">
      <w:bodyDiv w:val="1"/>
      <w:marLeft w:val="0"/>
      <w:marRight w:val="0"/>
      <w:marTop w:val="0"/>
      <w:marBottom w:val="0"/>
      <w:divBdr>
        <w:top w:val="none" w:sz="0" w:space="0" w:color="auto"/>
        <w:left w:val="none" w:sz="0" w:space="0" w:color="auto"/>
        <w:bottom w:val="none" w:sz="0" w:space="0" w:color="auto"/>
        <w:right w:val="none" w:sz="0" w:space="0" w:color="auto"/>
      </w:divBdr>
    </w:div>
    <w:div w:id="309676036">
      <w:bodyDiv w:val="1"/>
      <w:marLeft w:val="0"/>
      <w:marRight w:val="0"/>
      <w:marTop w:val="0"/>
      <w:marBottom w:val="0"/>
      <w:divBdr>
        <w:top w:val="none" w:sz="0" w:space="0" w:color="auto"/>
        <w:left w:val="none" w:sz="0" w:space="0" w:color="auto"/>
        <w:bottom w:val="none" w:sz="0" w:space="0" w:color="auto"/>
        <w:right w:val="none" w:sz="0" w:space="0" w:color="auto"/>
      </w:divBdr>
    </w:div>
    <w:div w:id="330522507">
      <w:bodyDiv w:val="1"/>
      <w:marLeft w:val="0"/>
      <w:marRight w:val="0"/>
      <w:marTop w:val="0"/>
      <w:marBottom w:val="0"/>
      <w:divBdr>
        <w:top w:val="none" w:sz="0" w:space="0" w:color="auto"/>
        <w:left w:val="none" w:sz="0" w:space="0" w:color="auto"/>
        <w:bottom w:val="none" w:sz="0" w:space="0" w:color="auto"/>
        <w:right w:val="none" w:sz="0" w:space="0" w:color="auto"/>
      </w:divBdr>
    </w:div>
    <w:div w:id="409623790">
      <w:bodyDiv w:val="1"/>
      <w:marLeft w:val="0"/>
      <w:marRight w:val="0"/>
      <w:marTop w:val="0"/>
      <w:marBottom w:val="0"/>
      <w:divBdr>
        <w:top w:val="none" w:sz="0" w:space="0" w:color="auto"/>
        <w:left w:val="none" w:sz="0" w:space="0" w:color="auto"/>
        <w:bottom w:val="none" w:sz="0" w:space="0" w:color="auto"/>
        <w:right w:val="none" w:sz="0" w:space="0" w:color="auto"/>
      </w:divBdr>
    </w:div>
    <w:div w:id="475494580">
      <w:bodyDiv w:val="1"/>
      <w:marLeft w:val="0"/>
      <w:marRight w:val="0"/>
      <w:marTop w:val="0"/>
      <w:marBottom w:val="0"/>
      <w:divBdr>
        <w:top w:val="none" w:sz="0" w:space="0" w:color="auto"/>
        <w:left w:val="none" w:sz="0" w:space="0" w:color="auto"/>
        <w:bottom w:val="none" w:sz="0" w:space="0" w:color="auto"/>
        <w:right w:val="none" w:sz="0" w:space="0" w:color="auto"/>
      </w:divBdr>
    </w:div>
    <w:div w:id="634142341">
      <w:bodyDiv w:val="1"/>
      <w:marLeft w:val="0"/>
      <w:marRight w:val="0"/>
      <w:marTop w:val="0"/>
      <w:marBottom w:val="0"/>
      <w:divBdr>
        <w:top w:val="none" w:sz="0" w:space="0" w:color="auto"/>
        <w:left w:val="none" w:sz="0" w:space="0" w:color="auto"/>
        <w:bottom w:val="none" w:sz="0" w:space="0" w:color="auto"/>
        <w:right w:val="none" w:sz="0" w:space="0" w:color="auto"/>
      </w:divBdr>
    </w:div>
    <w:div w:id="638341725">
      <w:bodyDiv w:val="1"/>
      <w:marLeft w:val="0"/>
      <w:marRight w:val="0"/>
      <w:marTop w:val="0"/>
      <w:marBottom w:val="0"/>
      <w:divBdr>
        <w:top w:val="none" w:sz="0" w:space="0" w:color="auto"/>
        <w:left w:val="none" w:sz="0" w:space="0" w:color="auto"/>
        <w:bottom w:val="none" w:sz="0" w:space="0" w:color="auto"/>
        <w:right w:val="none" w:sz="0" w:space="0" w:color="auto"/>
      </w:divBdr>
    </w:div>
    <w:div w:id="687025241">
      <w:bodyDiv w:val="1"/>
      <w:marLeft w:val="0"/>
      <w:marRight w:val="0"/>
      <w:marTop w:val="0"/>
      <w:marBottom w:val="0"/>
      <w:divBdr>
        <w:top w:val="none" w:sz="0" w:space="0" w:color="auto"/>
        <w:left w:val="none" w:sz="0" w:space="0" w:color="auto"/>
        <w:bottom w:val="none" w:sz="0" w:space="0" w:color="auto"/>
        <w:right w:val="none" w:sz="0" w:space="0" w:color="auto"/>
      </w:divBdr>
    </w:div>
    <w:div w:id="723408819">
      <w:bodyDiv w:val="1"/>
      <w:marLeft w:val="0"/>
      <w:marRight w:val="0"/>
      <w:marTop w:val="0"/>
      <w:marBottom w:val="0"/>
      <w:divBdr>
        <w:top w:val="none" w:sz="0" w:space="0" w:color="auto"/>
        <w:left w:val="none" w:sz="0" w:space="0" w:color="auto"/>
        <w:bottom w:val="none" w:sz="0" w:space="0" w:color="auto"/>
        <w:right w:val="none" w:sz="0" w:space="0" w:color="auto"/>
      </w:divBdr>
    </w:div>
    <w:div w:id="906108387">
      <w:bodyDiv w:val="1"/>
      <w:marLeft w:val="0"/>
      <w:marRight w:val="0"/>
      <w:marTop w:val="0"/>
      <w:marBottom w:val="0"/>
      <w:divBdr>
        <w:top w:val="none" w:sz="0" w:space="0" w:color="auto"/>
        <w:left w:val="none" w:sz="0" w:space="0" w:color="auto"/>
        <w:bottom w:val="none" w:sz="0" w:space="0" w:color="auto"/>
        <w:right w:val="none" w:sz="0" w:space="0" w:color="auto"/>
      </w:divBdr>
    </w:div>
    <w:div w:id="1026565577">
      <w:bodyDiv w:val="1"/>
      <w:marLeft w:val="0"/>
      <w:marRight w:val="0"/>
      <w:marTop w:val="0"/>
      <w:marBottom w:val="0"/>
      <w:divBdr>
        <w:top w:val="none" w:sz="0" w:space="0" w:color="auto"/>
        <w:left w:val="none" w:sz="0" w:space="0" w:color="auto"/>
        <w:bottom w:val="none" w:sz="0" w:space="0" w:color="auto"/>
        <w:right w:val="none" w:sz="0" w:space="0" w:color="auto"/>
      </w:divBdr>
    </w:div>
    <w:div w:id="1111315052">
      <w:bodyDiv w:val="1"/>
      <w:marLeft w:val="0"/>
      <w:marRight w:val="0"/>
      <w:marTop w:val="0"/>
      <w:marBottom w:val="0"/>
      <w:divBdr>
        <w:top w:val="none" w:sz="0" w:space="0" w:color="auto"/>
        <w:left w:val="none" w:sz="0" w:space="0" w:color="auto"/>
        <w:bottom w:val="none" w:sz="0" w:space="0" w:color="auto"/>
        <w:right w:val="none" w:sz="0" w:space="0" w:color="auto"/>
      </w:divBdr>
    </w:div>
    <w:div w:id="1153910796">
      <w:bodyDiv w:val="1"/>
      <w:marLeft w:val="0"/>
      <w:marRight w:val="0"/>
      <w:marTop w:val="0"/>
      <w:marBottom w:val="0"/>
      <w:divBdr>
        <w:top w:val="none" w:sz="0" w:space="0" w:color="auto"/>
        <w:left w:val="none" w:sz="0" w:space="0" w:color="auto"/>
        <w:bottom w:val="none" w:sz="0" w:space="0" w:color="auto"/>
        <w:right w:val="none" w:sz="0" w:space="0" w:color="auto"/>
      </w:divBdr>
    </w:div>
    <w:div w:id="1157920878">
      <w:bodyDiv w:val="1"/>
      <w:marLeft w:val="0"/>
      <w:marRight w:val="0"/>
      <w:marTop w:val="0"/>
      <w:marBottom w:val="0"/>
      <w:divBdr>
        <w:top w:val="none" w:sz="0" w:space="0" w:color="auto"/>
        <w:left w:val="none" w:sz="0" w:space="0" w:color="auto"/>
        <w:bottom w:val="none" w:sz="0" w:space="0" w:color="auto"/>
        <w:right w:val="none" w:sz="0" w:space="0" w:color="auto"/>
      </w:divBdr>
    </w:div>
    <w:div w:id="1177427873">
      <w:bodyDiv w:val="1"/>
      <w:marLeft w:val="0"/>
      <w:marRight w:val="0"/>
      <w:marTop w:val="0"/>
      <w:marBottom w:val="0"/>
      <w:divBdr>
        <w:top w:val="none" w:sz="0" w:space="0" w:color="auto"/>
        <w:left w:val="none" w:sz="0" w:space="0" w:color="auto"/>
        <w:bottom w:val="none" w:sz="0" w:space="0" w:color="auto"/>
        <w:right w:val="none" w:sz="0" w:space="0" w:color="auto"/>
      </w:divBdr>
    </w:div>
    <w:div w:id="1177622403">
      <w:bodyDiv w:val="1"/>
      <w:marLeft w:val="0"/>
      <w:marRight w:val="0"/>
      <w:marTop w:val="0"/>
      <w:marBottom w:val="0"/>
      <w:divBdr>
        <w:top w:val="none" w:sz="0" w:space="0" w:color="auto"/>
        <w:left w:val="none" w:sz="0" w:space="0" w:color="auto"/>
        <w:bottom w:val="none" w:sz="0" w:space="0" w:color="auto"/>
        <w:right w:val="none" w:sz="0" w:space="0" w:color="auto"/>
      </w:divBdr>
    </w:div>
    <w:div w:id="1193349642">
      <w:bodyDiv w:val="1"/>
      <w:marLeft w:val="0"/>
      <w:marRight w:val="0"/>
      <w:marTop w:val="0"/>
      <w:marBottom w:val="0"/>
      <w:divBdr>
        <w:top w:val="none" w:sz="0" w:space="0" w:color="auto"/>
        <w:left w:val="none" w:sz="0" w:space="0" w:color="auto"/>
        <w:bottom w:val="none" w:sz="0" w:space="0" w:color="auto"/>
        <w:right w:val="none" w:sz="0" w:space="0" w:color="auto"/>
      </w:divBdr>
    </w:div>
    <w:div w:id="1258252054">
      <w:bodyDiv w:val="1"/>
      <w:marLeft w:val="0"/>
      <w:marRight w:val="0"/>
      <w:marTop w:val="0"/>
      <w:marBottom w:val="0"/>
      <w:divBdr>
        <w:top w:val="none" w:sz="0" w:space="0" w:color="auto"/>
        <w:left w:val="none" w:sz="0" w:space="0" w:color="auto"/>
        <w:bottom w:val="none" w:sz="0" w:space="0" w:color="auto"/>
        <w:right w:val="none" w:sz="0" w:space="0" w:color="auto"/>
      </w:divBdr>
    </w:div>
    <w:div w:id="1272514119">
      <w:bodyDiv w:val="1"/>
      <w:marLeft w:val="0"/>
      <w:marRight w:val="0"/>
      <w:marTop w:val="0"/>
      <w:marBottom w:val="0"/>
      <w:divBdr>
        <w:top w:val="none" w:sz="0" w:space="0" w:color="auto"/>
        <w:left w:val="none" w:sz="0" w:space="0" w:color="auto"/>
        <w:bottom w:val="none" w:sz="0" w:space="0" w:color="auto"/>
        <w:right w:val="none" w:sz="0" w:space="0" w:color="auto"/>
      </w:divBdr>
    </w:div>
    <w:div w:id="1290210716">
      <w:bodyDiv w:val="1"/>
      <w:marLeft w:val="0"/>
      <w:marRight w:val="0"/>
      <w:marTop w:val="0"/>
      <w:marBottom w:val="0"/>
      <w:divBdr>
        <w:top w:val="none" w:sz="0" w:space="0" w:color="auto"/>
        <w:left w:val="none" w:sz="0" w:space="0" w:color="auto"/>
        <w:bottom w:val="none" w:sz="0" w:space="0" w:color="auto"/>
        <w:right w:val="none" w:sz="0" w:space="0" w:color="auto"/>
      </w:divBdr>
    </w:div>
    <w:div w:id="1350642167">
      <w:bodyDiv w:val="1"/>
      <w:marLeft w:val="0"/>
      <w:marRight w:val="0"/>
      <w:marTop w:val="0"/>
      <w:marBottom w:val="0"/>
      <w:divBdr>
        <w:top w:val="none" w:sz="0" w:space="0" w:color="auto"/>
        <w:left w:val="none" w:sz="0" w:space="0" w:color="auto"/>
        <w:bottom w:val="none" w:sz="0" w:space="0" w:color="auto"/>
        <w:right w:val="none" w:sz="0" w:space="0" w:color="auto"/>
      </w:divBdr>
    </w:div>
    <w:div w:id="1367678258">
      <w:bodyDiv w:val="1"/>
      <w:marLeft w:val="0"/>
      <w:marRight w:val="0"/>
      <w:marTop w:val="0"/>
      <w:marBottom w:val="0"/>
      <w:divBdr>
        <w:top w:val="none" w:sz="0" w:space="0" w:color="auto"/>
        <w:left w:val="none" w:sz="0" w:space="0" w:color="auto"/>
        <w:bottom w:val="none" w:sz="0" w:space="0" w:color="auto"/>
        <w:right w:val="none" w:sz="0" w:space="0" w:color="auto"/>
      </w:divBdr>
    </w:div>
    <w:div w:id="1391273070">
      <w:bodyDiv w:val="1"/>
      <w:marLeft w:val="0"/>
      <w:marRight w:val="0"/>
      <w:marTop w:val="0"/>
      <w:marBottom w:val="0"/>
      <w:divBdr>
        <w:top w:val="none" w:sz="0" w:space="0" w:color="auto"/>
        <w:left w:val="none" w:sz="0" w:space="0" w:color="auto"/>
        <w:bottom w:val="none" w:sz="0" w:space="0" w:color="auto"/>
        <w:right w:val="none" w:sz="0" w:space="0" w:color="auto"/>
      </w:divBdr>
    </w:div>
    <w:div w:id="1429428840">
      <w:bodyDiv w:val="1"/>
      <w:marLeft w:val="0"/>
      <w:marRight w:val="0"/>
      <w:marTop w:val="0"/>
      <w:marBottom w:val="0"/>
      <w:divBdr>
        <w:top w:val="none" w:sz="0" w:space="0" w:color="auto"/>
        <w:left w:val="none" w:sz="0" w:space="0" w:color="auto"/>
        <w:bottom w:val="none" w:sz="0" w:space="0" w:color="auto"/>
        <w:right w:val="none" w:sz="0" w:space="0" w:color="auto"/>
      </w:divBdr>
    </w:div>
    <w:div w:id="1437402847">
      <w:bodyDiv w:val="1"/>
      <w:marLeft w:val="0"/>
      <w:marRight w:val="0"/>
      <w:marTop w:val="0"/>
      <w:marBottom w:val="0"/>
      <w:divBdr>
        <w:top w:val="none" w:sz="0" w:space="0" w:color="auto"/>
        <w:left w:val="none" w:sz="0" w:space="0" w:color="auto"/>
        <w:bottom w:val="none" w:sz="0" w:space="0" w:color="auto"/>
        <w:right w:val="none" w:sz="0" w:space="0" w:color="auto"/>
      </w:divBdr>
    </w:div>
    <w:div w:id="1467383770">
      <w:bodyDiv w:val="1"/>
      <w:marLeft w:val="0"/>
      <w:marRight w:val="0"/>
      <w:marTop w:val="0"/>
      <w:marBottom w:val="0"/>
      <w:divBdr>
        <w:top w:val="none" w:sz="0" w:space="0" w:color="auto"/>
        <w:left w:val="none" w:sz="0" w:space="0" w:color="auto"/>
        <w:bottom w:val="none" w:sz="0" w:space="0" w:color="auto"/>
        <w:right w:val="none" w:sz="0" w:space="0" w:color="auto"/>
      </w:divBdr>
    </w:div>
    <w:div w:id="1470635379">
      <w:bodyDiv w:val="1"/>
      <w:marLeft w:val="0"/>
      <w:marRight w:val="0"/>
      <w:marTop w:val="0"/>
      <w:marBottom w:val="0"/>
      <w:divBdr>
        <w:top w:val="none" w:sz="0" w:space="0" w:color="auto"/>
        <w:left w:val="none" w:sz="0" w:space="0" w:color="auto"/>
        <w:bottom w:val="none" w:sz="0" w:space="0" w:color="auto"/>
        <w:right w:val="none" w:sz="0" w:space="0" w:color="auto"/>
      </w:divBdr>
    </w:div>
    <w:div w:id="1487628609">
      <w:bodyDiv w:val="1"/>
      <w:marLeft w:val="0"/>
      <w:marRight w:val="0"/>
      <w:marTop w:val="0"/>
      <w:marBottom w:val="0"/>
      <w:divBdr>
        <w:top w:val="none" w:sz="0" w:space="0" w:color="auto"/>
        <w:left w:val="none" w:sz="0" w:space="0" w:color="auto"/>
        <w:bottom w:val="none" w:sz="0" w:space="0" w:color="auto"/>
        <w:right w:val="none" w:sz="0" w:space="0" w:color="auto"/>
      </w:divBdr>
    </w:div>
    <w:div w:id="1578436551">
      <w:bodyDiv w:val="1"/>
      <w:marLeft w:val="0"/>
      <w:marRight w:val="0"/>
      <w:marTop w:val="0"/>
      <w:marBottom w:val="0"/>
      <w:divBdr>
        <w:top w:val="none" w:sz="0" w:space="0" w:color="auto"/>
        <w:left w:val="none" w:sz="0" w:space="0" w:color="auto"/>
        <w:bottom w:val="none" w:sz="0" w:space="0" w:color="auto"/>
        <w:right w:val="none" w:sz="0" w:space="0" w:color="auto"/>
      </w:divBdr>
    </w:div>
    <w:div w:id="1604609587">
      <w:bodyDiv w:val="1"/>
      <w:marLeft w:val="0"/>
      <w:marRight w:val="0"/>
      <w:marTop w:val="0"/>
      <w:marBottom w:val="0"/>
      <w:divBdr>
        <w:top w:val="none" w:sz="0" w:space="0" w:color="auto"/>
        <w:left w:val="none" w:sz="0" w:space="0" w:color="auto"/>
        <w:bottom w:val="none" w:sz="0" w:space="0" w:color="auto"/>
        <w:right w:val="none" w:sz="0" w:space="0" w:color="auto"/>
      </w:divBdr>
    </w:div>
    <w:div w:id="1666278503">
      <w:bodyDiv w:val="1"/>
      <w:marLeft w:val="0"/>
      <w:marRight w:val="0"/>
      <w:marTop w:val="0"/>
      <w:marBottom w:val="0"/>
      <w:divBdr>
        <w:top w:val="none" w:sz="0" w:space="0" w:color="auto"/>
        <w:left w:val="none" w:sz="0" w:space="0" w:color="auto"/>
        <w:bottom w:val="none" w:sz="0" w:space="0" w:color="auto"/>
        <w:right w:val="none" w:sz="0" w:space="0" w:color="auto"/>
      </w:divBdr>
    </w:div>
    <w:div w:id="1793668092">
      <w:bodyDiv w:val="1"/>
      <w:marLeft w:val="0"/>
      <w:marRight w:val="0"/>
      <w:marTop w:val="0"/>
      <w:marBottom w:val="0"/>
      <w:divBdr>
        <w:top w:val="none" w:sz="0" w:space="0" w:color="auto"/>
        <w:left w:val="none" w:sz="0" w:space="0" w:color="auto"/>
        <w:bottom w:val="none" w:sz="0" w:space="0" w:color="auto"/>
        <w:right w:val="none" w:sz="0" w:space="0" w:color="auto"/>
      </w:divBdr>
    </w:div>
    <w:div w:id="1801457536">
      <w:bodyDiv w:val="1"/>
      <w:marLeft w:val="0"/>
      <w:marRight w:val="0"/>
      <w:marTop w:val="0"/>
      <w:marBottom w:val="0"/>
      <w:divBdr>
        <w:top w:val="none" w:sz="0" w:space="0" w:color="auto"/>
        <w:left w:val="none" w:sz="0" w:space="0" w:color="auto"/>
        <w:bottom w:val="none" w:sz="0" w:space="0" w:color="auto"/>
        <w:right w:val="none" w:sz="0" w:space="0" w:color="auto"/>
      </w:divBdr>
    </w:div>
    <w:div w:id="1809589343">
      <w:bodyDiv w:val="1"/>
      <w:marLeft w:val="0"/>
      <w:marRight w:val="0"/>
      <w:marTop w:val="0"/>
      <w:marBottom w:val="0"/>
      <w:divBdr>
        <w:top w:val="none" w:sz="0" w:space="0" w:color="auto"/>
        <w:left w:val="none" w:sz="0" w:space="0" w:color="auto"/>
        <w:bottom w:val="none" w:sz="0" w:space="0" w:color="auto"/>
        <w:right w:val="none" w:sz="0" w:space="0" w:color="auto"/>
      </w:divBdr>
    </w:div>
    <w:div w:id="1849637768">
      <w:bodyDiv w:val="1"/>
      <w:marLeft w:val="0"/>
      <w:marRight w:val="0"/>
      <w:marTop w:val="0"/>
      <w:marBottom w:val="0"/>
      <w:divBdr>
        <w:top w:val="none" w:sz="0" w:space="0" w:color="auto"/>
        <w:left w:val="none" w:sz="0" w:space="0" w:color="auto"/>
        <w:bottom w:val="none" w:sz="0" w:space="0" w:color="auto"/>
        <w:right w:val="none" w:sz="0" w:space="0" w:color="auto"/>
      </w:divBdr>
    </w:div>
    <w:div w:id="1850294102">
      <w:bodyDiv w:val="1"/>
      <w:marLeft w:val="0"/>
      <w:marRight w:val="0"/>
      <w:marTop w:val="0"/>
      <w:marBottom w:val="0"/>
      <w:divBdr>
        <w:top w:val="none" w:sz="0" w:space="0" w:color="auto"/>
        <w:left w:val="none" w:sz="0" w:space="0" w:color="auto"/>
        <w:bottom w:val="none" w:sz="0" w:space="0" w:color="auto"/>
        <w:right w:val="none" w:sz="0" w:space="0" w:color="auto"/>
      </w:divBdr>
    </w:div>
    <w:div w:id="1879932352">
      <w:bodyDiv w:val="1"/>
      <w:marLeft w:val="0"/>
      <w:marRight w:val="0"/>
      <w:marTop w:val="0"/>
      <w:marBottom w:val="0"/>
      <w:divBdr>
        <w:top w:val="none" w:sz="0" w:space="0" w:color="auto"/>
        <w:left w:val="none" w:sz="0" w:space="0" w:color="auto"/>
        <w:bottom w:val="none" w:sz="0" w:space="0" w:color="auto"/>
        <w:right w:val="none" w:sz="0" w:space="0" w:color="auto"/>
      </w:divBdr>
    </w:div>
    <w:div w:id="1887377739">
      <w:bodyDiv w:val="1"/>
      <w:marLeft w:val="0"/>
      <w:marRight w:val="0"/>
      <w:marTop w:val="0"/>
      <w:marBottom w:val="0"/>
      <w:divBdr>
        <w:top w:val="none" w:sz="0" w:space="0" w:color="auto"/>
        <w:left w:val="none" w:sz="0" w:space="0" w:color="auto"/>
        <w:bottom w:val="none" w:sz="0" w:space="0" w:color="auto"/>
        <w:right w:val="none" w:sz="0" w:space="0" w:color="auto"/>
      </w:divBdr>
    </w:div>
    <w:div w:id="1887834456">
      <w:bodyDiv w:val="1"/>
      <w:marLeft w:val="0"/>
      <w:marRight w:val="0"/>
      <w:marTop w:val="0"/>
      <w:marBottom w:val="0"/>
      <w:divBdr>
        <w:top w:val="none" w:sz="0" w:space="0" w:color="auto"/>
        <w:left w:val="none" w:sz="0" w:space="0" w:color="auto"/>
        <w:bottom w:val="none" w:sz="0" w:space="0" w:color="auto"/>
        <w:right w:val="none" w:sz="0" w:space="0" w:color="auto"/>
      </w:divBdr>
    </w:div>
    <w:div w:id="1888686361">
      <w:bodyDiv w:val="1"/>
      <w:marLeft w:val="0"/>
      <w:marRight w:val="0"/>
      <w:marTop w:val="0"/>
      <w:marBottom w:val="0"/>
      <w:divBdr>
        <w:top w:val="none" w:sz="0" w:space="0" w:color="auto"/>
        <w:left w:val="none" w:sz="0" w:space="0" w:color="auto"/>
        <w:bottom w:val="none" w:sz="0" w:space="0" w:color="auto"/>
        <w:right w:val="none" w:sz="0" w:space="0" w:color="auto"/>
      </w:divBdr>
    </w:div>
    <w:div w:id="18980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EE68-9613-420B-88FB-EE9B62EB579F}">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Template>
  <TotalTime>52</TotalTime>
  <Pages>18</Pages>
  <Words>7678</Words>
  <Characters>43765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51341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4</cp:revision>
  <cp:lastPrinted>2019-12-16T16:00:00Z</cp:lastPrinted>
  <dcterms:created xsi:type="dcterms:W3CDTF">2025-08-12T06:13:00Z</dcterms:created>
  <dcterms:modified xsi:type="dcterms:W3CDTF">2025-08-12T10:43:00Z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