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E235A" w14:textId="77777777" w:rsidR="00F91C7B" w:rsidRPr="003408E2" w:rsidRDefault="00F91C7B" w:rsidP="001A5518">
      <w:pPr>
        <w:rPr>
          <w:b/>
          <w:bCs/>
          <w:i/>
          <w:iCs/>
          <w:sz w:val="22"/>
          <w:szCs w:val="22"/>
          <w:u w:val="single"/>
          <w:lang w:val="sr-Latn-ME"/>
        </w:rPr>
      </w:pPr>
    </w:p>
    <w:p w14:paraId="41DEFF39" w14:textId="77777777" w:rsidR="002510A5" w:rsidRPr="003408E2" w:rsidRDefault="002510A5" w:rsidP="002510A5">
      <w:pPr>
        <w:jc w:val="center"/>
        <w:rPr>
          <w:b/>
          <w:bCs/>
          <w:iCs/>
          <w:sz w:val="22"/>
          <w:szCs w:val="22"/>
          <w:u w:val="single"/>
          <w:lang w:val="sr-Latn-ME"/>
        </w:rPr>
      </w:pPr>
      <w:r w:rsidRPr="003408E2">
        <w:rPr>
          <w:b/>
          <w:bCs/>
          <w:iCs/>
          <w:sz w:val="22"/>
          <w:szCs w:val="22"/>
          <w:u w:val="single"/>
          <w:lang w:val="sr-Latn-ME"/>
        </w:rPr>
        <w:t>SAŽETAK KARAKTERISTIKA LIJEKA</w:t>
      </w:r>
    </w:p>
    <w:p w14:paraId="22F20B25" w14:textId="77777777" w:rsidR="002510A5" w:rsidRPr="003408E2" w:rsidRDefault="002510A5" w:rsidP="002510A5">
      <w:pPr>
        <w:rPr>
          <w:b/>
          <w:bCs/>
          <w:i/>
          <w:iCs/>
          <w:sz w:val="22"/>
          <w:szCs w:val="22"/>
          <w:u w:val="single"/>
          <w:lang w:val="sr-Latn-ME"/>
        </w:rPr>
      </w:pPr>
    </w:p>
    <w:p w14:paraId="1E9E2DB6" w14:textId="77777777" w:rsidR="00C37FD7" w:rsidRPr="003408E2" w:rsidRDefault="00C37FD7" w:rsidP="00F5167F">
      <w:pPr>
        <w:tabs>
          <w:tab w:val="left" w:pos="540"/>
          <w:tab w:val="left" w:pos="569"/>
        </w:tabs>
        <w:rPr>
          <w:bCs/>
          <w:sz w:val="22"/>
          <w:szCs w:val="22"/>
          <w:lang w:val="sr-Latn-ME"/>
        </w:rPr>
      </w:pPr>
    </w:p>
    <w:p w14:paraId="354C5AC7" w14:textId="77777777" w:rsidR="00411B4B" w:rsidRPr="003408E2" w:rsidRDefault="00411B4B" w:rsidP="00F5167F">
      <w:pPr>
        <w:tabs>
          <w:tab w:val="left" w:pos="540"/>
          <w:tab w:val="left" w:pos="569"/>
        </w:tabs>
        <w:rPr>
          <w:b/>
          <w:bCs/>
          <w:sz w:val="22"/>
          <w:szCs w:val="22"/>
          <w:lang w:val="sr-Latn-ME"/>
        </w:rPr>
      </w:pPr>
      <w:r w:rsidRPr="003408E2">
        <w:rPr>
          <w:b/>
          <w:bCs/>
          <w:sz w:val="22"/>
          <w:szCs w:val="22"/>
          <w:lang w:val="sr-Latn-ME"/>
        </w:rPr>
        <w:t>1.</w:t>
      </w:r>
      <w:r w:rsidR="00F5167F" w:rsidRPr="003408E2">
        <w:rPr>
          <w:b/>
          <w:bCs/>
          <w:sz w:val="22"/>
          <w:szCs w:val="22"/>
          <w:lang w:val="sr-Latn-ME"/>
        </w:rPr>
        <w:tab/>
      </w:r>
      <w:r w:rsidR="002846DB" w:rsidRPr="003408E2">
        <w:rPr>
          <w:b/>
          <w:bCs/>
          <w:sz w:val="22"/>
          <w:szCs w:val="22"/>
          <w:lang w:val="sr-Latn-ME"/>
        </w:rPr>
        <w:t xml:space="preserve">NAZIV </w:t>
      </w:r>
      <w:r w:rsidRPr="003408E2">
        <w:rPr>
          <w:b/>
          <w:bCs/>
          <w:sz w:val="22"/>
          <w:szCs w:val="22"/>
          <w:lang w:val="sr-Latn-ME"/>
        </w:rPr>
        <w:t>LIJEKA</w:t>
      </w:r>
    </w:p>
    <w:p w14:paraId="4D436147" w14:textId="77777777" w:rsidR="00EC2532" w:rsidRPr="003408E2" w:rsidRDefault="00EC2532">
      <w:pPr>
        <w:rPr>
          <w:sz w:val="22"/>
          <w:szCs w:val="22"/>
          <w:lang w:val="sr-Latn-ME"/>
        </w:rPr>
      </w:pPr>
    </w:p>
    <w:p w14:paraId="2CF7CA98" w14:textId="2D42A604" w:rsidR="00107BF7" w:rsidRPr="003408E2" w:rsidRDefault="00B0300F">
      <w:pPr>
        <w:rPr>
          <w:sz w:val="22"/>
          <w:szCs w:val="22"/>
          <w:lang w:val="sr-Latn-ME"/>
        </w:rPr>
      </w:pPr>
      <w:r w:rsidRPr="003408E2">
        <w:rPr>
          <w:sz w:val="22"/>
          <w:szCs w:val="22"/>
          <w:lang w:val="sr-Latn-ME"/>
        </w:rPr>
        <w:t>Aknet, 10</w:t>
      </w:r>
      <w:r w:rsidR="00694AA5" w:rsidRPr="003408E2">
        <w:rPr>
          <w:sz w:val="22"/>
          <w:szCs w:val="22"/>
          <w:lang w:val="sr-Latn-ME"/>
        </w:rPr>
        <w:t xml:space="preserve"> </w:t>
      </w:r>
      <w:r w:rsidRPr="003408E2">
        <w:rPr>
          <w:sz w:val="22"/>
          <w:szCs w:val="22"/>
          <w:lang w:val="sr-Latn-ME"/>
        </w:rPr>
        <w:t>mg/ml, rastvor za kožu</w:t>
      </w:r>
    </w:p>
    <w:p w14:paraId="3923EEFA" w14:textId="77777777" w:rsidR="000D425A" w:rsidRPr="003408E2" w:rsidRDefault="000D425A">
      <w:pPr>
        <w:rPr>
          <w:bCs/>
          <w:sz w:val="22"/>
          <w:szCs w:val="22"/>
          <w:lang w:val="sr-Latn-ME"/>
        </w:rPr>
      </w:pPr>
    </w:p>
    <w:p w14:paraId="3293CAC8" w14:textId="2E28D4CE" w:rsidR="006D20A5" w:rsidRPr="003408E2" w:rsidRDefault="006D20A5" w:rsidP="006D20A5">
      <w:pPr>
        <w:rPr>
          <w:sz w:val="22"/>
          <w:szCs w:val="22"/>
          <w:lang w:val="sr-Latn-ME"/>
        </w:rPr>
      </w:pPr>
      <w:r w:rsidRPr="003408E2">
        <w:rPr>
          <w:sz w:val="22"/>
          <w:szCs w:val="22"/>
          <w:lang w:val="sr-Latn-ME"/>
        </w:rPr>
        <w:t>INN:</w:t>
      </w:r>
      <w:r w:rsidR="00B0300F" w:rsidRPr="003408E2">
        <w:rPr>
          <w:sz w:val="22"/>
          <w:szCs w:val="22"/>
          <w:lang w:val="sr-Latn-ME"/>
        </w:rPr>
        <w:t xml:space="preserve"> klindamicin</w:t>
      </w:r>
    </w:p>
    <w:p w14:paraId="6AD72BF3" w14:textId="77777777" w:rsidR="006D20A5" w:rsidRPr="003408E2" w:rsidRDefault="006D20A5">
      <w:pPr>
        <w:rPr>
          <w:bCs/>
          <w:sz w:val="22"/>
          <w:szCs w:val="22"/>
          <w:lang w:val="sr-Latn-ME"/>
        </w:rPr>
      </w:pPr>
    </w:p>
    <w:p w14:paraId="5BBE0C8D" w14:textId="77777777" w:rsidR="00530BD7" w:rsidRPr="003408E2" w:rsidRDefault="00530BD7">
      <w:pPr>
        <w:rPr>
          <w:bCs/>
          <w:sz w:val="22"/>
          <w:szCs w:val="22"/>
          <w:lang w:val="sr-Latn-ME"/>
        </w:rPr>
      </w:pPr>
    </w:p>
    <w:p w14:paraId="24F4600E" w14:textId="77777777" w:rsidR="00411B4B" w:rsidRPr="003408E2" w:rsidRDefault="00411B4B" w:rsidP="00F5167F">
      <w:pPr>
        <w:tabs>
          <w:tab w:val="left" w:pos="540"/>
          <w:tab w:val="left" w:pos="569"/>
        </w:tabs>
        <w:rPr>
          <w:b/>
          <w:bCs/>
          <w:sz w:val="22"/>
          <w:szCs w:val="22"/>
          <w:lang w:val="sr-Latn-ME"/>
        </w:rPr>
      </w:pPr>
      <w:r w:rsidRPr="003408E2">
        <w:rPr>
          <w:b/>
          <w:bCs/>
          <w:sz w:val="22"/>
          <w:szCs w:val="22"/>
          <w:lang w:val="sr-Latn-ME"/>
        </w:rPr>
        <w:t xml:space="preserve">2. </w:t>
      </w:r>
      <w:r w:rsidR="00F5167F" w:rsidRPr="003408E2">
        <w:rPr>
          <w:b/>
          <w:bCs/>
          <w:sz w:val="22"/>
          <w:szCs w:val="22"/>
          <w:lang w:val="sr-Latn-ME"/>
        </w:rPr>
        <w:tab/>
      </w:r>
      <w:r w:rsidRPr="003408E2">
        <w:rPr>
          <w:b/>
          <w:bCs/>
          <w:sz w:val="22"/>
          <w:szCs w:val="22"/>
          <w:lang w:val="sr-Latn-ME"/>
        </w:rPr>
        <w:t>KVALITATIVNI I KVANTITATIVNI SASTAV</w:t>
      </w:r>
    </w:p>
    <w:p w14:paraId="4E15C2F7" w14:textId="77777777" w:rsidR="005A0B2E" w:rsidRPr="003408E2" w:rsidRDefault="005A0B2E">
      <w:pPr>
        <w:rPr>
          <w:sz w:val="22"/>
          <w:szCs w:val="22"/>
          <w:lang w:val="sr-Latn-ME"/>
        </w:rPr>
      </w:pPr>
    </w:p>
    <w:p w14:paraId="76270AA6" w14:textId="77777777" w:rsidR="00B0300F" w:rsidRPr="003408E2" w:rsidRDefault="00B0300F" w:rsidP="00B0300F">
      <w:pPr>
        <w:jc w:val="both"/>
        <w:rPr>
          <w:sz w:val="22"/>
          <w:szCs w:val="22"/>
          <w:lang w:val="sr-Latn-ME"/>
        </w:rPr>
      </w:pPr>
      <w:r w:rsidRPr="003408E2">
        <w:rPr>
          <w:sz w:val="22"/>
          <w:szCs w:val="22"/>
          <w:lang w:val="sr-Latn-ME"/>
        </w:rPr>
        <w:t>1 ml rastvora sadrži 10 mg klindamicina u obliku klindamicin hidrohlorida.</w:t>
      </w:r>
    </w:p>
    <w:p w14:paraId="52D074A5" w14:textId="77777777" w:rsidR="00B0300F" w:rsidRPr="003408E2" w:rsidRDefault="00B0300F" w:rsidP="00B0300F">
      <w:pPr>
        <w:jc w:val="both"/>
        <w:rPr>
          <w:sz w:val="22"/>
          <w:szCs w:val="22"/>
          <w:lang w:val="sr-Latn-ME"/>
        </w:rPr>
      </w:pPr>
    </w:p>
    <w:p w14:paraId="2217BEFA" w14:textId="77777777" w:rsidR="00B0300F" w:rsidRPr="003408E2" w:rsidRDefault="00B0300F" w:rsidP="00B0300F">
      <w:pPr>
        <w:jc w:val="both"/>
        <w:rPr>
          <w:sz w:val="22"/>
          <w:szCs w:val="22"/>
          <w:lang w:val="sr-Latn-ME"/>
        </w:rPr>
      </w:pPr>
      <w:r w:rsidRPr="003408E2">
        <w:rPr>
          <w:sz w:val="22"/>
          <w:szCs w:val="22"/>
          <w:lang w:val="sr-Latn-ME"/>
        </w:rPr>
        <w:t>Pomoćna supstanca sa potvrđenim dejstvom: 1 ml rastvora sadrži 86,9 mg propilen glikola.</w:t>
      </w:r>
    </w:p>
    <w:p w14:paraId="3290C01E" w14:textId="77777777" w:rsidR="00B0300F" w:rsidRPr="003408E2" w:rsidRDefault="00B0300F">
      <w:pPr>
        <w:rPr>
          <w:sz w:val="22"/>
          <w:szCs w:val="22"/>
          <w:lang w:val="sr-Latn-ME"/>
        </w:rPr>
      </w:pPr>
    </w:p>
    <w:p w14:paraId="33E55B51" w14:textId="6E7C5333" w:rsidR="0003793F" w:rsidRPr="003408E2" w:rsidRDefault="0003793F">
      <w:pPr>
        <w:rPr>
          <w:sz w:val="22"/>
          <w:szCs w:val="22"/>
          <w:lang w:val="sr-Latn-ME"/>
        </w:rPr>
      </w:pPr>
      <w:r w:rsidRPr="003408E2">
        <w:rPr>
          <w:sz w:val="22"/>
          <w:szCs w:val="22"/>
          <w:lang w:val="sr-Latn-ME"/>
        </w:rPr>
        <w:t>Za spisak svih ekscipijenasa, pogledati dio 6.1.</w:t>
      </w:r>
    </w:p>
    <w:p w14:paraId="00ED0740" w14:textId="77777777" w:rsidR="0003793F" w:rsidRPr="003408E2" w:rsidRDefault="0003793F">
      <w:pPr>
        <w:rPr>
          <w:sz w:val="22"/>
          <w:szCs w:val="22"/>
          <w:lang w:val="sr-Latn-ME"/>
        </w:rPr>
      </w:pPr>
    </w:p>
    <w:p w14:paraId="203BC70B" w14:textId="77777777" w:rsidR="00C37FD7" w:rsidRPr="003408E2" w:rsidRDefault="00C37FD7">
      <w:pPr>
        <w:rPr>
          <w:sz w:val="22"/>
          <w:szCs w:val="22"/>
          <w:lang w:val="sr-Latn-ME"/>
        </w:rPr>
      </w:pPr>
    </w:p>
    <w:p w14:paraId="304FAB98" w14:textId="77777777" w:rsidR="00411B4B" w:rsidRPr="003408E2" w:rsidRDefault="00411B4B" w:rsidP="00F5167F">
      <w:pPr>
        <w:tabs>
          <w:tab w:val="left" w:pos="540"/>
          <w:tab w:val="left" w:pos="569"/>
        </w:tabs>
        <w:rPr>
          <w:b/>
          <w:bCs/>
          <w:sz w:val="22"/>
          <w:szCs w:val="22"/>
          <w:lang w:val="sr-Latn-ME"/>
        </w:rPr>
      </w:pPr>
      <w:r w:rsidRPr="003408E2">
        <w:rPr>
          <w:b/>
          <w:bCs/>
          <w:sz w:val="22"/>
          <w:szCs w:val="22"/>
          <w:lang w:val="sr-Latn-ME"/>
        </w:rPr>
        <w:t xml:space="preserve">3. </w:t>
      </w:r>
      <w:r w:rsidR="00F5167F" w:rsidRPr="003408E2">
        <w:rPr>
          <w:b/>
          <w:bCs/>
          <w:sz w:val="22"/>
          <w:szCs w:val="22"/>
          <w:lang w:val="sr-Latn-ME"/>
        </w:rPr>
        <w:tab/>
      </w:r>
      <w:r w:rsidRPr="003408E2">
        <w:rPr>
          <w:b/>
          <w:bCs/>
          <w:sz w:val="22"/>
          <w:szCs w:val="22"/>
          <w:lang w:val="sr-Latn-ME"/>
        </w:rPr>
        <w:t>FARMACEUTSKI OBLIK</w:t>
      </w:r>
      <w:r w:rsidR="009F2D23" w:rsidRPr="003408E2">
        <w:rPr>
          <w:b/>
          <w:bCs/>
          <w:sz w:val="22"/>
          <w:szCs w:val="22"/>
          <w:lang w:val="sr-Latn-ME"/>
        </w:rPr>
        <w:t xml:space="preserve"> </w:t>
      </w:r>
    </w:p>
    <w:p w14:paraId="5D247473" w14:textId="77777777" w:rsidR="00B0300F" w:rsidRPr="003408E2" w:rsidRDefault="00B0300F" w:rsidP="00F5167F">
      <w:pPr>
        <w:tabs>
          <w:tab w:val="left" w:pos="540"/>
          <w:tab w:val="left" w:pos="569"/>
        </w:tabs>
        <w:rPr>
          <w:b/>
          <w:bCs/>
          <w:sz w:val="22"/>
          <w:szCs w:val="22"/>
          <w:lang w:val="sr-Latn-ME"/>
        </w:rPr>
      </w:pPr>
    </w:p>
    <w:p w14:paraId="5F211BE4" w14:textId="77777777" w:rsidR="00B0300F" w:rsidRPr="003408E2" w:rsidRDefault="00B0300F" w:rsidP="00B0300F">
      <w:pPr>
        <w:jc w:val="both"/>
        <w:rPr>
          <w:bCs/>
          <w:sz w:val="22"/>
          <w:szCs w:val="22"/>
          <w:lang w:val="sr-Latn-ME"/>
        </w:rPr>
      </w:pPr>
      <w:r w:rsidRPr="003408E2">
        <w:rPr>
          <w:bCs/>
          <w:sz w:val="22"/>
          <w:szCs w:val="22"/>
          <w:lang w:val="sr-Latn-ME"/>
        </w:rPr>
        <w:t>Rastvor za kožu.</w:t>
      </w:r>
    </w:p>
    <w:p w14:paraId="1437DAF0" w14:textId="77777777" w:rsidR="00B0300F" w:rsidRPr="003408E2" w:rsidRDefault="00B0300F" w:rsidP="00B0300F">
      <w:pPr>
        <w:jc w:val="both"/>
        <w:rPr>
          <w:bCs/>
          <w:sz w:val="22"/>
          <w:szCs w:val="22"/>
          <w:lang w:val="sr-Latn-ME"/>
        </w:rPr>
      </w:pPr>
    </w:p>
    <w:p w14:paraId="3DD6EC40" w14:textId="3583B4CF" w:rsidR="00B0300F" w:rsidRPr="003408E2" w:rsidRDefault="00B0300F" w:rsidP="00B0300F">
      <w:pPr>
        <w:jc w:val="both"/>
        <w:rPr>
          <w:bCs/>
          <w:sz w:val="22"/>
          <w:szCs w:val="22"/>
          <w:lang w:val="sr-Latn-ME"/>
        </w:rPr>
      </w:pPr>
      <w:r w:rsidRPr="003408E2">
        <w:rPr>
          <w:bCs/>
          <w:sz w:val="22"/>
          <w:szCs w:val="22"/>
          <w:lang w:val="sr-Latn-ME"/>
        </w:rPr>
        <w:t>Bistar, bezbojan rastvor.</w:t>
      </w:r>
    </w:p>
    <w:p w14:paraId="7B76A6D7" w14:textId="77777777" w:rsidR="00411B4B" w:rsidRPr="003408E2" w:rsidRDefault="00411B4B">
      <w:pPr>
        <w:rPr>
          <w:bCs/>
          <w:sz w:val="22"/>
          <w:szCs w:val="22"/>
          <w:lang w:val="sr-Latn-ME"/>
        </w:rPr>
      </w:pPr>
    </w:p>
    <w:p w14:paraId="11EB8CA4" w14:textId="77777777" w:rsidR="00EC2532" w:rsidRPr="003408E2" w:rsidRDefault="00EC2532">
      <w:pPr>
        <w:rPr>
          <w:bCs/>
          <w:sz w:val="22"/>
          <w:szCs w:val="22"/>
          <w:lang w:val="sr-Latn-ME"/>
        </w:rPr>
      </w:pPr>
    </w:p>
    <w:p w14:paraId="147F3B7C" w14:textId="77777777" w:rsidR="00411B4B" w:rsidRPr="003408E2" w:rsidRDefault="00411B4B" w:rsidP="00F5167F">
      <w:pPr>
        <w:tabs>
          <w:tab w:val="left" w:pos="540"/>
          <w:tab w:val="left" w:pos="569"/>
        </w:tabs>
        <w:rPr>
          <w:b/>
          <w:bCs/>
          <w:sz w:val="22"/>
          <w:szCs w:val="22"/>
          <w:lang w:val="sr-Latn-ME"/>
        </w:rPr>
      </w:pPr>
      <w:r w:rsidRPr="003408E2">
        <w:rPr>
          <w:b/>
          <w:bCs/>
          <w:sz w:val="22"/>
          <w:szCs w:val="22"/>
          <w:lang w:val="sr-Latn-ME"/>
        </w:rPr>
        <w:t xml:space="preserve">4. </w:t>
      </w:r>
      <w:r w:rsidR="00480FB1" w:rsidRPr="003408E2">
        <w:rPr>
          <w:b/>
          <w:bCs/>
          <w:sz w:val="22"/>
          <w:szCs w:val="22"/>
          <w:lang w:val="sr-Latn-ME"/>
        </w:rPr>
        <w:tab/>
      </w:r>
      <w:r w:rsidRPr="003408E2">
        <w:rPr>
          <w:b/>
          <w:bCs/>
          <w:sz w:val="22"/>
          <w:szCs w:val="22"/>
          <w:lang w:val="sr-Latn-ME"/>
        </w:rPr>
        <w:t>KLINIČKI PODACI</w:t>
      </w:r>
    </w:p>
    <w:p w14:paraId="7019B798" w14:textId="77777777" w:rsidR="00CD6F02" w:rsidRPr="003408E2" w:rsidRDefault="00CD6F02" w:rsidP="00480FB1">
      <w:pPr>
        <w:tabs>
          <w:tab w:val="left" w:pos="540"/>
          <w:tab w:val="left" w:pos="569"/>
        </w:tabs>
        <w:rPr>
          <w:bCs/>
          <w:sz w:val="22"/>
          <w:szCs w:val="22"/>
          <w:lang w:val="sr-Latn-ME"/>
        </w:rPr>
      </w:pPr>
    </w:p>
    <w:p w14:paraId="25A54139" w14:textId="77777777" w:rsidR="00411B4B" w:rsidRPr="003408E2" w:rsidRDefault="00411B4B" w:rsidP="00480FB1">
      <w:pPr>
        <w:tabs>
          <w:tab w:val="left" w:pos="540"/>
          <w:tab w:val="left" w:pos="569"/>
        </w:tabs>
        <w:rPr>
          <w:b/>
          <w:bCs/>
          <w:sz w:val="22"/>
          <w:szCs w:val="22"/>
          <w:lang w:val="sr-Latn-ME"/>
        </w:rPr>
      </w:pPr>
      <w:r w:rsidRPr="003408E2">
        <w:rPr>
          <w:b/>
          <w:bCs/>
          <w:sz w:val="22"/>
          <w:szCs w:val="22"/>
          <w:lang w:val="sr-Latn-ME"/>
        </w:rPr>
        <w:t xml:space="preserve">4.1. </w:t>
      </w:r>
      <w:r w:rsidR="00480FB1" w:rsidRPr="003408E2">
        <w:rPr>
          <w:b/>
          <w:bCs/>
          <w:sz w:val="22"/>
          <w:szCs w:val="22"/>
          <w:lang w:val="sr-Latn-ME"/>
        </w:rPr>
        <w:tab/>
      </w:r>
      <w:r w:rsidRPr="003408E2">
        <w:rPr>
          <w:b/>
          <w:bCs/>
          <w:sz w:val="22"/>
          <w:szCs w:val="22"/>
          <w:lang w:val="sr-Latn-ME"/>
        </w:rPr>
        <w:t>Terapijske indikacije</w:t>
      </w:r>
    </w:p>
    <w:p w14:paraId="05A0DAFC" w14:textId="77777777" w:rsidR="00B0300F" w:rsidRPr="003408E2" w:rsidRDefault="00B0300F" w:rsidP="00480FB1">
      <w:pPr>
        <w:tabs>
          <w:tab w:val="left" w:pos="540"/>
          <w:tab w:val="left" w:pos="569"/>
        </w:tabs>
        <w:rPr>
          <w:b/>
          <w:bCs/>
          <w:sz w:val="22"/>
          <w:szCs w:val="22"/>
          <w:lang w:val="sr-Latn-ME"/>
        </w:rPr>
      </w:pPr>
    </w:p>
    <w:p w14:paraId="4D249306" w14:textId="78F92CF8" w:rsidR="00B0300F" w:rsidRPr="003408E2" w:rsidRDefault="00B0300F" w:rsidP="00B0300F">
      <w:pPr>
        <w:tabs>
          <w:tab w:val="left" w:pos="540"/>
          <w:tab w:val="left" w:pos="569"/>
        </w:tabs>
        <w:jc w:val="both"/>
        <w:rPr>
          <w:bCs/>
          <w:sz w:val="22"/>
          <w:szCs w:val="22"/>
          <w:lang w:val="sr-Latn-ME"/>
        </w:rPr>
      </w:pPr>
      <w:r w:rsidRPr="003408E2">
        <w:rPr>
          <w:bCs/>
          <w:sz w:val="22"/>
          <w:szCs w:val="22"/>
          <w:lang w:val="sr-Latn-ME"/>
        </w:rPr>
        <w:t xml:space="preserve">Lijek Aknet, 10 mg/ml, rastvor za kožu koristi se u terapiji </w:t>
      </w:r>
      <w:r w:rsidRPr="003408E2">
        <w:rPr>
          <w:bCs/>
          <w:i/>
          <w:iCs/>
          <w:sz w:val="22"/>
          <w:szCs w:val="22"/>
          <w:lang w:val="sr-Latn-ME"/>
        </w:rPr>
        <w:t>Acne vulgaris</w:t>
      </w:r>
      <w:r w:rsidRPr="003408E2">
        <w:rPr>
          <w:bCs/>
          <w:sz w:val="22"/>
          <w:szCs w:val="22"/>
          <w:lang w:val="sr-Latn-ME"/>
        </w:rPr>
        <w:t>.</w:t>
      </w:r>
    </w:p>
    <w:p w14:paraId="4FC3FD0D" w14:textId="77777777" w:rsidR="00411B4B" w:rsidRPr="003408E2" w:rsidRDefault="00411B4B" w:rsidP="00480FB1">
      <w:pPr>
        <w:tabs>
          <w:tab w:val="left" w:pos="540"/>
          <w:tab w:val="left" w:pos="569"/>
        </w:tabs>
        <w:rPr>
          <w:bCs/>
          <w:sz w:val="22"/>
          <w:szCs w:val="22"/>
          <w:lang w:val="sr-Latn-ME"/>
        </w:rPr>
      </w:pPr>
    </w:p>
    <w:p w14:paraId="2CCFB14B" w14:textId="77777777" w:rsidR="00411B4B" w:rsidRPr="003408E2" w:rsidRDefault="00411B4B" w:rsidP="00480FB1">
      <w:pPr>
        <w:tabs>
          <w:tab w:val="left" w:pos="540"/>
          <w:tab w:val="left" w:pos="569"/>
        </w:tabs>
        <w:rPr>
          <w:b/>
          <w:bCs/>
          <w:sz w:val="22"/>
          <w:szCs w:val="22"/>
          <w:lang w:val="sr-Latn-ME"/>
        </w:rPr>
      </w:pPr>
      <w:r w:rsidRPr="003408E2">
        <w:rPr>
          <w:b/>
          <w:bCs/>
          <w:sz w:val="22"/>
          <w:szCs w:val="22"/>
          <w:lang w:val="sr-Latn-ME"/>
        </w:rPr>
        <w:t xml:space="preserve">4.2. </w:t>
      </w:r>
      <w:r w:rsidR="00480FB1" w:rsidRPr="003408E2">
        <w:rPr>
          <w:b/>
          <w:bCs/>
          <w:sz w:val="22"/>
          <w:szCs w:val="22"/>
          <w:lang w:val="sr-Latn-ME"/>
        </w:rPr>
        <w:tab/>
      </w:r>
      <w:r w:rsidRPr="003408E2">
        <w:rPr>
          <w:b/>
          <w:bCs/>
          <w:sz w:val="22"/>
          <w:szCs w:val="22"/>
          <w:lang w:val="sr-Latn-ME"/>
        </w:rPr>
        <w:t>Doziranje i način primjene</w:t>
      </w:r>
    </w:p>
    <w:p w14:paraId="36D14E5B" w14:textId="77777777" w:rsidR="0072020E" w:rsidRPr="003408E2" w:rsidRDefault="0072020E" w:rsidP="00480FB1">
      <w:pPr>
        <w:tabs>
          <w:tab w:val="left" w:pos="540"/>
          <w:tab w:val="left" w:pos="569"/>
        </w:tabs>
        <w:rPr>
          <w:bCs/>
          <w:sz w:val="22"/>
          <w:szCs w:val="22"/>
          <w:lang w:val="sr-Latn-ME"/>
        </w:rPr>
      </w:pPr>
    </w:p>
    <w:p w14:paraId="16B7D72C" w14:textId="77777777" w:rsidR="00452E9D" w:rsidRPr="003408E2" w:rsidRDefault="00452E9D" w:rsidP="00480FB1">
      <w:pPr>
        <w:tabs>
          <w:tab w:val="left" w:pos="540"/>
          <w:tab w:val="left" w:pos="569"/>
        </w:tabs>
        <w:rPr>
          <w:bCs/>
          <w:sz w:val="22"/>
          <w:szCs w:val="22"/>
          <w:u w:val="single"/>
          <w:lang w:val="sr-Latn-ME"/>
        </w:rPr>
      </w:pPr>
      <w:r w:rsidRPr="003408E2">
        <w:rPr>
          <w:bCs/>
          <w:sz w:val="22"/>
          <w:szCs w:val="22"/>
          <w:u w:val="single"/>
          <w:lang w:val="sr-Latn-ME"/>
        </w:rPr>
        <w:t>Doziranje</w:t>
      </w:r>
    </w:p>
    <w:p w14:paraId="4635D0A9" w14:textId="77777777" w:rsidR="00B0300F" w:rsidRPr="003408E2" w:rsidRDefault="00B0300F" w:rsidP="00480FB1">
      <w:pPr>
        <w:tabs>
          <w:tab w:val="left" w:pos="540"/>
          <w:tab w:val="left" w:pos="569"/>
        </w:tabs>
        <w:rPr>
          <w:bCs/>
          <w:sz w:val="22"/>
          <w:szCs w:val="22"/>
          <w:u w:val="single"/>
          <w:lang w:val="sr-Latn-ME"/>
        </w:rPr>
      </w:pPr>
    </w:p>
    <w:p w14:paraId="6042ED1B" w14:textId="77777777" w:rsidR="00B0300F" w:rsidRPr="003408E2" w:rsidRDefault="00B0300F" w:rsidP="00B0300F">
      <w:pPr>
        <w:tabs>
          <w:tab w:val="left" w:pos="540"/>
          <w:tab w:val="left" w:pos="569"/>
        </w:tabs>
        <w:jc w:val="both"/>
        <w:rPr>
          <w:bCs/>
          <w:sz w:val="22"/>
          <w:szCs w:val="22"/>
          <w:lang w:val="sr-Latn-ME"/>
        </w:rPr>
      </w:pPr>
      <w:r w:rsidRPr="003408E2">
        <w:rPr>
          <w:bCs/>
          <w:sz w:val="22"/>
          <w:szCs w:val="22"/>
          <w:lang w:val="sr-Latn-ME"/>
        </w:rPr>
        <w:t>Dva puta dnevno nanijeti tanak sloj rastvora na zahvaćena područja, nakon temeljnog čišćenja.</w:t>
      </w:r>
    </w:p>
    <w:p w14:paraId="25C66BDB" w14:textId="77777777" w:rsidR="00452E9D" w:rsidRPr="003408E2" w:rsidRDefault="00452E9D" w:rsidP="00480FB1">
      <w:pPr>
        <w:tabs>
          <w:tab w:val="left" w:pos="540"/>
          <w:tab w:val="left" w:pos="569"/>
        </w:tabs>
        <w:rPr>
          <w:bCs/>
          <w:sz w:val="22"/>
          <w:szCs w:val="22"/>
          <w:u w:val="single"/>
          <w:lang w:val="sr-Latn-ME"/>
        </w:rPr>
      </w:pPr>
    </w:p>
    <w:p w14:paraId="4824853A" w14:textId="77777777" w:rsidR="00452E9D" w:rsidRPr="003408E2" w:rsidRDefault="00452E9D" w:rsidP="00480FB1">
      <w:pPr>
        <w:tabs>
          <w:tab w:val="left" w:pos="540"/>
          <w:tab w:val="left" w:pos="569"/>
        </w:tabs>
        <w:rPr>
          <w:bCs/>
          <w:sz w:val="22"/>
          <w:szCs w:val="22"/>
          <w:u w:val="single"/>
          <w:lang w:val="sr-Latn-ME"/>
        </w:rPr>
      </w:pPr>
      <w:r w:rsidRPr="003408E2">
        <w:rPr>
          <w:bCs/>
          <w:sz w:val="22"/>
          <w:szCs w:val="22"/>
          <w:u w:val="single"/>
          <w:lang w:val="sr-Latn-ME"/>
        </w:rPr>
        <w:t>Način primjene</w:t>
      </w:r>
    </w:p>
    <w:p w14:paraId="73105C01" w14:textId="77777777" w:rsidR="00B0300F" w:rsidRPr="003408E2" w:rsidRDefault="00B0300F" w:rsidP="00480FB1">
      <w:pPr>
        <w:tabs>
          <w:tab w:val="left" w:pos="540"/>
          <w:tab w:val="left" w:pos="569"/>
        </w:tabs>
        <w:rPr>
          <w:bCs/>
          <w:sz w:val="22"/>
          <w:szCs w:val="22"/>
          <w:u w:val="single"/>
          <w:lang w:val="sr-Latn-ME"/>
        </w:rPr>
      </w:pPr>
    </w:p>
    <w:p w14:paraId="25904A1F" w14:textId="77777777" w:rsidR="00B0300F" w:rsidRPr="003408E2" w:rsidRDefault="00B0300F" w:rsidP="00B0300F">
      <w:pPr>
        <w:tabs>
          <w:tab w:val="left" w:pos="540"/>
          <w:tab w:val="left" w:pos="569"/>
        </w:tabs>
        <w:jc w:val="both"/>
        <w:rPr>
          <w:bCs/>
          <w:sz w:val="22"/>
          <w:szCs w:val="22"/>
          <w:lang w:val="sr-Latn-ME"/>
        </w:rPr>
      </w:pPr>
      <w:r w:rsidRPr="003408E2">
        <w:rPr>
          <w:bCs/>
          <w:sz w:val="22"/>
          <w:szCs w:val="22"/>
          <w:lang w:val="sr-Latn-ME"/>
        </w:rPr>
        <w:t xml:space="preserve">Topikalna primjena. </w:t>
      </w:r>
    </w:p>
    <w:p w14:paraId="3C17E5A7" w14:textId="77777777" w:rsidR="00452E9D" w:rsidRPr="003408E2" w:rsidRDefault="00452E9D" w:rsidP="00480FB1">
      <w:pPr>
        <w:tabs>
          <w:tab w:val="left" w:pos="540"/>
          <w:tab w:val="left" w:pos="569"/>
        </w:tabs>
        <w:rPr>
          <w:bCs/>
          <w:sz w:val="22"/>
          <w:szCs w:val="22"/>
          <w:lang w:val="sr-Latn-ME"/>
        </w:rPr>
      </w:pPr>
    </w:p>
    <w:p w14:paraId="7BD1FA80" w14:textId="77777777" w:rsidR="00411B4B" w:rsidRPr="003408E2" w:rsidRDefault="00411B4B" w:rsidP="00480FB1">
      <w:pPr>
        <w:tabs>
          <w:tab w:val="left" w:pos="540"/>
          <w:tab w:val="left" w:pos="569"/>
        </w:tabs>
        <w:rPr>
          <w:b/>
          <w:bCs/>
          <w:sz w:val="22"/>
          <w:szCs w:val="22"/>
          <w:lang w:val="sr-Latn-ME"/>
        </w:rPr>
      </w:pPr>
      <w:r w:rsidRPr="003408E2">
        <w:rPr>
          <w:b/>
          <w:bCs/>
          <w:sz w:val="22"/>
          <w:szCs w:val="22"/>
          <w:lang w:val="sr-Latn-ME"/>
        </w:rPr>
        <w:t xml:space="preserve">4.3. </w:t>
      </w:r>
      <w:r w:rsidR="00480FB1" w:rsidRPr="003408E2">
        <w:rPr>
          <w:b/>
          <w:bCs/>
          <w:sz w:val="22"/>
          <w:szCs w:val="22"/>
          <w:lang w:val="sr-Latn-ME"/>
        </w:rPr>
        <w:tab/>
      </w:r>
      <w:r w:rsidRPr="003408E2">
        <w:rPr>
          <w:b/>
          <w:bCs/>
          <w:sz w:val="22"/>
          <w:szCs w:val="22"/>
          <w:lang w:val="sr-Latn-ME"/>
        </w:rPr>
        <w:t>Kontraindikacije</w:t>
      </w:r>
    </w:p>
    <w:p w14:paraId="4C1723A9" w14:textId="77777777" w:rsidR="00B0300F" w:rsidRPr="003408E2" w:rsidRDefault="00B0300F" w:rsidP="00480FB1">
      <w:pPr>
        <w:tabs>
          <w:tab w:val="left" w:pos="540"/>
          <w:tab w:val="left" w:pos="569"/>
        </w:tabs>
        <w:rPr>
          <w:b/>
          <w:bCs/>
          <w:sz w:val="22"/>
          <w:szCs w:val="22"/>
          <w:lang w:val="sr-Latn-ME"/>
        </w:rPr>
      </w:pPr>
    </w:p>
    <w:p w14:paraId="67AA7BAC" w14:textId="77777777" w:rsidR="00B0300F" w:rsidRPr="003408E2" w:rsidRDefault="00B0300F" w:rsidP="00B0300F">
      <w:pPr>
        <w:tabs>
          <w:tab w:val="left" w:pos="540"/>
          <w:tab w:val="left" w:pos="569"/>
        </w:tabs>
        <w:jc w:val="both"/>
        <w:rPr>
          <w:bCs/>
          <w:sz w:val="22"/>
          <w:szCs w:val="22"/>
          <w:lang w:val="sr-Latn-ME"/>
        </w:rPr>
      </w:pPr>
      <w:r w:rsidRPr="003408E2">
        <w:rPr>
          <w:bCs/>
          <w:sz w:val="22"/>
          <w:szCs w:val="22"/>
          <w:lang w:val="sr-Latn-ME"/>
        </w:rPr>
        <w:t>Primjena je kontraindikovana kod pacijenata sa poznatom preosjetljivošću na klindamicin, linkomicin ili na bilo koju drugu pomoćnu supstancu lijeka navedenu u dijelu 6.1. Lijek je takođe kontraindikovan kod osoba sa anamnestičkim podacima o inflamatornoj bolesti crijeva ili kolitisom povezanim sa primjenom antibiotika.</w:t>
      </w:r>
    </w:p>
    <w:p w14:paraId="1257602F" w14:textId="77777777" w:rsidR="00B0300F" w:rsidRPr="003408E2" w:rsidRDefault="00B0300F" w:rsidP="00B0300F">
      <w:pPr>
        <w:tabs>
          <w:tab w:val="left" w:pos="540"/>
          <w:tab w:val="left" w:pos="569"/>
        </w:tabs>
        <w:jc w:val="both"/>
        <w:rPr>
          <w:bCs/>
          <w:sz w:val="22"/>
          <w:szCs w:val="22"/>
          <w:lang w:val="sr-Latn-ME"/>
        </w:rPr>
      </w:pPr>
    </w:p>
    <w:p w14:paraId="137E19A5" w14:textId="704D98D6" w:rsidR="00B0300F" w:rsidRPr="003408E2" w:rsidRDefault="00B0300F" w:rsidP="00B0300F">
      <w:pPr>
        <w:tabs>
          <w:tab w:val="left" w:pos="540"/>
          <w:tab w:val="left" w:pos="569"/>
        </w:tabs>
        <w:jc w:val="both"/>
        <w:rPr>
          <w:bCs/>
          <w:sz w:val="22"/>
          <w:szCs w:val="22"/>
          <w:lang w:val="sr-Latn-ME"/>
        </w:rPr>
      </w:pPr>
      <w:r w:rsidRPr="003408E2">
        <w:rPr>
          <w:bCs/>
          <w:sz w:val="22"/>
          <w:szCs w:val="22"/>
          <w:lang w:val="sr-Latn-ME"/>
        </w:rPr>
        <w:t>Lijek Aknet ne treba koristiti kod pacijenata sa sistemskim infekcijama, za koje se primjenjuju antimikrobni ljekovi.</w:t>
      </w:r>
    </w:p>
    <w:p w14:paraId="4184019A" w14:textId="77777777" w:rsidR="0072020E" w:rsidRPr="003408E2" w:rsidRDefault="0072020E" w:rsidP="00480FB1">
      <w:pPr>
        <w:tabs>
          <w:tab w:val="left" w:pos="540"/>
          <w:tab w:val="left" w:pos="569"/>
        </w:tabs>
        <w:rPr>
          <w:bCs/>
          <w:sz w:val="22"/>
          <w:szCs w:val="22"/>
          <w:lang w:val="sr-Latn-ME"/>
        </w:rPr>
      </w:pPr>
    </w:p>
    <w:p w14:paraId="003E4997" w14:textId="77777777" w:rsidR="00411B4B" w:rsidRPr="003408E2" w:rsidRDefault="00411B4B" w:rsidP="00480FB1">
      <w:pPr>
        <w:tabs>
          <w:tab w:val="left" w:pos="540"/>
          <w:tab w:val="left" w:pos="569"/>
        </w:tabs>
        <w:rPr>
          <w:b/>
          <w:bCs/>
          <w:sz w:val="22"/>
          <w:szCs w:val="22"/>
          <w:lang w:val="sr-Latn-ME"/>
        </w:rPr>
      </w:pPr>
      <w:r w:rsidRPr="003408E2">
        <w:rPr>
          <w:b/>
          <w:bCs/>
          <w:sz w:val="22"/>
          <w:szCs w:val="22"/>
          <w:lang w:val="sr-Latn-ME"/>
        </w:rPr>
        <w:t xml:space="preserve">4.4. </w:t>
      </w:r>
      <w:r w:rsidR="00480FB1" w:rsidRPr="003408E2">
        <w:rPr>
          <w:b/>
          <w:bCs/>
          <w:sz w:val="22"/>
          <w:szCs w:val="22"/>
          <w:lang w:val="sr-Latn-ME"/>
        </w:rPr>
        <w:tab/>
      </w:r>
      <w:r w:rsidRPr="003408E2">
        <w:rPr>
          <w:b/>
          <w:bCs/>
          <w:sz w:val="22"/>
          <w:szCs w:val="22"/>
          <w:lang w:val="sr-Latn-ME"/>
        </w:rPr>
        <w:t>Posebna upozorenja i mjere opreza pri upotrebi lijeka</w:t>
      </w:r>
    </w:p>
    <w:p w14:paraId="075D7022" w14:textId="77777777" w:rsidR="00B0300F" w:rsidRPr="003408E2" w:rsidRDefault="00B0300F" w:rsidP="00480FB1">
      <w:pPr>
        <w:tabs>
          <w:tab w:val="left" w:pos="540"/>
          <w:tab w:val="left" w:pos="569"/>
        </w:tabs>
        <w:rPr>
          <w:b/>
          <w:bCs/>
          <w:sz w:val="22"/>
          <w:szCs w:val="22"/>
          <w:lang w:val="sr-Latn-ME"/>
        </w:rPr>
      </w:pPr>
    </w:p>
    <w:p w14:paraId="22E35BB4" w14:textId="6AD91285" w:rsidR="0025250A" w:rsidRPr="003408E2" w:rsidRDefault="0025250A" w:rsidP="00B0300F">
      <w:pPr>
        <w:tabs>
          <w:tab w:val="left" w:pos="540"/>
          <w:tab w:val="left" w:pos="569"/>
        </w:tabs>
        <w:jc w:val="both"/>
        <w:rPr>
          <w:bCs/>
          <w:sz w:val="22"/>
          <w:szCs w:val="22"/>
          <w:lang w:val="sr-Latn-ME"/>
        </w:rPr>
      </w:pPr>
      <w:r w:rsidRPr="003408E2">
        <w:rPr>
          <w:bCs/>
          <w:sz w:val="22"/>
          <w:szCs w:val="22"/>
          <w:lang w:val="sr-Latn-ME"/>
        </w:rPr>
        <w:t>Ukoliko nema odgovora na terapiju u toku nekoliko nedjelja, treba razmotriti mogućnost alternativne terapije, ali se onda odgovor na nju može čekati 4-6 nedjelja.</w:t>
      </w:r>
    </w:p>
    <w:p w14:paraId="6D71015C" w14:textId="2D4C6C5F" w:rsidR="0089002F" w:rsidRPr="003408E2" w:rsidRDefault="0089002F" w:rsidP="00B0300F">
      <w:pPr>
        <w:tabs>
          <w:tab w:val="left" w:pos="540"/>
          <w:tab w:val="left" w:pos="569"/>
        </w:tabs>
        <w:jc w:val="both"/>
        <w:rPr>
          <w:bCs/>
          <w:sz w:val="22"/>
          <w:szCs w:val="22"/>
          <w:u w:val="single"/>
          <w:lang w:val="sr-Latn-ME"/>
        </w:rPr>
      </w:pPr>
      <w:r w:rsidRPr="003408E2">
        <w:rPr>
          <w:bCs/>
          <w:sz w:val="22"/>
          <w:szCs w:val="22"/>
          <w:u w:val="single"/>
          <w:lang w:val="sr-Latn-ME"/>
        </w:rPr>
        <w:lastRenderedPageBreak/>
        <w:t xml:space="preserve">Dijareja izazvana </w:t>
      </w:r>
      <w:r w:rsidRPr="003408E2">
        <w:rPr>
          <w:bCs/>
          <w:i/>
          <w:iCs/>
          <w:sz w:val="22"/>
          <w:szCs w:val="22"/>
          <w:u w:val="single"/>
          <w:lang w:val="sr-Latn-ME"/>
        </w:rPr>
        <w:t>Clostridium difficile</w:t>
      </w:r>
      <w:r w:rsidRPr="003408E2">
        <w:rPr>
          <w:bCs/>
          <w:sz w:val="22"/>
          <w:szCs w:val="22"/>
          <w:u w:val="single"/>
          <w:lang w:val="sr-Latn-ME"/>
        </w:rPr>
        <w:t xml:space="preserve"> (engl. </w:t>
      </w:r>
      <w:r w:rsidRPr="003408E2">
        <w:rPr>
          <w:bCs/>
          <w:i/>
          <w:iCs/>
          <w:sz w:val="22"/>
          <w:szCs w:val="22"/>
          <w:u w:val="single"/>
          <w:lang w:val="sr-Latn-ME"/>
        </w:rPr>
        <w:t>Clostridium difficile</w:t>
      </w:r>
      <w:r w:rsidRPr="003408E2">
        <w:rPr>
          <w:bCs/>
          <w:sz w:val="22"/>
          <w:szCs w:val="22"/>
          <w:u w:val="single"/>
          <w:lang w:val="sr-Latn-ME"/>
        </w:rPr>
        <w:t xml:space="preserve"> associated diarrhea, CDAD)</w:t>
      </w:r>
    </w:p>
    <w:p w14:paraId="0B727E52" w14:textId="0F4889FC" w:rsidR="00B0300F" w:rsidRPr="003408E2" w:rsidRDefault="00B0300F" w:rsidP="00B0300F">
      <w:pPr>
        <w:tabs>
          <w:tab w:val="left" w:pos="540"/>
          <w:tab w:val="left" w:pos="569"/>
        </w:tabs>
        <w:jc w:val="both"/>
        <w:rPr>
          <w:bCs/>
          <w:sz w:val="22"/>
          <w:szCs w:val="22"/>
          <w:lang w:val="sr-Latn-ME"/>
        </w:rPr>
      </w:pPr>
      <w:r w:rsidRPr="003408E2">
        <w:rPr>
          <w:bCs/>
          <w:sz w:val="22"/>
          <w:szCs w:val="22"/>
          <w:lang w:val="sr-Latn-ME"/>
        </w:rPr>
        <w:t xml:space="preserve">Oralna i parenteralna primjena klindamicina, kao i većine drugih antibiotika, udružena je sa pojavom </w:t>
      </w:r>
      <w:r w:rsidR="0089002F" w:rsidRPr="003408E2">
        <w:rPr>
          <w:bCs/>
          <w:sz w:val="22"/>
          <w:szCs w:val="22"/>
          <w:lang w:val="sr-Latn-ME"/>
        </w:rPr>
        <w:t xml:space="preserve">dijareje i </w:t>
      </w:r>
      <w:r w:rsidRPr="003408E2">
        <w:rPr>
          <w:bCs/>
          <w:sz w:val="22"/>
          <w:szCs w:val="22"/>
          <w:lang w:val="sr-Latn-ME"/>
        </w:rPr>
        <w:t>teškog pseudomembranoznog kolitisa (pogledati dio 4.8). Topikalna primjena klindamicina dovodi do resorpcije antibiotika preko površine kože. Rijetko su prijavljeni slučajevi dijareje i kolitisa pri topikalnoj primjeni klindamicina. Stoga, ljekari ipak treba da uzmu u obzir mogućnost pojave dijareje ili kolitisa povezanog sa primjenom antibiotika. Ukoliko dođe do pojave značajne ili produžene dijareje, primjenu lijeka treba obustaviti odmah, i po potrebi primijeniti odgovarajuće dijagnostičke i terapijske mjere.</w:t>
      </w:r>
    </w:p>
    <w:p w14:paraId="4264CD9B" w14:textId="77777777" w:rsidR="00B0300F" w:rsidRPr="003408E2" w:rsidRDefault="00B0300F" w:rsidP="00B0300F">
      <w:pPr>
        <w:tabs>
          <w:tab w:val="left" w:pos="540"/>
          <w:tab w:val="left" w:pos="569"/>
        </w:tabs>
        <w:jc w:val="both"/>
        <w:rPr>
          <w:bCs/>
          <w:sz w:val="22"/>
          <w:szCs w:val="22"/>
          <w:lang w:val="sr-Latn-ME"/>
        </w:rPr>
      </w:pPr>
    </w:p>
    <w:p w14:paraId="30308787" w14:textId="77777777" w:rsidR="00B0300F" w:rsidRPr="003408E2" w:rsidRDefault="00B0300F" w:rsidP="00B0300F">
      <w:pPr>
        <w:tabs>
          <w:tab w:val="left" w:pos="540"/>
          <w:tab w:val="left" w:pos="569"/>
        </w:tabs>
        <w:jc w:val="both"/>
        <w:rPr>
          <w:bCs/>
          <w:sz w:val="22"/>
          <w:szCs w:val="22"/>
          <w:lang w:val="sr-Latn-ME"/>
        </w:rPr>
      </w:pPr>
      <w:r w:rsidRPr="003408E2">
        <w:rPr>
          <w:bCs/>
          <w:sz w:val="22"/>
          <w:szCs w:val="22"/>
          <w:lang w:val="sr-Latn-ME"/>
        </w:rPr>
        <w:t xml:space="preserve">Studije ukazuju da je toksin (toksini) koga produkuje </w:t>
      </w:r>
      <w:r w:rsidRPr="003408E2">
        <w:rPr>
          <w:bCs/>
          <w:i/>
          <w:sz w:val="22"/>
          <w:szCs w:val="22"/>
          <w:lang w:val="sr-Latn-ME"/>
        </w:rPr>
        <w:t>Clostridium difficile</w:t>
      </w:r>
      <w:r w:rsidRPr="003408E2">
        <w:rPr>
          <w:bCs/>
          <w:sz w:val="22"/>
          <w:szCs w:val="22"/>
          <w:lang w:val="sr-Latn-ME"/>
        </w:rPr>
        <w:t xml:space="preserve"> glavni uzrok nastanka kolitisa povezanog sa primjenom antibiotika. Kolitis uobičajeno karakterišu perzistentna, teška dijareja i abdominalni grčevi. Endoskopski pregled može otkriti da se radi o pseudomembranoznom kolitisu. Koprokultura na</w:t>
      </w:r>
      <w:r w:rsidRPr="003408E2">
        <w:rPr>
          <w:bCs/>
          <w:i/>
          <w:sz w:val="22"/>
          <w:szCs w:val="22"/>
          <w:lang w:val="sr-Latn-ME"/>
        </w:rPr>
        <w:t xml:space="preserve"> C. difficile </w:t>
      </w:r>
      <w:r w:rsidRPr="003408E2">
        <w:rPr>
          <w:bCs/>
          <w:sz w:val="22"/>
          <w:szCs w:val="22"/>
          <w:lang w:val="sr-Latn-ME"/>
        </w:rPr>
        <w:t>i/ili ispitivanje na toksin</w:t>
      </w:r>
      <w:r w:rsidRPr="003408E2">
        <w:rPr>
          <w:bCs/>
          <w:i/>
          <w:sz w:val="22"/>
          <w:szCs w:val="22"/>
          <w:lang w:val="sr-Latn-ME"/>
        </w:rPr>
        <w:t xml:space="preserve"> C. difficile</w:t>
      </w:r>
      <w:r w:rsidRPr="003408E2">
        <w:rPr>
          <w:bCs/>
          <w:sz w:val="22"/>
          <w:szCs w:val="22"/>
          <w:lang w:val="sr-Latn-ME"/>
        </w:rPr>
        <w:t xml:space="preserve"> mogu biti od pomoći za postavljanje dijagnoze.</w:t>
      </w:r>
    </w:p>
    <w:p w14:paraId="50CC262D" w14:textId="77777777" w:rsidR="00B0300F" w:rsidRPr="003408E2" w:rsidRDefault="00B0300F" w:rsidP="00B0300F">
      <w:pPr>
        <w:tabs>
          <w:tab w:val="left" w:pos="540"/>
          <w:tab w:val="left" w:pos="569"/>
        </w:tabs>
        <w:jc w:val="both"/>
        <w:rPr>
          <w:bCs/>
          <w:sz w:val="22"/>
          <w:szCs w:val="22"/>
          <w:lang w:val="sr-Latn-ME"/>
        </w:rPr>
      </w:pPr>
    </w:p>
    <w:p w14:paraId="42E167E9" w14:textId="77777777" w:rsidR="00B0300F" w:rsidRPr="003408E2" w:rsidRDefault="00B0300F" w:rsidP="00B0300F">
      <w:pPr>
        <w:tabs>
          <w:tab w:val="left" w:pos="540"/>
          <w:tab w:val="left" w:pos="569"/>
        </w:tabs>
        <w:jc w:val="both"/>
        <w:rPr>
          <w:bCs/>
          <w:sz w:val="22"/>
          <w:szCs w:val="22"/>
          <w:lang w:val="sr-Latn-ME"/>
        </w:rPr>
      </w:pPr>
      <w:r w:rsidRPr="003408E2">
        <w:rPr>
          <w:bCs/>
          <w:sz w:val="22"/>
          <w:szCs w:val="22"/>
          <w:lang w:val="sr-Latn-ME"/>
        </w:rPr>
        <w:t>Primijećeno je da dijareja, kolitis i pseudomembranozni kolitis počinju da se javljaju i do nekoliko nedjelja po prestanku primjene oralne ili parenteralne terapije klindamicinom.</w:t>
      </w:r>
    </w:p>
    <w:p w14:paraId="5C5C2E22" w14:textId="77777777" w:rsidR="00B0300F" w:rsidRPr="003408E2" w:rsidRDefault="00B0300F" w:rsidP="00B0300F">
      <w:pPr>
        <w:tabs>
          <w:tab w:val="left" w:pos="540"/>
          <w:tab w:val="left" w:pos="569"/>
        </w:tabs>
        <w:jc w:val="both"/>
        <w:rPr>
          <w:bCs/>
          <w:sz w:val="22"/>
          <w:szCs w:val="22"/>
          <w:lang w:val="sr-Latn-ME"/>
        </w:rPr>
      </w:pPr>
    </w:p>
    <w:p w14:paraId="60E9655F" w14:textId="7C6BC742" w:rsidR="00B0300F" w:rsidRPr="003408E2" w:rsidRDefault="00B0300F" w:rsidP="00B0300F">
      <w:pPr>
        <w:tabs>
          <w:tab w:val="left" w:pos="540"/>
          <w:tab w:val="left" w:pos="569"/>
        </w:tabs>
        <w:jc w:val="both"/>
        <w:rPr>
          <w:bCs/>
          <w:sz w:val="22"/>
          <w:szCs w:val="22"/>
          <w:lang w:val="sr-Latn-ME"/>
        </w:rPr>
      </w:pPr>
      <w:r w:rsidRPr="003408E2">
        <w:rPr>
          <w:bCs/>
          <w:sz w:val="22"/>
          <w:szCs w:val="22"/>
          <w:lang w:val="sr-Latn-ME"/>
        </w:rPr>
        <w:t xml:space="preserve">Blagi slučajevi kolitisa mogu reagovati i na prekid terapije klindamicinom. </w:t>
      </w:r>
    </w:p>
    <w:p w14:paraId="1A370758" w14:textId="77777777" w:rsidR="006F2086" w:rsidRPr="003408E2" w:rsidRDefault="006F2086" w:rsidP="00B0300F">
      <w:pPr>
        <w:tabs>
          <w:tab w:val="left" w:pos="540"/>
          <w:tab w:val="left" w:pos="569"/>
        </w:tabs>
        <w:jc w:val="both"/>
        <w:rPr>
          <w:bCs/>
          <w:sz w:val="22"/>
          <w:szCs w:val="22"/>
          <w:lang w:val="sr-Latn-ME"/>
        </w:rPr>
      </w:pPr>
    </w:p>
    <w:p w14:paraId="0B975F46" w14:textId="38226702" w:rsidR="006F2086" w:rsidRPr="003408E2" w:rsidRDefault="006F2086" w:rsidP="006F2086">
      <w:pPr>
        <w:tabs>
          <w:tab w:val="left" w:pos="540"/>
          <w:tab w:val="left" w:pos="569"/>
        </w:tabs>
        <w:jc w:val="both"/>
        <w:rPr>
          <w:bCs/>
          <w:sz w:val="22"/>
          <w:szCs w:val="22"/>
          <w:u w:val="single"/>
          <w:lang w:val="sr-Latn-ME"/>
        </w:rPr>
      </w:pPr>
      <w:r w:rsidRPr="003408E2">
        <w:rPr>
          <w:bCs/>
          <w:sz w:val="22"/>
          <w:szCs w:val="22"/>
          <w:u w:val="single"/>
          <w:lang w:val="sr-Latn-ME"/>
        </w:rPr>
        <w:t>Mikroorganizmi koji ne pokazuju osjetljivost na terapiju</w:t>
      </w:r>
    </w:p>
    <w:p w14:paraId="492EC3CA" w14:textId="77777777" w:rsidR="006F2086" w:rsidRPr="003408E2" w:rsidRDefault="006F2086" w:rsidP="006F2086">
      <w:pPr>
        <w:tabs>
          <w:tab w:val="left" w:pos="540"/>
          <w:tab w:val="left" w:pos="569"/>
        </w:tabs>
        <w:jc w:val="both"/>
        <w:rPr>
          <w:bCs/>
          <w:sz w:val="22"/>
          <w:szCs w:val="22"/>
          <w:lang w:val="sr-Latn-ME"/>
        </w:rPr>
      </w:pPr>
      <w:r w:rsidRPr="003408E2">
        <w:rPr>
          <w:bCs/>
          <w:sz w:val="22"/>
          <w:szCs w:val="22"/>
          <w:lang w:val="sr-Latn-ME"/>
        </w:rPr>
        <w:t>Produžena primjena klindamicina može rezultirati razvojem super-infekcije mikrorganizmima koji su rezistentni na klindamicin.</w:t>
      </w:r>
    </w:p>
    <w:p w14:paraId="18ECAE2F" w14:textId="77777777" w:rsidR="006F2086" w:rsidRPr="003408E2" w:rsidRDefault="006F2086" w:rsidP="00B0300F">
      <w:pPr>
        <w:tabs>
          <w:tab w:val="left" w:pos="540"/>
          <w:tab w:val="left" w:pos="569"/>
        </w:tabs>
        <w:jc w:val="both"/>
        <w:rPr>
          <w:bCs/>
          <w:sz w:val="22"/>
          <w:szCs w:val="22"/>
          <w:lang w:val="sr-Latn-ME"/>
        </w:rPr>
      </w:pPr>
    </w:p>
    <w:p w14:paraId="2F84028B" w14:textId="77777777" w:rsidR="006F2086" w:rsidRPr="003408E2" w:rsidRDefault="006F2086" w:rsidP="00B0300F">
      <w:pPr>
        <w:tabs>
          <w:tab w:val="left" w:pos="540"/>
          <w:tab w:val="left" w:pos="569"/>
        </w:tabs>
        <w:jc w:val="both"/>
        <w:rPr>
          <w:bCs/>
          <w:sz w:val="22"/>
          <w:szCs w:val="22"/>
          <w:u w:val="single"/>
          <w:lang w:val="sr-Latn-ME"/>
        </w:rPr>
      </w:pPr>
      <w:r w:rsidRPr="003408E2">
        <w:rPr>
          <w:bCs/>
          <w:sz w:val="22"/>
          <w:szCs w:val="22"/>
          <w:u w:val="single"/>
          <w:lang w:val="sr-Latn-ME"/>
        </w:rPr>
        <w:t>Primjena lijeka u blizini usta</w:t>
      </w:r>
    </w:p>
    <w:p w14:paraId="3CAA5D7D" w14:textId="738A957F" w:rsidR="00B0300F" w:rsidRPr="003408E2" w:rsidRDefault="00B0300F" w:rsidP="00B0300F">
      <w:pPr>
        <w:tabs>
          <w:tab w:val="left" w:pos="540"/>
          <w:tab w:val="left" w:pos="569"/>
        </w:tabs>
        <w:jc w:val="both"/>
        <w:rPr>
          <w:bCs/>
          <w:sz w:val="22"/>
          <w:szCs w:val="22"/>
          <w:lang w:val="sr-Latn-ME"/>
        </w:rPr>
      </w:pPr>
      <w:r w:rsidRPr="003408E2">
        <w:rPr>
          <w:bCs/>
          <w:sz w:val="22"/>
          <w:szCs w:val="22"/>
          <w:lang w:val="sr-Latn-ME"/>
        </w:rPr>
        <w:t>Rastvor za kožu ima neprijatan ukus i treba biti posebno oprezan kod primjene lijeka u blizini usta.</w:t>
      </w:r>
    </w:p>
    <w:p w14:paraId="6ED160F2" w14:textId="77777777" w:rsidR="00B0300F" w:rsidRPr="003408E2" w:rsidRDefault="00B0300F" w:rsidP="00B0300F">
      <w:pPr>
        <w:tabs>
          <w:tab w:val="left" w:pos="540"/>
          <w:tab w:val="left" w:pos="569"/>
        </w:tabs>
        <w:jc w:val="both"/>
        <w:rPr>
          <w:bCs/>
          <w:sz w:val="22"/>
          <w:szCs w:val="22"/>
          <w:lang w:val="sr-Latn-ME"/>
        </w:rPr>
      </w:pPr>
    </w:p>
    <w:p w14:paraId="2DF6994A" w14:textId="77777777" w:rsidR="006F2086" w:rsidRPr="003408E2" w:rsidRDefault="006F2086" w:rsidP="00B0300F">
      <w:pPr>
        <w:tabs>
          <w:tab w:val="left" w:pos="540"/>
          <w:tab w:val="left" w:pos="569"/>
        </w:tabs>
        <w:jc w:val="both"/>
        <w:rPr>
          <w:bCs/>
          <w:sz w:val="22"/>
          <w:szCs w:val="22"/>
          <w:u w:val="single"/>
          <w:lang w:val="sr-Latn-ME"/>
        </w:rPr>
      </w:pPr>
      <w:r w:rsidRPr="003408E2">
        <w:rPr>
          <w:bCs/>
          <w:sz w:val="22"/>
          <w:szCs w:val="22"/>
          <w:u w:val="single"/>
          <w:lang w:val="sr-Latn-ME"/>
        </w:rPr>
        <w:t>Pomoćne supstance</w:t>
      </w:r>
    </w:p>
    <w:p w14:paraId="2EDB6FB6" w14:textId="056906A1" w:rsidR="006F2086" w:rsidRPr="003408E2" w:rsidRDefault="006F2086" w:rsidP="00B0300F">
      <w:pPr>
        <w:tabs>
          <w:tab w:val="left" w:pos="540"/>
          <w:tab w:val="left" w:pos="569"/>
        </w:tabs>
        <w:jc w:val="both"/>
        <w:rPr>
          <w:bCs/>
          <w:sz w:val="22"/>
          <w:szCs w:val="22"/>
          <w:lang w:val="sr-Latn-ME"/>
        </w:rPr>
      </w:pPr>
      <w:r w:rsidRPr="003408E2">
        <w:rPr>
          <w:bCs/>
          <w:sz w:val="22"/>
          <w:szCs w:val="22"/>
          <w:lang w:val="sr-Latn-ME"/>
        </w:rPr>
        <w:t>Lijek Aknet sadrži alkohol, koji može da izazove pečenje i iritaciju očiju, mukoznih membrana i oštećene kože. Ukoliko dođe do slučajnog kontakta sa osjetljivim površinama (oči, oštećena koža, mukozne membrane), isprati obilnom količinom hladne, tekuće vode.</w:t>
      </w:r>
    </w:p>
    <w:p w14:paraId="293002A4" w14:textId="53F2DF56" w:rsidR="00DC32D3" w:rsidRPr="003408E2" w:rsidRDefault="00DC32D3" w:rsidP="00B0300F">
      <w:pPr>
        <w:tabs>
          <w:tab w:val="left" w:pos="540"/>
          <w:tab w:val="left" w:pos="569"/>
        </w:tabs>
        <w:jc w:val="both"/>
        <w:rPr>
          <w:bCs/>
          <w:sz w:val="22"/>
          <w:szCs w:val="22"/>
          <w:lang w:val="sr-Latn-ME"/>
        </w:rPr>
      </w:pPr>
      <w:r w:rsidRPr="003408E2">
        <w:rPr>
          <w:bCs/>
          <w:sz w:val="22"/>
          <w:szCs w:val="22"/>
          <w:lang w:val="sr-Latn-ME"/>
        </w:rPr>
        <w:t>Lijek Aknet sadrži propilen glikol koji može nadražiti kožu</w:t>
      </w:r>
      <w:r w:rsidR="009203F3" w:rsidRPr="003408E2">
        <w:rPr>
          <w:bCs/>
          <w:sz w:val="22"/>
          <w:szCs w:val="22"/>
          <w:lang w:val="sr-Latn-ME"/>
        </w:rPr>
        <w:t>.</w:t>
      </w:r>
    </w:p>
    <w:p w14:paraId="5CB7C4BE" w14:textId="77777777" w:rsidR="00057E35" w:rsidRPr="003408E2" w:rsidRDefault="00057E35" w:rsidP="00480FB1">
      <w:pPr>
        <w:tabs>
          <w:tab w:val="left" w:pos="540"/>
          <w:tab w:val="left" w:pos="569"/>
        </w:tabs>
        <w:rPr>
          <w:bCs/>
          <w:sz w:val="22"/>
          <w:szCs w:val="22"/>
          <w:lang w:val="sr-Latn-ME"/>
        </w:rPr>
      </w:pPr>
    </w:p>
    <w:p w14:paraId="11038CEF" w14:textId="77777777" w:rsidR="00411B4B" w:rsidRPr="003408E2" w:rsidRDefault="00411B4B" w:rsidP="00480FB1">
      <w:pPr>
        <w:tabs>
          <w:tab w:val="left" w:pos="540"/>
          <w:tab w:val="left" w:pos="569"/>
        </w:tabs>
        <w:rPr>
          <w:b/>
          <w:bCs/>
          <w:sz w:val="22"/>
          <w:szCs w:val="22"/>
          <w:lang w:val="sr-Latn-ME"/>
        </w:rPr>
      </w:pPr>
      <w:r w:rsidRPr="003408E2">
        <w:rPr>
          <w:b/>
          <w:bCs/>
          <w:sz w:val="22"/>
          <w:szCs w:val="22"/>
          <w:lang w:val="sr-Latn-ME"/>
        </w:rPr>
        <w:t>4.5.</w:t>
      </w:r>
      <w:r w:rsidR="000D60CC" w:rsidRPr="003408E2">
        <w:rPr>
          <w:b/>
          <w:bCs/>
          <w:sz w:val="22"/>
          <w:szCs w:val="22"/>
          <w:lang w:val="sr-Latn-ME"/>
        </w:rPr>
        <w:tab/>
      </w:r>
      <w:r w:rsidRPr="003408E2">
        <w:rPr>
          <w:b/>
          <w:bCs/>
          <w:sz w:val="22"/>
          <w:szCs w:val="22"/>
          <w:lang w:val="sr-Latn-ME"/>
        </w:rPr>
        <w:t>Interakcije sa drugim ljekovima i druge vrste interakcija</w:t>
      </w:r>
    </w:p>
    <w:p w14:paraId="7E8F7794" w14:textId="77777777" w:rsidR="00B0300F" w:rsidRPr="003408E2" w:rsidRDefault="00B0300F" w:rsidP="00480FB1">
      <w:pPr>
        <w:tabs>
          <w:tab w:val="left" w:pos="540"/>
          <w:tab w:val="left" w:pos="569"/>
        </w:tabs>
        <w:rPr>
          <w:b/>
          <w:bCs/>
          <w:sz w:val="22"/>
          <w:szCs w:val="22"/>
          <w:lang w:val="sr-Latn-ME"/>
        </w:rPr>
      </w:pPr>
    </w:p>
    <w:p w14:paraId="526B6DD5" w14:textId="77777777" w:rsidR="00B0300F" w:rsidRPr="003408E2" w:rsidRDefault="00B0300F" w:rsidP="00B0300F">
      <w:pPr>
        <w:tabs>
          <w:tab w:val="left" w:pos="540"/>
          <w:tab w:val="left" w:pos="569"/>
        </w:tabs>
        <w:jc w:val="both"/>
        <w:rPr>
          <w:bCs/>
          <w:sz w:val="22"/>
          <w:szCs w:val="22"/>
          <w:lang w:val="sr-Latn-ME"/>
        </w:rPr>
      </w:pPr>
      <w:r w:rsidRPr="003408E2">
        <w:rPr>
          <w:bCs/>
          <w:sz w:val="22"/>
          <w:szCs w:val="22"/>
          <w:lang w:val="sr-Latn-ME"/>
        </w:rPr>
        <w:t>Pokazano je da sistemski klindamicin ima dejstvo neuromuskularnog blokatora, koje može pojačati dejstvo drugih neuromuskulatornih blokatora. Zbog toga se klindamicin mora koristiti sa oprezom kod pacijenata koji su na terapiji ovim ljekovima.</w:t>
      </w:r>
    </w:p>
    <w:p w14:paraId="7E616688" w14:textId="77777777" w:rsidR="00B0300F" w:rsidRPr="003408E2" w:rsidRDefault="00B0300F" w:rsidP="00B0300F">
      <w:pPr>
        <w:tabs>
          <w:tab w:val="left" w:pos="540"/>
          <w:tab w:val="left" w:pos="569"/>
        </w:tabs>
        <w:jc w:val="both"/>
        <w:rPr>
          <w:bCs/>
          <w:sz w:val="22"/>
          <w:szCs w:val="22"/>
          <w:lang w:val="sr-Latn-ME"/>
        </w:rPr>
      </w:pPr>
    </w:p>
    <w:p w14:paraId="79A76DA8" w14:textId="77777777" w:rsidR="00B0300F" w:rsidRPr="003408E2" w:rsidRDefault="00B0300F" w:rsidP="00B0300F">
      <w:pPr>
        <w:tabs>
          <w:tab w:val="left" w:pos="540"/>
          <w:tab w:val="left" w:pos="569"/>
        </w:tabs>
        <w:jc w:val="both"/>
        <w:rPr>
          <w:bCs/>
          <w:sz w:val="22"/>
          <w:szCs w:val="22"/>
          <w:lang w:val="sr-Latn-ME"/>
        </w:rPr>
      </w:pPr>
      <w:r w:rsidRPr="003408E2">
        <w:rPr>
          <w:bCs/>
          <w:sz w:val="22"/>
          <w:szCs w:val="22"/>
          <w:lang w:val="sr-Latn-ME"/>
        </w:rPr>
        <w:t xml:space="preserve">Istovremenu primjenu klindamicina sa drugim topikalnim preparatima treba sprovoditi uz oprez, zbog mogućeg lokalnog kumulativnog efekta na kožu. </w:t>
      </w:r>
    </w:p>
    <w:p w14:paraId="5042737B" w14:textId="77777777" w:rsidR="0072020E" w:rsidRPr="003408E2" w:rsidRDefault="0072020E" w:rsidP="00480FB1">
      <w:pPr>
        <w:tabs>
          <w:tab w:val="left" w:pos="540"/>
          <w:tab w:val="left" w:pos="569"/>
        </w:tabs>
        <w:rPr>
          <w:bCs/>
          <w:sz w:val="22"/>
          <w:szCs w:val="22"/>
          <w:lang w:val="sr-Latn-ME"/>
        </w:rPr>
      </w:pPr>
    </w:p>
    <w:p w14:paraId="20551A8A" w14:textId="77777777" w:rsidR="0072020E" w:rsidRPr="003408E2" w:rsidRDefault="0072020E" w:rsidP="00480FB1">
      <w:pPr>
        <w:tabs>
          <w:tab w:val="left" w:pos="540"/>
          <w:tab w:val="left" w:pos="569"/>
        </w:tabs>
        <w:rPr>
          <w:b/>
          <w:sz w:val="22"/>
          <w:szCs w:val="22"/>
          <w:lang w:val="sr-Latn-ME"/>
        </w:rPr>
      </w:pPr>
      <w:r w:rsidRPr="003408E2">
        <w:rPr>
          <w:b/>
          <w:bCs/>
          <w:sz w:val="22"/>
          <w:szCs w:val="22"/>
          <w:lang w:val="sr-Latn-ME"/>
        </w:rPr>
        <w:t xml:space="preserve">4.6. </w:t>
      </w:r>
      <w:r w:rsidR="00480FB1" w:rsidRPr="003408E2">
        <w:rPr>
          <w:b/>
          <w:bCs/>
          <w:sz w:val="22"/>
          <w:szCs w:val="22"/>
          <w:lang w:val="sr-Latn-ME"/>
        </w:rPr>
        <w:tab/>
      </w:r>
      <w:r w:rsidR="006D20A5" w:rsidRPr="003408E2">
        <w:rPr>
          <w:b/>
          <w:sz w:val="22"/>
          <w:szCs w:val="22"/>
          <w:lang w:val="sr-Latn-ME"/>
        </w:rPr>
        <w:t>Plodnost, trudnoća i dojenje</w:t>
      </w:r>
    </w:p>
    <w:p w14:paraId="7BE7E656" w14:textId="77777777" w:rsidR="002031B3" w:rsidRPr="003408E2" w:rsidRDefault="002031B3" w:rsidP="00480FB1">
      <w:pPr>
        <w:tabs>
          <w:tab w:val="left" w:pos="540"/>
          <w:tab w:val="left" w:pos="569"/>
        </w:tabs>
        <w:rPr>
          <w:sz w:val="22"/>
          <w:szCs w:val="22"/>
          <w:u w:val="single"/>
          <w:lang w:val="sr-Latn-ME"/>
        </w:rPr>
      </w:pPr>
    </w:p>
    <w:p w14:paraId="0A7C7904" w14:textId="77777777" w:rsidR="002031B3" w:rsidRPr="003408E2" w:rsidRDefault="002031B3" w:rsidP="002031B3">
      <w:pPr>
        <w:tabs>
          <w:tab w:val="left" w:pos="540"/>
          <w:tab w:val="left" w:pos="569"/>
        </w:tabs>
        <w:rPr>
          <w:sz w:val="22"/>
          <w:szCs w:val="22"/>
          <w:u w:val="single"/>
          <w:lang w:val="sr-Latn-ME"/>
        </w:rPr>
      </w:pPr>
      <w:r w:rsidRPr="003408E2">
        <w:rPr>
          <w:sz w:val="22"/>
          <w:szCs w:val="22"/>
          <w:u w:val="single"/>
          <w:lang w:val="sr-Latn-ME"/>
        </w:rPr>
        <w:t>Plodnost</w:t>
      </w:r>
    </w:p>
    <w:p w14:paraId="6F67F4C4" w14:textId="77777777" w:rsidR="00B0300F" w:rsidRPr="003408E2" w:rsidRDefault="00B0300F" w:rsidP="002031B3">
      <w:pPr>
        <w:tabs>
          <w:tab w:val="left" w:pos="540"/>
          <w:tab w:val="left" w:pos="569"/>
        </w:tabs>
        <w:rPr>
          <w:sz w:val="22"/>
          <w:szCs w:val="22"/>
          <w:u w:val="single"/>
          <w:lang w:val="sr-Latn-ME"/>
        </w:rPr>
      </w:pPr>
    </w:p>
    <w:p w14:paraId="2EDB050C" w14:textId="77777777" w:rsidR="00B0300F" w:rsidRPr="003408E2" w:rsidRDefault="00B0300F" w:rsidP="00B0300F">
      <w:pPr>
        <w:tabs>
          <w:tab w:val="left" w:pos="540"/>
          <w:tab w:val="left" w:pos="569"/>
        </w:tabs>
        <w:jc w:val="both"/>
        <w:rPr>
          <w:sz w:val="22"/>
          <w:szCs w:val="22"/>
          <w:lang w:val="sr-Latn-ME"/>
        </w:rPr>
      </w:pPr>
      <w:r w:rsidRPr="003408E2">
        <w:rPr>
          <w:sz w:val="22"/>
          <w:szCs w:val="22"/>
          <w:lang w:val="sr-Latn-ME"/>
        </w:rPr>
        <w:t>Studije fertiliteta na pacovima, prilikom oralne primjene, pokazale su da lijek nema dejstva na fertilitet, niti na sposobnost parenja.</w:t>
      </w:r>
    </w:p>
    <w:p w14:paraId="066369B5" w14:textId="77777777" w:rsidR="00B0300F" w:rsidRPr="003408E2" w:rsidRDefault="00B0300F" w:rsidP="002031B3">
      <w:pPr>
        <w:tabs>
          <w:tab w:val="left" w:pos="540"/>
          <w:tab w:val="left" w:pos="569"/>
        </w:tabs>
        <w:rPr>
          <w:sz w:val="22"/>
          <w:szCs w:val="22"/>
          <w:u w:val="single"/>
          <w:lang w:val="sr-Latn-ME"/>
        </w:rPr>
      </w:pPr>
    </w:p>
    <w:p w14:paraId="51209057" w14:textId="77777777" w:rsidR="007A3ECB" w:rsidRPr="003408E2" w:rsidRDefault="007A3ECB" w:rsidP="00480FB1">
      <w:pPr>
        <w:tabs>
          <w:tab w:val="left" w:pos="540"/>
          <w:tab w:val="left" w:pos="569"/>
        </w:tabs>
        <w:rPr>
          <w:sz w:val="22"/>
          <w:szCs w:val="22"/>
          <w:u w:val="single"/>
          <w:lang w:val="sr-Latn-ME"/>
        </w:rPr>
      </w:pPr>
      <w:r w:rsidRPr="003408E2">
        <w:rPr>
          <w:sz w:val="22"/>
          <w:szCs w:val="22"/>
          <w:u w:val="single"/>
          <w:lang w:val="sr-Latn-ME"/>
        </w:rPr>
        <w:t>Trudnoća</w:t>
      </w:r>
    </w:p>
    <w:p w14:paraId="694E274E" w14:textId="77777777" w:rsidR="002031B3" w:rsidRPr="003408E2" w:rsidRDefault="002031B3" w:rsidP="00480FB1">
      <w:pPr>
        <w:tabs>
          <w:tab w:val="left" w:pos="540"/>
          <w:tab w:val="left" w:pos="569"/>
        </w:tabs>
        <w:rPr>
          <w:sz w:val="22"/>
          <w:szCs w:val="22"/>
          <w:u w:val="single"/>
          <w:lang w:val="sr-Latn-ME"/>
        </w:rPr>
      </w:pPr>
    </w:p>
    <w:p w14:paraId="4D1F711A" w14:textId="77777777" w:rsidR="00B0300F" w:rsidRPr="003408E2" w:rsidRDefault="00B0300F" w:rsidP="00B0300F">
      <w:pPr>
        <w:tabs>
          <w:tab w:val="left" w:pos="540"/>
          <w:tab w:val="left" w:pos="569"/>
        </w:tabs>
        <w:jc w:val="both"/>
        <w:rPr>
          <w:bCs/>
          <w:sz w:val="22"/>
          <w:szCs w:val="22"/>
          <w:lang w:val="sr-Latn-ME"/>
        </w:rPr>
      </w:pPr>
      <w:r w:rsidRPr="003408E2">
        <w:rPr>
          <w:bCs/>
          <w:sz w:val="22"/>
          <w:szCs w:val="22"/>
          <w:lang w:val="sr-Latn-ME"/>
        </w:rPr>
        <w:t xml:space="preserve">Studije reproduktivne toksičnosti kod pacova i kunića, upotrebom subkutanih i oralnih doza klindamicina, nisu dale dokaze o štetnosti po plodnost ili oštećenje fetusa zbog klindamicina, izuzev doza koje su izazvale toksičnost kod majki. Reproduktivne studije sprovedene na životinjama ne mogu uvijek da predvide odgovor kod ljudi. </w:t>
      </w:r>
    </w:p>
    <w:p w14:paraId="4A42D354" w14:textId="77777777" w:rsidR="00B0300F" w:rsidRPr="003408E2" w:rsidRDefault="00B0300F" w:rsidP="00B0300F">
      <w:pPr>
        <w:tabs>
          <w:tab w:val="left" w:pos="540"/>
          <w:tab w:val="left" w:pos="569"/>
        </w:tabs>
        <w:jc w:val="both"/>
        <w:rPr>
          <w:bCs/>
          <w:sz w:val="22"/>
          <w:szCs w:val="22"/>
          <w:lang w:val="sr-Latn-ME"/>
        </w:rPr>
      </w:pPr>
    </w:p>
    <w:p w14:paraId="00B2120A" w14:textId="77777777" w:rsidR="00B0300F" w:rsidRPr="003408E2" w:rsidRDefault="00B0300F" w:rsidP="00B0300F">
      <w:pPr>
        <w:tabs>
          <w:tab w:val="left" w:pos="540"/>
          <w:tab w:val="left" w:pos="569"/>
        </w:tabs>
        <w:jc w:val="both"/>
        <w:rPr>
          <w:bCs/>
          <w:sz w:val="22"/>
          <w:szCs w:val="22"/>
          <w:lang w:val="sr-Latn-ME"/>
        </w:rPr>
      </w:pPr>
      <w:r w:rsidRPr="003408E2">
        <w:rPr>
          <w:bCs/>
          <w:sz w:val="22"/>
          <w:szCs w:val="22"/>
          <w:lang w:val="sr-Latn-ME"/>
        </w:rPr>
        <w:lastRenderedPageBreak/>
        <w:t>Klinička ispitivanja kod trudnica tokom drugog i trećeg trimestra trudnoće ukazuju da sistemska primjena klindamicina nije bila povezana sa povećanom učestalošću kongenitalnih anomalija.</w:t>
      </w:r>
    </w:p>
    <w:p w14:paraId="4A6AB8EA" w14:textId="77777777" w:rsidR="00B0300F" w:rsidRPr="003408E2" w:rsidRDefault="00B0300F" w:rsidP="00B0300F">
      <w:pPr>
        <w:tabs>
          <w:tab w:val="left" w:pos="540"/>
          <w:tab w:val="left" w:pos="569"/>
        </w:tabs>
        <w:jc w:val="both"/>
        <w:rPr>
          <w:bCs/>
          <w:sz w:val="22"/>
          <w:szCs w:val="22"/>
          <w:lang w:val="sr-Latn-ME"/>
        </w:rPr>
      </w:pPr>
    </w:p>
    <w:p w14:paraId="7B44B415" w14:textId="77777777" w:rsidR="00B0300F" w:rsidRPr="003408E2" w:rsidRDefault="00B0300F" w:rsidP="00B0300F">
      <w:pPr>
        <w:tabs>
          <w:tab w:val="left" w:pos="540"/>
          <w:tab w:val="left" w:pos="569"/>
        </w:tabs>
        <w:jc w:val="both"/>
        <w:rPr>
          <w:bCs/>
          <w:sz w:val="22"/>
          <w:szCs w:val="22"/>
          <w:lang w:val="sr-Latn-ME" w:eastAsia="en-GB"/>
        </w:rPr>
      </w:pPr>
      <w:r w:rsidRPr="003408E2">
        <w:rPr>
          <w:bCs/>
          <w:sz w:val="22"/>
          <w:szCs w:val="22"/>
          <w:lang w:val="sr-Latn-ME"/>
        </w:rPr>
        <w:t xml:space="preserve">Klindamicin treba primjenjivati u prvom trimestru trudnoće samo u slučaju jasne indikacije. </w:t>
      </w:r>
      <w:r w:rsidRPr="003408E2">
        <w:rPr>
          <w:bCs/>
          <w:sz w:val="22"/>
          <w:szCs w:val="22"/>
          <w:lang w:val="sr-Latn-ME" w:eastAsia="en-GB"/>
        </w:rPr>
        <w:t>Nema adekvatnih podataka iz kontrolisanih studija o upotrebi lijeka</w:t>
      </w:r>
      <w:r w:rsidRPr="003408E2">
        <w:rPr>
          <w:bCs/>
          <w:sz w:val="22"/>
          <w:szCs w:val="22"/>
          <w:vertAlign w:val="superscript"/>
          <w:lang w:val="sr-Latn-ME" w:eastAsia="en-GB"/>
        </w:rPr>
        <w:t xml:space="preserve"> </w:t>
      </w:r>
      <w:r w:rsidRPr="003408E2">
        <w:rPr>
          <w:bCs/>
          <w:sz w:val="22"/>
          <w:szCs w:val="22"/>
          <w:lang w:val="sr-Latn-ME" w:eastAsia="en-GB"/>
        </w:rPr>
        <w:t>kod trudnica tokom prvog trimestra trudnoće.</w:t>
      </w:r>
    </w:p>
    <w:p w14:paraId="15BD9573" w14:textId="77777777" w:rsidR="00B0300F" w:rsidRPr="003408E2" w:rsidRDefault="00B0300F" w:rsidP="00B0300F">
      <w:pPr>
        <w:tabs>
          <w:tab w:val="left" w:pos="540"/>
          <w:tab w:val="left" w:pos="569"/>
        </w:tabs>
        <w:jc w:val="both"/>
        <w:rPr>
          <w:bCs/>
          <w:sz w:val="22"/>
          <w:szCs w:val="22"/>
          <w:lang w:val="sr-Latn-ME"/>
        </w:rPr>
      </w:pPr>
      <w:r w:rsidRPr="003408E2">
        <w:rPr>
          <w:bCs/>
          <w:sz w:val="22"/>
          <w:szCs w:val="22"/>
          <w:lang w:val="sr-Latn-ME"/>
        </w:rPr>
        <w:t xml:space="preserve"> </w:t>
      </w:r>
    </w:p>
    <w:p w14:paraId="7E7E47B0" w14:textId="5F6B26BE" w:rsidR="00C636BB" w:rsidRPr="003408E2" w:rsidRDefault="00C636BB" w:rsidP="00B0300F">
      <w:pPr>
        <w:tabs>
          <w:tab w:val="left" w:pos="540"/>
          <w:tab w:val="left" w:pos="569"/>
        </w:tabs>
        <w:jc w:val="both"/>
        <w:rPr>
          <w:bCs/>
          <w:sz w:val="22"/>
          <w:szCs w:val="22"/>
          <w:lang w:val="sr-Latn-ME" w:eastAsia="en-GB"/>
        </w:rPr>
      </w:pPr>
      <w:r w:rsidRPr="003408E2">
        <w:rPr>
          <w:bCs/>
          <w:sz w:val="22"/>
          <w:szCs w:val="22"/>
          <w:lang w:val="sr-Latn-ME" w:eastAsia="en-GB"/>
        </w:rPr>
        <w:t>Prema tome, klindamicin treba izbjegavati tokom trudnoće, osim ukoliko to nije izričito neophodno.</w:t>
      </w:r>
    </w:p>
    <w:p w14:paraId="61C25CD5" w14:textId="77777777" w:rsidR="00C636BB" w:rsidRPr="003408E2" w:rsidRDefault="00C636BB" w:rsidP="00B0300F">
      <w:pPr>
        <w:tabs>
          <w:tab w:val="left" w:pos="540"/>
          <w:tab w:val="left" w:pos="569"/>
        </w:tabs>
        <w:jc w:val="both"/>
        <w:rPr>
          <w:bCs/>
          <w:sz w:val="22"/>
          <w:szCs w:val="22"/>
          <w:lang w:val="sr-Latn-ME" w:eastAsia="en-GB"/>
        </w:rPr>
      </w:pPr>
    </w:p>
    <w:p w14:paraId="251B0E28" w14:textId="41FB5395" w:rsidR="00B0300F" w:rsidRPr="003408E2" w:rsidRDefault="00B0300F" w:rsidP="00B0300F">
      <w:pPr>
        <w:tabs>
          <w:tab w:val="left" w:pos="540"/>
          <w:tab w:val="left" w:pos="569"/>
        </w:tabs>
        <w:jc w:val="both"/>
        <w:rPr>
          <w:bCs/>
          <w:sz w:val="22"/>
          <w:szCs w:val="22"/>
          <w:lang w:val="sr-Latn-ME" w:eastAsia="en-GB"/>
        </w:rPr>
      </w:pPr>
      <w:r w:rsidRPr="003408E2">
        <w:rPr>
          <w:bCs/>
          <w:sz w:val="22"/>
          <w:szCs w:val="22"/>
          <w:lang w:val="sr-Latn-ME" w:eastAsia="en-GB"/>
        </w:rPr>
        <w:t>Nema adekvatnih studija o topikalnoj upotrebi lijeka</w:t>
      </w:r>
      <w:r w:rsidRPr="003408E2">
        <w:rPr>
          <w:bCs/>
          <w:sz w:val="22"/>
          <w:szCs w:val="22"/>
          <w:vertAlign w:val="superscript"/>
          <w:lang w:val="sr-Latn-ME" w:eastAsia="en-GB"/>
        </w:rPr>
        <w:t xml:space="preserve"> </w:t>
      </w:r>
      <w:r w:rsidRPr="003408E2">
        <w:rPr>
          <w:bCs/>
          <w:sz w:val="22"/>
          <w:szCs w:val="22"/>
          <w:lang w:val="sr-Latn-ME" w:eastAsia="en-GB"/>
        </w:rPr>
        <w:t>tokom trudnoće.</w:t>
      </w:r>
    </w:p>
    <w:p w14:paraId="0584A7A1" w14:textId="77777777" w:rsidR="00B0300F" w:rsidRPr="003408E2" w:rsidRDefault="00B0300F" w:rsidP="00480FB1">
      <w:pPr>
        <w:tabs>
          <w:tab w:val="left" w:pos="540"/>
          <w:tab w:val="left" w:pos="569"/>
        </w:tabs>
        <w:rPr>
          <w:sz w:val="22"/>
          <w:szCs w:val="22"/>
          <w:u w:val="single"/>
          <w:lang w:val="sr-Latn-ME"/>
        </w:rPr>
      </w:pPr>
    </w:p>
    <w:p w14:paraId="7646C309" w14:textId="77777777" w:rsidR="0072020E" w:rsidRPr="003408E2" w:rsidRDefault="007A3ECB" w:rsidP="00480FB1">
      <w:pPr>
        <w:tabs>
          <w:tab w:val="left" w:pos="540"/>
          <w:tab w:val="left" w:pos="569"/>
        </w:tabs>
        <w:rPr>
          <w:sz w:val="22"/>
          <w:szCs w:val="22"/>
          <w:u w:val="single"/>
          <w:lang w:val="sr-Latn-ME"/>
        </w:rPr>
      </w:pPr>
      <w:r w:rsidRPr="003408E2">
        <w:rPr>
          <w:sz w:val="22"/>
          <w:szCs w:val="22"/>
          <w:u w:val="single"/>
          <w:lang w:val="sr-Latn-ME"/>
        </w:rPr>
        <w:t xml:space="preserve">Dojenje </w:t>
      </w:r>
    </w:p>
    <w:p w14:paraId="1E6EAC58" w14:textId="77777777" w:rsidR="00B0300F" w:rsidRPr="003408E2" w:rsidRDefault="00B0300F" w:rsidP="00480FB1">
      <w:pPr>
        <w:tabs>
          <w:tab w:val="left" w:pos="540"/>
          <w:tab w:val="left" w:pos="569"/>
        </w:tabs>
        <w:rPr>
          <w:sz w:val="22"/>
          <w:szCs w:val="22"/>
          <w:u w:val="single"/>
          <w:lang w:val="sr-Latn-ME"/>
        </w:rPr>
      </w:pPr>
    </w:p>
    <w:p w14:paraId="4D1F767B" w14:textId="3953EF1A" w:rsidR="00B0300F" w:rsidRPr="003408E2" w:rsidRDefault="001030FC" w:rsidP="00B0300F">
      <w:pPr>
        <w:tabs>
          <w:tab w:val="left" w:pos="540"/>
          <w:tab w:val="left" w:pos="569"/>
        </w:tabs>
        <w:jc w:val="both"/>
        <w:rPr>
          <w:bCs/>
          <w:sz w:val="22"/>
          <w:szCs w:val="22"/>
          <w:lang w:val="sr-Latn-ME"/>
        </w:rPr>
      </w:pPr>
      <w:r w:rsidRPr="003408E2">
        <w:rPr>
          <w:bCs/>
          <w:sz w:val="22"/>
          <w:szCs w:val="22"/>
          <w:lang w:val="sr-Latn-ME"/>
        </w:rPr>
        <w:t>P</w:t>
      </w:r>
      <w:r w:rsidR="00B0300F" w:rsidRPr="003408E2">
        <w:rPr>
          <w:bCs/>
          <w:sz w:val="22"/>
          <w:szCs w:val="22"/>
          <w:lang w:val="sr-Latn-ME"/>
        </w:rPr>
        <w:t>oslije oralne i parenteralne primjene, prijavljeno je da se klindamicin izlučuje u mlijeko dojilja</w:t>
      </w:r>
      <w:r w:rsidR="00AD0FA5" w:rsidRPr="003408E2">
        <w:rPr>
          <w:bCs/>
          <w:sz w:val="22"/>
          <w:szCs w:val="22"/>
          <w:lang w:val="sr-Latn-ME"/>
        </w:rPr>
        <w:t xml:space="preserve"> koje su na terapiji</w:t>
      </w:r>
      <w:r w:rsidRPr="003408E2">
        <w:rPr>
          <w:bCs/>
          <w:sz w:val="22"/>
          <w:szCs w:val="22"/>
          <w:lang w:val="sr-Latn-ME"/>
        </w:rPr>
        <w:t xml:space="preserve"> i</w:t>
      </w:r>
      <w:r w:rsidR="00AD0FA5" w:rsidRPr="003408E2">
        <w:rPr>
          <w:bCs/>
          <w:sz w:val="22"/>
          <w:szCs w:val="22"/>
          <w:lang w:val="sr-Latn-ME"/>
        </w:rPr>
        <w:t xml:space="preserve"> kod njihovih novorođenčadi/odojčadi prijavljena su</w:t>
      </w:r>
      <w:r w:rsidRPr="003408E2">
        <w:rPr>
          <w:bCs/>
          <w:sz w:val="22"/>
          <w:szCs w:val="22"/>
          <w:lang w:val="sr-Latn-ME"/>
        </w:rPr>
        <w:t xml:space="preserve"> neželjen</w:t>
      </w:r>
      <w:r w:rsidR="007E1E3A" w:rsidRPr="003408E2">
        <w:rPr>
          <w:bCs/>
          <w:sz w:val="22"/>
          <w:szCs w:val="22"/>
          <w:lang w:val="sr-Latn-ME"/>
        </w:rPr>
        <w:t>a</w:t>
      </w:r>
      <w:r w:rsidRPr="003408E2">
        <w:rPr>
          <w:bCs/>
          <w:sz w:val="22"/>
          <w:szCs w:val="22"/>
          <w:lang w:val="sr-Latn-ME"/>
        </w:rPr>
        <w:t xml:space="preserve"> dejstva (dijareja, krv u stolici i osip)</w:t>
      </w:r>
      <w:r w:rsidR="00B0300F" w:rsidRPr="003408E2">
        <w:rPr>
          <w:bCs/>
          <w:sz w:val="22"/>
          <w:szCs w:val="22"/>
          <w:lang w:val="sr-Latn-ME"/>
        </w:rPr>
        <w:t xml:space="preserve">. </w:t>
      </w:r>
      <w:r w:rsidR="00AD0FA5" w:rsidRPr="003408E2">
        <w:rPr>
          <w:bCs/>
          <w:sz w:val="22"/>
          <w:szCs w:val="22"/>
          <w:lang w:val="sr-Latn-ME"/>
        </w:rPr>
        <w:t xml:space="preserve">Koncentracije klindamicina u mlijeku dojilja nisu poznate, ali se očekuje da su niže od koncentracija prijavljenih nakon sistemske primjene. Treba </w:t>
      </w:r>
      <w:r w:rsidR="00B0300F" w:rsidRPr="003408E2">
        <w:rPr>
          <w:bCs/>
          <w:sz w:val="22"/>
          <w:szCs w:val="22"/>
          <w:lang w:val="sr-Latn-ME"/>
        </w:rPr>
        <w:t>donijeti odluku da li prekinuti dojenje ili prekinuti primjenu lijeka, uzimajući u obzir značaj lijeka za dojilju</w:t>
      </w:r>
      <w:r w:rsidR="00AD0FA5" w:rsidRPr="003408E2">
        <w:rPr>
          <w:bCs/>
          <w:sz w:val="22"/>
          <w:szCs w:val="22"/>
          <w:lang w:val="sr-Latn-ME"/>
        </w:rPr>
        <w:t xml:space="preserve"> i korist od dojenja na razvoj djeteta</w:t>
      </w:r>
      <w:r w:rsidR="00B0300F" w:rsidRPr="003408E2">
        <w:rPr>
          <w:bCs/>
          <w:sz w:val="22"/>
          <w:szCs w:val="22"/>
          <w:lang w:val="sr-Latn-ME"/>
        </w:rPr>
        <w:t>.</w:t>
      </w:r>
    </w:p>
    <w:p w14:paraId="6C5DC002" w14:textId="77777777" w:rsidR="004F44DA" w:rsidRPr="003408E2" w:rsidRDefault="004F44DA" w:rsidP="00480FB1">
      <w:pPr>
        <w:tabs>
          <w:tab w:val="left" w:pos="540"/>
          <w:tab w:val="left" w:pos="569"/>
        </w:tabs>
        <w:rPr>
          <w:sz w:val="22"/>
          <w:szCs w:val="22"/>
          <w:lang w:val="sr-Latn-ME"/>
        </w:rPr>
      </w:pPr>
    </w:p>
    <w:p w14:paraId="3A6B9AD3" w14:textId="4985EC41" w:rsidR="00B0300F" w:rsidRPr="003408E2" w:rsidRDefault="004F44DA" w:rsidP="00480FB1">
      <w:pPr>
        <w:tabs>
          <w:tab w:val="left" w:pos="540"/>
          <w:tab w:val="left" w:pos="569"/>
        </w:tabs>
        <w:rPr>
          <w:sz w:val="22"/>
          <w:szCs w:val="22"/>
          <w:lang w:val="sr-Latn-ME"/>
        </w:rPr>
      </w:pPr>
      <w:r w:rsidRPr="003408E2">
        <w:rPr>
          <w:sz w:val="22"/>
          <w:szCs w:val="22"/>
          <w:lang w:val="sr-Latn-ME"/>
        </w:rPr>
        <w:t>Dojenje se može nastaviti kod topikalne primjene klindamicina, ali ga ne treba primjenjivati na grudi ili u blizini grudi.</w:t>
      </w:r>
    </w:p>
    <w:p w14:paraId="13B51919" w14:textId="77777777" w:rsidR="00227BDB" w:rsidRPr="003408E2" w:rsidRDefault="00227BDB" w:rsidP="00396DFD">
      <w:pPr>
        <w:tabs>
          <w:tab w:val="left" w:pos="540"/>
          <w:tab w:val="left" w:pos="569"/>
        </w:tabs>
        <w:ind w:left="540" w:hanging="540"/>
        <w:rPr>
          <w:b/>
          <w:bCs/>
          <w:sz w:val="22"/>
          <w:szCs w:val="22"/>
          <w:lang w:val="sr-Latn-ME"/>
        </w:rPr>
      </w:pPr>
    </w:p>
    <w:p w14:paraId="25908C0E" w14:textId="77777777" w:rsidR="0072020E" w:rsidRPr="003408E2" w:rsidRDefault="0072020E" w:rsidP="00396DFD">
      <w:pPr>
        <w:tabs>
          <w:tab w:val="left" w:pos="540"/>
          <w:tab w:val="left" w:pos="569"/>
        </w:tabs>
        <w:ind w:left="540" w:hanging="540"/>
        <w:rPr>
          <w:b/>
          <w:bCs/>
          <w:sz w:val="22"/>
          <w:szCs w:val="22"/>
          <w:lang w:val="sr-Latn-ME"/>
        </w:rPr>
      </w:pPr>
      <w:r w:rsidRPr="003408E2">
        <w:rPr>
          <w:b/>
          <w:bCs/>
          <w:sz w:val="22"/>
          <w:szCs w:val="22"/>
          <w:lang w:val="sr-Latn-ME"/>
        </w:rPr>
        <w:t xml:space="preserve">4.7. </w:t>
      </w:r>
      <w:r w:rsidR="00480FB1" w:rsidRPr="003408E2">
        <w:rPr>
          <w:b/>
          <w:bCs/>
          <w:sz w:val="22"/>
          <w:szCs w:val="22"/>
          <w:lang w:val="sr-Latn-ME"/>
        </w:rPr>
        <w:tab/>
      </w:r>
      <w:r w:rsidRPr="003408E2">
        <w:rPr>
          <w:b/>
          <w:bCs/>
          <w:sz w:val="22"/>
          <w:szCs w:val="22"/>
          <w:lang w:val="sr-Latn-ME"/>
        </w:rPr>
        <w:t xml:space="preserve">Uticaj na </w:t>
      </w:r>
      <w:r w:rsidR="002031B3" w:rsidRPr="003408E2">
        <w:rPr>
          <w:b/>
          <w:bCs/>
          <w:sz w:val="22"/>
          <w:szCs w:val="22"/>
          <w:lang w:val="sr-Latn-ME"/>
        </w:rPr>
        <w:t xml:space="preserve">sposobnost </w:t>
      </w:r>
      <w:r w:rsidR="00F34554" w:rsidRPr="003408E2">
        <w:rPr>
          <w:b/>
          <w:bCs/>
          <w:sz w:val="22"/>
          <w:szCs w:val="22"/>
          <w:lang w:val="sr-Latn-ME"/>
        </w:rPr>
        <w:t>upravljanja vozili</w:t>
      </w:r>
      <w:r w:rsidRPr="003408E2">
        <w:rPr>
          <w:b/>
          <w:bCs/>
          <w:sz w:val="22"/>
          <w:szCs w:val="22"/>
          <w:lang w:val="sr-Latn-ME"/>
        </w:rPr>
        <w:t>m</w:t>
      </w:r>
      <w:r w:rsidR="00F34554" w:rsidRPr="003408E2">
        <w:rPr>
          <w:b/>
          <w:bCs/>
          <w:sz w:val="22"/>
          <w:szCs w:val="22"/>
          <w:lang w:val="sr-Latn-ME"/>
        </w:rPr>
        <w:t>a</w:t>
      </w:r>
      <w:r w:rsidRPr="003408E2">
        <w:rPr>
          <w:b/>
          <w:bCs/>
          <w:sz w:val="22"/>
          <w:szCs w:val="22"/>
          <w:lang w:val="sr-Latn-ME"/>
        </w:rPr>
        <w:t xml:space="preserve"> i </w:t>
      </w:r>
      <w:r w:rsidR="000D3449" w:rsidRPr="003408E2">
        <w:rPr>
          <w:b/>
          <w:bCs/>
          <w:sz w:val="22"/>
          <w:szCs w:val="22"/>
          <w:lang w:val="sr-Latn-ME"/>
        </w:rPr>
        <w:t xml:space="preserve">rukovanje </w:t>
      </w:r>
      <w:r w:rsidRPr="003408E2">
        <w:rPr>
          <w:b/>
          <w:bCs/>
          <w:sz w:val="22"/>
          <w:szCs w:val="22"/>
          <w:lang w:val="sr-Latn-ME"/>
        </w:rPr>
        <w:t>mašinama</w:t>
      </w:r>
    </w:p>
    <w:p w14:paraId="3559C2DD" w14:textId="77777777" w:rsidR="0072020E" w:rsidRPr="003408E2" w:rsidRDefault="0072020E" w:rsidP="00480FB1">
      <w:pPr>
        <w:tabs>
          <w:tab w:val="left" w:pos="540"/>
          <w:tab w:val="left" w:pos="569"/>
        </w:tabs>
        <w:rPr>
          <w:b/>
          <w:bCs/>
          <w:sz w:val="22"/>
          <w:szCs w:val="22"/>
          <w:lang w:val="sr-Latn-ME"/>
        </w:rPr>
      </w:pPr>
    </w:p>
    <w:p w14:paraId="14140415" w14:textId="2D17B204" w:rsidR="00B0300F" w:rsidRPr="003408E2" w:rsidRDefault="00B0300F" w:rsidP="00B0300F">
      <w:pPr>
        <w:tabs>
          <w:tab w:val="left" w:pos="540"/>
          <w:tab w:val="left" w:pos="569"/>
        </w:tabs>
        <w:jc w:val="both"/>
        <w:rPr>
          <w:bCs/>
          <w:sz w:val="22"/>
          <w:szCs w:val="22"/>
          <w:lang w:val="sr-Latn-ME"/>
        </w:rPr>
      </w:pPr>
      <w:r w:rsidRPr="003408E2">
        <w:rPr>
          <w:bCs/>
          <w:sz w:val="22"/>
          <w:szCs w:val="22"/>
          <w:lang w:val="sr-Latn-ME"/>
        </w:rPr>
        <w:t>Lijek Aknet rastvor nema ili ima zanemarljiv uticaj na sposobnost upravljanja motornim vozilima i rukovanja mašinama.</w:t>
      </w:r>
    </w:p>
    <w:p w14:paraId="0AAA13A2" w14:textId="77777777" w:rsidR="00B0300F" w:rsidRPr="003408E2" w:rsidRDefault="00B0300F" w:rsidP="00480FB1">
      <w:pPr>
        <w:tabs>
          <w:tab w:val="left" w:pos="540"/>
          <w:tab w:val="left" w:pos="569"/>
        </w:tabs>
        <w:rPr>
          <w:b/>
          <w:bCs/>
          <w:sz w:val="22"/>
          <w:szCs w:val="22"/>
          <w:lang w:val="sr-Latn-ME"/>
        </w:rPr>
      </w:pPr>
    </w:p>
    <w:p w14:paraId="4F956097" w14:textId="77777777" w:rsidR="0072020E" w:rsidRPr="003408E2" w:rsidRDefault="0072020E" w:rsidP="00480FB1">
      <w:pPr>
        <w:tabs>
          <w:tab w:val="left" w:pos="540"/>
          <w:tab w:val="left" w:pos="569"/>
        </w:tabs>
        <w:rPr>
          <w:b/>
          <w:bCs/>
          <w:sz w:val="22"/>
          <w:szCs w:val="22"/>
          <w:lang w:val="sr-Latn-ME"/>
        </w:rPr>
      </w:pPr>
      <w:r w:rsidRPr="003408E2">
        <w:rPr>
          <w:b/>
          <w:bCs/>
          <w:sz w:val="22"/>
          <w:szCs w:val="22"/>
          <w:lang w:val="sr-Latn-ME"/>
        </w:rPr>
        <w:t xml:space="preserve">4.8. </w:t>
      </w:r>
      <w:r w:rsidR="00480FB1" w:rsidRPr="003408E2">
        <w:rPr>
          <w:b/>
          <w:bCs/>
          <w:sz w:val="22"/>
          <w:szCs w:val="22"/>
          <w:lang w:val="sr-Latn-ME"/>
        </w:rPr>
        <w:tab/>
      </w:r>
      <w:r w:rsidRPr="003408E2">
        <w:rPr>
          <w:b/>
          <w:bCs/>
          <w:sz w:val="22"/>
          <w:szCs w:val="22"/>
          <w:lang w:val="sr-Latn-ME"/>
        </w:rPr>
        <w:t>Neželjena dejstva</w:t>
      </w:r>
    </w:p>
    <w:p w14:paraId="30A7658F" w14:textId="77777777" w:rsidR="004E70AD" w:rsidRPr="003408E2" w:rsidRDefault="004E70AD" w:rsidP="00480FB1">
      <w:pPr>
        <w:tabs>
          <w:tab w:val="left" w:pos="540"/>
          <w:tab w:val="left" w:pos="569"/>
        </w:tabs>
        <w:rPr>
          <w:b/>
          <w:bCs/>
          <w:sz w:val="22"/>
          <w:szCs w:val="22"/>
          <w:lang w:val="sr-Latn-ME"/>
        </w:rPr>
      </w:pPr>
    </w:p>
    <w:p w14:paraId="5DF7E50A" w14:textId="77777777" w:rsidR="00B0300F" w:rsidRPr="003408E2" w:rsidRDefault="00B0300F" w:rsidP="00B0300F">
      <w:pPr>
        <w:autoSpaceDE w:val="0"/>
        <w:autoSpaceDN w:val="0"/>
        <w:adjustRightInd w:val="0"/>
        <w:jc w:val="both"/>
        <w:rPr>
          <w:sz w:val="22"/>
          <w:szCs w:val="22"/>
          <w:lang w:val="sr-Latn-ME"/>
        </w:rPr>
      </w:pPr>
      <w:r w:rsidRPr="003408E2">
        <w:rPr>
          <w:bCs/>
          <w:sz w:val="22"/>
          <w:szCs w:val="22"/>
          <w:lang w:val="sr-Latn-ME"/>
        </w:rPr>
        <w:t xml:space="preserve">U Tabeli ispod prikazana su neželjena dejstva koja su identifikovana u toku kliničkih ispitivanja, kao i spontanim prijavljivanjem u postmarketinškom periodu, klasifikovana prema sistemu organa i učestalosti. Neželjena dejstva identifikovana u postmarketinškom periodu navedena su u fontu italic. Kategorije učestalosti su definisane prema sljedećoj konvenciji: veoma česta (≥1/10); česta (≥1/100 do &lt;1/10); povremena (≥1/1.000 do &lt;1/100); rijetka (≥1/10.000 do &lt;1/1.000); veoma rijetka (&lt; 1/10.000) i nepoznate učestalosti (ne može se utvrditi na osnovu dostupnih podataka). </w:t>
      </w:r>
      <w:r w:rsidRPr="003408E2">
        <w:rPr>
          <w:sz w:val="22"/>
          <w:szCs w:val="22"/>
          <w:lang w:val="sr-Latn-ME"/>
        </w:rPr>
        <w:t>U okviru svake grupe učestalosti, neželjena dejstva su prikazana po opadajućoj ozbiljnosti.</w:t>
      </w:r>
    </w:p>
    <w:p w14:paraId="4FAD23B0" w14:textId="77777777" w:rsidR="00B0300F" w:rsidRPr="003408E2" w:rsidRDefault="00B0300F" w:rsidP="00480FB1">
      <w:pPr>
        <w:tabs>
          <w:tab w:val="left" w:pos="540"/>
          <w:tab w:val="left" w:pos="569"/>
        </w:tabs>
        <w:rPr>
          <w:b/>
          <w:bCs/>
          <w:sz w:val="22"/>
          <w:szCs w:val="22"/>
          <w:lang w:val="sr-Latn-ME"/>
        </w:rPr>
      </w:pP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2226"/>
        <w:gridCol w:w="2226"/>
        <w:gridCol w:w="2227"/>
      </w:tblGrid>
      <w:tr w:rsidR="004F44DA" w:rsidRPr="003408E2" w14:paraId="4DB7A753" w14:textId="77777777" w:rsidTr="00123000">
        <w:trPr>
          <w:jc w:val="center"/>
        </w:trPr>
        <w:tc>
          <w:tcPr>
            <w:tcW w:w="2226" w:type="dxa"/>
            <w:vAlign w:val="center"/>
          </w:tcPr>
          <w:p w14:paraId="458F8AFF" w14:textId="77777777" w:rsidR="004F44DA" w:rsidRPr="003408E2" w:rsidRDefault="004F44DA" w:rsidP="00B0300F">
            <w:pPr>
              <w:tabs>
                <w:tab w:val="left" w:pos="284"/>
                <w:tab w:val="center" w:pos="4320"/>
                <w:tab w:val="right" w:pos="8640"/>
              </w:tabs>
              <w:spacing w:before="40" w:after="40"/>
              <w:jc w:val="center"/>
              <w:rPr>
                <w:bCs/>
                <w:sz w:val="22"/>
                <w:szCs w:val="22"/>
                <w:lang w:val="sr-Latn-ME"/>
              </w:rPr>
            </w:pPr>
            <w:r w:rsidRPr="003408E2">
              <w:rPr>
                <w:rFonts w:eastAsia="TimesNewRoman,Bold"/>
                <w:bCs/>
                <w:sz w:val="22"/>
                <w:szCs w:val="22"/>
                <w:lang w:val="sr-Latn-ME" w:eastAsia="sr-Latn-CS"/>
              </w:rPr>
              <w:t>MedDRA klasifikacija sistema organa</w:t>
            </w:r>
          </w:p>
        </w:tc>
        <w:tc>
          <w:tcPr>
            <w:tcW w:w="2226" w:type="dxa"/>
            <w:vAlign w:val="center"/>
          </w:tcPr>
          <w:p w14:paraId="2ED42A89" w14:textId="77777777" w:rsidR="004F44DA" w:rsidRPr="003408E2" w:rsidRDefault="004F44DA" w:rsidP="00B0300F">
            <w:pPr>
              <w:tabs>
                <w:tab w:val="left" w:pos="284"/>
                <w:tab w:val="center" w:pos="4320"/>
                <w:tab w:val="right" w:pos="8640"/>
              </w:tabs>
              <w:spacing w:before="40" w:after="40"/>
              <w:jc w:val="center"/>
              <w:rPr>
                <w:rFonts w:eastAsia="TimesNewRoman"/>
                <w:sz w:val="22"/>
                <w:szCs w:val="22"/>
                <w:lang w:val="sr-Latn-ME" w:eastAsia="sr-Latn-CS"/>
              </w:rPr>
            </w:pPr>
            <w:r w:rsidRPr="003408E2">
              <w:rPr>
                <w:rFonts w:eastAsia="TimesNewRoman"/>
                <w:sz w:val="22"/>
                <w:szCs w:val="22"/>
                <w:lang w:val="sr-Latn-ME" w:eastAsia="sr-Latn-CS"/>
              </w:rPr>
              <w:t>Veoma česta</w:t>
            </w:r>
          </w:p>
          <w:p w14:paraId="1C7091B4" w14:textId="77777777" w:rsidR="004F44DA" w:rsidRPr="003408E2" w:rsidRDefault="004F44DA" w:rsidP="00B0300F">
            <w:pPr>
              <w:tabs>
                <w:tab w:val="left" w:pos="284"/>
                <w:tab w:val="center" w:pos="4320"/>
                <w:tab w:val="right" w:pos="8640"/>
              </w:tabs>
              <w:spacing w:before="40" w:after="40"/>
              <w:jc w:val="center"/>
              <w:rPr>
                <w:bCs/>
                <w:sz w:val="22"/>
                <w:szCs w:val="22"/>
                <w:lang w:val="sr-Latn-ME"/>
              </w:rPr>
            </w:pPr>
            <w:r w:rsidRPr="003408E2">
              <w:rPr>
                <w:bCs/>
                <w:sz w:val="22"/>
                <w:szCs w:val="22"/>
                <w:lang w:val="sr-Latn-ME"/>
              </w:rPr>
              <w:t>(≥1/10)</w:t>
            </w:r>
          </w:p>
        </w:tc>
        <w:tc>
          <w:tcPr>
            <w:tcW w:w="2226" w:type="dxa"/>
            <w:vAlign w:val="center"/>
          </w:tcPr>
          <w:p w14:paraId="25926841" w14:textId="77777777" w:rsidR="004F44DA" w:rsidRPr="003408E2" w:rsidRDefault="004F44DA" w:rsidP="00B0300F">
            <w:pPr>
              <w:tabs>
                <w:tab w:val="left" w:pos="284"/>
                <w:tab w:val="center" w:pos="4320"/>
                <w:tab w:val="right" w:pos="8640"/>
              </w:tabs>
              <w:spacing w:before="40" w:after="40"/>
              <w:jc w:val="center"/>
              <w:rPr>
                <w:rFonts w:eastAsia="TimesNewRoman"/>
                <w:sz w:val="22"/>
                <w:szCs w:val="22"/>
                <w:lang w:val="sr-Latn-ME" w:eastAsia="sr-Latn-CS"/>
              </w:rPr>
            </w:pPr>
            <w:r w:rsidRPr="003408E2">
              <w:rPr>
                <w:rFonts w:eastAsia="TimesNewRoman"/>
                <w:sz w:val="22"/>
                <w:szCs w:val="22"/>
                <w:lang w:val="sr-Latn-ME" w:eastAsia="sr-Latn-CS"/>
              </w:rPr>
              <w:t>Česta</w:t>
            </w:r>
          </w:p>
          <w:p w14:paraId="7CB6527D" w14:textId="77777777" w:rsidR="004F44DA" w:rsidRPr="003408E2" w:rsidRDefault="004F44DA" w:rsidP="00B0300F">
            <w:pPr>
              <w:tabs>
                <w:tab w:val="left" w:pos="284"/>
                <w:tab w:val="center" w:pos="4320"/>
                <w:tab w:val="right" w:pos="8640"/>
              </w:tabs>
              <w:spacing w:before="40" w:after="40"/>
              <w:jc w:val="center"/>
              <w:rPr>
                <w:bCs/>
                <w:sz w:val="22"/>
                <w:szCs w:val="22"/>
                <w:lang w:val="sr-Latn-ME"/>
              </w:rPr>
            </w:pPr>
            <w:r w:rsidRPr="003408E2">
              <w:rPr>
                <w:bCs/>
                <w:sz w:val="22"/>
                <w:szCs w:val="22"/>
                <w:lang w:val="sr-Latn-ME"/>
              </w:rPr>
              <w:t>(≥1/100 do &lt;1/10)</w:t>
            </w:r>
          </w:p>
        </w:tc>
        <w:tc>
          <w:tcPr>
            <w:tcW w:w="2227" w:type="dxa"/>
            <w:vAlign w:val="center"/>
          </w:tcPr>
          <w:p w14:paraId="225C65BC" w14:textId="77777777" w:rsidR="004F44DA" w:rsidRPr="003408E2" w:rsidRDefault="004F44DA" w:rsidP="00B0300F">
            <w:pPr>
              <w:tabs>
                <w:tab w:val="left" w:pos="284"/>
                <w:tab w:val="center" w:pos="4320"/>
                <w:tab w:val="right" w:pos="8640"/>
              </w:tabs>
              <w:spacing w:before="40" w:after="40"/>
              <w:jc w:val="center"/>
              <w:rPr>
                <w:bCs/>
                <w:sz w:val="22"/>
                <w:szCs w:val="22"/>
                <w:lang w:val="sr-Latn-ME"/>
              </w:rPr>
            </w:pPr>
            <w:r w:rsidRPr="003408E2">
              <w:rPr>
                <w:rFonts w:eastAsia="TimesNewRoman"/>
                <w:sz w:val="22"/>
                <w:szCs w:val="22"/>
                <w:lang w:val="sr-Latn-ME" w:eastAsia="sr-Latn-CS"/>
              </w:rPr>
              <w:t>Nepoznate učestalosti</w:t>
            </w:r>
          </w:p>
        </w:tc>
      </w:tr>
      <w:tr w:rsidR="004F44DA" w:rsidRPr="003408E2" w14:paraId="61D3AD40" w14:textId="77777777" w:rsidTr="00123000">
        <w:trPr>
          <w:jc w:val="center"/>
        </w:trPr>
        <w:tc>
          <w:tcPr>
            <w:tcW w:w="2226" w:type="dxa"/>
          </w:tcPr>
          <w:p w14:paraId="199B06AD" w14:textId="77777777" w:rsidR="004F44DA" w:rsidRPr="003408E2" w:rsidRDefault="004F44DA" w:rsidP="00B0300F">
            <w:pPr>
              <w:tabs>
                <w:tab w:val="left" w:pos="284"/>
                <w:tab w:val="center" w:pos="4320"/>
                <w:tab w:val="right" w:pos="8640"/>
              </w:tabs>
              <w:spacing w:before="40" w:after="40"/>
              <w:rPr>
                <w:rFonts w:eastAsia="TimesNewRoman,Bold"/>
                <w:bCs/>
                <w:sz w:val="22"/>
                <w:szCs w:val="22"/>
                <w:lang w:val="sr-Latn-ME" w:eastAsia="sr-Latn-CS"/>
              </w:rPr>
            </w:pPr>
            <w:r w:rsidRPr="003408E2">
              <w:rPr>
                <w:rFonts w:eastAsia="TimesNewRoman,Bold"/>
                <w:bCs/>
                <w:sz w:val="22"/>
                <w:szCs w:val="22"/>
                <w:lang w:val="sr-Latn-ME" w:eastAsia="sr-Latn-CS"/>
              </w:rPr>
              <w:t>Infekcije i</w:t>
            </w:r>
          </w:p>
          <w:p w14:paraId="6B5BE76C" w14:textId="77777777" w:rsidR="004F44DA" w:rsidRPr="003408E2" w:rsidRDefault="004F44DA" w:rsidP="00B0300F">
            <w:pPr>
              <w:tabs>
                <w:tab w:val="left" w:pos="284"/>
                <w:tab w:val="center" w:pos="4320"/>
                <w:tab w:val="right" w:pos="8640"/>
              </w:tabs>
              <w:spacing w:before="40" w:after="40"/>
              <w:rPr>
                <w:bCs/>
                <w:sz w:val="22"/>
                <w:szCs w:val="22"/>
                <w:lang w:val="sr-Latn-ME"/>
              </w:rPr>
            </w:pPr>
            <w:r w:rsidRPr="003408E2">
              <w:rPr>
                <w:rFonts w:eastAsia="TimesNewRoman,Bold"/>
                <w:bCs/>
                <w:sz w:val="22"/>
                <w:szCs w:val="22"/>
                <w:lang w:val="sr-Latn-ME" w:eastAsia="sr-Latn-CS"/>
              </w:rPr>
              <w:t>infestacije</w:t>
            </w:r>
          </w:p>
        </w:tc>
        <w:tc>
          <w:tcPr>
            <w:tcW w:w="2226" w:type="dxa"/>
          </w:tcPr>
          <w:p w14:paraId="3FCA0C80" w14:textId="77777777" w:rsidR="004F44DA" w:rsidRPr="003408E2" w:rsidRDefault="004F44DA" w:rsidP="00B0300F">
            <w:pPr>
              <w:tabs>
                <w:tab w:val="left" w:pos="284"/>
                <w:tab w:val="center" w:pos="4320"/>
                <w:tab w:val="right" w:pos="8640"/>
              </w:tabs>
              <w:spacing w:before="40" w:after="40"/>
              <w:rPr>
                <w:bCs/>
                <w:sz w:val="22"/>
                <w:szCs w:val="22"/>
                <w:lang w:val="sr-Latn-ME"/>
              </w:rPr>
            </w:pPr>
          </w:p>
        </w:tc>
        <w:tc>
          <w:tcPr>
            <w:tcW w:w="2226" w:type="dxa"/>
          </w:tcPr>
          <w:p w14:paraId="454E647D" w14:textId="77777777" w:rsidR="004F44DA" w:rsidRPr="003408E2" w:rsidRDefault="004F44DA" w:rsidP="00B0300F">
            <w:pPr>
              <w:tabs>
                <w:tab w:val="left" w:pos="284"/>
                <w:tab w:val="center" w:pos="4320"/>
                <w:tab w:val="right" w:pos="8640"/>
              </w:tabs>
              <w:spacing w:before="40" w:after="40"/>
              <w:rPr>
                <w:bCs/>
                <w:sz w:val="22"/>
                <w:szCs w:val="22"/>
                <w:lang w:val="sr-Latn-ME"/>
              </w:rPr>
            </w:pPr>
          </w:p>
        </w:tc>
        <w:tc>
          <w:tcPr>
            <w:tcW w:w="2227" w:type="dxa"/>
          </w:tcPr>
          <w:p w14:paraId="0CEB63F8" w14:textId="77777777" w:rsidR="004F44DA" w:rsidRPr="003408E2" w:rsidRDefault="004F44DA" w:rsidP="00B0300F">
            <w:pPr>
              <w:tabs>
                <w:tab w:val="left" w:pos="284"/>
                <w:tab w:val="center" w:pos="4320"/>
                <w:tab w:val="right" w:pos="8640"/>
              </w:tabs>
              <w:spacing w:before="40" w:after="40"/>
              <w:rPr>
                <w:bCs/>
                <w:i/>
                <w:sz w:val="22"/>
                <w:szCs w:val="22"/>
                <w:lang w:val="sr-Latn-ME"/>
              </w:rPr>
            </w:pPr>
            <w:r w:rsidRPr="003408E2">
              <w:rPr>
                <w:bCs/>
                <w:i/>
                <w:sz w:val="22"/>
                <w:szCs w:val="22"/>
                <w:lang w:val="sr-Latn-ME"/>
              </w:rPr>
              <w:t>Folikulitis izazvan</w:t>
            </w:r>
          </w:p>
          <w:p w14:paraId="3D66C9C8" w14:textId="77777777" w:rsidR="004F44DA" w:rsidRPr="003408E2" w:rsidRDefault="004F44DA" w:rsidP="00B0300F">
            <w:pPr>
              <w:tabs>
                <w:tab w:val="left" w:pos="284"/>
                <w:tab w:val="center" w:pos="4320"/>
                <w:tab w:val="right" w:pos="8640"/>
              </w:tabs>
              <w:spacing w:before="40" w:after="40"/>
              <w:rPr>
                <w:bCs/>
                <w:i/>
                <w:sz w:val="22"/>
                <w:szCs w:val="22"/>
                <w:lang w:val="sr-Latn-ME"/>
              </w:rPr>
            </w:pPr>
            <w:r w:rsidRPr="003408E2">
              <w:rPr>
                <w:bCs/>
                <w:i/>
                <w:sz w:val="22"/>
                <w:szCs w:val="22"/>
                <w:lang w:val="sr-Latn-ME"/>
              </w:rPr>
              <w:t>gram-negativnim</w:t>
            </w:r>
          </w:p>
          <w:p w14:paraId="2B57C956" w14:textId="77777777" w:rsidR="004F44DA" w:rsidRPr="003408E2" w:rsidRDefault="004F44DA" w:rsidP="00B0300F">
            <w:pPr>
              <w:tabs>
                <w:tab w:val="left" w:pos="284"/>
                <w:tab w:val="center" w:pos="4320"/>
                <w:tab w:val="right" w:pos="8640"/>
              </w:tabs>
              <w:spacing w:before="40" w:after="40"/>
              <w:rPr>
                <w:bCs/>
                <w:i/>
                <w:sz w:val="22"/>
                <w:szCs w:val="22"/>
                <w:lang w:val="sr-Latn-ME"/>
              </w:rPr>
            </w:pPr>
            <w:r w:rsidRPr="003408E2">
              <w:rPr>
                <w:bCs/>
                <w:i/>
                <w:sz w:val="22"/>
                <w:szCs w:val="22"/>
                <w:lang w:val="sr-Latn-ME"/>
              </w:rPr>
              <w:t>bakterijama</w:t>
            </w:r>
          </w:p>
        </w:tc>
      </w:tr>
      <w:tr w:rsidR="004F44DA" w:rsidRPr="003408E2" w14:paraId="3CA6AE93" w14:textId="77777777" w:rsidTr="00123000">
        <w:trPr>
          <w:jc w:val="center"/>
        </w:trPr>
        <w:tc>
          <w:tcPr>
            <w:tcW w:w="2226" w:type="dxa"/>
          </w:tcPr>
          <w:p w14:paraId="10AA5542" w14:textId="77777777" w:rsidR="004F44DA" w:rsidRPr="003408E2" w:rsidRDefault="004F44DA" w:rsidP="00B0300F">
            <w:pPr>
              <w:tabs>
                <w:tab w:val="left" w:pos="284"/>
                <w:tab w:val="center" w:pos="4320"/>
                <w:tab w:val="right" w:pos="8640"/>
              </w:tabs>
              <w:spacing w:before="40" w:after="40"/>
              <w:rPr>
                <w:rFonts w:eastAsia="TimesNewRoman,Bold"/>
                <w:bCs/>
                <w:sz w:val="22"/>
                <w:szCs w:val="22"/>
                <w:lang w:val="sr-Latn-ME" w:eastAsia="sr-Latn-CS"/>
              </w:rPr>
            </w:pPr>
            <w:r w:rsidRPr="003408E2">
              <w:rPr>
                <w:rFonts w:eastAsia="TimesNewRoman,Bold"/>
                <w:bCs/>
                <w:sz w:val="22"/>
                <w:szCs w:val="22"/>
                <w:lang w:val="sr-Latn-ME" w:eastAsia="sr-Latn-CS"/>
              </w:rPr>
              <w:t>Poremećaji na</w:t>
            </w:r>
          </w:p>
          <w:p w14:paraId="719572C1" w14:textId="77777777" w:rsidR="004F44DA" w:rsidRPr="003408E2" w:rsidRDefault="004F44DA" w:rsidP="00B0300F">
            <w:pPr>
              <w:tabs>
                <w:tab w:val="left" w:pos="284"/>
                <w:tab w:val="center" w:pos="4320"/>
                <w:tab w:val="right" w:pos="8640"/>
              </w:tabs>
              <w:spacing w:before="40" w:after="40"/>
              <w:rPr>
                <w:bCs/>
                <w:sz w:val="22"/>
                <w:szCs w:val="22"/>
                <w:lang w:val="sr-Latn-ME"/>
              </w:rPr>
            </w:pPr>
            <w:r w:rsidRPr="003408E2">
              <w:rPr>
                <w:rFonts w:eastAsia="TimesNewRoman,Bold"/>
                <w:bCs/>
                <w:sz w:val="22"/>
                <w:szCs w:val="22"/>
                <w:lang w:val="sr-Latn-ME" w:eastAsia="sr-Latn-CS"/>
              </w:rPr>
              <w:t>nivou oka</w:t>
            </w:r>
          </w:p>
        </w:tc>
        <w:tc>
          <w:tcPr>
            <w:tcW w:w="2226" w:type="dxa"/>
          </w:tcPr>
          <w:p w14:paraId="0D6055A5" w14:textId="77777777" w:rsidR="004F44DA" w:rsidRPr="003408E2" w:rsidRDefault="004F44DA" w:rsidP="00B0300F">
            <w:pPr>
              <w:tabs>
                <w:tab w:val="left" w:pos="284"/>
                <w:tab w:val="center" w:pos="4320"/>
                <w:tab w:val="right" w:pos="8640"/>
              </w:tabs>
              <w:spacing w:before="40" w:after="40"/>
              <w:rPr>
                <w:bCs/>
                <w:sz w:val="22"/>
                <w:szCs w:val="22"/>
                <w:lang w:val="sr-Latn-ME"/>
              </w:rPr>
            </w:pPr>
          </w:p>
        </w:tc>
        <w:tc>
          <w:tcPr>
            <w:tcW w:w="2226" w:type="dxa"/>
          </w:tcPr>
          <w:p w14:paraId="43C25469" w14:textId="77777777" w:rsidR="004F44DA" w:rsidRPr="003408E2" w:rsidRDefault="004F44DA" w:rsidP="00B0300F">
            <w:pPr>
              <w:tabs>
                <w:tab w:val="left" w:pos="284"/>
                <w:tab w:val="center" w:pos="4320"/>
                <w:tab w:val="right" w:pos="8640"/>
              </w:tabs>
              <w:spacing w:before="40" w:after="40"/>
              <w:rPr>
                <w:bCs/>
                <w:sz w:val="22"/>
                <w:szCs w:val="22"/>
                <w:lang w:val="sr-Latn-ME"/>
              </w:rPr>
            </w:pPr>
          </w:p>
        </w:tc>
        <w:tc>
          <w:tcPr>
            <w:tcW w:w="2227" w:type="dxa"/>
          </w:tcPr>
          <w:p w14:paraId="0C1F3524" w14:textId="77777777" w:rsidR="004F44DA" w:rsidRPr="003408E2" w:rsidRDefault="004F44DA" w:rsidP="00B0300F">
            <w:pPr>
              <w:tabs>
                <w:tab w:val="left" w:pos="284"/>
                <w:tab w:val="center" w:pos="4320"/>
                <w:tab w:val="right" w:pos="8640"/>
              </w:tabs>
              <w:spacing w:before="40" w:after="40"/>
              <w:rPr>
                <w:bCs/>
                <w:i/>
                <w:sz w:val="22"/>
                <w:szCs w:val="22"/>
                <w:lang w:val="sr-Latn-ME"/>
              </w:rPr>
            </w:pPr>
            <w:r w:rsidRPr="003408E2">
              <w:rPr>
                <w:bCs/>
                <w:i/>
                <w:sz w:val="22"/>
                <w:szCs w:val="22"/>
                <w:lang w:val="sr-Latn-ME"/>
              </w:rPr>
              <w:t>Osjećaj bola u</w:t>
            </w:r>
          </w:p>
          <w:p w14:paraId="24466BEA" w14:textId="77777777" w:rsidR="004F44DA" w:rsidRPr="003408E2" w:rsidRDefault="004F44DA" w:rsidP="00B0300F">
            <w:pPr>
              <w:tabs>
                <w:tab w:val="left" w:pos="284"/>
                <w:tab w:val="center" w:pos="4320"/>
                <w:tab w:val="right" w:pos="8640"/>
              </w:tabs>
              <w:spacing w:before="40" w:after="40"/>
              <w:rPr>
                <w:bCs/>
                <w:i/>
                <w:sz w:val="22"/>
                <w:szCs w:val="22"/>
                <w:lang w:val="sr-Latn-ME"/>
              </w:rPr>
            </w:pPr>
            <w:r w:rsidRPr="003408E2">
              <w:rPr>
                <w:bCs/>
                <w:i/>
                <w:sz w:val="22"/>
                <w:szCs w:val="22"/>
                <w:lang w:val="sr-Latn-ME"/>
              </w:rPr>
              <w:t>oku</w:t>
            </w:r>
          </w:p>
        </w:tc>
      </w:tr>
      <w:tr w:rsidR="004F44DA" w:rsidRPr="003408E2" w14:paraId="1C990F7D" w14:textId="77777777" w:rsidTr="00123000">
        <w:trPr>
          <w:jc w:val="center"/>
        </w:trPr>
        <w:tc>
          <w:tcPr>
            <w:tcW w:w="2226" w:type="dxa"/>
          </w:tcPr>
          <w:p w14:paraId="61840A94" w14:textId="77777777" w:rsidR="004F44DA" w:rsidRPr="003408E2" w:rsidRDefault="004F44DA" w:rsidP="00B0300F">
            <w:pPr>
              <w:tabs>
                <w:tab w:val="left" w:pos="284"/>
                <w:tab w:val="center" w:pos="4320"/>
                <w:tab w:val="right" w:pos="8640"/>
              </w:tabs>
              <w:spacing w:before="40" w:after="40"/>
              <w:rPr>
                <w:bCs/>
                <w:sz w:val="22"/>
                <w:szCs w:val="22"/>
                <w:lang w:val="sr-Latn-ME"/>
              </w:rPr>
            </w:pPr>
            <w:r w:rsidRPr="003408E2">
              <w:rPr>
                <w:rFonts w:eastAsia="TimesNewRoman,Bold"/>
                <w:bCs/>
                <w:sz w:val="22"/>
                <w:szCs w:val="22"/>
                <w:lang w:val="sr-Latn-ME" w:eastAsia="sr-Latn-CS"/>
              </w:rPr>
              <w:t>Gastrointestinalni poremećaji</w:t>
            </w:r>
          </w:p>
        </w:tc>
        <w:tc>
          <w:tcPr>
            <w:tcW w:w="2226" w:type="dxa"/>
          </w:tcPr>
          <w:p w14:paraId="2196AD0E" w14:textId="77777777" w:rsidR="004F44DA" w:rsidRPr="003408E2" w:rsidRDefault="004F44DA" w:rsidP="00B0300F">
            <w:pPr>
              <w:tabs>
                <w:tab w:val="left" w:pos="284"/>
                <w:tab w:val="center" w:pos="4320"/>
                <w:tab w:val="right" w:pos="8640"/>
              </w:tabs>
              <w:spacing w:before="40" w:after="40"/>
              <w:rPr>
                <w:bCs/>
                <w:sz w:val="22"/>
                <w:szCs w:val="22"/>
                <w:lang w:val="sr-Latn-ME"/>
              </w:rPr>
            </w:pPr>
          </w:p>
        </w:tc>
        <w:tc>
          <w:tcPr>
            <w:tcW w:w="2226" w:type="dxa"/>
          </w:tcPr>
          <w:p w14:paraId="2C79AB08" w14:textId="77777777" w:rsidR="004F44DA" w:rsidRPr="003408E2" w:rsidRDefault="004F44DA" w:rsidP="00B0300F">
            <w:pPr>
              <w:tabs>
                <w:tab w:val="left" w:pos="284"/>
                <w:tab w:val="center" w:pos="4320"/>
                <w:tab w:val="right" w:pos="8640"/>
              </w:tabs>
              <w:spacing w:before="40" w:after="40"/>
              <w:rPr>
                <w:bCs/>
                <w:sz w:val="22"/>
                <w:szCs w:val="22"/>
                <w:lang w:val="sr-Latn-ME"/>
              </w:rPr>
            </w:pPr>
          </w:p>
        </w:tc>
        <w:tc>
          <w:tcPr>
            <w:tcW w:w="2227" w:type="dxa"/>
          </w:tcPr>
          <w:p w14:paraId="14EBE48F" w14:textId="042E5932" w:rsidR="004F44DA" w:rsidRPr="003408E2" w:rsidRDefault="004F44DA" w:rsidP="004F44DA">
            <w:pPr>
              <w:tabs>
                <w:tab w:val="left" w:pos="284"/>
                <w:tab w:val="center" w:pos="4320"/>
                <w:tab w:val="right" w:pos="8640"/>
              </w:tabs>
              <w:spacing w:before="40" w:after="40"/>
              <w:rPr>
                <w:bCs/>
                <w:sz w:val="22"/>
                <w:szCs w:val="22"/>
                <w:lang w:val="sr-Latn-ME"/>
              </w:rPr>
            </w:pPr>
            <w:r w:rsidRPr="003408E2">
              <w:rPr>
                <w:bCs/>
                <w:i/>
                <w:sz w:val="22"/>
                <w:szCs w:val="22"/>
                <w:lang w:val="sr-Latn-ME"/>
              </w:rPr>
              <w:t xml:space="preserve">Abdominalni bol, </w:t>
            </w:r>
            <w:r w:rsidRPr="003408E2">
              <w:rPr>
                <w:bCs/>
                <w:sz w:val="22"/>
                <w:szCs w:val="22"/>
                <w:lang w:val="sr-Latn-ME"/>
              </w:rPr>
              <w:t>gastrointestinalni</w:t>
            </w:r>
          </w:p>
          <w:p w14:paraId="38AC0F0D" w14:textId="096CDA13" w:rsidR="004F44DA" w:rsidRPr="003408E2" w:rsidRDefault="004F44DA" w:rsidP="004F44DA">
            <w:pPr>
              <w:tabs>
                <w:tab w:val="left" w:pos="284"/>
                <w:tab w:val="center" w:pos="4320"/>
                <w:tab w:val="right" w:pos="8640"/>
              </w:tabs>
              <w:spacing w:before="40" w:after="40"/>
              <w:rPr>
                <w:bCs/>
                <w:sz w:val="22"/>
                <w:szCs w:val="22"/>
                <w:lang w:val="sr-Latn-ME"/>
              </w:rPr>
            </w:pPr>
            <w:r w:rsidRPr="003408E2">
              <w:rPr>
                <w:bCs/>
                <w:sz w:val="22"/>
                <w:szCs w:val="22"/>
                <w:lang w:val="sr-Latn-ME"/>
              </w:rPr>
              <w:t xml:space="preserve">poremećaji, </w:t>
            </w:r>
          </w:p>
          <w:p w14:paraId="3F1ED333" w14:textId="3BCA3C0A" w:rsidR="004F44DA" w:rsidRPr="003408E2" w:rsidRDefault="004F44DA" w:rsidP="00B0300F">
            <w:pPr>
              <w:tabs>
                <w:tab w:val="left" w:pos="284"/>
                <w:tab w:val="center" w:pos="4320"/>
                <w:tab w:val="right" w:pos="8640"/>
              </w:tabs>
              <w:spacing w:before="40" w:after="40"/>
              <w:rPr>
                <w:bCs/>
                <w:i/>
                <w:sz w:val="22"/>
                <w:szCs w:val="22"/>
                <w:lang w:val="sr-Latn-ME"/>
              </w:rPr>
            </w:pPr>
            <w:r w:rsidRPr="003408E2">
              <w:rPr>
                <w:bCs/>
                <w:i/>
                <w:sz w:val="22"/>
                <w:szCs w:val="22"/>
                <w:lang w:val="sr-Latn-ME"/>
              </w:rPr>
              <w:t xml:space="preserve">pseudomembranozni kolitis </w:t>
            </w:r>
            <w:r w:rsidRPr="003408E2">
              <w:rPr>
                <w:bCs/>
                <w:sz w:val="22"/>
                <w:szCs w:val="22"/>
                <w:lang w:val="sr-Latn-ME"/>
              </w:rPr>
              <w:t>(vidjeti dio 4.4)</w:t>
            </w:r>
          </w:p>
        </w:tc>
      </w:tr>
      <w:tr w:rsidR="004F44DA" w:rsidRPr="003408E2" w14:paraId="026D6C9D" w14:textId="77777777" w:rsidTr="00123000">
        <w:trPr>
          <w:jc w:val="center"/>
        </w:trPr>
        <w:tc>
          <w:tcPr>
            <w:tcW w:w="2226" w:type="dxa"/>
          </w:tcPr>
          <w:p w14:paraId="36F3FE96" w14:textId="77777777" w:rsidR="004F44DA" w:rsidRPr="003408E2" w:rsidRDefault="004F44DA" w:rsidP="00B0300F">
            <w:pPr>
              <w:tabs>
                <w:tab w:val="left" w:pos="284"/>
                <w:tab w:val="center" w:pos="4320"/>
                <w:tab w:val="right" w:pos="8640"/>
              </w:tabs>
              <w:spacing w:before="40" w:after="40"/>
              <w:rPr>
                <w:bCs/>
                <w:sz w:val="22"/>
                <w:szCs w:val="22"/>
                <w:lang w:val="sr-Latn-ME"/>
              </w:rPr>
            </w:pPr>
            <w:r w:rsidRPr="003408E2">
              <w:rPr>
                <w:rFonts w:eastAsia="TimesNewRoman,Bold"/>
                <w:bCs/>
                <w:sz w:val="22"/>
                <w:szCs w:val="22"/>
                <w:lang w:val="sr-Latn-ME" w:eastAsia="sr-Latn-CS"/>
              </w:rPr>
              <w:t>Poremećaji na nivou kože i potkožnog tkiva</w:t>
            </w:r>
          </w:p>
        </w:tc>
        <w:tc>
          <w:tcPr>
            <w:tcW w:w="2226" w:type="dxa"/>
          </w:tcPr>
          <w:p w14:paraId="497A819B" w14:textId="77777777" w:rsidR="004F44DA" w:rsidRPr="003408E2" w:rsidRDefault="004F44DA" w:rsidP="00B0300F">
            <w:pPr>
              <w:tabs>
                <w:tab w:val="left" w:pos="284"/>
                <w:tab w:val="center" w:pos="4320"/>
                <w:tab w:val="right" w:pos="8640"/>
              </w:tabs>
              <w:spacing w:before="40" w:after="40"/>
              <w:rPr>
                <w:bCs/>
                <w:sz w:val="22"/>
                <w:szCs w:val="22"/>
                <w:lang w:val="sr-Latn-ME"/>
              </w:rPr>
            </w:pPr>
            <w:r w:rsidRPr="003408E2">
              <w:rPr>
                <w:bCs/>
                <w:sz w:val="22"/>
                <w:szCs w:val="22"/>
                <w:lang w:val="sr-Latn-ME"/>
              </w:rPr>
              <w:t>Suva koža, iritacija</w:t>
            </w:r>
          </w:p>
          <w:p w14:paraId="7BCAEB3A" w14:textId="77777777" w:rsidR="004F44DA" w:rsidRPr="003408E2" w:rsidRDefault="004F44DA" w:rsidP="00B0300F">
            <w:pPr>
              <w:tabs>
                <w:tab w:val="left" w:pos="284"/>
                <w:tab w:val="center" w:pos="4320"/>
                <w:tab w:val="right" w:pos="8640"/>
              </w:tabs>
              <w:spacing w:before="40" w:after="40"/>
              <w:rPr>
                <w:bCs/>
                <w:sz w:val="22"/>
                <w:szCs w:val="22"/>
                <w:lang w:val="sr-Latn-ME"/>
              </w:rPr>
            </w:pPr>
            <w:r w:rsidRPr="003408E2">
              <w:rPr>
                <w:bCs/>
                <w:sz w:val="22"/>
                <w:szCs w:val="22"/>
                <w:lang w:val="sr-Latn-ME"/>
              </w:rPr>
              <w:t>kože, urtikarija</w:t>
            </w:r>
          </w:p>
        </w:tc>
        <w:tc>
          <w:tcPr>
            <w:tcW w:w="2226" w:type="dxa"/>
          </w:tcPr>
          <w:p w14:paraId="32AEFAB2" w14:textId="77777777" w:rsidR="004F44DA" w:rsidRPr="003408E2" w:rsidRDefault="004F44DA" w:rsidP="00B0300F">
            <w:pPr>
              <w:tabs>
                <w:tab w:val="left" w:pos="284"/>
                <w:tab w:val="center" w:pos="4320"/>
                <w:tab w:val="right" w:pos="8640"/>
              </w:tabs>
              <w:spacing w:before="40" w:after="40"/>
              <w:rPr>
                <w:bCs/>
                <w:sz w:val="22"/>
                <w:szCs w:val="22"/>
                <w:lang w:val="sr-Latn-ME"/>
              </w:rPr>
            </w:pPr>
            <w:r w:rsidRPr="003408E2">
              <w:rPr>
                <w:bCs/>
                <w:sz w:val="22"/>
                <w:szCs w:val="22"/>
                <w:lang w:val="sr-Latn-ME"/>
              </w:rPr>
              <w:t xml:space="preserve">Seboreja </w:t>
            </w:r>
          </w:p>
        </w:tc>
        <w:tc>
          <w:tcPr>
            <w:tcW w:w="2227" w:type="dxa"/>
          </w:tcPr>
          <w:p w14:paraId="5351C132" w14:textId="77777777" w:rsidR="004F44DA" w:rsidRPr="003408E2" w:rsidRDefault="004F44DA" w:rsidP="00B0300F">
            <w:pPr>
              <w:tabs>
                <w:tab w:val="left" w:pos="284"/>
                <w:tab w:val="center" w:pos="4320"/>
                <w:tab w:val="right" w:pos="8640"/>
              </w:tabs>
              <w:spacing w:before="40" w:after="40"/>
              <w:rPr>
                <w:bCs/>
                <w:i/>
                <w:sz w:val="22"/>
                <w:szCs w:val="22"/>
                <w:lang w:val="sr-Latn-ME"/>
              </w:rPr>
            </w:pPr>
            <w:r w:rsidRPr="003408E2">
              <w:rPr>
                <w:bCs/>
                <w:i/>
                <w:sz w:val="22"/>
                <w:szCs w:val="22"/>
                <w:lang w:val="sr-Latn-ME"/>
              </w:rPr>
              <w:t>Kontaktni dermatitis</w:t>
            </w:r>
          </w:p>
        </w:tc>
      </w:tr>
    </w:tbl>
    <w:p w14:paraId="17A8E616" w14:textId="77777777" w:rsidR="00B0300F" w:rsidRPr="003408E2" w:rsidRDefault="00B0300F" w:rsidP="00480FB1">
      <w:pPr>
        <w:tabs>
          <w:tab w:val="left" w:pos="540"/>
          <w:tab w:val="left" w:pos="569"/>
        </w:tabs>
        <w:rPr>
          <w:b/>
          <w:bCs/>
          <w:sz w:val="22"/>
          <w:szCs w:val="22"/>
          <w:lang w:val="sr-Latn-ME"/>
        </w:rPr>
      </w:pPr>
    </w:p>
    <w:p w14:paraId="4A7DFA4B" w14:textId="77777777" w:rsidR="00B0300F" w:rsidRPr="003408E2" w:rsidRDefault="00B0300F" w:rsidP="00480FB1">
      <w:pPr>
        <w:tabs>
          <w:tab w:val="left" w:pos="540"/>
          <w:tab w:val="left" w:pos="569"/>
        </w:tabs>
        <w:rPr>
          <w:b/>
          <w:bCs/>
          <w:sz w:val="22"/>
          <w:szCs w:val="22"/>
          <w:lang w:val="sr-Latn-ME"/>
        </w:rPr>
      </w:pPr>
    </w:p>
    <w:p w14:paraId="20EFFD96" w14:textId="77777777" w:rsidR="005A23D2" w:rsidRPr="003408E2" w:rsidRDefault="005A23D2" w:rsidP="00A46C9A">
      <w:pPr>
        <w:spacing w:after="200" w:line="276" w:lineRule="auto"/>
        <w:rPr>
          <w:rFonts w:eastAsia="Calibri"/>
          <w:sz w:val="22"/>
          <w:szCs w:val="22"/>
          <w:u w:val="single"/>
          <w:lang w:val="sr-Latn-ME"/>
        </w:rPr>
      </w:pPr>
      <w:r w:rsidRPr="003408E2">
        <w:rPr>
          <w:rFonts w:eastAsia="Calibri"/>
          <w:sz w:val="22"/>
          <w:szCs w:val="22"/>
          <w:u w:val="single"/>
          <w:lang w:val="sr-Latn-ME"/>
        </w:rPr>
        <w:lastRenderedPageBreak/>
        <w:t>Prijavljivanje sumnji na neželjena dejstva</w:t>
      </w:r>
    </w:p>
    <w:p w14:paraId="31E026C7" w14:textId="77777777" w:rsidR="005A23D2" w:rsidRPr="003408E2" w:rsidRDefault="005A23D2" w:rsidP="00A46C9A">
      <w:pPr>
        <w:spacing w:after="200"/>
        <w:jc w:val="both"/>
        <w:rPr>
          <w:rFonts w:eastAsia="Calibri"/>
          <w:sz w:val="22"/>
          <w:szCs w:val="22"/>
          <w:lang w:val="sr-Latn-ME"/>
        </w:rPr>
      </w:pPr>
      <w:r w:rsidRPr="003408E2">
        <w:rPr>
          <w:rFonts w:eastAsia="Calibri"/>
          <w:sz w:val="22"/>
          <w:szCs w:val="22"/>
          <w:lang w:val="sr-Latn-ME"/>
        </w:rPr>
        <w:t>Prijavljivanje neželjenih dejstava nakon dobijanja dozvole je od velikog značaja jer obezbjeđuje kont</w:t>
      </w:r>
      <w:r w:rsidR="00EA5765" w:rsidRPr="003408E2">
        <w:rPr>
          <w:rFonts w:eastAsia="Calibri"/>
          <w:sz w:val="22"/>
          <w:szCs w:val="22"/>
          <w:lang w:val="sr-Latn-ME"/>
        </w:rPr>
        <w:t>inuirano praćenje odnosa korist</w:t>
      </w:r>
      <w:r w:rsidRPr="003408E2">
        <w:rPr>
          <w:rFonts w:eastAsia="Calibri"/>
          <w:sz w:val="22"/>
          <w:szCs w:val="22"/>
          <w:lang w:val="sr-Latn-ME"/>
        </w:rPr>
        <w:t>/rizik primjene lijeka. Zdravstveni radnici treba da prijave svaku sumnju na neželjeno</w:t>
      </w:r>
      <w:r w:rsidR="009B062A" w:rsidRPr="003408E2">
        <w:rPr>
          <w:rFonts w:eastAsia="Calibri"/>
          <w:sz w:val="22"/>
          <w:szCs w:val="22"/>
          <w:lang w:val="sr-Latn-ME"/>
        </w:rPr>
        <w:t xml:space="preserve"> </w:t>
      </w:r>
      <w:r w:rsidRPr="003408E2">
        <w:rPr>
          <w:rFonts w:eastAsia="Calibri"/>
          <w:sz w:val="22"/>
          <w:szCs w:val="22"/>
          <w:lang w:val="sr-Latn-ME"/>
        </w:rPr>
        <w:t xml:space="preserve">dejstvo ovog lijeka </w:t>
      </w:r>
      <w:r w:rsidR="004E70AD" w:rsidRPr="003408E2">
        <w:rPr>
          <w:rFonts w:eastAsia="Calibri"/>
          <w:sz w:val="22"/>
          <w:szCs w:val="22"/>
          <w:lang w:val="sr-Latn-ME"/>
        </w:rPr>
        <w:t>Institutu</w:t>
      </w:r>
      <w:r w:rsidRPr="003408E2">
        <w:rPr>
          <w:rFonts w:eastAsia="Calibri"/>
          <w:sz w:val="22"/>
          <w:szCs w:val="22"/>
          <w:lang w:val="sr-Latn-ME"/>
        </w:rPr>
        <w:t xml:space="preserve"> za ljekove i medicinska sredstva</w:t>
      </w:r>
      <w:r w:rsidR="004E70AD" w:rsidRPr="003408E2">
        <w:rPr>
          <w:rFonts w:eastAsia="Calibri"/>
          <w:sz w:val="22"/>
          <w:szCs w:val="22"/>
          <w:lang w:val="sr-Latn-ME"/>
        </w:rPr>
        <w:t xml:space="preserve"> </w:t>
      </w:r>
      <w:r w:rsidRPr="003408E2">
        <w:rPr>
          <w:rFonts w:eastAsia="Calibri"/>
          <w:sz w:val="22"/>
          <w:szCs w:val="22"/>
          <w:lang w:val="sr-Latn-ME"/>
        </w:rPr>
        <w:t>(</w:t>
      </w:r>
      <w:r w:rsidR="004E70AD" w:rsidRPr="003408E2">
        <w:rPr>
          <w:rFonts w:eastAsia="Calibri"/>
          <w:sz w:val="22"/>
          <w:szCs w:val="22"/>
          <w:lang w:val="sr-Latn-ME"/>
        </w:rPr>
        <w:t>CInMED</w:t>
      </w:r>
      <w:r w:rsidRPr="003408E2">
        <w:rPr>
          <w:rFonts w:eastAsia="Calibri"/>
          <w:sz w:val="22"/>
          <w:szCs w:val="22"/>
          <w:lang w:val="sr-Latn-ME"/>
        </w:rPr>
        <w:t>):</w:t>
      </w:r>
    </w:p>
    <w:p w14:paraId="7F3C7E79" w14:textId="77777777" w:rsidR="005A23D2" w:rsidRPr="003408E2" w:rsidRDefault="004E70AD" w:rsidP="00A46C9A">
      <w:pPr>
        <w:pStyle w:val="NoSpacing"/>
        <w:jc w:val="both"/>
        <w:rPr>
          <w:rFonts w:eastAsia="Calibri"/>
          <w:sz w:val="22"/>
          <w:szCs w:val="22"/>
          <w:lang w:val="sr-Latn-ME"/>
        </w:rPr>
      </w:pPr>
      <w:r w:rsidRPr="003408E2">
        <w:rPr>
          <w:rFonts w:eastAsia="Calibri"/>
          <w:sz w:val="22"/>
          <w:szCs w:val="22"/>
          <w:lang w:val="sr-Latn-ME"/>
        </w:rPr>
        <w:t xml:space="preserve">Institut </w:t>
      </w:r>
      <w:r w:rsidR="005A23D2" w:rsidRPr="003408E2">
        <w:rPr>
          <w:rFonts w:eastAsia="Calibri"/>
          <w:sz w:val="22"/>
          <w:szCs w:val="22"/>
          <w:lang w:val="sr-Latn-ME"/>
        </w:rPr>
        <w:t xml:space="preserve">za ljekove i medicinska sredstva </w:t>
      </w:r>
    </w:p>
    <w:p w14:paraId="4ECCF486" w14:textId="77777777" w:rsidR="005A23D2" w:rsidRPr="003408E2" w:rsidRDefault="005A23D2" w:rsidP="00A46C9A">
      <w:pPr>
        <w:pStyle w:val="NoSpacing"/>
        <w:jc w:val="both"/>
        <w:rPr>
          <w:rFonts w:eastAsia="Calibri"/>
          <w:sz w:val="22"/>
          <w:szCs w:val="22"/>
          <w:lang w:val="sr-Latn-ME"/>
        </w:rPr>
      </w:pPr>
      <w:r w:rsidRPr="003408E2">
        <w:rPr>
          <w:rFonts w:eastAsia="Calibri"/>
          <w:sz w:val="22"/>
          <w:szCs w:val="22"/>
          <w:lang w:val="sr-Latn-ME"/>
        </w:rPr>
        <w:t>Odjeljenje za farmakovigilancu</w:t>
      </w:r>
    </w:p>
    <w:p w14:paraId="27CD893B" w14:textId="77777777" w:rsidR="00EA5765" w:rsidRPr="003408E2" w:rsidRDefault="005A23D2" w:rsidP="00A46C9A">
      <w:pPr>
        <w:pStyle w:val="NoSpacing"/>
        <w:jc w:val="both"/>
        <w:rPr>
          <w:rFonts w:eastAsia="Calibri"/>
          <w:sz w:val="22"/>
          <w:szCs w:val="22"/>
          <w:lang w:val="sr-Latn-ME"/>
        </w:rPr>
      </w:pPr>
      <w:r w:rsidRPr="003408E2">
        <w:rPr>
          <w:rFonts w:eastAsia="Calibri"/>
          <w:sz w:val="22"/>
          <w:szCs w:val="22"/>
          <w:lang w:val="sr-Latn-ME"/>
        </w:rPr>
        <w:t>Bulevar Ivana Crnojevića 64a, 81000 Podgorica</w:t>
      </w:r>
    </w:p>
    <w:p w14:paraId="13165A07" w14:textId="77777777" w:rsidR="00EA5765" w:rsidRPr="003408E2" w:rsidRDefault="00EA5765" w:rsidP="00A46C9A">
      <w:pPr>
        <w:pStyle w:val="NoSpacing"/>
        <w:rPr>
          <w:rFonts w:eastAsia="Calibri"/>
          <w:sz w:val="22"/>
          <w:szCs w:val="22"/>
          <w:lang w:val="sr-Latn-ME"/>
        </w:rPr>
      </w:pPr>
    </w:p>
    <w:p w14:paraId="5B887DDB" w14:textId="77777777" w:rsidR="005A23D2" w:rsidRPr="003408E2" w:rsidRDefault="005A23D2" w:rsidP="00A46C9A">
      <w:pPr>
        <w:pStyle w:val="NoSpacing"/>
        <w:jc w:val="both"/>
        <w:rPr>
          <w:rFonts w:eastAsia="Calibri"/>
          <w:sz w:val="22"/>
          <w:szCs w:val="22"/>
          <w:lang w:val="sr-Latn-ME"/>
        </w:rPr>
      </w:pPr>
      <w:r w:rsidRPr="003408E2">
        <w:rPr>
          <w:rFonts w:eastAsia="Calibri"/>
          <w:sz w:val="22"/>
          <w:szCs w:val="22"/>
          <w:lang w:val="sr-Latn-ME"/>
        </w:rPr>
        <w:t>tel: +382 (0) 20 310 280</w:t>
      </w:r>
    </w:p>
    <w:p w14:paraId="1E51270F" w14:textId="77777777" w:rsidR="00EA5765" w:rsidRPr="003408E2" w:rsidRDefault="005A23D2" w:rsidP="00FF3EDF">
      <w:pPr>
        <w:pStyle w:val="NoSpacing"/>
        <w:tabs>
          <w:tab w:val="left" w:pos="6720"/>
        </w:tabs>
        <w:jc w:val="both"/>
        <w:rPr>
          <w:rFonts w:eastAsia="Calibri"/>
          <w:sz w:val="22"/>
          <w:szCs w:val="22"/>
          <w:lang w:val="sr-Latn-ME"/>
        </w:rPr>
      </w:pPr>
      <w:r w:rsidRPr="003408E2">
        <w:rPr>
          <w:rFonts w:eastAsia="Calibri"/>
          <w:sz w:val="22"/>
          <w:szCs w:val="22"/>
          <w:lang w:val="sr-Latn-ME"/>
        </w:rPr>
        <w:t>fax:</w:t>
      </w:r>
      <w:r w:rsidR="00EA5765" w:rsidRPr="003408E2">
        <w:rPr>
          <w:rFonts w:eastAsia="Calibri"/>
          <w:sz w:val="22"/>
          <w:szCs w:val="22"/>
          <w:lang w:val="sr-Latn-ME"/>
        </w:rPr>
        <w:t xml:space="preserve"> </w:t>
      </w:r>
      <w:r w:rsidRPr="003408E2">
        <w:rPr>
          <w:rFonts w:eastAsia="Calibri"/>
          <w:sz w:val="22"/>
          <w:szCs w:val="22"/>
          <w:lang w:val="sr-Latn-ME"/>
        </w:rPr>
        <w:t>+382 (0) 20 310 581</w:t>
      </w:r>
      <w:r w:rsidR="00FF3EDF" w:rsidRPr="003408E2">
        <w:rPr>
          <w:rFonts w:eastAsia="Calibri"/>
          <w:sz w:val="22"/>
          <w:szCs w:val="22"/>
          <w:lang w:val="sr-Latn-ME"/>
        </w:rPr>
        <w:tab/>
      </w:r>
    </w:p>
    <w:p w14:paraId="2A541E87" w14:textId="77777777" w:rsidR="005A23D2" w:rsidRPr="003408E2" w:rsidRDefault="00BB54E2" w:rsidP="00A46C9A">
      <w:pPr>
        <w:pStyle w:val="NoSpacing"/>
        <w:jc w:val="both"/>
        <w:rPr>
          <w:rFonts w:eastAsia="Calibri"/>
          <w:sz w:val="22"/>
          <w:szCs w:val="22"/>
          <w:lang w:val="sr-Latn-ME"/>
        </w:rPr>
      </w:pPr>
      <w:hyperlink r:id="rId8" w:history="1">
        <w:r w:rsidR="004E70AD" w:rsidRPr="003408E2">
          <w:rPr>
            <w:rStyle w:val="Hyperlink"/>
            <w:rFonts w:eastAsia="Calibri"/>
            <w:sz w:val="22"/>
            <w:szCs w:val="22"/>
            <w:lang w:val="sr-Latn-ME"/>
          </w:rPr>
          <w:t>www.cinmed.me</w:t>
        </w:r>
      </w:hyperlink>
    </w:p>
    <w:p w14:paraId="7823DDBB" w14:textId="77777777" w:rsidR="00EA5765" w:rsidRPr="003408E2" w:rsidRDefault="00BB54E2" w:rsidP="00A46C9A">
      <w:pPr>
        <w:pStyle w:val="NoSpacing"/>
        <w:jc w:val="both"/>
        <w:rPr>
          <w:rFonts w:eastAsia="Calibri"/>
          <w:color w:val="0000FF"/>
          <w:sz w:val="22"/>
          <w:szCs w:val="22"/>
          <w:u w:val="single"/>
          <w:lang w:val="sr-Latn-ME"/>
        </w:rPr>
      </w:pPr>
      <w:hyperlink r:id="rId9" w:history="1">
        <w:r w:rsidR="004E70AD" w:rsidRPr="003408E2">
          <w:rPr>
            <w:rStyle w:val="Hyperlink"/>
            <w:rFonts w:eastAsia="Calibri"/>
            <w:sz w:val="22"/>
            <w:szCs w:val="22"/>
            <w:lang w:val="sr-Latn-ME"/>
          </w:rPr>
          <w:t>nezeljenadejstva@cinmed.me</w:t>
        </w:r>
      </w:hyperlink>
    </w:p>
    <w:p w14:paraId="12FE5416" w14:textId="77777777" w:rsidR="005A23D2" w:rsidRPr="003408E2" w:rsidRDefault="005A23D2" w:rsidP="00A46C9A">
      <w:pPr>
        <w:pStyle w:val="NoSpacing"/>
        <w:jc w:val="both"/>
        <w:rPr>
          <w:rFonts w:eastAsia="Calibri"/>
          <w:sz w:val="22"/>
          <w:szCs w:val="22"/>
          <w:lang w:val="sr-Latn-ME"/>
        </w:rPr>
      </w:pPr>
      <w:r w:rsidRPr="003408E2">
        <w:rPr>
          <w:rFonts w:eastAsia="Calibri"/>
          <w:sz w:val="22"/>
          <w:szCs w:val="22"/>
          <w:lang w:val="sr-Latn-ME"/>
        </w:rPr>
        <w:t>putem IS zdravstvene zaštite</w:t>
      </w:r>
    </w:p>
    <w:p w14:paraId="41EC7AED" w14:textId="77777777" w:rsidR="007E31E9" w:rsidRPr="003408E2" w:rsidRDefault="007E31E9" w:rsidP="00A46C9A">
      <w:pPr>
        <w:pStyle w:val="NoSpacing"/>
        <w:jc w:val="both"/>
        <w:rPr>
          <w:rFonts w:eastAsia="Calibri"/>
          <w:sz w:val="22"/>
          <w:szCs w:val="22"/>
          <w:lang w:val="sr-Latn-ME"/>
        </w:rPr>
      </w:pPr>
      <w:r w:rsidRPr="003408E2">
        <w:rPr>
          <w:rFonts w:eastAsia="Calibri"/>
          <w:sz w:val="22"/>
          <w:szCs w:val="22"/>
          <w:lang w:val="sr-Latn-ME"/>
        </w:rPr>
        <w:t>QR kod za online prijavu</w:t>
      </w:r>
      <w:r w:rsidR="00D74CD2" w:rsidRPr="003408E2">
        <w:rPr>
          <w:rFonts w:eastAsia="Calibri"/>
          <w:sz w:val="22"/>
          <w:szCs w:val="22"/>
          <w:lang w:val="sr-Latn-ME"/>
        </w:rPr>
        <w:t xml:space="preserve"> sumnje na neželjeno dejstvo lijeka</w:t>
      </w:r>
      <w:r w:rsidRPr="003408E2">
        <w:rPr>
          <w:rFonts w:eastAsia="Calibri"/>
          <w:sz w:val="22"/>
          <w:szCs w:val="22"/>
          <w:lang w:val="sr-Latn-ME"/>
        </w:rPr>
        <w:t>:</w:t>
      </w:r>
    </w:p>
    <w:p w14:paraId="2834B303" w14:textId="77777777" w:rsidR="004F17E2" w:rsidRPr="003408E2" w:rsidRDefault="004F17E2" w:rsidP="007E31E9">
      <w:pPr>
        <w:pStyle w:val="NoSpacing"/>
        <w:rPr>
          <w:rFonts w:eastAsia="Calibri"/>
          <w:sz w:val="22"/>
          <w:szCs w:val="22"/>
          <w:lang w:val="sr-Latn-ME"/>
        </w:rPr>
      </w:pPr>
    </w:p>
    <w:p w14:paraId="08C43690" w14:textId="77777777" w:rsidR="00836B35" w:rsidRPr="003408E2" w:rsidRDefault="007F661E" w:rsidP="00480FB1">
      <w:pPr>
        <w:tabs>
          <w:tab w:val="left" w:pos="540"/>
          <w:tab w:val="left" w:pos="569"/>
        </w:tabs>
        <w:rPr>
          <w:b/>
          <w:bCs/>
          <w:sz w:val="22"/>
          <w:szCs w:val="22"/>
          <w:lang w:val="sr-Latn-ME"/>
        </w:rPr>
      </w:pPr>
      <w:r w:rsidRPr="003408E2">
        <w:rPr>
          <w:b/>
          <w:bCs/>
          <w:noProof/>
          <w:sz w:val="22"/>
          <w:szCs w:val="22"/>
          <w:lang w:val="sr-Latn-ME"/>
        </w:rPr>
        <w:drawing>
          <wp:inline distT="0" distB="0" distL="0" distR="0" wp14:anchorId="583E0D54" wp14:editId="0B6B1418">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A6DD5D4" w14:textId="77777777" w:rsidR="007F661E" w:rsidRPr="003408E2" w:rsidRDefault="007F661E" w:rsidP="00480FB1">
      <w:pPr>
        <w:tabs>
          <w:tab w:val="left" w:pos="540"/>
          <w:tab w:val="left" w:pos="569"/>
        </w:tabs>
        <w:rPr>
          <w:b/>
          <w:bCs/>
          <w:sz w:val="22"/>
          <w:szCs w:val="22"/>
          <w:lang w:val="sr-Latn-ME"/>
        </w:rPr>
      </w:pPr>
    </w:p>
    <w:p w14:paraId="12B1039B" w14:textId="77777777" w:rsidR="00CD6F02" w:rsidRPr="003408E2" w:rsidRDefault="0072020E" w:rsidP="00480FB1">
      <w:pPr>
        <w:tabs>
          <w:tab w:val="left" w:pos="540"/>
          <w:tab w:val="left" w:pos="569"/>
        </w:tabs>
        <w:rPr>
          <w:b/>
          <w:bCs/>
          <w:sz w:val="22"/>
          <w:szCs w:val="22"/>
          <w:lang w:val="sr-Latn-ME"/>
        </w:rPr>
      </w:pPr>
      <w:r w:rsidRPr="003408E2">
        <w:rPr>
          <w:b/>
          <w:bCs/>
          <w:sz w:val="22"/>
          <w:szCs w:val="22"/>
          <w:lang w:val="sr-Latn-ME"/>
        </w:rPr>
        <w:t xml:space="preserve">4.9. </w:t>
      </w:r>
      <w:r w:rsidR="00480FB1" w:rsidRPr="003408E2">
        <w:rPr>
          <w:b/>
          <w:bCs/>
          <w:sz w:val="22"/>
          <w:szCs w:val="22"/>
          <w:lang w:val="sr-Latn-ME"/>
        </w:rPr>
        <w:tab/>
      </w:r>
      <w:r w:rsidRPr="003408E2">
        <w:rPr>
          <w:b/>
          <w:bCs/>
          <w:sz w:val="22"/>
          <w:szCs w:val="22"/>
          <w:lang w:val="sr-Latn-ME"/>
        </w:rPr>
        <w:t>Predoziranje</w:t>
      </w:r>
      <w:r w:rsidR="002846DB" w:rsidRPr="003408E2">
        <w:rPr>
          <w:b/>
          <w:bCs/>
          <w:sz w:val="22"/>
          <w:szCs w:val="22"/>
          <w:lang w:val="sr-Latn-ME"/>
        </w:rPr>
        <w:t xml:space="preserve"> </w:t>
      </w:r>
    </w:p>
    <w:p w14:paraId="31B66518" w14:textId="77777777" w:rsidR="00B0300F" w:rsidRPr="003408E2" w:rsidRDefault="00B0300F" w:rsidP="00480FB1">
      <w:pPr>
        <w:tabs>
          <w:tab w:val="left" w:pos="540"/>
          <w:tab w:val="left" w:pos="569"/>
        </w:tabs>
        <w:rPr>
          <w:b/>
          <w:bCs/>
          <w:sz w:val="22"/>
          <w:szCs w:val="22"/>
          <w:lang w:val="sr-Latn-ME"/>
        </w:rPr>
      </w:pPr>
    </w:p>
    <w:p w14:paraId="05CE503F" w14:textId="77777777" w:rsidR="000A3AEA" w:rsidRPr="003408E2" w:rsidRDefault="00B0300F" w:rsidP="000A3AEA">
      <w:pPr>
        <w:tabs>
          <w:tab w:val="left" w:pos="540"/>
          <w:tab w:val="left" w:pos="569"/>
        </w:tabs>
        <w:jc w:val="both"/>
        <w:rPr>
          <w:bCs/>
          <w:sz w:val="22"/>
          <w:szCs w:val="22"/>
          <w:lang w:val="sr-Latn-ME"/>
        </w:rPr>
      </w:pPr>
      <w:r w:rsidRPr="003408E2">
        <w:rPr>
          <w:bCs/>
          <w:sz w:val="22"/>
          <w:szCs w:val="22"/>
          <w:lang w:val="sr-Latn-ME"/>
        </w:rPr>
        <w:t xml:space="preserve">Lokalno primijenjen klindamicin se može resorbovati u dovoljnim količinama da izazove sistemske efekte. </w:t>
      </w:r>
      <w:r w:rsidR="000A3AEA" w:rsidRPr="003408E2">
        <w:rPr>
          <w:bCs/>
          <w:sz w:val="22"/>
          <w:szCs w:val="22"/>
          <w:lang w:val="sr-Latn-ME"/>
        </w:rPr>
        <w:t>U slučaju predoziranja, primjenjuju se opšta simptomatska i suportivna terapija.</w:t>
      </w:r>
    </w:p>
    <w:p w14:paraId="3DB92668" w14:textId="10179629" w:rsidR="00902EB0" w:rsidRPr="003408E2" w:rsidRDefault="00BC182F" w:rsidP="00B0300F">
      <w:pPr>
        <w:tabs>
          <w:tab w:val="left" w:pos="540"/>
          <w:tab w:val="left" w:pos="569"/>
        </w:tabs>
        <w:jc w:val="both"/>
        <w:rPr>
          <w:bCs/>
          <w:sz w:val="22"/>
          <w:szCs w:val="22"/>
          <w:lang w:val="sr-Latn-ME"/>
        </w:rPr>
      </w:pPr>
      <w:r w:rsidRPr="003408E2">
        <w:rPr>
          <w:bCs/>
          <w:sz w:val="22"/>
          <w:szCs w:val="22"/>
          <w:lang w:val="sr-Latn-ME"/>
        </w:rPr>
        <w:t>Nehotična</w:t>
      </w:r>
      <w:r w:rsidR="00902EB0" w:rsidRPr="003408E2">
        <w:rPr>
          <w:bCs/>
          <w:sz w:val="22"/>
          <w:szCs w:val="22"/>
          <w:lang w:val="sr-Latn-ME"/>
        </w:rPr>
        <w:t xml:space="preserve"> </w:t>
      </w:r>
      <w:r w:rsidRPr="003408E2">
        <w:rPr>
          <w:bCs/>
          <w:sz w:val="22"/>
          <w:szCs w:val="22"/>
          <w:lang w:val="sr-Latn-ME"/>
        </w:rPr>
        <w:t>oralna primjena</w:t>
      </w:r>
      <w:r w:rsidR="00902EB0" w:rsidRPr="003408E2">
        <w:rPr>
          <w:bCs/>
          <w:sz w:val="22"/>
          <w:szCs w:val="22"/>
          <w:lang w:val="sr-Latn-ME"/>
        </w:rPr>
        <w:t xml:space="preserve"> može imati za posljedicu efekte uporedive sa terapijskim koncentracijama oralno prim</w:t>
      </w:r>
      <w:r w:rsidRPr="003408E2">
        <w:rPr>
          <w:bCs/>
          <w:sz w:val="22"/>
          <w:szCs w:val="22"/>
          <w:lang w:val="sr-Latn-ME"/>
        </w:rPr>
        <w:t>ij</w:t>
      </w:r>
      <w:r w:rsidR="00902EB0" w:rsidRPr="003408E2">
        <w:rPr>
          <w:bCs/>
          <w:sz w:val="22"/>
          <w:szCs w:val="22"/>
          <w:lang w:val="sr-Latn-ME"/>
        </w:rPr>
        <w:t>enjenog klindamicina.</w:t>
      </w:r>
    </w:p>
    <w:p w14:paraId="2BE3FFC4" w14:textId="77777777" w:rsidR="00CD6F02" w:rsidRPr="003408E2" w:rsidRDefault="00CD6F02" w:rsidP="00480FB1">
      <w:pPr>
        <w:tabs>
          <w:tab w:val="left" w:pos="540"/>
          <w:tab w:val="left" w:pos="569"/>
        </w:tabs>
        <w:rPr>
          <w:b/>
          <w:bCs/>
          <w:sz w:val="22"/>
          <w:szCs w:val="22"/>
          <w:lang w:val="sr-Latn-ME"/>
        </w:rPr>
      </w:pPr>
    </w:p>
    <w:p w14:paraId="64D7CD5B" w14:textId="77777777" w:rsidR="00227BDB" w:rsidRPr="003408E2" w:rsidRDefault="00227BDB" w:rsidP="00480FB1">
      <w:pPr>
        <w:tabs>
          <w:tab w:val="left" w:pos="540"/>
          <w:tab w:val="left" w:pos="569"/>
        </w:tabs>
        <w:rPr>
          <w:b/>
          <w:bCs/>
          <w:sz w:val="22"/>
          <w:szCs w:val="22"/>
          <w:lang w:val="sr-Latn-ME"/>
        </w:rPr>
      </w:pPr>
    </w:p>
    <w:p w14:paraId="45EDFD04" w14:textId="77777777" w:rsidR="0072020E" w:rsidRPr="003408E2" w:rsidRDefault="0072020E" w:rsidP="00480FB1">
      <w:pPr>
        <w:tabs>
          <w:tab w:val="left" w:pos="540"/>
          <w:tab w:val="left" w:pos="569"/>
        </w:tabs>
        <w:rPr>
          <w:b/>
          <w:bCs/>
          <w:sz w:val="22"/>
          <w:szCs w:val="22"/>
          <w:lang w:val="sr-Latn-ME"/>
        </w:rPr>
      </w:pPr>
      <w:r w:rsidRPr="003408E2">
        <w:rPr>
          <w:b/>
          <w:bCs/>
          <w:sz w:val="22"/>
          <w:szCs w:val="22"/>
          <w:lang w:val="sr-Latn-ME"/>
        </w:rPr>
        <w:t xml:space="preserve">5. </w:t>
      </w:r>
      <w:r w:rsidR="00480FB1" w:rsidRPr="003408E2">
        <w:rPr>
          <w:b/>
          <w:bCs/>
          <w:sz w:val="22"/>
          <w:szCs w:val="22"/>
          <w:lang w:val="sr-Latn-ME"/>
        </w:rPr>
        <w:tab/>
      </w:r>
      <w:r w:rsidRPr="003408E2">
        <w:rPr>
          <w:b/>
          <w:bCs/>
          <w:sz w:val="22"/>
          <w:szCs w:val="22"/>
          <w:lang w:val="sr-Latn-ME"/>
        </w:rPr>
        <w:t>FARMAKOLOŠK</w:t>
      </w:r>
      <w:r w:rsidR="000D425A" w:rsidRPr="003408E2">
        <w:rPr>
          <w:b/>
          <w:bCs/>
          <w:sz w:val="22"/>
          <w:szCs w:val="22"/>
          <w:lang w:val="sr-Latn-ME"/>
        </w:rPr>
        <w:t>I</w:t>
      </w:r>
      <w:r w:rsidRPr="003408E2">
        <w:rPr>
          <w:b/>
          <w:bCs/>
          <w:sz w:val="22"/>
          <w:szCs w:val="22"/>
          <w:lang w:val="sr-Latn-ME"/>
        </w:rPr>
        <w:t xml:space="preserve"> PODACI</w:t>
      </w:r>
    </w:p>
    <w:p w14:paraId="56105DF1" w14:textId="77777777" w:rsidR="0072020E" w:rsidRPr="003408E2" w:rsidRDefault="0072020E" w:rsidP="00480FB1">
      <w:pPr>
        <w:tabs>
          <w:tab w:val="left" w:pos="540"/>
          <w:tab w:val="left" w:pos="569"/>
        </w:tabs>
        <w:rPr>
          <w:b/>
          <w:bCs/>
          <w:sz w:val="22"/>
          <w:szCs w:val="22"/>
          <w:lang w:val="sr-Latn-ME"/>
        </w:rPr>
      </w:pPr>
    </w:p>
    <w:p w14:paraId="4CF0B813" w14:textId="77777777" w:rsidR="0072020E" w:rsidRPr="003408E2" w:rsidRDefault="0072020E" w:rsidP="00480FB1">
      <w:pPr>
        <w:tabs>
          <w:tab w:val="left" w:pos="540"/>
          <w:tab w:val="left" w:pos="569"/>
        </w:tabs>
        <w:rPr>
          <w:b/>
          <w:bCs/>
          <w:sz w:val="22"/>
          <w:szCs w:val="22"/>
          <w:lang w:val="sr-Latn-ME"/>
        </w:rPr>
      </w:pPr>
      <w:r w:rsidRPr="003408E2">
        <w:rPr>
          <w:b/>
          <w:bCs/>
          <w:sz w:val="22"/>
          <w:szCs w:val="22"/>
          <w:lang w:val="sr-Latn-ME"/>
        </w:rPr>
        <w:t xml:space="preserve">5.1. </w:t>
      </w:r>
      <w:r w:rsidR="00480FB1" w:rsidRPr="003408E2">
        <w:rPr>
          <w:b/>
          <w:bCs/>
          <w:sz w:val="22"/>
          <w:szCs w:val="22"/>
          <w:lang w:val="sr-Latn-ME"/>
        </w:rPr>
        <w:tab/>
      </w:r>
      <w:r w:rsidRPr="003408E2">
        <w:rPr>
          <w:b/>
          <w:bCs/>
          <w:sz w:val="22"/>
          <w:szCs w:val="22"/>
          <w:lang w:val="sr-Latn-ME"/>
        </w:rPr>
        <w:t>Farmakodinamski podaci</w:t>
      </w:r>
      <w:r w:rsidR="003A7059" w:rsidRPr="003408E2">
        <w:rPr>
          <w:b/>
          <w:bCs/>
          <w:sz w:val="22"/>
          <w:szCs w:val="22"/>
          <w:lang w:val="sr-Latn-ME"/>
        </w:rPr>
        <w:t xml:space="preserve"> </w:t>
      </w:r>
    </w:p>
    <w:p w14:paraId="49D27C5B" w14:textId="77777777" w:rsidR="00F45F77" w:rsidRPr="003408E2" w:rsidRDefault="00F45F77" w:rsidP="00480FB1">
      <w:pPr>
        <w:tabs>
          <w:tab w:val="left" w:pos="540"/>
          <w:tab w:val="left" w:pos="569"/>
        </w:tabs>
        <w:rPr>
          <w:b/>
          <w:bCs/>
          <w:sz w:val="22"/>
          <w:szCs w:val="22"/>
          <w:lang w:val="sr-Latn-ME"/>
        </w:rPr>
      </w:pPr>
    </w:p>
    <w:p w14:paraId="2AF98587" w14:textId="50B52E28" w:rsidR="0072020E" w:rsidRPr="003408E2" w:rsidRDefault="0072020E" w:rsidP="00480FB1">
      <w:pPr>
        <w:tabs>
          <w:tab w:val="left" w:pos="540"/>
          <w:tab w:val="left" w:pos="569"/>
        </w:tabs>
        <w:rPr>
          <w:bCs/>
          <w:sz w:val="22"/>
          <w:szCs w:val="22"/>
          <w:lang w:val="sr-Latn-ME"/>
        </w:rPr>
      </w:pPr>
      <w:r w:rsidRPr="003408E2">
        <w:rPr>
          <w:bCs/>
          <w:sz w:val="22"/>
          <w:szCs w:val="22"/>
          <w:lang w:val="sr-Latn-ME"/>
        </w:rPr>
        <w:t>Farmakoterapijska grupa:</w:t>
      </w:r>
      <w:r w:rsidR="007E1823" w:rsidRPr="003408E2">
        <w:rPr>
          <w:bCs/>
          <w:lang w:val="sr-Latn-ME"/>
        </w:rPr>
        <w:t xml:space="preserve"> </w:t>
      </w:r>
      <w:r w:rsidR="007E1823" w:rsidRPr="003408E2">
        <w:rPr>
          <w:bCs/>
          <w:sz w:val="22"/>
          <w:szCs w:val="22"/>
          <w:lang w:val="sr-Latn-ME"/>
        </w:rPr>
        <w:t>antiinfektivi za liječenje akni.</w:t>
      </w:r>
    </w:p>
    <w:p w14:paraId="4184570C" w14:textId="77777777" w:rsidR="0072020E" w:rsidRPr="003408E2" w:rsidRDefault="0072020E" w:rsidP="00480FB1">
      <w:pPr>
        <w:tabs>
          <w:tab w:val="left" w:pos="540"/>
          <w:tab w:val="left" w:pos="569"/>
        </w:tabs>
        <w:rPr>
          <w:bCs/>
          <w:sz w:val="22"/>
          <w:szCs w:val="22"/>
          <w:lang w:val="sr-Latn-ME"/>
        </w:rPr>
      </w:pPr>
    </w:p>
    <w:p w14:paraId="0D0C3A62" w14:textId="235AF8AD" w:rsidR="0072020E" w:rsidRPr="003408E2" w:rsidRDefault="0072020E" w:rsidP="00480FB1">
      <w:pPr>
        <w:tabs>
          <w:tab w:val="left" w:pos="540"/>
          <w:tab w:val="left" w:pos="569"/>
        </w:tabs>
        <w:rPr>
          <w:snapToGrid w:val="0"/>
          <w:lang w:val="sr-Latn-ME"/>
        </w:rPr>
      </w:pPr>
      <w:r w:rsidRPr="003408E2">
        <w:rPr>
          <w:bCs/>
          <w:sz w:val="22"/>
          <w:szCs w:val="22"/>
          <w:lang w:val="sr-Latn-ME"/>
        </w:rPr>
        <w:t>ATC kod:</w:t>
      </w:r>
      <w:r w:rsidR="007E1823" w:rsidRPr="003408E2">
        <w:rPr>
          <w:bCs/>
          <w:sz w:val="22"/>
          <w:szCs w:val="22"/>
          <w:lang w:val="sr-Latn-ME"/>
        </w:rPr>
        <w:t xml:space="preserve"> </w:t>
      </w:r>
      <w:r w:rsidR="007E1823" w:rsidRPr="003408E2">
        <w:rPr>
          <w:snapToGrid w:val="0"/>
          <w:sz w:val="22"/>
          <w:szCs w:val="22"/>
          <w:lang w:val="sr-Latn-ME"/>
        </w:rPr>
        <w:t>D10AF01</w:t>
      </w:r>
    </w:p>
    <w:p w14:paraId="004616AC" w14:textId="77777777" w:rsidR="007E1823" w:rsidRPr="003408E2" w:rsidRDefault="007E1823" w:rsidP="00480FB1">
      <w:pPr>
        <w:tabs>
          <w:tab w:val="left" w:pos="540"/>
          <w:tab w:val="left" w:pos="569"/>
        </w:tabs>
        <w:rPr>
          <w:snapToGrid w:val="0"/>
          <w:lang w:val="sr-Latn-ME"/>
        </w:rPr>
      </w:pPr>
    </w:p>
    <w:p w14:paraId="6695F610" w14:textId="64087968" w:rsidR="007E1823" w:rsidRPr="003408E2" w:rsidRDefault="00995A90" w:rsidP="007E1823">
      <w:pPr>
        <w:keepNext/>
        <w:widowControl w:val="0"/>
        <w:jc w:val="both"/>
        <w:outlineLvl w:val="8"/>
        <w:rPr>
          <w:b/>
          <w:snapToGrid w:val="0"/>
          <w:sz w:val="22"/>
          <w:szCs w:val="22"/>
          <w:lang w:val="sr-Latn-ME"/>
        </w:rPr>
      </w:pPr>
      <w:r w:rsidRPr="003408E2">
        <w:rPr>
          <w:b/>
          <w:snapToGrid w:val="0"/>
          <w:sz w:val="22"/>
          <w:szCs w:val="22"/>
          <w:lang w:val="sr-Latn-ME"/>
        </w:rPr>
        <w:t>Mehanizam dejstva</w:t>
      </w:r>
    </w:p>
    <w:p w14:paraId="220DBC60" w14:textId="77777777" w:rsidR="007E1823" w:rsidRPr="003408E2" w:rsidRDefault="007E1823" w:rsidP="007E1823">
      <w:pPr>
        <w:keepNext/>
        <w:widowControl w:val="0"/>
        <w:jc w:val="both"/>
        <w:outlineLvl w:val="8"/>
        <w:rPr>
          <w:b/>
          <w:snapToGrid w:val="0"/>
          <w:sz w:val="22"/>
          <w:szCs w:val="22"/>
          <w:lang w:val="sr-Latn-ME"/>
        </w:rPr>
      </w:pPr>
    </w:p>
    <w:p w14:paraId="055DD4D8" w14:textId="77777777" w:rsidR="00231CC3" w:rsidRPr="003408E2" w:rsidRDefault="00231CC3" w:rsidP="00231CC3">
      <w:pPr>
        <w:keepNext/>
        <w:widowControl w:val="0"/>
        <w:jc w:val="both"/>
        <w:outlineLvl w:val="8"/>
        <w:rPr>
          <w:snapToGrid w:val="0"/>
          <w:sz w:val="22"/>
          <w:szCs w:val="22"/>
          <w:lang w:val="sr-Latn-ME"/>
        </w:rPr>
      </w:pPr>
      <w:r w:rsidRPr="003408E2">
        <w:rPr>
          <w:snapToGrid w:val="0"/>
          <w:sz w:val="22"/>
          <w:szCs w:val="22"/>
          <w:lang w:val="sr-Latn-ME"/>
        </w:rPr>
        <w:t xml:space="preserve">Klindamicin je polusintetski linkozamidni antibiotik koji se dobija iz kulture Streptomyces lincolensis. Može imati bakteriostatsko ili baktericidno dejstvo, u zavisnosti od koncentracije lijeka na mjestu djelovanja i osjetljivosti specifičnog mikroorganizma. Klindamicin inhibira sintezu bakterijskih proteina, tako što se vezuje za 50S ribozomsku subjedinicu i inhibira rane stadijume sinteze bakterijskih proteina. </w:t>
      </w:r>
    </w:p>
    <w:p w14:paraId="7BBB1172" w14:textId="77777777" w:rsidR="00231CC3" w:rsidRPr="003408E2" w:rsidRDefault="00231CC3" w:rsidP="00231CC3">
      <w:pPr>
        <w:keepNext/>
        <w:widowControl w:val="0"/>
        <w:jc w:val="both"/>
        <w:outlineLvl w:val="8"/>
        <w:rPr>
          <w:snapToGrid w:val="0"/>
          <w:sz w:val="22"/>
          <w:szCs w:val="22"/>
          <w:lang w:val="sr-Latn-ME"/>
        </w:rPr>
      </w:pPr>
      <w:r w:rsidRPr="003408E2">
        <w:rPr>
          <w:snapToGrid w:val="0"/>
          <w:sz w:val="22"/>
          <w:szCs w:val="22"/>
          <w:lang w:val="sr-Latn-ME"/>
        </w:rPr>
        <w:t>Spektar djelovanja klindamicina obuhvata in vitro i in vivo aktivnost prema većini grampozitivnih bakterija, prema širokom spektru anaerobnih patogena i protozoa. Najčešće je sistemski indikovan u terapiji anaerobnih stafilokoknih i streptokoknih infekcija i profilaksi endokarditisa. Učinkovit je i u liječenju protozoalnih infekcija kao npr. pneumonije uzrokovane s Pneumocystis carnii i oksoplasmoze.</w:t>
      </w:r>
    </w:p>
    <w:p w14:paraId="52993E58" w14:textId="77777777" w:rsidR="00231CC3" w:rsidRPr="003408E2" w:rsidRDefault="00231CC3" w:rsidP="00231CC3">
      <w:pPr>
        <w:keepNext/>
        <w:widowControl w:val="0"/>
        <w:jc w:val="both"/>
        <w:outlineLvl w:val="8"/>
        <w:rPr>
          <w:snapToGrid w:val="0"/>
          <w:sz w:val="22"/>
          <w:szCs w:val="22"/>
          <w:lang w:val="sr-Latn-ME"/>
        </w:rPr>
      </w:pPr>
      <w:r w:rsidRPr="003408E2">
        <w:rPr>
          <w:snapToGrid w:val="0"/>
          <w:sz w:val="22"/>
          <w:szCs w:val="22"/>
          <w:lang w:val="sr-Latn-ME"/>
        </w:rPr>
        <w:t>Lijek nije učinkovit protiv Enterobacteriaceae, gljivica i virusa.</w:t>
      </w:r>
    </w:p>
    <w:p w14:paraId="5BF9A097" w14:textId="77777777" w:rsidR="00231CC3" w:rsidRPr="003408E2" w:rsidRDefault="00231CC3" w:rsidP="00231CC3">
      <w:pPr>
        <w:keepNext/>
        <w:widowControl w:val="0"/>
        <w:jc w:val="both"/>
        <w:outlineLvl w:val="8"/>
        <w:rPr>
          <w:snapToGrid w:val="0"/>
          <w:sz w:val="22"/>
          <w:szCs w:val="22"/>
          <w:lang w:val="sr-Latn-ME"/>
        </w:rPr>
      </w:pPr>
    </w:p>
    <w:p w14:paraId="35D92254" w14:textId="34D98DE6" w:rsidR="007E1823" w:rsidRPr="003408E2" w:rsidRDefault="00231CC3" w:rsidP="007E1823">
      <w:pPr>
        <w:keepNext/>
        <w:widowControl w:val="0"/>
        <w:jc w:val="both"/>
        <w:outlineLvl w:val="8"/>
        <w:rPr>
          <w:snapToGrid w:val="0"/>
          <w:sz w:val="22"/>
          <w:szCs w:val="22"/>
          <w:lang w:val="sr-Latn-ME"/>
        </w:rPr>
      </w:pPr>
      <w:r w:rsidRPr="003408E2">
        <w:rPr>
          <w:snapToGrid w:val="0"/>
          <w:sz w:val="22"/>
          <w:szCs w:val="22"/>
          <w:lang w:val="sr-Latn-ME"/>
        </w:rPr>
        <w:t xml:space="preserve">S obzirom na način primjene i indikacijsko područje klindamicina, ovdje je važno prikazati mehanizam djelovanja lijeka koji je značajan u terapiji akni (acne vulgaris). Iako mehanizam djelovanja nije u potpunosti razjašnjen, smatra se da je posljedica antibakterijskog dejstva lijeka. Nakon lokalne primjene klindamicina na kožu, dolazi do inhibicije rasta osjetljivih bakterija, a posebno anaerobnih </w:t>
      </w:r>
      <w:r w:rsidRPr="003408E2">
        <w:rPr>
          <w:snapToGrid w:val="0"/>
          <w:sz w:val="22"/>
          <w:szCs w:val="22"/>
          <w:lang w:val="sr-Latn-ME"/>
        </w:rPr>
        <w:lastRenderedPageBreak/>
        <w:t>Propionibacterium acnes koji se nalaze u lojnom tkivu i folikulima, čime se smanjuje koncentracija slobodnih masnih kiselina (SMK) u loju. Takvo smanjenje SMK u sadržaju loja posljedica je neposredne inhibicije mikroorganizama koji proizvode lipaze važne za konverziju triglicerida u SMK, ili direktne posljedice smanjenja stvaranja lipaza od strane mikroorganizama. Osim lipaza, Propionibacterium acnes proizvodi proteaze, hijaluronidaze i hemotaktičke faktore koji se zajedno sa komedogenim SMK smatraju odgovornim za nastanak upalnih lezija (npr. papule, pustule, nodule, ciste) kod akni. Stoga je za efekat lokalne primjene klindamicina kod pacijenata sa aknama važno antibakterijsko, ali i antiinflamatorno dejstvo, u kojem značajnu ulogu ima inhibicija hemotaksije leukocita.</w:t>
      </w:r>
    </w:p>
    <w:p w14:paraId="6606B440" w14:textId="77777777" w:rsidR="007E1823" w:rsidRPr="003408E2" w:rsidRDefault="007E1823" w:rsidP="007E1823">
      <w:pPr>
        <w:keepNext/>
        <w:widowControl w:val="0"/>
        <w:jc w:val="both"/>
        <w:outlineLvl w:val="8"/>
        <w:rPr>
          <w:snapToGrid w:val="0"/>
          <w:sz w:val="22"/>
          <w:szCs w:val="22"/>
          <w:lang w:val="sr-Latn-ME"/>
        </w:rPr>
      </w:pPr>
    </w:p>
    <w:p w14:paraId="699D0FBF" w14:textId="77777777" w:rsidR="000230A3" w:rsidRPr="003408E2" w:rsidRDefault="000230A3" w:rsidP="007E1823">
      <w:pPr>
        <w:keepNext/>
        <w:widowControl w:val="0"/>
        <w:jc w:val="both"/>
        <w:outlineLvl w:val="8"/>
        <w:rPr>
          <w:b/>
          <w:bCs/>
          <w:snapToGrid w:val="0"/>
          <w:sz w:val="22"/>
          <w:szCs w:val="22"/>
          <w:lang w:val="sr-Latn-ME"/>
        </w:rPr>
      </w:pPr>
      <w:r w:rsidRPr="003408E2">
        <w:rPr>
          <w:b/>
          <w:bCs/>
          <w:snapToGrid w:val="0"/>
          <w:sz w:val="22"/>
          <w:szCs w:val="22"/>
          <w:lang w:val="sr-Latn-ME"/>
        </w:rPr>
        <w:t xml:space="preserve">Farmakodinamsko dejstvo </w:t>
      </w:r>
    </w:p>
    <w:p w14:paraId="23398183" w14:textId="77777777" w:rsidR="000230A3" w:rsidRPr="003408E2" w:rsidRDefault="000230A3" w:rsidP="007E1823">
      <w:pPr>
        <w:keepNext/>
        <w:widowControl w:val="0"/>
        <w:jc w:val="both"/>
        <w:outlineLvl w:val="8"/>
        <w:rPr>
          <w:snapToGrid w:val="0"/>
          <w:sz w:val="22"/>
          <w:szCs w:val="22"/>
          <w:lang w:val="sr-Latn-ME"/>
        </w:rPr>
      </w:pPr>
    </w:p>
    <w:p w14:paraId="750777B7" w14:textId="63C64161" w:rsidR="000230A3" w:rsidRPr="003408E2" w:rsidRDefault="000230A3" w:rsidP="007E1823">
      <w:pPr>
        <w:keepNext/>
        <w:widowControl w:val="0"/>
        <w:jc w:val="both"/>
        <w:outlineLvl w:val="8"/>
        <w:rPr>
          <w:snapToGrid w:val="0"/>
          <w:sz w:val="22"/>
          <w:szCs w:val="22"/>
          <w:lang w:val="sr-Latn-ME"/>
        </w:rPr>
      </w:pPr>
      <w:r w:rsidRPr="003408E2">
        <w:rPr>
          <w:snapToGrid w:val="0"/>
          <w:sz w:val="22"/>
          <w:szCs w:val="22"/>
          <w:lang w:val="sr-Latn-ME"/>
        </w:rPr>
        <w:t xml:space="preserve">Efikasnost je povezana sa vremenskim periodom u kome je koncentracija lijeka iznad vrijednosti minimalne inhibitorne koncentracije (engl. minimum inhibitory concentration, MIC) patogena (%T/MIC). </w:t>
      </w:r>
    </w:p>
    <w:p w14:paraId="30DA66CB" w14:textId="77777777" w:rsidR="000230A3" w:rsidRPr="003408E2" w:rsidRDefault="000230A3" w:rsidP="007E1823">
      <w:pPr>
        <w:keepNext/>
        <w:widowControl w:val="0"/>
        <w:jc w:val="both"/>
        <w:outlineLvl w:val="8"/>
        <w:rPr>
          <w:snapToGrid w:val="0"/>
          <w:sz w:val="22"/>
          <w:szCs w:val="22"/>
          <w:lang w:val="sr-Latn-ME"/>
        </w:rPr>
      </w:pPr>
    </w:p>
    <w:p w14:paraId="0634EDA7" w14:textId="77777777" w:rsidR="000230A3" w:rsidRPr="003408E2" w:rsidRDefault="000230A3" w:rsidP="007E1823">
      <w:pPr>
        <w:keepNext/>
        <w:widowControl w:val="0"/>
        <w:jc w:val="both"/>
        <w:outlineLvl w:val="8"/>
        <w:rPr>
          <w:b/>
          <w:bCs/>
          <w:snapToGrid w:val="0"/>
          <w:sz w:val="22"/>
          <w:szCs w:val="22"/>
          <w:lang w:val="sr-Latn-ME"/>
        </w:rPr>
      </w:pPr>
      <w:r w:rsidRPr="003408E2">
        <w:rPr>
          <w:b/>
          <w:bCs/>
          <w:snapToGrid w:val="0"/>
          <w:sz w:val="22"/>
          <w:szCs w:val="22"/>
          <w:lang w:val="sr-Latn-ME"/>
        </w:rPr>
        <w:t xml:space="preserve">Rezistencija </w:t>
      </w:r>
    </w:p>
    <w:p w14:paraId="3204EABC" w14:textId="77777777" w:rsidR="000230A3" w:rsidRPr="003408E2" w:rsidRDefault="000230A3" w:rsidP="007E1823">
      <w:pPr>
        <w:keepNext/>
        <w:widowControl w:val="0"/>
        <w:jc w:val="both"/>
        <w:outlineLvl w:val="8"/>
        <w:rPr>
          <w:snapToGrid w:val="0"/>
          <w:sz w:val="22"/>
          <w:szCs w:val="22"/>
          <w:lang w:val="sr-Latn-ME"/>
        </w:rPr>
      </w:pPr>
    </w:p>
    <w:p w14:paraId="6FBEBAC2" w14:textId="77777777" w:rsidR="000230A3" w:rsidRPr="003408E2" w:rsidRDefault="000230A3" w:rsidP="007E1823">
      <w:pPr>
        <w:keepNext/>
        <w:widowControl w:val="0"/>
        <w:jc w:val="both"/>
        <w:outlineLvl w:val="8"/>
        <w:rPr>
          <w:snapToGrid w:val="0"/>
          <w:sz w:val="22"/>
          <w:szCs w:val="22"/>
          <w:lang w:val="sr-Latn-ME"/>
        </w:rPr>
      </w:pPr>
      <w:r w:rsidRPr="003408E2">
        <w:rPr>
          <w:snapToGrid w:val="0"/>
          <w:sz w:val="22"/>
          <w:szCs w:val="22"/>
          <w:lang w:val="sr-Latn-ME"/>
        </w:rPr>
        <w:t xml:space="preserve">Rezistencija na klindamicin </w:t>
      </w:r>
      <w:r w:rsidRPr="003408E2">
        <w:rPr>
          <w:i/>
          <w:iCs/>
          <w:snapToGrid w:val="0"/>
          <w:sz w:val="22"/>
          <w:szCs w:val="22"/>
          <w:lang w:val="sr-Latn-ME"/>
        </w:rPr>
        <w:t>Propionibacterium acnes</w:t>
      </w:r>
      <w:r w:rsidRPr="003408E2">
        <w:rPr>
          <w:snapToGrid w:val="0"/>
          <w:sz w:val="22"/>
          <w:szCs w:val="22"/>
          <w:lang w:val="sr-Latn-ME"/>
        </w:rPr>
        <w:t xml:space="preserve"> može biti izazvana mutacijom rRNK mjesta vezivanja antibiotika ili metilacijom specifičnih nukleotida na mjestu 23S ribozomalne subjedinice 50S. Ove promjene mogu da odrede unakrsnu rezistenciju na makrolide i streptogramine B (MLSB fenotip). Makrolidnorezistentne izolate treba testirati na inducibilnu rezistenciju na klindamicin primjenom testa D-zone. </w:t>
      </w:r>
    </w:p>
    <w:p w14:paraId="146B70C6" w14:textId="77777777" w:rsidR="000230A3" w:rsidRPr="003408E2" w:rsidRDefault="000230A3" w:rsidP="007E1823">
      <w:pPr>
        <w:keepNext/>
        <w:widowControl w:val="0"/>
        <w:jc w:val="both"/>
        <w:outlineLvl w:val="8"/>
        <w:rPr>
          <w:snapToGrid w:val="0"/>
          <w:sz w:val="22"/>
          <w:szCs w:val="22"/>
          <w:lang w:val="sr-Latn-ME"/>
        </w:rPr>
      </w:pPr>
    </w:p>
    <w:p w14:paraId="222EFD49" w14:textId="0341F548" w:rsidR="000230A3" w:rsidRPr="003408E2" w:rsidRDefault="000230A3" w:rsidP="007E1823">
      <w:pPr>
        <w:keepNext/>
        <w:widowControl w:val="0"/>
        <w:jc w:val="both"/>
        <w:outlineLvl w:val="8"/>
        <w:rPr>
          <w:snapToGrid w:val="0"/>
          <w:sz w:val="22"/>
          <w:szCs w:val="22"/>
          <w:lang w:val="sr-Latn-ME"/>
        </w:rPr>
      </w:pPr>
      <w:r w:rsidRPr="003408E2">
        <w:rPr>
          <w:snapToGrid w:val="0"/>
          <w:sz w:val="22"/>
          <w:szCs w:val="22"/>
          <w:lang w:val="sr-Latn-ME"/>
        </w:rPr>
        <w:t>Prevalencija stečene rezistencije može varirati geografski i tokom vremena za određene sojeve i lokalna informacija o rezistenciji je poželjna, posebno tokom terapije teških infekcija. Kad je neophodno, treba tražiti savjet stručnjaka kada je lokalna prevalencija rezistencije takva da je efikasnost lijeka bar u nekim tipovima infekcije pod znakom pitanja. Posebno u teškim infekcijama ili kod terapijskog neuspjeha, preporučuje se mikrobiološka dijagnoza sa provjerom uzročnika kao i njegova osjetljivost na klindamicin.</w:t>
      </w:r>
    </w:p>
    <w:p w14:paraId="19536D7B" w14:textId="77777777" w:rsidR="000230A3" w:rsidRPr="003408E2" w:rsidRDefault="000230A3" w:rsidP="007E1823">
      <w:pPr>
        <w:keepNext/>
        <w:widowControl w:val="0"/>
        <w:jc w:val="both"/>
        <w:outlineLvl w:val="8"/>
        <w:rPr>
          <w:snapToGrid w:val="0"/>
          <w:sz w:val="22"/>
          <w:szCs w:val="22"/>
          <w:lang w:val="sr-Latn-ME"/>
        </w:rPr>
      </w:pPr>
    </w:p>
    <w:p w14:paraId="09482566" w14:textId="75763A97" w:rsidR="000230A3" w:rsidRPr="003408E2" w:rsidRDefault="000230A3" w:rsidP="007E1823">
      <w:pPr>
        <w:keepNext/>
        <w:widowControl w:val="0"/>
        <w:jc w:val="both"/>
        <w:outlineLvl w:val="8"/>
        <w:rPr>
          <w:snapToGrid w:val="0"/>
          <w:sz w:val="22"/>
          <w:szCs w:val="22"/>
          <w:lang w:val="sr-Latn-ME"/>
        </w:rPr>
      </w:pPr>
      <w:r w:rsidRPr="003408E2">
        <w:rPr>
          <w:snapToGrid w:val="0"/>
          <w:sz w:val="22"/>
          <w:szCs w:val="22"/>
          <w:lang w:val="sr-Latn-ME"/>
        </w:rPr>
        <w:t xml:space="preserve">Rezistencija se obično definiše osjetljivošću interpretativnih kriterijuma (kliničke granične vrijednosti za osjetljivost antibiotika) utvrđenih od strane EUCAST (engl. </w:t>
      </w:r>
      <w:r w:rsidRPr="003408E2">
        <w:rPr>
          <w:i/>
          <w:snapToGrid w:val="0"/>
          <w:sz w:val="22"/>
          <w:szCs w:val="22"/>
          <w:lang w:val="sr-Latn-ME"/>
        </w:rPr>
        <w:t>European Commitee on Antimicrobial Susceptibility Testing</w:t>
      </w:r>
      <w:r w:rsidRPr="003408E2">
        <w:rPr>
          <w:snapToGrid w:val="0"/>
          <w:sz w:val="22"/>
          <w:szCs w:val="22"/>
          <w:lang w:val="sr-Latn-ME"/>
        </w:rPr>
        <w:t xml:space="preserve">) za sistemski primijenjene antibiotike. Ove granične vrijednosti mogu biti manje relevantne za lokalno primijenjen klindamicin. Iako klindamicin nije specifično naveden, EUCAST je sugerisao da, za lokalno primijenjene antimikrobne ljekove, rezistencija može da se bolje definiše epidemiološkim graničnim vrijednostima (ECOFFS, eng. </w:t>
      </w:r>
      <w:r w:rsidRPr="003408E2">
        <w:rPr>
          <w:i/>
          <w:snapToGrid w:val="0"/>
          <w:sz w:val="22"/>
          <w:szCs w:val="22"/>
          <w:lang w:val="sr-Latn-ME"/>
        </w:rPr>
        <w:t>Epidemiological cut-off values</w:t>
      </w:r>
      <w:r w:rsidRPr="003408E2">
        <w:rPr>
          <w:snapToGrid w:val="0"/>
          <w:sz w:val="22"/>
          <w:szCs w:val="22"/>
          <w:lang w:val="sr-Latn-ME"/>
        </w:rPr>
        <w:t xml:space="preserve">) prije nego kliničkim graničnim vrijednostima za osjetljivost utvrđenim za sistemsku primjenu. Međutim, distribucije MIC i ECOFFS vrijednosti nisu izdate od strane EUCAST za </w:t>
      </w:r>
      <w:r w:rsidRPr="003408E2">
        <w:rPr>
          <w:i/>
          <w:iCs/>
          <w:snapToGrid w:val="0"/>
          <w:sz w:val="22"/>
          <w:szCs w:val="22"/>
          <w:lang w:val="sr-Latn-ME"/>
        </w:rPr>
        <w:t>P. acnes</w:t>
      </w:r>
      <w:r w:rsidRPr="003408E2">
        <w:rPr>
          <w:snapToGrid w:val="0"/>
          <w:sz w:val="22"/>
          <w:szCs w:val="22"/>
          <w:lang w:val="sr-Latn-ME"/>
        </w:rPr>
        <w:t>. Na osnovu korelacije između kliničkih rezultata kod pacijenata sa aknama vrijednosti MIC klindamicina za njihove izolate P. acnes, ove vrijednosti od 256 mg/</w:t>
      </w:r>
      <w:r w:rsidR="00961EED" w:rsidRPr="003408E2">
        <w:rPr>
          <w:snapToGrid w:val="0"/>
          <w:sz w:val="22"/>
          <w:szCs w:val="22"/>
          <w:lang w:val="sr-Latn-ME"/>
        </w:rPr>
        <w:t>l</w:t>
      </w:r>
      <w:r w:rsidRPr="003408E2">
        <w:rPr>
          <w:snapToGrid w:val="0"/>
          <w:sz w:val="22"/>
          <w:szCs w:val="22"/>
          <w:lang w:val="sr-Latn-ME"/>
        </w:rPr>
        <w:t xml:space="preserve"> se smatraju osjetljivim za lokalno primijenjeni klindamicin. </w:t>
      </w:r>
    </w:p>
    <w:p w14:paraId="7DD78B92" w14:textId="77777777" w:rsidR="000230A3" w:rsidRPr="003408E2" w:rsidRDefault="000230A3" w:rsidP="007E1823">
      <w:pPr>
        <w:keepNext/>
        <w:widowControl w:val="0"/>
        <w:jc w:val="both"/>
        <w:outlineLvl w:val="8"/>
        <w:rPr>
          <w:snapToGrid w:val="0"/>
          <w:sz w:val="22"/>
          <w:szCs w:val="22"/>
          <w:lang w:val="sr-Latn-ME"/>
        </w:rPr>
      </w:pPr>
    </w:p>
    <w:p w14:paraId="708F7DC6" w14:textId="4AE453F0" w:rsidR="000230A3" w:rsidRPr="003408E2" w:rsidRDefault="000230A3" w:rsidP="007E1823">
      <w:pPr>
        <w:keepNext/>
        <w:widowControl w:val="0"/>
        <w:jc w:val="both"/>
        <w:outlineLvl w:val="8"/>
        <w:rPr>
          <w:snapToGrid w:val="0"/>
          <w:sz w:val="22"/>
          <w:szCs w:val="22"/>
          <w:lang w:val="sr-Latn-ME"/>
        </w:rPr>
      </w:pPr>
      <w:r w:rsidRPr="003408E2">
        <w:rPr>
          <w:snapToGrid w:val="0"/>
          <w:sz w:val="22"/>
          <w:szCs w:val="22"/>
          <w:lang w:val="sr-Latn-ME"/>
        </w:rPr>
        <w:t xml:space="preserve">Studija praćenja anaerobnih bakterija u Belgiji (2011 – 2012) uključila je 22 izolata </w:t>
      </w:r>
      <w:r w:rsidRPr="003408E2">
        <w:rPr>
          <w:i/>
          <w:iCs/>
          <w:snapToGrid w:val="0"/>
          <w:sz w:val="22"/>
          <w:szCs w:val="22"/>
          <w:lang w:val="sr-Latn-ME"/>
        </w:rPr>
        <w:t>P. acnes</w:t>
      </w:r>
      <w:r w:rsidRPr="003408E2">
        <w:rPr>
          <w:snapToGrid w:val="0"/>
          <w:sz w:val="22"/>
          <w:szCs w:val="22"/>
          <w:lang w:val="sr-Latn-ME"/>
        </w:rPr>
        <w:t xml:space="preserve">; 95,5% je bilo osjetljivo na klindamicin. Tokom jedne ranije evropske studije praćenja, koja je uključila 304 izolata </w:t>
      </w:r>
      <w:r w:rsidRPr="003408E2">
        <w:rPr>
          <w:i/>
          <w:iCs/>
          <w:snapToGrid w:val="0"/>
          <w:sz w:val="22"/>
          <w:szCs w:val="22"/>
          <w:lang w:val="sr-Latn-ME"/>
        </w:rPr>
        <w:t>P. acnes</w:t>
      </w:r>
      <w:r w:rsidRPr="003408E2">
        <w:rPr>
          <w:snapToGrid w:val="0"/>
          <w:sz w:val="22"/>
          <w:szCs w:val="22"/>
          <w:lang w:val="sr-Latn-ME"/>
        </w:rPr>
        <w:t>, prijavljena je učestalost rezistencije od 15% na klindamicin. Međutim, ova studija je koristila graničnu vrijednost od 0,12 mg/</w:t>
      </w:r>
      <w:r w:rsidR="00961EED" w:rsidRPr="003408E2">
        <w:rPr>
          <w:snapToGrid w:val="0"/>
          <w:sz w:val="22"/>
          <w:szCs w:val="22"/>
          <w:lang w:val="sr-Latn-ME"/>
        </w:rPr>
        <w:t>l</w:t>
      </w:r>
      <w:r w:rsidRPr="003408E2">
        <w:rPr>
          <w:snapToGrid w:val="0"/>
          <w:sz w:val="22"/>
          <w:szCs w:val="22"/>
          <w:lang w:val="sr-Latn-ME"/>
        </w:rPr>
        <w:t>; pri korišćenju granične vrijednosti od 4 mg/</w:t>
      </w:r>
      <w:r w:rsidR="00961EED" w:rsidRPr="003408E2">
        <w:rPr>
          <w:snapToGrid w:val="0"/>
          <w:sz w:val="22"/>
          <w:szCs w:val="22"/>
          <w:lang w:val="sr-Latn-ME"/>
        </w:rPr>
        <w:t>l</w:t>
      </w:r>
      <w:r w:rsidRPr="003408E2">
        <w:rPr>
          <w:snapToGrid w:val="0"/>
          <w:sz w:val="22"/>
          <w:szCs w:val="22"/>
          <w:lang w:val="sr-Latn-ME"/>
        </w:rPr>
        <w:t>, nije bilo rezistentnih izolata.</w:t>
      </w:r>
    </w:p>
    <w:p w14:paraId="09EFA16E" w14:textId="77777777" w:rsidR="000230A3" w:rsidRPr="003408E2" w:rsidRDefault="000230A3" w:rsidP="007E1823">
      <w:pPr>
        <w:keepNext/>
        <w:widowControl w:val="0"/>
        <w:jc w:val="both"/>
        <w:outlineLvl w:val="8"/>
        <w:rPr>
          <w:snapToGrid w:val="0"/>
          <w:sz w:val="22"/>
          <w:szCs w:val="22"/>
          <w:lang w:val="sr-Latn-ME"/>
        </w:rPr>
      </w:pPr>
    </w:p>
    <w:p w14:paraId="6D907DC2" w14:textId="54224C26" w:rsidR="00961EED" w:rsidRPr="003408E2" w:rsidRDefault="00961EED" w:rsidP="007E1823">
      <w:pPr>
        <w:keepNext/>
        <w:widowControl w:val="0"/>
        <w:jc w:val="both"/>
        <w:outlineLvl w:val="8"/>
        <w:rPr>
          <w:b/>
          <w:bCs/>
          <w:snapToGrid w:val="0"/>
          <w:sz w:val="22"/>
          <w:szCs w:val="22"/>
          <w:lang w:val="sr-Latn-ME"/>
        </w:rPr>
      </w:pPr>
      <w:r w:rsidRPr="003408E2">
        <w:rPr>
          <w:b/>
          <w:bCs/>
          <w:snapToGrid w:val="0"/>
          <w:sz w:val="22"/>
          <w:szCs w:val="22"/>
          <w:lang w:val="sr-Latn-ME"/>
        </w:rPr>
        <w:t xml:space="preserve">Granične vrijednosti </w:t>
      </w:r>
    </w:p>
    <w:p w14:paraId="370574C0" w14:textId="77777777" w:rsidR="00961EED" w:rsidRPr="003408E2" w:rsidRDefault="00961EED" w:rsidP="007E1823">
      <w:pPr>
        <w:keepNext/>
        <w:widowControl w:val="0"/>
        <w:jc w:val="both"/>
        <w:outlineLvl w:val="8"/>
        <w:rPr>
          <w:snapToGrid w:val="0"/>
          <w:sz w:val="22"/>
          <w:szCs w:val="22"/>
          <w:lang w:val="sr-Latn-ME"/>
        </w:rPr>
      </w:pPr>
    </w:p>
    <w:p w14:paraId="05268B38" w14:textId="77777777" w:rsidR="00961EED" w:rsidRPr="003408E2" w:rsidRDefault="00961EED" w:rsidP="007E1823">
      <w:pPr>
        <w:keepNext/>
        <w:widowControl w:val="0"/>
        <w:jc w:val="both"/>
        <w:outlineLvl w:val="8"/>
        <w:rPr>
          <w:snapToGrid w:val="0"/>
          <w:sz w:val="22"/>
          <w:szCs w:val="22"/>
          <w:lang w:val="sr-Latn-ME"/>
        </w:rPr>
      </w:pPr>
      <w:r w:rsidRPr="003408E2">
        <w:rPr>
          <w:snapToGrid w:val="0"/>
          <w:sz w:val="22"/>
          <w:szCs w:val="22"/>
          <w:lang w:val="sr-Latn-ME"/>
        </w:rPr>
        <w:t xml:space="preserve">EUCAST granične vrijednosti za Gram-pozitivne anaerobne bakterije su navedene u tabeli, u nastavku. </w:t>
      </w:r>
      <w:r w:rsidRPr="003408E2">
        <w:rPr>
          <w:snapToGrid w:val="0"/>
          <w:sz w:val="22"/>
          <w:szCs w:val="22"/>
          <w:lang w:val="sr-Latn-ME"/>
        </w:rPr>
        <w:lastRenderedPageBreak/>
        <w:t xml:space="preserve">Ove granične vrijednosti su zasnovane na primjeni kod sistemskih infekcija. </w:t>
      </w:r>
    </w:p>
    <w:p w14:paraId="7D3DA7A3" w14:textId="77777777" w:rsidR="00961EED" w:rsidRPr="003408E2" w:rsidRDefault="00961EED" w:rsidP="007E1823">
      <w:pPr>
        <w:keepNext/>
        <w:widowControl w:val="0"/>
        <w:jc w:val="both"/>
        <w:outlineLvl w:val="8"/>
        <w:rPr>
          <w:snapToGrid w:val="0"/>
          <w:sz w:val="22"/>
          <w:szCs w:val="22"/>
          <w:lang w:val="sr-Latn-ME"/>
        </w:rPr>
      </w:pPr>
    </w:p>
    <w:p w14:paraId="354B1AC1" w14:textId="02186740" w:rsidR="00961EED" w:rsidRPr="003408E2" w:rsidRDefault="00961EED" w:rsidP="007E1823">
      <w:pPr>
        <w:keepNext/>
        <w:widowControl w:val="0"/>
        <w:jc w:val="both"/>
        <w:outlineLvl w:val="8"/>
        <w:rPr>
          <w:snapToGrid w:val="0"/>
          <w:sz w:val="22"/>
          <w:szCs w:val="22"/>
          <w:lang w:val="sr-Latn-ME"/>
        </w:rPr>
      </w:pPr>
      <w:r w:rsidRPr="003408E2">
        <w:rPr>
          <w:snapToGrid w:val="0"/>
          <w:sz w:val="22"/>
          <w:szCs w:val="22"/>
          <w:lang w:val="sr-Latn-ME"/>
        </w:rPr>
        <w:t>EUCAST granične vrijednosti za sistemsku primjenu klindamicina</w:t>
      </w:r>
    </w:p>
    <w:p w14:paraId="2C3D79B9" w14:textId="77777777" w:rsidR="00961EED" w:rsidRPr="003408E2" w:rsidRDefault="00961EED" w:rsidP="007E1823">
      <w:pPr>
        <w:keepNext/>
        <w:widowControl w:val="0"/>
        <w:jc w:val="both"/>
        <w:outlineLvl w:val="8"/>
        <w:rPr>
          <w:snapToGrid w:val="0"/>
          <w:sz w:val="22"/>
          <w:szCs w:val="22"/>
          <w:lang w:val="sr-Latn-ME"/>
        </w:rPr>
      </w:pPr>
    </w:p>
    <w:tbl>
      <w:tblPr>
        <w:tblStyle w:val="TableGrid"/>
        <w:tblW w:w="0" w:type="auto"/>
        <w:tblLook w:val="04A0" w:firstRow="1" w:lastRow="0" w:firstColumn="1" w:lastColumn="0" w:noHBand="0" w:noVBand="1"/>
      </w:tblPr>
      <w:tblGrid>
        <w:gridCol w:w="2425"/>
        <w:gridCol w:w="3330"/>
        <w:gridCol w:w="3308"/>
      </w:tblGrid>
      <w:tr w:rsidR="00961EED" w:rsidRPr="003408E2" w14:paraId="39453869" w14:textId="77777777" w:rsidTr="00123000">
        <w:tc>
          <w:tcPr>
            <w:tcW w:w="2425" w:type="dxa"/>
          </w:tcPr>
          <w:p w14:paraId="1CD6C0DC" w14:textId="4777A983" w:rsidR="00961EED" w:rsidRPr="003408E2" w:rsidRDefault="00961EED" w:rsidP="007E1823">
            <w:pPr>
              <w:keepNext/>
              <w:widowControl w:val="0"/>
              <w:jc w:val="both"/>
              <w:outlineLvl w:val="8"/>
              <w:rPr>
                <w:snapToGrid w:val="0"/>
                <w:sz w:val="22"/>
                <w:szCs w:val="22"/>
                <w:lang w:val="sr-Latn-ME"/>
              </w:rPr>
            </w:pPr>
            <w:r w:rsidRPr="003408E2">
              <w:rPr>
                <w:snapToGrid w:val="0"/>
                <w:sz w:val="22"/>
                <w:szCs w:val="22"/>
                <w:lang w:val="sr-Latn-ME"/>
              </w:rPr>
              <w:t>Patogen</w:t>
            </w:r>
          </w:p>
        </w:tc>
        <w:tc>
          <w:tcPr>
            <w:tcW w:w="3330" w:type="dxa"/>
          </w:tcPr>
          <w:p w14:paraId="75B1894B" w14:textId="3A32AFEC" w:rsidR="00961EED" w:rsidRPr="003408E2" w:rsidRDefault="00961EED" w:rsidP="007E1823">
            <w:pPr>
              <w:keepNext/>
              <w:widowControl w:val="0"/>
              <w:jc w:val="both"/>
              <w:outlineLvl w:val="8"/>
              <w:rPr>
                <w:snapToGrid w:val="0"/>
                <w:sz w:val="22"/>
                <w:szCs w:val="22"/>
                <w:lang w:val="sr-Latn-ME"/>
              </w:rPr>
            </w:pPr>
            <w:r w:rsidRPr="003408E2">
              <w:rPr>
                <w:snapToGrid w:val="0"/>
                <w:sz w:val="22"/>
                <w:szCs w:val="22"/>
                <w:lang w:val="sr-Latn-ME"/>
              </w:rPr>
              <w:t xml:space="preserve">Osjetljiv </w:t>
            </w:r>
          </w:p>
        </w:tc>
        <w:tc>
          <w:tcPr>
            <w:tcW w:w="3308" w:type="dxa"/>
          </w:tcPr>
          <w:p w14:paraId="36ECE620" w14:textId="50D906CF" w:rsidR="00961EED" w:rsidRPr="003408E2" w:rsidRDefault="00961EED" w:rsidP="007E1823">
            <w:pPr>
              <w:keepNext/>
              <w:widowControl w:val="0"/>
              <w:jc w:val="both"/>
              <w:outlineLvl w:val="8"/>
              <w:rPr>
                <w:snapToGrid w:val="0"/>
                <w:sz w:val="22"/>
                <w:szCs w:val="22"/>
                <w:lang w:val="sr-Latn-ME"/>
              </w:rPr>
            </w:pPr>
            <w:r w:rsidRPr="003408E2">
              <w:rPr>
                <w:snapToGrid w:val="0"/>
                <w:sz w:val="22"/>
                <w:szCs w:val="22"/>
                <w:lang w:val="sr-Latn-ME"/>
              </w:rPr>
              <w:t>Rezistentan</w:t>
            </w:r>
          </w:p>
        </w:tc>
      </w:tr>
      <w:tr w:rsidR="00961EED" w:rsidRPr="003408E2" w14:paraId="415FBA34" w14:textId="77777777" w:rsidTr="00123000">
        <w:tc>
          <w:tcPr>
            <w:tcW w:w="2425" w:type="dxa"/>
          </w:tcPr>
          <w:p w14:paraId="2F91E55E" w14:textId="25039FC2" w:rsidR="00961EED" w:rsidRPr="003408E2" w:rsidRDefault="00961EED" w:rsidP="007E1823">
            <w:pPr>
              <w:keepNext/>
              <w:widowControl w:val="0"/>
              <w:jc w:val="both"/>
              <w:outlineLvl w:val="8"/>
              <w:rPr>
                <w:snapToGrid w:val="0"/>
                <w:sz w:val="22"/>
                <w:szCs w:val="22"/>
                <w:lang w:val="sr-Latn-ME"/>
              </w:rPr>
            </w:pPr>
            <w:r w:rsidRPr="003408E2">
              <w:rPr>
                <w:snapToGrid w:val="0"/>
                <w:sz w:val="22"/>
                <w:szCs w:val="22"/>
                <w:lang w:val="sr-Latn-ME"/>
              </w:rPr>
              <w:t xml:space="preserve">Gram-pozitivni anaerobi (isključujući </w:t>
            </w:r>
            <w:r w:rsidRPr="003408E2">
              <w:rPr>
                <w:i/>
                <w:iCs/>
                <w:snapToGrid w:val="0"/>
                <w:sz w:val="22"/>
                <w:szCs w:val="22"/>
                <w:lang w:val="sr-Latn-ME"/>
              </w:rPr>
              <w:t>Clostridium difficile</w:t>
            </w:r>
            <w:r w:rsidRPr="003408E2">
              <w:rPr>
                <w:snapToGrid w:val="0"/>
                <w:sz w:val="22"/>
                <w:szCs w:val="22"/>
                <w:lang w:val="sr-Latn-ME"/>
              </w:rPr>
              <w:t>)</w:t>
            </w:r>
          </w:p>
        </w:tc>
        <w:tc>
          <w:tcPr>
            <w:tcW w:w="3330" w:type="dxa"/>
          </w:tcPr>
          <w:p w14:paraId="0B191D18" w14:textId="7522DCCC" w:rsidR="00961EED" w:rsidRPr="003408E2" w:rsidRDefault="00961EED" w:rsidP="007E1823">
            <w:pPr>
              <w:keepNext/>
              <w:widowControl w:val="0"/>
              <w:jc w:val="both"/>
              <w:outlineLvl w:val="8"/>
              <w:rPr>
                <w:snapToGrid w:val="0"/>
                <w:sz w:val="22"/>
                <w:szCs w:val="22"/>
                <w:lang w:val="sr-Latn-ME"/>
              </w:rPr>
            </w:pPr>
            <w:r w:rsidRPr="003408E2">
              <w:rPr>
                <w:snapToGrid w:val="0"/>
                <w:sz w:val="22"/>
                <w:szCs w:val="22"/>
                <w:lang w:val="sr-Latn-ME"/>
              </w:rPr>
              <w:t>≤ 4 mg/l</w:t>
            </w:r>
          </w:p>
        </w:tc>
        <w:tc>
          <w:tcPr>
            <w:tcW w:w="3308" w:type="dxa"/>
          </w:tcPr>
          <w:p w14:paraId="5D7DE24E" w14:textId="1BD79D39" w:rsidR="00961EED" w:rsidRPr="003408E2" w:rsidRDefault="00961EED" w:rsidP="007E1823">
            <w:pPr>
              <w:keepNext/>
              <w:widowControl w:val="0"/>
              <w:jc w:val="both"/>
              <w:outlineLvl w:val="8"/>
              <w:rPr>
                <w:snapToGrid w:val="0"/>
                <w:sz w:val="22"/>
                <w:szCs w:val="22"/>
                <w:lang w:val="sr-Latn-ME"/>
              </w:rPr>
            </w:pPr>
            <w:r w:rsidRPr="003408E2">
              <w:rPr>
                <w:snapToGrid w:val="0"/>
                <w:sz w:val="22"/>
                <w:szCs w:val="22"/>
                <w:lang w:val="sr-Latn-ME"/>
              </w:rPr>
              <w:t>&gt; 4 mg/l</w:t>
            </w:r>
          </w:p>
        </w:tc>
      </w:tr>
    </w:tbl>
    <w:p w14:paraId="647E034A" w14:textId="77777777" w:rsidR="00961EED" w:rsidRPr="003408E2" w:rsidRDefault="00961EED" w:rsidP="007E1823">
      <w:pPr>
        <w:keepNext/>
        <w:widowControl w:val="0"/>
        <w:jc w:val="both"/>
        <w:outlineLvl w:val="8"/>
        <w:rPr>
          <w:snapToGrid w:val="0"/>
          <w:sz w:val="22"/>
          <w:szCs w:val="22"/>
          <w:lang w:val="sr-Latn-ME"/>
        </w:rPr>
      </w:pPr>
    </w:p>
    <w:p w14:paraId="224F9794" w14:textId="77777777" w:rsidR="007E1823" w:rsidRPr="003408E2" w:rsidRDefault="007E1823" w:rsidP="007E1823">
      <w:pPr>
        <w:keepNext/>
        <w:widowControl w:val="0"/>
        <w:jc w:val="both"/>
        <w:outlineLvl w:val="8"/>
        <w:rPr>
          <w:snapToGrid w:val="0"/>
          <w:sz w:val="22"/>
          <w:szCs w:val="22"/>
          <w:lang w:val="sr-Latn-ME"/>
        </w:rPr>
      </w:pPr>
      <w:r w:rsidRPr="003408E2">
        <w:rPr>
          <w:snapToGrid w:val="0"/>
          <w:sz w:val="22"/>
          <w:szCs w:val="22"/>
          <w:lang w:val="sr-Latn-ME"/>
        </w:rPr>
        <w:t xml:space="preserve">U studijama sprovedenim u SAD, MIC za 97% ispitivanih izolata soja </w:t>
      </w:r>
      <w:r w:rsidRPr="003408E2">
        <w:rPr>
          <w:i/>
          <w:snapToGrid w:val="0"/>
          <w:sz w:val="22"/>
          <w:szCs w:val="22"/>
          <w:lang w:val="sr-Latn-ME"/>
        </w:rPr>
        <w:t>P. acnes</w:t>
      </w:r>
      <w:r w:rsidRPr="003408E2">
        <w:rPr>
          <w:snapToGrid w:val="0"/>
          <w:sz w:val="22"/>
          <w:szCs w:val="22"/>
          <w:lang w:val="sr-Latn-ME"/>
        </w:rPr>
        <w:t xml:space="preserve"> iznosile su ≤ 4mg/l. Kod pojedinih bakterijskih sojeva, u </w:t>
      </w:r>
      <w:r w:rsidRPr="003408E2">
        <w:rPr>
          <w:i/>
          <w:snapToGrid w:val="0"/>
          <w:sz w:val="22"/>
          <w:szCs w:val="22"/>
          <w:lang w:val="sr-Latn-ME"/>
        </w:rPr>
        <w:t>in vitro</w:t>
      </w:r>
      <w:r w:rsidRPr="003408E2">
        <w:rPr>
          <w:snapToGrid w:val="0"/>
          <w:sz w:val="22"/>
          <w:szCs w:val="22"/>
          <w:lang w:val="sr-Latn-ME"/>
        </w:rPr>
        <w:t xml:space="preserve"> uslovima je ispoljena unakrsna rezistencija na linkozamide, makrolide i streptogramine B.</w:t>
      </w:r>
    </w:p>
    <w:p w14:paraId="29287EF8" w14:textId="77777777" w:rsidR="002E37A5" w:rsidRPr="003408E2" w:rsidRDefault="002E37A5" w:rsidP="00480FB1">
      <w:pPr>
        <w:tabs>
          <w:tab w:val="left" w:pos="540"/>
          <w:tab w:val="left" w:pos="569"/>
        </w:tabs>
        <w:rPr>
          <w:b/>
          <w:bCs/>
          <w:sz w:val="22"/>
          <w:szCs w:val="22"/>
          <w:lang w:val="sr-Latn-ME"/>
        </w:rPr>
      </w:pPr>
    </w:p>
    <w:p w14:paraId="119BC0DF" w14:textId="77777777" w:rsidR="0072020E" w:rsidRPr="003408E2" w:rsidRDefault="0072020E" w:rsidP="00480FB1">
      <w:pPr>
        <w:tabs>
          <w:tab w:val="left" w:pos="540"/>
          <w:tab w:val="left" w:pos="569"/>
        </w:tabs>
        <w:rPr>
          <w:b/>
          <w:bCs/>
          <w:sz w:val="22"/>
          <w:szCs w:val="22"/>
          <w:lang w:val="sr-Latn-ME"/>
        </w:rPr>
      </w:pPr>
      <w:r w:rsidRPr="003408E2">
        <w:rPr>
          <w:b/>
          <w:bCs/>
          <w:sz w:val="22"/>
          <w:szCs w:val="22"/>
          <w:lang w:val="sr-Latn-ME"/>
        </w:rPr>
        <w:t xml:space="preserve">5.2. </w:t>
      </w:r>
      <w:r w:rsidR="00480FB1" w:rsidRPr="003408E2">
        <w:rPr>
          <w:b/>
          <w:bCs/>
          <w:sz w:val="22"/>
          <w:szCs w:val="22"/>
          <w:lang w:val="sr-Latn-ME"/>
        </w:rPr>
        <w:tab/>
      </w:r>
      <w:r w:rsidRPr="003408E2">
        <w:rPr>
          <w:b/>
          <w:bCs/>
          <w:sz w:val="22"/>
          <w:szCs w:val="22"/>
          <w:lang w:val="sr-Latn-ME"/>
        </w:rPr>
        <w:t>Farmakokinetički podaci</w:t>
      </w:r>
      <w:r w:rsidR="003A7059" w:rsidRPr="003408E2">
        <w:rPr>
          <w:b/>
          <w:bCs/>
          <w:sz w:val="22"/>
          <w:szCs w:val="22"/>
          <w:lang w:val="sr-Latn-ME"/>
        </w:rPr>
        <w:t xml:space="preserve"> </w:t>
      </w:r>
    </w:p>
    <w:p w14:paraId="322C8056" w14:textId="77777777" w:rsidR="007E1823" w:rsidRPr="003408E2" w:rsidRDefault="007E1823" w:rsidP="00480FB1">
      <w:pPr>
        <w:tabs>
          <w:tab w:val="left" w:pos="540"/>
          <w:tab w:val="left" w:pos="569"/>
        </w:tabs>
        <w:rPr>
          <w:b/>
          <w:bCs/>
          <w:sz w:val="22"/>
          <w:szCs w:val="22"/>
          <w:lang w:val="sr-Latn-ME"/>
        </w:rPr>
      </w:pPr>
    </w:p>
    <w:p w14:paraId="6906C289" w14:textId="77777777" w:rsidR="00E7218E" w:rsidRPr="003408E2" w:rsidRDefault="00E7218E" w:rsidP="00E7218E">
      <w:pPr>
        <w:tabs>
          <w:tab w:val="left" w:pos="540"/>
          <w:tab w:val="left" w:pos="569"/>
        </w:tabs>
        <w:rPr>
          <w:bCs/>
          <w:sz w:val="22"/>
          <w:szCs w:val="22"/>
          <w:u w:val="single"/>
          <w:lang w:val="sr-Latn-ME"/>
        </w:rPr>
      </w:pPr>
      <w:r w:rsidRPr="003408E2">
        <w:rPr>
          <w:bCs/>
          <w:sz w:val="22"/>
          <w:szCs w:val="22"/>
          <w:u w:val="single"/>
          <w:lang w:val="sr-Latn-ME"/>
        </w:rPr>
        <w:t>Farmakokinetika nakon lokalne primjene</w:t>
      </w:r>
    </w:p>
    <w:p w14:paraId="4361E02E" w14:textId="77777777" w:rsidR="00E7218E" w:rsidRPr="003408E2" w:rsidRDefault="00E7218E" w:rsidP="00E7218E">
      <w:pPr>
        <w:tabs>
          <w:tab w:val="left" w:pos="540"/>
          <w:tab w:val="left" w:pos="569"/>
        </w:tabs>
        <w:rPr>
          <w:bCs/>
          <w:sz w:val="22"/>
          <w:szCs w:val="22"/>
          <w:lang w:val="sr-Latn-ME"/>
        </w:rPr>
      </w:pPr>
      <w:r w:rsidRPr="003408E2">
        <w:rPr>
          <w:bCs/>
          <w:sz w:val="22"/>
          <w:szCs w:val="22"/>
          <w:lang w:val="sr-Latn-ME"/>
        </w:rPr>
        <w:t>U posebno oblikovanom in vitro modelu sa ljudskom kožom, oko 10% doze lokalno primijenjenog 1%</w:t>
      </w:r>
    </w:p>
    <w:p w14:paraId="0780A225" w14:textId="76A15002" w:rsidR="007E1823" w:rsidRPr="003408E2" w:rsidRDefault="00E7218E" w:rsidP="007E1823">
      <w:pPr>
        <w:tabs>
          <w:tab w:val="left" w:pos="540"/>
          <w:tab w:val="left" w:pos="569"/>
        </w:tabs>
        <w:jc w:val="both"/>
        <w:rPr>
          <w:bCs/>
          <w:sz w:val="22"/>
          <w:szCs w:val="22"/>
          <w:lang w:val="sr-Latn-ME"/>
        </w:rPr>
      </w:pPr>
      <w:r w:rsidRPr="003408E2">
        <w:rPr>
          <w:bCs/>
          <w:sz w:val="22"/>
          <w:szCs w:val="22"/>
          <w:lang w:val="sr-Latn-ME"/>
        </w:rPr>
        <w:t>klindamicina (označen radioizotopom) resorbovalo se u rožnati sloj kože. In vivo studijama potvrđena je dobra penetracija klindamicina u komedone nakon lokalne primjene. Kliničkim ispitivanjima je pokazano da se oko 5-8% klindamicina (1%) može resorbovati nakon perkutane aplikacije. Bioraspoloživost klindamicina nakon perkutane primjene iznosi oko 7,5%.</w:t>
      </w:r>
    </w:p>
    <w:p w14:paraId="6377C715" w14:textId="77777777" w:rsidR="007E1823" w:rsidRPr="003408E2" w:rsidRDefault="007E1823" w:rsidP="007E1823">
      <w:pPr>
        <w:tabs>
          <w:tab w:val="left" w:pos="540"/>
          <w:tab w:val="left" w:pos="569"/>
        </w:tabs>
        <w:rPr>
          <w:bCs/>
          <w:sz w:val="22"/>
          <w:szCs w:val="22"/>
          <w:lang w:val="sr-Latn-ME"/>
        </w:rPr>
      </w:pPr>
    </w:p>
    <w:p w14:paraId="62447FC1" w14:textId="77777777" w:rsidR="0072020E" w:rsidRPr="003408E2" w:rsidRDefault="0072020E" w:rsidP="00480FB1">
      <w:pPr>
        <w:tabs>
          <w:tab w:val="left" w:pos="540"/>
          <w:tab w:val="left" w:pos="569"/>
        </w:tabs>
        <w:rPr>
          <w:b/>
          <w:bCs/>
          <w:sz w:val="22"/>
          <w:szCs w:val="22"/>
          <w:lang w:val="sr-Latn-ME"/>
        </w:rPr>
      </w:pPr>
      <w:r w:rsidRPr="003408E2">
        <w:rPr>
          <w:b/>
          <w:bCs/>
          <w:sz w:val="22"/>
          <w:szCs w:val="22"/>
          <w:lang w:val="sr-Latn-ME"/>
        </w:rPr>
        <w:t xml:space="preserve">5.3. </w:t>
      </w:r>
      <w:r w:rsidR="00480FB1" w:rsidRPr="003408E2">
        <w:rPr>
          <w:b/>
          <w:bCs/>
          <w:sz w:val="22"/>
          <w:szCs w:val="22"/>
          <w:lang w:val="sr-Latn-ME"/>
        </w:rPr>
        <w:tab/>
      </w:r>
      <w:r w:rsidRPr="003408E2">
        <w:rPr>
          <w:b/>
          <w:bCs/>
          <w:sz w:val="22"/>
          <w:szCs w:val="22"/>
          <w:lang w:val="sr-Latn-ME"/>
        </w:rPr>
        <w:t xml:space="preserve">Pretklinički podaci o bezbjednosti </w:t>
      </w:r>
    </w:p>
    <w:p w14:paraId="78E5FCBB" w14:textId="77777777" w:rsidR="00836B35" w:rsidRPr="003408E2" w:rsidRDefault="00836B35" w:rsidP="00480FB1">
      <w:pPr>
        <w:tabs>
          <w:tab w:val="left" w:pos="540"/>
          <w:tab w:val="left" w:pos="569"/>
        </w:tabs>
        <w:rPr>
          <w:bCs/>
          <w:sz w:val="22"/>
          <w:szCs w:val="22"/>
          <w:lang w:val="sr-Latn-ME"/>
        </w:rPr>
      </w:pPr>
    </w:p>
    <w:p w14:paraId="36A9C3BF" w14:textId="77777777" w:rsidR="007E1823" w:rsidRPr="003408E2" w:rsidRDefault="007E1823" w:rsidP="007E1823">
      <w:pPr>
        <w:tabs>
          <w:tab w:val="left" w:pos="540"/>
          <w:tab w:val="left" w:pos="569"/>
        </w:tabs>
        <w:jc w:val="both"/>
        <w:rPr>
          <w:b/>
          <w:sz w:val="22"/>
          <w:szCs w:val="22"/>
          <w:lang w:val="sr-Latn-ME"/>
        </w:rPr>
      </w:pPr>
      <w:r w:rsidRPr="003408E2">
        <w:rPr>
          <w:b/>
          <w:sz w:val="22"/>
          <w:szCs w:val="22"/>
          <w:lang w:val="sr-Latn-ME"/>
        </w:rPr>
        <w:t>Karcinogeneza</w:t>
      </w:r>
    </w:p>
    <w:p w14:paraId="29C7582B" w14:textId="77777777" w:rsidR="007E1823" w:rsidRPr="003408E2" w:rsidRDefault="007E1823" w:rsidP="007E1823">
      <w:pPr>
        <w:tabs>
          <w:tab w:val="left" w:pos="540"/>
          <w:tab w:val="left" w:pos="569"/>
        </w:tabs>
        <w:jc w:val="both"/>
        <w:rPr>
          <w:b/>
          <w:sz w:val="22"/>
          <w:szCs w:val="22"/>
          <w:lang w:val="sr-Latn-ME"/>
        </w:rPr>
      </w:pPr>
    </w:p>
    <w:p w14:paraId="5F8E4508" w14:textId="77777777" w:rsidR="007E1823" w:rsidRPr="003408E2" w:rsidRDefault="007E1823" w:rsidP="007E1823">
      <w:pPr>
        <w:tabs>
          <w:tab w:val="left" w:pos="540"/>
          <w:tab w:val="left" w:pos="569"/>
        </w:tabs>
        <w:jc w:val="both"/>
        <w:rPr>
          <w:bCs/>
          <w:sz w:val="22"/>
          <w:szCs w:val="22"/>
          <w:lang w:val="sr-Latn-ME"/>
        </w:rPr>
      </w:pPr>
      <w:r w:rsidRPr="003408E2">
        <w:rPr>
          <w:sz w:val="22"/>
          <w:szCs w:val="22"/>
          <w:lang w:val="sr-Latn-ME"/>
        </w:rPr>
        <w:t>Dugotrajne studije kod životinja u cilju utvrđivanja kancerogenog potencijala nisu sprovedene.</w:t>
      </w:r>
    </w:p>
    <w:p w14:paraId="6FFB34D2" w14:textId="77777777" w:rsidR="007E1823" w:rsidRPr="003408E2" w:rsidRDefault="007E1823" w:rsidP="007E1823">
      <w:pPr>
        <w:tabs>
          <w:tab w:val="left" w:pos="540"/>
          <w:tab w:val="left" w:pos="569"/>
        </w:tabs>
        <w:jc w:val="both"/>
        <w:rPr>
          <w:bCs/>
          <w:sz w:val="22"/>
          <w:szCs w:val="22"/>
          <w:lang w:val="sr-Latn-ME"/>
        </w:rPr>
      </w:pPr>
    </w:p>
    <w:p w14:paraId="1326523B" w14:textId="77777777" w:rsidR="007E1823" w:rsidRPr="003408E2" w:rsidRDefault="007E1823" w:rsidP="007E1823">
      <w:pPr>
        <w:tabs>
          <w:tab w:val="left" w:pos="540"/>
          <w:tab w:val="left" w:pos="569"/>
        </w:tabs>
        <w:jc w:val="both"/>
        <w:rPr>
          <w:b/>
          <w:bCs/>
          <w:sz w:val="22"/>
          <w:szCs w:val="22"/>
          <w:lang w:val="sr-Latn-ME"/>
        </w:rPr>
      </w:pPr>
      <w:r w:rsidRPr="003408E2">
        <w:rPr>
          <w:b/>
          <w:bCs/>
          <w:sz w:val="22"/>
          <w:szCs w:val="22"/>
          <w:lang w:val="sr-Latn-ME"/>
        </w:rPr>
        <w:t>Mutageneza</w:t>
      </w:r>
    </w:p>
    <w:p w14:paraId="402D5150" w14:textId="77777777" w:rsidR="007E1823" w:rsidRPr="003408E2" w:rsidRDefault="007E1823" w:rsidP="007E1823">
      <w:pPr>
        <w:tabs>
          <w:tab w:val="left" w:pos="540"/>
          <w:tab w:val="left" w:pos="569"/>
        </w:tabs>
        <w:jc w:val="both"/>
        <w:rPr>
          <w:b/>
          <w:bCs/>
          <w:sz w:val="22"/>
          <w:szCs w:val="22"/>
          <w:lang w:val="sr-Latn-ME"/>
        </w:rPr>
      </w:pPr>
    </w:p>
    <w:p w14:paraId="25954687" w14:textId="77777777" w:rsidR="007E1823" w:rsidRPr="003408E2" w:rsidRDefault="007E1823" w:rsidP="007E1823">
      <w:pPr>
        <w:tabs>
          <w:tab w:val="left" w:pos="540"/>
          <w:tab w:val="left" w:pos="569"/>
        </w:tabs>
        <w:jc w:val="both"/>
        <w:rPr>
          <w:bCs/>
          <w:sz w:val="22"/>
          <w:szCs w:val="22"/>
          <w:lang w:val="sr-Latn-ME"/>
        </w:rPr>
      </w:pPr>
      <w:r w:rsidRPr="003408E2">
        <w:rPr>
          <w:bCs/>
          <w:sz w:val="22"/>
          <w:szCs w:val="22"/>
          <w:lang w:val="sr-Latn-ME"/>
        </w:rPr>
        <w:t>Klindamicin nije ispoljio genotoksično dejstvo u mikronukleusnom testu na pacovima, kao ni u Ames testu reverzije salmonele. Rezultati oba testa su bili negativni.</w:t>
      </w:r>
    </w:p>
    <w:p w14:paraId="043E805E" w14:textId="77777777" w:rsidR="007E1823" w:rsidRPr="003408E2" w:rsidRDefault="007E1823" w:rsidP="007E1823">
      <w:pPr>
        <w:tabs>
          <w:tab w:val="left" w:pos="540"/>
          <w:tab w:val="left" w:pos="569"/>
        </w:tabs>
        <w:jc w:val="both"/>
        <w:rPr>
          <w:bCs/>
          <w:sz w:val="22"/>
          <w:szCs w:val="22"/>
          <w:lang w:val="sr-Latn-ME"/>
        </w:rPr>
      </w:pPr>
    </w:p>
    <w:p w14:paraId="64688054" w14:textId="77777777" w:rsidR="007E1823" w:rsidRPr="003408E2" w:rsidRDefault="007E1823" w:rsidP="007E1823">
      <w:pPr>
        <w:autoSpaceDE w:val="0"/>
        <w:autoSpaceDN w:val="0"/>
        <w:adjustRightInd w:val="0"/>
        <w:jc w:val="both"/>
        <w:rPr>
          <w:b/>
          <w:sz w:val="22"/>
          <w:szCs w:val="22"/>
          <w:lang w:val="sr-Latn-ME"/>
        </w:rPr>
      </w:pPr>
      <w:r w:rsidRPr="003408E2">
        <w:rPr>
          <w:b/>
          <w:sz w:val="22"/>
          <w:szCs w:val="22"/>
          <w:lang w:val="sr-Latn-ME"/>
        </w:rPr>
        <w:t>Fertilitet</w:t>
      </w:r>
    </w:p>
    <w:p w14:paraId="181013F3" w14:textId="77777777" w:rsidR="007E1823" w:rsidRPr="003408E2" w:rsidRDefault="007E1823" w:rsidP="007E1823">
      <w:pPr>
        <w:autoSpaceDE w:val="0"/>
        <w:autoSpaceDN w:val="0"/>
        <w:adjustRightInd w:val="0"/>
        <w:jc w:val="both"/>
        <w:rPr>
          <w:b/>
          <w:sz w:val="22"/>
          <w:szCs w:val="22"/>
          <w:lang w:val="sr-Latn-ME"/>
        </w:rPr>
      </w:pPr>
    </w:p>
    <w:p w14:paraId="3BDA074D" w14:textId="77777777" w:rsidR="007E1823" w:rsidRPr="003408E2" w:rsidRDefault="007E1823" w:rsidP="007E1823">
      <w:pPr>
        <w:autoSpaceDE w:val="0"/>
        <w:autoSpaceDN w:val="0"/>
        <w:adjustRightInd w:val="0"/>
        <w:jc w:val="both"/>
        <w:rPr>
          <w:sz w:val="22"/>
          <w:szCs w:val="22"/>
          <w:lang w:val="sr-Latn-ME"/>
        </w:rPr>
      </w:pPr>
      <w:r w:rsidRPr="003408E2">
        <w:rPr>
          <w:sz w:val="22"/>
          <w:szCs w:val="22"/>
          <w:lang w:val="sr-Latn-ME"/>
        </w:rPr>
        <w:t>Studije embrio-fetalnog razvoja kod pacova, korišćenjem oralnih doza do 300 mg/kg na dan (oko 1,1 put veća doza od maksimalne preporučene doze kod ljudi, na osnovu mg/m</w:t>
      </w:r>
      <w:r w:rsidRPr="003408E2">
        <w:rPr>
          <w:sz w:val="22"/>
          <w:szCs w:val="22"/>
          <w:vertAlign w:val="superscript"/>
          <w:lang w:val="sr-Latn-ME"/>
        </w:rPr>
        <w:t>2</w:t>
      </w:r>
      <w:r w:rsidRPr="003408E2">
        <w:rPr>
          <w:sz w:val="22"/>
          <w:szCs w:val="22"/>
          <w:lang w:val="sr-Latn-ME"/>
        </w:rPr>
        <w:t>), nisu pružile dokaz o uticaju na fertilitet, niti na sposobnost parenja.</w:t>
      </w:r>
    </w:p>
    <w:p w14:paraId="3656ED64" w14:textId="77777777" w:rsidR="007E1823" w:rsidRPr="003408E2" w:rsidRDefault="007E1823" w:rsidP="007E1823">
      <w:pPr>
        <w:autoSpaceDE w:val="0"/>
        <w:autoSpaceDN w:val="0"/>
        <w:adjustRightInd w:val="0"/>
        <w:jc w:val="both"/>
        <w:rPr>
          <w:sz w:val="22"/>
          <w:szCs w:val="22"/>
          <w:lang w:val="sr-Latn-ME"/>
        </w:rPr>
      </w:pPr>
    </w:p>
    <w:p w14:paraId="65FADFCC" w14:textId="3FDDD5B1" w:rsidR="007E1823" w:rsidRPr="003408E2" w:rsidRDefault="007E1823" w:rsidP="007E1823">
      <w:pPr>
        <w:tabs>
          <w:tab w:val="left" w:pos="540"/>
          <w:tab w:val="left" w:pos="569"/>
        </w:tabs>
        <w:jc w:val="both"/>
        <w:rPr>
          <w:bCs/>
          <w:sz w:val="22"/>
          <w:szCs w:val="22"/>
          <w:lang w:val="sr-Latn-ME"/>
        </w:rPr>
      </w:pPr>
      <w:r w:rsidRPr="003408E2">
        <w:rPr>
          <w:sz w:val="22"/>
          <w:szCs w:val="22"/>
          <w:lang w:val="sr-Latn-ME"/>
        </w:rPr>
        <w:t>Studijama reproduktivne toksičnosti sprovedenim na pacovima i kunićima nije otkriveno da subkutana i oralna upotreba klindamicina štetno utiče na fertilitet, niti ima dokaza o toksičnosti tokom razvoja, osim u dozama koje su izazvale maternalnu toksičnost.</w:t>
      </w:r>
    </w:p>
    <w:p w14:paraId="2A1D882C" w14:textId="05AEA4F4" w:rsidR="00396DFD" w:rsidRPr="003408E2" w:rsidRDefault="00396DFD" w:rsidP="00480FB1">
      <w:pPr>
        <w:tabs>
          <w:tab w:val="left" w:pos="540"/>
          <w:tab w:val="left" w:pos="569"/>
        </w:tabs>
        <w:rPr>
          <w:b/>
          <w:bCs/>
          <w:sz w:val="22"/>
          <w:szCs w:val="22"/>
          <w:lang w:val="sr-Latn-ME"/>
        </w:rPr>
      </w:pPr>
    </w:p>
    <w:p w14:paraId="17FAEB4D" w14:textId="77777777" w:rsidR="007E5231" w:rsidRPr="003408E2" w:rsidRDefault="007E5231" w:rsidP="00480FB1">
      <w:pPr>
        <w:tabs>
          <w:tab w:val="left" w:pos="540"/>
          <w:tab w:val="left" w:pos="569"/>
        </w:tabs>
        <w:rPr>
          <w:b/>
          <w:bCs/>
          <w:sz w:val="22"/>
          <w:szCs w:val="22"/>
          <w:lang w:val="sr-Latn-ME"/>
        </w:rPr>
      </w:pPr>
    </w:p>
    <w:p w14:paraId="49FDCBBD" w14:textId="77777777" w:rsidR="0072020E" w:rsidRPr="003408E2" w:rsidRDefault="0072020E" w:rsidP="00480FB1">
      <w:pPr>
        <w:tabs>
          <w:tab w:val="left" w:pos="540"/>
          <w:tab w:val="left" w:pos="569"/>
        </w:tabs>
        <w:rPr>
          <w:b/>
          <w:bCs/>
          <w:sz w:val="22"/>
          <w:szCs w:val="22"/>
          <w:lang w:val="sr-Latn-ME"/>
        </w:rPr>
      </w:pPr>
      <w:r w:rsidRPr="003408E2">
        <w:rPr>
          <w:b/>
          <w:bCs/>
          <w:sz w:val="22"/>
          <w:szCs w:val="22"/>
          <w:lang w:val="sr-Latn-ME"/>
        </w:rPr>
        <w:t xml:space="preserve">6. </w:t>
      </w:r>
      <w:r w:rsidR="00480FB1" w:rsidRPr="003408E2">
        <w:rPr>
          <w:b/>
          <w:bCs/>
          <w:sz w:val="22"/>
          <w:szCs w:val="22"/>
          <w:lang w:val="sr-Latn-ME"/>
        </w:rPr>
        <w:tab/>
      </w:r>
      <w:r w:rsidRPr="003408E2">
        <w:rPr>
          <w:b/>
          <w:bCs/>
          <w:sz w:val="22"/>
          <w:szCs w:val="22"/>
          <w:lang w:val="sr-Latn-ME"/>
        </w:rPr>
        <w:t>FARMACEUTSKI PODACI</w:t>
      </w:r>
    </w:p>
    <w:p w14:paraId="287DDDA4" w14:textId="77777777" w:rsidR="00836B35" w:rsidRPr="003408E2" w:rsidRDefault="00836B35" w:rsidP="00480FB1">
      <w:pPr>
        <w:tabs>
          <w:tab w:val="left" w:pos="540"/>
          <w:tab w:val="left" w:pos="569"/>
        </w:tabs>
        <w:rPr>
          <w:bCs/>
          <w:sz w:val="22"/>
          <w:szCs w:val="22"/>
          <w:lang w:val="sr-Latn-ME"/>
        </w:rPr>
      </w:pPr>
    </w:p>
    <w:p w14:paraId="7FAC9718" w14:textId="77777777" w:rsidR="0072020E" w:rsidRPr="003408E2" w:rsidRDefault="0072020E" w:rsidP="00480FB1">
      <w:pPr>
        <w:tabs>
          <w:tab w:val="left" w:pos="540"/>
          <w:tab w:val="left" w:pos="569"/>
        </w:tabs>
        <w:rPr>
          <w:b/>
          <w:bCs/>
          <w:sz w:val="22"/>
          <w:szCs w:val="22"/>
          <w:lang w:val="sr-Latn-ME"/>
        </w:rPr>
      </w:pPr>
      <w:r w:rsidRPr="003408E2">
        <w:rPr>
          <w:b/>
          <w:bCs/>
          <w:sz w:val="22"/>
          <w:szCs w:val="22"/>
          <w:lang w:val="sr-Latn-ME"/>
        </w:rPr>
        <w:t xml:space="preserve">6.1. </w:t>
      </w:r>
      <w:r w:rsidR="00480FB1" w:rsidRPr="003408E2">
        <w:rPr>
          <w:b/>
          <w:bCs/>
          <w:sz w:val="22"/>
          <w:szCs w:val="22"/>
          <w:lang w:val="sr-Latn-ME"/>
        </w:rPr>
        <w:tab/>
      </w:r>
      <w:r w:rsidRPr="003408E2">
        <w:rPr>
          <w:b/>
          <w:bCs/>
          <w:sz w:val="22"/>
          <w:szCs w:val="22"/>
          <w:lang w:val="sr-Latn-ME"/>
        </w:rPr>
        <w:t>Lista pomoćnih supstanci</w:t>
      </w:r>
      <w:r w:rsidR="002E0135" w:rsidRPr="003408E2">
        <w:rPr>
          <w:b/>
          <w:bCs/>
          <w:sz w:val="22"/>
          <w:szCs w:val="22"/>
          <w:lang w:val="sr-Latn-ME"/>
        </w:rPr>
        <w:t xml:space="preserve"> (ekscipijenasa)</w:t>
      </w:r>
    </w:p>
    <w:p w14:paraId="77E16481" w14:textId="77777777" w:rsidR="007E1823" w:rsidRPr="003408E2" w:rsidRDefault="007E1823" w:rsidP="00480FB1">
      <w:pPr>
        <w:tabs>
          <w:tab w:val="left" w:pos="540"/>
          <w:tab w:val="left" w:pos="569"/>
        </w:tabs>
        <w:rPr>
          <w:b/>
          <w:bCs/>
          <w:sz w:val="22"/>
          <w:szCs w:val="22"/>
          <w:lang w:val="sr-Latn-ME"/>
        </w:rPr>
      </w:pPr>
    </w:p>
    <w:p w14:paraId="57BA1C3D" w14:textId="18BC4537" w:rsidR="007E1823" w:rsidRPr="003408E2" w:rsidRDefault="00517AB2" w:rsidP="007E1823">
      <w:pPr>
        <w:tabs>
          <w:tab w:val="left" w:pos="540"/>
          <w:tab w:val="left" w:pos="569"/>
        </w:tabs>
        <w:jc w:val="both"/>
        <w:rPr>
          <w:bCs/>
          <w:sz w:val="22"/>
          <w:szCs w:val="22"/>
          <w:lang w:val="sr-Latn-ME"/>
        </w:rPr>
      </w:pPr>
      <w:r w:rsidRPr="003408E2">
        <w:rPr>
          <w:bCs/>
          <w:sz w:val="22"/>
          <w:szCs w:val="22"/>
          <w:lang w:val="sr-Latn-ME"/>
        </w:rPr>
        <w:t>E</w:t>
      </w:r>
      <w:r w:rsidR="007E1823" w:rsidRPr="003408E2">
        <w:rPr>
          <w:bCs/>
          <w:sz w:val="22"/>
          <w:szCs w:val="22"/>
          <w:lang w:val="sr-Latn-ME"/>
        </w:rPr>
        <w:t>tanol 96%</w:t>
      </w:r>
    </w:p>
    <w:p w14:paraId="19DA347E" w14:textId="09B8048F" w:rsidR="007E1823" w:rsidRPr="003408E2" w:rsidRDefault="00517AB2" w:rsidP="007E1823">
      <w:pPr>
        <w:tabs>
          <w:tab w:val="left" w:pos="540"/>
          <w:tab w:val="left" w:pos="569"/>
        </w:tabs>
        <w:jc w:val="both"/>
        <w:rPr>
          <w:bCs/>
          <w:sz w:val="22"/>
          <w:szCs w:val="22"/>
          <w:lang w:val="sr-Latn-ME"/>
        </w:rPr>
      </w:pPr>
      <w:r w:rsidRPr="003408E2">
        <w:rPr>
          <w:bCs/>
          <w:sz w:val="22"/>
          <w:szCs w:val="22"/>
          <w:lang w:val="sr-Latn-ME"/>
        </w:rPr>
        <w:t>P</w:t>
      </w:r>
      <w:r w:rsidR="007E1823" w:rsidRPr="003408E2">
        <w:rPr>
          <w:bCs/>
          <w:sz w:val="22"/>
          <w:szCs w:val="22"/>
          <w:lang w:val="sr-Latn-ME"/>
        </w:rPr>
        <w:t>ropilen glikol</w:t>
      </w:r>
    </w:p>
    <w:p w14:paraId="64E466BF" w14:textId="7393908D" w:rsidR="007E1823" w:rsidRPr="003408E2" w:rsidRDefault="00517AB2" w:rsidP="007E1823">
      <w:pPr>
        <w:tabs>
          <w:tab w:val="left" w:pos="540"/>
          <w:tab w:val="left" w:pos="569"/>
        </w:tabs>
        <w:jc w:val="both"/>
        <w:rPr>
          <w:bCs/>
          <w:sz w:val="22"/>
          <w:szCs w:val="22"/>
          <w:lang w:val="sr-Latn-ME"/>
        </w:rPr>
      </w:pPr>
      <w:r w:rsidRPr="003408E2">
        <w:rPr>
          <w:bCs/>
          <w:sz w:val="22"/>
          <w:szCs w:val="22"/>
          <w:lang w:val="sr-Latn-ME"/>
        </w:rPr>
        <w:t>V</w:t>
      </w:r>
      <w:r w:rsidR="007E1823" w:rsidRPr="003408E2">
        <w:rPr>
          <w:bCs/>
          <w:sz w:val="22"/>
          <w:szCs w:val="22"/>
          <w:lang w:val="sr-Latn-ME"/>
        </w:rPr>
        <w:t>oda, prečišćena</w:t>
      </w:r>
    </w:p>
    <w:p w14:paraId="1B2D6E9B" w14:textId="77777777" w:rsidR="0072020E" w:rsidRPr="003408E2" w:rsidRDefault="0072020E" w:rsidP="00480FB1">
      <w:pPr>
        <w:tabs>
          <w:tab w:val="left" w:pos="540"/>
          <w:tab w:val="left" w:pos="569"/>
        </w:tabs>
        <w:rPr>
          <w:bCs/>
          <w:sz w:val="22"/>
          <w:szCs w:val="22"/>
          <w:lang w:val="sr-Latn-ME"/>
        </w:rPr>
      </w:pPr>
    </w:p>
    <w:p w14:paraId="38F8DF97" w14:textId="77777777" w:rsidR="0072020E" w:rsidRPr="003408E2" w:rsidRDefault="0072020E" w:rsidP="00480FB1">
      <w:pPr>
        <w:tabs>
          <w:tab w:val="left" w:pos="540"/>
          <w:tab w:val="left" w:pos="569"/>
        </w:tabs>
        <w:rPr>
          <w:b/>
          <w:bCs/>
          <w:sz w:val="22"/>
          <w:szCs w:val="22"/>
          <w:lang w:val="sr-Latn-ME"/>
        </w:rPr>
      </w:pPr>
      <w:r w:rsidRPr="003408E2">
        <w:rPr>
          <w:b/>
          <w:bCs/>
          <w:sz w:val="22"/>
          <w:szCs w:val="22"/>
          <w:lang w:val="sr-Latn-ME"/>
        </w:rPr>
        <w:t xml:space="preserve">6.2. </w:t>
      </w:r>
      <w:r w:rsidR="00480FB1" w:rsidRPr="003408E2">
        <w:rPr>
          <w:b/>
          <w:bCs/>
          <w:sz w:val="22"/>
          <w:szCs w:val="22"/>
          <w:lang w:val="sr-Latn-ME"/>
        </w:rPr>
        <w:tab/>
      </w:r>
      <w:r w:rsidRPr="003408E2">
        <w:rPr>
          <w:b/>
          <w:bCs/>
          <w:sz w:val="22"/>
          <w:szCs w:val="22"/>
          <w:lang w:val="sr-Latn-ME"/>
        </w:rPr>
        <w:t>Inkompatibilnost</w:t>
      </w:r>
      <w:r w:rsidR="002846DB" w:rsidRPr="003408E2">
        <w:rPr>
          <w:b/>
          <w:bCs/>
          <w:sz w:val="22"/>
          <w:szCs w:val="22"/>
          <w:lang w:val="sr-Latn-ME"/>
        </w:rPr>
        <w:t>i</w:t>
      </w:r>
    </w:p>
    <w:p w14:paraId="55433ABB" w14:textId="77777777" w:rsidR="007E1823" w:rsidRPr="003408E2" w:rsidRDefault="007E1823" w:rsidP="00480FB1">
      <w:pPr>
        <w:tabs>
          <w:tab w:val="left" w:pos="540"/>
          <w:tab w:val="left" w:pos="569"/>
        </w:tabs>
        <w:rPr>
          <w:b/>
          <w:bCs/>
          <w:sz w:val="22"/>
          <w:szCs w:val="22"/>
          <w:lang w:val="sr-Latn-ME"/>
        </w:rPr>
      </w:pPr>
    </w:p>
    <w:p w14:paraId="30017C94" w14:textId="7F1D70AC" w:rsidR="007E1823" w:rsidRPr="003408E2" w:rsidRDefault="007E5231" w:rsidP="007E1823">
      <w:pPr>
        <w:tabs>
          <w:tab w:val="left" w:pos="540"/>
          <w:tab w:val="left" w:pos="569"/>
        </w:tabs>
        <w:jc w:val="both"/>
        <w:rPr>
          <w:snapToGrid w:val="0"/>
          <w:sz w:val="22"/>
          <w:szCs w:val="22"/>
          <w:lang w:val="sr-Latn-ME"/>
        </w:rPr>
      </w:pPr>
      <w:r w:rsidRPr="003408E2">
        <w:rPr>
          <w:snapToGrid w:val="0"/>
          <w:sz w:val="22"/>
          <w:szCs w:val="22"/>
          <w:lang w:val="sr-Latn-ME"/>
        </w:rPr>
        <w:t>Nije p</w:t>
      </w:r>
      <w:r w:rsidR="00694AA5" w:rsidRPr="003408E2">
        <w:rPr>
          <w:snapToGrid w:val="0"/>
          <w:sz w:val="22"/>
          <w:szCs w:val="22"/>
          <w:lang w:val="sr-Latn-ME"/>
        </w:rPr>
        <w:t>r</w:t>
      </w:r>
      <w:r w:rsidRPr="003408E2">
        <w:rPr>
          <w:snapToGrid w:val="0"/>
          <w:sz w:val="22"/>
          <w:szCs w:val="22"/>
          <w:lang w:val="sr-Latn-ME"/>
        </w:rPr>
        <w:t>imjenljivo</w:t>
      </w:r>
      <w:r w:rsidR="007E1823" w:rsidRPr="003408E2">
        <w:rPr>
          <w:snapToGrid w:val="0"/>
          <w:sz w:val="22"/>
          <w:szCs w:val="22"/>
          <w:lang w:val="sr-Latn-ME"/>
        </w:rPr>
        <w:t>.</w:t>
      </w:r>
    </w:p>
    <w:p w14:paraId="3EA66EEF" w14:textId="7A2521EA" w:rsidR="0072020E" w:rsidRDefault="0072020E" w:rsidP="00480FB1">
      <w:pPr>
        <w:tabs>
          <w:tab w:val="left" w:pos="540"/>
          <w:tab w:val="left" w:pos="569"/>
        </w:tabs>
        <w:rPr>
          <w:bCs/>
          <w:sz w:val="22"/>
          <w:szCs w:val="22"/>
          <w:lang w:val="sr-Latn-ME"/>
        </w:rPr>
      </w:pPr>
    </w:p>
    <w:p w14:paraId="7D931852" w14:textId="77777777" w:rsidR="003408E2" w:rsidRPr="003408E2" w:rsidRDefault="003408E2" w:rsidP="00480FB1">
      <w:pPr>
        <w:tabs>
          <w:tab w:val="left" w:pos="540"/>
          <w:tab w:val="left" w:pos="569"/>
        </w:tabs>
        <w:rPr>
          <w:bCs/>
          <w:sz w:val="22"/>
          <w:szCs w:val="22"/>
          <w:lang w:val="sr-Latn-ME"/>
        </w:rPr>
      </w:pPr>
      <w:bookmarkStart w:id="0" w:name="_GoBack"/>
      <w:bookmarkEnd w:id="0"/>
    </w:p>
    <w:p w14:paraId="11FAA0D1" w14:textId="77777777" w:rsidR="0072020E" w:rsidRPr="003408E2" w:rsidRDefault="0072020E" w:rsidP="00480FB1">
      <w:pPr>
        <w:tabs>
          <w:tab w:val="left" w:pos="540"/>
          <w:tab w:val="left" w:pos="569"/>
        </w:tabs>
        <w:rPr>
          <w:b/>
          <w:bCs/>
          <w:sz w:val="22"/>
          <w:szCs w:val="22"/>
          <w:lang w:val="sr-Latn-ME"/>
        </w:rPr>
      </w:pPr>
      <w:r w:rsidRPr="003408E2">
        <w:rPr>
          <w:b/>
          <w:bCs/>
          <w:sz w:val="22"/>
          <w:szCs w:val="22"/>
          <w:lang w:val="sr-Latn-ME"/>
        </w:rPr>
        <w:lastRenderedPageBreak/>
        <w:t>6.3.</w:t>
      </w:r>
      <w:r w:rsidR="00C05DF8" w:rsidRPr="003408E2">
        <w:rPr>
          <w:b/>
          <w:bCs/>
          <w:sz w:val="22"/>
          <w:szCs w:val="22"/>
          <w:lang w:val="sr-Latn-ME"/>
        </w:rPr>
        <w:t xml:space="preserve"> </w:t>
      </w:r>
      <w:r w:rsidR="00480FB1" w:rsidRPr="003408E2">
        <w:rPr>
          <w:b/>
          <w:bCs/>
          <w:sz w:val="22"/>
          <w:szCs w:val="22"/>
          <w:lang w:val="sr-Latn-ME"/>
        </w:rPr>
        <w:tab/>
      </w:r>
      <w:r w:rsidRPr="003408E2">
        <w:rPr>
          <w:b/>
          <w:bCs/>
          <w:sz w:val="22"/>
          <w:szCs w:val="22"/>
          <w:lang w:val="sr-Latn-ME"/>
        </w:rPr>
        <w:t>Rok upotrebe</w:t>
      </w:r>
    </w:p>
    <w:p w14:paraId="11CABBFF" w14:textId="77777777" w:rsidR="007E1823" w:rsidRPr="003408E2" w:rsidRDefault="007E1823" w:rsidP="00480FB1">
      <w:pPr>
        <w:tabs>
          <w:tab w:val="left" w:pos="540"/>
          <w:tab w:val="left" w:pos="569"/>
        </w:tabs>
        <w:rPr>
          <w:b/>
          <w:bCs/>
          <w:sz w:val="22"/>
          <w:szCs w:val="22"/>
          <w:lang w:val="sr-Latn-ME"/>
        </w:rPr>
      </w:pPr>
    </w:p>
    <w:p w14:paraId="3828756F" w14:textId="5CA47065" w:rsidR="007E1823" w:rsidRPr="003408E2" w:rsidRDefault="007E1823" w:rsidP="007E1823">
      <w:pPr>
        <w:tabs>
          <w:tab w:val="left" w:pos="540"/>
          <w:tab w:val="left" w:pos="569"/>
        </w:tabs>
        <w:jc w:val="both"/>
        <w:rPr>
          <w:bCs/>
          <w:sz w:val="22"/>
          <w:szCs w:val="22"/>
          <w:lang w:val="sr-Latn-ME"/>
        </w:rPr>
      </w:pPr>
      <w:r w:rsidRPr="003408E2">
        <w:rPr>
          <w:bCs/>
          <w:sz w:val="22"/>
          <w:szCs w:val="22"/>
          <w:lang w:val="sr-Latn-ME"/>
        </w:rPr>
        <w:t>3 godine.</w:t>
      </w:r>
    </w:p>
    <w:p w14:paraId="56F82B2C" w14:textId="77777777" w:rsidR="0072020E" w:rsidRPr="003408E2" w:rsidRDefault="0072020E" w:rsidP="00480FB1">
      <w:pPr>
        <w:tabs>
          <w:tab w:val="left" w:pos="540"/>
          <w:tab w:val="left" w:pos="569"/>
        </w:tabs>
        <w:rPr>
          <w:bCs/>
          <w:sz w:val="22"/>
          <w:szCs w:val="22"/>
          <w:lang w:val="sr-Latn-ME"/>
        </w:rPr>
      </w:pPr>
    </w:p>
    <w:p w14:paraId="099D0823" w14:textId="77777777" w:rsidR="0072020E" w:rsidRPr="003408E2" w:rsidRDefault="0072020E" w:rsidP="00480FB1">
      <w:pPr>
        <w:tabs>
          <w:tab w:val="left" w:pos="540"/>
          <w:tab w:val="left" w:pos="569"/>
        </w:tabs>
        <w:rPr>
          <w:b/>
          <w:bCs/>
          <w:sz w:val="22"/>
          <w:szCs w:val="22"/>
          <w:lang w:val="sr-Latn-ME"/>
        </w:rPr>
      </w:pPr>
      <w:r w:rsidRPr="003408E2">
        <w:rPr>
          <w:b/>
          <w:bCs/>
          <w:sz w:val="22"/>
          <w:szCs w:val="22"/>
          <w:lang w:val="sr-Latn-ME"/>
        </w:rPr>
        <w:t xml:space="preserve">6.4. </w:t>
      </w:r>
      <w:r w:rsidR="00480FB1" w:rsidRPr="003408E2">
        <w:rPr>
          <w:b/>
          <w:bCs/>
          <w:sz w:val="22"/>
          <w:szCs w:val="22"/>
          <w:lang w:val="sr-Latn-ME"/>
        </w:rPr>
        <w:tab/>
      </w:r>
      <w:r w:rsidRPr="003408E2">
        <w:rPr>
          <w:b/>
          <w:bCs/>
          <w:sz w:val="22"/>
          <w:szCs w:val="22"/>
          <w:lang w:val="sr-Latn-ME"/>
        </w:rPr>
        <w:t>Posebne mjere upozorenja pri čuvanju</w:t>
      </w:r>
      <w:r w:rsidR="00F8570A" w:rsidRPr="003408E2">
        <w:rPr>
          <w:b/>
          <w:bCs/>
          <w:sz w:val="22"/>
          <w:szCs w:val="22"/>
          <w:lang w:val="sr-Latn-ME"/>
        </w:rPr>
        <w:t xml:space="preserve"> lijeka</w:t>
      </w:r>
    </w:p>
    <w:p w14:paraId="2F5717CC" w14:textId="77777777" w:rsidR="007E1823" w:rsidRPr="003408E2" w:rsidRDefault="007E1823" w:rsidP="007E1823">
      <w:pPr>
        <w:tabs>
          <w:tab w:val="left" w:pos="540"/>
          <w:tab w:val="left" w:pos="569"/>
        </w:tabs>
        <w:rPr>
          <w:bCs/>
          <w:sz w:val="22"/>
          <w:szCs w:val="22"/>
          <w:lang w:val="sr-Latn-ME"/>
        </w:rPr>
      </w:pPr>
    </w:p>
    <w:p w14:paraId="3AA31D7C" w14:textId="62B3529A" w:rsidR="007E1823" w:rsidRPr="003408E2" w:rsidRDefault="007E1823" w:rsidP="007E1823">
      <w:pPr>
        <w:tabs>
          <w:tab w:val="left" w:pos="540"/>
          <w:tab w:val="left" w:pos="569"/>
        </w:tabs>
        <w:jc w:val="both"/>
        <w:rPr>
          <w:bCs/>
          <w:sz w:val="22"/>
          <w:szCs w:val="22"/>
          <w:lang w:val="sr-Latn-ME"/>
        </w:rPr>
      </w:pPr>
      <w:r w:rsidRPr="003408E2">
        <w:rPr>
          <w:bCs/>
          <w:sz w:val="22"/>
          <w:szCs w:val="22"/>
          <w:lang w:val="sr-Latn-ME"/>
        </w:rPr>
        <w:t>Čuvati na temperaturi do 25˚C, u originalnom pakovanju.</w:t>
      </w:r>
    </w:p>
    <w:p w14:paraId="684DCF53" w14:textId="77777777" w:rsidR="00EC2532" w:rsidRPr="003408E2" w:rsidRDefault="00EC2532" w:rsidP="00480FB1">
      <w:pPr>
        <w:tabs>
          <w:tab w:val="left" w:pos="540"/>
          <w:tab w:val="left" w:pos="569"/>
        </w:tabs>
        <w:rPr>
          <w:bCs/>
          <w:sz w:val="22"/>
          <w:szCs w:val="22"/>
          <w:lang w:val="sr-Latn-ME"/>
        </w:rPr>
      </w:pPr>
    </w:p>
    <w:p w14:paraId="00F41AD9" w14:textId="446AFBD5" w:rsidR="007E1823" w:rsidRPr="003408E2" w:rsidRDefault="0072020E" w:rsidP="00480FB1">
      <w:pPr>
        <w:tabs>
          <w:tab w:val="left" w:pos="540"/>
          <w:tab w:val="left" w:pos="569"/>
        </w:tabs>
        <w:rPr>
          <w:b/>
          <w:bCs/>
          <w:sz w:val="22"/>
          <w:szCs w:val="22"/>
          <w:lang w:val="sr-Latn-ME"/>
        </w:rPr>
      </w:pPr>
      <w:r w:rsidRPr="003408E2">
        <w:rPr>
          <w:b/>
          <w:bCs/>
          <w:sz w:val="22"/>
          <w:szCs w:val="22"/>
          <w:lang w:val="sr-Latn-ME"/>
        </w:rPr>
        <w:t xml:space="preserve">6.5. </w:t>
      </w:r>
      <w:r w:rsidR="00480FB1" w:rsidRPr="003408E2">
        <w:rPr>
          <w:b/>
          <w:bCs/>
          <w:sz w:val="22"/>
          <w:szCs w:val="22"/>
          <w:lang w:val="sr-Latn-ME"/>
        </w:rPr>
        <w:tab/>
      </w:r>
      <w:r w:rsidR="002846DB" w:rsidRPr="003408E2">
        <w:rPr>
          <w:b/>
          <w:bCs/>
          <w:sz w:val="22"/>
          <w:szCs w:val="22"/>
          <w:lang w:val="sr-Latn-ME"/>
        </w:rPr>
        <w:t xml:space="preserve">Vrsta i sadržaj </w:t>
      </w:r>
      <w:r w:rsidR="00F8570A" w:rsidRPr="003408E2">
        <w:rPr>
          <w:b/>
          <w:bCs/>
          <w:sz w:val="22"/>
          <w:szCs w:val="22"/>
          <w:lang w:val="sr-Latn-ME"/>
        </w:rPr>
        <w:t>pakovanja</w:t>
      </w:r>
      <w:r w:rsidR="00C06864" w:rsidRPr="003408E2">
        <w:rPr>
          <w:b/>
          <w:bCs/>
          <w:sz w:val="22"/>
          <w:szCs w:val="22"/>
          <w:lang w:val="sr-Latn-ME"/>
        </w:rPr>
        <w:t xml:space="preserve"> </w:t>
      </w:r>
    </w:p>
    <w:p w14:paraId="0B3AFDB2" w14:textId="77777777" w:rsidR="007E1823" w:rsidRPr="003408E2" w:rsidRDefault="007E1823" w:rsidP="00480FB1">
      <w:pPr>
        <w:tabs>
          <w:tab w:val="left" w:pos="540"/>
          <w:tab w:val="left" w:pos="569"/>
        </w:tabs>
        <w:rPr>
          <w:b/>
          <w:bCs/>
          <w:sz w:val="22"/>
          <w:szCs w:val="22"/>
          <w:lang w:val="sr-Latn-ME"/>
        </w:rPr>
      </w:pPr>
    </w:p>
    <w:p w14:paraId="7A41E8CA" w14:textId="3A5ADE86" w:rsidR="007A0E8A" w:rsidRPr="003408E2" w:rsidRDefault="007A0E8A" w:rsidP="007A0E8A">
      <w:pPr>
        <w:jc w:val="both"/>
        <w:rPr>
          <w:sz w:val="22"/>
          <w:szCs w:val="22"/>
          <w:lang w:val="sr-Latn-ME"/>
        </w:rPr>
      </w:pPr>
      <w:r w:rsidRPr="003408E2">
        <w:rPr>
          <w:sz w:val="22"/>
          <w:szCs w:val="22"/>
          <w:lang w:val="sr-Latn-ME"/>
        </w:rPr>
        <w:t>Unutrašnje pakovanje je smeđa staklena bočica sa kapaljkom i plastičnim zatvaračem (PE) na navoj, sa 30</w:t>
      </w:r>
      <w:r w:rsidR="0086710E" w:rsidRPr="003408E2">
        <w:rPr>
          <w:sz w:val="22"/>
          <w:szCs w:val="22"/>
          <w:lang w:val="sr-Latn-ME"/>
        </w:rPr>
        <w:t xml:space="preserve"> </w:t>
      </w:r>
      <w:r w:rsidRPr="003408E2">
        <w:rPr>
          <w:sz w:val="22"/>
          <w:szCs w:val="22"/>
          <w:lang w:val="sr-Latn-ME"/>
        </w:rPr>
        <w:t>ml rastvora.</w:t>
      </w:r>
    </w:p>
    <w:p w14:paraId="4D8C97C6" w14:textId="3553699C" w:rsidR="007A0E8A" w:rsidRPr="003408E2" w:rsidRDefault="007A0E8A" w:rsidP="007A0E8A">
      <w:pPr>
        <w:jc w:val="both"/>
        <w:rPr>
          <w:sz w:val="22"/>
          <w:szCs w:val="22"/>
          <w:lang w:val="sr-Latn-ME"/>
        </w:rPr>
      </w:pPr>
      <w:r w:rsidRPr="003408E2">
        <w:rPr>
          <w:sz w:val="22"/>
          <w:szCs w:val="22"/>
          <w:lang w:val="sr-Latn-ME"/>
        </w:rPr>
        <w:t>Spoljašnje pakovanje je složiva kartonska kutija u kojoj se nalazi jedna bočica sa rastvorom i Uputstvo za lijek.</w:t>
      </w:r>
    </w:p>
    <w:p w14:paraId="7EB81032" w14:textId="77777777" w:rsidR="0072020E" w:rsidRPr="003408E2" w:rsidRDefault="0072020E" w:rsidP="00684556">
      <w:pPr>
        <w:tabs>
          <w:tab w:val="left" w:pos="540"/>
          <w:tab w:val="left" w:pos="569"/>
        </w:tabs>
        <w:jc w:val="both"/>
        <w:rPr>
          <w:bCs/>
          <w:sz w:val="22"/>
          <w:szCs w:val="22"/>
          <w:lang w:val="sr-Latn-ME"/>
        </w:rPr>
      </w:pPr>
    </w:p>
    <w:p w14:paraId="76525927" w14:textId="77777777" w:rsidR="002846DB" w:rsidRPr="003408E2" w:rsidRDefault="0072020E" w:rsidP="00480FB1">
      <w:pPr>
        <w:tabs>
          <w:tab w:val="left" w:pos="540"/>
          <w:tab w:val="left" w:pos="569"/>
        </w:tabs>
        <w:rPr>
          <w:b/>
          <w:bCs/>
          <w:sz w:val="22"/>
          <w:szCs w:val="22"/>
          <w:lang w:val="sr-Latn-ME"/>
        </w:rPr>
      </w:pPr>
      <w:r w:rsidRPr="003408E2">
        <w:rPr>
          <w:b/>
          <w:bCs/>
          <w:sz w:val="22"/>
          <w:szCs w:val="22"/>
          <w:lang w:val="sr-Latn-ME"/>
        </w:rPr>
        <w:t xml:space="preserve">6.6. </w:t>
      </w:r>
      <w:r w:rsidR="00480FB1" w:rsidRPr="003408E2">
        <w:rPr>
          <w:b/>
          <w:bCs/>
          <w:sz w:val="22"/>
          <w:szCs w:val="22"/>
          <w:lang w:val="sr-Latn-ME"/>
        </w:rPr>
        <w:tab/>
      </w:r>
      <w:r w:rsidRPr="003408E2">
        <w:rPr>
          <w:b/>
          <w:bCs/>
          <w:color w:val="000000"/>
          <w:sz w:val="22"/>
          <w:szCs w:val="22"/>
          <w:lang w:val="sr-Latn-ME"/>
        </w:rPr>
        <w:t>Posebne mjere opreza pri odlaganju materijala koji treba odbaciti nakon primjene lijeka</w:t>
      </w:r>
      <w:r w:rsidRPr="003408E2">
        <w:rPr>
          <w:b/>
          <w:bCs/>
          <w:sz w:val="22"/>
          <w:szCs w:val="22"/>
          <w:lang w:val="sr-Latn-ME"/>
        </w:rPr>
        <w:t xml:space="preserve"> </w:t>
      </w:r>
      <w:r w:rsidR="00310F03" w:rsidRPr="003408E2">
        <w:rPr>
          <w:b/>
          <w:bCs/>
          <w:sz w:val="22"/>
          <w:szCs w:val="22"/>
          <w:lang w:val="sr-Latn-ME"/>
        </w:rPr>
        <w:t>(i druga uputs</w:t>
      </w:r>
      <w:r w:rsidR="004109FA" w:rsidRPr="003408E2">
        <w:rPr>
          <w:b/>
          <w:bCs/>
          <w:sz w:val="22"/>
          <w:szCs w:val="22"/>
          <w:lang w:val="sr-Latn-ME"/>
        </w:rPr>
        <w:t>t</w:t>
      </w:r>
      <w:r w:rsidR="00310F03" w:rsidRPr="003408E2">
        <w:rPr>
          <w:b/>
          <w:bCs/>
          <w:sz w:val="22"/>
          <w:szCs w:val="22"/>
          <w:lang w:val="sr-Latn-ME"/>
        </w:rPr>
        <w:t xml:space="preserve">va za rukovanje lijekom) </w:t>
      </w:r>
    </w:p>
    <w:p w14:paraId="50332B46" w14:textId="77777777" w:rsidR="00B66A70" w:rsidRPr="003408E2" w:rsidRDefault="00B66A70" w:rsidP="00480FB1">
      <w:pPr>
        <w:tabs>
          <w:tab w:val="left" w:pos="540"/>
          <w:tab w:val="left" w:pos="569"/>
        </w:tabs>
        <w:rPr>
          <w:b/>
          <w:bCs/>
          <w:sz w:val="22"/>
          <w:szCs w:val="22"/>
          <w:lang w:val="sr-Latn-ME"/>
        </w:rPr>
      </w:pPr>
    </w:p>
    <w:p w14:paraId="17637FD7" w14:textId="77777777" w:rsidR="007E1823" w:rsidRPr="003408E2" w:rsidRDefault="007E1823" w:rsidP="007E1823">
      <w:pPr>
        <w:tabs>
          <w:tab w:val="left" w:pos="540"/>
          <w:tab w:val="left" w:pos="569"/>
        </w:tabs>
        <w:jc w:val="both"/>
        <w:rPr>
          <w:bCs/>
          <w:sz w:val="22"/>
          <w:szCs w:val="22"/>
          <w:lang w:val="sr-Latn-ME"/>
        </w:rPr>
      </w:pPr>
      <w:r w:rsidRPr="003408E2">
        <w:rPr>
          <w:iCs/>
          <w:noProof/>
          <w:sz w:val="22"/>
          <w:szCs w:val="22"/>
          <w:lang w:val="sr-Latn-ME"/>
        </w:rPr>
        <w:t>Sav neiskorišćeni lijek ili otpadni materijal treba ukloniti u skladu sa lokalnim propisima.</w:t>
      </w:r>
    </w:p>
    <w:p w14:paraId="560FEAE1" w14:textId="62B169BF" w:rsidR="0072020E" w:rsidRPr="003408E2" w:rsidRDefault="0072020E" w:rsidP="00480FB1">
      <w:pPr>
        <w:tabs>
          <w:tab w:val="left" w:pos="540"/>
          <w:tab w:val="left" w:pos="569"/>
        </w:tabs>
        <w:rPr>
          <w:bCs/>
          <w:sz w:val="22"/>
          <w:szCs w:val="22"/>
          <w:lang w:val="sr-Latn-ME"/>
        </w:rPr>
      </w:pPr>
    </w:p>
    <w:p w14:paraId="4B32B47B" w14:textId="77777777" w:rsidR="007E5231" w:rsidRPr="003408E2" w:rsidRDefault="007E5231" w:rsidP="00480FB1">
      <w:pPr>
        <w:tabs>
          <w:tab w:val="left" w:pos="540"/>
          <w:tab w:val="left" w:pos="569"/>
        </w:tabs>
        <w:rPr>
          <w:bCs/>
          <w:sz w:val="22"/>
          <w:szCs w:val="22"/>
          <w:lang w:val="sr-Latn-ME"/>
        </w:rPr>
      </w:pPr>
    </w:p>
    <w:p w14:paraId="3BB29A65" w14:textId="77777777" w:rsidR="00F8570A" w:rsidRPr="003408E2" w:rsidRDefault="0072020E" w:rsidP="00480FB1">
      <w:pPr>
        <w:tabs>
          <w:tab w:val="left" w:pos="540"/>
          <w:tab w:val="left" w:pos="569"/>
        </w:tabs>
        <w:rPr>
          <w:b/>
          <w:bCs/>
          <w:sz w:val="22"/>
          <w:szCs w:val="22"/>
          <w:lang w:val="sr-Latn-ME"/>
        </w:rPr>
      </w:pPr>
      <w:r w:rsidRPr="003408E2">
        <w:rPr>
          <w:b/>
          <w:bCs/>
          <w:sz w:val="22"/>
          <w:szCs w:val="22"/>
          <w:lang w:val="sr-Latn-ME"/>
        </w:rPr>
        <w:t xml:space="preserve">7. </w:t>
      </w:r>
      <w:r w:rsidR="00480FB1" w:rsidRPr="003408E2">
        <w:rPr>
          <w:b/>
          <w:bCs/>
          <w:sz w:val="22"/>
          <w:szCs w:val="22"/>
          <w:lang w:val="sr-Latn-ME"/>
        </w:rPr>
        <w:tab/>
      </w:r>
      <w:r w:rsidRPr="003408E2">
        <w:rPr>
          <w:b/>
          <w:bCs/>
          <w:sz w:val="22"/>
          <w:szCs w:val="22"/>
          <w:lang w:val="sr-Latn-ME"/>
        </w:rPr>
        <w:t>NOSILAC DOZVOLE</w:t>
      </w:r>
      <w:r w:rsidR="00483928" w:rsidRPr="003408E2">
        <w:rPr>
          <w:b/>
          <w:bCs/>
          <w:sz w:val="22"/>
          <w:szCs w:val="22"/>
          <w:lang w:val="sr-Latn-ME"/>
        </w:rPr>
        <w:t xml:space="preserve"> </w:t>
      </w:r>
    </w:p>
    <w:p w14:paraId="4DD9FAAB" w14:textId="77777777" w:rsidR="00C61BE0" w:rsidRPr="003408E2" w:rsidRDefault="00C61BE0" w:rsidP="00480FB1">
      <w:pPr>
        <w:tabs>
          <w:tab w:val="left" w:pos="540"/>
          <w:tab w:val="left" w:pos="569"/>
        </w:tabs>
        <w:rPr>
          <w:bCs/>
          <w:sz w:val="22"/>
          <w:szCs w:val="22"/>
          <w:lang w:val="sr-Latn-ME"/>
        </w:rPr>
      </w:pPr>
    </w:p>
    <w:p w14:paraId="7C74F98C" w14:textId="77777777" w:rsidR="007E1823" w:rsidRPr="003408E2" w:rsidRDefault="007E1823" w:rsidP="007E1823">
      <w:pPr>
        <w:tabs>
          <w:tab w:val="left" w:pos="540"/>
          <w:tab w:val="left" w:pos="569"/>
        </w:tabs>
        <w:jc w:val="both"/>
        <w:rPr>
          <w:bCs/>
          <w:sz w:val="22"/>
          <w:szCs w:val="22"/>
          <w:lang w:val="sr-Latn-ME"/>
        </w:rPr>
      </w:pPr>
      <w:r w:rsidRPr="003408E2">
        <w:rPr>
          <w:bCs/>
          <w:sz w:val="22"/>
          <w:szCs w:val="22"/>
          <w:lang w:val="sr-Latn-ME"/>
        </w:rPr>
        <w:t>Farmont M.P. d.o.o.</w:t>
      </w:r>
    </w:p>
    <w:p w14:paraId="4FF81CC8" w14:textId="5345D17E" w:rsidR="007E1823" w:rsidRPr="003408E2" w:rsidRDefault="007E1823" w:rsidP="007E1823">
      <w:pPr>
        <w:tabs>
          <w:tab w:val="left" w:pos="540"/>
          <w:tab w:val="left" w:pos="569"/>
        </w:tabs>
        <w:jc w:val="both"/>
        <w:rPr>
          <w:bCs/>
          <w:sz w:val="22"/>
          <w:szCs w:val="22"/>
          <w:lang w:val="sr-Latn-ME"/>
        </w:rPr>
      </w:pPr>
      <w:r w:rsidRPr="003408E2">
        <w:rPr>
          <w:bCs/>
          <w:sz w:val="22"/>
          <w:szCs w:val="22"/>
          <w:lang w:val="sr-Latn-ME"/>
        </w:rPr>
        <w:t>Kosić</w:t>
      </w:r>
      <w:r w:rsidR="00B55D33" w:rsidRPr="003408E2">
        <w:rPr>
          <w:bCs/>
          <w:sz w:val="22"/>
          <w:szCs w:val="22"/>
          <w:lang w:val="sr-Latn-ME"/>
        </w:rPr>
        <w:t xml:space="preserve"> -</w:t>
      </w:r>
      <w:r w:rsidRPr="003408E2">
        <w:rPr>
          <w:bCs/>
          <w:sz w:val="22"/>
          <w:szCs w:val="22"/>
          <w:lang w:val="sr-Latn-ME"/>
        </w:rPr>
        <w:t xml:space="preserve"> Stari put bb, Danilovgrad, Crna Gora</w:t>
      </w:r>
    </w:p>
    <w:p w14:paraId="3E725421" w14:textId="5584BC80" w:rsidR="00C37FD7" w:rsidRPr="003408E2" w:rsidRDefault="00C37FD7" w:rsidP="00480FB1">
      <w:pPr>
        <w:tabs>
          <w:tab w:val="left" w:pos="540"/>
          <w:tab w:val="left" w:pos="569"/>
        </w:tabs>
        <w:rPr>
          <w:bCs/>
          <w:sz w:val="22"/>
          <w:szCs w:val="22"/>
          <w:lang w:val="sr-Latn-ME"/>
        </w:rPr>
      </w:pPr>
    </w:p>
    <w:p w14:paraId="6040595C" w14:textId="77777777" w:rsidR="007E5231" w:rsidRPr="003408E2" w:rsidRDefault="007E5231" w:rsidP="00480FB1">
      <w:pPr>
        <w:tabs>
          <w:tab w:val="left" w:pos="540"/>
          <w:tab w:val="left" w:pos="569"/>
        </w:tabs>
        <w:rPr>
          <w:bCs/>
          <w:sz w:val="22"/>
          <w:szCs w:val="22"/>
          <w:lang w:val="sr-Latn-ME"/>
        </w:rPr>
      </w:pPr>
    </w:p>
    <w:p w14:paraId="43123FF1" w14:textId="77777777" w:rsidR="0072020E" w:rsidRPr="003408E2" w:rsidRDefault="0072020E" w:rsidP="00480FB1">
      <w:pPr>
        <w:tabs>
          <w:tab w:val="left" w:pos="540"/>
          <w:tab w:val="left" w:pos="569"/>
        </w:tabs>
        <w:rPr>
          <w:b/>
          <w:bCs/>
          <w:sz w:val="22"/>
          <w:szCs w:val="22"/>
          <w:lang w:val="sr-Latn-ME"/>
        </w:rPr>
      </w:pPr>
      <w:r w:rsidRPr="003408E2">
        <w:rPr>
          <w:b/>
          <w:bCs/>
          <w:sz w:val="22"/>
          <w:szCs w:val="22"/>
          <w:lang w:val="sr-Latn-ME"/>
        </w:rPr>
        <w:t xml:space="preserve">8. </w:t>
      </w:r>
      <w:r w:rsidR="00480FB1" w:rsidRPr="003408E2">
        <w:rPr>
          <w:b/>
          <w:bCs/>
          <w:sz w:val="22"/>
          <w:szCs w:val="22"/>
          <w:lang w:val="sr-Latn-ME"/>
        </w:rPr>
        <w:tab/>
      </w:r>
      <w:r w:rsidRPr="003408E2">
        <w:rPr>
          <w:b/>
          <w:bCs/>
          <w:sz w:val="22"/>
          <w:szCs w:val="22"/>
          <w:lang w:val="sr-Latn-ME"/>
        </w:rPr>
        <w:t>BROJ DOZVOLE</w:t>
      </w:r>
      <w:r w:rsidR="008A6D43" w:rsidRPr="003408E2">
        <w:rPr>
          <w:b/>
          <w:bCs/>
          <w:sz w:val="22"/>
          <w:szCs w:val="22"/>
          <w:lang w:val="sr-Latn-ME"/>
        </w:rPr>
        <w:t xml:space="preserve"> ZA STAVLJANJE LIJEKA U PROMET</w:t>
      </w:r>
    </w:p>
    <w:p w14:paraId="2E2BE51B" w14:textId="5B4A3FE1" w:rsidR="0072020E" w:rsidRPr="003408E2" w:rsidRDefault="0072020E" w:rsidP="00480FB1">
      <w:pPr>
        <w:tabs>
          <w:tab w:val="left" w:pos="540"/>
          <w:tab w:val="left" w:pos="569"/>
        </w:tabs>
        <w:rPr>
          <w:bCs/>
          <w:sz w:val="22"/>
          <w:szCs w:val="22"/>
          <w:lang w:val="sr-Latn-ME"/>
        </w:rPr>
      </w:pPr>
    </w:p>
    <w:p w14:paraId="4A818E81" w14:textId="3E5AA617" w:rsidR="003408E2" w:rsidRPr="003408E2" w:rsidRDefault="003408E2" w:rsidP="00480FB1">
      <w:pPr>
        <w:tabs>
          <w:tab w:val="left" w:pos="540"/>
          <w:tab w:val="left" w:pos="569"/>
        </w:tabs>
        <w:rPr>
          <w:bCs/>
          <w:sz w:val="22"/>
          <w:szCs w:val="22"/>
          <w:lang w:val="sr-Latn-ME"/>
        </w:rPr>
      </w:pPr>
      <w:r w:rsidRPr="003408E2">
        <w:rPr>
          <w:bCs/>
          <w:sz w:val="22"/>
          <w:szCs w:val="22"/>
          <w:lang w:val="sr-Latn-ME"/>
        </w:rPr>
        <w:t>2030/25/2830 - 5179</w:t>
      </w:r>
    </w:p>
    <w:p w14:paraId="65010D81" w14:textId="4A1CDB78" w:rsidR="00F45F77" w:rsidRPr="003408E2" w:rsidRDefault="00F45F77" w:rsidP="00480FB1">
      <w:pPr>
        <w:tabs>
          <w:tab w:val="left" w:pos="540"/>
          <w:tab w:val="left" w:pos="569"/>
        </w:tabs>
        <w:rPr>
          <w:bCs/>
          <w:sz w:val="22"/>
          <w:szCs w:val="22"/>
          <w:lang w:val="sr-Latn-ME"/>
        </w:rPr>
      </w:pPr>
    </w:p>
    <w:p w14:paraId="501C7225" w14:textId="77777777" w:rsidR="003408E2" w:rsidRPr="003408E2" w:rsidRDefault="003408E2" w:rsidP="00480FB1">
      <w:pPr>
        <w:tabs>
          <w:tab w:val="left" w:pos="540"/>
          <w:tab w:val="left" w:pos="569"/>
        </w:tabs>
        <w:rPr>
          <w:bCs/>
          <w:sz w:val="22"/>
          <w:szCs w:val="22"/>
          <w:lang w:val="sr-Latn-ME"/>
        </w:rPr>
      </w:pPr>
    </w:p>
    <w:p w14:paraId="746FFFC0" w14:textId="77777777" w:rsidR="0072020E" w:rsidRPr="003408E2" w:rsidRDefault="0072020E" w:rsidP="00480FB1">
      <w:pPr>
        <w:tabs>
          <w:tab w:val="left" w:pos="540"/>
          <w:tab w:val="left" w:pos="569"/>
        </w:tabs>
        <w:rPr>
          <w:b/>
          <w:bCs/>
          <w:sz w:val="22"/>
          <w:szCs w:val="22"/>
          <w:lang w:val="sr-Latn-ME"/>
        </w:rPr>
      </w:pPr>
      <w:r w:rsidRPr="003408E2">
        <w:rPr>
          <w:b/>
          <w:bCs/>
          <w:sz w:val="22"/>
          <w:szCs w:val="22"/>
          <w:lang w:val="sr-Latn-ME"/>
        </w:rPr>
        <w:t xml:space="preserve">9. </w:t>
      </w:r>
      <w:r w:rsidR="00480FB1" w:rsidRPr="003408E2">
        <w:rPr>
          <w:b/>
          <w:bCs/>
          <w:sz w:val="22"/>
          <w:szCs w:val="22"/>
          <w:lang w:val="sr-Latn-ME"/>
        </w:rPr>
        <w:tab/>
      </w:r>
      <w:r w:rsidRPr="003408E2">
        <w:rPr>
          <w:b/>
          <w:bCs/>
          <w:sz w:val="22"/>
          <w:szCs w:val="22"/>
          <w:lang w:val="sr-Latn-ME"/>
        </w:rPr>
        <w:t xml:space="preserve">DATUM </w:t>
      </w:r>
      <w:r w:rsidR="00C05DF8" w:rsidRPr="003408E2">
        <w:rPr>
          <w:b/>
          <w:bCs/>
          <w:sz w:val="22"/>
          <w:szCs w:val="22"/>
          <w:lang w:val="sr-Latn-ME"/>
        </w:rPr>
        <w:t xml:space="preserve">PRVE </w:t>
      </w:r>
      <w:r w:rsidR="008A6D43" w:rsidRPr="003408E2">
        <w:rPr>
          <w:b/>
          <w:bCs/>
          <w:sz w:val="22"/>
          <w:szCs w:val="22"/>
          <w:lang w:val="sr-Latn-ME"/>
        </w:rPr>
        <w:t>DOZVOLE</w:t>
      </w:r>
      <w:r w:rsidR="00C05DF8" w:rsidRPr="003408E2">
        <w:rPr>
          <w:b/>
          <w:bCs/>
          <w:sz w:val="22"/>
          <w:szCs w:val="22"/>
          <w:lang w:val="sr-Latn-ME"/>
        </w:rPr>
        <w:t>/OBNOVE DOZVOLE</w:t>
      </w:r>
      <w:r w:rsidR="008A6D43" w:rsidRPr="003408E2">
        <w:rPr>
          <w:b/>
          <w:bCs/>
          <w:sz w:val="22"/>
          <w:szCs w:val="22"/>
          <w:lang w:val="sr-Latn-ME"/>
        </w:rPr>
        <w:t xml:space="preserve"> ZA STAVLJANJE LIJEKA U PROMET</w:t>
      </w:r>
    </w:p>
    <w:p w14:paraId="07B36C8D" w14:textId="77777777" w:rsidR="0072020E" w:rsidRPr="003408E2" w:rsidRDefault="0072020E" w:rsidP="00480FB1">
      <w:pPr>
        <w:tabs>
          <w:tab w:val="left" w:pos="540"/>
          <w:tab w:val="left" w:pos="569"/>
        </w:tabs>
        <w:rPr>
          <w:bCs/>
          <w:sz w:val="22"/>
          <w:szCs w:val="22"/>
          <w:lang w:val="sr-Latn-ME"/>
        </w:rPr>
      </w:pPr>
    </w:p>
    <w:p w14:paraId="0958242F" w14:textId="696FB332" w:rsidR="00836B35" w:rsidRPr="003408E2" w:rsidRDefault="007E5231" w:rsidP="00480FB1">
      <w:pPr>
        <w:tabs>
          <w:tab w:val="left" w:pos="540"/>
          <w:tab w:val="left" w:pos="569"/>
        </w:tabs>
        <w:rPr>
          <w:bCs/>
          <w:sz w:val="22"/>
          <w:szCs w:val="22"/>
          <w:lang w:val="sr-Latn-ME"/>
        </w:rPr>
      </w:pPr>
      <w:r w:rsidRPr="003408E2">
        <w:rPr>
          <w:bCs/>
          <w:sz w:val="22"/>
          <w:szCs w:val="22"/>
          <w:lang w:val="sr-Latn-ME"/>
        </w:rPr>
        <w:t xml:space="preserve">Datum prve dozvole: </w:t>
      </w:r>
      <w:r w:rsidR="0016202E" w:rsidRPr="003408E2">
        <w:rPr>
          <w:bCs/>
          <w:sz w:val="22"/>
          <w:szCs w:val="22"/>
          <w:lang w:val="sr-Latn-ME"/>
        </w:rPr>
        <w:t>26.04.2018.</w:t>
      </w:r>
      <w:r w:rsidRPr="003408E2">
        <w:rPr>
          <w:bCs/>
          <w:sz w:val="22"/>
          <w:szCs w:val="22"/>
          <w:lang w:val="sr-Latn-ME"/>
        </w:rPr>
        <w:t xml:space="preserve"> godine</w:t>
      </w:r>
    </w:p>
    <w:p w14:paraId="7D3A85F6" w14:textId="38FAC5FA" w:rsidR="007E5231" w:rsidRPr="003408E2" w:rsidRDefault="007E5231" w:rsidP="00480FB1">
      <w:pPr>
        <w:tabs>
          <w:tab w:val="left" w:pos="540"/>
          <w:tab w:val="left" w:pos="569"/>
        </w:tabs>
        <w:rPr>
          <w:bCs/>
          <w:sz w:val="22"/>
          <w:szCs w:val="22"/>
          <w:lang w:val="sr-Latn-ME"/>
        </w:rPr>
      </w:pPr>
      <w:r w:rsidRPr="003408E2">
        <w:rPr>
          <w:bCs/>
          <w:sz w:val="22"/>
          <w:szCs w:val="22"/>
          <w:lang w:val="sr-Latn-ME"/>
        </w:rPr>
        <w:t xml:space="preserve">Datum poslednje obnove dozvole: </w:t>
      </w:r>
      <w:r w:rsidR="003408E2" w:rsidRPr="003408E2">
        <w:rPr>
          <w:bCs/>
          <w:sz w:val="22"/>
          <w:szCs w:val="22"/>
          <w:lang w:val="sr-Latn-ME"/>
        </w:rPr>
        <w:t>13.08.2025. godine</w:t>
      </w:r>
    </w:p>
    <w:p w14:paraId="09255232" w14:textId="250E369E" w:rsidR="0016202E" w:rsidRPr="003408E2" w:rsidRDefault="0016202E" w:rsidP="00480FB1">
      <w:pPr>
        <w:tabs>
          <w:tab w:val="left" w:pos="540"/>
          <w:tab w:val="left" w:pos="569"/>
        </w:tabs>
        <w:rPr>
          <w:bCs/>
          <w:sz w:val="22"/>
          <w:szCs w:val="22"/>
          <w:lang w:val="sr-Latn-ME"/>
        </w:rPr>
      </w:pPr>
    </w:p>
    <w:p w14:paraId="2D521C66" w14:textId="77777777" w:rsidR="007E5231" w:rsidRPr="003408E2" w:rsidRDefault="007E5231" w:rsidP="00480FB1">
      <w:pPr>
        <w:tabs>
          <w:tab w:val="left" w:pos="540"/>
          <w:tab w:val="left" w:pos="569"/>
        </w:tabs>
        <w:rPr>
          <w:bCs/>
          <w:sz w:val="22"/>
          <w:szCs w:val="22"/>
          <w:lang w:val="sr-Latn-ME"/>
        </w:rPr>
      </w:pPr>
    </w:p>
    <w:p w14:paraId="1570D314" w14:textId="2A5A0141" w:rsidR="003F6A59" w:rsidRPr="003408E2" w:rsidRDefault="0072020E" w:rsidP="00C05DF8">
      <w:pPr>
        <w:tabs>
          <w:tab w:val="left" w:pos="540"/>
          <w:tab w:val="left" w:pos="569"/>
        </w:tabs>
        <w:ind w:left="540" w:hanging="540"/>
        <w:rPr>
          <w:b/>
          <w:bCs/>
          <w:sz w:val="22"/>
          <w:szCs w:val="22"/>
          <w:lang w:val="sr-Latn-ME"/>
        </w:rPr>
      </w:pPr>
      <w:r w:rsidRPr="003408E2">
        <w:rPr>
          <w:b/>
          <w:bCs/>
          <w:sz w:val="22"/>
          <w:szCs w:val="22"/>
          <w:lang w:val="sr-Latn-ME"/>
        </w:rPr>
        <w:t xml:space="preserve">10. </w:t>
      </w:r>
      <w:r w:rsidR="00480FB1" w:rsidRPr="003408E2">
        <w:rPr>
          <w:b/>
          <w:bCs/>
          <w:sz w:val="22"/>
          <w:szCs w:val="22"/>
          <w:lang w:val="sr-Latn-ME"/>
        </w:rPr>
        <w:tab/>
      </w:r>
      <w:r w:rsidR="002846DB" w:rsidRPr="003408E2">
        <w:rPr>
          <w:b/>
          <w:bCs/>
          <w:sz w:val="22"/>
          <w:szCs w:val="22"/>
          <w:lang w:val="sr-Latn-ME"/>
        </w:rPr>
        <w:t>D</w:t>
      </w:r>
      <w:r w:rsidR="00EC2532" w:rsidRPr="003408E2">
        <w:rPr>
          <w:b/>
          <w:bCs/>
          <w:sz w:val="22"/>
          <w:szCs w:val="22"/>
          <w:lang w:val="sr-Latn-ME"/>
        </w:rPr>
        <w:t>ATUM REVIZIJE TEKSTA</w:t>
      </w:r>
    </w:p>
    <w:p w14:paraId="59EEE8E9" w14:textId="3987B4DD" w:rsidR="003408E2" w:rsidRPr="003408E2" w:rsidRDefault="003408E2" w:rsidP="00C05DF8">
      <w:pPr>
        <w:tabs>
          <w:tab w:val="left" w:pos="540"/>
          <w:tab w:val="left" w:pos="569"/>
        </w:tabs>
        <w:ind w:left="540" w:hanging="540"/>
        <w:rPr>
          <w:b/>
          <w:bCs/>
          <w:sz w:val="22"/>
          <w:szCs w:val="22"/>
          <w:lang w:val="sr-Latn-ME"/>
        </w:rPr>
      </w:pPr>
    </w:p>
    <w:p w14:paraId="26324D11" w14:textId="00D5D8B2" w:rsidR="003408E2" w:rsidRPr="003408E2" w:rsidRDefault="003408E2" w:rsidP="00C05DF8">
      <w:pPr>
        <w:tabs>
          <w:tab w:val="left" w:pos="540"/>
          <w:tab w:val="left" w:pos="569"/>
        </w:tabs>
        <w:ind w:left="540" w:hanging="540"/>
        <w:rPr>
          <w:bCs/>
          <w:sz w:val="22"/>
          <w:szCs w:val="22"/>
          <w:lang w:val="sr-Latn-ME"/>
        </w:rPr>
      </w:pPr>
      <w:r w:rsidRPr="003408E2">
        <w:rPr>
          <w:bCs/>
          <w:sz w:val="22"/>
          <w:szCs w:val="22"/>
          <w:lang w:val="sr-Latn-ME"/>
        </w:rPr>
        <w:t>Avgust, 2025. godine</w:t>
      </w:r>
    </w:p>
    <w:p w14:paraId="245E5BFE" w14:textId="77777777" w:rsidR="003F6A59" w:rsidRPr="003408E2" w:rsidRDefault="003F6A59" w:rsidP="00480FB1">
      <w:pPr>
        <w:tabs>
          <w:tab w:val="left" w:pos="540"/>
          <w:tab w:val="left" w:pos="569"/>
        </w:tabs>
        <w:rPr>
          <w:bCs/>
          <w:sz w:val="22"/>
          <w:szCs w:val="22"/>
          <w:lang w:val="sr-Latn-ME"/>
        </w:rPr>
      </w:pPr>
    </w:p>
    <w:p w14:paraId="52FBDBD1" w14:textId="77777777" w:rsidR="008A6D43" w:rsidRPr="003408E2" w:rsidRDefault="008A6D43" w:rsidP="00480FB1">
      <w:pPr>
        <w:tabs>
          <w:tab w:val="left" w:pos="540"/>
          <w:tab w:val="left" w:pos="569"/>
        </w:tabs>
        <w:rPr>
          <w:bCs/>
          <w:sz w:val="22"/>
          <w:szCs w:val="22"/>
          <w:lang w:val="sr-Latn-ME"/>
        </w:rPr>
      </w:pPr>
    </w:p>
    <w:p w14:paraId="790A72D9" w14:textId="77777777" w:rsidR="003F6A59" w:rsidRPr="003408E2" w:rsidRDefault="003F6A59" w:rsidP="00DE3F5C">
      <w:pPr>
        <w:rPr>
          <w:sz w:val="22"/>
          <w:szCs w:val="22"/>
          <w:lang w:val="sr-Latn-ME"/>
        </w:rPr>
      </w:pPr>
    </w:p>
    <w:sectPr w:rsidR="003F6A59" w:rsidRPr="003408E2"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54E0B" w14:textId="77777777" w:rsidR="00BB54E2" w:rsidRDefault="00BB54E2">
      <w:r>
        <w:separator/>
      </w:r>
    </w:p>
  </w:endnote>
  <w:endnote w:type="continuationSeparator" w:id="0">
    <w:p w14:paraId="1815D58B" w14:textId="77777777" w:rsidR="00BB54E2" w:rsidRDefault="00BB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D5DB6" w14:textId="091351DC"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3408E2">
      <w:rPr>
        <w:noProof/>
        <w:sz w:val="22"/>
        <w:szCs w:val="22"/>
      </w:rPr>
      <w:t>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3408E2">
      <w:rPr>
        <w:noProof/>
        <w:sz w:val="22"/>
        <w:szCs w:val="22"/>
      </w:rPr>
      <w:t>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F67A6" w14:textId="77777777" w:rsidR="00BB54E2" w:rsidRDefault="00BB54E2">
      <w:r>
        <w:separator/>
      </w:r>
    </w:p>
  </w:footnote>
  <w:footnote w:type="continuationSeparator" w:id="0">
    <w:p w14:paraId="74E84228" w14:textId="77777777" w:rsidR="00BB54E2" w:rsidRDefault="00BB5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6pt;height:13.4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8E4"/>
    <w:rsid w:val="000176CA"/>
    <w:rsid w:val="000230A3"/>
    <w:rsid w:val="00033469"/>
    <w:rsid w:val="00036FA0"/>
    <w:rsid w:val="0003793F"/>
    <w:rsid w:val="00045130"/>
    <w:rsid w:val="00056F78"/>
    <w:rsid w:val="00057E35"/>
    <w:rsid w:val="00075E28"/>
    <w:rsid w:val="00076726"/>
    <w:rsid w:val="00080303"/>
    <w:rsid w:val="00083D02"/>
    <w:rsid w:val="000A3AEA"/>
    <w:rsid w:val="000A3F58"/>
    <w:rsid w:val="000D2343"/>
    <w:rsid w:val="000D3449"/>
    <w:rsid w:val="000D425A"/>
    <w:rsid w:val="000D60CC"/>
    <w:rsid w:val="000E2084"/>
    <w:rsid w:val="000E6F55"/>
    <w:rsid w:val="000F77FA"/>
    <w:rsid w:val="001030FC"/>
    <w:rsid w:val="00107BF7"/>
    <w:rsid w:val="00123000"/>
    <w:rsid w:val="00126F53"/>
    <w:rsid w:val="001444F3"/>
    <w:rsid w:val="0014766D"/>
    <w:rsid w:val="001536CC"/>
    <w:rsid w:val="0016202E"/>
    <w:rsid w:val="001A3FBA"/>
    <w:rsid w:val="001A5518"/>
    <w:rsid w:val="001B1C6A"/>
    <w:rsid w:val="001C1263"/>
    <w:rsid w:val="001C1417"/>
    <w:rsid w:val="001E390B"/>
    <w:rsid w:val="001F18BF"/>
    <w:rsid w:val="001F42FB"/>
    <w:rsid w:val="001F719A"/>
    <w:rsid w:val="002031B3"/>
    <w:rsid w:val="00215931"/>
    <w:rsid w:val="00224C91"/>
    <w:rsid w:val="00227BDB"/>
    <w:rsid w:val="00231CC3"/>
    <w:rsid w:val="00234CB1"/>
    <w:rsid w:val="002352F8"/>
    <w:rsid w:val="002510A5"/>
    <w:rsid w:val="0025250A"/>
    <w:rsid w:val="00254A0A"/>
    <w:rsid w:val="00266046"/>
    <w:rsid w:val="0027730D"/>
    <w:rsid w:val="002846DB"/>
    <w:rsid w:val="00284CCD"/>
    <w:rsid w:val="002A799F"/>
    <w:rsid w:val="002C0098"/>
    <w:rsid w:val="002C1EB4"/>
    <w:rsid w:val="002C6637"/>
    <w:rsid w:val="002D55FC"/>
    <w:rsid w:val="002E0135"/>
    <w:rsid w:val="002E37A5"/>
    <w:rsid w:val="002F3C50"/>
    <w:rsid w:val="00310F03"/>
    <w:rsid w:val="0031124E"/>
    <w:rsid w:val="003247D2"/>
    <w:rsid w:val="003408E2"/>
    <w:rsid w:val="003445C1"/>
    <w:rsid w:val="00355B61"/>
    <w:rsid w:val="00362686"/>
    <w:rsid w:val="00371510"/>
    <w:rsid w:val="00374025"/>
    <w:rsid w:val="00392CCD"/>
    <w:rsid w:val="00396DFD"/>
    <w:rsid w:val="003A7059"/>
    <w:rsid w:val="003B7A36"/>
    <w:rsid w:val="003C17AB"/>
    <w:rsid w:val="003C7823"/>
    <w:rsid w:val="003E1DCC"/>
    <w:rsid w:val="003F11A1"/>
    <w:rsid w:val="003F4FAB"/>
    <w:rsid w:val="003F6A59"/>
    <w:rsid w:val="004065C8"/>
    <w:rsid w:val="004109FA"/>
    <w:rsid w:val="00411B4B"/>
    <w:rsid w:val="00415BEE"/>
    <w:rsid w:val="004254E9"/>
    <w:rsid w:val="00427F85"/>
    <w:rsid w:val="00436D43"/>
    <w:rsid w:val="00436F42"/>
    <w:rsid w:val="004378B4"/>
    <w:rsid w:val="00451314"/>
    <w:rsid w:val="00452E9D"/>
    <w:rsid w:val="004534C7"/>
    <w:rsid w:val="00455052"/>
    <w:rsid w:val="00461671"/>
    <w:rsid w:val="004671AA"/>
    <w:rsid w:val="00471DF8"/>
    <w:rsid w:val="00480FB1"/>
    <w:rsid w:val="00483928"/>
    <w:rsid w:val="004A24B3"/>
    <w:rsid w:val="004C331F"/>
    <w:rsid w:val="004C45E5"/>
    <w:rsid w:val="004D1CF2"/>
    <w:rsid w:val="004D6103"/>
    <w:rsid w:val="004E3BCE"/>
    <w:rsid w:val="004E70AD"/>
    <w:rsid w:val="004F0E97"/>
    <w:rsid w:val="004F17E2"/>
    <w:rsid w:val="004F44DA"/>
    <w:rsid w:val="004F4FBA"/>
    <w:rsid w:val="00501DD1"/>
    <w:rsid w:val="00515C21"/>
    <w:rsid w:val="00517AB2"/>
    <w:rsid w:val="00530BD7"/>
    <w:rsid w:val="00545CD2"/>
    <w:rsid w:val="005476F3"/>
    <w:rsid w:val="00572527"/>
    <w:rsid w:val="00573E40"/>
    <w:rsid w:val="00576348"/>
    <w:rsid w:val="005A0B2E"/>
    <w:rsid w:val="005A23D2"/>
    <w:rsid w:val="005A36CB"/>
    <w:rsid w:val="005B49B8"/>
    <w:rsid w:val="005C0741"/>
    <w:rsid w:val="005C5EF4"/>
    <w:rsid w:val="005E2E0B"/>
    <w:rsid w:val="005E67AD"/>
    <w:rsid w:val="005E7A7D"/>
    <w:rsid w:val="00602457"/>
    <w:rsid w:val="00644FC3"/>
    <w:rsid w:val="00646BD1"/>
    <w:rsid w:val="006561C2"/>
    <w:rsid w:val="00671CB3"/>
    <w:rsid w:val="00674BAF"/>
    <w:rsid w:val="00682200"/>
    <w:rsid w:val="00684556"/>
    <w:rsid w:val="00692BF6"/>
    <w:rsid w:val="00694AA5"/>
    <w:rsid w:val="006A1351"/>
    <w:rsid w:val="006A1497"/>
    <w:rsid w:val="006B0BD1"/>
    <w:rsid w:val="006B4518"/>
    <w:rsid w:val="006B5404"/>
    <w:rsid w:val="006B6503"/>
    <w:rsid w:val="006D20A5"/>
    <w:rsid w:val="006D37BF"/>
    <w:rsid w:val="006F2086"/>
    <w:rsid w:val="00702E22"/>
    <w:rsid w:val="0072020E"/>
    <w:rsid w:val="00754902"/>
    <w:rsid w:val="0075513F"/>
    <w:rsid w:val="00757F48"/>
    <w:rsid w:val="00786071"/>
    <w:rsid w:val="007A0E8A"/>
    <w:rsid w:val="007A3ECB"/>
    <w:rsid w:val="007D7BB3"/>
    <w:rsid w:val="007E1823"/>
    <w:rsid w:val="007E1E3A"/>
    <w:rsid w:val="007E31E9"/>
    <w:rsid w:val="007E5231"/>
    <w:rsid w:val="007F05E3"/>
    <w:rsid w:val="007F661E"/>
    <w:rsid w:val="00824AB9"/>
    <w:rsid w:val="00836B35"/>
    <w:rsid w:val="00843BDE"/>
    <w:rsid w:val="0086710E"/>
    <w:rsid w:val="0087588C"/>
    <w:rsid w:val="0089002F"/>
    <w:rsid w:val="00892745"/>
    <w:rsid w:val="0089705C"/>
    <w:rsid w:val="008A6D43"/>
    <w:rsid w:val="008B491E"/>
    <w:rsid w:val="008C1A28"/>
    <w:rsid w:val="008C2E98"/>
    <w:rsid w:val="008E49BD"/>
    <w:rsid w:val="008E53E9"/>
    <w:rsid w:val="008E5771"/>
    <w:rsid w:val="008F4ACF"/>
    <w:rsid w:val="00902EB0"/>
    <w:rsid w:val="009203F3"/>
    <w:rsid w:val="00924166"/>
    <w:rsid w:val="00940B9B"/>
    <w:rsid w:val="00950F03"/>
    <w:rsid w:val="00953573"/>
    <w:rsid w:val="0095676E"/>
    <w:rsid w:val="00956983"/>
    <w:rsid w:val="00961EED"/>
    <w:rsid w:val="00963CF0"/>
    <w:rsid w:val="00964BB1"/>
    <w:rsid w:val="009775D9"/>
    <w:rsid w:val="00995A90"/>
    <w:rsid w:val="00997175"/>
    <w:rsid w:val="009A1847"/>
    <w:rsid w:val="009B062A"/>
    <w:rsid w:val="009D5468"/>
    <w:rsid w:val="009E7C6F"/>
    <w:rsid w:val="009F1793"/>
    <w:rsid w:val="009F2D23"/>
    <w:rsid w:val="00A01D69"/>
    <w:rsid w:val="00A02335"/>
    <w:rsid w:val="00A37729"/>
    <w:rsid w:val="00A46C9A"/>
    <w:rsid w:val="00A619F3"/>
    <w:rsid w:val="00A62A73"/>
    <w:rsid w:val="00A87FF6"/>
    <w:rsid w:val="00A90959"/>
    <w:rsid w:val="00AA0A3B"/>
    <w:rsid w:val="00AA2763"/>
    <w:rsid w:val="00AA33B6"/>
    <w:rsid w:val="00AB50CA"/>
    <w:rsid w:val="00AB6D64"/>
    <w:rsid w:val="00AC53CE"/>
    <w:rsid w:val="00AD0FA5"/>
    <w:rsid w:val="00AD2193"/>
    <w:rsid w:val="00AF19F4"/>
    <w:rsid w:val="00AF2AC7"/>
    <w:rsid w:val="00AF74CE"/>
    <w:rsid w:val="00B0300F"/>
    <w:rsid w:val="00B059D0"/>
    <w:rsid w:val="00B208DB"/>
    <w:rsid w:val="00B23F69"/>
    <w:rsid w:val="00B55D33"/>
    <w:rsid w:val="00B60619"/>
    <w:rsid w:val="00B66A70"/>
    <w:rsid w:val="00B67366"/>
    <w:rsid w:val="00B724AB"/>
    <w:rsid w:val="00B80EE1"/>
    <w:rsid w:val="00B84135"/>
    <w:rsid w:val="00BB54E2"/>
    <w:rsid w:val="00BC182F"/>
    <w:rsid w:val="00BE4C88"/>
    <w:rsid w:val="00BE748B"/>
    <w:rsid w:val="00C04D34"/>
    <w:rsid w:val="00C05DF8"/>
    <w:rsid w:val="00C06864"/>
    <w:rsid w:val="00C10F54"/>
    <w:rsid w:val="00C132E8"/>
    <w:rsid w:val="00C23D8D"/>
    <w:rsid w:val="00C37AA3"/>
    <w:rsid w:val="00C37FD7"/>
    <w:rsid w:val="00C43419"/>
    <w:rsid w:val="00C44CF3"/>
    <w:rsid w:val="00C61BE0"/>
    <w:rsid w:val="00C636BB"/>
    <w:rsid w:val="00C6707E"/>
    <w:rsid w:val="00C70B0E"/>
    <w:rsid w:val="00C773CA"/>
    <w:rsid w:val="00C83785"/>
    <w:rsid w:val="00C86737"/>
    <w:rsid w:val="00C87FA8"/>
    <w:rsid w:val="00C90852"/>
    <w:rsid w:val="00C94C0D"/>
    <w:rsid w:val="00CA1FEB"/>
    <w:rsid w:val="00CD4F85"/>
    <w:rsid w:val="00CD6F02"/>
    <w:rsid w:val="00CE246D"/>
    <w:rsid w:val="00CF07A0"/>
    <w:rsid w:val="00CF3E03"/>
    <w:rsid w:val="00D0082A"/>
    <w:rsid w:val="00D21455"/>
    <w:rsid w:val="00D47634"/>
    <w:rsid w:val="00D709B3"/>
    <w:rsid w:val="00D74CD2"/>
    <w:rsid w:val="00DA2ED6"/>
    <w:rsid w:val="00DB1D55"/>
    <w:rsid w:val="00DB76B8"/>
    <w:rsid w:val="00DC2EA1"/>
    <w:rsid w:val="00DC32D3"/>
    <w:rsid w:val="00DD31C4"/>
    <w:rsid w:val="00DD6AAF"/>
    <w:rsid w:val="00DE2E36"/>
    <w:rsid w:val="00DE3F5C"/>
    <w:rsid w:val="00DF1D20"/>
    <w:rsid w:val="00E00AC3"/>
    <w:rsid w:val="00E21324"/>
    <w:rsid w:val="00E246B9"/>
    <w:rsid w:val="00E31FEA"/>
    <w:rsid w:val="00E45169"/>
    <w:rsid w:val="00E47787"/>
    <w:rsid w:val="00E51C30"/>
    <w:rsid w:val="00E64180"/>
    <w:rsid w:val="00E67730"/>
    <w:rsid w:val="00E7218E"/>
    <w:rsid w:val="00E7235D"/>
    <w:rsid w:val="00E74AEE"/>
    <w:rsid w:val="00E868E5"/>
    <w:rsid w:val="00E91805"/>
    <w:rsid w:val="00E9237A"/>
    <w:rsid w:val="00E939FA"/>
    <w:rsid w:val="00EA5765"/>
    <w:rsid w:val="00EC2532"/>
    <w:rsid w:val="00ED19F1"/>
    <w:rsid w:val="00ED7812"/>
    <w:rsid w:val="00EF3B86"/>
    <w:rsid w:val="00F00A8F"/>
    <w:rsid w:val="00F317E9"/>
    <w:rsid w:val="00F34554"/>
    <w:rsid w:val="00F35B68"/>
    <w:rsid w:val="00F45F77"/>
    <w:rsid w:val="00F5167F"/>
    <w:rsid w:val="00F52258"/>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0EEBE"/>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89002F"/>
    <w:rPr>
      <w:sz w:val="24"/>
      <w:szCs w:val="24"/>
      <w:lang w:val="en-US" w:eastAsia="en-US"/>
    </w:rPr>
  </w:style>
  <w:style w:type="table" w:styleId="TableGrid">
    <w:name w:val="Table Grid"/>
    <w:basedOn w:val="TableNormal"/>
    <w:rsid w:val="00961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D5F58-1FD1-4E17-A3F8-C139F58C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2402</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16062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Jonić-Popović</cp:lastModifiedBy>
  <cp:revision>2</cp:revision>
  <cp:lastPrinted>2023-02-09T08:16:00Z</cp:lastPrinted>
  <dcterms:created xsi:type="dcterms:W3CDTF">2025-08-12T06:30:00Z</dcterms:created>
  <dcterms:modified xsi:type="dcterms:W3CDTF">2025-08-12T06:30:00Z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