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1B4EF" w14:textId="77777777" w:rsidR="000D41F5" w:rsidRPr="00930653" w:rsidRDefault="000D41F5" w:rsidP="008C62CF">
      <w:pPr>
        <w:jc w:val="center"/>
        <w:rPr>
          <w:b/>
          <w:bCs/>
          <w:iCs/>
          <w:sz w:val="22"/>
          <w:szCs w:val="22"/>
          <w:u w:val="single"/>
          <w:lang w:val="sr-Latn-ME"/>
        </w:rPr>
      </w:pPr>
      <w:r w:rsidRPr="002510A5">
        <w:rPr>
          <w:b/>
          <w:bCs/>
          <w:iCs/>
          <w:sz w:val="22"/>
          <w:szCs w:val="22"/>
          <w:u w:val="single"/>
        </w:rPr>
        <w:t>SAŽETAK</w:t>
      </w:r>
      <w:r w:rsidRPr="00930653">
        <w:rPr>
          <w:b/>
          <w:bCs/>
          <w:iCs/>
          <w:sz w:val="22"/>
          <w:szCs w:val="22"/>
          <w:u w:val="single"/>
          <w:lang w:val="sr-Latn-ME"/>
        </w:rPr>
        <w:t xml:space="preserve"> KARAKTERISTIKA LIJEKA</w:t>
      </w:r>
    </w:p>
    <w:p w14:paraId="6B26EBF8" w14:textId="77777777" w:rsidR="002102CB" w:rsidRPr="00930653" w:rsidRDefault="002102CB" w:rsidP="005C28F6">
      <w:pPr>
        <w:pStyle w:val="Header"/>
        <w:tabs>
          <w:tab w:val="left" w:pos="284"/>
        </w:tabs>
        <w:spacing w:before="400"/>
        <w:jc w:val="both"/>
        <w:rPr>
          <w:b/>
          <w:bCs/>
          <w:sz w:val="22"/>
          <w:szCs w:val="22"/>
          <w:lang w:val="sr-Latn-ME"/>
        </w:rPr>
      </w:pPr>
    </w:p>
    <w:tbl>
      <w:tblPr>
        <w:tblW w:w="9810" w:type="dxa"/>
        <w:tblInd w:w="18" w:type="dxa"/>
        <w:tblLayout w:type="fixed"/>
        <w:tblLook w:val="0000" w:firstRow="0" w:lastRow="0" w:firstColumn="0" w:lastColumn="0" w:noHBand="0" w:noVBand="0"/>
      </w:tblPr>
      <w:tblGrid>
        <w:gridCol w:w="810"/>
        <w:gridCol w:w="360"/>
        <w:gridCol w:w="8640"/>
      </w:tblGrid>
      <w:tr w:rsidR="002102CB" w:rsidRPr="00930653" w14:paraId="1ECF0F0D" w14:textId="77777777" w:rsidTr="007F2243">
        <w:trPr>
          <w:trHeight w:val="284"/>
        </w:trPr>
        <w:tc>
          <w:tcPr>
            <w:tcW w:w="9810" w:type="dxa"/>
            <w:gridSpan w:val="3"/>
            <w:shd w:val="clear" w:color="auto" w:fill="auto"/>
            <w:vAlign w:val="center"/>
          </w:tcPr>
          <w:p w14:paraId="4F377D4F" w14:textId="77777777" w:rsidR="002102CB" w:rsidRPr="00930653" w:rsidRDefault="002102CB" w:rsidP="00007378">
            <w:pPr>
              <w:pStyle w:val="Header"/>
              <w:tabs>
                <w:tab w:val="left" w:pos="284"/>
              </w:tabs>
              <w:jc w:val="both"/>
              <w:rPr>
                <w:b/>
                <w:bCs/>
                <w:sz w:val="22"/>
                <w:szCs w:val="22"/>
                <w:lang w:val="sr-Latn-ME"/>
              </w:rPr>
            </w:pPr>
            <w:r w:rsidRPr="00930653">
              <w:rPr>
                <w:b/>
                <w:bCs/>
                <w:sz w:val="22"/>
                <w:szCs w:val="22"/>
                <w:lang w:val="sr-Latn-ME"/>
              </w:rPr>
              <w:t>1.</w:t>
            </w:r>
            <w:r w:rsidR="000D41F5" w:rsidRPr="00930653">
              <w:rPr>
                <w:b/>
                <w:bCs/>
                <w:sz w:val="22"/>
                <w:szCs w:val="22"/>
                <w:lang w:val="sr-Latn-ME"/>
              </w:rPr>
              <w:t xml:space="preserve"> NAZIV </w:t>
            </w:r>
            <w:r w:rsidRPr="00930653">
              <w:rPr>
                <w:b/>
                <w:bCs/>
                <w:sz w:val="22"/>
                <w:szCs w:val="22"/>
                <w:lang w:val="sr-Latn-ME"/>
              </w:rPr>
              <w:t>LIJEKA</w:t>
            </w:r>
          </w:p>
        </w:tc>
      </w:tr>
      <w:tr w:rsidR="002102CB" w:rsidRPr="00930653" w14:paraId="5DBE9388" w14:textId="77777777" w:rsidTr="007F2243">
        <w:trPr>
          <w:trHeight w:val="525"/>
        </w:trPr>
        <w:tc>
          <w:tcPr>
            <w:tcW w:w="9810" w:type="dxa"/>
            <w:gridSpan w:val="3"/>
            <w:vAlign w:val="center"/>
          </w:tcPr>
          <w:p w14:paraId="088126EA" w14:textId="3B0FCB86" w:rsidR="002102CB" w:rsidRPr="00930653" w:rsidRDefault="002102CB" w:rsidP="005C28F6">
            <w:pPr>
              <w:pStyle w:val="Header"/>
              <w:tabs>
                <w:tab w:val="left" w:pos="284"/>
              </w:tabs>
              <w:jc w:val="both"/>
              <w:rPr>
                <w:bCs/>
                <w:sz w:val="22"/>
                <w:szCs w:val="22"/>
                <w:lang w:val="sr-Latn-ME"/>
              </w:rPr>
            </w:pPr>
            <w:r w:rsidRPr="00930653">
              <w:rPr>
                <w:bCs/>
                <w:sz w:val="22"/>
                <w:szCs w:val="22"/>
                <w:lang w:val="sr-Latn-ME"/>
              </w:rPr>
              <w:t>Aerius</w:t>
            </w:r>
            <w:r w:rsidR="008C62CF">
              <w:rPr>
                <w:bCs/>
                <w:sz w:val="22"/>
                <w:szCs w:val="22"/>
                <w:lang w:val="sr-Latn-ME"/>
              </w:rPr>
              <w:t>,</w:t>
            </w:r>
            <w:r w:rsidRPr="00930653">
              <w:rPr>
                <w:bCs/>
                <w:sz w:val="22"/>
                <w:szCs w:val="22"/>
                <w:lang w:val="sr-Latn-ME"/>
              </w:rPr>
              <w:t xml:space="preserve"> 0</w:t>
            </w:r>
            <w:r w:rsidR="00766FD1">
              <w:rPr>
                <w:bCs/>
                <w:sz w:val="22"/>
                <w:szCs w:val="22"/>
                <w:lang w:val="sr-Latn-ME"/>
              </w:rPr>
              <w:t>,</w:t>
            </w:r>
            <w:r w:rsidRPr="00930653">
              <w:rPr>
                <w:bCs/>
                <w:sz w:val="22"/>
                <w:szCs w:val="22"/>
                <w:lang w:val="sr-Latn-ME"/>
              </w:rPr>
              <w:t>5 mg/</w:t>
            </w:r>
            <w:r w:rsidR="0060666E" w:rsidRPr="00930653">
              <w:rPr>
                <w:bCs/>
                <w:sz w:val="22"/>
                <w:szCs w:val="22"/>
                <w:lang w:val="sr-Latn-ME"/>
              </w:rPr>
              <w:t>m</w:t>
            </w:r>
            <w:r w:rsidR="008C62CF">
              <w:rPr>
                <w:bCs/>
                <w:sz w:val="22"/>
                <w:szCs w:val="22"/>
                <w:lang w:val="sr-Latn-ME"/>
              </w:rPr>
              <w:t>l,</w:t>
            </w:r>
            <w:r w:rsidR="0060666E" w:rsidRPr="00930653">
              <w:rPr>
                <w:bCs/>
                <w:sz w:val="22"/>
                <w:szCs w:val="22"/>
                <w:lang w:val="sr-Latn-ME"/>
              </w:rPr>
              <w:t xml:space="preserve"> </w:t>
            </w:r>
            <w:r w:rsidRPr="00930653">
              <w:rPr>
                <w:bCs/>
                <w:sz w:val="22"/>
                <w:szCs w:val="22"/>
                <w:lang w:val="sr-Latn-ME"/>
              </w:rPr>
              <w:t>oralni rastvor</w:t>
            </w:r>
          </w:p>
        </w:tc>
      </w:tr>
      <w:tr w:rsidR="002102CB" w:rsidRPr="00930653" w14:paraId="0A82B463" w14:textId="77777777" w:rsidTr="007F2243">
        <w:trPr>
          <w:trHeight w:val="338"/>
        </w:trPr>
        <w:tc>
          <w:tcPr>
            <w:tcW w:w="810" w:type="dxa"/>
          </w:tcPr>
          <w:p w14:paraId="732EAEE8" w14:textId="77777777" w:rsidR="002102CB" w:rsidRPr="00930653" w:rsidRDefault="002102CB" w:rsidP="005C28F6">
            <w:pPr>
              <w:pStyle w:val="Header"/>
              <w:tabs>
                <w:tab w:val="left" w:pos="284"/>
              </w:tabs>
              <w:jc w:val="both"/>
              <w:rPr>
                <w:sz w:val="22"/>
                <w:szCs w:val="22"/>
                <w:lang w:val="sr-Latn-ME"/>
              </w:rPr>
            </w:pPr>
            <w:r w:rsidRPr="00930653">
              <w:rPr>
                <w:sz w:val="22"/>
                <w:szCs w:val="22"/>
                <w:lang w:val="sr-Latn-ME"/>
              </w:rPr>
              <w:t>INN:</w:t>
            </w:r>
          </w:p>
        </w:tc>
        <w:tc>
          <w:tcPr>
            <w:tcW w:w="9000" w:type="dxa"/>
            <w:gridSpan w:val="2"/>
            <w:vAlign w:val="center"/>
          </w:tcPr>
          <w:p w14:paraId="60F8E6B3" w14:textId="77777777" w:rsidR="002102CB" w:rsidRPr="00930653" w:rsidRDefault="008C62CF" w:rsidP="00007378">
            <w:pPr>
              <w:pStyle w:val="Header"/>
              <w:tabs>
                <w:tab w:val="left" w:pos="284"/>
              </w:tabs>
              <w:jc w:val="both"/>
              <w:rPr>
                <w:sz w:val="22"/>
                <w:szCs w:val="22"/>
                <w:lang w:val="sr-Latn-ME"/>
              </w:rPr>
            </w:pPr>
            <w:r w:rsidRPr="00930653">
              <w:rPr>
                <w:sz w:val="22"/>
                <w:szCs w:val="22"/>
                <w:lang w:val="sr-Latn-ME"/>
              </w:rPr>
              <w:t>d</w:t>
            </w:r>
            <w:r w:rsidR="002102CB" w:rsidRPr="00930653">
              <w:rPr>
                <w:sz w:val="22"/>
                <w:szCs w:val="22"/>
                <w:lang w:val="sr-Latn-ME"/>
              </w:rPr>
              <w:t>esloratadin</w:t>
            </w:r>
          </w:p>
          <w:p w14:paraId="47B75AEF" w14:textId="77777777" w:rsidR="008C62CF" w:rsidRPr="00930653" w:rsidRDefault="008C62CF" w:rsidP="00007378">
            <w:pPr>
              <w:pStyle w:val="Header"/>
              <w:tabs>
                <w:tab w:val="left" w:pos="284"/>
              </w:tabs>
              <w:jc w:val="both"/>
              <w:rPr>
                <w:sz w:val="22"/>
                <w:szCs w:val="22"/>
                <w:lang w:val="sr-Latn-ME"/>
              </w:rPr>
            </w:pPr>
          </w:p>
          <w:p w14:paraId="602870F8" w14:textId="77777777" w:rsidR="008C62CF" w:rsidRPr="00930653" w:rsidRDefault="008C62CF" w:rsidP="00007378">
            <w:pPr>
              <w:pStyle w:val="Header"/>
              <w:tabs>
                <w:tab w:val="left" w:pos="284"/>
              </w:tabs>
              <w:jc w:val="both"/>
              <w:rPr>
                <w:sz w:val="22"/>
                <w:szCs w:val="22"/>
                <w:lang w:val="sr-Latn-ME"/>
              </w:rPr>
            </w:pPr>
          </w:p>
        </w:tc>
      </w:tr>
      <w:tr w:rsidR="002102CB" w:rsidRPr="00930653" w14:paraId="1542C1E0" w14:textId="77777777" w:rsidTr="007F2243">
        <w:tc>
          <w:tcPr>
            <w:tcW w:w="9810" w:type="dxa"/>
            <w:gridSpan w:val="3"/>
            <w:shd w:val="clear" w:color="auto" w:fill="auto"/>
            <w:vAlign w:val="center"/>
          </w:tcPr>
          <w:p w14:paraId="534EE8B8" w14:textId="77777777" w:rsidR="002102CB" w:rsidRPr="00930653" w:rsidRDefault="002102CB" w:rsidP="005C28F6">
            <w:pPr>
              <w:pStyle w:val="Header"/>
              <w:tabs>
                <w:tab w:val="left" w:pos="284"/>
              </w:tabs>
              <w:jc w:val="both"/>
              <w:rPr>
                <w:b/>
                <w:bCs/>
                <w:sz w:val="22"/>
                <w:szCs w:val="22"/>
                <w:lang w:val="sr-Latn-ME"/>
              </w:rPr>
            </w:pPr>
            <w:r w:rsidRPr="00930653">
              <w:rPr>
                <w:b/>
                <w:bCs/>
                <w:sz w:val="22"/>
                <w:szCs w:val="22"/>
                <w:lang w:val="sr-Latn-ME"/>
              </w:rPr>
              <w:t>2. KVALITATIVNI I KVANTITATIVNI SASTAV</w:t>
            </w:r>
          </w:p>
        </w:tc>
      </w:tr>
      <w:tr w:rsidR="002102CB" w:rsidRPr="00A731F9" w14:paraId="3AB6B4B2" w14:textId="77777777" w:rsidTr="007F2243">
        <w:trPr>
          <w:trHeight w:val="1145"/>
        </w:trPr>
        <w:tc>
          <w:tcPr>
            <w:tcW w:w="9810" w:type="dxa"/>
            <w:gridSpan w:val="3"/>
            <w:vAlign w:val="center"/>
          </w:tcPr>
          <w:p w14:paraId="3D14587C" w14:textId="77777777" w:rsidR="002102CB" w:rsidRPr="00930653" w:rsidRDefault="002102CB" w:rsidP="005C28F6">
            <w:pPr>
              <w:jc w:val="both"/>
              <w:rPr>
                <w:sz w:val="22"/>
                <w:szCs w:val="22"/>
                <w:lang w:val="sr-Latn-ME"/>
              </w:rPr>
            </w:pPr>
          </w:p>
          <w:p w14:paraId="50936A08" w14:textId="67FF9EE8" w:rsidR="002102CB" w:rsidRPr="00930653" w:rsidRDefault="0060666E" w:rsidP="00007378">
            <w:pPr>
              <w:jc w:val="both"/>
              <w:rPr>
                <w:sz w:val="22"/>
                <w:szCs w:val="22"/>
                <w:lang w:val="sr-Latn-ME"/>
              </w:rPr>
            </w:pPr>
            <w:r w:rsidRPr="00930653">
              <w:rPr>
                <w:sz w:val="22"/>
                <w:szCs w:val="22"/>
                <w:lang w:val="sr-Latn-ME"/>
              </w:rPr>
              <w:t>Jedan mililitar</w:t>
            </w:r>
            <w:r w:rsidR="002102CB" w:rsidRPr="00930653">
              <w:rPr>
                <w:sz w:val="22"/>
                <w:szCs w:val="22"/>
                <w:lang w:val="sr-Latn-ME"/>
              </w:rPr>
              <w:t xml:space="preserve"> oralnog rastvora sadrži 0</w:t>
            </w:r>
            <w:r w:rsidR="002D4888">
              <w:rPr>
                <w:sz w:val="22"/>
                <w:szCs w:val="22"/>
                <w:lang w:val="sr-Latn-ME"/>
              </w:rPr>
              <w:t>,</w:t>
            </w:r>
            <w:r w:rsidR="002102CB" w:rsidRPr="00930653">
              <w:rPr>
                <w:sz w:val="22"/>
                <w:szCs w:val="22"/>
                <w:lang w:val="sr-Latn-ME"/>
              </w:rPr>
              <w:t>5 mg desloratadina.</w:t>
            </w:r>
          </w:p>
          <w:p w14:paraId="42579EB5" w14:textId="77777777" w:rsidR="002102CB" w:rsidRPr="00930653" w:rsidRDefault="002102CB" w:rsidP="00007378">
            <w:pPr>
              <w:jc w:val="both"/>
              <w:rPr>
                <w:sz w:val="22"/>
                <w:szCs w:val="22"/>
                <w:lang w:val="sr-Latn-ME"/>
              </w:rPr>
            </w:pPr>
          </w:p>
          <w:p w14:paraId="36704B83" w14:textId="77777777" w:rsidR="0060666E" w:rsidRPr="00930653" w:rsidRDefault="0060666E" w:rsidP="00007378">
            <w:pPr>
              <w:jc w:val="both"/>
              <w:rPr>
                <w:sz w:val="22"/>
                <w:szCs w:val="22"/>
                <w:u w:val="single"/>
                <w:lang w:val="sr-Latn-ME"/>
              </w:rPr>
            </w:pPr>
            <w:r w:rsidRPr="00930653">
              <w:rPr>
                <w:sz w:val="22"/>
                <w:szCs w:val="22"/>
                <w:u w:val="single"/>
                <w:lang w:val="sr-Latn-ME"/>
              </w:rPr>
              <w:t>Pomoćne supstance sa potvrđenim dejstvom:</w:t>
            </w:r>
          </w:p>
          <w:p w14:paraId="0D0DBE8E" w14:textId="5334614E" w:rsidR="002102CB" w:rsidRPr="00930653" w:rsidRDefault="00566CBC" w:rsidP="004E0BA7">
            <w:pPr>
              <w:jc w:val="both"/>
              <w:rPr>
                <w:sz w:val="22"/>
                <w:szCs w:val="22"/>
                <w:lang w:val="sr-Latn-ME"/>
              </w:rPr>
            </w:pPr>
            <w:r w:rsidRPr="00566CBC">
              <w:rPr>
                <w:sz w:val="22"/>
                <w:szCs w:val="22"/>
                <w:lang w:val="sr-Latn-ME"/>
              </w:rPr>
              <w:t xml:space="preserve">Jedan mililitar oralnog rastvora </w:t>
            </w:r>
            <w:r w:rsidR="002102CB" w:rsidRPr="00930653">
              <w:rPr>
                <w:sz w:val="22"/>
                <w:szCs w:val="22"/>
                <w:lang w:val="sr-Latn-ME"/>
              </w:rPr>
              <w:t xml:space="preserve">sadrži </w:t>
            </w:r>
            <w:r>
              <w:rPr>
                <w:sz w:val="22"/>
                <w:szCs w:val="22"/>
                <w:lang w:val="sr-Latn-ME"/>
              </w:rPr>
              <w:t xml:space="preserve">150 mg </w:t>
            </w:r>
            <w:r w:rsidR="002102CB" w:rsidRPr="00930653">
              <w:rPr>
                <w:sz w:val="22"/>
                <w:szCs w:val="22"/>
                <w:lang w:val="sr-Latn-ME"/>
              </w:rPr>
              <w:t>sorbitol</w:t>
            </w:r>
            <w:r>
              <w:rPr>
                <w:sz w:val="22"/>
                <w:szCs w:val="22"/>
                <w:lang w:val="sr-Latn-ME"/>
              </w:rPr>
              <w:t>a</w:t>
            </w:r>
            <w:r w:rsidR="002102CB" w:rsidRPr="00930653">
              <w:rPr>
                <w:sz w:val="22"/>
                <w:szCs w:val="22"/>
                <w:lang w:val="sr-Latn-ME"/>
              </w:rPr>
              <w:t xml:space="preserve"> </w:t>
            </w:r>
            <w:r w:rsidR="00E67508" w:rsidRPr="00930653">
              <w:rPr>
                <w:sz w:val="22"/>
                <w:szCs w:val="22"/>
                <w:lang w:val="sr-Latn-ME"/>
              </w:rPr>
              <w:t xml:space="preserve">(E420), </w:t>
            </w:r>
            <w:r>
              <w:rPr>
                <w:sz w:val="22"/>
                <w:szCs w:val="22"/>
                <w:lang w:val="sr-Latn-ME"/>
              </w:rPr>
              <w:t xml:space="preserve">100,19 mg </w:t>
            </w:r>
            <w:r w:rsidR="00E67508" w:rsidRPr="00930653">
              <w:rPr>
                <w:sz w:val="22"/>
                <w:szCs w:val="22"/>
                <w:lang w:val="sr-Latn-ME"/>
              </w:rPr>
              <w:t>propilen glikol</w:t>
            </w:r>
            <w:r>
              <w:rPr>
                <w:sz w:val="22"/>
                <w:szCs w:val="22"/>
                <w:lang w:val="sr-Latn-ME"/>
              </w:rPr>
              <w:t>a</w:t>
            </w:r>
            <w:r w:rsidR="00E67508" w:rsidRPr="00930653">
              <w:rPr>
                <w:sz w:val="22"/>
                <w:szCs w:val="22"/>
                <w:lang w:val="sr-Latn-ME"/>
              </w:rPr>
              <w:t xml:space="preserve"> (E1520) i </w:t>
            </w:r>
            <w:r>
              <w:rPr>
                <w:sz w:val="22"/>
                <w:szCs w:val="22"/>
                <w:lang w:val="sr-Latn-ME"/>
              </w:rPr>
              <w:t xml:space="preserve">0,375 mg </w:t>
            </w:r>
            <w:r w:rsidR="00E67508" w:rsidRPr="00930653">
              <w:rPr>
                <w:sz w:val="22"/>
                <w:szCs w:val="22"/>
                <w:lang w:val="sr-Latn-ME"/>
              </w:rPr>
              <w:t>benzil</w:t>
            </w:r>
            <w:r w:rsidR="00BA2ABD">
              <w:rPr>
                <w:sz w:val="22"/>
                <w:szCs w:val="22"/>
                <w:lang w:val="sr-Latn-ME"/>
              </w:rPr>
              <w:t xml:space="preserve"> </w:t>
            </w:r>
            <w:r w:rsidR="00E67508" w:rsidRPr="00930653">
              <w:rPr>
                <w:sz w:val="22"/>
                <w:szCs w:val="22"/>
                <w:lang w:val="sr-Latn-ME"/>
              </w:rPr>
              <w:t>alkohol</w:t>
            </w:r>
            <w:r>
              <w:rPr>
                <w:sz w:val="22"/>
                <w:szCs w:val="22"/>
                <w:lang w:val="sr-Latn-ME"/>
              </w:rPr>
              <w:t>a</w:t>
            </w:r>
            <w:r w:rsidR="00E67508" w:rsidRPr="00930653">
              <w:rPr>
                <w:sz w:val="22"/>
                <w:szCs w:val="22"/>
                <w:lang w:val="sr-Latn-ME"/>
              </w:rPr>
              <w:t xml:space="preserve"> (vid</w:t>
            </w:r>
            <w:r w:rsidR="005C28F6" w:rsidRPr="00930653">
              <w:rPr>
                <w:sz w:val="22"/>
                <w:szCs w:val="22"/>
                <w:lang w:val="sr-Latn-ME"/>
              </w:rPr>
              <w:t>jeti dio</w:t>
            </w:r>
            <w:r w:rsidR="00E67508" w:rsidRPr="00930653">
              <w:rPr>
                <w:sz w:val="22"/>
                <w:szCs w:val="22"/>
                <w:lang w:val="sr-Latn-ME"/>
              </w:rPr>
              <w:t xml:space="preserve"> 4.4).</w:t>
            </w:r>
          </w:p>
          <w:p w14:paraId="6353F885" w14:textId="77777777" w:rsidR="002102CB" w:rsidRPr="00930653" w:rsidRDefault="002102CB" w:rsidP="004E0BA7">
            <w:pPr>
              <w:jc w:val="both"/>
              <w:rPr>
                <w:sz w:val="22"/>
                <w:szCs w:val="22"/>
                <w:lang w:val="sr-Latn-ME"/>
              </w:rPr>
            </w:pPr>
          </w:p>
          <w:p w14:paraId="2771E33B" w14:textId="77777777" w:rsidR="000D41F5" w:rsidRPr="00930653" w:rsidRDefault="000D41F5" w:rsidP="00F72506">
            <w:pPr>
              <w:jc w:val="both"/>
              <w:rPr>
                <w:sz w:val="22"/>
                <w:szCs w:val="22"/>
                <w:lang w:val="sr-Latn-ME"/>
              </w:rPr>
            </w:pPr>
            <w:r w:rsidRPr="00930653">
              <w:rPr>
                <w:sz w:val="22"/>
                <w:szCs w:val="22"/>
                <w:lang w:val="sr-Latn-ME"/>
              </w:rPr>
              <w:t>Za spisak svih ekscipijenasa, pogledati dio 6.1.</w:t>
            </w:r>
          </w:p>
          <w:p w14:paraId="57270AE6" w14:textId="77777777" w:rsidR="002102CB" w:rsidRPr="00930653" w:rsidRDefault="002102CB" w:rsidP="00287B29">
            <w:pPr>
              <w:jc w:val="both"/>
              <w:rPr>
                <w:sz w:val="22"/>
                <w:szCs w:val="22"/>
                <w:lang w:val="sr-Latn-ME"/>
              </w:rPr>
            </w:pPr>
          </w:p>
          <w:p w14:paraId="0FDA09CD" w14:textId="77777777" w:rsidR="002102CB" w:rsidRPr="00930653" w:rsidRDefault="002102CB" w:rsidP="00406B9C">
            <w:pPr>
              <w:jc w:val="both"/>
              <w:rPr>
                <w:sz w:val="22"/>
                <w:szCs w:val="22"/>
                <w:lang w:val="sr-Latn-ME"/>
              </w:rPr>
            </w:pPr>
          </w:p>
        </w:tc>
      </w:tr>
      <w:tr w:rsidR="002102CB" w:rsidRPr="00930653" w14:paraId="1DF69134" w14:textId="77777777" w:rsidTr="007F2243">
        <w:tc>
          <w:tcPr>
            <w:tcW w:w="9810" w:type="dxa"/>
            <w:gridSpan w:val="3"/>
            <w:shd w:val="clear" w:color="auto" w:fill="auto"/>
            <w:vAlign w:val="center"/>
          </w:tcPr>
          <w:p w14:paraId="0E3EE57C" w14:textId="77777777" w:rsidR="002102CB" w:rsidRPr="00930653" w:rsidRDefault="002102CB" w:rsidP="005C28F6">
            <w:pPr>
              <w:pStyle w:val="Header"/>
              <w:tabs>
                <w:tab w:val="left" w:pos="284"/>
              </w:tabs>
              <w:jc w:val="both"/>
              <w:rPr>
                <w:b/>
                <w:bCs/>
                <w:sz w:val="22"/>
                <w:szCs w:val="22"/>
                <w:lang w:val="sr-Latn-ME"/>
              </w:rPr>
            </w:pPr>
            <w:r w:rsidRPr="00930653">
              <w:rPr>
                <w:b/>
                <w:bCs/>
                <w:sz w:val="22"/>
                <w:szCs w:val="22"/>
                <w:lang w:val="sr-Latn-ME"/>
              </w:rPr>
              <w:t>3. FARMACEUTSKI OBLIK</w:t>
            </w:r>
          </w:p>
        </w:tc>
      </w:tr>
      <w:tr w:rsidR="002102CB" w:rsidRPr="00930653" w14:paraId="73BC47B2" w14:textId="77777777" w:rsidTr="007F2243">
        <w:trPr>
          <w:trHeight w:val="1145"/>
        </w:trPr>
        <w:tc>
          <w:tcPr>
            <w:tcW w:w="9810" w:type="dxa"/>
            <w:gridSpan w:val="3"/>
            <w:vAlign w:val="center"/>
          </w:tcPr>
          <w:p w14:paraId="3BF69A89" w14:textId="68A94096" w:rsidR="002102CB" w:rsidRPr="00930653" w:rsidRDefault="002102CB" w:rsidP="005C28F6">
            <w:pPr>
              <w:jc w:val="both"/>
              <w:rPr>
                <w:sz w:val="22"/>
                <w:szCs w:val="22"/>
                <w:lang w:val="sr-Latn-ME"/>
              </w:rPr>
            </w:pPr>
            <w:r w:rsidRPr="00930653">
              <w:rPr>
                <w:sz w:val="22"/>
                <w:szCs w:val="22"/>
                <w:lang w:val="sr-Latn-ME"/>
              </w:rPr>
              <w:t>Oralni rastvor</w:t>
            </w:r>
            <w:r w:rsidR="000E2154">
              <w:rPr>
                <w:sz w:val="22"/>
                <w:szCs w:val="22"/>
                <w:lang w:val="sr-Latn-ME"/>
              </w:rPr>
              <w:t xml:space="preserve"> je b</w:t>
            </w:r>
            <w:r w:rsidR="00E67508" w:rsidRPr="00930653">
              <w:rPr>
                <w:sz w:val="22"/>
                <w:szCs w:val="22"/>
                <w:lang w:val="sr-Latn-ME"/>
              </w:rPr>
              <w:t>istar, bezbojan rastvor.</w:t>
            </w:r>
          </w:p>
          <w:p w14:paraId="7E934B4A" w14:textId="77777777" w:rsidR="002102CB" w:rsidRPr="00930653" w:rsidRDefault="002102CB" w:rsidP="00007378">
            <w:pPr>
              <w:pStyle w:val="Header"/>
              <w:tabs>
                <w:tab w:val="left" w:pos="284"/>
              </w:tabs>
              <w:jc w:val="both"/>
              <w:rPr>
                <w:sz w:val="22"/>
                <w:szCs w:val="22"/>
                <w:lang w:val="sr-Latn-ME"/>
              </w:rPr>
            </w:pPr>
          </w:p>
        </w:tc>
      </w:tr>
      <w:tr w:rsidR="002102CB" w:rsidRPr="00930653" w14:paraId="2D4B3CDD" w14:textId="77777777" w:rsidTr="007F2243">
        <w:tc>
          <w:tcPr>
            <w:tcW w:w="9810" w:type="dxa"/>
            <w:gridSpan w:val="3"/>
            <w:shd w:val="clear" w:color="auto" w:fill="auto"/>
            <w:vAlign w:val="center"/>
          </w:tcPr>
          <w:p w14:paraId="19177492" w14:textId="77777777" w:rsidR="002102CB" w:rsidRDefault="002102CB" w:rsidP="005C28F6">
            <w:pPr>
              <w:pStyle w:val="Header"/>
              <w:tabs>
                <w:tab w:val="left" w:pos="284"/>
              </w:tabs>
              <w:jc w:val="both"/>
              <w:rPr>
                <w:b/>
                <w:bCs/>
                <w:sz w:val="22"/>
                <w:szCs w:val="22"/>
                <w:lang w:val="sr-Latn-ME"/>
              </w:rPr>
            </w:pPr>
            <w:r w:rsidRPr="00930653">
              <w:rPr>
                <w:b/>
                <w:bCs/>
                <w:sz w:val="22"/>
                <w:szCs w:val="22"/>
                <w:lang w:val="sr-Latn-ME"/>
              </w:rPr>
              <w:t>4. KLINIČKI PODACI</w:t>
            </w:r>
          </w:p>
          <w:p w14:paraId="33DFD716" w14:textId="77777777" w:rsidR="00BA2ABD" w:rsidRPr="00930653" w:rsidRDefault="00BA2ABD" w:rsidP="005C28F6">
            <w:pPr>
              <w:pStyle w:val="Header"/>
              <w:tabs>
                <w:tab w:val="left" w:pos="284"/>
              </w:tabs>
              <w:jc w:val="both"/>
              <w:rPr>
                <w:b/>
                <w:bCs/>
                <w:sz w:val="22"/>
                <w:szCs w:val="22"/>
                <w:lang w:val="sr-Latn-ME"/>
              </w:rPr>
            </w:pPr>
          </w:p>
        </w:tc>
      </w:tr>
      <w:tr w:rsidR="002102CB" w:rsidRPr="00930653" w14:paraId="281EC8E9" w14:textId="77777777" w:rsidTr="007F2243">
        <w:tc>
          <w:tcPr>
            <w:tcW w:w="9810" w:type="dxa"/>
            <w:gridSpan w:val="3"/>
            <w:vAlign w:val="center"/>
          </w:tcPr>
          <w:p w14:paraId="3A6AA3E8" w14:textId="77777777" w:rsidR="002102CB" w:rsidRPr="00930653" w:rsidRDefault="002102CB" w:rsidP="005C28F6">
            <w:pPr>
              <w:pStyle w:val="Header"/>
              <w:tabs>
                <w:tab w:val="left" w:pos="284"/>
              </w:tabs>
              <w:spacing w:before="80" w:after="80"/>
              <w:jc w:val="both"/>
              <w:rPr>
                <w:b/>
                <w:bCs/>
                <w:sz w:val="22"/>
                <w:szCs w:val="22"/>
                <w:lang w:val="sr-Latn-ME"/>
              </w:rPr>
            </w:pPr>
            <w:r w:rsidRPr="00930653">
              <w:rPr>
                <w:b/>
                <w:bCs/>
                <w:sz w:val="22"/>
                <w:szCs w:val="22"/>
                <w:lang w:val="sr-Latn-ME"/>
              </w:rPr>
              <w:t>4.1. Terapijske indikacije</w:t>
            </w:r>
          </w:p>
        </w:tc>
      </w:tr>
      <w:tr w:rsidR="002102CB" w:rsidRPr="00930653" w14:paraId="212A18FD" w14:textId="77777777" w:rsidTr="007F2243">
        <w:trPr>
          <w:trHeight w:val="1145"/>
        </w:trPr>
        <w:tc>
          <w:tcPr>
            <w:tcW w:w="9810" w:type="dxa"/>
            <w:gridSpan w:val="3"/>
            <w:vAlign w:val="center"/>
          </w:tcPr>
          <w:p w14:paraId="400E4D04" w14:textId="77777777" w:rsidR="002102CB" w:rsidRPr="00930653" w:rsidRDefault="002102CB" w:rsidP="005C28F6">
            <w:pPr>
              <w:jc w:val="both"/>
              <w:rPr>
                <w:sz w:val="22"/>
                <w:szCs w:val="22"/>
                <w:lang w:val="sr-Latn-ME"/>
              </w:rPr>
            </w:pPr>
          </w:p>
          <w:p w14:paraId="7FAD5908" w14:textId="77777777" w:rsidR="002102CB" w:rsidRPr="00930653" w:rsidRDefault="00007378" w:rsidP="00007378">
            <w:pPr>
              <w:pStyle w:val="Header"/>
              <w:tabs>
                <w:tab w:val="left" w:pos="284"/>
              </w:tabs>
              <w:jc w:val="both"/>
              <w:rPr>
                <w:bCs/>
                <w:sz w:val="22"/>
                <w:szCs w:val="22"/>
                <w:lang w:val="sr-Latn-ME"/>
              </w:rPr>
            </w:pPr>
            <w:r w:rsidRPr="00930653">
              <w:rPr>
                <w:sz w:val="22"/>
                <w:szCs w:val="22"/>
                <w:lang w:val="sr-Latn-ME"/>
              </w:rPr>
              <w:t xml:space="preserve">Lijek </w:t>
            </w:r>
            <w:r w:rsidR="002102CB" w:rsidRPr="00930653">
              <w:rPr>
                <w:sz w:val="22"/>
                <w:szCs w:val="22"/>
                <w:lang w:val="sr-Latn-ME"/>
              </w:rPr>
              <w:t>Aerius</w:t>
            </w:r>
            <w:r w:rsidR="002102CB" w:rsidRPr="00930653">
              <w:rPr>
                <w:bCs/>
                <w:sz w:val="22"/>
                <w:szCs w:val="22"/>
                <w:vertAlign w:val="superscript"/>
                <w:lang w:val="sr-Latn-ME"/>
              </w:rPr>
              <w:t xml:space="preserve"> </w:t>
            </w:r>
            <w:r w:rsidR="002102CB" w:rsidRPr="00930653">
              <w:rPr>
                <w:bCs/>
                <w:sz w:val="22"/>
                <w:szCs w:val="22"/>
                <w:lang w:val="sr-Latn-ME"/>
              </w:rPr>
              <w:t xml:space="preserve">je indikovan </w:t>
            </w:r>
            <w:r w:rsidR="0060666E" w:rsidRPr="00930653">
              <w:rPr>
                <w:bCs/>
                <w:sz w:val="22"/>
                <w:szCs w:val="22"/>
                <w:lang w:val="sr-Latn-ME"/>
              </w:rPr>
              <w:t xml:space="preserve">kod odraslih, adolescenata </w:t>
            </w:r>
            <w:r w:rsidR="008D2EB6" w:rsidRPr="00930653">
              <w:rPr>
                <w:bCs/>
                <w:sz w:val="22"/>
                <w:szCs w:val="22"/>
                <w:lang w:val="sr-Latn-ME"/>
              </w:rPr>
              <w:t>i</w:t>
            </w:r>
            <w:r w:rsidR="0060666E" w:rsidRPr="00930653">
              <w:rPr>
                <w:bCs/>
                <w:sz w:val="22"/>
                <w:szCs w:val="22"/>
                <w:lang w:val="sr-Latn-ME"/>
              </w:rPr>
              <w:t xml:space="preserve"> djece starije od godinu dana </w:t>
            </w:r>
            <w:r w:rsidR="002102CB" w:rsidRPr="00930653">
              <w:rPr>
                <w:bCs/>
                <w:sz w:val="22"/>
                <w:szCs w:val="22"/>
                <w:lang w:val="sr-Latn-ME"/>
              </w:rPr>
              <w:t>za ublažavanje simptoma</w:t>
            </w:r>
            <w:r w:rsidR="00FC6813" w:rsidRPr="00930653">
              <w:rPr>
                <w:bCs/>
                <w:sz w:val="22"/>
                <w:szCs w:val="22"/>
                <w:lang w:val="sr-Latn-ME"/>
              </w:rPr>
              <w:t xml:space="preserve"> povezanih sa</w:t>
            </w:r>
            <w:r w:rsidR="002102CB" w:rsidRPr="00930653">
              <w:rPr>
                <w:bCs/>
                <w:sz w:val="22"/>
                <w:szCs w:val="22"/>
                <w:lang w:val="sr-Latn-ME"/>
              </w:rPr>
              <w:t>:</w:t>
            </w:r>
          </w:p>
          <w:p w14:paraId="383D8C28" w14:textId="457D6E53" w:rsidR="002102CB" w:rsidRPr="00930653" w:rsidRDefault="00FC6813" w:rsidP="00007378">
            <w:pPr>
              <w:pStyle w:val="Header"/>
              <w:numPr>
                <w:ilvl w:val="0"/>
                <w:numId w:val="35"/>
              </w:numPr>
              <w:tabs>
                <w:tab w:val="clear" w:pos="4320"/>
                <w:tab w:val="clear" w:pos="8640"/>
                <w:tab w:val="left" w:pos="284"/>
              </w:tabs>
              <w:jc w:val="both"/>
              <w:rPr>
                <w:sz w:val="22"/>
                <w:szCs w:val="22"/>
                <w:lang w:val="sr-Latn-ME"/>
              </w:rPr>
            </w:pPr>
            <w:r w:rsidRPr="00930653">
              <w:rPr>
                <w:sz w:val="22"/>
                <w:szCs w:val="22"/>
                <w:lang w:val="sr-Latn-ME"/>
              </w:rPr>
              <w:t xml:space="preserve">alergijskim rinitisom </w:t>
            </w:r>
            <w:r w:rsidR="002102CB" w:rsidRPr="00930653">
              <w:rPr>
                <w:sz w:val="22"/>
                <w:szCs w:val="22"/>
                <w:lang w:val="sr-Latn-ME"/>
              </w:rPr>
              <w:t xml:space="preserve">(vidjeti </w:t>
            </w:r>
            <w:r w:rsidR="000D41F5" w:rsidRPr="00930653">
              <w:rPr>
                <w:sz w:val="22"/>
                <w:szCs w:val="22"/>
                <w:lang w:val="sr-Latn-ME"/>
              </w:rPr>
              <w:t>dio</w:t>
            </w:r>
            <w:r w:rsidR="002102CB" w:rsidRPr="00930653">
              <w:rPr>
                <w:sz w:val="22"/>
                <w:szCs w:val="22"/>
                <w:lang w:val="sr-Latn-ME"/>
              </w:rPr>
              <w:t xml:space="preserve"> 5.1)</w:t>
            </w:r>
          </w:p>
          <w:p w14:paraId="2C36A4F0" w14:textId="77FE4E60" w:rsidR="002102CB" w:rsidRPr="00930653" w:rsidRDefault="00FC6813" w:rsidP="00007378">
            <w:pPr>
              <w:numPr>
                <w:ilvl w:val="0"/>
                <w:numId w:val="35"/>
              </w:numPr>
              <w:tabs>
                <w:tab w:val="left" w:pos="284"/>
              </w:tabs>
              <w:jc w:val="both"/>
              <w:rPr>
                <w:sz w:val="22"/>
                <w:szCs w:val="22"/>
                <w:lang w:val="sr-Latn-ME"/>
              </w:rPr>
            </w:pPr>
            <w:r w:rsidRPr="00930653">
              <w:rPr>
                <w:sz w:val="22"/>
                <w:szCs w:val="22"/>
                <w:lang w:val="sr-Latn-ME"/>
              </w:rPr>
              <w:t xml:space="preserve">urtikarijom </w:t>
            </w:r>
            <w:r w:rsidR="002102CB" w:rsidRPr="00930653">
              <w:rPr>
                <w:sz w:val="22"/>
                <w:szCs w:val="22"/>
                <w:lang w:val="sr-Latn-ME"/>
              </w:rPr>
              <w:t xml:space="preserve">(vidjeti </w:t>
            </w:r>
            <w:r w:rsidR="000D41F5" w:rsidRPr="00930653">
              <w:rPr>
                <w:sz w:val="22"/>
                <w:szCs w:val="22"/>
                <w:lang w:val="sr-Latn-ME"/>
              </w:rPr>
              <w:t>dio</w:t>
            </w:r>
            <w:r w:rsidR="002102CB" w:rsidRPr="00930653">
              <w:rPr>
                <w:sz w:val="22"/>
                <w:szCs w:val="22"/>
                <w:lang w:val="sr-Latn-ME"/>
              </w:rPr>
              <w:t xml:space="preserve"> 5.1).</w:t>
            </w:r>
          </w:p>
          <w:p w14:paraId="47624CD3" w14:textId="77777777" w:rsidR="002102CB" w:rsidRPr="00930653" w:rsidRDefault="002102CB" w:rsidP="004E0BA7">
            <w:pPr>
              <w:jc w:val="both"/>
              <w:rPr>
                <w:sz w:val="22"/>
                <w:szCs w:val="22"/>
                <w:lang w:val="sr-Latn-ME"/>
              </w:rPr>
            </w:pPr>
          </w:p>
        </w:tc>
      </w:tr>
      <w:tr w:rsidR="002102CB" w:rsidRPr="00930653" w14:paraId="09827B3F" w14:textId="77777777" w:rsidTr="007F2243">
        <w:tc>
          <w:tcPr>
            <w:tcW w:w="9810" w:type="dxa"/>
            <w:gridSpan w:val="3"/>
            <w:vAlign w:val="center"/>
          </w:tcPr>
          <w:p w14:paraId="670D6FAF" w14:textId="77777777" w:rsidR="002102CB" w:rsidRPr="00930653" w:rsidRDefault="002102CB" w:rsidP="005C28F6">
            <w:pPr>
              <w:pStyle w:val="Header"/>
              <w:tabs>
                <w:tab w:val="left" w:pos="284"/>
              </w:tabs>
              <w:spacing w:before="80" w:after="80"/>
              <w:jc w:val="both"/>
              <w:rPr>
                <w:b/>
                <w:bCs/>
                <w:sz w:val="22"/>
                <w:szCs w:val="22"/>
                <w:lang w:val="sr-Latn-ME"/>
              </w:rPr>
            </w:pPr>
            <w:r w:rsidRPr="00930653">
              <w:rPr>
                <w:b/>
                <w:bCs/>
                <w:sz w:val="22"/>
                <w:szCs w:val="22"/>
                <w:lang w:val="sr-Latn-ME"/>
              </w:rPr>
              <w:t>4.2. Doziranje i način primjene</w:t>
            </w:r>
          </w:p>
        </w:tc>
      </w:tr>
      <w:tr w:rsidR="002102CB" w:rsidRPr="00A731F9" w14:paraId="1FB4204E" w14:textId="77777777" w:rsidTr="007F2243">
        <w:trPr>
          <w:trHeight w:val="492"/>
        </w:trPr>
        <w:tc>
          <w:tcPr>
            <w:tcW w:w="9810" w:type="dxa"/>
            <w:gridSpan w:val="3"/>
            <w:vAlign w:val="center"/>
          </w:tcPr>
          <w:p w14:paraId="6DBEDE39" w14:textId="77777777" w:rsidR="002102CB" w:rsidRPr="00930653" w:rsidRDefault="002102CB" w:rsidP="005C28F6">
            <w:pPr>
              <w:jc w:val="both"/>
              <w:rPr>
                <w:sz w:val="22"/>
                <w:szCs w:val="22"/>
                <w:lang w:val="sr-Latn-ME"/>
              </w:rPr>
            </w:pPr>
          </w:p>
          <w:p w14:paraId="4E6035B4" w14:textId="77777777" w:rsidR="0060666E" w:rsidRPr="00930653" w:rsidRDefault="0060666E" w:rsidP="00007378">
            <w:pPr>
              <w:jc w:val="both"/>
              <w:rPr>
                <w:bCs/>
                <w:sz w:val="22"/>
                <w:szCs w:val="22"/>
                <w:u w:val="single"/>
                <w:lang w:val="sr-Latn-ME"/>
              </w:rPr>
            </w:pPr>
            <w:r w:rsidRPr="00930653">
              <w:rPr>
                <w:bCs/>
                <w:sz w:val="22"/>
                <w:szCs w:val="22"/>
                <w:u w:val="single"/>
                <w:lang w:val="sr-Latn-ME"/>
              </w:rPr>
              <w:t>Doziranje</w:t>
            </w:r>
          </w:p>
          <w:p w14:paraId="5BF9241D" w14:textId="77777777" w:rsidR="0060666E" w:rsidRPr="00930653" w:rsidRDefault="0060666E" w:rsidP="00007378">
            <w:pPr>
              <w:jc w:val="both"/>
              <w:rPr>
                <w:b/>
                <w:sz w:val="22"/>
                <w:szCs w:val="22"/>
                <w:u w:val="single"/>
                <w:lang w:val="sr-Latn-ME"/>
              </w:rPr>
            </w:pPr>
          </w:p>
          <w:p w14:paraId="7FEB51AF" w14:textId="77777777" w:rsidR="0060666E" w:rsidRPr="00930653" w:rsidRDefault="0060666E" w:rsidP="00007378">
            <w:pPr>
              <w:pStyle w:val="NoSpacing"/>
              <w:jc w:val="both"/>
              <w:rPr>
                <w:rFonts w:ascii="Times New Roman" w:hAnsi="Times New Roman"/>
                <w:i/>
                <w:lang w:val="sr-Latn-ME"/>
              </w:rPr>
            </w:pPr>
            <w:r w:rsidRPr="00930653">
              <w:rPr>
                <w:rFonts w:ascii="Times New Roman" w:hAnsi="Times New Roman"/>
                <w:i/>
                <w:lang w:val="sr-Latn-ME"/>
              </w:rPr>
              <w:t>Odrasli i adolescenti (</w:t>
            </w:r>
            <w:r w:rsidR="00007378" w:rsidRPr="00930653">
              <w:rPr>
                <w:rFonts w:ascii="Times New Roman" w:hAnsi="Times New Roman"/>
                <w:i/>
                <w:lang w:val="sr-Latn-ME"/>
              </w:rPr>
              <w:t xml:space="preserve">uzrasta </w:t>
            </w:r>
            <w:r w:rsidRPr="00930653">
              <w:rPr>
                <w:rFonts w:ascii="Times New Roman" w:hAnsi="Times New Roman"/>
                <w:i/>
                <w:lang w:val="sr-Latn-ME"/>
              </w:rPr>
              <w:t xml:space="preserve">12 godina i stariji): </w:t>
            </w:r>
          </w:p>
          <w:p w14:paraId="01A9AF06" w14:textId="7211AC1D" w:rsidR="002102CB" w:rsidRPr="00930653" w:rsidRDefault="0060666E" w:rsidP="00007378">
            <w:pPr>
              <w:pStyle w:val="Header"/>
              <w:tabs>
                <w:tab w:val="left" w:pos="284"/>
              </w:tabs>
              <w:jc w:val="both"/>
              <w:rPr>
                <w:sz w:val="22"/>
                <w:szCs w:val="22"/>
                <w:lang w:val="sr-Latn-ME"/>
              </w:rPr>
            </w:pPr>
            <w:r w:rsidRPr="00930653">
              <w:rPr>
                <w:sz w:val="22"/>
                <w:szCs w:val="22"/>
                <w:lang w:val="sr-Latn-ME"/>
              </w:rPr>
              <w:t xml:space="preserve">Preporučena doza lijeka Aerius je 10 </w:t>
            </w:r>
            <w:r w:rsidR="00007378" w:rsidRPr="00930653">
              <w:rPr>
                <w:sz w:val="22"/>
                <w:szCs w:val="22"/>
                <w:lang w:val="sr-Latn-ME"/>
              </w:rPr>
              <w:t xml:space="preserve">ml </w:t>
            </w:r>
            <w:r w:rsidRPr="00930653">
              <w:rPr>
                <w:sz w:val="22"/>
                <w:szCs w:val="22"/>
                <w:lang w:val="sr-Latn-ME"/>
              </w:rPr>
              <w:t>(5 mg) oralnog rastvora jednom</w:t>
            </w:r>
            <w:r w:rsidR="002D4888">
              <w:rPr>
                <w:sz w:val="22"/>
                <w:szCs w:val="22"/>
                <w:lang w:val="sr-Latn-ME"/>
              </w:rPr>
              <w:t xml:space="preserve"> </w:t>
            </w:r>
            <w:r w:rsidR="008C61ED" w:rsidRPr="00930653">
              <w:rPr>
                <w:sz w:val="22"/>
                <w:szCs w:val="22"/>
                <w:lang w:val="sr-Latn-ME"/>
              </w:rPr>
              <w:t>dnevno</w:t>
            </w:r>
            <w:r w:rsidRPr="00930653">
              <w:rPr>
                <w:sz w:val="22"/>
                <w:szCs w:val="22"/>
                <w:lang w:val="sr-Latn-ME"/>
              </w:rPr>
              <w:t>.</w:t>
            </w:r>
          </w:p>
          <w:p w14:paraId="65AC23D0" w14:textId="77777777" w:rsidR="0060666E" w:rsidRPr="00930653" w:rsidRDefault="0060666E" w:rsidP="00007378">
            <w:pPr>
              <w:pStyle w:val="Header"/>
              <w:tabs>
                <w:tab w:val="left" w:pos="284"/>
              </w:tabs>
              <w:jc w:val="both"/>
              <w:rPr>
                <w:sz w:val="22"/>
                <w:szCs w:val="22"/>
                <w:lang w:val="sr-Latn-ME"/>
              </w:rPr>
            </w:pPr>
          </w:p>
          <w:p w14:paraId="17E6C9F8" w14:textId="2B04BC76" w:rsidR="0060666E" w:rsidRPr="00930653" w:rsidRDefault="009066A8" w:rsidP="004E0BA7">
            <w:pPr>
              <w:pStyle w:val="Header"/>
              <w:tabs>
                <w:tab w:val="left" w:pos="284"/>
              </w:tabs>
              <w:jc w:val="both"/>
              <w:rPr>
                <w:sz w:val="22"/>
                <w:szCs w:val="22"/>
                <w:lang w:val="sr-Latn-ME"/>
              </w:rPr>
            </w:pPr>
            <w:r>
              <w:rPr>
                <w:i/>
                <w:sz w:val="22"/>
                <w:szCs w:val="22"/>
                <w:lang w:val="sr-Latn-ME"/>
              </w:rPr>
              <w:t>Pedijatrijska populacija</w:t>
            </w:r>
          </w:p>
          <w:p w14:paraId="0BDEE126" w14:textId="6FBED24E" w:rsidR="002102CB" w:rsidRPr="00930653" w:rsidRDefault="000C656C" w:rsidP="004E0BA7">
            <w:pPr>
              <w:pStyle w:val="Header"/>
              <w:tabs>
                <w:tab w:val="left" w:pos="284"/>
              </w:tabs>
              <w:jc w:val="both"/>
              <w:rPr>
                <w:sz w:val="22"/>
                <w:szCs w:val="22"/>
                <w:lang w:val="sr-Latn-ME"/>
              </w:rPr>
            </w:pPr>
            <w:r w:rsidRPr="00930653">
              <w:rPr>
                <w:sz w:val="22"/>
                <w:szCs w:val="22"/>
                <w:lang w:val="sr-Latn-ME"/>
              </w:rPr>
              <w:t>Potrebno je da ljekar koji propisuje lijek zna da je u većini slučajeva</w:t>
            </w:r>
            <w:r w:rsidRPr="00930653" w:rsidDel="000C656C">
              <w:rPr>
                <w:sz w:val="22"/>
                <w:szCs w:val="22"/>
                <w:lang w:val="sr-Latn-ME"/>
              </w:rPr>
              <w:t xml:space="preserve"> </w:t>
            </w:r>
            <w:r w:rsidR="002102CB" w:rsidRPr="00930653">
              <w:rPr>
                <w:sz w:val="22"/>
                <w:szCs w:val="22"/>
                <w:lang w:val="sr-Latn-ME"/>
              </w:rPr>
              <w:t xml:space="preserve">kod pacijenata mlađih od 2 godine uzrok rinitisa infekcija (vidjeti </w:t>
            </w:r>
            <w:r w:rsidR="000D41F5" w:rsidRPr="00930653">
              <w:rPr>
                <w:sz w:val="22"/>
                <w:szCs w:val="22"/>
                <w:lang w:val="sr-Latn-ME"/>
              </w:rPr>
              <w:t>dio</w:t>
            </w:r>
            <w:r w:rsidR="002102CB" w:rsidRPr="00930653">
              <w:rPr>
                <w:sz w:val="22"/>
                <w:szCs w:val="22"/>
                <w:lang w:val="sr-Latn-ME"/>
              </w:rPr>
              <w:t xml:space="preserve"> 4.4) i da ne postoje podaci koji opravdavaju primjenu lijeka Aerius kod rinitisa izazvanog infekcijom.</w:t>
            </w:r>
          </w:p>
          <w:p w14:paraId="00702F2C" w14:textId="77777777" w:rsidR="002102CB" w:rsidRPr="00930653" w:rsidRDefault="002102CB" w:rsidP="00F72506">
            <w:pPr>
              <w:pStyle w:val="Header"/>
              <w:tabs>
                <w:tab w:val="left" w:pos="284"/>
              </w:tabs>
              <w:jc w:val="both"/>
              <w:rPr>
                <w:sz w:val="22"/>
                <w:szCs w:val="22"/>
                <w:lang w:val="sr-Latn-ME"/>
              </w:rPr>
            </w:pPr>
          </w:p>
          <w:p w14:paraId="6ACE5F95" w14:textId="77777777" w:rsidR="002102CB" w:rsidRPr="00930653" w:rsidRDefault="005C28F6" w:rsidP="00287B29">
            <w:pPr>
              <w:pStyle w:val="Header"/>
              <w:tabs>
                <w:tab w:val="left" w:pos="284"/>
              </w:tabs>
              <w:jc w:val="both"/>
              <w:rPr>
                <w:sz w:val="22"/>
                <w:szCs w:val="22"/>
                <w:lang w:val="sr-Latn-ME"/>
              </w:rPr>
            </w:pPr>
            <w:r w:rsidRPr="00930653">
              <w:rPr>
                <w:sz w:val="22"/>
                <w:szCs w:val="22"/>
                <w:lang w:val="sr-Latn-ME"/>
              </w:rPr>
              <w:t>Djeca uzrasta od 1 do 5 godina</w:t>
            </w:r>
            <w:r w:rsidR="002102CB" w:rsidRPr="00930653">
              <w:rPr>
                <w:sz w:val="22"/>
                <w:szCs w:val="22"/>
                <w:lang w:val="sr-Latn-ME"/>
              </w:rPr>
              <w:t>: 2</w:t>
            </w:r>
            <w:r w:rsidR="00007378" w:rsidRPr="00930653">
              <w:rPr>
                <w:sz w:val="22"/>
                <w:szCs w:val="22"/>
                <w:lang w:val="sr-Latn-ME"/>
              </w:rPr>
              <w:t>,</w:t>
            </w:r>
            <w:r w:rsidR="002102CB" w:rsidRPr="00930653">
              <w:rPr>
                <w:sz w:val="22"/>
                <w:szCs w:val="22"/>
                <w:lang w:val="sr-Latn-ME"/>
              </w:rPr>
              <w:t xml:space="preserve">5 </w:t>
            </w:r>
            <w:r w:rsidR="00007378" w:rsidRPr="00930653">
              <w:rPr>
                <w:sz w:val="22"/>
                <w:szCs w:val="22"/>
                <w:lang w:val="sr-Latn-ME"/>
              </w:rPr>
              <w:t xml:space="preserve">ml </w:t>
            </w:r>
            <w:r w:rsidR="002102CB" w:rsidRPr="00930653">
              <w:rPr>
                <w:sz w:val="22"/>
                <w:szCs w:val="22"/>
                <w:lang w:val="sr-Latn-ME"/>
              </w:rPr>
              <w:t>(1</w:t>
            </w:r>
            <w:r w:rsidR="00007378" w:rsidRPr="00930653">
              <w:rPr>
                <w:sz w:val="22"/>
                <w:szCs w:val="22"/>
                <w:lang w:val="sr-Latn-ME"/>
              </w:rPr>
              <w:t>,</w:t>
            </w:r>
            <w:r w:rsidR="002102CB" w:rsidRPr="00930653">
              <w:rPr>
                <w:sz w:val="22"/>
                <w:szCs w:val="22"/>
                <w:lang w:val="sr-Latn-ME"/>
              </w:rPr>
              <w:t xml:space="preserve">25 mg) </w:t>
            </w:r>
            <w:r w:rsidR="002D4888">
              <w:rPr>
                <w:sz w:val="22"/>
                <w:szCs w:val="22"/>
                <w:lang w:val="sr-Latn-ME"/>
              </w:rPr>
              <w:t xml:space="preserve">lijeka </w:t>
            </w:r>
            <w:r w:rsidR="002102CB" w:rsidRPr="00930653">
              <w:rPr>
                <w:sz w:val="22"/>
                <w:szCs w:val="22"/>
                <w:lang w:val="sr-Latn-ME"/>
              </w:rPr>
              <w:t>Aerius oraln</w:t>
            </w:r>
            <w:r w:rsidR="008C61ED" w:rsidRPr="00930653">
              <w:rPr>
                <w:sz w:val="22"/>
                <w:szCs w:val="22"/>
                <w:lang w:val="sr-Latn-ME"/>
              </w:rPr>
              <w:t>i</w:t>
            </w:r>
            <w:r w:rsidR="002102CB" w:rsidRPr="00930653">
              <w:rPr>
                <w:sz w:val="22"/>
                <w:szCs w:val="22"/>
                <w:lang w:val="sr-Latn-ME"/>
              </w:rPr>
              <w:t xml:space="preserve"> rastvor jednom </w:t>
            </w:r>
            <w:r w:rsidR="008C61ED" w:rsidRPr="00930653">
              <w:rPr>
                <w:sz w:val="22"/>
                <w:szCs w:val="22"/>
                <w:lang w:val="sr-Latn-ME"/>
              </w:rPr>
              <w:t>dnevno</w:t>
            </w:r>
            <w:r w:rsidR="002102CB" w:rsidRPr="00930653">
              <w:rPr>
                <w:sz w:val="22"/>
                <w:szCs w:val="22"/>
                <w:lang w:val="sr-Latn-ME"/>
              </w:rPr>
              <w:t>.</w:t>
            </w:r>
          </w:p>
          <w:p w14:paraId="0A35C49B" w14:textId="77777777" w:rsidR="002102CB" w:rsidRPr="00930653" w:rsidRDefault="002102CB" w:rsidP="00406B9C">
            <w:pPr>
              <w:pStyle w:val="Header"/>
              <w:tabs>
                <w:tab w:val="left" w:pos="284"/>
              </w:tabs>
              <w:jc w:val="both"/>
              <w:rPr>
                <w:sz w:val="22"/>
                <w:szCs w:val="22"/>
                <w:lang w:val="sr-Latn-ME"/>
              </w:rPr>
            </w:pPr>
            <w:r w:rsidRPr="00930653">
              <w:rPr>
                <w:sz w:val="22"/>
                <w:szCs w:val="22"/>
                <w:lang w:val="sr-Latn-ME"/>
              </w:rPr>
              <w:t xml:space="preserve">Djeca uzrasta od 6 do 11 godina: 5 </w:t>
            </w:r>
            <w:r w:rsidR="00007378" w:rsidRPr="00930653">
              <w:rPr>
                <w:sz w:val="22"/>
                <w:szCs w:val="22"/>
                <w:lang w:val="sr-Latn-ME"/>
              </w:rPr>
              <w:t xml:space="preserve">ml </w:t>
            </w:r>
            <w:r w:rsidRPr="00930653">
              <w:rPr>
                <w:sz w:val="22"/>
                <w:szCs w:val="22"/>
                <w:lang w:val="sr-Latn-ME"/>
              </w:rPr>
              <w:t>(2</w:t>
            </w:r>
            <w:r w:rsidR="00007378" w:rsidRPr="00930653">
              <w:rPr>
                <w:sz w:val="22"/>
                <w:szCs w:val="22"/>
                <w:lang w:val="sr-Latn-ME"/>
              </w:rPr>
              <w:t>,</w:t>
            </w:r>
            <w:r w:rsidRPr="00930653">
              <w:rPr>
                <w:sz w:val="22"/>
                <w:szCs w:val="22"/>
                <w:lang w:val="sr-Latn-ME"/>
              </w:rPr>
              <w:t xml:space="preserve">5 mg) </w:t>
            </w:r>
            <w:r w:rsidR="002D4888">
              <w:rPr>
                <w:sz w:val="22"/>
                <w:szCs w:val="22"/>
                <w:lang w:val="sr-Latn-ME"/>
              </w:rPr>
              <w:t xml:space="preserve">lijeka </w:t>
            </w:r>
            <w:r w:rsidRPr="00930653">
              <w:rPr>
                <w:sz w:val="22"/>
                <w:szCs w:val="22"/>
                <w:lang w:val="sr-Latn-ME"/>
              </w:rPr>
              <w:t>Aerius oraln</w:t>
            </w:r>
            <w:r w:rsidR="008C61ED" w:rsidRPr="00930653">
              <w:rPr>
                <w:sz w:val="22"/>
                <w:szCs w:val="22"/>
                <w:lang w:val="sr-Latn-ME"/>
              </w:rPr>
              <w:t>i</w:t>
            </w:r>
            <w:r w:rsidRPr="00930653">
              <w:rPr>
                <w:sz w:val="22"/>
                <w:szCs w:val="22"/>
                <w:lang w:val="sr-Latn-ME"/>
              </w:rPr>
              <w:t xml:space="preserve"> rastvor jednom </w:t>
            </w:r>
            <w:r w:rsidR="008C61ED" w:rsidRPr="00930653">
              <w:rPr>
                <w:sz w:val="22"/>
                <w:szCs w:val="22"/>
                <w:lang w:val="sr-Latn-ME"/>
              </w:rPr>
              <w:t>dnevno</w:t>
            </w:r>
            <w:r w:rsidRPr="00930653">
              <w:rPr>
                <w:sz w:val="22"/>
                <w:szCs w:val="22"/>
                <w:lang w:val="sr-Latn-ME"/>
              </w:rPr>
              <w:t>.</w:t>
            </w:r>
          </w:p>
          <w:p w14:paraId="4BC4157F" w14:textId="77777777" w:rsidR="002102CB" w:rsidRPr="00930653" w:rsidRDefault="002102CB" w:rsidP="000C656C">
            <w:pPr>
              <w:pStyle w:val="Header"/>
              <w:tabs>
                <w:tab w:val="left" w:pos="284"/>
              </w:tabs>
              <w:jc w:val="both"/>
              <w:rPr>
                <w:sz w:val="22"/>
                <w:szCs w:val="22"/>
                <w:lang w:val="sr-Latn-ME"/>
              </w:rPr>
            </w:pPr>
          </w:p>
          <w:p w14:paraId="3C7982E7" w14:textId="77777777" w:rsidR="0060666E" w:rsidRPr="00930653" w:rsidRDefault="0060666E" w:rsidP="008C61ED">
            <w:pPr>
              <w:jc w:val="both"/>
              <w:rPr>
                <w:sz w:val="22"/>
                <w:szCs w:val="22"/>
                <w:lang w:val="sr-Latn-ME"/>
              </w:rPr>
            </w:pPr>
            <w:r w:rsidRPr="00930653">
              <w:rPr>
                <w:sz w:val="22"/>
                <w:szCs w:val="22"/>
                <w:lang w:val="sr-Latn-ME"/>
              </w:rPr>
              <w:t>Bezb</w:t>
            </w:r>
            <w:r w:rsidR="005C28F6" w:rsidRPr="00930653">
              <w:rPr>
                <w:sz w:val="22"/>
                <w:szCs w:val="22"/>
                <w:lang w:val="sr-Latn-ME"/>
              </w:rPr>
              <w:t>j</w:t>
            </w:r>
            <w:r w:rsidRPr="00930653">
              <w:rPr>
                <w:sz w:val="22"/>
                <w:szCs w:val="22"/>
                <w:lang w:val="sr-Latn-ME"/>
              </w:rPr>
              <w:t>ednost i efikasnost prim</w:t>
            </w:r>
            <w:r w:rsidR="003A3014" w:rsidRPr="00930653">
              <w:rPr>
                <w:sz w:val="22"/>
                <w:szCs w:val="22"/>
                <w:lang w:val="sr-Latn-ME"/>
              </w:rPr>
              <w:t>j</w:t>
            </w:r>
            <w:r w:rsidRPr="00930653">
              <w:rPr>
                <w:sz w:val="22"/>
                <w:szCs w:val="22"/>
                <w:lang w:val="sr-Latn-ME"/>
              </w:rPr>
              <w:t xml:space="preserve">ene </w:t>
            </w:r>
            <w:r w:rsidR="00007378" w:rsidRPr="00930653">
              <w:rPr>
                <w:sz w:val="22"/>
                <w:szCs w:val="22"/>
                <w:lang w:val="sr-Latn-ME"/>
              </w:rPr>
              <w:t xml:space="preserve">lijeka </w:t>
            </w:r>
            <w:r w:rsidRPr="00930653">
              <w:rPr>
                <w:sz w:val="22"/>
                <w:szCs w:val="22"/>
                <w:lang w:val="sr-Latn-ME"/>
              </w:rPr>
              <w:t>Aerius 0</w:t>
            </w:r>
            <w:r w:rsidR="00007378" w:rsidRPr="00930653">
              <w:rPr>
                <w:sz w:val="22"/>
                <w:szCs w:val="22"/>
                <w:lang w:val="sr-Latn-ME"/>
              </w:rPr>
              <w:t>,</w:t>
            </w:r>
            <w:r w:rsidRPr="00930653">
              <w:rPr>
                <w:sz w:val="22"/>
                <w:szCs w:val="22"/>
                <w:lang w:val="sr-Latn-ME"/>
              </w:rPr>
              <w:t>5 mg/</w:t>
            </w:r>
            <w:r w:rsidR="00007378" w:rsidRPr="00930653">
              <w:rPr>
                <w:sz w:val="22"/>
                <w:szCs w:val="22"/>
                <w:lang w:val="sr-Latn-ME"/>
              </w:rPr>
              <w:t xml:space="preserve">ml </w:t>
            </w:r>
            <w:r w:rsidRPr="00930653">
              <w:rPr>
                <w:sz w:val="22"/>
                <w:szCs w:val="22"/>
                <w:lang w:val="sr-Latn-ME"/>
              </w:rPr>
              <w:t>oraln</w:t>
            </w:r>
            <w:r w:rsidR="008C61ED" w:rsidRPr="00930653">
              <w:rPr>
                <w:sz w:val="22"/>
                <w:szCs w:val="22"/>
                <w:lang w:val="sr-Latn-ME"/>
              </w:rPr>
              <w:t>i</w:t>
            </w:r>
            <w:r w:rsidRPr="00930653">
              <w:rPr>
                <w:sz w:val="22"/>
                <w:szCs w:val="22"/>
                <w:lang w:val="sr-Latn-ME"/>
              </w:rPr>
              <w:t xml:space="preserve"> rastvor kod d</w:t>
            </w:r>
            <w:r w:rsidR="003A3014" w:rsidRPr="00930653">
              <w:rPr>
                <w:sz w:val="22"/>
                <w:szCs w:val="22"/>
                <w:lang w:val="sr-Latn-ME"/>
              </w:rPr>
              <w:t>j</w:t>
            </w:r>
            <w:r w:rsidRPr="00930653">
              <w:rPr>
                <w:sz w:val="22"/>
                <w:szCs w:val="22"/>
                <w:lang w:val="sr-Latn-ME"/>
              </w:rPr>
              <w:t>ece mlađe od 1 godine nije</w:t>
            </w:r>
            <w:r w:rsidR="000C656C" w:rsidRPr="00930653">
              <w:rPr>
                <w:sz w:val="22"/>
                <w:szCs w:val="22"/>
                <w:lang w:val="sr-Latn-ME"/>
              </w:rPr>
              <w:t>su</w:t>
            </w:r>
            <w:r w:rsidRPr="00930653">
              <w:rPr>
                <w:sz w:val="22"/>
                <w:szCs w:val="22"/>
                <w:lang w:val="sr-Latn-ME"/>
              </w:rPr>
              <w:t xml:space="preserve"> utvrđen</w:t>
            </w:r>
            <w:r w:rsidR="000C656C" w:rsidRPr="00930653">
              <w:rPr>
                <w:sz w:val="22"/>
                <w:szCs w:val="22"/>
                <w:lang w:val="sr-Latn-ME"/>
              </w:rPr>
              <w:t>e</w:t>
            </w:r>
            <w:r w:rsidRPr="00930653">
              <w:rPr>
                <w:sz w:val="22"/>
                <w:szCs w:val="22"/>
                <w:lang w:val="sr-Latn-ME"/>
              </w:rPr>
              <w:t xml:space="preserve">. </w:t>
            </w:r>
          </w:p>
          <w:p w14:paraId="1C9FA2A0" w14:textId="77777777" w:rsidR="0060666E" w:rsidRPr="00930653" w:rsidRDefault="0060666E" w:rsidP="00AF04BB">
            <w:pPr>
              <w:jc w:val="both"/>
              <w:rPr>
                <w:sz w:val="22"/>
                <w:szCs w:val="22"/>
                <w:lang w:val="sr-Latn-ME"/>
              </w:rPr>
            </w:pPr>
          </w:p>
          <w:p w14:paraId="332E8B46" w14:textId="0696F991" w:rsidR="002102CB" w:rsidRPr="00930653" w:rsidRDefault="002102CB" w:rsidP="008C62CF">
            <w:pPr>
              <w:jc w:val="both"/>
              <w:rPr>
                <w:sz w:val="22"/>
                <w:szCs w:val="22"/>
                <w:lang w:val="sr-Latn-ME"/>
              </w:rPr>
            </w:pPr>
            <w:r w:rsidRPr="00930653">
              <w:rPr>
                <w:sz w:val="22"/>
                <w:szCs w:val="22"/>
                <w:lang w:val="sr-Latn-ME"/>
              </w:rPr>
              <w:t xml:space="preserve">Iskustva iz kliničkih ispitivanja o efikasnosti </w:t>
            </w:r>
            <w:r w:rsidR="00010AF3">
              <w:rPr>
                <w:sz w:val="22"/>
                <w:szCs w:val="22"/>
                <w:lang w:val="sr-Latn-ME"/>
              </w:rPr>
              <w:t>primjene</w:t>
            </w:r>
            <w:r w:rsidR="00010AF3" w:rsidRPr="00930653">
              <w:rPr>
                <w:sz w:val="22"/>
                <w:szCs w:val="22"/>
                <w:lang w:val="sr-Latn-ME"/>
              </w:rPr>
              <w:t xml:space="preserve"> </w:t>
            </w:r>
            <w:r w:rsidRPr="00930653">
              <w:rPr>
                <w:sz w:val="22"/>
                <w:szCs w:val="22"/>
                <w:lang w:val="sr-Latn-ME"/>
              </w:rPr>
              <w:t xml:space="preserve">desloratadina kod </w:t>
            </w:r>
            <w:r w:rsidR="0060666E" w:rsidRPr="00930653">
              <w:rPr>
                <w:sz w:val="22"/>
                <w:szCs w:val="22"/>
                <w:lang w:val="sr-Latn-ME"/>
              </w:rPr>
              <w:t xml:space="preserve">djece </w:t>
            </w:r>
            <w:r w:rsidR="00007378" w:rsidRPr="00930653">
              <w:rPr>
                <w:sz w:val="22"/>
                <w:szCs w:val="22"/>
                <w:lang w:val="sr-Latn-ME"/>
              </w:rPr>
              <w:t xml:space="preserve">uzrasta </w:t>
            </w:r>
            <w:r w:rsidR="0060666E" w:rsidRPr="00930653">
              <w:rPr>
                <w:sz w:val="22"/>
                <w:szCs w:val="22"/>
                <w:lang w:val="sr-Latn-ME"/>
              </w:rPr>
              <w:t xml:space="preserve">od 1 do 11 godina i </w:t>
            </w:r>
            <w:r w:rsidRPr="00930653">
              <w:rPr>
                <w:sz w:val="22"/>
                <w:szCs w:val="22"/>
                <w:lang w:val="sr-Latn-ME"/>
              </w:rPr>
              <w:t xml:space="preserve">adolescenata </w:t>
            </w:r>
            <w:r w:rsidR="00007378" w:rsidRPr="00930653">
              <w:rPr>
                <w:sz w:val="22"/>
                <w:szCs w:val="22"/>
                <w:lang w:val="sr-Latn-ME"/>
              </w:rPr>
              <w:t xml:space="preserve">uzrasta </w:t>
            </w:r>
            <w:r w:rsidRPr="00930653">
              <w:rPr>
                <w:sz w:val="22"/>
                <w:szCs w:val="22"/>
                <w:lang w:val="sr-Latn-ME"/>
              </w:rPr>
              <w:t xml:space="preserve">između 12 i 17 godina su ograničenog karaktera (vidjeti </w:t>
            </w:r>
            <w:r w:rsidR="000D41F5" w:rsidRPr="00930653">
              <w:rPr>
                <w:sz w:val="22"/>
                <w:szCs w:val="22"/>
                <w:lang w:val="sr-Latn-ME"/>
              </w:rPr>
              <w:t>djelove</w:t>
            </w:r>
            <w:r w:rsidRPr="00930653">
              <w:rPr>
                <w:sz w:val="22"/>
                <w:szCs w:val="22"/>
                <w:lang w:val="sr-Latn-ME"/>
              </w:rPr>
              <w:t xml:space="preserve"> 4.8 i 5.1).</w:t>
            </w:r>
          </w:p>
          <w:p w14:paraId="1BA1CA48" w14:textId="77777777" w:rsidR="002102CB" w:rsidRPr="00930653" w:rsidRDefault="002102CB" w:rsidP="008C62CF">
            <w:pPr>
              <w:jc w:val="both"/>
              <w:rPr>
                <w:sz w:val="22"/>
                <w:szCs w:val="22"/>
                <w:lang w:val="sr-Latn-ME"/>
              </w:rPr>
            </w:pPr>
          </w:p>
          <w:p w14:paraId="28D9FB6F" w14:textId="7EBF8462" w:rsidR="002102CB" w:rsidRPr="00930653" w:rsidRDefault="002102CB" w:rsidP="008C62CF">
            <w:pPr>
              <w:jc w:val="both"/>
              <w:rPr>
                <w:sz w:val="22"/>
                <w:szCs w:val="22"/>
                <w:lang w:val="sr-Latn-ME"/>
              </w:rPr>
            </w:pPr>
            <w:r w:rsidRPr="00930653">
              <w:rPr>
                <w:sz w:val="22"/>
                <w:szCs w:val="22"/>
                <w:lang w:val="sr-Latn-ME"/>
              </w:rPr>
              <w:t xml:space="preserve">Intermitentni alergijski rinitis (simptomi su prisutni kraće od 4 dana nedjeljno ili kraće od 4 nedjelje) </w:t>
            </w:r>
            <w:r w:rsidR="008C61ED" w:rsidRPr="00930653">
              <w:rPr>
                <w:sz w:val="22"/>
                <w:szCs w:val="22"/>
                <w:lang w:val="sr-Latn-ME"/>
              </w:rPr>
              <w:t>se</w:t>
            </w:r>
            <w:r w:rsidR="002D4888">
              <w:rPr>
                <w:sz w:val="22"/>
                <w:szCs w:val="22"/>
                <w:lang w:val="sr-Latn-ME"/>
              </w:rPr>
              <w:t xml:space="preserve"> </w:t>
            </w:r>
            <w:r w:rsidRPr="00930653">
              <w:rPr>
                <w:sz w:val="22"/>
                <w:szCs w:val="22"/>
                <w:lang w:val="sr-Latn-ME"/>
              </w:rPr>
              <w:t>liječi u skladu sa procjenom istorije bolesti pacijenta, a liječenje se mo</w:t>
            </w:r>
            <w:r w:rsidR="008C61ED" w:rsidRPr="00930653">
              <w:rPr>
                <w:sz w:val="22"/>
                <w:szCs w:val="22"/>
                <w:lang w:val="sr-Latn-ME"/>
              </w:rPr>
              <w:t>že</w:t>
            </w:r>
            <w:r w:rsidRPr="00930653">
              <w:rPr>
                <w:sz w:val="22"/>
                <w:szCs w:val="22"/>
                <w:lang w:val="sr-Latn-ME"/>
              </w:rPr>
              <w:t xml:space="preserve"> prekinuti poslije povlačenja simptoma </w:t>
            </w:r>
            <w:r w:rsidR="008C61ED" w:rsidRPr="00930653">
              <w:rPr>
                <w:sz w:val="22"/>
                <w:szCs w:val="22"/>
                <w:lang w:val="sr-Latn-ME"/>
              </w:rPr>
              <w:t>i</w:t>
            </w:r>
            <w:r w:rsidRPr="00930653">
              <w:rPr>
                <w:sz w:val="22"/>
                <w:szCs w:val="22"/>
                <w:lang w:val="sr-Latn-ME"/>
              </w:rPr>
              <w:t xml:space="preserve"> ponov</w:t>
            </w:r>
            <w:r w:rsidR="000C656C" w:rsidRPr="00930653">
              <w:rPr>
                <w:sz w:val="22"/>
                <w:szCs w:val="22"/>
                <w:lang w:val="sr-Latn-ME"/>
              </w:rPr>
              <w:t>o započeti</w:t>
            </w:r>
            <w:r w:rsidRPr="00930653">
              <w:rPr>
                <w:sz w:val="22"/>
                <w:szCs w:val="22"/>
                <w:lang w:val="sr-Latn-ME"/>
              </w:rPr>
              <w:t xml:space="preserve"> ukoliko se simtomi ponovo pojave.</w:t>
            </w:r>
          </w:p>
          <w:p w14:paraId="4D8F8B8B" w14:textId="0AFE6797" w:rsidR="002102CB" w:rsidRPr="00930653" w:rsidRDefault="002102CB" w:rsidP="008C62CF">
            <w:pPr>
              <w:jc w:val="both"/>
              <w:rPr>
                <w:sz w:val="22"/>
                <w:szCs w:val="22"/>
                <w:lang w:val="sr-Latn-ME"/>
              </w:rPr>
            </w:pPr>
            <w:r w:rsidRPr="00930653">
              <w:rPr>
                <w:sz w:val="22"/>
                <w:szCs w:val="22"/>
                <w:lang w:val="sr-Latn-ME"/>
              </w:rPr>
              <w:t xml:space="preserve">U </w:t>
            </w:r>
            <w:r w:rsidR="000E2154">
              <w:rPr>
                <w:sz w:val="22"/>
                <w:szCs w:val="22"/>
                <w:lang w:val="sr-Latn-ME"/>
              </w:rPr>
              <w:t xml:space="preserve">slučaju </w:t>
            </w:r>
            <w:r w:rsidRPr="00930653">
              <w:rPr>
                <w:sz w:val="22"/>
                <w:szCs w:val="22"/>
                <w:lang w:val="sr-Latn-ME"/>
              </w:rPr>
              <w:t>perzistentno</w:t>
            </w:r>
            <w:r w:rsidR="000E2154">
              <w:rPr>
                <w:sz w:val="22"/>
                <w:szCs w:val="22"/>
                <w:lang w:val="sr-Latn-ME"/>
              </w:rPr>
              <w:t>g</w:t>
            </w:r>
            <w:r w:rsidRPr="00930653">
              <w:rPr>
                <w:sz w:val="22"/>
                <w:szCs w:val="22"/>
                <w:lang w:val="sr-Latn-ME"/>
              </w:rPr>
              <w:t xml:space="preserve"> alergijsko</w:t>
            </w:r>
            <w:r w:rsidR="000E2154">
              <w:rPr>
                <w:sz w:val="22"/>
                <w:szCs w:val="22"/>
                <w:lang w:val="sr-Latn-ME"/>
              </w:rPr>
              <w:t>g</w:t>
            </w:r>
            <w:r w:rsidRPr="00930653">
              <w:rPr>
                <w:sz w:val="22"/>
                <w:szCs w:val="22"/>
                <w:lang w:val="sr-Latn-ME"/>
              </w:rPr>
              <w:t xml:space="preserve"> rinitis</w:t>
            </w:r>
            <w:r w:rsidR="000E2154">
              <w:rPr>
                <w:sz w:val="22"/>
                <w:szCs w:val="22"/>
                <w:lang w:val="sr-Latn-ME"/>
              </w:rPr>
              <w:t>a</w:t>
            </w:r>
            <w:r w:rsidRPr="00930653">
              <w:rPr>
                <w:sz w:val="22"/>
                <w:szCs w:val="22"/>
                <w:lang w:val="sr-Latn-ME"/>
              </w:rPr>
              <w:t xml:space="preserve"> (simtomi su prisutni 4 ili više dana u nedjelji </w:t>
            </w:r>
            <w:r w:rsidR="000C656C" w:rsidRPr="00930653">
              <w:rPr>
                <w:sz w:val="22"/>
                <w:szCs w:val="22"/>
                <w:lang w:val="sr-Latn-ME"/>
              </w:rPr>
              <w:t>i</w:t>
            </w:r>
            <w:r w:rsidRPr="00930653">
              <w:rPr>
                <w:sz w:val="22"/>
                <w:szCs w:val="22"/>
                <w:lang w:val="sr-Latn-ME"/>
              </w:rPr>
              <w:t xml:space="preserve"> duže od 4 nedjelje), kontinuirana terapija se može preporučiti pacijentima u periodu izl</w:t>
            </w:r>
            <w:r w:rsidR="008C61ED" w:rsidRPr="00930653">
              <w:rPr>
                <w:sz w:val="22"/>
                <w:szCs w:val="22"/>
                <w:lang w:val="sr-Latn-ME"/>
              </w:rPr>
              <w:t>oženosti</w:t>
            </w:r>
            <w:r w:rsidRPr="00930653">
              <w:rPr>
                <w:sz w:val="22"/>
                <w:szCs w:val="22"/>
                <w:lang w:val="sr-Latn-ME"/>
              </w:rPr>
              <w:t xml:space="preserve"> alergenu.</w:t>
            </w:r>
          </w:p>
          <w:p w14:paraId="16E93282" w14:textId="77777777" w:rsidR="002102CB" w:rsidRPr="00930653" w:rsidRDefault="002102CB" w:rsidP="008C62CF">
            <w:pPr>
              <w:jc w:val="both"/>
              <w:rPr>
                <w:sz w:val="22"/>
                <w:szCs w:val="22"/>
                <w:lang w:val="sr-Latn-ME"/>
              </w:rPr>
            </w:pPr>
          </w:p>
          <w:p w14:paraId="0B4364FE" w14:textId="77777777" w:rsidR="00710AF0" w:rsidRPr="00930653" w:rsidRDefault="00710AF0" w:rsidP="008C62CF">
            <w:pPr>
              <w:jc w:val="both"/>
              <w:rPr>
                <w:bCs/>
                <w:sz w:val="22"/>
                <w:szCs w:val="22"/>
                <w:lang w:val="sr-Latn-ME"/>
              </w:rPr>
            </w:pPr>
            <w:r w:rsidRPr="00930653">
              <w:rPr>
                <w:bCs/>
                <w:sz w:val="22"/>
                <w:szCs w:val="22"/>
                <w:u w:val="single"/>
                <w:lang w:val="sr-Latn-ME"/>
              </w:rPr>
              <w:t>Način primjene</w:t>
            </w:r>
          </w:p>
          <w:p w14:paraId="33862DDB" w14:textId="77777777" w:rsidR="00710AF0" w:rsidRPr="00930653" w:rsidRDefault="00710AF0" w:rsidP="00DE1E1E">
            <w:pPr>
              <w:jc w:val="both"/>
              <w:rPr>
                <w:sz w:val="22"/>
                <w:szCs w:val="22"/>
                <w:lang w:val="sr-Latn-ME"/>
              </w:rPr>
            </w:pPr>
          </w:p>
          <w:p w14:paraId="3D99EC45" w14:textId="77777777" w:rsidR="00710AF0" w:rsidRPr="00930653" w:rsidRDefault="00710AF0" w:rsidP="00BA2ABD">
            <w:pPr>
              <w:jc w:val="both"/>
              <w:rPr>
                <w:sz w:val="22"/>
                <w:szCs w:val="22"/>
                <w:lang w:val="sr-Latn-ME"/>
              </w:rPr>
            </w:pPr>
            <w:r w:rsidRPr="00930653">
              <w:rPr>
                <w:sz w:val="22"/>
                <w:szCs w:val="22"/>
                <w:lang w:val="sr-Latn-ME"/>
              </w:rPr>
              <w:t>Lijek je nam</w:t>
            </w:r>
            <w:r w:rsidR="005C28F6" w:rsidRPr="00930653">
              <w:rPr>
                <w:sz w:val="22"/>
                <w:szCs w:val="22"/>
                <w:lang w:val="sr-Latn-ME"/>
              </w:rPr>
              <w:t>i</w:t>
            </w:r>
            <w:r w:rsidRPr="00930653">
              <w:rPr>
                <w:sz w:val="22"/>
                <w:szCs w:val="22"/>
                <w:lang w:val="sr-Latn-ME"/>
              </w:rPr>
              <w:t>jenjen za oralnu upotrebu.</w:t>
            </w:r>
          </w:p>
          <w:p w14:paraId="5509F85E" w14:textId="16FD4662" w:rsidR="005C28F6" w:rsidRPr="00930653" w:rsidRDefault="000E2154" w:rsidP="005F4218">
            <w:pPr>
              <w:jc w:val="both"/>
              <w:rPr>
                <w:sz w:val="22"/>
                <w:szCs w:val="22"/>
                <w:lang w:val="sr-Latn-ME"/>
              </w:rPr>
            </w:pPr>
            <w:r>
              <w:rPr>
                <w:sz w:val="22"/>
                <w:szCs w:val="22"/>
                <w:lang w:val="sr-Latn-ME"/>
              </w:rPr>
              <w:t>Lijek</w:t>
            </w:r>
            <w:r w:rsidRPr="00930653">
              <w:rPr>
                <w:sz w:val="22"/>
                <w:szCs w:val="22"/>
                <w:lang w:val="sr-Latn-ME"/>
              </w:rPr>
              <w:t xml:space="preserve"> </w:t>
            </w:r>
            <w:r w:rsidR="00710AF0" w:rsidRPr="00930653">
              <w:rPr>
                <w:sz w:val="22"/>
                <w:szCs w:val="22"/>
                <w:lang w:val="sr-Latn-ME"/>
              </w:rPr>
              <w:t xml:space="preserve">se može uzeti </w:t>
            </w:r>
            <w:r>
              <w:rPr>
                <w:sz w:val="22"/>
                <w:szCs w:val="22"/>
                <w:lang w:val="sr-Latn-ME"/>
              </w:rPr>
              <w:t>nezavisno od</w:t>
            </w:r>
            <w:r w:rsidR="00710AF0" w:rsidRPr="00930653">
              <w:rPr>
                <w:sz w:val="22"/>
                <w:szCs w:val="22"/>
                <w:lang w:val="sr-Latn-ME"/>
              </w:rPr>
              <w:t xml:space="preserve"> hrane.</w:t>
            </w:r>
          </w:p>
          <w:p w14:paraId="7A8A1E2A" w14:textId="77777777" w:rsidR="002102CB" w:rsidRPr="00930653" w:rsidRDefault="002102CB" w:rsidP="005F4218">
            <w:pPr>
              <w:jc w:val="both"/>
              <w:rPr>
                <w:sz w:val="22"/>
                <w:szCs w:val="22"/>
                <w:lang w:val="sr-Latn-ME"/>
              </w:rPr>
            </w:pPr>
          </w:p>
        </w:tc>
      </w:tr>
      <w:tr w:rsidR="002102CB" w:rsidRPr="00930653" w14:paraId="52E6874D" w14:textId="77777777" w:rsidTr="007F2243">
        <w:tc>
          <w:tcPr>
            <w:tcW w:w="9810" w:type="dxa"/>
            <w:gridSpan w:val="3"/>
            <w:vAlign w:val="center"/>
          </w:tcPr>
          <w:p w14:paraId="5C480B4E" w14:textId="77777777" w:rsidR="002102CB" w:rsidRPr="00930653" w:rsidRDefault="002102CB" w:rsidP="005C28F6">
            <w:pPr>
              <w:pStyle w:val="Header"/>
              <w:tabs>
                <w:tab w:val="left" w:pos="284"/>
              </w:tabs>
              <w:spacing w:before="80" w:after="80"/>
              <w:jc w:val="both"/>
              <w:rPr>
                <w:b/>
                <w:bCs/>
                <w:sz w:val="22"/>
                <w:szCs w:val="22"/>
                <w:lang w:val="sr-Latn-ME"/>
              </w:rPr>
            </w:pPr>
            <w:r w:rsidRPr="00930653">
              <w:rPr>
                <w:b/>
                <w:bCs/>
                <w:sz w:val="22"/>
                <w:szCs w:val="22"/>
                <w:lang w:val="sr-Latn-ME"/>
              </w:rPr>
              <w:lastRenderedPageBreak/>
              <w:t>4.3. Kontraindikacije</w:t>
            </w:r>
          </w:p>
        </w:tc>
      </w:tr>
      <w:tr w:rsidR="002102CB" w:rsidRPr="00930653" w14:paraId="14CF22F1" w14:textId="77777777" w:rsidTr="007F2243">
        <w:trPr>
          <w:trHeight w:val="840"/>
        </w:trPr>
        <w:tc>
          <w:tcPr>
            <w:tcW w:w="9810" w:type="dxa"/>
            <w:gridSpan w:val="3"/>
            <w:vAlign w:val="center"/>
          </w:tcPr>
          <w:p w14:paraId="70E17840" w14:textId="77777777" w:rsidR="002102CB" w:rsidRPr="00930653" w:rsidRDefault="002102CB" w:rsidP="004E0BA7">
            <w:pPr>
              <w:pStyle w:val="Header"/>
              <w:tabs>
                <w:tab w:val="left" w:pos="284"/>
              </w:tabs>
              <w:jc w:val="both"/>
              <w:rPr>
                <w:sz w:val="22"/>
                <w:szCs w:val="22"/>
                <w:lang w:val="sr-Latn-ME"/>
              </w:rPr>
            </w:pPr>
            <w:r w:rsidRPr="00930653">
              <w:rPr>
                <w:sz w:val="22"/>
                <w:szCs w:val="22"/>
                <w:lang w:val="sr-Latn-ME"/>
              </w:rPr>
              <w:t xml:space="preserve">Preosjetljivost na aktivnu supstancu, na bilo koju pomoćnu supstancu, </w:t>
            </w:r>
            <w:r w:rsidR="00710AF0" w:rsidRPr="00930653">
              <w:rPr>
                <w:sz w:val="22"/>
                <w:szCs w:val="22"/>
                <w:lang w:val="sr-Latn-ME"/>
              </w:rPr>
              <w:t>navedenu u dijelu 6</w:t>
            </w:r>
            <w:r w:rsidR="005C28F6" w:rsidRPr="00930653">
              <w:rPr>
                <w:sz w:val="22"/>
                <w:szCs w:val="22"/>
                <w:lang w:val="sr-Latn-ME"/>
              </w:rPr>
              <w:t>.1</w:t>
            </w:r>
            <w:r w:rsidR="00710AF0" w:rsidRPr="00930653">
              <w:rPr>
                <w:sz w:val="22"/>
                <w:szCs w:val="22"/>
                <w:lang w:val="sr-Latn-ME"/>
              </w:rPr>
              <w:t xml:space="preserve">, </w:t>
            </w:r>
            <w:r w:rsidRPr="00930653">
              <w:rPr>
                <w:sz w:val="22"/>
                <w:szCs w:val="22"/>
                <w:lang w:val="sr-Latn-ME"/>
              </w:rPr>
              <w:t>ili na loratadin.</w:t>
            </w:r>
          </w:p>
        </w:tc>
      </w:tr>
      <w:tr w:rsidR="002102CB" w:rsidRPr="00930653" w14:paraId="011F7702" w14:textId="77777777" w:rsidTr="007F2243">
        <w:tc>
          <w:tcPr>
            <w:tcW w:w="9810" w:type="dxa"/>
            <w:gridSpan w:val="3"/>
            <w:vAlign w:val="center"/>
          </w:tcPr>
          <w:p w14:paraId="697C3C68" w14:textId="77777777" w:rsidR="002102CB" w:rsidRDefault="002102CB" w:rsidP="005C28F6">
            <w:pPr>
              <w:pStyle w:val="Header"/>
              <w:tabs>
                <w:tab w:val="left" w:pos="284"/>
              </w:tabs>
              <w:spacing w:before="80" w:after="80"/>
              <w:jc w:val="both"/>
              <w:rPr>
                <w:b/>
                <w:bCs/>
                <w:sz w:val="22"/>
                <w:szCs w:val="22"/>
                <w:lang w:val="sr-Latn-ME"/>
              </w:rPr>
            </w:pPr>
            <w:r w:rsidRPr="00930653">
              <w:rPr>
                <w:b/>
                <w:bCs/>
                <w:sz w:val="22"/>
                <w:szCs w:val="22"/>
                <w:lang w:val="sr-Latn-ME"/>
              </w:rPr>
              <w:t>4.4. Posebna upozorenja i mjere opreza pri upotrebi lijeka</w:t>
            </w:r>
          </w:p>
          <w:p w14:paraId="5E265F36" w14:textId="77777777" w:rsidR="00BA2ABD" w:rsidRPr="00930653" w:rsidRDefault="00BA2ABD" w:rsidP="005C28F6">
            <w:pPr>
              <w:pStyle w:val="Header"/>
              <w:tabs>
                <w:tab w:val="left" w:pos="284"/>
              </w:tabs>
              <w:spacing w:before="80" w:after="80"/>
              <w:jc w:val="both"/>
              <w:rPr>
                <w:b/>
                <w:bCs/>
                <w:sz w:val="22"/>
                <w:szCs w:val="22"/>
                <w:lang w:val="sr-Latn-ME"/>
              </w:rPr>
            </w:pPr>
          </w:p>
        </w:tc>
      </w:tr>
      <w:tr w:rsidR="002102CB" w:rsidRPr="00A731F9" w14:paraId="7C3520C3" w14:textId="77777777" w:rsidTr="00930653">
        <w:trPr>
          <w:trHeight w:val="1276"/>
        </w:trPr>
        <w:tc>
          <w:tcPr>
            <w:tcW w:w="9810" w:type="dxa"/>
            <w:gridSpan w:val="3"/>
            <w:vAlign w:val="center"/>
          </w:tcPr>
          <w:p w14:paraId="2F2539C8" w14:textId="77777777" w:rsidR="00E67508" w:rsidRPr="00930653" w:rsidRDefault="00E67508" w:rsidP="005C28F6">
            <w:pPr>
              <w:tabs>
                <w:tab w:val="left" w:pos="284"/>
              </w:tabs>
              <w:jc w:val="both"/>
              <w:rPr>
                <w:sz w:val="22"/>
                <w:szCs w:val="22"/>
                <w:u w:val="single"/>
                <w:lang w:val="sr-Latn-ME"/>
              </w:rPr>
            </w:pPr>
            <w:r w:rsidRPr="00930653">
              <w:rPr>
                <w:sz w:val="22"/>
                <w:szCs w:val="22"/>
                <w:u w:val="single"/>
                <w:lang w:val="sr-Latn-ME"/>
              </w:rPr>
              <w:t>Oštećenje funkcije bubrega</w:t>
            </w:r>
          </w:p>
          <w:p w14:paraId="42266E05" w14:textId="77777777" w:rsidR="00E67508" w:rsidRPr="00930653" w:rsidRDefault="00E67508" w:rsidP="00007378">
            <w:pPr>
              <w:pStyle w:val="Header"/>
              <w:tabs>
                <w:tab w:val="left" w:pos="284"/>
              </w:tabs>
              <w:jc w:val="both"/>
              <w:rPr>
                <w:sz w:val="22"/>
                <w:szCs w:val="22"/>
                <w:lang w:val="sr-Latn-ME"/>
              </w:rPr>
            </w:pPr>
            <w:r w:rsidRPr="00930653">
              <w:rPr>
                <w:sz w:val="22"/>
                <w:szCs w:val="22"/>
                <w:lang w:val="sr-Latn-ME"/>
              </w:rPr>
              <w:t xml:space="preserve">U slučaju teške bubrežne insuficijencije, </w:t>
            </w:r>
            <w:r w:rsidR="004E0BA7" w:rsidRPr="00930653">
              <w:rPr>
                <w:sz w:val="22"/>
                <w:szCs w:val="22"/>
                <w:lang w:val="sr-Latn-ME"/>
              </w:rPr>
              <w:t xml:space="preserve">lijek </w:t>
            </w:r>
            <w:r w:rsidRPr="00930653">
              <w:rPr>
                <w:sz w:val="22"/>
                <w:szCs w:val="22"/>
                <w:lang w:val="sr-Latn-ME"/>
              </w:rPr>
              <w:t>Aerius bi trebalo upotrebljavati sa oprezom (vid</w:t>
            </w:r>
            <w:r w:rsidR="005C28F6" w:rsidRPr="00930653">
              <w:rPr>
                <w:sz w:val="22"/>
                <w:szCs w:val="22"/>
                <w:lang w:val="sr-Latn-ME"/>
              </w:rPr>
              <w:t xml:space="preserve">jeti dio </w:t>
            </w:r>
            <w:r w:rsidRPr="00930653">
              <w:rPr>
                <w:sz w:val="22"/>
                <w:szCs w:val="22"/>
                <w:lang w:val="sr-Latn-ME"/>
              </w:rPr>
              <w:t>5.2).</w:t>
            </w:r>
          </w:p>
          <w:p w14:paraId="57579C48" w14:textId="77777777" w:rsidR="00E67508" w:rsidRPr="00930653" w:rsidRDefault="00E67508" w:rsidP="00007378">
            <w:pPr>
              <w:pStyle w:val="Header"/>
              <w:jc w:val="both"/>
              <w:rPr>
                <w:noProof/>
                <w:sz w:val="22"/>
                <w:szCs w:val="22"/>
                <w:lang w:val="sr-Latn-ME"/>
              </w:rPr>
            </w:pPr>
          </w:p>
          <w:p w14:paraId="57134BE0" w14:textId="4A66A51B" w:rsidR="002D4888" w:rsidRDefault="00E75E4D" w:rsidP="004E0BA7">
            <w:pPr>
              <w:pStyle w:val="Header"/>
              <w:jc w:val="both"/>
              <w:rPr>
                <w:sz w:val="22"/>
                <w:szCs w:val="22"/>
                <w:u w:val="single"/>
                <w:lang w:val="sr-Latn-ME"/>
              </w:rPr>
            </w:pPr>
            <w:r>
              <w:rPr>
                <w:sz w:val="22"/>
                <w:szCs w:val="22"/>
                <w:u w:val="single"/>
                <w:lang w:val="sr-Latn-ME"/>
              </w:rPr>
              <w:t>Konvulzije</w:t>
            </w:r>
          </w:p>
          <w:p w14:paraId="1A52A26D" w14:textId="2F347203" w:rsidR="00231C57" w:rsidRPr="00930653" w:rsidRDefault="00231C57" w:rsidP="004E0BA7">
            <w:pPr>
              <w:pStyle w:val="Header"/>
              <w:jc w:val="both"/>
              <w:rPr>
                <w:noProof/>
                <w:sz w:val="22"/>
                <w:szCs w:val="22"/>
                <w:lang w:val="sr-Latn-ME"/>
              </w:rPr>
            </w:pPr>
            <w:r w:rsidRPr="00930653">
              <w:rPr>
                <w:noProof/>
                <w:sz w:val="22"/>
                <w:szCs w:val="22"/>
                <w:lang w:val="sr-Latn-ME"/>
              </w:rPr>
              <w:t>Desloratadin treba prim</w:t>
            </w:r>
            <w:r w:rsidR="00B05405" w:rsidRPr="00930653">
              <w:rPr>
                <w:noProof/>
                <w:sz w:val="22"/>
                <w:szCs w:val="22"/>
                <w:lang w:val="sr-Latn-ME"/>
              </w:rPr>
              <w:t>j</w:t>
            </w:r>
            <w:r w:rsidRPr="00930653">
              <w:rPr>
                <w:noProof/>
                <w:sz w:val="22"/>
                <w:szCs w:val="22"/>
                <w:lang w:val="sr-Latn-ME"/>
              </w:rPr>
              <w:t xml:space="preserve">enjivati sa oprezom kod pacijenata </w:t>
            </w:r>
            <w:r w:rsidR="00010AF3">
              <w:rPr>
                <w:noProof/>
                <w:sz w:val="22"/>
                <w:szCs w:val="22"/>
                <w:lang w:val="sr-Latn-ME"/>
              </w:rPr>
              <w:t xml:space="preserve">koji </w:t>
            </w:r>
            <w:r w:rsidRPr="00930653">
              <w:rPr>
                <w:noProof/>
                <w:sz w:val="22"/>
                <w:szCs w:val="22"/>
                <w:lang w:val="sr-Latn-ME"/>
              </w:rPr>
              <w:t>u ličnoj ili porodičnoj anamnezi</w:t>
            </w:r>
            <w:r w:rsidR="00010AF3">
              <w:rPr>
                <w:noProof/>
                <w:sz w:val="22"/>
                <w:szCs w:val="22"/>
                <w:lang w:val="sr-Latn-ME"/>
              </w:rPr>
              <w:t xml:space="preserve"> imaju zabilježene slučajeve konvulzija</w:t>
            </w:r>
            <w:r w:rsidRPr="00930653">
              <w:rPr>
                <w:noProof/>
                <w:sz w:val="22"/>
                <w:szCs w:val="22"/>
                <w:lang w:val="sr-Latn-ME"/>
              </w:rPr>
              <w:t>, posebno kod male djece</w:t>
            </w:r>
            <w:r w:rsidR="008D4776" w:rsidRPr="00930653">
              <w:rPr>
                <w:noProof/>
                <w:sz w:val="22"/>
                <w:szCs w:val="22"/>
                <w:lang w:val="sr-Latn-ME"/>
              </w:rPr>
              <w:t xml:space="preserve"> (vid</w:t>
            </w:r>
            <w:r w:rsidR="003A3014" w:rsidRPr="00930653">
              <w:rPr>
                <w:noProof/>
                <w:sz w:val="22"/>
                <w:szCs w:val="22"/>
                <w:lang w:val="sr-Latn-ME"/>
              </w:rPr>
              <w:t>j</w:t>
            </w:r>
            <w:r w:rsidR="008D4776" w:rsidRPr="00930653">
              <w:rPr>
                <w:noProof/>
                <w:sz w:val="22"/>
                <w:szCs w:val="22"/>
                <w:lang w:val="sr-Latn-ME"/>
              </w:rPr>
              <w:t xml:space="preserve">eti </w:t>
            </w:r>
            <w:r w:rsidR="000D41F5" w:rsidRPr="00930653">
              <w:rPr>
                <w:noProof/>
                <w:sz w:val="22"/>
                <w:szCs w:val="22"/>
                <w:lang w:val="sr-Latn-ME"/>
              </w:rPr>
              <w:t>dio</w:t>
            </w:r>
            <w:r w:rsidR="008D4776" w:rsidRPr="00930653">
              <w:rPr>
                <w:noProof/>
                <w:sz w:val="22"/>
                <w:szCs w:val="22"/>
                <w:lang w:val="sr-Latn-ME"/>
              </w:rPr>
              <w:t xml:space="preserve"> 4.8)</w:t>
            </w:r>
            <w:r w:rsidRPr="00930653">
              <w:rPr>
                <w:noProof/>
                <w:sz w:val="22"/>
                <w:szCs w:val="22"/>
                <w:lang w:val="sr-Latn-ME"/>
              </w:rPr>
              <w:t xml:space="preserve">, </w:t>
            </w:r>
            <w:r w:rsidR="00010AF3">
              <w:rPr>
                <w:noProof/>
                <w:sz w:val="22"/>
                <w:szCs w:val="22"/>
                <w:lang w:val="sr-Latn-ME"/>
              </w:rPr>
              <w:t>s obzirom da</w:t>
            </w:r>
            <w:r w:rsidRPr="00930653">
              <w:rPr>
                <w:noProof/>
                <w:sz w:val="22"/>
                <w:szCs w:val="22"/>
                <w:lang w:val="sr-Latn-ME"/>
              </w:rPr>
              <w:t xml:space="preserve"> su </w:t>
            </w:r>
            <w:r w:rsidR="008C61ED" w:rsidRPr="00930653">
              <w:rPr>
                <w:noProof/>
                <w:sz w:val="22"/>
                <w:szCs w:val="22"/>
                <w:lang w:val="sr-Latn-ME"/>
              </w:rPr>
              <w:t>podložnija</w:t>
            </w:r>
            <w:r w:rsidRPr="00930653">
              <w:rPr>
                <w:noProof/>
                <w:sz w:val="22"/>
                <w:szCs w:val="22"/>
                <w:lang w:val="sr-Latn-ME"/>
              </w:rPr>
              <w:t xml:space="preserve"> </w:t>
            </w:r>
            <w:r w:rsidR="00010AF3">
              <w:rPr>
                <w:noProof/>
                <w:sz w:val="22"/>
                <w:szCs w:val="22"/>
                <w:lang w:val="sr-Latn-ME"/>
              </w:rPr>
              <w:t xml:space="preserve">nastanku konvulzija tokom terapije </w:t>
            </w:r>
            <w:r w:rsidRPr="00930653">
              <w:rPr>
                <w:noProof/>
                <w:sz w:val="22"/>
                <w:szCs w:val="22"/>
                <w:lang w:val="sr-Latn-ME"/>
              </w:rPr>
              <w:t xml:space="preserve">desloratadinom. </w:t>
            </w:r>
            <w:r w:rsidR="00010AF3">
              <w:rPr>
                <w:noProof/>
                <w:sz w:val="22"/>
                <w:szCs w:val="22"/>
                <w:lang w:val="sr-Latn-ME"/>
              </w:rPr>
              <w:t>Ljekar</w:t>
            </w:r>
            <w:r w:rsidRPr="00930653">
              <w:rPr>
                <w:noProof/>
                <w:sz w:val="22"/>
                <w:szCs w:val="22"/>
                <w:lang w:val="sr-Latn-ME"/>
              </w:rPr>
              <w:t xml:space="preserve"> mo</w:t>
            </w:r>
            <w:r w:rsidR="00010AF3">
              <w:rPr>
                <w:noProof/>
                <w:sz w:val="22"/>
                <w:szCs w:val="22"/>
                <w:lang w:val="sr-Latn-ME"/>
              </w:rPr>
              <w:t>že</w:t>
            </w:r>
            <w:r w:rsidRPr="00930653">
              <w:rPr>
                <w:noProof/>
                <w:sz w:val="22"/>
                <w:szCs w:val="22"/>
                <w:lang w:val="sr-Latn-ME"/>
              </w:rPr>
              <w:t xml:space="preserve"> razmotriti prekid primjene desloratadina kod pacijenata kod kojih se za vrijeme liječenja pojave </w:t>
            </w:r>
            <w:r w:rsidR="00010AF3">
              <w:rPr>
                <w:noProof/>
                <w:sz w:val="22"/>
                <w:szCs w:val="22"/>
                <w:lang w:val="sr-Latn-ME"/>
              </w:rPr>
              <w:t>konvulzije</w:t>
            </w:r>
            <w:r w:rsidRPr="00930653">
              <w:rPr>
                <w:noProof/>
                <w:sz w:val="22"/>
                <w:szCs w:val="22"/>
                <w:lang w:val="sr-Latn-ME"/>
              </w:rPr>
              <w:t>.</w:t>
            </w:r>
          </w:p>
          <w:p w14:paraId="6F2DDF1A" w14:textId="77777777" w:rsidR="00C60DA8" w:rsidRPr="00930653" w:rsidRDefault="00C60DA8" w:rsidP="00287B29">
            <w:pPr>
              <w:spacing w:after="160" w:line="259" w:lineRule="auto"/>
              <w:jc w:val="both"/>
              <w:rPr>
                <w:rFonts w:eastAsia="Calibri"/>
                <w:sz w:val="22"/>
                <w:szCs w:val="22"/>
                <w:u w:val="single"/>
                <w:lang w:val="sr-Latn-ME"/>
              </w:rPr>
            </w:pPr>
          </w:p>
          <w:p w14:paraId="4DD4C86E" w14:textId="77777777" w:rsidR="00E67508" w:rsidRPr="00930653" w:rsidRDefault="004E0BA7" w:rsidP="00406B9C">
            <w:pPr>
              <w:spacing w:after="160" w:line="259" w:lineRule="auto"/>
              <w:jc w:val="both"/>
              <w:rPr>
                <w:rFonts w:eastAsia="Calibri"/>
                <w:sz w:val="22"/>
                <w:szCs w:val="22"/>
                <w:u w:val="single"/>
                <w:lang w:val="sr-Latn-ME"/>
              </w:rPr>
            </w:pPr>
            <w:r w:rsidRPr="00930653">
              <w:rPr>
                <w:rFonts w:eastAsia="Calibri"/>
                <w:sz w:val="22"/>
                <w:szCs w:val="22"/>
                <w:u w:val="single"/>
                <w:lang w:val="sr-Latn-ME"/>
              </w:rPr>
              <w:t xml:space="preserve">Lijek </w:t>
            </w:r>
            <w:r w:rsidR="00E67508" w:rsidRPr="00930653">
              <w:rPr>
                <w:rFonts w:eastAsia="Calibri"/>
                <w:sz w:val="22"/>
                <w:szCs w:val="22"/>
                <w:u w:val="single"/>
                <w:lang w:val="sr-Latn-ME"/>
              </w:rPr>
              <w:t>Aerius oralni rastvor sadrži sorbitol (E420)</w:t>
            </w:r>
            <w:r w:rsidRPr="00930653">
              <w:rPr>
                <w:rFonts w:eastAsia="Calibri"/>
                <w:sz w:val="22"/>
                <w:szCs w:val="22"/>
                <w:u w:val="single"/>
                <w:lang w:val="sr-Latn-ME"/>
              </w:rPr>
              <w:t>.</w:t>
            </w:r>
          </w:p>
          <w:p w14:paraId="7719F1A9" w14:textId="77777777" w:rsidR="00E67508" w:rsidRPr="00930653" w:rsidRDefault="00E67508" w:rsidP="000C656C">
            <w:pPr>
              <w:spacing w:after="160" w:line="259" w:lineRule="auto"/>
              <w:jc w:val="both"/>
              <w:rPr>
                <w:rFonts w:eastAsia="Calibri"/>
                <w:sz w:val="22"/>
                <w:szCs w:val="22"/>
                <w:lang w:val="sr-Latn-ME"/>
              </w:rPr>
            </w:pPr>
            <w:r w:rsidRPr="00930653">
              <w:rPr>
                <w:rFonts w:eastAsia="Calibri"/>
                <w:sz w:val="22"/>
                <w:szCs w:val="22"/>
                <w:lang w:val="sr-Latn-ME"/>
              </w:rPr>
              <w:t>Ovaj lijek sadrži 150 mg sorbitola (E420) u jednom mililitru oralnog rastvora.</w:t>
            </w:r>
          </w:p>
          <w:p w14:paraId="3958C819" w14:textId="77777777" w:rsidR="00E67508" w:rsidRPr="00930653" w:rsidRDefault="00E67508" w:rsidP="00D57C3F">
            <w:pPr>
              <w:spacing w:line="259" w:lineRule="auto"/>
              <w:jc w:val="both"/>
              <w:rPr>
                <w:rFonts w:eastAsia="Calibri"/>
                <w:sz w:val="22"/>
                <w:szCs w:val="22"/>
                <w:lang w:val="sr-Latn-ME"/>
              </w:rPr>
            </w:pPr>
            <w:r w:rsidRPr="00930653">
              <w:rPr>
                <w:rFonts w:eastAsia="Calibri"/>
                <w:sz w:val="22"/>
                <w:szCs w:val="22"/>
                <w:lang w:val="sr-Latn-ME"/>
              </w:rPr>
              <w:t>Treba uzeti u obzir aditivni efekat istovremeno prim</w:t>
            </w:r>
            <w:r w:rsidR="005C28F6" w:rsidRPr="00930653">
              <w:rPr>
                <w:rFonts w:eastAsia="Calibri"/>
                <w:sz w:val="22"/>
                <w:szCs w:val="22"/>
                <w:lang w:val="sr-Latn-ME"/>
              </w:rPr>
              <w:t>i</w:t>
            </w:r>
            <w:r w:rsidRPr="00930653">
              <w:rPr>
                <w:rFonts w:eastAsia="Calibri"/>
                <w:sz w:val="22"/>
                <w:szCs w:val="22"/>
                <w:lang w:val="sr-Latn-ME"/>
              </w:rPr>
              <w:t>jenjenih ljekova koji sadrže sorbitol (E420) (ili fruktozu) i unošenje sorbitola (E420) (ili fruktoze) ishranom. Sadržaj sorbitola (E420) u l</w:t>
            </w:r>
            <w:r w:rsidR="005C28F6" w:rsidRPr="00930653">
              <w:rPr>
                <w:rFonts w:eastAsia="Calibri"/>
                <w:sz w:val="22"/>
                <w:szCs w:val="22"/>
                <w:lang w:val="sr-Latn-ME"/>
              </w:rPr>
              <w:t>j</w:t>
            </w:r>
            <w:r w:rsidRPr="00930653">
              <w:rPr>
                <w:rFonts w:eastAsia="Calibri"/>
                <w:sz w:val="22"/>
                <w:szCs w:val="22"/>
                <w:lang w:val="sr-Latn-ME"/>
              </w:rPr>
              <w:t>ekovima za oralnu prim</w:t>
            </w:r>
            <w:r w:rsidR="005C28F6" w:rsidRPr="00930653">
              <w:rPr>
                <w:rFonts w:eastAsia="Calibri"/>
                <w:sz w:val="22"/>
                <w:szCs w:val="22"/>
                <w:lang w:val="sr-Latn-ME"/>
              </w:rPr>
              <w:t>j</w:t>
            </w:r>
            <w:r w:rsidRPr="00930653">
              <w:rPr>
                <w:rFonts w:eastAsia="Calibri"/>
                <w:sz w:val="22"/>
                <w:szCs w:val="22"/>
                <w:lang w:val="sr-Latn-ME"/>
              </w:rPr>
              <w:t>enu može uticati na bioraspoloživost drugih istovremeno prim</w:t>
            </w:r>
            <w:r w:rsidR="005C28F6" w:rsidRPr="00930653">
              <w:rPr>
                <w:rFonts w:eastAsia="Calibri"/>
                <w:sz w:val="22"/>
                <w:szCs w:val="22"/>
                <w:lang w:val="sr-Latn-ME"/>
              </w:rPr>
              <w:t>ij</w:t>
            </w:r>
            <w:r w:rsidRPr="00930653">
              <w:rPr>
                <w:rFonts w:eastAsia="Calibri"/>
                <w:sz w:val="22"/>
                <w:szCs w:val="22"/>
                <w:lang w:val="sr-Latn-ME"/>
              </w:rPr>
              <w:t>enjenih l</w:t>
            </w:r>
            <w:r w:rsidR="005C28F6" w:rsidRPr="00930653">
              <w:rPr>
                <w:rFonts w:eastAsia="Calibri"/>
                <w:sz w:val="22"/>
                <w:szCs w:val="22"/>
                <w:lang w:val="sr-Latn-ME"/>
              </w:rPr>
              <w:t>j</w:t>
            </w:r>
            <w:r w:rsidRPr="00930653">
              <w:rPr>
                <w:rFonts w:eastAsia="Calibri"/>
                <w:sz w:val="22"/>
                <w:szCs w:val="22"/>
                <w:lang w:val="sr-Latn-ME"/>
              </w:rPr>
              <w:t>ekova za oralnu prim</w:t>
            </w:r>
            <w:r w:rsidR="005C28F6" w:rsidRPr="00930653">
              <w:rPr>
                <w:rFonts w:eastAsia="Calibri"/>
                <w:sz w:val="22"/>
                <w:szCs w:val="22"/>
                <w:lang w:val="sr-Latn-ME"/>
              </w:rPr>
              <w:t>j</w:t>
            </w:r>
            <w:r w:rsidRPr="00930653">
              <w:rPr>
                <w:rFonts w:eastAsia="Calibri"/>
                <w:sz w:val="22"/>
                <w:szCs w:val="22"/>
                <w:lang w:val="sr-Latn-ME"/>
              </w:rPr>
              <w:t>enu.</w:t>
            </w:r>
          </w:p>
          <w:p w14:paraId="1E01298C" w14:textId="77777777" w:rsidR="00E67508" w:rsidRPr="00930653" w:rsidRDefault="00E67508" w:rsidP="00AF04BB">
            <w:pPr>
              <w:spacing w:line="259" w:lineRule="auto"/>
              <w:jc w:val="both"/>
              <w:rPr>
                <w:rFonts w:eastAsia="Calibri"/>
                <w:sz w:val="22"/>
                <w:szCs w:val="22"/>
                <w:lang w:val="sr-Latn-ME"/>
              </w:rPr>
            </w:pPr>
          </w:p>
          <w:p w14:paraId="2DA397C2" w14:textId="77777777" w:rsidR="00E67508" w:rsidRPr="00930653" w:rsidRDefault="00E67508" w:rsidP="008C62CF">
            <w:pPr>
              <w:spacing w:line="259" w:lineRule="auto"/>
              <w:jc w:val="both"/>
              <w:rPr>
                <w:rFonts w:eastAsia="Calibri"/>
                <w:sz w:val="22"/>
                <w:szCs w:val="22"/>
                <w:lang w:val="sr-Latn-ME"/>
              </w:rPr>
            </w:pPr>
            <w:r w:rsidRPr="00930653">
              <w:rPr>
                <w:rFonts w:eastAsia="Calibri"/>
                <w:sz w:val="22"/>
                <w:szCs w:val="22"/>
                <w:lang w:val="sr-Latn-ME"/>
              </w:rPr>
              <w:t>Sorbitol je izvor fruktoze; pacijenti sa nasl</w:t>
            </w:r>
            <w:r w:rsidR="007F2243" w:rsidRPr="00930653">
              <w:rPr>
                <w:rFonts w:eastAsia="Calibri"/>
                <w:sz w:val="22"/>
                <w:szCs w:val="22"/>
                <w:lang w:val="sr-Latn-ME"/>
              </w:rPr>
              <w:t>j</w:t>
            </w:r>
            <w:r w:rsidRPr="00930653">
              <w:rPr>
                <w:rFonts w:eastAsia="Calibri"/>
                <w:sz w:val="22"/>
                <w:szCs w:val="22"/>
                <w:lang w:val="sr-Latn-ME"/>
              </w:rPr>
              <w:t>ednom intolerancijom na fruktozu ne smiju koristiti ovaj lijek.</w:t>
            </w:r>
          </w:p>
          <w:p w14:paraId="7801B448" w14:textId="77777777" w:rsidR="00E67508" w:rsidRPr="00930653" w:rsidRDefault="00E67508" w:rsidP="008C62CF">
            <w:pPr>
              <w:spacing w:line="259" w:lineRule="auto"/>
              <w:jc w:val="both"/>
              <w:rPr>
                <w:rFonts w:eastAsia="Calibri"/>
                <w:sz w:val="22"/>
                <w:szCs w:val="22"/>
                <w:u w:val="single"/>
                <w:lang w:val="sr-Latn-ME"/>
              </w:rPr>
            </w:pPr>
          </w:p>
          <w:p w14:paraId="746E20F2" w14:textId="77777777" w:rsidR="00E67508" w:rsidRPr="00930653" w:rsidRDefault="004E0BA7" w:rsidP="008C62CF">
            <w:pPr>
              <w:spacing w:line="259" w:lineRule="auto"/>
              <w:jc w:val="both"/>
              <w:rPr>
                <w:rFonts w:eastAsia="Calibri"/>
                <w:sz w:val="22"/>
                <w:szCs w:val="22"/>
                <w:u w:val="single"/>
                <w:lang w:val="sr-Latn-ME"/>
              </w:rPr>
            </w:pPr>
            <w:r w:rsidRPr="00930653">
              <w:rPr>
                <w:rFonts w:eastAsia="Calibri"/>
                <w:sz w:val="22"/>
                <w:szCs w:val="22"/>
                <w:u w:val="single"/>
                <w:lang w:val="sr-Latn-ME"/>
              </w:rPr>
              <w:t xml:space="preserve">Lijek </w:t>
            </w:r>
            <w:r w:rsidR="00E67508" w:rsidRPr="00930653">
              <w:rPr>
                <w:rFonts w:eastAsia="Calibri"/>
                <w:sz w:val="22"/>
                <w:szCs w:val="22"/>
                <w:u w:val="single"/>
                <w:lang w:val="sr-Latn-ME"/>
              </w:rPr>
              <w:t>Aerius oralni rastvor sadrži propilen</w:t>
            </w:r>
            <w:r w:rsidR="00A865B5">
              <w:rPr>
                <w:rFonts w:eastAsia="Calibri"/>
                <w:sz w:val="22"/>
                <w:szCs w:val="22"/>
                <w:u w:val="single"/>
                <w:lang w:val="sr-Latn-ME"/>
              </w:rPr>
              <w:t xml:space="preserve"> </w:t>
            </w:r>
            <w:r w:rsidR="00E67508" w:rsidRPr="00930653">
              <w:rPr>
                <w:rFonts w:eastAsia="Calibri"/>
                <w:sz w:val="22"/>
                <w:szCs w:val="22"/>
                <w:u w:val="single"/>
                <w:lang w:val="sr-Latn-ME"/>
              </w:rPr>
              <w:t>glikol (E1520)</w:t>
            </w:r>
            <w:r w:rsidRPr="00930653">
              <w:rPr>
                <w:rFonts w:eastAsia="Calibri"/>
                <w:sz w:val="22"/>
                <w:szCs w:val="22"/>
                <w:u w:val="single"/>
                <w:lang w:val="sr-Latn-ME"/>
              </w:rPr>
              <w:t>.</w:t>
            </w:r>
          </w:p>
          <w:p w14:paraId="3FF2C83E" w14:textId="1B85C54E" w:rsidR="00E67508" w:rsidRPr="00930653" w:rsidRDefault="00E67508" w:rsidP="008C62CF">
            <w:pPr>
              <w:spacing w:after="160" w:line="259" w:lineRule="auto"/>
              <w:ind w:left="720" w:hanging="720"/>
              <w:jc w:val="both"/>
              <w:rPr>
                <w:rFonts w:eastAsia="Calibri"/>
                <w:sz w:val="22"/>
                <w:szCs w:val="22"/>
                <w:lang w:val="sr-Latn-ME"/>
              </w:rPr>
            </w:pPr>
            <w:r w:rsidRPr="00930653">
              <w:rPr>
                <w:rFonts w:eastAsia="Calibri"/>
                <w:sz w:val="22"/>
                <w:szCs w:val="22"/>
                <w:lang w:val="sr-Latn-ME"/>
              </w:rPr>
              <w:t>Ovaj lijek sadrži 100,</w:t>
            </w:r>
            <w:r w:rsidR="00566CBC">
              <w:rPr>
                <w:rFonts w:eastAsia="Calibri"/>
                <w:sz w:val="22"/>
                <w:szCs w:val="22"/>
                <w:lang w:val="sr-Latn-ME"/>
              </w:rPr>
              <w:t>19</w:t>
            </w:r>
            <w:r w:rsidR="00566CBC" w:rsidRPr="00930653">
              <w:rPr>
                <w:rFonts w:eastAsia="Calibri"/>
                <w:sz w:val="22"/>
                <w:szCs w:val="22"/>
                <w:lang w:val="sr-Latn-ME"/>
              </w:rPr>
              <w:t xml:space="preserve"> </w:t>
            </w:r>
            <w:r w:rsidRPr="00930653">
              <w:rPr>
                <w:rFonts w:eastAsia="Calibri"/>
                <w:sz w:val="22"/>
                <w:szCs w:val="22"/>
                <w:lang w:val="sr-Latn-ME"/>
              </w:rPr>
              <w:t>mg propilenglikola (E1520) u jednom mililitru oralnog rastvora.</w:t>
            </w:r>
          </w:p>
          <w:p w14:paraId="5FF8D4C1" w14:textId="77777777" w:rsidR="00E67508" w:rsidRPr="00930653" w:rsidRDefault="004E0BA7" w:rsidP="00DE1E1E">
            <w:pPr>
              <w:spacing w:line="259" w:lineRule="auto"/>
              <w:jc w:val="both"/>
              <w:rPr>
                <w:rFonts w:eastAsia="Calibri"/>
                <w:sz w:val="22"/>
                <w:szCs w:val="22"/>
                <w:u w:val="single"/>
                <w:lang w:val="sr-Latn-ME"/>
              </w:rPr>
            </w:pPr>
            <w:r w:rsidRPr="00930653">
              <w:rPr>
                <w:rFonts w:eastAsia="Calibri"/>
                <w:sz w:val="22"/>
                <w:szCs w:val="22"/>
                <w:u w:val="single"/>
                <w:lang w:val="sr-Latn-ME"/>
              </w:rPr>
              <w:t xml:space="preserve">Lijek </w:t>
            </w:r>
            <w:r w:rsidR="00E67508" w:rsidRPr="00930653">
              <w:rPr>
                <w:rFonts w:eastAsia="Calibri"/>
                <w:sz w:val="22"/>
                <w:szCs w:val="22"/>
                <w:u w:val="single"/>
                <w:lang w:val="sr-Latn-ME"/>
              </w:rPr>
              <w:t>Aerius oralni rastvor sadrži natrijum</w:t>
            </w:r>
            <w:r w:rsidRPr="00930653">
              <w:rPr>
                <w:rFonts w:eastAsia="Calibri"/>
                <w:sz w:val="22"/>
                <w:szCs w:val="22"/>
                <w:u w:val="single"/>
                <w:lang w:val="sr-Latn-ME"/>
              </w:rPr>
              <w:t>.</w:t>
            </w:r>
          </w:p>
          <w:p w14:paraId="6806CEF8" w14:textId="328EF085" w:rsidR="00E67508" w:rsidRPr="00930653" w:rsidRDefault="00E67508" w:rsidP="00BA2ABD">
            <w:pPr>
              <w:spacing w:line="259" w:lineRule="auto"/>
              <w:jc w:val="both"/>
              <w:rPr>
                <w:rFonts w:eastAsia="Calibri"/>
                <w:sz w:val="22"/>
                <w:szCs w:val="22"/>
                <w:lang w:val="sr-Latn-ME"/>
              </w:rPr>
            </w:pPr>
            <w:r w:rsidRPr="00930653">
              <w:rPr>
                <w:rFonts w:eastAsia="Calibri"/>
                <w:sz w:val="22"/>
                <w:szCs w:val="22"/>
                <w:lang w:val="sr-Latn-ME"/>
              </w:rPr>
              <w:t>Ovaj l</w:t>
            </w:r>
            <w:r w:rsidR="007F2243" w:rsidRPr="00930653">
              <w:rPr>
                <w:rFonts w:eastAsia="Calibri"/>
                <w:sz w:val="22"/>
                <w:szCs w:val="22"/>
                <w:lang w:val="sr-Latn-ME"/>
              </w:rPr>
              <w:t>ij</w:t>
            </w:r>
            <w:r w:rsidRPr="00930653">
              <w:rPr>
                <w:rFonts w:eastAsia="Calibri"/>
                <w:sz w:val="22"/>
                <w:szCs w:val="22"/>
                <w:lang w:val="sr-Latn-ME"/>
              </w:rPr>
              <w:t xml:space="preserve">ek sadrži manje od 1 mmol (23 mg) natrijuma po dozi, tj. </w:t>
            </w:r>
            <w:r w:rsidR="008B3413" w:rsidRPr="008B3413">
              <w:rPr>
                <w:rFonts w:eastAsia="Calibri"/>
                <w:sz w:val="22"/>
                <w:szCs w:val="22"/>
                <w:lang w:val="sr-Latn-ME"/>
              </w:rPr>
              <w:t>suštinki je „bez natrijuma”</w:t>
            </w:r>
            <w:r w:rsidRPr="00930653">
              <w:rPr>
                <w:rFonts w:eastAsia="Calibri"/>
                <w:sz w:val="22"/>
                <w:szCs w:val="22"/>
                <w:lang w:val="sr-Latn-ME"/>
              </w:rPr>
              <w:t>.</w:t>
            </w:r>
          </w:p>
          <w:p w14:paraId="683EFEA5" w14:textId="77777777" w:rsidR="00E67508" w:rsidRPr="00930653" w:rsidRDefault="00E67508" w:rsidP="0097600C">
            <w:pPr>
              <w:spacing w:line="259" w:lineRule="auto"/>
              <w:jc w:val="both"/>
              <w:rPr>
                <w:rFonts w:eastAsia="Calibri"/>
                <w:sz w:val="22"/>
                <w:szCs w:val="22"/>
                <w:lang w:val="sr-Latn-ME"/>
              </w:rPr>
            </w:pPr>
          </w:p>
          <w:p w14:paraId="53BBF820" w14:textId="77777777" w:rsidR="00E67508" w:rsidRPr="00930653" w:rsidRDefault="004E0BA7" w:rsidP="005F4218">
            <w:pPr>
              <w:spacing w:line="259" w:lineRule="auto"/>
              <w:jc w:val="both"/>
              <w:rPr>
                <w:rFonts w:eastAsia="Calibri"/>
                <w:sz w:val="22"/>
                <w:szCs w:val="22"/>
                <w:u w:val="single"/>
                <w:lang w:val="sr-Latn-ME"/>
              </w:rPr>
            </w:pPr>
            <w:r w:rsidRPr="00930653">
              <w:rPr>
                <w:rFonts w:eastAsia="Calibri"/>
                <w:sz w:val="22"/>
                <w:szCs w:val="22"/>
                <w:u w:val="single"/>
                <w:lang w:val="sr-Latn-ME"/>
              </w:rPr>
              <w:t xml:space="preserve">Lijek </w:t>
            </w:r>
            <w:r w:rsidR="00E67508" w:rsidRPr="00930653">
              <w:rPr>
                <w:rFonts w:eastAsia="Calibri"/>
                <w:sz w:val="22"/>
                <w:szCs w:val="22"/>
                <w:u w:val="single"/>
                <w:lang w:val="sr-Latn-ME"/>
              </w:rPr>
              <w:t>Aerius oralni rastvor sadrži benzil</w:t>
            </w:r>
            <w:r w:rsidRPr="00930653">
              <w:rPr>
                <w:rFonts w:eastAsia="Calibri"/>
                <w:sz w:val="22"/>
                <w:szCs w:val="22"/>
                <w:u w:val="single"/>
                <w:lang w:val="sr-Latn-ME"/>
              </w:rPr>
              <w:t xml:space="preserve"> </w:t>
            </w:r>
            <w:r w:rsidR="00E67508" w:rsidRPr="00930653">
              <w:rPr>
                <w:rFonts w:eastAsia="Calibri"/>
                <w:sz w:val="22"/>
                <w:szCs w:val="22"/>
                <w:u w:val="single"/>
                <w:lang w:val="sr-Latn-ME"/>
              </w:rPr>
              <w:t>alkohol</w:t>
            </w:r>
            <w:r w:rsidRPr="00930653">
              <w:rPr>
                <w:rFonts w:eastAsia="Calibri"/>
                <w:sz w:val="22"/>
                <w:szCs w:val="22"/>
                <w:u w:val="single"/>
                <w:lang w:val="sr-Latn-ME"/>
              </w:rPr>
              <w:t>.</w:t>
            </w:r>
          </w:p>
          <w:p w14:paraId="6D2ACAF3" w14:textId="793B76DE" w:rsidR="00E67508" w:rsidRPr="00930653" w:rsidRDefault="00E67508" w:rsidP="005F4218">
            <w:pPr>
              <w:spacing w:line="259" w:lineRule="auto"/>
              <w:jc w:val="both"/>
              <w:rPr>
                <w:rFonts w:eastAsia="Calibri"/>
                <w:sz w:val="22"/>
                <w:szCs w:val="22"/>
                <w:lang w:val="sr-Latn-ME"/>
              </w:rPr>
            </w:pPr>
            <w:r w:rsidRPr="00930653">
              <w:rPr>
                <w:rFonts w:eastAsia="Calibri"/>
                <w:sz w:val="22"/>
                <w:szCs w:val="22"/>
                <w:lang w:val="sr-Latn-ME"/>
              </w:rPr>
              <w:t>Ovaj l</w:t>
            </w:r>
            <w:r w:rsidR="007F2243" w:rsidRPr="00930653">
              <w:rPr>
                <w:rFonts w:eastAsia="Calibri"/>
                <w:sz w:val="22"/>
                <w:szCs w:val="22"/>
                <w:lang w:val="sr-Latn-ME"/>
              </w:rPr>
              <w:t>ij</w:t>
            </w:r>
            <w:r w:rsidRPr="00930653">
              <w:rPr>
                <w:rFonts w:eastAsia="Calibri"/>
                <w:sz w:val="22"/>
                <w:szCs w:val="22"/>
                <w:lang w:val="sr-Latn-ME"/>
              </w:rPr>
              <w:t>ek sadrži 0,</w:t>
            </w:r>
            <w:r w:rsidR="00566CBC">
              <w:rPr>
                <w:rFonts w:eastAsia="Calibri"/>
                <w:sz w:val="22"/>
                <w:szCs w:val="22"/>
                <w:lang w:val="sr-Latn-ME"/>
              </w:rPr>
              <w:t>3</w:t>
            </w:r>
            <w:r w:rsidRPr="00930653">
              <w:rPr>
                <w:rFonts w:eastAsia="Calibri"/>
                <w:sz w:val="22"/>
                <w:szCs w:val="22"/>
                <w:lang w:val="sr-Latn-ME"/>
              </w:rPr>
              <w:t>75 mg benzil</w:t>
            </w:r>
            <w:r w:rsidR="004E0BA7" w:rsidRPr="00930653">
              <w:rPr>
                <w:rFonts w:eastAsia="Calibri"/>
                <w:sz w:val="22"/>
                <w:szCs w:val="22"/>
                <w:lang w:val="sr-Latn-ME"/>
              </w:rPr>
              <w:t xml:space="preserve"> </w:t>
            </w:r>
            <w:r w:rsidRPr="00930653">
              <w:rPr>
                <w:rFonts w:eastAsia="Calibri"/>
                <w:sz w:val="22"/>
                <w:szCs w:val="22"/>
                <w:lang w:val="sr-Latn-ME"/>
              </w:rPr>
              <w:t>alkohola u jednom mililitru oralnog rastvora.</w:t>
            </w:r>
          </w:p>
          <w:p w14:paraId="1DB8B8A0" w14:textId="77777777" w:rsidR="00E67508" w:rsidRPr="00930653" w:rsidRDefault="00E67508" w:rsidP="002B5077">
            <w:pPr>
              <w:spacing w:line="259" w:lineRule="auto"/>
              <w:jc w:val="both"/>
              <w:rPr>
                <w:rFonts w:eastAsia="Calibri"/>
                <w:sz w:val="22"/>
                <w:szCs w:val="22"/>
                <w:lang w:val="sr-Latn-ME"/>
              </w:rPr>
            </w:pPr>
          </w:p>
          <w:p w14:paraId="528F9EC7" w14:textId="77777777" w:rsidR="00E67508" w:rsidRPr="00930653" w:rsidRDefault="00E67508" w:rsidP="002B5077">
            <w:pPr>
              <w:spacing w:line="259" w:lineRule="auto"/>
              <w:jc w:val="both"/>
              <w:rPr>
                <w:rFonts w:eastAsia="Calibri"/>
                <w:sz w:val="22"/>
                <w:szCs w:val="22"/>
                <w:lang w:val="sr-Latn-ME"/>
              </w:rPr>
            </w:pPr>
            <w:r w:rsidRPr="00930653">
              <w:rPr>
                <w:rFonts w:eastAsia="Calibri"/>
                <w:sz w:val="22"/>
                <w:szCs w:val="22"/>
                <w:lang w:val="sr-Latn-ME"/>
              </w:rPr>
              <w:t>Benzil alkohol može uzrokovati anafilaktoidne reakcije.</w:t>
            </w:r>
          </w:p>
          <w:p w14:paraId="6ACB0B29" w14:textId="77777777" w:rsidR="00E67508" w:rsidRPr="00930653" w:rsidRDefault="00E67508" w:rsidP="00930653">
            <w:pPr>
              <w:spacing w:line="259" w:lineRule="auto"/>
              <w:jc w:val="both"/>
              <w:rPr>
                <w:rFonts w:eastAsia="Calibri"/>
                <w:sz w:val="22"/>
                <w:szCs w:val="22"/>
                <w:lang w:val="sr-Latn-ME"/>
              </w:rPr>
            </w:pPr>
          </w:p>
          <w:p w14:paraId="0A78200E" w14:textId="77777777" w:rsidR="00E67508" w:rsidRPr="00930653" w:rsidRDefault="00E67508" w:rsidP="00930653">
            <w:pPr>
              <w:spacing w:after="160" w:line="259" w:lineRule="auto"/>
              <w:jc w:val="both"/>
              <w:rPr>
                <w:rFonts w:eastAsia="Calibri"/>
                <w:sz w:val="22"/>
                <w:szCs w:val="22"/>
                <w:lang w:val="sr-Latn-ME"/>
              </w:rPr>
            </w:pPr>
            <w:r w:rsidRPr="00930653">
              <w:rPr>
                <w:rFonts w:eastAsia="Calibri"/>
                <w:sz w:val="22"/>
                <w:szCs w:val="22"/>
                <w:lang w:val="sr-Latn-ME"/>
              </w:rPr>
              <w:t>Povećani rizik zbog akumulacije kod mlađe djece. Nije preporučljivo koristiti duže od nedjelju dana kod mlađe djece (mlađe od 3 godine).</w:t>
            </w:r>
          </w:p>
          <w:p w14:paraId="3D726BD0" w14:textId="77777777" w:rsidR="002102CB" w:rsidRPr="00930653" w:rsidRDefault="00E67508" w:rsidP="00930653">
            <w:pPr>
              <w:spacing w:after="160" w:line="259" w:lineRule="auto"/>
              <w:jc w:val="both"/>
              <w:rPr>
                <w:sz w:val="22"/>
                <w:szCs w:val="22"/>
                <w:lang w:val="sr-Latn-ME"/>
              </w:rPr>
            </w:pPr>
            <w:r w:rsidRPr="00930653">
              <w:rPr>
                <w:rFonts w:eastAsia="Calibri"/>
                <w:sz w:val="22"/>
                <w:szCs w:val="22"/>
                <w:lang w:val="sr-Latn-ME"/>
              </w:rPr>
              <w:t>Velike zapremine lijeka treba prim</w:t>
            </w:r>
            <w:r w:rsidR="007F2243" w:rsidRPr="00930653">
              <w:rPr>
                <w:rFonts w:eastAsia="Calibri"/>
                <w:sz w:val="22"/>
                <w:szCs w:val="22"/>
                <w:lang w:val="sr-Latn-ME"/>
              </w:rPr>
              <w:t>j</w:t>
            </w:r>
            <w:r w:rsidRPr="00930653">
              <w:rPr>
                <w:rFonts w:eastAsia="Calibri"/>
                <w:sz w:val="22"/>
                <w:szCs w:val="22"/>
                <w:lang w:val="sr-Latn-ME"/>
              </w:rPr>
              <w:t>enjivati sa oprezom i samo ukoliko je neophodno, naročito kod osoba sa oštećenjem funkcije jetre ili bubrega</w:t>
            </w:r>
            <w:r w:rsidR="004E0BA7" w:rsidRPr="00930653">
              <w:rPr>
                <w:rFonts w:eastAsia="Calibri"/>
                <w:sz w:val="22"/>
                <w:szCs w:val="22"/>
                <w:lang w:val="sr-Latn-ME"/>
              </w:rPr>
              <w:t>,</w:t>
            </w:r>
            <w:r w:rsidRPr="00930653">
              <w:rPr>
                <w:rFonts w:eastAsia="Calibri"/>
                <w:sz w:val="22"/>
                <w:szCs w:val="22"/>
                <w:lang w:val="sr-Latn-ME"/>
              </w:rPr>
              <w:t xml:space="preserve"> zbog rizika od akumulacije i toksičnosti (metabolička acidoza).</w:t>
            </w:r>
          </w:p>
          <w:p w14:paraId="699EE346" w14:textId="77777777" w:rsidR="002102CB" w:rsidRPr="00930653" w:rsidRDefault="00FA3D5F" w:rsidP="0097600C">
            <w:pPr>
              <w:jc w:val="both"/>
              <w:rPr>
                <w:sz w:val="22"/>
                <w:szCs w:val="22"/>
                <w:u w:val="single"/>
                <w:lang w:val="sr-Latn-ME"/>
              </w:rPr>
            </w:pPr>
            <w:r w:rsidRPr="00930653">
              <w:rPr>
                <w:sz w:val="22"/>
                <w:szCs w:val="22"/>
                <w:u w:val="single"/>
                <w:lang w:val="sr-Latn-ME"/>
              </w:rPr>
              <w:lastRenderedPageBreak/>
              <w:t>Pedijatrijska populacija</w:t>
            </w:r>
          </w:p>
          <w:p w14:paraId="0F81F708" w14:textId="77777777" w:rsidR="002102CB" w:rsidRPr="00930653" w:rsidRDefault="002102CB" w:rsidP="005F4218">
            <w:pPr>
              <w:jc w:val="both"/>
              <w:rPr>
                <w:sz w:val="22"/>
                <w:szCs w:val="22"/>
                <w:lang w:val="sr-Latn-ME"/>
              </w:rPr>
            </w:pPr>
            <w:r w:rsidRPr="00930653">
              <w:rPr>
                <w:sz w:val="22"/>
                <w:szCs w:val="22"/>
                <w:lang w:val="sr-Latn-ME"/>
              </w:rPr>
              <w:t>Kod djece mlađe od 2 godine, dijagnozu alergijskog rinitisa je veoma teško razlikovati od ostalih oblika rinitisa. Odsustvo infekcija gornjih puteva respiratornog trakta ili strukturne abnormalnosti</w:t>
            </w:r>
            <w:r w:rsidR="00A60C4C" w:rsidRPr="00930653">
              <w:rPr>
                <w:sz w:val="22"/>
                <w:szCs w:val="22"/>
                <w:lang w:val="sr-Latn-ME"/>
              </w:rPr>
              <w:t>, kao i istorija bolesti pa</w:t>
            </w:r>
            <w:r w:rsidR="00930653">
              <w:rPr>
                <w:sz w:val="22"/>
                <w:szCs w:val="22"/>
                <w:lang w:val="sr-Latn-ME"/>
              </w:rPr>
              <w:t>c</w:t>
            </w:r>
            <w:r w:rsidR="00A60C4C" w:rsidRPr="00930653">
              <w:rPr>
                <w:sz w:val="22"/>
                <w:szCs w:val="22"/>
                <w:lang w:val="sr-Latn-ME"/>
              </w:rPr>
              <w:t>ijenta</w:t>
            </w:r>
            <w:r w:rsidRPr="00930653">
              <w:rPr>
                <w:sz w:val="22"/>
                <w:szCs w:val="22"/>
                <w:lang w:val="sr-Latn-ME"/>
              </w:rPr>
              <w:t>, ljekarski pregled, i odgovarajući laboratorijski testovi i kožne probe se moraju uzeti u obzir.</w:t>
            </w:r>
          </w:p>
          <w:p w14:paraId="07EEB864" w14:textId="77777777" w:rsidR="002102CB" w:rsidRPr="00930653" w:rsidRDefault="002102CB" w:rsidP="005F4218">
            <w:pPr>
              <w:jc w:val="both"/>
              <w:rPr>
                <w:sz w:val="22"/>
                <w:szCs w:val="22"/>
                <w:lang w:val="sr-Latn-ME"/>
              </w:rPr>
            </w:pPr>
          </w:p>
          <w:p w14:paraId="6C247691" w14:textId="0A06AA32" w:rsidR="002102CB" w:rsidRPr="00930653" w:rsidRDefault="002102CB" w:rsidP="002B5077">
            <w:pPr>
              <w:jc w:val="both"/>
              <w:rPr>
                <w:sz w:val="22"/>
                <w:szCs w:val="22"/>
                <w:lang w:val="sr-Latn-ME"/>
              </w:rPr>
            </w:pPr>
            <w:r w:rsidRPr="00930653">
              <w:rPr>
                <w:sz w:val="22"/>
                <w:szCs w:val="22"/>
                <w:lang w:val="sr-Latn-ME"/>
              </w:rPr>
              <w:t>U prosjeku</w:t>
            </w:r>
            <w:r w:rsidR="004E0BA7" w:rsidRPr="00930653">
              <w:rPr>
                <w:sz w:val="22"/>
                <w:szCs w:val="22"/>
                <w:lang w:val="sr-Latn-ME"/>
              </w:rPr>
              <w:t>,</w:t>
            </w:r>
            <w:r w:rsidRPr="00930653">
              <w:rPr>
                <w:sz w:val="22"/>
                <w:szCs w:val="22"/>
                <w:lang w:val="sr-Latn-ME"/>
              </w:rPr>
              <w:t xml:space="preserve"> 6% odraslih i djece uzrasta od 2 do 11 godina su fenotipski spori metabolizeri desloratadina i pokazuju veću izloženost lijeku (vidjeti </w:t>
            </w:r>
            <w:r w:rsidR="000D41F5" w:rsidRPr="00930653">
              <w:rPr>
                <w:sz w:val="22"/>
                <w:szCs w:val="22"/>
                <w:lang w:val="sr-Latn-ME"/>
              </w:rPr>
              <w:t>dio</w:t>
            </w:r>
            <w:r w:rsidRPr="00930653">
              <w:rPr>
                <w:sz w:val="22"/>
                <w:szCs w:val="22"/>
                <w:lang w:val="sr-Latn-ME"/>
              </w:rPr>
              <w:t xml:space="preserve"> 5.2). Bezbjednost primjene desloratadina kod djece uzrasta od 2 do 11 godina a koja su spori metabolizeri je istovjetna sa primjenom kod djece koja su normalni metabolizeri. Dejstvo desloratadina kod djece mlađe od 2 godine a koja su spori metabolizeri nije još ispitivana.</w:t>
            </w:r>
          </w:p>
          <w:p w14:paraId="4DE59941" w14:textId="77777777" w:rsidR="002102CB" w:rsidRPr="00930653" w:rsidRDefault="002102CB" w:rsidP="00930653">
            <w:pPr>
              <w:pStyle w:val="Header"/>
              <w:tabs>
                <w:tab w:val="left" w:pos="284"/>
              </w:tabs>
              <w:jc w:val="both"/>
              <w:rPr>
                <w:sz w:val="22"/>
                <w:szCs w:val="22"/>
                <w:lang w:val="sr-Latn-ME"/>
              </w:rPr>
            </w:pPr>
          </w:p>
        </w:tc>
      </w:tr>
      <w:tr w:rsidR="002102CB" w:rsidRPr="00A731F9" w14:paraId="59099128" w14:textId="77777777" w:rsidTr="007F2243">
        <w:tc>
          <w:tcPr>
            <w:tcW w:w="9810" w:type="dxa"/>
            <w:gridSpan w:val="3"/>
            <w:vAlign w:val="center"/>
          </w:tcPr>
          <w:p w14:paraId="1D36C3FD" w14:textId="77777777" w:rsidR="002102CB" w:rsidRPr="00930653" w:rsidRDefault="002102CB" w:rsidP="005C28F6">
            <w:pPr>
              <w:pStyle w:val="Header"/>
              <w:tabs>
                <w:tab w:val="left" w:pos="284"/>
              </w:tabs>
              <w:spacing w:before="80" w:after="80"/>
              <w:jc w:val="both"/>
              <w:rPr>
                <w:b/>
                <w:bCs/>
                <w:sz w:val="22"/>
                <w:szCs w:val="22"/>
                <w:lang w:val="sr-Latn-ME"/>
              </w:rPr>
            </w:pPr>
            <w:r w:rsidRPr="00930653">
              <w:rPr>
                <w:b/>
                <w:bCs/>
                <w:sz w:val="22"/>
                <w:szCs w:val="22"/>
                <w:lang w:val="sr-Latn-ME"/>
              </w:rPr>
              <w:lastRenderedPageBreak/>
              <w:t>4.5. Interakcije sa drugim ljekovima i druge vrste interakcija</w:t>
            </w:r>
          </w:p>
        </w:tc>
      </w:tr>
      <w:tr w:rsidR="002102CB" w:rsidRPr="00A731F9" w14:paraId="6AAB7EF1" w14:textId="77777777" w:rsidTr="007F2243">
        <w:trPr>
          <w:trHeight w:val="1800"/>
        </w:trPr>
        <w:tc>
          <w:tcPr>
            <w:tcW w:w="9810" w:type="dxa"/>
            <w:gridSpan w:val="3"/>
            <w:vAlign w:val="center"/>
          </w:tcPr>
          <w:p w14:paraId="5F1299F9" w14:textId="77777777" w:rsidR="002102CB" w:rsidRPr="00930653" w:rsidRDefault="002102CB" w:rsidP="005C28F6">
            <w:pPr>
              <w:jc w:val="both"/>
              <w:rPr>
                <w:sz w:val="22"/>
                <w:szCs w:val="22"/>
                <w:lang w:val="sr-Latn-ME"/>
              </w:rPr>
            </w:pPr>
          </w:p>
          <w:p w14:paraId="67A9DB9E" w14:textId="3CBBF01E" w:rsidR="002102CB" w:rsidRPr="00930653" w:rsidRDefault="002102CB" w:rsidP="00007378">
            <w:pPr>
              <w:jc w:val="both"/>
              <w:rPr>
                <w:sz w:val="22"/>
                <w:szCs w:val="22"/>
                <w:lang w:val="sr-Latn-ME"/>
              </w:rPr>
            </w:pPr>
            <w:r w:rsidRPr="00930653">
              <w:rPr>
                <w:sz w:val="22"/>
                <w:szCs w:val="22"/>
                <w:lang w:val="sr-Latn-ME"/>
              </w:rPr>
              <w:t xml:space="preserve">Nijesu zapažene klinički značajne interakcije u kliničkim ispitivanjima istovremene primjene </w:t>
            </w:r>
            <w:r w:rsidR="00710AF0" w:rsidRPr="00930653">
              <w:rPr>
                <w:sz w:val="22"/>
                <w:szCs w:val="22"/>
                <w:lang w:val="sr-Latn-ME"/>
              </w:rPr>
              <w:t>desloratadin</w:t>
            </w:r>
            <w:r w:rsidR="00010AF3">
              <w:rPr>
                <w:sz w:val="22"/>
                <w:szCs w:val="22"/>
                <w:lang w:val="sr-Latn-ME"/>
              </w:rPr>
              <w:t>a u obliku</w:t>
            </w:r>
            <w:r w:rsidR="00710AF0" w:rsidRPr="00930653">
              <w:rPr>
                <w:sz w:val="22"/>
                <w:szCs w:val="22"/>
                <w:lang w:val="sr-Latn-ME"/>
              </w:rPr>
              <w:t xml:space="preserve"> </w:t>
            </w:r>
            <w:r w:rsidRPr="00930653">
              <w:rPr>
                <w:sz w:val="22"/>
                <w:szCs w:val="22"/>
                <w:lang w:val="sr-Latn-ME"/>
              </w:rPr>
              <w:t xml:space="preserve">tableta sa eritomicinom ili ketokonazolom (vidjeti </w:t>
            </w:r>
            <w:r w:rsidR="000D41F5" w:rsidRPr="00930653">
              <w:rPr>
                <w:sz w:val="22"/>
                <w:szCs w:val="22"/>
                <w:lang w:val="sr-Latn-ME"/>
              </w:rPr>
              <w:t>dio</w:t>
            </w:r>
            <w:r w:rsidRPr="00930653">
              <w:rPr>
                <w:sz w:val="22"/>
                <w:szCs w:val="22"/>
                <w:lang w:val="sr-Latn-ME"/>
              </w:rPr>
              <w:t xml:space="preserve"> 5.1).</w:t>
            </w:r>
          </w:p>
          <w:p w14:paraId="7A5B2765" w14:textId="77777777" w:rsidR="002102CB" w:rsidRPr="00930653" w:rsidRDefault="002102CB" w:rsidP="004E0BA7">
            <w:pPr>
              <w:jc w:val="both"/>
              <w:rPr>
                <w:sz w:val="22"/>
                <w:szCs w:val="22"/>
                <w:lang w:val="sr-Latn-ME"/>
              </w:rPr>
            </w:pPr>
          </w:p>
          <w:p w14:paraId="16033638" w14:textId="77777777" w:rsidR="00FA3D5F" w:rsidRPr="00930653" w:rsidRDefault="00FA3D5F" w:rsidP="004E0BA7">
            <w:pPr>
              <w:jc w:val="both"/>
              <w:rPr>
                <w:sz w:val="22"/>
                <w:szCs w:val="22"/>
                <w:lang w:val="sr-Latn-ME"/>
              </w:rPr>
            </w:pPr>
            <w:r w:rsidRPr="00930653">
              <w:rPr>
                <w:sz w:val="22"/>
                <w:szCs w:val="22"/>
                <w:u w:val="single"/>
                <w:lang w:val="sr-Latn-ME"/>
              </w:rPr>
              <w:t>Pedijatrijska populacija</w:t>
            </w:r>
          </w:p>
          <w:p w14:paraId="1443C4CF" w14:textId="77777777" w:rsidR="00FA3D5F" w:rsidRPr="00930653" w:rsidRDefault="00FA3D5F" w:rsidP="004E0BA7">
            <w:pPr>
              <w:jc w:val="both"/>
              <w:rPr>
                <w:sz w:val="22"/>
                <w:szCs w:val="22"/>
                <w:lang w:val="sr-Latn-ME"/>
              </w:rPr>
            </w:pPr>
            <w:r w:rsidRPr="00930653">
              <w:rPr>
                <w:sz w:val="22"/>
                <w:szCs w:val="22"/>
                <w:lang w:val="sr-Latn-ME"/>
              </w:rPr>
              <w:t>Studije interakcija su sprovedene samo na odraslima.</w:t>
            </w:r>
          </w:p>
          <w:p w14:paraId="06E1F119" w14:textId="77777777" w:rsidR="00FA3D5F" w:rsidRPr="00930653" w:rsidRDefault="00FA3D5F" w:rsidP="00F72506">
            <w:pPr>
              <w:jc w:val="both"/>
              <w:rPr>
                <w:sz w:val="22"/>
                <w:szCs w:val="22"/>
                <w:lang w:val="sr-Latn-ME"/>
              </w:rPr>
            </w:pPr>
          </w:p>
          <w:p w14:paraId="24EB12E4" w14:textId="31269859" w:rsidR="002102CB" w:rsidRPr="00930653" w:rsidRDefault="002102CB" w:rsidP="00287B29">
            <w:pPr>
              <w:jc w:val="both"/>
              <w:rPr>
                <w:sz w:val="22"/>
                <w:szCs w:val="22"/>
                <w:lang w:val="sr-Latn-ME"/>
              </w:rPr>
            </w:pPr>
            <w:r w:rsidRPr="00930653">
              <w:rPr>
                <w:sz w:val="22"/>
                <w:szCs w:val="22"/>
                <w:lang w:val="sr-Latn-ME"/>
              </w:rPr>
              <w:t>U kliničko</w:t>
            </w:r>
            <w:r w:rsidR="00BE670C">
              <w:rPr>
                <w:sz w:val="22"/>
                <w:szCs w:val="22"/>
                <w:lang w:val="sr-Latn-ME"/>
              </w:rPr>
              <w:t>j studiji u kojoj su</w:t>
            </w:r>
            <w:r w:rsidRPr="00930653">
              <w:rPr>
                <w:sz w:val="22"/>
                <w:szCs w:val="22"/>
                <w:lang w:val="sr-Latn-ME"/>
              </w:rPr>
              <w:t xml:space="preserve"> </w:t>
            </w:r>
            <w:r w:rsidR="00E75E4D">
              <w:rPr>
                <w:sz w:val="22"/>
                <w:szCs w:val="22"/>
                <w:lang w:val="sr-Latn-ME"/>
              </w:rPr>
              <w:t xml:space="preserve">lijek </w:t>
            </w:r>
            <w:r w:rsidRPr="00930653">
              <w:rPr>
                <w:sz w:val="22"/>
                <w:szCs w:val="22"/>
                <w:lang w:val="sr-Latn-ME"/>
              </w:rPr>
              <w:t xml:space="preserve">Aerius tablete </w:t>
            </w:r>
            <w:r w:rsidR="007F2243" w:rsidRPr="00930653">
              <w:rPr>
                <w:sz w:val="22"/>
                <w:szCs w:val="22"/>
                <w:lang w:val="sr-Latn-ME"/>
              </w:rPr>
              <w:t xml:space="preserve">primijenjene </w:t>
            </w:r>
            <w:r w:rsidRPr="00930653">
              <w:rPr>
                <w:sz w:val="22"/>
                <w:szCs w:val="22"/>
                <w:lang w:val="sr-Latn-ME"/>
              </w:rPr>
              <w:t xml:space="preserve">istovremeno sa alkoholom nije </w:t>
            </w:r>
            <w:r w:rsidR="00BE670C">
              <w:rPr>
                <w:sz w:val="22"/>
                <w:szCs w:val="22"/>
                <w:lang w:val="sr-Latn-ME"/>
              </w:rPr>
              <w:t>zapaženo potenciranje negativnih dejstava</w:t>
            </w:r>
            <w:r w:rsidRPr="00930653">
              <w:rPr>
                <w:sz w:val="22"/>
                <w:szCs w:val="22"/>
                <w:lang w:val="sr-Latn-ME"/>
              </w:rPr>
              <w:t xml:space="preserve"> alkohola (vidjeti </w:t>
            </w:r>
            <w:r w:rsidR="000D41F5" w:rsidRPr="00930653">
              <w:rPr>
                <w:sz w:val="22"/>
                <w:szCs w:val="22"/>
                <w:lang w:val="sr-Latn-ME"/>
              </w:rPr>
              <w:t>dio</w:t>
            </w:r>
            <w:r w:rsidRPr="00930653">
              <w:rPr>
                <w:sz w:val="22"/>
                <w:szCs w:val="22"/>
                <w:lang w:val="sr-Latn-ME"/>
              </w:rPr>
              <w:t xml:space="preserve"> 5.1).</w:t>
            </w:r>
            <w:r w:rsidR="00FA3D5F" w:rsidRPr="00930653">
              <w:rPr>
                <w:sz w:val="22"/>
                <w:szCs w:val="22"/>
                <w:lang w:val="sr-Latn-ME"/>
              </w:rPr>
              <w:t xml:space="preserve"> Međutim, tokom postmarketinške upotrebe, prijavljeni su slučajevi </w:t>
            </w:r>
            <w:r w:rsidR="00E75E4D">
              <w:rPr>
                <w:sz w:val="22"/>
                <w:szCs w:val="22"/>
                <w:lang w:val="sr-Latn-ME"/>
              </w:rPr>
              <w:t>in</w:t>
            </w:r>
            <w:r w:rsidR="00FA3D5F" w:rsidRPr="00930653">
              <w:rPr>
                <w:sz w:val="22"/>
                <w:szCs w:val="22"/>
                <w:lang w:val="sr-Latn-ME"/>
              </w:rPr>
              <w:t xml:space="preserve">tolerancije i </w:t>
            </w:r>
            <w:r w:rsidR="00010AF3">
              <w:rPr>
                <w:sz w:val="22"/>
                <w:szCs w:val="22"/>
                <w:lang w:val="sr-Latn-ME"/>
              </w:rPr>
              <w:t>intoksikacije alkoholom</w:t>
            </w:r>
            <w:r w:rsidR="00FA3D5F" w:rsidRPr="00930653">
              <w:rPr>
                <w:sz w:val="22"/>
                <w:szCs w:val="22"/>
                <w:lang w:val="sr-Latn-ME"/>
              </w:rPr>
              <w:t xml:space="preserve">. </w:t>
            </w:r>
            <w:r w:rsidR="00010AF3">
              <w:rPr>
                <w:sz w:val="22"/>
                <w:szCs w:val="22"/>
                <w:lang w:val="sr-Latn-ME"/>
              </w:rPr>
              <w:t>Zbog toga</w:t>
            </w:r>
            <w:r w:rsidR="00010AF3" w:rsidRPr="00930653">
              <w:rPr>
                <w:sz w:val="22"/>
                <w:szCs w:val="22"/>
                <w:lang w:val="sr-Latn-ME"/>
              </w:rPr>
              <w:t xml:space="preserve"> </w:t>
            </w:r>
            <w:r w:rsidR="00FA3D5F" w:rsidRPr="00930653">
              <w:rPr>
                <w:sz w:val="22"/>
                <w:szCs w:val="22"/>
                <w:lang w:val="sr-Latn-ME"/>
              </w:rPr>
              <w:t>se sav</w:t>
            </w:r>
            <w:r w:rsidR="007F2243" w:rsidRPr="00930653">
              <w:rPr>
                <w:sz w:val="22"/>
                <w:szCs w:val="22"/>
                <w:lang w:val="sr-Latn-ME"/>
              </w:rPr>
              <w:t>j</w:t>
            </w:r>
            <w:r w:rsidR="00FA3D5F" w:rsidRPr="00930653">
              <w:rPr>
                <w:sz w:val="22"/>
                <w:szCs w:val="22"/>
                <w:lang w:val="sr-Latn-ME"/>
              </w:rPr>
              <w:t>etuje poseban oprez ukoliko se lijek upotrebljava istovremeno sa alkoholom.</w:t>
            </w:r>
          </w:p>
          <w:p w14:paraId="69408141" w14:textId="77777777" w:rsidR="002102CB" w:rsidRPr="00930653" w:rsidRDefault="002102CB" w:rsidP="00406B9C">
            <w:pPr>
              <w:jc w:val="both"/>
              <w:rPr>
                <w:sz w:val="22"/>
                <w:szCs w:val="22"/>
                <w:lang w:val="sr-Latn-ME"/>
              </w:rPr>
            </w:pPr>
          </w:p>
        </w:tc>
      </w:tr>
      <w:tr w:rsidR="002102CB" w:rsidRPr="00930653" w14:paraId="24CCBD59" w14:textId="77777777" w:rsidTr="007F2243">
        <w:tc>
          <w:tcPr>
            <w:tcW w:w="9810" w:type="dxa"/>
            <w:gridSpan w:val="3"/>
            <w:vAlign w:val="center"/>
          </w:tcPr>
          <w:p w14:paraId="5031C5B5" w14:textId="77777777" w:rsidR="002102CB" w:rsidRPr="00930653" w:rsidRDefault="002102CB" w:rsidP="005C28F6">
            <w:pPr>
              <w:pStyle w:val="Header"/>
              <w:tabs>
                <w:tab w:val="left" w:pos="284"/>
              </w:tabs>
              <w:spacing w:before="80" w:after="80"/>
              <w:jc w:val="both"/>
              <w:rPr>
                <w:b/>
                <w:sz w:val="22"/>
                <w:szCs w:val="22"/>
                <w:lang w:val="sr-Latn-ME"/>
              </w:rPr>
            </w:pPr>
            <w:r w:rsidRPr="00930653">
              <w:rPr>
                <w:b/>
                <w:bCs/>
                <w:sz w:val="22"/>
                <w:szCs w:val="22"/>
                <w:lang w:val="sr-Latn-ME"/>
              </w:rPr>
              <w:t xml:space="preserve">4.6. </w:t>
            </w:r>
            <w:r w:rsidR="0019381F" w:rsidRPr="00930653">
              <w:rPr>
                <w:b/>
                <w:sz w:val="22"/>
                <w:szCs w:val="22"/>
                <w:lang w:val="sr-Latn-ME"/>
              </w:rPr>
              <w:t>Plodnost, trudnoća i dojenje</w:t>
            </w:r>
          </w:p>
          <w:p w14:paraId="3A608B4C" w14:textId="77777777" w:rsidR="0019381F" w:rsidRPr="00930653" w:rsidRDefault="0019381F" w:rsidP="00E75E4D">
            <w:pPr>
              <w:jc w:val="both"/>
              <w:rPr>
                <w:sz w:val="22"/>
                <w:szCs w:val="22"/>
                <w:lang w:val="sr-Latn-ME"/>
              </w:rPr>
            </w:pPr>
          </w:p>
        </w:tc>
      </w:tr>
      <w:tr w:rsidR="002102CB" w:rsidRPr="00A731F9" w14:paraId="2CC0A52C" w14:textId="77777777" w:rsidTr="007F2243">
        <w:trPr>
          <w:trHeight w:val="1524"/>
        </w:trPr>
        <w:tc>
          <w:tcPr>
            <w:tcW w:w="9810" w:type="dxa"/>
            <w:gridSpan w:val="3"/>
            <w:vAlign w:val="center"/>
          </w:tcPr>
          <w:p w14:paraId="5D88D7E5" w14:textId="77777777" w:rsidR="00710AF0" w:rsidRPr="00930653" w:rsidRDefault="00710AF0" w:rsidP="00007378">
            <w:pPr>
              <w:pStyle w:val="NoSpacing"/>
              <w:jc w:val="both"/>
              <w:rPr>
                <w:rFonts w:ascii="Times New Roman" w:hAnsi="Times New Roman"/>
                <w:u w:val="single"/>
                <w:lang w:val="sr-Latn-ME"/>
              </w:rPr>
            </w:pPr>
            <w:r w:rsidRPr="00930653">
              <w:rPr>
                <w:rFonts w:ascii="Times New Roman" w:hAnsi="Times New Roman"/>
                <w:u w:val="single"/>
                <w:lang w:val="sr-Latn-ME"/>
              </w:rPr>
              <w:t>Trudnoća</w:t>
            </w:r>
          </w:p>
          <w:p w14:paraId="65CF60DA" w14:textId="1CBF30DD" w:rsidR="002102CB" w:rsidRPr="00930653" w:rsidRDefault="00FA3D5F" w:rsidP="00007378">
            <w:pPr>
              <w:jc w:val="both"/>
              <w:rPr>
                <w:sz w:val="22"/>
                <w:szCs w:val="22"/>
                <w:lang w:val="sr-Latn-ME"/>
              </w:rPr>
            </w:pPr>
            <w:r w:rsidRPr="00930653">
              <w:rPr>
                <w:sz w:val="22"/>
                <w:szCs w:val="22"/>
                <w:lang w:val="sr-Latn-ME"/>
              </w:rPr>
              <w:t xml:space="preserve">Brojni podaci o upotrebi desloratadina kod </w:t>
            </w:r>
            <w:r w:rsidR="00F72506" w:rsidRPr="00930653">
              <w:rPr>
                <w:sz w:val="22"/>
                <w:szCs w:val="22"/>
                <w:lang w:val="sr-Latn-ME"/>
              </w:rPr>
              <w:t xml:space="preserve">trudnica </w:t>
            </w:r>
            <w:r w:rsidRPr="00930653">
              <w:rPr>
                <w:sz w:val="22"/>
                <w:szCs w:val="22"/>
                <w:lang w:val="sr-Latn-ME"/>
              </w:rPr>
              <w:t xml:space="preserve">(više od 1000 </w:t>
            </w:r>
            <w:r w:rsidR="00FA3929">
              <w:rPr>
                <w:sz w:val="22"/>
                <w:szCs w:val="22"/>
                <w:lang w:val="sr-Latn-ME"/>
              </w:rPr>
              <w:t>porođaja</w:t>
            </w:r>
            <w:r w:rsidRPr="00930653">
              <w:rPr>
                <w:sz w:val="22"/>
                <w:szCs w:val="22"/>
                <w:lang w:val="sr-Latn-ME"/>
              </w:rPr>
              <w:t>) ne ukazuju na malformativne niti feto/neonatalne toksične efekte desloratadina</w:t>
            </w:r>
            <w:r w:rsidR="00710AF0" w:rsidRPr="00930653">
              <w:rPr>
                <w:sz w:val="22"/>
                <w:szCs w:val="22"/>
                <w:lang w:val="sr-Latn-ME"/>
              </w:rPr>
              <w:t>. Studije na životinjama ne pokazuju direktni ili indirekti štetni efekat u pogledu reproduktivne toksičnosti (vid</w:t>
            </w:r>
            <w:r w:rsidR="007F2243" w:rsidRPr="00930653">
              <w:rPr>
                <w:sz w:val="22"/>
                <w:szCs w:val="22"/>
                <w:lang w:val="sr-Latn-ME"/>
              </w:rPr>
              <w:t>j</w:t>
            </w:r>
            <w:r w:rsidR="00710AF0" w:rsidRPr="00930653">
              <w:rPr>
                <w:sz w:val="22"/>
                <w:szCs w:val="22"/>
                <w:lang w:val="sr-Latn-ME"/>
              </w:rPr>
              <w:t>eti dio 5.3) Kao m</w:t>
            </w:r>
            <w:r w:rsidR="007F2243" w:rsidRPr="00930653">
              <w:rPr>
                <w:sz w:val="22"/>
                <w:szCs w:val="22"/>
                <w:lang w:val="sr-Latn-ME"/>
              </w:rPr>
              <w:t>j</w:t>
            </w:r>
            <w:r w:rsidR="00710AF0" w:rsidRPr="00930653">
              <w:rPr>
                <w:sz w:val="22"/>
                <w:szCs w:val="22"/>
                <w:lang w:val="sr-Latn-ME"/>
              </w:rPr>
              <w:t xml:space="preserve">era </w:t>
            </w:r>
            <w:r w:rsidR="00BE670C">
              <w:rPr>
                <w:sz w:val="22"/>
                <w:szCs w:val="22"/>
                <w:lang w:val="sr-Latn-ME"/>
              </w:rPr>
              <w:t>predostrožnosti</w:t>
            </w:r>
            <w:r w:rsidR="00710AF0" w:rsidRPr="00930653">
              <w:rPr>
                <w:sz w:val="22"/>
                <w:szCs w:val="22"/>
                <w:lang w:val="sr-Latn-ME"/>
              </w:rPr>
              <w:t>, preporučuje</w:t>
            </w:r>
            <w:r w:rsidR="00BE670C">
              <w:rPr>
                <w:sz w:val="22"/>
                <w:szCs w:val="22"/>
                <w:lang w:val="sr-Latn-ME"/>
              </w:rPr>
              <w:t xml:space="preserve"> se izbegavanje upotrebe lijeka Aerius</w:t>
            </w:r>
            <w:r w:rsidR="00710AF0" w:rsidRPr="00930653">
              <w:rPr>
                <w:sz w:val="22"/>
                <w:szCs w:val="22"/>
                <w:lang w:val="sr-Latn-ME"/>
              </w:rPr>
              <w:t xml:space="preserve"> tokom trudnoće.</w:t>
            </w:r>
          </w:p>
          <w:p w14:paraId="5FC38447" w14:textId="77777777" w:rsidR="002102CB" w:rsidRPr="00930653" w:rsidRDefault="002102CB" w:rsidP="004E0BA7">
            <w:pPr>
              <w:jc w:val="both"/>
              <w:rPr>
                <w:sz w:val="22"/>
                <w:szCs w:val="22"/>
                <w:lang w:val="sr-Latn-ME"/>
              </w:rPr>
            </w:pPr>
          </w:p>
          <w:p w14:paraId="6AB68603" w14:textId="77777777" w:rsidR="00710AF0" w:rsidRPr="00930653" w:rsidRDefault="00710AF0" w:rsidP="004E0BA7">
            <w:pPr>
              <w:pStyle w:val="NoSpacing"/>
              <w:jc w:val="both"/>
              <w:rPr>
                <w:rFonts w:ascii="Times New Roman" w:hAnsi="Times New Roman"/>
                <w:u w:val="single"/>
                <w:lang w:val="sr-Latn-ME"/>
              </w:rPr>
            </w:pPr>
            <w:r w:rsidRPr="00930653">
              <w:rPr>
                <w:rFonts w:ascii="Times New Roman" w:hAnsi="Times New Roman"/>
                <w:u w:val="single"/>
                <w:lang w:val="sr-Latn-ME"/>
              </w:rPr>
              <w:t>Dojenje</w:t>
            </w:r>
          </w:p>
          <w:p w14:paraId="77400258" w14:textId="77777777" w:rsidR="002102CB" w:rsidRPr="00930653" w:rsidRDefault="00710AF0" w:rsidP="004E0BA7">
            <w:pPr>
              <w:jc w:val="both"/>
              <w:rPr>
                <w:sz w:val="22"/>
                <w:szCs w:val="22"/>
                <w:lang w:val="sr-Latn-ME"/>
              </w:rPr>
            </w:pPr>
            <w:r w:rsidRPr="00930653">
              <w:rPr>
                <w:sz w:val="22"/>
                <w:szCs w:val="22"/>
                <w:lang w:val="sr-Latn-ME"/>
              </w:rPr>
              <w:t xml:space="preserve">Desloratadin je identifikovan kod novorođenčadi i </w:t>
            </w:r>
            <w:r w:rsidR="00D57C3F" w:rsidRPr="00930653">
              <w:rPr>
                <w:sz w:val="22"/>
                <w:szCs w:val="22"/>
                <w:lang w:val="sr-Latn-ME"/>
              </w:rPr>
              <w:t>odojčadi liječenih</w:t>
            </w:r>
            <w:r w:rsidRPr="00930653">
              <w:rPr>
                <w:sz w:val="22"/>
                <w:szCs w:val="22"/>
                <w:lang w:val="sr-Latn-ME"/>
              </w:rPr>
              <w:t xml:space="preserve"> žena. Efekat desloratadina na novorođenčad ili </w:t>
            </w:r>
            <w:r w:rsidR="00D57C3F" w:rsidRPr="00930653">
              <w:rPr>
                <w:sz w:val="22"/>
                <w:szCs w:val="22"/>
                <w:lang w:val="sr-Latn-ME"/>
              </w:rPr>
              <w:t xml:space="preserve">odojčad </w:t>
            </w:r>
            <w:r w:rsidRPr="00930653">
              <w:rPr>
                <w:sz w:val="22"/>
                <w:szCs w:val="22"/>
                <w:lang w:val="sr-Latn-ME"/>
              </w:rPr>
              <w:t>je nepoznat. Odluka da li treba prekinuti sa dojenjem ili terapij</w:t>
            </w:r>
            <w:r w:rsidR="007F2243" w:rsidRPr="00930653">
              <w:rPr>
                <w:sz w:val="22"/>
                <w:szCs w:val="22"/>
                <w:lang w:val="sr-Latn-ME"/>
              </w:rPr>
              <w:t>om</w:t>
            </w:r>
            <w:r w:rsidRPr="00930653">
              <w:rPr>
                <w:sz w:val="22"/>
                <w:szCs w:val="22"/>
                <w:lang w:val="sr-Latn-ME"/>
              </w:rPr>
              <w:t xml:space="preserve"> l</w:t>
            </w:r>
            <w:r w:rsidR="0070554C" w:rsidRPr="00930653">
              <w:rPr>
                <w:sz w:val="22"/>
                <w:szCs w:val="22"/>
                <w:lang w:val="sr-Latn-ME"/>
              </w:rPr>
              <w:t>ij</w:t>
            </w:r>
            <w:r w:rsidRPr="00930653">
              <w:rPr>
                <w:sz w:val="22"/>
                <w:szCs w:val="22"/>
                <w:lang w:val="sr-Latn-ME"/>
              </w:rPr>
              <w:t>ekom Aerius mora se don</w:t>
            </w:r>
            <w:r w:rsidR="007F2243" w:rsidRPr="00930653">
              <w:rPr>
                <w:sz w:val="22"/>
                <w:szCs w:val="22"/>
                <w:lang w:val="sr-Latn-ME"/>
              </w:rPr>
              <w:t>ij</w:t>
            </w:r>
            <w:r w:rsidRPr="00930653">
              <w:rPr>
                <w:sz w:val="22"/>
                <w:szCs w:val="22"/>
                <w:lang w:val="sr-Latn-ME"/>
              </w:rPr>
              <w:t>eti nakon proc</w:t>
            </w:r>
            <w:r w:rsidR="0070554C" w:rsidRPr="00930653">
              <w:rPr>
                <w:sz w:val="22"/>
                <w:szCs w:val="22"/>
                <w:lang w:val="sr-Latn-ME"/>
              </w:rPr>
              <w:t>j</w:t>
            </w:r>
            <w:r w:rsidRPr="00930653">
              <w:rPr>
                <w:sz w:val="22"/>
                <w:szCs w:val="22"/>
                <w:lang w:val="sr-Latn-ME"/>
              </w:rPr>
              <w:t>ene koristi dojenja za d</w:t>
            </w:r>
            <w:r w:rsidR="004E0BA7" w:rsidRPr="00930653">
              <w:rPr>
                <w:sz w:val="22"/>
                <w:szCs w:val="22"/>
                <w:lang w:val="sr-Latn-ME"/>
              </w:rPr>
              <w:t>i</w:t>
            </w:r>
            <w:r w:rsidR="0070554C" w:rsidRPr="00930653">
              <w:rPr>
                <w:sz w:val="22"/>
                <w:szCs w:val="22"/>
                <w:lang w:val="sr-Latn-ME"/>
              </w:rPr>
              <w:t>j</w:t>
            </w:r>
            <w:r w:rsidRPr="00930653">
              <w:rPr>
                <w:sz w:val="22"/>
                <w:szCs w:val="22"/>
                <w:lang w:val="sr-Latn-ME"/>
              </w:rPr>
              <w:t>ete i koristi terapije l</w:t>
            </w:r>
            <w:r w:rsidR="0070554C" w:rsidRPr="00930653">
              <w:rPr>
                <w:sz w:val="22"/>
                <w:szCs w:val="22"/>
                <w:lang w:val="sr-Latn-ME"/>
              </w:rPr>
              <w:t>ij</w:t>
            </w:r>
            <w:r w:rsidRPr="00930653">
              <w:rPr>
                <w:sz w:val="22"/>
                <w:szCs w:val="22"/>
                <w:lang w:val="sr-Latn-ME"/>
              </w:rPr>
              <w:t>ekom Aerius za ženu</w:t>
            </w:r>
            <w:r w:rsidR="0070554C" w:rsidRPr="00930653">
              <w:rPr>
                <w:sz w:val="22"/>
                <w:szCs w:val="22"/>
                <w:lang w:val="sr-Latn-ME"/>
              </w:rPr>
              <w:t>.</w:t>
            </w:r>
          </w:p>
          <w:p w14:paraId="6DA6E154" w14:textId="77777777" w:rsidR="0070554C" w:rsidRDefault="0070554C" w:rsidP="00F72506">
            <w:pPr>
              <w:jc w:val="both"/>
              <w:rPr>
                <w:sz w:val="22"/>
                <w:szCs w:val="22"/>
                <w:lang w:val="sr-Latn-ME"/>
              </w:rPr>
            </w:pPr>
          </w:p>
          <w:p w14:paraId="361F3AFE" w14:textId="77777777" w:rsidR="00E75E4D" w:rsidRPr="00930653" w:rsidRDefault="00E75E4D" w:rsidP="00E75E4D">
            <w:pPr>
              <w:jc w:val="both"/>
              <w:rPr>
                <w:sz w:val="22"/>
                <w:szCs w:val="22"/>
                <w:u w:val="single"/>
                <w:lang w:val="sr-Latn-ME"/>
              </w:rPr>
            </w:pPr>
            <w:r w:rsidRPr="00930653">
              <w:rPr>
                <w:sz w:val="22"/>
                <w:szCs w:val="22"/>
                <w:u w:val="single"/>
                <w:lang w:val="sr-Latn-ME"/>
              </w:rPr>
              <w:t>Plodnost</w:t>
            </w:r>
          </w:p>
          <w:p w14:paraId="6726F644" w14:textId="77777777" w:rsidR="00E75E4D" w:rsidRPr="00930653" w:rsidRDefault="00E75E4D" w:rsidP="00E75E4D">
            <w:pPr>
              <w:jc w:val="both"/>
              <w:rPr>
                <w:sz w:val="22"/>
                <w:szCs w:val="22"/>
                <w:lang w:val="sr-Latn-ME"/>
              </w:rPr>
            </w:pPr>
            <w:r w:rsidRPr="00930653">
              <w:rPr>
                <w:sz w:val="22"/>
                <w:szCs w:val="22"/>
                <w:lang w:val="sr-Latn-ME"/>
              </w:rPr>
              <w:t>Nijesu dostupni podaci o uticaju lijeka na plodnost kod muškaraca i žena.</w:t>
            </w:r>
          </w:p>
          <w:p w14:paraId="5CC2804B" w14:textId="77777777" w:rsidR="00E75E4D" w:rsidRPr="00930653" w:rsidRDefault="00E75E4D" w:rsidP="00F72506">
            <w:pPr>
              <w:jc w:val="both"/>
              <w:rPr>
                <w:sz w:val="22"/>
                <w:szCs w:val="22"/>
                <w:lang w:val="sr-Latn-ME"/>
              </w:rPr>
            </w:pPr>
          </w:p>
        </w:tc>
      </w:tr>
      <w:tr w:rsidR="002102CB" w:rsidRPr="00A731F9" w14:paraId="4BB62E97" w14:textId="77777777" w:rsidTr="007F2243">
        <w:tc>
          <w:tcPr>
            <w:tcW w:w="9810" w:type="dxa"/>
            <w:gridSpan w:val="3"/>
            <w:vAlign w:val="center"/>
          </w:tcPr>
          <w:p w14:paraId="758D6059" w14:textId="77777777" w:rsidR="002102CB" w:rsidRPr="00930653" w:rsidRDefault="002102CB" w:rsidP="00007378">
            <w:pPr>
              <w:pStyle w:val="Header"/>
              <w:tabs>
                <w:tab w:val="left" w:pos="284"/>
              </w:tabs>
              <w:spacing w:before="80" w:after="80"/>
              <w:jc w:val="both"/>
              <w:rPr>
                <w:b/>
                <w:bCs/>
                <w:spacing w:val="-8"/>
                <w:sz w:val="22"/>
                <w:szCs w:val="22"/>
                <w:lang w:val="sr-Latn-ME"/>
              </w:rPr>
            </w:pPr>
            <w:r w:rsidRPr="00930653">
              <w:rPr>
                <w:b/>
                <w:bCs/>
                <w:spacing w:val="-8"/>
                <w:sz w:val="22"/>
                <w:szCs w:val="22"/>
                <w:lang w:val="sr-Latn-ME"/>
              </w:rPr>
              <w:t xml:space="preserve">4.7. Uticaj na </w:t>
            </w:r>
            <w:r w:rsidR="0019381F" w:rsidRPr="00930653">
              <w:rPr>
                <w:b/>
                <w:bCs/>
                <w:sz w:val="22"/>
                <w:szCs w:val="22"/>
                <w:lang w:val="sr-Latn-ME"/>
              </w:rPr>
              <w:t>sposobnost upravljanja vozilima i rukovanje mašinama</w:t>
            </w:r>
          </w:p>
        </w:tc>
      </w:tr>
      <w:tr w:rsidR="002102CB" w:rsidRPr="00A731F9" w14:paraId="2B804821" w14:textId="77777777" w:rsidTr="007F2243">
        <w:trPr>
          <w:trHeight w:val="80"/>
        </w:trPr>
        <w:tc>
          <w:tcPr>
            <w:tcW w:w="9810" w:type="dxa"/>
            <w:gridSpan w:val="3"/>
            <w:vAlign w:val="center"/>
          </w:tcPr>
          <w:p w14:paraId="2726453A" w14:textId="77777777" w:rsidR="002102CB" w:rsidRPr="00930653" w:rsidRDefault="002102CB" w:rsidP="00007378">
            <w:pPr>
              <w:pStyle w:val="Header"/>
              <w:tabs>
                <w:tab w:val="left" w:pos="284"/>
              </w:tabs>
              <w:jc w:val="both"/>
              <w:rPr>
                <w:sz w:val="22"/>
                <w:szCs w:val="22"/>
                <w:lang w:val="sr-Latn-ME"/>
              </w:rPr>
            </w:pPr>
          </w:p>
          <w:p w14:paraId="023A8AE8" w14:textId="77777777" w:rsidR="002102CB" w:rsidRPr="00930653" w:rsidRDefault="0070554C" w:rsidP="004E0BA7">
            <w:pPr>
              <w:pStyle w:val="Header"/>
              <w:tabs>
                <w:tab w:val="left" w:pos="284"/>
              </w:tabs>
              <w:jc w:val="both"/>
              <w:rPr>
                <w:sz w:val="22"/>
                <w:szCs w:val="22"/>
                <w:lang w:val="sr-Latn-ME"/>
              </w:rPr>
            </w:pPr>
            <w:r w:rsidRPr="00930653">
              <w:rPr>
                <w:sz w:val="22"/>
                <w:szCs w:val="22"/>
                <w:lang w:val="sr-Latn-ME"/>
              </w:rPr>
              <w:t xml:space="preserve">Lijek Aerius nema ili ima neznatan uticaj na sposobnosti upravljanja motornim vozilom i rukovanja mašinama, na osnovu rezultata kliničkih studija. Pacijenti </w:t>
            </w:r>
            <w:r w:rsidR="002102CB" w:rsidRPr="00930653">
              <w:rPr>
                <w:sz w:val="22"/>
                <w:szCs w:val="22"/>
                <w:lang w:val="sr-Latn-ME"/>
              </w:rPr>
              <w:t xml:space="preserve">bi trebalo da budu informisani da </w:t>
            </w:r>
            <w:r w:rsidRPr="00930653">
              <w:rPr>
                <w:sz w:val="22"/>
                <w:szCs w:val="22"/>
                <w:lang w:val="sr-Latn-ME"/>
              </w:rPr>
              <w:t>većina ljudi ne</w:t>
            </w:r>
            <w:r w:rsidR="002102CB" w:rsidRPr="00930653">
              <w:rPr>
                <w:sz w:val="22"/>
                <w:szCs w:val="22"/>
                <w:lang w:val="sr-Latn-ME"/>
              </w:rPr>
              <w:t xml:space="preserve"> osjet</w:t>
            </w:r>
            <w:r w:rsidRPr="00930653">
              <w:rPr>
                <w:sz w:val="22"/>
                <w:szCs w:val="22"/>
                <w:lang w:val="sr-Latn-ME"/>
              </w:rPr>
              <w:t>i</w:t>
            </w:r>
            <w:r w:rsidR="002102CB" w:rsidRPr="00930653">
              <w:rPr>
                <w:sz w:val="22"/>
                <w:szCs w:val="22"/>
                <w:lang w:val="sr-Latn-ME"/>
              </w:rPr>
              <w:t xml:space="preserve"> pospanost</w:t>
            </w:r>
            <w:r w:rsidRPr="00930653">
              <w:rPr>
                <w:sz w:val="22"/>
                <w:szCs w:val="22"/>
                <w:lang w:val="sr-Latn-ME"/>
              </w:rPr>
              <w:t>.</w:t>
            </w:r>
          </w:p>
          <w:p w14:paraId="1AEF88AD" w14:textId="77777777" w:rsidR="002102CB" w:rsidRPr="00930653" w:rsidRDefault="0070554C" w:rsidP="004E0BA7">
            <w:pPr>
              <w:pStyle w:val="Header"/>
              <w:tabs>
                <w:tab w:val="left" w:pos="284"/>
              </w:tabs>
              <w:jc w:val="both"/>
              <w:rPr>
                <w:sz w:val="22"/>
                <w:szCs w:val="22"/>
                <w:lang w:val="sr-Latn-ME"/>
              </w:rPr>
            </w:pPr>
            <w:r w:rsidRPr="00930653">
              <w:rPr>
                <w:sz w:val="22"/>
                <w:szCs w:val="22"/>
                <w:lang w:val="sr-Latn-ME"/>
              </w:rPr>
              <w:t>Međutim, kako postoje individualne varijacije u odgovoru na različite ljekove, pacijentima se savetuje da se ne uključuju u aktivnosti koje zaht</w:t>
            </w:r>
            <w:r w:rsidR="007F2243" w:rsidRPr="00930653">
              <w:rPr>
                <w:sz w:val="22"/>
                <w:szCs w:val="22"/>
                <w:lang w:val="sr-Latn-ME"/>
              </w:rPr>
              <w:t>ij</w:t>
            </w:r>
            <w:r w:rsidRPr="00930653">
              <w:rPr>
                <w:sz w:val="22"/>
                <w:szCs w:val="22"/>
                <w:lang w:val="sr-Latn-ME"/>
              </w:rPr>
              <w:t xml:space="preserve">evaju mentalnu budnost, kao što </w:t>
            </w:r>
            <w:r w:rsidR="00D57C3F" w:rsidRPr="00930653">
              <w:rPr>
                <w:sz w:val="22"/>
                <w:szCs w:val="22"/>
                <w:lang w:val="sr-Latn-ME"/>
              </w:rPr>
              <w:t>su</w:t>
            </w:r>
            <w:r w:rsidRPr="00930653">
              <w:rPr>
                <w:sz w:val="22"/>
                <w:szCs w:val="22"/>
                <w:lang w:val="sr-Latn-ME"/>
              </w:rPr>
              <w:t xml:space="preserve"> vožnja automobila ili rukovanje mašinama, dok ne uspostave individualan odgovor na ovaj lijek.</w:t>
            </w:r>
          </w:p>
          <w:p w14:paraId="725B16A2" w14:textId="77777777" w:rsidR="002102CB" w:rsidRPr="00930653" w:rsidRDefault="002102CB" w:rsidP="004E0BA7">
            <w:pPr>
              <w:pStyle w:val="Header"/>
              <w:tabs>
                <w:tab w:val="left" w:pos="284"/>
              </w:tabs>
              <w:jc w:val="both"/>
              <w:rPr>
                <w:sz w:val="22"/>
                <w:szCs w:val="22"/>
                <w:lang w:val="sr-Latn-ME"/>
              </w:rPr>
            </w:pPr>
          </w:p>
        </w:tc>
      </w:tr>
      <w:tr w:rsidR="002102CB" w:rsidRPr="00A731F9" w14:paraId="68AC4D17" w14:textId="77777777" w:rsidTr="00930653">
        <w:trPr>
          <w:trHeight w:val="278"/>
        </w:trPr>
        <w:tc>
          <w:tcPr>
            <w:tcW w:w="9810" w:type="dxa"/>
            <w:gridSpan w:val="3"/>
            <w:vAlign w:val="center"/>
          </w:tcPr>
          <w:p w14:paraId="735BD674" w14:textId="77777777" w:rsidR="002102CB" w:rsidRPr="00930653" w:rsidRDefault="002102CB" w:rsidP="00C60DA8">
            <w:pPr>
              <w:pStyle w:val="Header"/>
              <w:tabs>
                <w:tab w:val="left" w:pos="284"/>
              </w:tabs>
              <w:spacing w:before="80" w:after="80"/>
              <w:jc w:val="both"/>
              <w:rPr>
                <w:b/>
                <w:bCs/>
                <w:sz w:val="22"/>
                <w:szCs w:val="22"/>
                <w:lang w:val="sr-Latn-ME"/>
              </w:rPr>
            </w:pPr>
            <w:r w:rsidRPr="00930653">
              <w:rPr>
                <w:b/>
                <w:bCs/>
                <w:sz w:val="22"/>
                <w:szCs w:val="22"/>
                <w:lang w:val="sr-Latn-ME"/>
              </w:rPr>
              <w:t>4.8. Neželjena dejstva</w:t>
            </w:r>
          </w:p>
          <w:p w14:paraId="253F1063" w14:textId="77777777" w:rsidR="00C60DA8" w:rsidRPr="00930653" w:rsidRDefault="00C60DA8" w:rsidP="00C60DA8">
            <w:pPr>
              <w:jc w:val="both"/>
              <w:rPr>
                <w:sz w:val="22"/>
                <w:szCs w:val="22"/>
                <w:u w:val="single"/>
                <w:lang w:val="sr-Latn-ME"/>
              </w:rPr>
            </w:pPr>
            <w:r w:rsidRPr="00930653">
              <w:rPr>
                <w:sz w:val="22"/>
                <w:szCs w:val="22"/>
                <w:u w:val="single"/>
                <w:lang w:val="sr-Latn-ME"/>
              </w:rPr>
              <w:t>Sažetak bezbjednosnog profila</w:t>
            </w:r>
          </w:p>
          <w:p w14:paraId="7F645D55" w14:textId="77777777" w:rsidR="00C60DA8" w:rsidRPr="00930653" w:rsidRDefault="00C60DA8" w:rsidP="00C60DA8">
            <w:pPr>
              <w:jc w:val="both"/>
              <w:rPr>
                <w:sz w:val="22"/>
                <w:szCs w:val="22"/>
                <w:lang w:val="sr-Latn-ME"/>
              </w:rPr>
            </w:pPr>
          </w:p>
          <w:p w14:paraId="485D8EFF" w14:textId="77777777" w:rsidR="00C60DA8" w:rsidRPr="00930653" w:rsidRDefault="00C60DA8" w:rsidP="00C60DA8">
            <w:pPr>
              <w:jc w:val="both"/>
              <w:rPr>
                <w:sz w:val="22"/>
                <w:szCs w:val="22"/>
                <w:u w:val="single"/>
                <w:lang w:val="sr-Latn-ME"/>
              </w:rPr>
            </w:pPr>
            <w:r w:rsidRPr="00930653">
              <w:rPr>
                <w:sz w:val="22"/>
                <w:szCs w:val="22"/>
                <w:u w:val="single"/>
                <w:lang w:val="sr-Latn-ME"/>
              </w:rPr>
              <w:t>Pedijatrijska populacija</w:t>
            </w:r>
          </w:p>
          <w:p w14:paraId="4843B610" w14:textId="6716A3D0" w:rsidR="00C60DA8" w:rsidRPr="00930653" w:rsidRDefault="00C60DA8" w:rsidP="00930653">
            <w:pPr>
              <w:jc w:val="both"/>
              <w:rPr>
                <w:sz w:val="22"/>
                <w:szCs w:val="22"/>
                <w:lang w:val="sr-Latn-ME"/>
              </w:rPr>
            </w:pPr>
            <w:r w:rsidRPr="00930653">
              <w:rPr>
                <w:sz w:val="22"/>
                <w:szCs w:val="22"/>
                <w:lang w:val="sr-Latn-ME"/>
              </w:rPr>
              <w:t xml:space="preserve">U kliničkim ispitivanjima u pedijatrijskoj populaciji, desloratadin sirup je primjenjivan kod 246 djece uzrasta od 6 mjeseci do 11 godina. Incidenca neželjenih dejstava kod djece uzrasta od 2 do 11 godina je bila slična za </w:t>
            </w:r>
            <w:r w:rsidRPr="00930653">
              <w:rPr>
                <w:sz w:val="22"/>
                <w:szCs w:val="22"/>
                <w:lang w:val="sr-Latn-ME"/>
              </w:rPr>
              <w:lastRenderedPageBreak/>
              <w:t xml:space="preserve">grupu koja je uzimala desloratadin i za grupu koja je uzimala placebo. Kod </w:t>
            </w:r>
            <w:r w:rsidR="00D57C3F" w:rsidRPr="00930653">
              <w:rPr>
                <w:sz w:val="22"/>
                <w:szCs w:val="22"/>
                <w:lang w:val="sr-Latn-ME"/>
              </w:rPr>
              <w:t>odojčadi i male djece</w:t>
            </w:r>
            <w:r w:rsidRPr="00930653">
              <w:rPr>
                <w:sz w:val="22"/>
                <w:szCs w:val="22"/>
                <w:lang w:val="sr-Latn-ME"/>
              </w:rPr>
              <w:t xml:space="preserve"> uzrasta 6 do 23 mjeseca, neželjena dejstva koja su se najčešće javila u odnosu na placebo bila su: dijareja (3</w:t>
            </w:r>
            <w:r w:rsidR="00F72506" w:rsidRPr="00930653">
              <w:rPr>
                <w:sz w:val="22"/>
                <w:szCs w:val="22"/>
                <w:lang w:val="sr-Latn-ME"/>
              </w:rPr>
              <w:t>,</w:t>
            </w:r>
            <w:r w:rsidRPr="00930653">
              <w:rPr>
                <w:sz w:val="22"/>
                <w:szCs w:val="22"/>
                <w:lang w:val="sr-Latn-ME"/>
              </w:rPr>
              <w:t xml:space="preserve">7%), povišena </w:t>
            </w:r>
            <w:r w:rsidR="00DB6DA3">
              <w:rPr>
                <w:sz w:val="22"/>
                <w:szCs w:val="22"/>
                <w:lang w:val="sr-Latn-ME"/>
              </w:rPr>
              <w:t xml:space="preserve">tjelesna </w:t>
            </w:r>
            <w:r w:rsidRPr="00930653">
              <w:rPr>
                <w:sz w:val="22"/>
                <w:szCs w:val="22"/>
                <w:lang w:val="sr-Latn-ME"/>
              </w:rPr>
              <w:t>temperatura (2</w:t>
            </w:r>
            <w:r w:rsidR="00F72506" w:rsidRPr="00930653">
              <w:rPr>
                <w:sz w:val="22"/>
                <w:szCs w:val="22"/>
                <w:lang w:val="sr-Latn-ME"/>
              </w:rPr>
              <w:t>,</w:t>
            </w:r>
            <w:r w:rsidRPr="00930653">
              <w:rPr>
                <w:sz w:val="22"/>
                <w:szCs w:val="22"/>
                <w:lang w:val="sr-Latn-ME"/>
              </w:rPr>
              <w:t>3%) i nesanica (2</w:t>
            </w:r>
            <w:r w:rsidR="00F72506" w:rsidRPr="00930653">
              <w:rPr>
                <w:sz w:val="22"/>
                <w:szCs w:val="22"/>
                <w:lang w:val="sr-Latn-ME"/>
              </w:rPr>
              <w:t>,</w:t>
            </w:r>
            <w:r w:rsidRPr="00930653">
              <w:rPr>
                <w:sz w:val="22"/>
                <w:szCs w:val="22"/>
                <w:lang w:val="sr-Latn-ME"/>
              </w:rPr>
              <w:t>3%). U dodatnom ispitivanju nijesu uočena neželjena dejstva kod pacijenata uzrasta od 6 do 11 godina nakon primjene pojedinačne doze</w:t>
            </w:r>
            <w:r w:rsidR="00DB6DA3">
              <w:rPr>
                <w:sz w:val="22"/>
                <w:szCs w:val="22"/>
                <w:lang w:val="sr-Latn-ME"/>
              </w:rPr>
              <w:t xml:space="preserve"> od 2,5 mg</w:t>
            </w:r>
            <w:r w:rsidRPr="00930653">
              <w:rPr>
                <w:sz w:val="22"/>
                <w:szCs w:val="22"/>
                <w:lang w:val="sr-Latn-ME"/>
              </w:rPr>
              <w:t xml:space="preserve"> oralnog rastvora </w:t>
            </w:r>
            <w:r w:rsidR="00DB6DA3">
              <w:rPr>
                <w:sz w:val="22"/>
                <w:szCs w:val="22"/>
                <w:lang w:val="sr-Latn-ME"/>
              </w:rPr>
              <w:t>des</w:t>
            </w:r>
            <w:r w:rsidRPr="00930653">
              <w:rPr>
                <w:sz w:val="22"/>
                <w:szCs w:val="22"/>
                <w:lang w:val="sr-Latn-ME"/>
              </w:rPr>
              <w:t>loratadina</w:t>
            </w:r>
            <w:r w:rsidR="00DB6DA3">
              <w:rPr>
                <w:sz w:val="22"/>
                <w:szCs w:val="22"/>
                <w:lang w:val="sr-Latn-ME"/>
              </w:rPr>
              <w:t>.</w:t>
            </w:r>
          </w:p>
        </w:tc>
      </w:tr>
      <w:tr w:rsidR="002102CB" w:rsidRPr="00930653" w14:paraId="36B0AF70" w14:textId="77777777" w:rsidTr="007F2243">
        <w:trPr>
          <w:trHeight w:val="2520"/>
        </w:trPr>
        <w:tc>
          <w:tcPr>
            <w:tcW w:w="9810" w:type="dxa"/>
            <w:gridSpan w:val="3"/>
            <w:vAlign w:val="center"/>
          </w:tcPr>
          <w:p w14:paraId="35165DEC" w14:textId="29DB13CE" w:rsidR="008A7D27" w:rsidRPr="00930653" w:rsidRDefault="008A7D27" w:rsidP="004E0BA7">
            <w:pPr>
              <w:jc w:val="both"/>
              <w:rPr>
                <w:sz w:val="22"/>
                <w:szCs w:val="22"/>
                <w:lang w:val="sr-Latn-ME"/>
              </w:rPr>
            </w:pPr>
            <w:r w:rsidRPr="00930653">
              <w:rPr>
                <w:sz w:val="22"/>
                <w:szCs w:val="22"/>
                <w:lang w:val="sr-Latn-ME"/>
              </w:rPr>
              <w:lastRenderedPageBreak/>
              <w:t>U kliničkom ispitivanju sa 578 adolescen</w:t>
            </w:r>
            <w:r w:rsidR="00DB6DA3">
              <w:rPr>
                <w:sz w:val="22"/>
                <w:szCs w:val="22"/>
                <w:lang w:val="sr-Latn-ME"/>
              </w:rPr>
              <w:t>ata</w:t>
            </w:r>
            <w:r w:rsidRPr="00930653">
              <w:rPr>
                <w:sz w:val="22"/>
                <w:szCs w:val="22"/>
                <w:lang w:val="sr-Latn-ME"/>
              </w:rPr>
              <w:t>, uzrasta od 12 do 17 godina, najčešća neželjena reakcija je bila glavobolja koja se javila kod 5</w:t>
            </w:r>
            <w:r w:rsidR="00F72506" w:rsidRPr="00930653">
              <w:rPr>
                <w:sz w:val="22"/>
                <w:szCs w:val="22"/>
                <w:lang w:val="sr-Latn-ME"/>
              </w:rPr>
              <w:t>,</w:t>
            </w:r>
            <w:r w:rsidRPr="00930653">
              <w:rPr>
                <w:sz w:val="22"/>
                <w:szCs w:val="22"/>
                <w:lang w:val="sr-Latn-ME"/>
              </w:rPr>
              <w:t>9% pacijenata lječenih desloratadinom</w:t>
            </w:r>
            <w:r w:rsidR="00F72506" w:rsidRPr="00930653">
              <w:rPr>
                <w:sz w:val="22"/>
                <w:szCs w:val="22"/>
                <w:lang w:val="sr-Latn-ME"/>
              </w:rPr>
              <w:t>,</w:t>
            </w:r>
            <w:r w:rsidRPr="00930653">
              <w:rPr>
                <w:sz w:val="22"/>
                <w:szCs w:val="22"/>
                <w:lang w:val="sr-Latn-ME"/>
              </w:rPr>
              <w:t xml:space="preserve"> i 6</w:t>
            </w:r>
            <w:r w:rsidR="00F72506" w:rsidRPr="00930653">
              <w:rPr>
                <w:sz w:val="22"/>
                <w:szCs w:val="22"/>
                <w:lang w:val="sr-Latn-ME"/>
              </w:rPr>
              <w:t>,</w:t>
            </w:r>
            <w:r w:rsidRPr="00930653">
              <w:rPr>
                <w:sz w:val="22"/>
                <w:szCs w:val="22"/>
                <w:lang w:val="sr-Latn-ME"/>
              </w:rPr>
              <w:t>9% pacijenata koji su primali placebo.</w:t>
            </w:r>
          </w:p>
          <w:p w14:paraId="361DF629" w14:textId="77777777" w:rsidR="008A7D27" w:rsidRPr="00930653" w:rsidRDefault="008A7D27" w:rsidP="004E0BA7">
            <w:pPr>
              <w:jc w:val="both"/>
              <w:rPr>
                <w:sz w:val="22"/>
                <w:szCs w:val="22"/>
                <w:lang w:val="sr-Latn-ME"/>
              </w:rPr>
            </w:pPr>
          </w:p>
          <w:p w14:paraId="36794B0D" w14:textId="77777777" w:rsidR="008A7D27" w:rsidRPr="00930653" w:rsidRDefault="008A7D27" w:rsidP="004E0BA7">
            <w:pPr>
              <w:jc w:val="both"/>
              <w:rPr>
                <w:sz w:val="22"/>
                <w:szCs w:val="22"/>
                <w:u w:val="single"/>
                <w:lang w:val="sr-Latn-ME"/>
              </w:rPr>
            </w:pPr>
            <w:r w:rsidRPr="00930653">
              <w:rPr>
                <w:sz w:val="22"/>
                <w:szCs w:val="22"/>
                <w:u w:val="single"/>
                <w:lang w:val="sr-Latn-ME"/>
              </w:rPr>
              <w:t>Odrasli i adolescenti</w:t>
            </w:r>
          </w:p>
          <w:p w14:paraId="6641087D" w14:textId="54938AFE" w:rsidR="002102CB" w:rsidRPr="00930653" w:rsidRDefault="002102CB" w:rsidP="00F72506">
            <w:pPr>
              <w:jc w:val="both"/>
              <w:rPr>
                <w:sz w:val="22"/>
                <w:szCs w:val="22"/>
                <w:lang w:val="sr-Latn-ME"/>
              </w:rPr>
            </w:pPr>
            <w:r w:rsidRPr="00930653">
              <w:rPr>
                <w:sz w:val="22"/>
                <w:szCs w:val="22"/>
                <w:lang w:val="sr-Latn-ME"/>
              </w:rPr>
              <w:t>U kliničkim ispitivanjima kod odraslih pacijenata u različitim indikacijama</w:t>
            </w:r>
            <w:r w:rsidR="00F72506" w:rsidRPr="00930653">
              <w:rPr>
                <w:sz w:val="22"/>
                <w:szCs w:val="22"/>
                <w:lang w:val="sr-Latn-ME"/>
              </w:rPr>
              <w:t>,</w:t>
            </w:r>
            <w:r w:rsidRPr="00930653">
              <w:rPr>
                <w:sz w:val="22"/>
                <w:szCs w:val="22"/>
                <w:lang w:val="sr-Latn-ME"/>
              </w:rPr>
              <w:t xml:space="preserve"> uključujući alergijski rinitis i hroničnu idiopatsku urtikariju, pri preporučenim dozama, neželjena dejstva </w:t>
            </w:r>
            <w:r w:rsidR="00F72506" w:rsidRPr="00930653">
              <w:rPr>
                <w:sz w:val="22"/>
                <w:szCs w:val="22"/>
                <w:lang w:val="sr-Latn-ME"/>
              </w:rPr>
              <w:t xml:space="preserve">lijeka </w:t>
            </w:r>
            <w:r w:rsidRPr="00930653">
              <w:rPr>
                <w:sz w:val="22"/>
                <w:szCs w:val="22"/>
                <w:lang w:val="sr-Latn-ME"/>
              </w:rPr>
              <w:t xml:space="preserve">Aerius su prijavljena kod 3% više pacijenata koji su primali lijek u odnosu na one koji su primali placebo. Najčešće neželjene reakcije koje su prijavljivane kod pacijenata koji su primali lijek u odnosu na one koji su primali placebo su bile </w:t>
            </w:r>
            <w:r w:rsidR="006224E0">
              <w:rPr>
                <w:sz w:val="22"/>
                <w:szCs w:val="22"/>
                <w:lang w:val="sr-Latn-ME"/>
              </w:rPr>
              <w:t>umor</w:t>
            </w:r>
            <w:r w:rsidR="006224E0" w:rsidRPr="00930653">
              <w:rPr>
                <w:sz w:val="22"/>
                <w:szCs w:val="22"/>
                <w:lang w:val="sr-Latn-ME"/>
              </w:rPr>
              <w:t xml:space="preserve"> </w:t>
            </w:r>
            <w:r w:rsidRPr="00930653">
              <w:rPr>
                <w:sz w:val="22"/>
                <w:szCs w:val="22"/>
                <w:lang w:val="sr-Latn-ME"/>
              </w:rPr>
              <w:t>(1</w:t>
            </w:r>
            <w:r w:rsidR="00F72506" w:rsidRPr="00930653">
              <w:rPr>
                <w:sz w:val="22"/>
                <w:szCs w:val="22"/>
                <w:lang w:val="sr-Latn-ME"/>
              </w:rPr>
              <w:t>,</w:t>
            </w:r>
            <w:r w:rsidRPr="00930653">
              <w:rPr>
                <w:sz w:val="22"/>
                <w:szCs w:val="22"/>
                <w:lang w:val="sr-Latn-ME"/>
              </w:rPr>
              <w:t>2%), suva usta (0</w:t>
            </w:r>
            <w:r w:rsidR="00F72506" w:rsidRPr="00930653">
              <w:rPr>
                <w:sz w:val="22"/>
                <w:szCs w:val="22"/>
                <w:lang w:val="sr-Latn-ME"/>
              </w:rPr>
              <w:t>,</w:t>
            </w:r>
            <w:r w:rsidRPr="00930653">
              <w:rPr>
                <w:sz w:val="22"/>
                <w:szCs w:val="22"/>
                <w:lang w:val="sr-Latn-ME"/>
              </w:rPr>
              <w:t>8%) i glavobolja (0</w:t>
            </w:r>
            <w:r w:rsidR="00F72506" w:rsidRPr="00930653">
              <w:rPr>
                <w:sz w:val="22"/>
                <w:szCs w:val="22"/>
                <w:lang w:val="sr-Latn-ME"/>
              </w:rPr>
              <w:t>,</w:t>
            </w:r>
            <w:r w:rsidRPr="00930653">
              <w:rPr>
                <w:sz w:val="22"/>
                <w:szCs w:val="22"/>
                <w:lang w:val="sr-Latn-ME"/>
              </w:rPr>
              <w:t>6%).</w:t>
            </w:r>
          </w:p>
          <w:p w14:paraId="67EF8A49" w14:textId="77777777" w:rsidR="00A66E5B" w:rsidRPr="00930653" w:rsidRDefault="00A66E5B" w:rsidP="00F72506">
            <w:pPr>
              <w:jc w:val="both"/>
              <w:rPr>
                <w:sz w:val="22"/>
                <w:szCs w:val="22"/>
                <w:lang w:val="sr-Latn-ME"/>
              </w:rPr>
            </w:pPr>
          </w:p>
          <w:p w14:paraId="6B98FB6B" w14:textId="77777777" w:rsidR="00A66E5B" w:rsidRPr="00930653" w:rsidRDefault="00A66E5B" w:rsidP="00287B29">
            <w:pPr>
              <w:pStyle w:val="NoSpacing"/>
              <w:jc w:val="both"/>
              <w:rPr>
                <w:rFonts w:ascii="Times New Roman" w:hAnsi="Times New Roman"/>
                <w:u w:val="single"/>
                <w:lang w:val="sr-Latn-ME"/>
              </w:rPr>
            </w:pPr>
            <w:r w:rsidRPr="00930653">
              <w:rPr>
                <w:rFonts w:ascii="Times New Roman" w:hAnsi="Times New Roman"/>
                <w:u w:val="single"/>
                <w:lang w:val="sr-Latn-ME"/>
              </w:rPr>
              <w:t>Tabelarni prikaz neželjenih reakcija</w:t>
            </w:r>
          </w:p>
          <w:p w14:paraId="66F21D19" w14:textId="77777777" w:rsidR="00A66E5B" w:rsidRDefault="00A66E5B" w:rsidP="00406B9C">
            <w:pPr>
              <w:pStyle w:val="NoSpacing"/>
              <w:jc w:val="both"/>
              <w:rPr>
                <w:rFonts w:ascii="Times New Roman" w:hAnsi="Times New Roman"/>
                <w:lang w:val="sr-Latn-ME"/>
              </w:rPr>
            </w:pPr>
            <w:r w:rsidRPr="00930653">
              <w:rPr>
                <w:rFonts w:ascii="Times New Roman" w:hAnsi="Times New Roman"/>
                <w:lang w:val="sr-Latn-ME"/>
              </w:rPr>
              <w:t xml:space="preserve">Učestalost neželjenih reakcija prijavljenih u kliničkim studijama u odnosu na placebo i druge neželjene reakcije prijavljene tokom postmarketinškog perioda </w:t>
            </w:r>
            <w:r w:rsidR="00F72506" w:rsidRPr="00930653">
              <w:rPr>
                <w:rFonts w:ascii="Times New Roman" w:hAnsi="Times New Roman"/>
                <w:lang w:val="sr-Latn-ME"/>
              </w:rPr>
              <w:t xml:space="preserve">navedene </w:t>
            </w:r>
            <w:r w:rsidRPr="00930653">
              <w:rPr>
                <w:rFonts w:ascii="Times New Roman" w:hAnsi="Times New Roman"/>
                <w:lang w:val="sr-Latn-ME"/>
              </w:rPr>
              <w:t>su u tabeli. U</w:t>
            </w:r>
            <w:r w:rsidR="0099295E" w:rsidRPr="00930653">
              <w:rPr>
                <w:rFonts w:ascii="Times New Roman" w:hAnsi="Times New Roman"/>
                <w:lang w:val="sr-Latn-ME"/>
              </w:rPr>
              <w:t xml:space="preserve">čestalosti su definisane kao </w:t>
            </w:r>
            <w:r w:rsidRPr="00930653">
              <w:rPr>
                <w:rFonts w:ascii="Times New Roman" w:hAnsi="Times New Roman"/>
                <w:lang w:val="sr-Latn-ME"/>
              </w:rPr>
              <w:t>veoma česte (≥1/10), česte (≥1/100 do &lt;1/10), povremene (≥1/1</w:t>
            </w:r>
            <w:r w:rsidR="00F72506" w:rsidRPr="00930653">
              <w:rPr>
                <w:rFonts w:ascii="Times New Roman" w:hAnsi="Times New Roman"/>
                <w:lang w:val="sr-Latn-ME"/>
              </w:rPr>
              <w:t>.</w:t>
            </w:r>
            <w:r w:rsidRPr="00930653">
              <w:rPr>
                <w:rFonts w:ascii="Times New Roman" w:hAnsi="Times New Roman"/>
                <w:lang w:val="sr-Latn-ME"/>
              </w:rPr>
              <w:t>000 do &lt;1/100), r</w:t>
            </w:r>
            <w:r w:rsidR="0099295E" w:rsidRPr="00930653">
              <w:rPr>
                <w:rFonts w:ascii="Times New Roman" w:hAnsi="Times New Roman"/>
                <w:lang w:val="sr-Latn-ME"/>
              </w:rPr>
              <w:t>ij</w:t>
            </w:r>
            <w:r w:rsidRPr="00930653">
              <w:rPr>
                <w:rFonts w:ascii="Times New Roman" w:hAnsi="Times New Roman"/>
                <w:lang w:val="sr-Latn-ME"/>
              </w:rPr>
              <w:t>etke (≥1/10</w:t>
            </w:r>
            <w:r w:rsidR="00F72506" w:rsidRPr="00930653">
              <w:rPr>
                <w:rFonts w:ascii="Times New Roman" w:hAnsi="Times New Roman"/>
                <w:lang w:val="sr-Latn-ME"/>
              </w:rPr>
              <w:t>.</w:t>
            </w:r>
            <w:r w:rsidRPr="00930653">
              <w:rPr>
                <w:rFonts w:ascii="Times New Roman" w:hAnsi="Times New Roman"/>
                <w:lang w:val="sr-Latn-ME"/>
              </w:rPr>
              <w:t>000 do &lt;1/1</w:t>
            </w:r>
            <w:r w:rsidR="00F72506" w:rsidRPr="00930653">
              <w:rPr>
                <w:rFonts w:ascii="Times New Roman" w:hAnsi="Times New Roman"/>
                <w:lang w:val="sr-Latn-ME"/>
              </w:rPr>
              <w:t>.</w:t>
            </w:r>
            <w:r w:rsidRPr="00930653">
              <w:rPr>
                <w:rFonts w:ascii="Times New Roman" w:hAnsi="Times New Roman"/>
                <w:lang w:val="sr-Latn-ME"/>
              </w:rPr>
              <w:t>000), veoma r</w:t>
            </w:r>
            <w:r w:rsidR="0099295E" w:rsidRPr="00930653">
              <w:rPr>
                <w:rFonts w:ascii="Times New Roman" w:hAnsi="Times New Roman"/>
                <w:lang w:val="sr-Latn-ME"/>
              </w:rPr>
              <w:t>ij</w:t>
            </w:r>
            <w:r w:rsidRPr="00930653">
              <w:rPr>
                <w:rFonts w:ascii="Times New Roman" w:hAnsi="Times New Roman"/>
                <w:lang w:val="sr-Latn-ME"/>
              </w:rPr>
              <w:t>etke (&lt;1/10</w:t>
            </w:r>
            <w:r w:rsidR="00F72506" w:rsidRPr="00930653">
              <w:rPr>
                <w:rFonts w:ascii="Times New Roman" w:hAnsi="Times New Roman"/>
                <w:lang w:val="sr-Latn-ME"/>
              </w:rPr>
              <w:t>.</w:t>
            </w:r>
            <w:r w:rsidRPr="00930653">
              <w:rPr>
                <w:rFonts w:ascii="Times New Roman" w:hAnsi="Times New Roman"/>
                <w:lang w:val="sr-Latn-ME"/>
              </w:rPr>
              <w:t xml:space="preserve">000) i </w:t>
            </w:r>
            <w:r w:rsidR="00231C57" w:rsidRPr="00930653">
              <w:rPr>
                <w:rFonts w:ascii="Times New Roman" w:hAnsi="Times New Roman"/>
                <w:lang w:val="sr-Latn-ME"/>
              </w:rPr>
              <w:t>ne</w:t>
            </w:r>
            <w:r w:rsidRPr="00930653">
              <w:rPr>
                <w:rFonts w:ascii="Times New Roman" w:hAnsi="Times New Roman"/>
                <w:lang w:val="sr-Latn-ME"/>
              </w:rPr>
              <w:t xml:space="preserve">poznata (ne može se </w:t>
            </w:r>
            <w:r w:rsidR="00231C57" w:rsidRPr="00930653">
              <w:rPr>
                <w:rFonts w:ascii="Times New Roman" w:hAnsi="Times New Roman"/>
                <w:lang w:val="sr-Latn-ME"/>
              </w:rPr>
              <w:t>procijeniti</w:t>
            </w:r>
            <w:r w:rsidRPr="00930653">
              <w:rPr>
                <w:rFonts w:ascii="Times New Roman" w:hAnsi="Times New Roman"/>
                <w:lang w:val="sr-Latn-ME"/>
              </w:rPr>
              <w:t xml:space="preserve"> na osnovu </w:t>
            </w:r>
            <w:r w:rsidR="00231C57" w:rsidRPr="00930653">
              <w:rPr>
                <w:rFonts w:ascii="Times New Roman" w:hAnsi="Times New Roman"/>
                <w:lang w:val="sr-Latn-ME"/>
              </w:rPr>
              <w:t>dostupnih</w:t>
            </w:r>
            <w:r w:rsidRPr="00930653">
              <w:rPr>
                <w:rFonts w:ascii="Times New Roman" w:hAnsi="Times New Roman"/>
                <w:lang w:val="sr-Latn-ME"/>
              </w:rPr>
              <w:t xml:space="preserve"> podataka)</w:t>
            </w:r>
            <w:r w:rsidR="0099295E" w:rsidRPr="00930653">
              <w:rPr>
                <w:rFonts w:ascii="Times New Roman" w:hAnsi="Times New Roman"/>
                <w:lang w:val="sr-Latn-ME"/>
              </w:rPr>
              <w:t>.</w:t>
            </w:r>
          </w:p>
          <w:p w14:paraId="71533134" w14:textId="77777777" w:rsidR="00CF7DFD" w:rsidRPr="00930653" w:rsidRDefault="00CF7DFD" w:rsidP="00406B9C">
            <w:pPr>
              <w:pStyle w:val="NoSpacing"/>
              <w:jc w:val="both"/>
              <w:rPr>
                <w:rFonts w:ascii="Times New Roman" w:hAnsi="Times New Roman"/>
                <w:lang w:val="sr-Latn-ME"/>
              </w:rPr>
            </w:pPr>
          </w:p>
          <w:p w14:paraId="1F939207" w14:textId="77777777" w:rsidR="0099295E" w:rsidRPr="00930653" w:rsidRDefault="0099295E" w:rsidP="000C656C">
            <w:pPr>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430"/>
              <w:gridCol w:w="3581"/>
            </w:tblGrid>
            <w:tr w:rsidR="00EC23A2" w:rsidRPr="00A731F9" w14:paraId="771CBC4B" w14:textId="77777777" w:rsidTr="007F2243">
              <w:trPr>
                <w:trHeight w:val="301"/>
              </w:trPr>
              <w:tc>
                <w:tcPr>
                  <w:tcW w:w="3145" w:type="dxa"/>
                </w:tcPr>
                <w:p w14:paraId="7B55CD03" w14:textId="77777777" w:rsidR="00EC23A2" w:rsidRPr="00930653" w:rsidRDefault="00F72506" w:rsidP="00AF04BB">
                  <w:pPr>
                    <w:pStyle w:val="BodyText"/>
                    <w:jc w:val="both"/>
                    <w:rPr>
                      <w:b/>
                      <w:noProof/>
                      <w:sz w:val="22"/>
                      <w:szCs w:val="22"/>
                      <w:lang w:val="sr-Latn-ME"/>
                    </w:rPr>
                  </w:pPr>
                  <w:r w:rsidRPr="00930653">
                    <w:rPr>
                      <w:b/>
                      <w:noProof/>
                      <w:sz w:val="22"/>
                      <w:szCs w:val="22"/>
                      <w:lang w:val="sr-Latn-ME"/>
                    </w:rPr>
                    <w:t xml:space="preserve">Klasa sistema </w:t>
                  </w:r>
                  <w:r w:rsidR="00EC23A2" w:rsidRPr="00930653">
                    <w:rPr>
                      <w:b/>
                      <w:noProof/>
                      <w:sz w:val="22"/>
                      <w:szCs w:val="22"/>
                      <w:lang w:val="sr-Latn-ME"/>
                    </w:rPr>
                    <w:t>organ</w:t>
                  </w:r>
                  <w:r w:rsidRPr="00930653">
                    <w:rPr>
                      <w:b/>
                      <w:noProof/>
                      <w:sz w:val="22"/>
                      <w:szCs w:val="22"/>
                      <w:lang w:val="sr-Latn-ME"/>
                    </w:rPr>
                    <w:t>a</w:t>
                  </w:r>
                </w:p>
                <w:p w14:paraId="25A6EE51" w14:textId="77777777" w:rsidR="00EC23A2" w:rsidRPr="00930653" w:rsidRDefault="00EC23A2" w:rsidP="008C62CF">
                  <w:pPr>
                    <w:pStyle w:val="BodyText"/>
                    <w:jc w:val="both"/>
                    <w:rPr>
                      <w:b/>
                      <w:noProof/>
                      <w:sz w:val="22"/>
                      <w:szCs w:val="22"/>
                      <w:lang w:val="sr-Latn-ME"/>
                    </w:rPr>
                  </w:pPr>
                </w:p>
              </w:tc>
              <w:tc>
                <w:tcPr>
                  <w:tcW w:w="2430" w:type="dxa"/>
                </w:tcPr>
                <w:p w14:paraId="10116794" w14:textId="77777777" w:rsidR="00EC23A2" w:rsidRPr="00930653" w:rsidRDefault="00EC23A2" w:rsidP="008C62CF">
                  <w:pPr>
                    <w:jc w:val="both"/>
                    <w:rPr>
                      <w:b/>
                      <w:noProof/>
                      <w:sz w:val="22"/>
                      <w:szCs w:val="22"/>
                      <w:lang w:val="sr-Latn-ME"/>
                    </w:rPr>
                  </w:pPr>
                  <w:r w:rsidRPr="00930653">
                    <w:rPr>
                      <w:b/>
                      <w:noProof/>
                      <w:sz w:val="22"/>
                      <w:szCs w:val="22"/>
                      <w:lang w:val="sr-Latn-ME"/>
                    </w:rPr>
                    <w:t>Učestalost</w:t>
                  </w:r>
                </w:p>
                <w:p w14:paraId="06BF5D8E" w14:textId="77777777" w:rsidR="00EC23A2" w:rsidRPr="00930653" w:rsidRDefault="00EC23A2" w:rsidP="008C62CF">
                  <w:pPr>
                    <w:pStyle w:val="BodyText"/>
                    <w:jc w:val="both"/>
                    <w:rPr>
                      <w:noProof/>
                      <w:sz w:val="22"/>
                      <w:szCs w:val="22"/>
                      <w:lang w:val="sr-Latn-ME"/>
                    </w:rPr>
                  </w:pPr>
                </w:p>
              </w:tc>
              <w:tc>
                <w:tcPr>
                  <w:tcW w:w="3581" w:type="dxa"/>
                </w:tcPr>
                <w:p w14:paraId="7674BA51" w14:textId="77777777" w:rsidR="00EC23A2" w:rsidRPr="00930653" w:rsidRDefault="00EC23A2" w:rsidP="00F72506">
                  <w:pPr>
                    <w:pStyle w:val="BodyText"/>
                    <w:jc w:val="both"/>
                    <w:rPr>
                      <w:b/>
                      <w:noProof/>
                      <w:sz w:val="22"/>
                      <w:szCs w:val="22"/>
                      <w:lang w:val="sr-Latn-ME"/>
                    </w:rPr>
                  </w:pPr>
                  <w:r w:rsidRPr="00930653">
                    <w:rPr>
                      <w:b/>
                      <w:noProof/>
                      <w:sz w:val="22"/>
                      <w:szCs w:val="22"/>
                      <w:lang w:val="sr-Latn-ME"/>
                    </w:rPr>
                    <w:t xml:space="preserve">Neželjene reakcije uočene </w:t>
                  </w:r>
                  <w:r w:rsidR="00F72506" w:rsidRPr="00930653">
                    <w:rPr>
                      <w:b/>
                      <w:noProof/>
                      <w:sz w:val="22"/>
                      <w:szCs w:val="22"/>
                      <w:lang w:val="sr-Latn-ME"/>
                    </w:rPr>
                    <w:t xml:space="preserve">uz primjenu </w:t>
                  </w:r>
                  <w:r w:rsidRPr="00930653">
                    <w:rPr>
                      <w:b/>
                      <w:noProof/>
                      <w:sz w:val="22"/>
                      <w:szCs w:val="22"/>
                      <w:lang w:val="sr-Latn-ME"/>
                    </w:rPr>
                    <w:t>lijeka Aerius</w:t>
                  </w:r>
                </w:p>
              </w:tc>
            </w:tr>
            <w:tr w:rsidR="00B24289" w:rsidRPr="00930653" w14:paraId="44A9A7DF" w14:textId="77777777" w:rsidTr="007F2243">
              <w:trPr>
                <w:trHeight w:val="398"/>
              </w:trPr>
              <w:tc>
                <w:tcPr>
                  <w:tcW w:w="3145" w:type="dxa"/>
                </w:tcPr>
                <w:p w14:paraId="247087A7" w14:textId="77777777" w:rsidR="00B24289" w:rsidRPr="00930653" w:rsidRDefault="00B24289" w:rsidP="00007378">
                  <w:pPr>
                    <w:pStyle w:val="BodyText"/>
                    <w:jc w:val="both"/>
                    <w:rPr>
                      <w:b/>
                      <w:noProof/>
                      <w:sz w:val="22"/>
                      <w:szCs w:val="22"/>
                      <w:lang w:val="sr-Latn-ME"/>
                    </w:rPr>
                  </w:pPr>
                  <w:r w:rsidRPr="00930653">
                    <w:rPr>
                      <w:b/>
                      <w:noProof/>
                      <w:sz w:val="22"/>
                      <w:szCs w:val="22"/>
                      <w:lang w:val="sr-Latn-ME"/>
                    </w:rPr>
                    <w:t>Poremećaj metabolizma i ishrane</w:t>
                  </w:r>
                </w:p>
              </w:tc>
              <w:tc>
                <w:tcPr>
                  <w:tcW w:w="2430" w:type="dxa"/>
                </w:tcPr>
                <w:p w14:paraId="0C10D5A2" w14:textId="77777777" w:rsidR="00B24289" w:rsidRPr="00930653" w:rsidRDefault="00B24289" w:rsidP="004E0BA7">
                  <w:pPr>
                    <w:pStyle w:val="BodyText"/>
                    <w:jc w:val="both"/>
                    <w:rPr>
                      <w:noProof/>
                      <w:sz w:val="22"/>
                      <w:szCs w:val="22"/>
                      <w:lang w:val="sr-Latn-ME"/>
                    </w:rPr>
                  </w:pPr>
                  <w:r w:rsidRPr="00930653">
                    <w:rPr>
                      <w:noProof/>
                      <w:sz w:val="22"/>
                      <w:szCs w:val="22"/>
                      <w:lang w:val="sr-Latn-ME"/>
                    </w:rPr>
                    <w:t>Nepoznato</w:t>
                  </w:r>
                </w:p>
              </w:tc>
              <w:tc>
                <w:tcPr>
                  <w:tcW w:w="3581" w:type="dxa"/>
                </w:tcPr>
                <w:p w14:paraId="7CE051A8" w14:textId="3B482537" w:rsidR="00B24289" w:rsidRPr="00930653" w:rsidDel="00EC23A2" w:rsidRDefault="00B24289" w:rsidP="004E0BA7">
                  <w:pPr>
                    <w:pStyle w:val="BodyText"/>
                    <w:jc w:val="both"/>
                    <w:rPr>
                      <w:noProof/>
                      <w:sz w:val="22"/>
                      <w:szCs w:val="22"/>
                      <w:lang w:val="sr-Latn-ME"/>
                    </w:rPr>
                  </w:pPr>
                  <w:r w:rsidRPr="00930653">
                    <w:rPr>
                      <w:noProof/>
                      <w:sz w:val="22"/>
                      <w:szCs w:val="22"/>
                      <w:lang w:val="sr-Latn-ME"/>
                    </w:rPr>
                    <w:t>Po</w:t>
                  </w:r>
                  <w:r w:rsidR="00D9586E">
                    <w:rPr>
                      <w:noProof/>
                      <w:sz w:val="22"/>
                      <w:szCs w:val="22"/>
                      <w:lang w:val="sr-Latn-ME"/>
                    </w:rPr>
                    <w:t>jačan</w:t>
                  </w:r>
                  <w:r w:rsidRPr="00930653">
                    <w:rPr>
                      <w:noProof/>
                      <w:sz w:val="22"/>
                      <w:szCs w:val="22"/>
                      <w:lang w:val="sr-Latn-ME"/>
                    </w:rPr>
                    <w:t xml:space="preserve"> apetit</w:t>
                  </w:r>
                </w:p>
              </w:tc>
            </w:tr>
            <w:tr w:rsidR="00B24289" w:rsidRPr="00A731F9" w14:paraId="6806B71F" w14:textId="77777777" w:rsidTr="007F2243">
              <w:trPr>
                <w:trHeight w:val="398"/>
              </w:trPr>
              <w:tc>
                <w:tcPr>
                  <w:tcW w:w="3145" w:type="dxa"/>
                </w:tcPr>
                <w:p w14:paraId="3B99EA02" w14:textId="77777777" w:rsidR="00B24289" w:rsidRPr="00930653" w:rsidRDefault="00B24289" w:rsidP="00007378">
                  <w:pPr>
                    <w:pStyle w:val="BodyText"/>
                    <w:jc w:val="both"/>
                    <w:rPr>
                      <w:b/>
                      <w:noProof/>
                      <w:sz w:val="22"/>
                      <w:szCs w:val="22"/>
                      <w:lang w:val="sr-Latn-ME"/>
                    </w:rPr>
                  </w:pPr>
                  <w:r w:rsidRPr="00930653">
                    <w:rPr>
                      <w:b/>
                      <w:noProof/>
                      <w:sz w:val="22"/>
                      <w:szCs w:val="22"/>
                      <w:lang w:val="sr-Latn-ME"/>
                    </w:rPr>
                    <w:t>Psihijatrijski poremećaji</w:t>
                  </w:r>
                </w:p>
              </w:tc>
              <w:tc>
                <w:tcPr>
                  <w:tcW w:w="2430" w:type="dxa"/>
                </w:tcPr>
                <w:p w14:paraId="1AB319F5" w14:textId="77777777" w:rsidR="00B24289" w:rsidRPr="00930653" w:rsidRDefault="00B24289" w:rsidP="004E0BA7">
                  <w:pPr>
                    <w:pStyle w:val="BodyText"/>
                    <w:jc w:val="both"/>
                    <w:rPr>
                      <w:noProof/>
                      <w:sz w:val="22"/>
                      <w:szCs w:val="22"/>
                      <w:lang w:val="sr-Latn-ME"/>
                    </w:rPr>
                  </w:pPr>
                  <w:r w:rsidRPr="00930653">
                    <w:rPr>
                      <w:noProof/>
                      <w:sz w:val="22"/>
                      <w:szCs w:val="22"/>
                      <w:lang w:val="sr-Latn-ME"/>
                    </w:rPr>
                    <w:t>Veoma rijetk</w:t>
                  </w:r>
                  <w:r w:rsidR="00897A18" w:rsidRPr="00930653">
                    <w:rPr>
                      <w:noProof/>
                      <w:sz w:val="22"/>
                      <w:szCs w:val="22"/>
                      <w:lang w:val="sr-Latn-ME"/>
                    </w:rPr>
                    <w:t>o</w:t>
                  </w:r>
                </w:p>
                <w:p w14:paraId="63F78D90" w14:textId="77777777" w:rsidR="00B24289" w:rsidRPr="00930653" w:rsidRDefault="00B24289" w:rsidP="004E0BA7">
                  <w:pPr>
                    <w:pStyle w:val="BodyText"/>
                    <w:jc w:val="both"/>
                    <w:rPr>
                      <w:noProof/>
                      <w:sz w:val="22"/>
                      <w:szCs w:val="22"/>
                      <w:lang w:val="sr-Latn-ME"/>
                    </w:rPr>
                  </w:pPr>
                  <w:r w:rsidRPr="00930653">
                    <w:rPr>
                      <w:noProof/>
                      <w:sz w:val="22"/>
                      <w:szCs w:val="22"/>
                      <w:lang w:val="sr-Latn-ME"/>
                    </w:rPr>
                    <w:t>Nepoznato</w:t>
                  </w:r>
                </w:p>
              </w:tc>
              <w:tc>
                <w:tcPr>
                  <w:tcW w:w="3581" w:type="dxa"/>
                </w:tcPr>
                <w:p w14:paraId="2AFECB0B" w14:textId="77777777" w:rsidR="00B24289" w:rsidRPr="00930653" w:rsidRDefault="00B24289" w:rsidP="004E0BA7">
                  <w:pPr>
                    <w:pStyle w:val="BodyText"/>
                    <w:jc w:val="both"/>
                    <w:rPr>
                      <w:noProof/>
                      <w:sz w:val="22"/>
                      <w:szCs w:val="22"/>
                      <w:lang w:val="sr-Latn-ME"/>
                    </w:rPr>
                  </w:pPr>
                  <w:r w:rsidRPr="00930653">
                    <w:rPr>
                      <w:noProof/>
                      <w:sz w:val="22"/>
                      <w:szCs w:val="22"/>
                      <w:lang w:val="sr-Latn-ME"/>
                    </w:rPr>
                    <w:t>Halucinacije</w:t>
                  </w:r>
                </w:p>
                <w:p w14:paraId="0BC036E5" w14:textId="77777777" w:rsidR="007F2243" w:rsidRPr="00930653" w:rsidRDefault="00B24289" w:rsidP="007F2243">
                  <w:pPr>
                    <w:pStyle w:val="BodyText"/>
                    <w:jc w:val="both"/>
                    <w:rPr>
                      <w:noProof/>
                      <w:sz w:val="22"/>
                      <w:szCs w:val="22"/>
                      <w:lang w:val="sr-Latn-ME"/>
                    </w:rPr>
                  </w:pPr>
                  <w:r w:rsidRPr="00930653">
                    <w:rPr>
                      <w:noProof/>
                      <w:sz w:val="22"/>
                      <w:szCs w:val="22"/>
                      <w:lang w:val="sr-Latn-ME"/>
                    </w:rPr>
                    <w:t>Neuobičajeno ponašanje, agresija</w:t>
                  </w:r>
                  <w:r w:rsidR="00E75E4D">
                    <w:rPr>
                      <w:noProof/>
                      <w:sz w:val="22"/>
                      <w:szCs w:val="22"/>
                      <w:lang w:val="sr-Latn-ME"/>
                    </w:rPr>
                    <w:t xml:space="preserve">, depresivno </w:t>
                  </w:r>
                  <w:r w:rsidR="006224E0">
                    <w:rPr>
                      <w:noProof/>
                      <w:sz w:val="22"/>
                      <w:szCs w:val="22"/>
                      <w:lang w:val="sr-Latn-ME"/>
                    </w:rPr>
                    <w:t>raspoloženje</w:t>
                  </w:r>
                </w:p>
              </w:tc>
            </w:tr>
            <w:tr w:rsidR="00B24289" w:rsidRPr="00A731F9" w14:paraId="3B3BA82A" w14:textId="77777777" w:rsidTr="007F2243">
              <w:tc>
                <w:tcPr>
                  <w:tcW w:w="3145" w:type="dxa"/>
                </w:tcPr>
                <w:p w14:paraId="64AC087C" w14:textId="77777777" w:rsidR="00B24289" w:rsidRPr="00930653" w:rsidRDefault="00B24289" w:rsidP="00007378">
                  <w:pPr>
                    <w:pStyle w:val="BodyText"/>
                    <w:jc w:val="both"/>
                    <w:rPr>
                      <w:b/>
                      <w:noProof/>
                      <w:sz w:val="22"/>
                      <w:szCs w:val="22"/>
                      <w:lang w:val="sr-Latn-ME"/>
                    </w:rPr>
                  </w:pPr>
                  <w:r w:rsidRPr="00930653">
                    <w:rPr>
                      <w:b/>
                      <w:noProof/>
                      <w:sz w:val="22"/>
                      <w:szCs w:val="22"/>
                      <w:lang w:val="sr-Latn-ME"/>
                    </w:rPr>
                    <w:t>Poremećaji nervnog sistema</w:t>
                  </w:r>
                </w:p>
              </w:tc>
              <w:tc>
                <w:tcPr>
                  <w:tcW w:w="2430" w:type="dxa"/>
                </w:tcPr>
                <w:p w14:paraId="36CE704A" w14:textId="77777777" w:rsidR="00B24289" w:rsidRPr="00930653" w:rsidRDefault="00B24289" w:rsidP="004E0BA7">
                  <w:pPr>
                    <w:pStyle w:val="BodyText"/>
                    <w:spacing w:after="0"/>
                    <w:jc w:val="both"/>
                    <w:rPr>
                      <w:noProof/>
                      <w:sz w:val="22"/>
                      <w:szCs w:val="22"/>
                      <w:lang w:val="sr-Latn-ME"/>
                    </w:rPr>
                  </w:pPr>
                  <w:r w:rsidRPr="00930653">
                    <w:rPr>
                      <w:noProof/>
                      <w:sz w:val="22"/>
                      <w:szCs w:val="22"/>
                      <w:lang w:val="sr-Latn-ME"/>
                    </w:rPr>
                    <w:t>Čest</w:t>
                  </w:r>
                  <w:r w:rsidR="008C61ED" w:rsidRPr="00930653">
                    <w:rPr>
                      <w:noProof/>
                      <w:sz w:val="22"/>
                      <w:szCs w:val="22"/>
                      <w:lang w:val="sr-Latn-ME"/>
                    </w:rPr>
                    <w:t>o</w:t>
                  </w:r>
                </w:p>
                <w:p w14:paraId="28B6884C" w14:textId="77777777" w:rsidR="00B24289" w:rsidRPr="00930653" w:rsidRDefault="00B24289" w:rsidP="004E0BA7">
                  <w:pPr>
                    <w:pStyle w:val="BodyText"/>
                    <w:spacing w:after="0"/>
                    <w:jc w:val="both"/>
                    <w:rPr>
                      <w:noProof/>
                      <w:sz w:val="22"/>
                      <w:szCs w:val="22"/>
                      <w:lang w:val="sr-Latn-ME"/>
                    </w:rPr>
                  </w:pPr>
                  <w:r w:rsidRPr="00930653">
                    <w:rPr>
                      <w:noProof/>
                      <w:sz w:val="22"/>
                      <w:szCs w:val="22"/>
                      <w:lang w:val="sr-Latn-ME"/>
                    </w:rPr>
                    <w:t>Čest</w:t>
                  </w:r>
                  <w:r w:rsidR="00897A18" w:rsidRPr="00930653">
                    <w:rPr>
                      <w:noProof/>
                      <w:sz w:val="22"/>
                      <w:szCs w:val="22"/>
                      <w:lang w:val="sr-Latn-ME"/>
                    </w:rPr>
                    <w:t>o</w:t>
                  </w:r>
                  <w:r w:rsidRPr="00930653">
                    <w:rPr>
                      <w:noProof/>
                      <w:sz w:val="22"/>
                      <w:szCs w:val="22"/>
                      <w:lang w:val="sr-Latn-ME"/>
                    </w:rPr>
                    <w:t xml:space="preserve"> (djeca mlađa od 2 godine)</w:t>
                  </w:r>
                </w:p>
                <w:p w14:paraId="7D979509" w14:textId="77777777" w:rsidR="00B24289" w:rsidRPr="00930653" w:rsidRDefault="00B24289" w:rsidP="007F2243">
                  <w:pPr>
                    <w:pStyle w:val="BodyText"/>
                    <w:spacing w:after="0"/>
                    <w:jc w:val="both"/>
                    <w:rPr>
                      <w:noProof/>
                      <w:sz w:val="22"/>
                      <w:szCs w:val="22"/>
                      <w:lang w:val="sr-Latn-ME"/>
                    </w:rPr>
                  </w:pPr>
                  <w:r w:rsidRPr="00930653">
                    <w:rPr>
                      <w:noProof/>
                      <w:sz w:val="22"/>
                      <w:szCs w:val="22"/>
                      <w:lang w:val="sr-Latn-ME"/>
                    </w:rPr>
                    <w:t>Veoma rijetk</w:t>
                  </w:r>
                  <w:r w:rsidR="00897A18" w:rsidRPr="00930653">
                    <w:rPr>
                      <w:noProof/>
                      <w:sz w:val="22"/>
                      <w:szCs w:val="22"/>
                      <w:lang w:val="sr-Latn-ME"/>
                    </w:rPr>
                    <w:t>o</w:t>
                  </w:r>
                </w:p>
              </w:tc>
              <w:tc>
                <w:tcPr>
                  <w:tcW w:w="3581" w:type="dxa"/>
                </w:tcPr>
                <w:p w14:paraId="3B3D7AC6" w14:textId="77777777" w:rsidR="00B24289" w:rsidRPr="00930653" w:rsidRDefault="00B24289" w:rsidP="00007378">
                  <w:pPr>
                    <w:pStyle w:val="BodyText"/>
                    <w:spacing w:after="0"/>
                    <w:jc w:val="both"/>
                    <w:rPr>
                      <w:noProof/>
                      <w:sz w:val="22"/>
                      <w:szCs w:val="22"/>
                      <w:lang w:val="sr-Latn-ME"/>
                    </w:rPr>
                  </w:pPr>
                  <w:r w:rsidRPr="00930653">
                    <w:rPr>
                      <w:noProof/>
                      <w:sz w:val="22"/>
                      <w:szCs w:val="22"/>
                      <w:lang w:val="sr-Latn-ME"/>
                    </w:rPr>
                    <w:t>Glavobolja</w:t>
                  </w:r>
                </w:p>
                <w:p w14:paraId="409BC530" w14:textId="77777777" w:rsidR="00B24289" w:rsidRPr="00930653" w:rsidRDefault="00B24289" w:rsidP="004E0BA7">
                  <w:pPr>
                    <w:pStyle w:val="BodyText"/>
                    <w:spacing w:after="0"/>
                    <w:jc w:val="both"/>
                    <w:rPr>
                      <w:noProof/>
                      <w:sz w:val="22"/>
                      <w:szCs w:val="22"/>
                      <w:lang w:val="sr-Latn-ME"/>
                    </w:rPr>
                  </w:pPr>
                  <w:r w:rsidRPr="00930653">
                    <w:rPr>
                      <w:noProof/>
                      <w:sz w:val="22"/>
                      <w:szCs w:val="22"/>
                      <w:lang w:val="sr-Latn-ME"/>
                    </w:rPr>
                    <w:t>Nesanica</w:t>
                  </w:r>
                </w:p>
                <w:p w14:paraId="32E89250" w14:textId="77777777" w:rsidR="00B24289" w:rsidRPr="00930653" w:rsidRDefault="00B24289" w:rsidP="004E0BA7">
                  <w:pPr>
                    <w:pStyle w:val="BodyText"/>
                    <w:spacing w:after="0"/>
                    <w:jc w:val="both"/>
                    <w:rPr>
                      <w:noProof/>
                      <w:sz w:val="22"/>
                      <w:szCs w:val="22"/>
                      <w:lang w:val="sr-Latn-ME"/>
                    </w:rPr>
                  </w:pPr>
                </w:p>
                <w:p w14:paraId="1F41D2AB" w14:textId="77777777" w:rsidR="00B24289" w:rsidRPr="00930653" w:rsidRDefault="00B24289" w:rsidP="004E0BA7">
                  <w:pPr>
                    <w:pStyle w:val="BodyText"/>
                    <w:spacing w:after="0"/>
                    <w:jc w:val="both"/>
                    <w:rPr>
                      <w:noProof/>
                      <w:sz w:val="22"/>
                      <w:szCs w:val="22"/>
                      <w:lang w:val="sr-Latn-ME"/>
                    </w:rPr>
                  </w:pPr>
                  <w:r w:rsidRPr="00930653">
                    <w:rPr>
                      <w:noProof/>
                      <w:sz w:val="22"/>
                      <w:szCs w:val="22"/>
                      <w:lang w:val="sr-Latn-ME"/>
                    </w:rPr>
                    <w:t xml:space="preserve">Vrtoglavica, somnolencija, nesanica, psihomotorna hiperaktivnost, </w:t>
                  </w:r>
                  <w:r w:rsidRPr="00930653">
                    <w:rPr>
                      <w:noProof/>
                      <w:color w:val="000000"/>
                      <w:sz w:val="22"/>
                      <w:szCs w:val="22"/>
                      <w:lang w:val="sr-Latn-ME"/>
                    </w:rPr>
                    <w:t>epileptički napadi</w:t>
                  </w:r>
                </w:p>
              </w:tc>
            </w:tr>
            <w:tr w:rsidR="00E75E4D" w:rsidRPr="00930653" w14:paraId="76A4E660" w14:textId="77777777" w:rsidTr="007F2243">
              <w:tc>
                <w:tcPr>
                  <w:tcW w:w="3145" w:type="dxa"/>
                </w:tcPr>
                <w:p w14:paraId="7AAF1604" w14:textId="77777777" w:rsidR="00E75E4D" w:rsidRPr="00930653" w:rsidRDefault="006224E0" w:rsidP="00007378">
                  <w:pPr>
                    <w:pStyle w:val="BodyText"/>
                    <w:jc w:val="both"/>
                    <w:rPr>
                      <w:b/>
                      <w:noProof/>
                      <w:sz w:val="22"/>
                      <w:szCs w:val="22"/>
                      <w:lang w:val="sr-Latn-ME"/>
                    </w:rPr>
                  </w:pPr>
                  <w:r>
                    <w:rPr>
                      <w:b/>
                      <w:noProof/>
                      <w:sz w:val="22"/>
                      <w:szCs w:val="22"/>
                      <w:lang w:val="sr-Latn-ME"/>
                    </w:rPr>
                    <w:t>Poremećaji oka</w:t>
                  </w:r>
                </w:p>
              </w:tc>
              <w:tc>
                <w:tcPr>
                  <w:tcW w:w="2430" w:type="dxa"/>
                </w:tcPr>
                <w:p w14:paraId="29EC9197" w14:textId="77777777" w:rsidR="00E75E4D" w:rsidRPr="00930653" w:rsidRDefault="00E75E4D" w:rsidP="004E0BA7">
                  <w:pPr>
                    <w:pStyle w:val="BodyText"/>
                    <w:spacing w:after="0"/>
                    <w:jc w:val="both"/>
                    <w:rPr>
                      <w:noProof/>
                      <w:sz w:val="22"/>
                      <w:szCs w:val="22"/>
                      <w:lang w:val="sr-Latn-ME"/>
                    </w:rPr>
                  </w:pPr>
                  <w:r>
                    <w:rPr>
                      <w:noProof/>
                      <w:sz w:val="22"/>
                      <w:szCs w:val="22"/>
                      <w:lang w:val="sr-Latn-ME"/>
                    </w:rPr>
                    <w:t>Nepoznato</w:t>
                  </w:r>
                </w:p>
              </w:tc>
              <w:tc>
                <w:tcPr>
                  <w:tcW w:w="3581" w:type="dxa"/>
                </w:tcPr>
                <w:p w14:paraId="739A0453" w14:textId="77777777" w:rsidR="00E75E4D" w:rsidRPr="00930653" w:rsidRDefault="006224E0" w:rsidP="00007378">
                  <w:pPr>
                    <w:pStyle w:val="BodyText"/>
                    <w:spacing w:after="0"/>
                    <w:jc w:val="both"/>
                    <w:rPr>
                      <w:noProof/>
                      <w:sz w:val="22"/>
                      <w:szCs w:val="22"/>
                      <w:lang w:val="sr-Latn-ME"/>
                    </w:rPr>
                  </w:pPr>
                  <w:r>
                    <w:rPr>
                      <w:noProof/>
                      <w:sz w:val="22"/>
                      <w:szCs w:val="22"/>
                      <w:lang w:val="sr-Latn-ME"/>
                    </w:rPr>
                    <w:t>Suvoća oka</w:t>
                  </w:r>
                </w:p>
              </w:tc>
            </w:tr>
            <w:tr w:rsidR="00B24289" w:rsidRPr="00930653" w14:paraId="3D891B41" w14:textId="77777777" w:rsidTr="007F2243">
              <w:trPr>
                <w:trHeight w:val="377"/>
              </w:trPr>
              <w:tc>
                <w:tcPr>
                  <w:tcW w:w="3145" w:type="dxa"/>
                  <w:vMerge w:val="restart"/>
                </w:tcPr>
                <w:p w14:paraId="2F26E564" w14:textId="77777777" w:rsidR="00B24289" w:rsidRPr="00930653" w:rsidRDefault="00B24289" w:rsidP="00007378">
                  <w:pPr>
                    <w:pStyle w:val="BodyText"/>
                    <w:jc w:val="both"/>
                    <w:rPr>
                      <w:b/>
                      <w:noProof/>
                      <w:sz w:val="22"/>
                      <w:szCs w:val="22"/>
                      <w:lang w:val="sr-Latn-ME"/>
                    </w:rPr>
                  </w:pPr>
                  <w:r w:rsidRPr="00930653">
                    <w:rPr>
                      <w:b/>
                      <w:noProof/>
                      <w:sz w:val="22"/>
                      <w:szCs w:val="22"/>
                      <w:lang w:val="sr-Latn-ME"/>
                    </w:rPr>
                    <w:t>Kardiološki poremećaji</w:t>
                  </w:r>
                </w:p>
              </w:tc>
              <w:tc>
                <w:tcPr>
                  <w:tcW w:w="2430" w:type="dxa"/>
                  <w:tcBorders>
                    <w:bottom w:val="nil"/>
                  </w:tcBorders>
                </w:tcPr>
                <w:p w14:paraId="023AF231" w14:textId="77777777" w:rsidR="00B24289" w:rsidRPr="00930653" w:rsidRDefault="00B24289" w:rsidP="004E0BA7">
                  <w:pPr>
                    <w:pStyle w:val="BodyText"/>
                    <w:jc w:val="both"/>
                    <w:rPr>
                      <w:noProof/>
                      <w:sz w:val="22"/>
                      <w:szCs w:val="22"/>
                      <w:lang w:val="sr-Latn-ME"/>
                    </w:rPr>
                  </w:pPr>
                  <w:r w:rsidRPr="00930653">
                    <w:rPr>
                      <w:noProof/>
                      <w:sz w:val="22"/>
                      <w:szCs w:val="22"/>
                      <w:lang w:val="sr-Latn-ME"/>
                    </w:rPr>
                    <w:t>Veoma rijetk</w:t>
                  </w:r>
                  <w:r w:rsidR="00897A18" w:rsidRPr="00930653">
                    <w:rPr>
                      <w:noProof/>
                      <w:sz w:val="22"/>
                      <w:szCs w:val="22"/>
                      <w:lang w:val="sr-Latn-ME"/>
                    </w:rPr>
                    <w:t>o</w:t>
                  </w:r>
                </w:p>
              </w:tc>
              <w:tc>
                <w:tcPr>
                  <w:tcW w:w="3581" w:type="dxa"/>
                  <w:tcBorders>
                    <w:bottom w:val="nil"/>
                  </w:tcBorders>
                </w:tcPr>
                <w:p w14:paraId="2A69F281" w14:textId="77777777" w:rsidR="00B24289" w:rsidRPr="00930653" w:rsidRDefault="00B24289" w:rsidP="004E0BA7">
                  <w:pPr>
                    <w:pStyle w:val="BodyText"/>
                    <w:jc w:val="both"/>
                    <w:rPr>
                      <w:noProof/>
                      <w:sz w:val="22"/>
                      <w:szCs w:val="22"/>
                      <w:lang w:val="sr-Latn-ME"/>
                    </w:rPr>
                  </w:pPr>
                  <w:r w:rsidRPr="00930653">
                    <w:rPr>
                      <w:noProof/>
                      <w:sz w:val="22"/>
                      <w:szCs w:val="22"/>
                      <w:lang w:val="sr-Latn-ME"/>
                    </w:rPr>
                    <w:t>Tahikardija, palpitacije</w:t>
                  </w:r>
                </w:p>
              </w:tc>
            </w:tr>
            <w:tr w:rsidR="00B24289" w:rsidRPr="00930653" w14:paraId="2C92AE86" w14:textId="77777777" w:rsidTr="007F2243">
              <w:trPr>
                <w:trHeight w:val="322"/>
              </w:trPr>
              <w:tc>
                <w:tcPr>
                  <w:tcW w:w="3145" w:type="dxa"/>
                  <w:vMerge/>
                </w:tcPr>
                <w:p w14:paraId="4FE755AB" w14:textId="77777777" w:rsidR="00B24289" w:rsidRPr="00930653" w:rsidRDefault="00B24289" w:rsidP="00D57C3F">
                  <w:pPr>
                    <w:pStyle w:val="BodyText"/>
                    <w:jc w:val="both"/>
                    <w:rPr>
                      <w:b/>
                      <w:noProof/>
                      <w:sz w:val="22"/>
                      <w:szCs w:val="22"/>
                      <w:lang w:val="sr-Latn-ME"/>
                    </w:rPr>
                  </w:pPr>
                </w:p>
              </w:tc>
              <w:tc>
                <w:tcPr>
                  <w:tcW w:w="2430" w:type="dxa"/>
                  <w:tcBorders>
                    <w:top w:val="nil"/>
                  </w:tcBorders>
                </w:tcPr>
                <w:p w14:paraId="78CE5EC7" w14:textId="77777777" w:rsidR="00B24289" w:rsidRPr="00930653" w:rsidRDefault="00F72506" w:rsidP="00F72506">
                  <w:pPr>
                    <w:pStyle w:val="BodyText"/>
                    <w:jc w:val="both"/>
                    <w:rPr>
                      <w:noProof/>
                      <w:sz w:val="22"/>
                      <w:szCs w:val="22"/>
                      <w:lang w:val="sr-Latn-ME"/>
                    </w:rPr>
                  </w:pPr>
                  <w:r w:rsidRPr="00930653">
                    <w:rPr>
                      <w:noProof/>
                      <w:sz w:val="22"/>
                      <w:szCs w:val="22"/>
                      <w:lang w:val="sr-Latn-ME"/>
                    </w:rPr>
                    <w:t>Nepoznato</w:t>
                  </w:r>
                </w:p>
              </w:tc>
              <w:tc>
                <w:tcPr>
                  <w:tcW w:w="3581" w:type="dxa"/>
                  <w:tcBorders>
                    <w:top w:val="nil"/>
                  </w:tcBorders>
                </w:tcPr>
                <w:p w14:paraId="2016FA72" w14:textId="77777777" w:rsidR="00B24289" w:rsidRPr="00930653" w:rsidRDefault="00B24289" w:rsidP="00F72506">
                  <w:pPr>
                    <w:pStyle w:val="BodyText"/>
                    <w:jc w:val="both"/>
                    <w:rPr>
                      <w:noProof/>
                      <w:sz w:val="22"/>
                      <w:szCs w:val="22"/>
                      <w:lang w:val="sr-Latn-ME"/>
                    </w:rPr>
                  </w:pPr>
                  <w:r w:rsidRPr="00930653">
                    <w:rPr>
                      <w:noProof/>
                      <w:sz w:val="22"/>
                      <w:szCs w:val="22"/>
                      <w:lang w:val="sr-Latn-ME"/>
                    </w:rPr>
                    <w:t>Produženje QT intervala</w:t>
                  </w:r>
                </w:p>
              </w:tc>
            </w:tr>
            <w:tr w:rsidR="00B24289" w:rsidRPr="00A731F9" w14:paraId="62244805" w14:textId="77777777" w:rsidTr="007F2243">
              <w:tc>
                <w:tcPr>
                  <w:tcW w:w="3145" w:type="dxa"/>
                </w:tcPr>
                <w:p w14:paraId="123E0C9F" w14:textId="77777777" w:rsidR="00B24289" w:rsidRPr="00930653" w:rsidRDefault="00B24289" w:rsidP="00007378">
                  <w:pPr>
                    <w:jc w:val="both"/>
                    <w:rPr>
                      <w:b/>
                      <w:sz w:val="22"/>
                      <w:szCs w:val="22"/>
                      <w:lang w:val="sr-Latn-ME"/>
                    </w:rPr>
                  </w:pPr>
                  <w:r w:rsidRPr="00930653">
                    <w:rPr>
                      <w:b/>
                      <w:sz w:val="22"/>
                      <w:szCs w:val="22"/>
                      <w:lang w:val="sr-Latn-ME"/>
                    </w:rPr>
                    <w:t>Gastrointestinalni poremećaji</w:t>
                  </w:r>
                </w:p>
              </w:tc>
              <w:tc>
                <w:tcPr>
                  <w:tcW w:w="2430" w:type="dxa"/>
                </w:tcPr>
                <w:p w14:paraId="7176DD3E" w14:textId="77777777" w:rsidR="00B24289" w:rsidRPr="00930653" w:rsidRDefault="00B24289" w:rsidP="004E0BA7">
                  <w:pPr>
                    <w:jc w:val="both"/>
                    <w:rPr>
                      <w:sz w:val="22"/>
                      <w:szCs w:val="22"/>
                      <w:lang w:val="sr-Latn-ME"/>
                    </w:rPr>
                  </w:pPr>
                  <w:r w:rsidRPr="00930653">
                    <w:rPr>
                      <w:sz w:val="22"/>
                      <w:szCs w:val="22"/>
                      <w:lang w:val="sr-Latn-ME"/>
                    </w:rPr>
                    <w:t>Čest</w:t>
                  </w:r>
                  <w:r w:rsidR="00897A18" w:rsidRPr="00930653">
                    <w:rPr>
                      <w:sz w:val="22"/>
                      <w:szCs w:val="22"/>
                      <w:lang w:val="sr-Latn-ME"/>
                    </w:rPr>
                    <w:t>o</w:t>
                  </w:r>
                </w:p>
                <w:p w14:paraId="7812772D" w14:textId="77777777" w:rsidR="00B24289" w:rsidRPr="00930653" w:rsidRDefault="00B24289" w:rsidP="004E0BA7">
                  <w:pPr>
                    <w:jc w:val="both"/>
                    <w:rPr>
                      <w:sz w:val="22"/>
                      <w:szCs w:val="22"/>
                      <w:lang w:val="sr-Latn-ME"/>
                    </w:rPr>
                  </w:pPr>
                  <w:r w:rsidRPr="00930653">
                    <w:rPr>
                      <w:sz w:val="22"/>
                      <w:szCs w:val="22"/>
                      <w:lang w:val="sr-Latn-ME"/>
                    </w:rPr>
                    <w:t>Čest</w:t>
                  </w:r>
                  <w:r w:rsidR="00897A18" w:rsidRPr="00930653">
                    <w:rPr>
                      <w:sz w:val="22"/>
                      <w:szCs w:val="22"/>
                      <w:lang w:val="sr-Latn-ME"/>
                    </w:rPr>
                    <w:t>o</w:t>
                  </w:r>
                  <w:r w:rsidRPr="00930653">
                    <w:rPr>
                      <w:sz w:val="22"/>
                      <w:szCs w:val="22"/>
                      <w:lang w:val="sr-Latn-ME"/>
                    </w:rPr>
                    <w:t xml:space="preserve"> (djeca mlađa od 2 godine)</w:t>
                  </w:r>
                </w:p>
                <w:p w14:paraId="7772E9AA" w14:textId="77777777" w:rsidR="00B24289" w:rsidRPr="00930653" w:rsidRDefault="00B24289" w:rsidP="004E0BA7">
                  <w:pPr>
                    <w:jc w:val="both"/>
                    <w:rPr>
                      <w:sz w:val="22"/>
                      <w:szCs w:val="22"/>
                      <w:lang w:val="sr-Latn-ME"/>
                    </w:rPr>
                  </w:pPr>
                  <w:r w:rsidRPr="00930653">
                    <w:rPr>
                      <w:sz w:val="22"/>
                      <w:szCs w:val="22"/>
                      <w:lang w:val="sr-Latn-ME"/>
                    </w:rPr>
                    <w:t>Veoma rijetk</w:t>
                  </w:r>
                  <w:r w:rsidR="00897A18" w:rsidRPr="00930653">
                    <w:rPr>
                      <w:sz w:val="22"/>
                      <w:szCs w:val="22"/>
                      <w:lang w:val="sr-Latn-ME"/>
                    </w:rPr>
                    <w:t>o</w:t>
                  </w:r>
                </w:p>
              </w:tc>
              <w:tc>
                <w:tcPr>
                  <w:tcW w:w="3581" w:type="dxa"/>
                </w:tcPr>
                <w:p w14:paraId="0E7B0364" w14:textId="77777777" w:rsidR="00B24289" w:rsidRPr="00930653" w:rsidRDefault="00B24289" w:rsidP="004E0BA7">
                  <w:pPr>
                    <w:jc w:val="both"/>
                    <w:rPr>
                      <w:sz w:val="22"/>
                      <w:szCs w:val="22"/>
                      <w:lang w:val="sr-Latn-ME"/>
                    </w:rPr>
                  </w:pPr>
                  <w:r w:rsidRPr="00930653">
                    <w:rPr>
                      <w:sz w:val="22"/>
                      <w:szCs w:val="22"/>
                      <w:lang w:val="sr-Latn-ME"/>
                    </w:rPr>
                    <w:t>Suvoća usta</w:t>
                  </w:r>
                </w:p>
                <w:p w14:paraId="203DC4B5" w14:textId="77777777" w:rsidR="00B24289" w:rsidRPr="00930653" w:rsidRDefault="00B24289" w:rsidP="00F72506">
                  <w:pPr>
                    <w:jc w:val="both"/>
                    <w:rPr>
                      <w:sz w:val="22"/>
                      <w:szCs w:val="22"/>
                      <w:lang w:val="sr-Latn-ME"/>
                    </w:rPr>
                  </w:pPr>
                  <w:r w:rsidRPr="00930653">
                    <w:rPr>
                      <w:sz w:val="22"/>
                      <w:szCs w:val="22"/>
                      <w:lang w:val="sr-Latn-ME"/>
                    </w:rPr>
                    <w:t>Dijareja</w:t>
                  </w:r>
                </w:p>
                <w:p w14:paraId="7CB02220" w14:textId="77777777" w:rsidR="00B24289" w:rsidRPr="00930653" w:rsidRDefault="00B24289" w:rsidP="00287B29">
                  <w:pPr>
                    <w:jc w:val="both"/>
                    <w:rPr>
                      <w:sz w:val="22"/>
                      <w:szCs w:val="22"/>
                      <w:lang w:val="sr-Latn-ME"/>
                    </w:rPr>
                  </w:pPr>
                </w:p>
                <w:p w14:paraId="0C1A25AE" w14:textId="77777777" w:rsidR="00B24289" w:rsidRPr="00930653" w:rsidRDefault="00B24289" w:rsidP="00406B9C">
                  <w:pPr>
                    <w:jc w:val="both"/>
                    <w:rPr>
                      <w:sz w:val="22"/>
                      <w:szCs w:val="22"/>
                      <w:lang w:val="sr-Latn-ME"/>
                    </w:rPr>
                  </w:pPr>
                  <w:r w:rsidRPr="00930653">
                    <w:rPr>
                      <w:sz w:val="22"/>
                      <w:szCs w:val="22"/>
                      <w:lang w:val="sr-Latn-ME"/>
                    </w:rPr>
                    <w:t>Abdominalni bol, mučnina, povraćanje, dispepsija, dijareja</w:t>
                  </w:r>
                </w:p>
              </w:tc>
            </w:tr>
            <w:tr w:rsidR="00B24289" w:rsidRPr="00A731F9" w14:paraId="4544FBD4" w14:textId="77777777" w:rsidTr="007F2243">
              <w:trPr>
                <w:trHeight w:val="720"/>
              </w:trPr>
              <w:tc>
                <w:tcPr>
                  <w:tcW w:w="3145" w:type="dxa"/>
                  <w:vMerge w:val="restart"/>
                </w:tcPr>
                <w:p w14:paraId="24EBD06B" w14:textId="77777777" w:rsidR="00B24289" w:rsidRPr="00930653" w:rsidRDefault="00B24289" w:rsidP="00007378">
                  <w:pPr>
                    <w:jc w:val="both"/>
                    <w:rPr>
                      <w:b/>
                      <w:sz w:val="22"/>
                      <w:szCs w:val="22"/>
                      <w:lang w:val="sr-Latn-ME"/>
                    </w:rPr>
                  </w:pPr>
                  <w:r w:rsidRPr="00930653">
                    <w:rPr>
                      <w:b/>
                      <w:sz w:val="22"/>
                      <w:szCs w:val="22"/>
                      <w:lang w:val="sr-Latn-ME"/>
                    </w:rPr>
                    <w:t>Hepato-bilijarni poremećaji</w:t>
                  </w:r>
                </w:p>
              </w:tc>
              <w:tc>
                <w:tcPr>
                  <w:tcW w:w="2430" w:type="dxa"/>
                  <w:tcBorders>
                    <w:bottom w:val="nil"/>
                  </w:tcBorders>
                </w:tcPr>
                <w:p w14:paraId="05A7623B" w14:textId="77777777" w:rsidR="00B24289" w:rsidRPr="00930653" w:rsidRDefault="00B24289" w:rsidP="004E0BA7">
                  <w:pPr>
                    <w:jc w:val="both"/>
                    <w:rPr>
                      <w:sz w:val="22"/>
                      <w:szCs w:val="22"/>
                      <w:lang w:val="sr-Latn-ME"/>
                    </w:rPr>
                  </w:pPr>
                  <w:r w:rsidRPr="00930653">
                    <w:rPr>
                      <w:sz w:val="22"/>
                      <w:szCs w:val="22"/>
                      <w:lang w:val="sr-Latn-ME"/>
                    </w:rPr>
                    <w:t>Veoma rijetk</w:t>
                  </w:r>
                  <w:r w:rsidR="00897A18" w:rsidRPr="00930653">
                    <w:rPr>
                      <w:sz w:val="22"/>
                      <w:szCs w:val="22"/>
                      <w:lang w:val="sr-Latn-ME"/>
                    </w:rPr>
                    <w:t>o</w:t>
                  </w:r>
                </w:p>
              </w:tc>
              <w:tc>
                <w:tcPr>
                  <w:tcW w:w="3581" w:type="dxa"/>
                  <w:tcBorders>
                    <w:bottom w:val="nil"/>
                  </w:tcBorders>
                </w:tcPr>
                <w:p w14:paraId="01701E3F" w14:textId="7B1F0A03" w:rsidR="00B24289" w:rsidRPr="00930653" w:rsidRDefault="00B24289" w:rsidP="004E0BA7">
                  <w:pPr>
                    <w:jc w:val="both"/>
                    <w:rPr>
                      <w:sz w:val="22"/>
                      <w:szCs w:val="22"/>
                      <w:lang w:val="sr-Latn-ME"/>
                    </w:rPr>
                  </w:pPr>
                  <w:r w:rsidRPr="00930653">
                    <w:rPr>
                      <w:sz w:val="22"/>
                      <w:szCs w:val="22"/>
                      <w:lang w:val="sr-Latn-ME"/>
                    </w:rPr>
                    <w:t>Pov</w:t>
                  </w:r>
                  <w:r w:rsidR="00D9586E">
                    <w:rPr>
                      <w:sz w:val="22"/>
                      <w:szCs w:val="22"/>
                      <w:lang w:val="sr-Latn-ME"/>
                    </w:rPr>
                    <w:t>ećane vrijednosti</w:t>
                  </w:r>
                  <w:r w:rsidRPr="00930653">
                    <w:rPr>
                      <w:sz w:val="22"/>
                      <w:szCs w:val="22"/>
                      <w:lang w:val="sr-Latn-ME"/>
                    </w:rPr>
                    <w:t xml:space="preserve">  enzima jetre, </w:t>
                  </w:r>
                  <w:r w:rsidR="00D9586E">
                    <w:rPr>
                      <w:sz w:val="22"/>
                      <w:szCs w:val="22"/>
                      <w:lang w:val="sr-Latn-ME"/>
                    </w:rPr>
                    <w:t>povećane vrijednosti</w:t>
                  </w:r>
                  <w:r w:rsidR="00D9586E" w:rsidRPr="00930653">
                    <w:rPr>
                      <w:sz w:val="22"/>
                      <w:szCs w:val="22"/>
                      <w:lang w:val="sr-Latn-ME"/>
                    </w:rPr>
                    <w:t xml:space="preserve"> </w:t>
                  </w:r>
                  <w:r w:rsidRPr="00930653">
                    <w:rPr>
                      <w:sz w:val="22"/>
                      <w:szCs w:val="22"/>
                      <w:lang w:val="sr-Latn-ME"/>
                    </w:rPr>
                    <w:t>bilirubin</w:t>
                  </w:r>
                  <w:r w:rsidR="00D9586E">
                    <w:rPr>
                      <w:sz w:val="22"/>
                      <w:szCs w:val="22"/>
                      <w:lang w:val="sr-Latn-ME"/>
                    </w:rPr>
                    <w:t>a</w:t>
                  </w:r>
                  <w:r w:rsidRPr="00930653">
                    <w:rPr>
                      <w:sz w:val="22"/>
                      <w:szCs w:val="22"/>
                      <w:lang w:val="sr-Latn-ME"/>
                    </w:rPr>
                    <w:t>, hepatitis</w:t>
                  </w:r>
                </w:p>
              </w:tc>
            </w:tr>
            <w:tr w:rsidR="00B24289" w:rsidRPr="00930653" w14:paraId="092F5A51" w14:textId="77777777" w:rsidTr="007F2243">
              <w:trPr>
                <w:trHeight w:val="292"/>
              </w:trPr>
              <w:tc>
                <w:tcPr>
                  <w:tcW w:w="3145" w:type="dxa"/>
                  <w:vMerge/>
                </w:tcPr>
                <w:p w14:paraId="027DBC8D" w14:textId="77777777" w:rsidR="00B24289" w:rsidRPr="00930653" w:rsidRDefault="00B24289" w:rsidP="00930653">
                  <w:pPr>
                    <w:jc w:val="both"/>
                    <w:rPr>
                      <w:b/>
                      <w:sz w:val="22"/>
                      <w:szCs w:val="22"/>
                      <w:lang w:val="sr-Latn-ME"/>
                    </w:rPr>
                  </w:pPr>
                </w:p>
              </w:tc>
              <w:tc>
                <w:tcPr>
                  <w:tcW w:w="2430" w:type="dxa"/>
                  <w:tcBorders>
                    <w:top w:val="nil"/>
                  </w:tcBorders>
                </w:tcPr>
                <w:p w14:paraId="2CB72592" w14:textId="77777777" w:rsidR="00B24289" w:rsidRPr="00930653" w:rsidRDefault="00B24289" w:rsidP="00930653">
                  <w:pPr>
                    <w:jc w:val="both"/>
                    <w:rPr>
                      <w:sz w:val="22"/>
                      <w:szCs w:val="22"/>
                      <w:lang w:val="sr-Latn-ME"/>
                    </w:rPr>
                  </w:pPr>
                  <w:r w:rsidRPr="00930653">
                    <w:rPr>
                      <w:sz w:val="22"/>
                      <w:szCs w:val="22"/>
                      <w:lang w:val="sr-Latn-ME"/>
                    </w:rPr>
                    <w:t>Nepoznat</w:t>
                  </w:r>
                  <w:r w:rsidR="00897A18" w:rsidRPr="00930653">
                    <w:rPr>
                      <w:sz w:val="22"/>
                      <w:szCs w:val="22"/>
                      <w:lang w:val="sr-Latn-ME"/>
                    </w:rPr>
                    <w:t>o</w:t>
                  </w:r>
                </w:p>
              </w:tc>
              <w:tc>
                <w:tcPr>
                  <w:tcW w:w="3581" w:type="dxa"/>
                  <w:tcBorders>
                    <w:top w:val="nil"/>
                  </w:tcBorders>
                </w:tcPr>
                <w:p w14:paraId="09291C4D" w14:textId="77777777" w:rsidR="00B24289" w:rsidRPr="00930653" w:rsidDel="006555C9" w:rsidRDefault="00B24289" w:rsidP="00930653">
                  <w:pPr>
                    <w:jc w:val="both"/>
                    <w:rPr>
                      <w:sz w:val="22"/>
                      <w:szCs w:val="22"/>
                      <w:lang w:val="sr-Latn-ME"/>
                    </w:rPr>
                  </w:pPr>
                  <w:r w:rsidRPr="00930653">
                    <w:rPr>
                      <w:sz w:val="22"/>
                      <w:szCs w:val="22"/>
                      <w:lang w:val="sr-Latn-ME"/>
                    </w:rPr>
                    <w:t>Žutica</w:t>
                  </w:r>
                </w:p>
              </w:tc>
            </w:tr>
            <w:tr w:rsidR="00B24289" w:rsidRPr="00930653" w14:paraId="286F99FF" w14:textId="77777777" w:rsidTr="007F2243">
              <w:trPr>
                <w:trHeight w:val="312"/>
              </w:trPr>
              <w:tc>
                <w:tcPr>
                  <w:tcW w:w="3145" w:type="dxa"/>
                </w:tcPr>
                <w:p w14:paraId="78A88C92" w14:textId="77777777" w:rsidR="00B24289" w:rsidRPr="00930653" w:rsidRDefault="00B24289" w:rsidP="00F72506">
                  <w:pPr>
                    <w:jc w:val="both"/>
                    <w:rPr>
                      <w:b/>
                      <w:sz w:val="22"/>
                      <w:szCs w:val="22"/>
                      <w:lang w:val="sr-Latn-ME"/>
                    </w:rPr>
                  </w:pPr>
                  <w:r w:rsidRPr="00930653">
                    <w:rPr>
                      <w:b/>
                      <w:sz w:val="22"/>
                      <w:szCs w:val="22"/>
                      <w:lang w:val="sr-Latn-ME"/>
                    </w:rPr>
                    <w:t xml:space="preserve">Poremećaju na nivou kože </w:t>
                  </w:r>
                  <w:r w:rsidR="00F72506" w:rsidRPr="00930653">
                    <w:rPr>
                      <w:b/>
                      <w:sz w:val="22"/>
                      <w:szCs w:val="22"/>
                      <w:lang w:val="sr-Latn-ME"/>
                    </w:rPr>
                    <w:t xml:space="preserve">i </w:t>
                  </w:r>
                  <w:r w:rsidRPr="00930653">
                    <w:rPr>
                      <w:b/>
                      <w:sz w:val="22"/>
                      <w:szCs w:val="22"/>
                      <w:lang w:val="sr-Latn-ME"/>
                    </w:rPr>
                    <w:t>potkožnog tkiva</w:t>
                  </w:r>
                </w:p>
              </w:tc>
              <w:tc>
                <w:tcPr>
                  <w:tcW w:w="2430" w:type="dxa"/>
                </w:tcPr>
                <w:p w14:paraId="7525B140" w14:textId="77777777" w:rsidR="00B24289" w:rsidRPr="00930653" w:rsidRDefault="00B24289" w:rsidP="004E0BA7">
                  <w:pPr>
                    <w:jc w:val="both"/>
                    <w:rPr>
                      <w:sz w:val="22"/>
                      <w:szCs w:val="22"/>
                      <w:lang w:val="sr-Latn-ME"/>
                    </w:rPr>
                  </w:pPr>
                  <w:r w:rsidRPr="00930653">
                    <w:rPr>
                      <w:sz w:val="22"/>
                      <w:szCs w:val="22"/>
                      <w:lang w:val="sr-Latn-ME"/>
                    </w:rPr>
                    <w:t>Nepoznat</w:t>
                  </w:r>
                  <w:r w:rsidR="00897A18" w:rsidRPr="00930653">
                    <w:rPr>
                      <w:sz w:val="22"/>
                      <w:szCs w:val="22"/>
                      <w:lang w:val="sr-Latn-ME"/>
                    </w:rPr>
                    <w:t>o</w:t>
                  </w:r>
                </w:p>
              </w:tc>
              <w:tc>
                <w:tcPr>
                  <w:tcW w:w="3581" w:type="dxa"/>
                </w:tcPr>
                <w:p w14:paraId="420DD9F6" w14:textId="77777777" w:rsidR="00B24289" w:rsidRPr="00930653" w:rsidDel="006555C9" w:rsidRDefault="00B24289" w:rsidP="004E0BA7">
                  <w:pPr>
                    <w:jc w:val="both"/>
                    <w:rPr>
                      <w:sz w:val="22"/>
                      <w:szCs w:val="22"/>
                      <w:lang w:val="sr-Latn-ME"/>
                    </w:rPr>
                  </w:pPr>
                  <w:r w:rsidRPr="00930653">
                    <w:rPr>
                      <w:sz w:val="22"/>
                      <w:szCs w:val="22"/>
                      <w:lang w:val="sr-Latn-ME"/>
                    </w:rPr>
                    <w:t>Fotosenzitivnost</w:t>
                  </w:r>
                </w:p>
              </w:tc>
            </w:tr>
            <w:tr w:rsidR="00B24289" w:rsidRPr="00930653" w14:paraId="6189E4DC" w14:textId="77777777" w:rsidTr="007F2243">
              <w:tc>
                <w:tcPr>
                  <w:tcW w:w="3145" w:type="dxa"/>
                </w:tcPr>
                <w:p w14:paraId="5C738721" w14:textId="77777777" w:rsidR="00B24289" w:rsidRPr="00930653" w:rsidRDefault="00B24289" w:rsidP="00007378">
                  <w:pPr>
                    <w:jc w:val="both"/>
                    <w:rPr>
                      <w:b/>
                      <w:sz w:val="22"/>
                      <w:szCs w:val="22"/>
                      <w:lang w:val="sr-Latn-ME"/>
                    </w:rPr>
                  </w:pPr>
                  <w:r w:rsidRPr="00930653">
                    <w:rPr>
                      <w:b/>
                      <w:sz w:val="22"/>
                      <w:szCs w:val="22"/>
                      <w:lang w:val="sr-Latn-ME"/>
                    </w:rPr>
                    <w:t>Poremećaji mišićno-skeletnog  i vezivnog tkiva</w:t>
                  </w:r>
                </w:p>
              </w:tc>
              <w:tc>
                <w:tcPr>
                  <w:tcW w:w="2430" w:type="dxa"/>
                </w:tcPr>
                <w:p w14:paraId="5713DF5E" w14:textId="77777777" w:rsidR="00B24289" w:rsidRPr="00930653" w:rsidRDefault="00B24289" w:rsidP="004E0BA7">
                  <w:pPr>
                    <w:jc w:val="both"/>
                    <w:rPr>
                      <w:sz w:val="22"/>
                      <w:szCs w:val="22"/>
                      <w:lang w:val="sr-Latn-ME"/>
                    </w:rPr>
                  </w:pPr>
                  <w:r w:rsidRPr="00930653">
                    <w:rPr>
                      <w:sz w:val="22"/>
                      <w:szCs w:val="22"/>
                      <w:lang w:val="sr-Latn-ME"/>
                    </w:rPr>
                    <w:t>Veoma rijetk</w:t>
                  </w:r>
                  <w:r w:rsidR="00897A18" w:rsidRPr="00930653">
                    <w:rPr>
                      <w:sz w:val="22"/>
                      <w:szCs w:val="22"/>
                      <w:lang w:val="sr-Latn-ME"/>
                    </w:rPr>
                    <w:t>o</w:t>
                  </w:r>
                </w:p>
              </w:tc>
              <w:tc>
                <w:tcPr>
                  <w:tcW w:w="3581" w:type="dxa"/>
                </w:tcPr>
                <w:p w14:paraId="306D05F2" w14:textId="77777777" w:rsidR="00B24289" w:rsidRPr="00930653" w:rsidRDefault="00B24289" w:rsidP="004E0BA7">
                  <w:pPr>
                    <w:jc w:val="both"/>
                    <w:rPr>
                      <w:sz w:val="22"/>
                      <w:szCs w:val="22"/>
                      <w:lang w:val="sr-Latn-ME"/>
                    </w:rPr>
                  </w:pPr>
                  <w:r w:rsidRPr="00930653">
                    <w:rPr>
                      <w:sz w:val="22"/>
                      <w:szCs w:val="22"/>
                      <w:lang w:val="sr-Latn-ME"/>
                    </w:rPr>
                    <w:t>Mialgija</w:t>
                  </w:r>
                </w:p>
              </w:tc>
            </w:tr>
            <w:tr w:rsidR="00B24289" w:rsidRPr="00A731F9" w14:paraId="55924E96" w14:textId="77777777" w:rsidTr="007F2243">
              <w:trPr>
                <w:trHeight w:val="1784"/>
              </w:trPr>
              <w:tc>
                <w:tcPr>
                  <w:tcW w:w="3145" w:type="dxa"/>
                  <w:vMerge w:val="restart"/>
                </w:tcPr>
                <w:p w14:paraId="021DC4DC" w14:textId="77777777" w:rsidR="00B24289" w:rsidRPr="00930653" w:rsidRDefault="00B24289" w:rsidP="00007378">
                  <w:pPr>
                    <w:jc w:val="both"/>
                    <w:rPr>
                      <w:b/>
                      <w:sz w:val="22"/>
                      <w:szCs w:val="22"/>
                      <w:lang w:val="sr-Latn-ME"/>
                    </w:rPr>
                  </w:pPr>
                  <w:r w:rsidRPr="00930653">
                    <w:rPr>
                      <w:b/>
                      <w:sz w:val="22"/>
                      <w:szCs w:val="22"/>
                      <w:lang w:val="sr-Latn-ME"/>
                    </w:rPr>
                    <w:lastRenderedPageBreak/>
                    <w:t xml:space="preserve">Opšti poremećaji i reakcije na mjestu primjene </w:t>
                  </w:r>
                </w:p>
              </w:tc>
              <w:tc>
                <w:tcPr>
                  <w:tcW w:w="2430" w:type="dxa"/>
                  <w:tcBorders>
                    <w:bottom w:val="nil"/>
                  </w:tcBorders>
                </w:tcPr>
                <w:p w14:paraId="4B15E5D7" w14:textId="77777777" w:rsidR="00B24289" w:rsidRPr="00930653" w:rsidRDefault="00B24289" w:rsidP="004E0BA7">
                  <w:pPr>
                    <w:jc w:val="both"/>
                    <w:rPr>
                      <w:sz w:val="22"/>
                      <w:szCs w:val="22"/>
                      <w:lang w:val="sr-Latn-ME"/>
                    </w:rPr>
                  </w:pPr>
                  <w:r w:rsidRPr="00930653">
                    <w:rPr>
                      <w:sz w:val="22"/>
                      <w:szCs w:val="22"/>
                      <w:lang w:val="sr-Latn-ME"/>
                    </w:rPr>
                    <w:t>Čest</w:t>
                  </w:r>
                  <w:r w:rsidR="00897A18" w:rsidRPr="00930653">
                    <w:rPr>
                      <w:sz w:val="22"/>
                      <w:szCs w:val="22"/>
                      <w:lang w:val="sr-Latn-ME"/>
                    </w:rPr>
                    <w:t>o</w:t>
                  </w:r>
                  <w:r w:rsidRPr="00930653">
                    <w:rPr>
                      <w:sz w:val="22"/>
                      <w:szCs w:val="22"/>
                      <w:lang w:val="sr-Latn-ME"/>
                    </w:rPr>
                    <w:t xml:space="preserve"> </w:t>
                  </w:r>
                </w:p>
                <w:p w14:paraId="221F529C" w14:textId="77777777" w:rsidR="00B24289" w:rsidRPr="00930653" w:rsidRDefault="00B24289" w:rsidP="004E0BA7">
                  <w:pPr>
                    <w:jc w:val="both"/>
                    <w:rPr>
                      <w:sz w:val="22"/>
                      <w:szCs w:val="22"/>
                      <w:lang w:val="sr-Latn-ME"/>
                    </w:rPr>
                  </w:pPr>
                  <w:r w:rsidRPr="00930653">
                    <w:rPr>
                      <w:sz w:val="22"/>
                      <w:szCs w:val="22"/>
                      <w:lang w:val="sr-Latn-ME"/>
                    </w:rPr>
                    <w:t>Čest</w:t>
                  </w:r>
                  <w:r w:rsidR="00897A18" w:rsidRPr="00930653">
                    <w:rPr>
                      <w:sz w:val="22"/>
                      <w:szCs w:val="22"/>
                      <w:lang w:val="sr-Latn-ME"/>
                    </w:rPr>
                    <w:t>o</w:t>
                  </w:r>
                  <w:r w:rsidRPr="00930653">
                    <w:rPr>
                      <w:sz w:val="22"/>
                      <w:szCs w:val="22"/>
                      <w:lang w:val="sr-Latn-ME"/>
                    </w:rPr>
                    <w:t xml:space="preserve"> (djeca mlađa od 2 godine)</w:t>
                  </w:r>
                </w:p>
                <w:p w14:paraId="26B0EB90" w14:textId="77777777" w:rsidR="00B24289" w:rsidRPr="00930653" w:rsidRDefault="00B24289" w:rsidP="00F72506">
                  <w:pPr>
                    <w:jc w:val="both"/>
                    <w:rPr>
                      <w:sz w:val="22"/>
                      <w:szCs w:val="22"/>
                      <w:lang w:val="sr-Latn-ME"/>
                    </w:rPr>
                  </w:pPr>
                  <w:r w:rsidRPr="00930653">
                    <w:rPr>
                      <w:sz w:val="22"/>
                      <w:szCs w:val="22"/>
                      <w:lang w:val="sr-Latn-ME"/>
                    </w:rPr>
                    <w:t>Veoma rijetk</w:t>
                  </w:r>
                  <w:r w:rsidR="00897A18" w:rsidRPr="00930653">
                    <w:rPr>
                      <w:sz w:val="22"/>
                      <w:szCs w:val="22"/>
                      <w:lang w:val="sr-Latn-ME"/>
                    </w:rPr>
                    <w:t>o</w:t>
                  </w:r>
                </w:p>
              </w:tc>
              <w:tc>
                <w:tcPr>
                  <w:tcW w:w="3581" w:type="dxa"/>
                  <w:tcBorders>
                    <w:bottom w:val="nil"/>
                  </w:tcBorders>
                </w:tcPr>
                <w:p w14:paraId="6C49B253" w14:textId="77777777" w:rsidR="00B24289" w:rsidRPr="00930653" w:rsidRDefault="00B24289" w:rsidP="00F72506">
                  <w:pPr>
                    <w:jc w:val="both"/>
                    <w:rPr>
                      <w:sz w:val="22"/>
                      <w:szCs w:val="22"/>
                      <w:lang w:val="sr-Latn-ME"/>
                    </w:rPr>
                  </w:pPr>
                  <w:r w:rsidRPr="00930653">
                    <w:rPr>
                      <w:sz w:val="22"/>
                      <w:szCs w:val="22"/>
                      <w:lang w:val="sr-Latn-ME"/>
                    </w:rPr>
                    <w:t>Umor</w:t>
                  </w:r>
                </w:p>
                <w:p w14:paraId="624B1123" w14:textId="70D01417" w:rsidR="00B24289" w:rsidRPr="00930653" w:rsidRDefault="000E2154" w:rsidP="00287B29">
                  <w:pPr>
                    <w:jc w:val="both"/>
                    <w:rPr>
                      <w:sz w:val="22"/>
                      <w:szCs w:val="22"/>
                      <w:lang w:val="sr-Latn-ME"/>
                    </w:rPr>
                  </w:pPr>
                  <w:r>
                    <w:rPr>
                      <w:sz w:val="22"/>
                      <w:szCs w:val="22"/>
                      <w:lang w:val="sr-Latn-ME"/>
                    </w:rPr>
                    <w:t>Povišena tjelesna temperatura</w:t>
                  </w:r>
                </w:p>
                <w:p w14:paraId="74DD56A2" w14:textId="77777777" w:rsidR="00B24289" w:rsidRPr="00930653" w:rsidRDefault="00B24289" w:rsidP="00406B9C">
                  <w:pPr>
                    <w:jc w:val="both"/>
                    <w:rPr>
                      <w:sz w:val="22"/>
                      <w:szCs w:val="22"/>
                      <w:lang w:val="sr-Latn-ME"/>
                    </w:rPr>
                  </w:pPr>
                </w:p>
                <w:p w14:paraId="6A518CC5" w14:textId="77777777" w:rsidR="00B24289" w:rsidRPr="00930653" w:rsidRDefault="00B24289" w:rsidP="000C656C">
                  <w:pPr>
                    <w:jc w:val="both"/>
                    <w:rPr>
                      <w:sz w:val="22"/>
                      <w:szCs w:val="22"/>
                      <w:lang w:val="sr-Latn-ME"/>
                    </w:rPr>
                  </w:pPr>
                  <w:r w:rsidRPr="00930653">
                    <w:rPr>
                      <w:sz w:val="22"/>
                      <w:szCs w:val="22"/>
                      <w:lang w:val="sr-Latn-ME"/>
                    </w:rPr>
                    <w:t>Reakcije preosjetljivosti (poput anafilakse, angioedema, dispneje, pruritusa, osipa i urtikarije)</w:t>
                  </w:r>
                </w:p>
              </w:tc>
            </w:tr>
            <w:tr w:rsidR="00B24289" w:rsidRPr="00A731F9" w14:paraId="28503C56" w14:textId="77777777" w:rsidTr="007F2243">
              <w:trPr>
                <w:trHeight w:val="247"/>
              </w:trPr>
              <w:tc>
                <w:tcPr>
                  <w:tcW w:w="3145" w:type="dxa"/>
                  <w:vMerge/>
                  <w:tcBorders>
                    <w:bottom w:val="single" w:sz="4" w:space="0" w:color="auto"/>
                  </w:tcBorders>
                </w:tcPr>
                <w:p w14:paraId="68DDB558" w14:textId="77777777" w:rsidR="00B24289" w:rsidRPr="00930653" w:rsidRDefault="00B24289" w:rsidP="00930653">
                  <w:pPr>
                    <w:jc w:val="both"/>
                    <w:rPr>
                      <w:b/>
                      <w:sz w:val="22"/>
                      <w:szCs w:val="22"/>
                      <w:lang w:val="sr-Latn-ME"/>
                    </w:rPr>
                  </w:pPr>
                </w:p>
              </w:tc>
              <w:tc>
                <w:tcPr>
                  <w:tcW w:w="2430" w:type="dxa"/>
                  <w:tcBorders>
                    <w:top w:val="nil"/>
                    <w:bottom w:val="single" w:sz="4" w:space="0" w:color="auto"/>
                  </w:tcBorders>
                </w:tcPr>
                <w:p w14:paraId="1C82DD8B" w14:textId="77777777" w:rsidR="00B24289" w:rsidRPr="00930653" w:rsidRDefault="00B24289" w:rsidP="00930653">
                  <w:pPr>
                    <w:jc w:val="both"/>
                    <w:rPr>
                      <w:sz w:val="22"/>
                      <w:szCs w:val="22"/>
                      <w:lang w:val="sr-Latn-ME"/>
                    </w:rPr>
                  </w:pPr>
                  <w:r w:rsidRPr="00930653">
                    <w:rPr>
                      <w:sz w:val="22"/>
                      <w:szCs w:val="22"/>
                      <w:lang w:val="sr-Latn-ME"/>
                    </w:rPr>
                    <w:t>Nepoznat</w:t>
                  </w:r>
                  <w:r w:rsidR="00897A18" w:rsidRPr="00930653">
                    <w:rPr>
                      <w:sz w:val="22"/>
                      <w:szCs w:val="22"/>
                      <w:lang w:val="sr-Latn-ME"/>
                    </w:rPr>
                    <w:t>o</w:t>
                  </w:r>
                </w:p>
              </w:tc>
              <w:tc>
                <w:tcPr>
                  <w:tcW w:w="3581" w:type="dxa"/>
                  <w:tcBorders>
                    <w:top w:val="nil"/>
                    <w:bottom w:val="single" w:sz="4" w:space="0" w:color="auto"/>
                  </w:tcBorders>
                </w:tcPr>
                <w:p w14:paraId="6379D88A" w14:textId="77777777" w:rsidR="00B24289" w:rsidRPr="00930653" w:rsidRDefault="00B24289" w:rsidP="00930653">
                  <w:pPr>
                    <w:jc w:val="both"/>
                    <w:rPr>
                      <w:sz w:val="22"/>
                      <w:szCs w:val="22"/>
                      <w:lang w:val="sr-Latn-ME"/>
                    </w:rPr>
                  </w:pPr>
                  <w:r w:rsidRPr="00930653">
                    <w:rPr>
                      <w:sz w:val="22"/>
                      <w:szCs w:val="22"/>
                      <w:lang w:val="sr-Latn-ME"/>
                    </w:rPr>
                    <w:t>Astenija</w:t>
                  </w:r>
                </w:p>
                <w:p w14:paraId="54750511" w14:textId="77777777" w:rsidR="00B24289" w:rsidRPr="00930653" w:rsidRDefault="00B24289" w:rsidP="00930653">
                  <w:pPr>
                    <w:jc w:val="both"/>
                    <w:rPr>
                      <w:sz w:val="22"/>
                      <w:szCs w:val="22"/>
                      <w:lang w:val="sr-Latn-ME"/>
                    </w:rPr>
                  </w:pPr>
                </w:p>
              </w:tc>
            </w:tr>
            <w:tr w:rsidR="00B24289" w:rsidRPr="00A731F9" w14:paraId="690F903C" w14:textId="77777777" w:rsidTr="007F2243">
              <w:trPr>
                <w:trHeight w:val="247"/>
              </w:trPr>
              <w:tc>
                <w:tcPr>
                  <w:tcW w:w="3145" w:type="dxa"/>
                  <w:tcBorders>
                    <w:top w:val="single" w:sz="4" w:space="0" w:color="auto"/>
                    <w:bottom w:val="single" w:sz="4" w:space="0" w:color="auto"/>
                  </w:tcBorders>
                </w:tcPr>
                <w:p w14:paraId="29277CF2" w14:textId="77777777" w:rsidR="00B24289" w:rsidRPr="00930653" w:rsidRDefault="00B24289" w:rsidP="00007378">
                  <w:pPr>
                    <w:jc w:val="both"/>
                    <w:rPr>
                      <w:b/>
                      <w:sz w:val="22"/>
                      <w:szCs w:val="22"/>
                      <w:lang w:val="sr-Latn-ME"/>
                    </w:rPr>
                  </w:pPr>
                  <w:r w:rsidRPr="00930653">
                    <w:rPr>
                      <w:b/>
                      <w:noProof/>
                      <w:sz w:val="22"/>
                      <w:szCs w:val="22"/>
                      <w:lang w:val="sr-Latn-ME"/>
                    </w:rPr>
                    <w:t>Laboratorijska ispitivanja</w:t>
                  </w:r>
                </w:p>
              </w:tc>
              <w:tc>
                <w:tcPr>
                  <w:tcW w:w="2430" w:type="dxa"/>
                  <w:tcBorders>
                    <w:top w:val="single" w:sz="4" w:space="0" w:color="auto"/>
                    <w:bottom w:val="single" w:sz="4" w:space="0" w:color="auto"/>
                  </w:tcBorders>
                </w:tcPr>
                <w:p w14:paraId="6AF11140" w14:textId="77777777" w:rsidR="00B24289" w:rsidRPr="00930653" w:rsidDel="00231C57" w:rsidRDefault="00B24289" w:rsidP="004E0BA7">
                  <w:pPr>
                    <w:jc w:val="both"/>
                    <w:rPr>
                      <w:sz w:val="22"/>
                      <w:szCs w:val="22"/>
                      <w:lang w:val="sr-Latn-ME"/>
                    </w:rPr>
                  </w:pPr>
                  <w:r w:rsidRPr="00930653">
                    <w:rPr>
                      <w:noProof/>
                      <w:sz w:val="22"/>
                      <w:szCs w:val="22"/>
                      <w:lang w:val="sr-Latn-ME"/>
                    </w:rPr>
                    <w:t>Nepoznato</w:t>
                  </w:r>
                </w:p>
              </w:tc>
              <w:tc>
                <w:tcPr>
                  <w:tcW w:w="3581" w:type="dxa"/>
                  <w:tcBorders>
                    <w:top w:val="single" w:sz="4" w:space="0" w:color="auto"/>
                    <w:bottom w:val="single" w:sz="4" w:space="0" w:color="auto"/>
                  </w:tcBorders>
                </w:tcPr>
                <w:p w14:paraId="3D2FAD13" w14:textId="653584A8" w:rsidR="00B24289" w:rsidRPr="00930653" w:rsidRDefault="00B24289" w:rsidP="004E0BA7">
                  <w:pPr>
                    <w:jc w:val="both"/>
                    <w:rPr>
                      <w:sz w:val="22"/>
                      <w:szCs w:val="22"/>
                      <w:lang w:val="sr-Latn-ME"/>
                    </w:rPr>
                  </w:pPr>
                  <w:r w:rsidRPr="00930653">
                    <w:rPr>
                      <w:noProof/>
                      <w:sz w:val="22"/>
                      <w:szCs w:val="22"/>
                      <w:lang w:val="sr-Latn-ME"/>
                    </w:rPr>
                    <w:t>Povećan</w:t>
                  </w:r>
                  <w:r w:rsidR="00074F8F">
                    <w:rPr>
                      <w:noProof/>
                      <w:sz w:val="22"/>
                      <w:szCs w:val="22"/>
                      <w:lang w:val="sr-Latn-ME"/>
                    </w:rPr>
                    <w:t>j</w:t>
                  </w:r>
                  <w:r w:rsidR="003A37C5">
                    <w:rPr>
                      <w:noProof/>
                      <w:sz w:val="22"/>
                      <w:szCs w:val="22"/>
                      <w:lang w:val="sr-Latn-ME"/>
                    </w:rPr>
                    <w:t>e</w:t>
                  </w:r>
                  <w:r w:rsidRPr="00930653">
                    <w:rPr>
                      <w:noProof/>
                      <w:sz w:val="22"/>
                      <w:szCs w:val="22"/>
                      <w:lang w:val="sr-Latn-ME"/>
                    </w:rPr>
                    <w:t xml:space="preserve"> t</w:t>
                  </w:r>
                  <w:r w:rsidR="007F2243" w:rsidRPr="00930653">
                    <w:rPr>
                      <w:noProof/>
                      <w:sz w:val="22"/>
                      <w:szCs w:val="22"/>
                      <w:lang w:val="sr-Latn-ME"/>
                    </w:rPr>
                    <w:t>j</w:t>
                  </w:r>
                  <w:r w:rsidRPr="00930653">
                    <w:rPr>
                      <w:noProof/>
                      <w:sz w:val="22"/>
                      <w:szCs w:val="22"/>
                      <w:lang w:val="sr-Latn-ME"/>
                    </w:rPr>
                    <w:t>elesn</w:t>
                  </w:r>
                  <w:r w:rsidR="003A37C5">
                    <w:rPr>
                      <w:noProof/>
                      <w:sz w:val="22"/>
                      <w:szCs w:val="22"/>
                      <w:lang w:val="sr-Latn-ME"/>
                    </w:rPr>
                    <w:t>e</w:t>
                  </w:r>
                  <w:r w:rsidRPr="00930653">
                    <w:rPr>
                      <w:noProof/>
                      <w:sz w:val="22"/>
                      <w:szCs w:val="22"/>
                      <w:lang w:val="sr-Latn-ME"/>
                    </w:rPr>
                    <w:t xml:space="preserve"> mas</w:t>
                  </w:r>
                  <w:r w:rsidR="003A37C5">
                    <w:rPr>
                      <w:noProof/>
                      <w:sz w:val="22"/>
                      <w:szCs w:val="22"/>
                      <w:lang w:val="sr-Latn-ME"/>
                    </w:rPr>
                    <w:t>e</w:t>
                  </w:r>
                </w:p>
              </w:tc>
            </w:tr>
          </w:tbl>
          <w:p w14:paraId="151D41F0" w14:textId="77777777" w:rsidR="008D4776" w:rsidRPr="00930653" w:rsidRDefault="008D4776" w:rsidP="00007378">
            <w:pPr>
              <w:jc w:val="both"/>
              <w:rPr>
                <w:sz w:val="22"/>
                <w:szCs w:val="22"/>
                <w:lang w:val="sr-Latn-ME"/>
              </w:rPr>
            </w:pPr>
          </w:p>
          <w:p w14:paraId="1E775C7F" w14:textId="77777777" w:rsidR="008D4776" w:rsidRPr="00930653" w:rsidRDefault="008D4776" w:rsidP="004E0BA7">
            <w:pPr>
              <w:jc w:val="both"/>
              <w:rPr>
                <w:sz w:val="22"/>
                <w:szCs w:val="22"/>
                <w:lang w:val="sr-Latn-ME"/>
              </w:rPr>
            </w:pPr>
          </w:p>
          <w:p w14:paraId="6424327A" w14:textId="77777777" w:rsidR="00D614A4" w:rsidRPr="00930653" w:rsidRDefault="00D614A4" w:rsidP="004E0BA7">
            <w:pPr>
              <w:tabs>
                <w:tab w:val="left" w:pos="284"/>
              </w:tabs>
              <w:jc w:val="both"/>
              <w:rPr>
                <w:b/>
                <w:sz w:val="22"/>
                <w:szCs w:val="22"/>
                <w:u w:val="single"/>
                <w:lang w:val="sr-Latn-ME"/>
              </w:rPr>
            </w:pPr>
            <w:r w:rsidRPr="00930653">
              <w:rPr>
                <w:b/>
                <w:sz w:val="22"/>
                <w:szCs w:val="22"/>
                <w:u w:val="single"/>
                <w:lang w:val="sr-Latn-ME"/>
              </w:rPr>
              <w:t>Pedijatrijska populacija</w:t>
            </w:r>
          </w:p>
          <w:p w14:paraId="5BB150F4" w14:textId="77777777" w:rsidR="00D614A4" w:rsidRPr="00930653" w:rsidRDefault="00D614A4" w:rsidP="00F72506">
            <w:pPr>
              <w:jc w:val="both"/>
              <w:rPr>
                <w:sz w:val="22"/>
                <w:szCs w:val="22"/>
                <w:lang w:val="sr-Latn-ME"/>
              </w:rPr>
            </w:pPr>
            <w:r w:rsidRPr="00930653">
              <w:rPr>
                <w:bCs/>
                <w:sz w:val="22"/>
                <w:szCs w:val="22"/>
                <w:lang w:val="sr-Latn-ME"/>
              </w:rPr>
              <w:t>Ostala neželjena dejstva nepoznate učestalosti prijavljena kod pedijatrijskih pacijenata nakon stavljanja lijeka u promet uključivala su produženje QT intervala, aritmiju</w:t>
            </w:r>
            <w:r w:rsidR="00231C57" w:rsidRPr="00930653">
              <w:rPr>
                <w:bCs/>
                <w:sz w:val="22"/>
                <w:szCs w:val="22"/>
                <w:lang w:val="sr-Latn-ME"/>
              </w:rPr>
              <w:t>,</w:t>
            </w:r>
            <w:r w:rsidRPr="00930653">
              <w:rPr>
                <w:bCs/>
                <w:sz w:val="22"/>
                <w:szCs w:val="22"/>
                <w:lang w:val="sr-Latn-ME"/>
              </w:rPr>
              <w:t xml:space="preserve"> bradikardiju</w:t>
            </w:r>
            <w:r w:rsidR="00231C57" w:rsidRPr="00930653">
              <w:rPr>
                <w:bCs/>
                <w:sz w:val="22"/>
                <w:szCs w:val="22"/>
                <w:lang w:val="sr-Latn-ME"/>
              </w:rPr>
              <w:t>, neuobičajeno ponašanje i agresiju</w:t>
            </w:r>
            <w:r w:rsidRPr="00930653">
              <w:rPr>
                <w:bCs/>
                <w:sz w:val="22"/>
                <w:szCs w:val="22"/>
                <w:lang w:val="sr-Latn-ME"/>
              </w:rPr>
              <w:t>.</w:t>
            </w:r>
          </w:p>
          <w:p w14:paraId="3C7B8A4A" w14:textId="77777777" w:rsidR="004B021D" w:rsidRPr="00930653" w:rsidRDefault="004B021D" w:rsidP="00F72506">
            <w:pPr>
              <w:jc w:val="both"/>
              <w:rPr>
                <w:sz w:val="22"/>
                <w:szCs w:val="22"/>
                <w:lang w:val="sr-Latn-ME"/>
              </w:rPr>
            </w:pPr>
          </w:p>
          <w:p w14:paraId="6A751711" w14:textId="24B6DE78" w:rsidR="004B021D" w:rsidRPr="00930653" w:rsidRDefault="004B021D" w:rsidP="00287B29">
            <w:pPr>
              <w:pStyle w:val="Header"/>
              <w:tabs>
                <w:tab w:val="left" w:pos="284"/>
              </w:tabs>
              <w:jc w:val="both"/>
              <w:rPr>
                <w:sz w:val="22"/>
                <w:szCs w:val="22"/>
                <w:lang w:val="sr-Latn-ME"/>
              </w:rPr>
            </w:pPr>
            <w:r w:rsidRPr="00930653">
              <w:rPr>
                <w:sz w:val="22"/>
                <w:szCs w:val="22"/>
                <w:lang w:val="sr-Latn-ME"/>
              </w:rPr>
              <w:t xml:space="preserve">Retrospektivna opservaciona bezbjednosna studija je </w:t>
            </w:r>
            <w:r w:rsidR="00074F8F">
              <w:rPr>
                <w:sz w:val="22"/>
                <w:szCs w:val="22"/>
                <w:lang w:val="sr-Latn-ME"/>
              </w:rPr>
              <w:t>pokazala</w:t>
            </w:r>
            <w:r w:rsidR="00074F8F" w:rsidRPr="00930653">
              <w:rPr>
                <w:sz w:val="22"/>
                <w:szCs w:val="22"/>
                <w:lang w:val="sr-Latn-ME"/>
              </w:rPr>
              <w:t xml:space="preserve"> </w:t>
            </w:r>
            <w:r w:rsidRPr="00930653">
              <w:rPr>
                <w:sz w:val="22"/>
                <w:szCs w:val="22"/>
                <w:lang w:val="sr-Latn-ME"/>
              </w:rPr>
              <w:t xml:space="preserve">porast incidence novonastalih napada kod pacijenata </w:t>
            </w:r>
            <w:r w:rsidR="00F72506" w:rsidRPr="00930653">
              <w:rPr>
                <w:sz w:val="22"/>
                <w:szCs w:val="22"/>
                <w:lang w:val="sr-Latn-ME"/>
              </w:rPr>
              <w:t xml:space="preserve">uzrasta </w:t>
            </w:r>
            <w:r w:rsidRPr="00930653">
              <w:rPr>
                <w:sz w:val="22"/>
                <w:szCs w:val="22"/>
                <w:lang w:val="sr-Latn-ME"/>
              </w:rPr>
              <w:t xml:space="preserve">od 0 do 19 godina koji su bili na terapiji desloratadinom, u poređenju sa periodima kada nijesu primali desloratadin. Među djecom </w:t>
            </w:r>
            <w:r w:rsidR="00F72506" w:rsidRPr="00930653">
              <w:rPr>
                <w:sz w:val="22"/>
                <w:szCs w:val="22"/>
                <w:lang w:val="sr-Latn-ME"/>
              </w:rPr>
              <w:t xml:space="preserve">uzrasta </w:t>
            </w:r>
            <w:r w:rsidRPr="00930653">
              <w:rPr>
                <w:sz w:val="22"/>
                <w:szCs w:val="22"/>
                <w:lang w:val="sr-Latn-ME"/>
              </w:rPr>
              <w:t xml:space="preserve">od 0 do 4 godine, prilagođen aposlutni porast je bio 37,5 % (95%-tni interval pouzdanosti </w:t>
            </w:r>
            <w:r w:rsidR="00074F8F">
              <w:rPr>
                <w:szCs w:val="22"/>
                <w:lang w:val="sr-Latn-CS"/>
              </w:rPr>
              <w:t>[</w:t>
            </w:r>
            <w:r w:rsidR="00074F8F" w:rsidRPr="00074F8F">
              <w:rPr>
                <w:sz w:val="22"/>
                <w:szCs w:val="22"/>
                <w:lang w:val="sr-Latn-ME"/>
              </w:rPr>
              <w:t xml:space="preserve">engl. </w:t>
            </w:r>
            <w:r w:rsidR="00074F8F" w:rsidRPr="003B411D">
              <w:rPr>
                <w:i/>
                <w:iCs/>
                <w:sz w:val="22"/>
                <w:szCs w:val="22"/>
                <w:lang w:val="sr-Latn-ME"/>
              </w:rPr>
              <w:t>95% confidence interval</w:t>
            </w:r>
            <w:r w:rsidR="00074F8F">
              <w:rPr>
                <w:sz w:val="22"/>
                <w:szCs w:val="22"/>
                <w:lang w:val="sr-Latn-ME"/>
              </w:rPr>
              <w:t xml:space="preserve"> </w:t>
            </w:r>
            <w:r w:rsidRPr="00930653">
              <w:rPr>
                <w:sz w:val="22"/>
                <w:szCs w:val="22"/>
                <w:lang w:val="sr-Latn-ME"/>
              </w:rPr>
              <w:t>CI</w:t>
            </w:r>
            <w:r w:rsidR="00074F8F">
              <w:rPr>
                <w:szCs w:val="22"/>
                <w:lang w:val="sr-Latn-CS"/>
              </w:rPr>
              <w:t>]</w:t>
            </w:r>
            <w:r w:rsidRPr="00930653">
              <w:rPr>
                <w:sz w:val="22"/>
                <w:szCs w:val="22"/>
                <w:lang w:val="sr-Latn-ME"/>
              </w:rPr>
              <w:t xml:space="preserve"> od 10,5 do 64,5) na 100</w:t>
            </w:r>
            <w:r w:rsidR="00074F8F">
              <w:rPr>
                <w:sz w:val="22"/>
                <w:szCs w:val="22"/>
                <w:lang w:val="sr-Latn-ME"/>
              </w:rPr>
              <w:t xml:space="preserve"> </w:t>
            </w:r>
            <w:r w:rsidRPr="00930653">
              <w:rPr>
                <w:sz w:val="22"/>
                <w:szCs w:val="22"/>
                <w:lang w:val="sr-Latn-ME"/>
              </w:rPr>
              <w:t>000 osoba-godina (engl.</w:t>
            </w:r>
            <w:r w:rsidRPr="00930653">
              <w:rPr>
                <w:i/>
                <w:sz w:val="22"/>
                <w:szCs w:val="22"/>
                <w:lang w:val="sr-Latn-ME"/>
              </w:rPr>
              <w:t xml:space="preserve"> person years, PY</w:t>
            </w:r>
            <w:r w:rsidRPr="00930653">
              <w:rPr>
                <w:sz w:val="22"/>
                <w:szCs w:val="22"/>
                <w:lang w:val="sr-Latn-ME"/>
              </w:rPr>
              <w:t>) sa pozadinskom incidencom od novonastalih napada od 80,3 na 100</w:t>
            </w:r>
            <w:r w:rsidR="00074F8F">
              <w:rPr>
                <w:sz w:val="22"/>
                <w:szCs w:val="22"/>
                <w:lang w:val="sr-Latn-ME"/>
              </w:rPr>
              <w:t xml:space="preserve"> </w:t>
            </w:r>
            <w:r w:rsidRPr="00930653">
              <w:rPr>
                <w:sz w:val="22"/>
                <w:szCs w:val="22"/>
                <w:lang w:val="sr-Latn-ME"/>
              </w:rPr>
              <w:t>000 PY. Među pacijentima uzrasta od 5 do 19 godina, prilagođen apsolutni porast je bio 11,3 % (95% CI 2,3 – 20,2) na 100</w:t>
            </w:r>
            <w:r w:rsidR="00074F8F">
              <w:rPr>
                <w:sz w:val="22"/>
                <w:szCs w:val="22"/>
                <w:lang w:val="sr-Latn-ME"/>
              </w:rPr>
              <w:t xml:space="preserve"> </w:t>
            </w:r>
            <w:r w:rsidRPr="00930653">
              <w:rPr>
                <w:sz w:val="22"/>
                <w:szCs w:val="22"/>
                <w:lang w:val="sr-Latn-ME"/>
              </w:rPr>
              <w:t>000 PY, sa pozadinskom incidencom od 36,4 na 100</w:t>
            </w:r>
            <w:r w:rsidR="00074F8F">
              <w:rPr>
                <w:sz w:val="22"/>
                <w:szCs w:val="22"/>
                <w:lang w:val="sr-Latn-ME"/>
              </w:rPr>
              <w:t xml:space="preserve"> </w:t>
            </w:r>
            <w:r w:rsidRPr="00930653">
              <w:rPr>
                <w:sz w:val="22"/>
                <w:szCs w:val="22"/>
                <w:lang w:val="sr-Latn-ME"/>
              </w:rPr>
              <w:t xml:space="preserve">000 PY (vidjeti dio 4.4). </w:t>
            </w:r>
          </w:p>
          <w:p w14:paraId="2902CD61" w14:textId="77777777" w:rsidR="00D614A4" w:rsidRPr="00930653" w:rsidRDefault="00D614A4" w:rsidP="00406B9C">
            <w:pPr>
              <w:jc w:val="both"/>
              <w:rPr>
                <w:sz w:val="22"/>
                <w:szCs w:val="22"/>
                <w:lang w:val="sr-Latn-ME"/>
              </w:rPr>
            </w:pPr>
          </w:p>
          <w:p w14:paraId="6B8DD2C9" w14:textId="77777777" w:rsidR="006555C9" w:rsidRPr="00930653" w:rsidRDefault="006555C9" w:rsidP="000C656C">
            <w:pPr>
              <w:spacing w:after="200" w:line="276" w:lineRule="auto"/>
              <w:jc w:val="both"/>
              <w:rPr>
                <w:rFonts w:eastAsia="Calibri"/>
                <w:sz w:val="22"/>
                <w:szCs w:val="22"/>
                <w:u w:val="single"/>
                <w:lang w:val="sr-Latn-ME"/>
              </w:rPr>
            </w:pPr>
            <w:r w:rsidRPr="00930653">
              <w:rPr>
                <w:rFonts w:eastAsia="Calibri"/>
                <w:sz w:val="22"/>
                <w:szCs w:val="22"/>
                <w:u w:val="single"/>
                <w:lang w:val="sr-Latn-ME"/>
              </w:rPr>
              <w:t>Prijavljivanje sumnji na neželjena dejstva</w:t>
            </w:r>
          </w:p>
          <w:p w14:paraId="3ADC4CF9" w14:textId="77777777" w:rsidR="0019381F" w:rsidRPr="00930653" w:rsidRDefault="006555C9" w:rsidP="00AF04BB">
            <w:pPr>
              <w:spacing w:after="200"/>
              <w:jc w:val="both"/>
              <w:rPr>
                <w:rFonts w:eastAsia="Calibri"/>
                <w:sz w:val="22"/>
                <w:szCs w:val="22"/>
                <w:lang w:val="sr-Latn-ME"/>
              </w:rPr>
            </w:pPr>
            <w:r w:rsidRPr="00930653">
              <w:rPr>
                <w:rFonts w:eastAsia="Calibri"/>
                <w:sz w:val="22"/>
                <w:szCs w:val="22"/>
                <w:lang w:val="sr-Latn-ME"/>
              </w:rPr>
              <w:t xml:space="preserve">Prijavljivanje neželjenih dejstava nakon dobijanja dozvole je od velikog značaja jer obezbjeđuje kontinuirano praćenje odnosa korist /rizik  primjene lijeka. Zdravstveni radnici treba da prijave svaku sumnju na neželjeno dejstvo ovog lijeka </w:t>
            </w:r>
            <w:r w:rsidR="0019381F" w:rsidRPr="00930653">
              <w:rPr>
                <w:rFonts w:eastAsia="Calibri"/>
                <w:sz w:val="22"/>
                <w:szCs w:val="22"/>
                <w:lang w:val="sr-Latn-ME"/>
              </w:rPr>
              <w:t>Institutu za ljekove i medicinska sredstva (CInMED):</w:t>
            </w:r>
          </w:p>
          <w:p w14:paraId="3081D249" w14:textId="77777777" w:rsidR="0019381F" w:rsidRPr="00930653" w:rsidRDefault="0019381F" w:rsidP="008C62CF">
            <w:pPr>
              <w:jc w:val="both"/>
              <w:rPr>
                <w:rFonts w:eastAsia="Calibri"/>
                <w:sz w:val="22"/>
                <w:szCs w:val="22"/>
                <w:lang w:val="sr-Latn-ME"/>
              </w:rPr>
            </w:pPr>
            <w:r w:rsidRPr="00930653">
              <w:rPr>
                <w:rFonts w:eastAsia="Calibri"/>
                <w:sz w:val="22"/>
                <w:szCs w:val="22"/>
                <w:lang w:val="sr-Latn-ME"/>
              </w:rPr>
              <w:t xml:space="preserve">Institut za ljekove i medicinska sredstva </w:t>
            </w:r>
          </w:p>
          <w:p w14:paraId="7F6D0E96" w14:textId="77777777" w:rsidR="0019381F" w:rsidRPr="00930653" w:rsidRDefault="0019381F" w:rsidP="008C62CF">
            <w:pPr>
              <w:jc w:val="both"/>
              <w:rPr>
                <w:rFonts w:eastAsia="Calibri"/>
                <w:sz w:val="22"/>
                <w:szCs w:val="22"/>
                <w:lang w:val="sr-Latn-ME"/>
              </w:rPr>
            </w:pPr>
            <w:r w:rsidRPr="00930653">
              <w:rPr>
                <w:rFonts w:eastAsia="Calibri"/>
                <w:sz w:val="22"/>
                <w:szCs w:val="22"/>
                <w:lang w:val="sr-Latn-ME"/>
              </w:rPr>
              <w:t>Odjeljenje za farmakovigilancu</w:t>
            </w:r>
          </w:p>
          <w:p w14:paraId="15D5890E" w14:textId="77777777" w:rsidR="0019381F" w:rsidRPr="00930653" w:rsidRDefault="0019381F" w:rsidP="008C62CF">
            <w:pPr>
              <w:jc w:val="both"/>
              <w:rPr>
                <w:rFonts w:eastAsia="Calibri"/>
                <w:sz w:val="22"/>
                <w:szCs w:val="22"/>
                <w:lang w:val="sr-Latn-ME"/>
              </w:rPr>
            </w:pPr>
            <w:r w:rsidRPr="00930653">
              <w:rPr>
                <w:rFonts w:eastAsia="Calibri"/>
                <w:sz w:val="22"/>
                <w:szCs w:val="22"/>
                <w:lang w:val="sr-Latn-ME"/>
              </w:rPr>
              <w:t>Bulevar Ivana Crnojevića 64a, 81000 Podgorica</w:t>
            </w:r>
          </w:p>
          <w:p w14:paraId="3BF79B9A" w14:textId="77777777" w:rsidR="0019381F" w:rsidRPr="00930653" w:rsidRDefault="0019381F" w:rsidP="008C62CF">
            <w:pPr>
              <w:jc w:val="both"/>
              <w:rPr>
                <w:rFonts w:eastAsia="Calibri"/>
                <w:sz w:val="22"/>
                <w:szCs w:val="22"/>
                <w:lang w:val="sr-Latn-ME"/>
              </w:rPr>
            </w:pPr>
          </w:p>
          <w:p w14:paraId="251941A8" w14:textId="77777777" w:rsidR="0019381F" w:rsidRPr="00930653" w:rsidRDefault="0019381F" w:rsidP="0097600C">
            <w:pPr>
              <w:jc w:val="both"/>
              <w:rPr>
                <w:rFonts w:eastAsia="Calibri"/>
                <w:sz w:val="22"/>
                <w:szCs w:val="22"/>
                <w:lang w:val="sr-Latn-ME"/>
              </w:rPr>
            </w:pPr>
            <w:r w:rsidRPr="00930653">
              <w:rPr>
                <w:rFonts w:eastAsia="Calibri"/>
                <w:sz w:val="22"/>
                <w:szCs w:val="22"/>
                <w:lang w:val="sr-Latn-ME"/>
              </w:rPr>
              <w:t>tel: +382 (0) 20 310 280</w:t>
            </w:r>
          </w:p>
          <w:p w14:paraId="54F89449" w14:textId="77777777" w:rsidR="0019381F" w:rsidRPr="00930653" w:rsidRDefault="0019381F" w:rsidP="005F4218">
            <w:pPr>
              <w:jc w:val="both"/>
              <w:rPr>
                <w:rFonts w:eastAsia="Calibri"/>
                <w:sz w:val="22"/>
                <w:szCs w:val="22"/>
                <w:lang w:val="sr-Latn-ME"/>
              </w:rPr>
            </w:pPr>
            <w:r w:rsidRPr="00930653">
              <w:rPr>
                <w:rFonts w:eastAsia="Calibri"/>
                <w:sz w:val="22"/>
                <w:szCs w:val="22"/>
                <w:lang w:val="sr-Latn-ME"/>
              </w:rPr>
              <w:t>fax: +382 (0) 20 310 581</w:t>
            </w:r>
          </w:p>
          <w:p w14:paraId="5F5D8E95" w14:textId="77777777" w:rsidR="0019381F" w:rsidRPr="00930653" w:rsidRDefault="00017304" w:rsidP="005F4218">
            <w:pPr>
              <w:jc w:val="both"/>
              <w:rPr>
                <w:rFonts w:eastAsia="Calibri"/>
                <w:sz w:val="22"/>
                <w:szCs w:val="22"/>
                <w:lang w:val="sr-Latn-ME"/>
              </w:rPr>
            </w:pPr>
            <w:hyperlink r:id="rId8" w:history="1">
              <w:r w:rsidR="0019381F" w:rsidRPr="00930653">
                <w:rPr>
                  <w:rFonts w:eastAsia="Calibri"/>
                  <w:color w:val="0563C1"/>
                  <w:sz w:val="22"/>
                  <w:szCs w:val="22"/>
                  <w:u w:val="single"/>
                  <w:lang w:val="sr-Latn-ME"/>
                </w:rPr>
                <w:t>www.cinmed.me</w:t>
              </w:r>
            </w:hyperlink>
          </w:p>
          <w:p w14:paraId="2333D0B5" w14:textId="77777777" w:rsidR="0019381F" w:rsidRPr="00930653" w:rsidRDefault="00017304" w:rsidP="005F4218">
            <w:pPr>
              <w:jc w:val="both"/>
              <w:rPr>
                <w:rFonts w:eastAsia="Calibri"/>
                <w:color w:val="0000FF"/>
                <w:sz w:val="22"/>
                <w:szCs w:val="22"/>
                <w:u w:val="single"/>
                <w:lang w:val="sr-Latn-ME"/>
              </w:rPr>
            </w:pPr>
            <w:hyperlink r:id="rId9" w:history="1">
              <w:r w:rsidR="0019381F" w:rsidRPr="00930653">
                <w:rPr>
                  <w:rFonts w:eastAsia="Calibri"/>
                  <w:color w:val="0563C1"/>
                  <w:sz w:val="22"/>
                  <w:szCs w:val="22"/>
                  <w:u w:val="single"/>
                  <w:lang w:val="sr-Latn-ME"/>
                </w:rPr>
                <w:t>nezeljenadejstva@cinmed.me</w:t>
              </w:r>
            </w:hyperlink>
          </w:p>
          <w:p w14:paraId="15DA7CC8" w14:textId="77777777" w:rsidR="0019381F" w:rsidRPr="00930653" w:rsidRDefault="0019381F" w:rsidP="002B5077">
            <w:pPr>
              <w:jc w:val="both"/>
              <w:rPr>
                <w:rFonts w:eastAsia="Calibri"/>
                <w:sz w:val="22"/>
                <w:szCs w:val="22"/>
                <w:lang w:val="sr-Latn-ME"/>
              </w:rPr>
            </w:pPr>
            <w:r w:rsidRPr="00930653">
              <w:rPr>
                <w:rFonts w:eastAsia="Calibri"/>
                <w:sz w:val="22"/>
                <w:szCs w:val="22"/>
                <w:lang w:val="sr-Latn-ME"/>
              </w:rPr>
              <w:t>putem IS zdravstvene zaštite</w:t>
            </w:r>
          </w:p>
          <w:p w14:paraId="79F1D401" w14:textId="77777777" w:rsidR="00E37E9E" w:rsidRPr="00E37E9E" w:rsidRDefault="00E37E9E" w:rsidP="00E37E9E">
            <w:pPr>
              <w:jc w:val="both"/>
              <w:rPr>
                <w:sz w:val="22"/>
                <w:szCs w:val="22"/>
                <w:lang w:val="sr-Latn-ME"/>
              </w:rPr>
            </w:pPr>
            <w:r w:rsidRPr="00E37E9E">
              <w:rPr>
                <w:sz w:val="22"/>
                <w:szCs w:val="22"/>
                <w:lang w:val="sr-Latn-ME"/>
              </w:rPr>
              <w:t>QR kod za online prijavu sumnje na neželjeno dejstvo lijeka:</w:t>
            </w:r>
          </w:p>
          <w:p w14:paraId="4D5F11EA" w14:textId="77777777" w:rsidR="00E37E9E" w:rsidRPr="00E37E9E" w:rsidRDefault="00E37E9E" w:rsidP="00E37E9E">
            <w:pPr>
              <w:jc w:val="both"/>
              <w:rPr>
                <w:sz w:val="22"/>
                <w:szCs w:val="22"/>
                <w:lang w:val="sr-Latn-RS"/>
              </w:rPr>
            </w:pPr>
          </w:p>
          <w:p w14:paraId="49530C13" w14:textId="77777777" w:rsidR="00C93CED" w:rsidRDefault="00C93CED" w:rsidP="002B5077">
            <w:pPr>
              <w:jc w:val="both"/>
              <w:rPr>
                <w:sz w:val="22"/>
                <w:szCs w:val="22"/>
                <w:lang w:val="sr-Latn-RS"/>
              </w:rPr>
            </w:pPr>
            <w:r w:rsidRPr="00C93CED">
              <w:rPr>
                <w:b/>
                <w:bCs/>
                <w:noProof/>
                <w:sz w:val="22"/>
                <w:szCs w:val="22"/>
              </w:rPr>
              <w:drawing>
                <wp:inline distT="0" distB="0" distL="0" distR="0" wp14:anchorId="095B97FA" wp14:editId="0E1B044D">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33F190B" w14:textId="4FAE782D" w:rsidR="002102CB" w:rsidRPr="00074F8F" w:rsidRDefault="002102CB" w:rsidP="002B5077">
            <w:pPr>
              <w:jc w:val="both"/>
              <w:rPr>
                <w:sz w:val="22"/>
                <w:szCs w:val="22"/>
                <w:lang w:val="sr-Latn-RS"/>
              </w:rPr>
            </w:pPr>
          </w:p>
        </w:tc>
      </w:tr>
      <w:tr w:rsidR="002102CB" w:rsidRPr="00930653" w14:paraId="49AA3E15" w14:textId="77777777" w:rsidTr="007F2243">
        <w:tc>
          <w:tcPr>
            <w:tcW w:w="9810" w:type="dxa"/>
            <w:gridSpan w:val="3"/>
            <w:vAlign w:val="center"/>
          </w:tcPr>
          <w:p w14:paraId="33471981" w14:textId="77777777" w:rsidR="002102CB" w:rsidRPr="00930653" w:rsidRDefault="002102CB" w:rsidP="00007378">
            <w:pPr>
              <w:pStyle w:val="Header"/>
              <w:tabs>
                <w:tab w:val="left" w:pos="284"/>
              </w:tabs>
              <w:spacing w:before="80" w:after="80"/>
              <w:jc w:val="both"/>
              <w:rPr>
                <w:b/>
                <w:bCs/>
                <w:sz w:val="22"/>
                <w:szCs w:val="22"/>
                <w:lang w:val="sr-Latn-ME"/>
              </w:rPr>
            </w:pPr>
            <w:r w:rsidRPr="00930653">
              <w:rPr>
                <w:b/>
                <w:bCs/>
                <w:sz w:val="22"/>
                <w:szCs w:val="22"/>
                <w:lang w:val="sr-Latn-ME"/>
              </w:rPr>
              <w:lastRenderedPageBreak/>
              <w:t>4.9. Predoziranje</w:t>
            </w:r>
          </w:p>
        </w:tc>
      </w:tr>
      <w:tr w:rsidR="002102CB" w:rsidRPr="00A731F9" w14:paraId="0E42E7D5" w14:textId="77777777" w:rsidTr="007F2243">
        <w:trPr>
          <w:trHeight w:val="1145"/>
        </w:trPr>
        <w:tc>
          <w:tcPr>
            <w:tcW w:w="9810" w:type="dxa"/>
            <w:gridSpan w:val="3"/>
            <w:vAlign w:val="center"/>
          </w:tcPr>
          <w:p w14:paraId="231C8BC4" w14:textId="77777777" w:rsidR="00D614A4" w:rsidRPr="00930653" w:rsidRDefault="00D614A4" w:rsidP="00007378">
            <w:pPr>
              <w:jc w:val="both"/>
              <w:rPr>
                <w:sz w:val="22"/>
                <w:szCs w:val="22"/>
                <w:lang w:val="sr-Latn-ME"/>
              </w:rPr>
            </w:pPr>
            <w:r w:rsidRPr="00930653">
              <w:rPr>
                <w:sz w:val="22"/>
                <w:szCs w:val="22"/>
                <w:lang w:val="sr-Latn-ME"/>
              </w:rPr>
              <w:t>Profil neželjenih dejstava kod predoziranja, zapaženih nakon stavljanja lijeka u promet, bio je sličan onom  zapaženom pri primjeni terapijskih doza, ali opseg efekata može biti veći.</w:t>
            </w:r>
          </w:p>
          <w:p w14:paraId="192A9368" w14:textId="77777777" w:rsidR="00D614A4" w:rsidRPr="00930653" w:rsidRDefault="00D614A4" w:rsidP="004E0BA7">
            <w:pPr>
              <w:jc w:val="both"/>
              <w:rPr>
                <w:sz w:val="22"/>
                <w:szCs w:val="22"/>
                <w:lang w:val="sr-Latn-ME"/>
              </w:rPr>
            </w:pPr>
          </w:p>
          <w:p w14:paraId="1165AEE9" w14:textId="77777777" w:rsidR="00D614A4" w:rsidRPr="00930653" w:rsidRDefault="00D614A4" w:rsidP="004E0BA7">
            <w:pPr>
              <w:jc w:val="both"/>
              <w:rPr>
                <w:sz w:val="22"/>
                <w:szCs w:val="22"/>
                <w:lang w:val="sr-Latn-ME"/>
              </w:rPr>
            </w:pPr>
            <w:r w:rsidRPr="00930653">
              <w:rPr>
                <w:sz w:val="22"/>
                <w:szCs w:val="22"/>
                <w:u w:val="single"/>
                <w:lang w:val="sr-Latn-ME"/>
              </w:rPr>
              <w:t>Terapija</w:t>
            </w:r>
          </w:p>
          <w:p w14:paraId="04F3E7FB" w14:textId="77777777" w:rsidR="002102CB" w:rsidRPr="00930653" w:rsidRDefault="002102CB" w:rsidP="00F72506">
            <w:pPr>
              <w:jc w:val="both"/>
              <w:rPr>
                <w:sz w:val="22"/>
                <w:szCs w:val="22"/>
                <w:lang w:val="sr-Latn-ME"/>
              </w:rPr>
            </w:pPr>
            <w:r w:rsidRPr="00930653">
              <w:rPr>
                <w:sz w:val="22"/>
                <w:szCs w:val="22"/>
                <w:lang w:val="sr-Latn-ME"/>
              </w:rPr>
              <w:t xml:space="preserve">U slučaju predoziranja, primijeniti standardne mjere za uklanjanje </w:t>
            </w:r>
            <w:r w:rsidR="00287B29" w:rsidRPr="00930653">
              <w:rPr>
                <w:sz w:val="22"/>
                <w:szCs w:val="22"/>
                <w:lang w:val="sr-Latn-ME"/>
              </w:rPr>
              <w:t xml:space="preserve">neresorbovane </w:t>
            </w:r>
            <w:r w:rsidRPr="00930653">
              <w:rPr>
                <w:sz w:val="22"/>
                <w:szCs w:val="22"/>
                <w:lang w:val="sr-Latn-ME"/>
              </w:rPr>
              <w:t>aktivne supstance. Preporučuje se simptomatska i suportivna terapija.</w:t>
            </w:r>
          </w:p>
          <w:p w14:paraId="1C1738AA" w14:textId="77777777" w:rsidR="002102CB" w:rsidRPr="00930653" w:rsidRDefault="002102CB" w:rsidP="00F72506">
            <w:pPr>
              <w:jc w:val="both"/>
              <w:rPr>
                <w:sz w:val="22"/>
                <w:szCs w:val="22"/>
                <w:lang w:val="sr-Latn-ME"/>
              </w:rPr>
            </w:pPr>
          </w:p>
          <w:p w14:paraId="41E5993D" w14:textId="77777777" w:rsidR="002102CB" w:rsidRPr="00930653" w:rsidRDefault="002102CB" w:rsidP="00287B29">
            <w:pPr>
              <w:jc w:val="both"/>
              <w:rPr>
                <w:sz w:val="22"/>
                <w:szCs w:val="22"/>
                <w:lang w:val="sr-Latn-ME"/>
              </w:rPr>
            </w:pPr>
            <w:r w:rsidRPr="00930653">
              <w:rPr>
                <w:sz w:val="22"/>
                <w:szCs w:val="22"/>
                <w:lang w:val="sr-Latn-ME"/>
              </w:rPr>
              <w:lastRenderedPageBreak/>
              <w:t>Desloratadin se ne može ukloniti iz organizma hemodijalizom; nije poznato da li se može ukloniti peritonealnom dijalizom.</w:t>
            </w:r>
          </w:p>
          <w:p w14:paraId="20349DF1" w14:textId="77777777" w:rsidR="002102CB" w:rsidRPr="00930653" w:rsidRDefault="002102CB" w:rsidP="00406B9C">
            <w:pPr>
              <w:jc w:val="both"/>
              <w:rPr>
                <w:sz w:val="22"/>
                <w:szCs w:val="22"/>
                <w:lang w:val="sr-Latn-ME"/>
              </w:rPr>
            </w:pPr>
          </w:p>
          <w:p w14:paraId="1D9BE5CB" w14:textId="77777777" w:rsidR="00D614A4" w:rsidRPr="00930653" w:rsidRDefault="00D614A4" w:rsidP="000C656C">
            <w:pPr>
              <w:pStyle w:val="NoSpacing"/>
              <w:jc w:val="both"/>
              <w:rPr>
                <w:rFonts w:ascii="Times New Roman" w:hAnsi="Times New Roman"/>
                <w:lang w:val="sr-Latn-ME"/>
              </w:rPr>
            </w:pPr>
            <w:r w:rsidRPr="00930653">
              <w:rPr>
                <w:rFonts w:ascii="Times New Roman" w:hAnsi="Times New Roman"/>
                <w:u w:val="single"/>
                <w:lang w:val="sr-Latn-ME"/>
              </w:rPr>
              <w:t>Simptomi</w:t>
            </w:r>
          </w:p>
          <w:p w14:paraId="00CB5BEA" w14:textId="77777777" w:rsidR="00D614A4" w:rsidRPr="00930653" w:rsidRDefault="00D614A4" w:rsidP="00AF04BB">
            <w:pPr>
              <w:pStyle w:val="NoSpacing"/>
              <w:jc w:val="both"/>
              <w:rPr>
                <w:rFonts w:ascii="Times New Roman" w:hAnsi="Times New Roman"/>
                <w:lang w:val="sr-Latn-ME"/>
              </w:rPr>
            </w:pPr>
            <w:r w:rsidRPr="00930653">
              <w:rPr>
                <w:rFonts w:ascii="Times New Roman" w:hAnsi="Times New Roman"/>
                <w:lang w:val="sr-Latn-ME"/>
              </w:rPr>
              <w:t>U kliničkim ispitivanjima višestrukog doziranja lijeka kod odraslih i adolescenata, u kojima su prim</w:t>
            </w:r>
            <w:r w:rsidR="00114F4D" w:rsidRPr="00930653">
              <w:rPr>
                <w:rFonts w:ascii="Times New Roman" w:hAnsi="Times New Roman"/>
                <w:lang w:val="sr-Latn-ME"/>
              </w:rPr>
              <w:t>j</w:t>
            </w:r>
            <w:r w:rsidRPr="00930653">
              <w:rPr>
                <w:rFonts w:ascii="Times New Roman" w:hAnsi="Times New Roman"/>
                <w:lang w:val="sr-Latn-ME"/>
              </w:rPr>
              <w:t>enjivane doze do ukupno 45 mg desloratadina (devet puta veće doze od kliničkih), ni</w:t>
            </w:r>
            <w:r w:rsidR="00114F4D" w:rsidRPr="00930653">
              <w:rPr>
                <w:rFonts w:ascii="Times New Roman" w:hAnsi="Times New Roman"/>
                <w:lang w:val="sr-Latn-ME"/>
              </w:rPr>
              <w:t>je</w:t>
            </w:r>
            <w:r w:rsidRPr="00930653">
              <w:rPr>
                <w:rFonts w:ascii="Times New Roman" w:hAnsi="Times New Roman"/>
                <w:lang w:val="sr-Latn-ME"/>
              </w:rPr>
              <w:t>su prim</w:t>
            </w:r>
            <w:r w:rsidR="00114F4D" w:rsidRPr="00930653">
              <w:rPr>
                <w:rFonts w:ascii="Times New Roman" w:hAnsi="Times New Roman"/>
                <w:lang w:val="sr-Latn-ME"/>
              </w:rPr>
              <w:t>ij</w:t>
            </w:r>
            <w:r w:rsidRPr="00930653">
              <w:rPr>
                <w:rFonts w:ascii="Times New Roman" w:hAnsi="Times New Roman"/>
                <w:lang w:val="sr-Latn-ME"/>
              </w:rPr>
              <w:t>ećeni klinički značajni efekti.</w:t>
            </w:r>
          </w:p>
          <w:p w14:paraId="1491D835" w14:textId="77777777" w:rsidR="008D2EB6" w:rsidRPr="00930653" w:rsidRDefault="008D2EB6" w:rsidP="008C62CF">
            <w:pPr>
              <w:pStyle w:val="NoSpacing"/>
              <w:jc w:val="both"/>
              <w:rPr>
                <w:rFonts w:ascii="Times New Roman" w:hAnsi="Times New Roman"/>
                <w:u w:val="single"/>
                <w:lang w:val="sr-Latn-ME"/>
              </w:rPr>
            </w:pPr>
          </w:p>
          <w:p w14:paraId="3A202593" w14:textId="77777777" w:rsidR="00D614A4" w:rsidRPr="00930653" w:rsidRDefault="00D614A4" w:rsidP="008C62CF">
            <w:pPr>
              <w:pStyle w:val="NoSpacing"/>
              <w:jc w:val="both"/>
              <w:rPr>
                <w:rFonts w:ascii="Times New Roman" w:hAnsi="Times New Roman"/>
                <w:u w:val="single"/>
                <w:lang w:val="sr-Latn-ME"/>
              </w:rPr>
            </w:pPr>
            <w:r w:rsidRPr="00930653">
              <w:rPr>
                <w:rFonts w:ascii="Times New Roman" w:hAnsi="Times New Roman"/>
                <w:u w:val="single"/>
                <w:lang w:val="sr-Latn-ME"/>
              </w:rPr>
              <w:t>Pedijatrijska populacija</w:t>
            </w:r>
          </w:p>
          <w:p w14:paraId="7E4E3FD8" w14:textId="1AE29475" w:rsidR="00D614A4" w:rsidRPr="00930653" w:rsidRDefault="00D614A4" w:rsidP="008C62CF">
            <w:pPr>
              <w:jc w:val="both"/>
              <w:rPr>
                <w:sz w:val="22"/>
                <w:szCs w:val="22"/>
                <w:lang w:val="sr-Latn-ME"/>
              </w:rPr>
            </w:pPr>
            <w:r w:rsidRPr="00930653">
              <w:rPr>
                <w:sz w:val="22"/>
                <w:szCs w:val="22"/>
                <w:lang w:val="sr-Latn-ME"/>
              </w:rPr>
              <w:t>Profil neželjenih dejstava kod predoziranja, zapaženih nakon stavljanja lijeka u promet, bio je sličan onom  zapaženom pri prim</w:t>
            </w:r>
            <w:r w:rsidR="00114F4D" w:rsidRPr="00930653">
              <w:rPr>
                <w:sz w:val="22"/>
                <w:szCs w:val="22"/>
                <w:lang w:val="sr-Latn-ME"/>
              </w:rPr>
              <w:t>j</w:t>
            </w:r>
            <w:r w:rsidRPr="00930653">
              <w:rPr>
                <w:sz w:val="22"/>
                <w:szCs w:val="22"/>
                <w:lang w:val="sr-Latn-ME"/>
              </w:rPr>
              <w:t>eni terapijskih doza, ali opseg efekata može biti veći.</w:t>
            </w:r>
          </w:p>
          <w:p w14:paraId="1AF435E9" w14:textId="77777777" w:rsidR="002078BB" w:rsidRDefault="002078BB" w:rsidP="008C62CF">
            <w:pPr>
              <w:jc w:val="both"/>
              <w:rPr>
                <w:sz w:val="22"/>
                <w:szCs w:val="22"/>
                <w:lang w:val="sr-Latn-ME"/>
              </w:rPr>
            </w:pPr>
          </w:p>
          <w:p w14:paraId="25C4E99D" w14:textId="77777777" w:rsidR="002078BB" w:rsidRPr="00930653" w:rsidRDefault="002078BB" w:rsidP="008C62CF">
            <w:pPr>
              <w:jc w:val="both"/>
              <w:rPr>
                <w:sz w:val="22"/>
                <w:szCs w:val="22"/>
                <w:lang w:val="sr-Latn-ME"/>
              </w:rPr>
            </w:pPr>
          </w:p>
        </w:tc>
      </w:tr>
      <w:tr w:rsidR="002102CB" w:rsidRPr="00930653" w14:paraId="099EAB99" w14:textId="77777777" w:rsidTr="007F2243">
        <w:tc>
          <w:tcPr>
            <w:tcW w:w="9810" w:type="dxa"/>
            <w:gridSpan w:val="3"/>
            <w:shd w:val="clear" w:color="auto" w:fill="auto"/>
            <w:vAlign w:val="center"/>
          </w:tcPr>
          <w:p w14:paraId="238C87CA" w14:textId="77777777" w:rsidR="002102CB" w:rsidRDefault="002102CB" w:rsidP="00007378">
            <w:pPr>
              <w:pStyle w:val="Header"/>
              <w:tabs>
                <w:tab w:val="left" w:pos="284"/>
              </w:tabs>
              <w:jc w:val="both"/>
              <w:rPr>
                <w:b/>
                <w:bCs/>
                <w:sz w:val="22"/>
                <w:szCs w:val="22"/>
                <w:lang w:val="sr-Latn-ME"/>
              </w:rPr>
            </w:pPr>
            <w:r w:rsidRPr="00930653">
              <w:rPr>
                <w:b/>
                <w:bCs/>
                <w:sz w:val="22"/>
                <w:szCs w:val="22"/>
                <w:lang w:val="sr-Latn-ME"/>
              </w:rPr>
              <w:lastRenderedPageBreak/>
              <w:t>5. FARMAKOLOŠKI PODACI</w:t>
            </w:r>
          </w:p>
          <w:p w14:paraId="37C487E8" w14:textId="194913E2" w:rsidR="00C93CED" w:rsidRPr="00930653" w:rsidRDefault="00C93CED" w:rsidP="00007378">
            <w:pPr>
              <w:pStyle w:val="Header"/>
              <w:tabs>
                <w:tab w:val="left" w:pos="284"/>
              </w:tabs>
              <w:jc w:val="both"/>
              <w:rPr>
                <w:b/>
                <w:bCs/>
                <w:sz w:val="22"/>
                <w:szCs w:val="22"/>
                <w:lang w:val="sr-Latn-ME"/>
              </w:rPr>
            </w:pPr>
          </w:p>
        </w:tc>
      </w:tr>
      <w:tr w:rsidR="002102CB" w:rsidRPr="00930653" w14:paraId="0677DF9C" w14:textId="77777777" w:rsidTr="007F2243">
        <w:tc>
          <w:tcPr>
            <w:tcW w:w="9810" w:type="dxa"/>
            <w:gridSpan w:val="3"/>
            <w:vAlign w:val="center"/>
          </w:tcPr>
          <w:p w14:paraId="2729B7AB" w14:textId="77777777" w:rsidR="002102CB" w:rsidRPr="00930653" w:rsidRDefault="002102CB" w:rsidP="00007378">
            <w:pPr>
              <w:pStyle w:val="Header"/>
              <w:tabs>
                <w:tab w:val="left" w:pos="284"/>
              </w:tabs>
              <w:spacing w:before="80" w:after="80"/>
              <w:jc w:val="both"/>
              <w:rPr>
                <w:b/>
                <w:bCs/>
                <w:sz w:val="22"/>
                <w:szCs w:val="22"/>
                <w:lang w:val="sr-Latn-ME"/>
              </w:rPr>
            </w:pPr>
            <w:r w:rsidRPr="00930653">
              <w:rPr>
                <w:b/>
                <w:bCs/>
                <w:sz w:val="22"/>
                <w:szCs w:val="22"/>
                <w:lang w:val="sr-Latn-ME"/>
              </w:rPr>
              <w:t>5.1. Farmakodinamski podaci</w:t>
            </w:r>
          </w:p>
        </w:tc>
      </w:tr>
      <w:tr w:rsidR="0019381F" w:rsidRPr="00930653" w14:paraId="70B1EA9D" w14:textId="77777777" w:rsidTr="007F2243">
        <w:trPr>
          <w:trHeight w:val="576"/>
        </w:trPr>
        <w:tc>
          <w:tcPr>
            <w:tcW w:w="9810" w:type="dxa"/>
            <w:gridSpan w:val="3"/>
            <w:vAlign w:val="center"/>
          </w:tcPr>
          <w:p w14:paraId="3FCA17E6" w14:textId="01661DCE" w:rsidR="005D6ADE" w:rsidRDefault="0019381F" w:rsidP="00007378">
            <w:pPr>
              <w:pStyle w:val="Header"/>
              <w:tabs>
                <w:tab w:val="left" w:pos="284"/>
              </w:tabs>
              <w:jc w:val="both"/>
              <w:rPr>
                <w:sz w:val="22"/>
                <w:szCs w:val="22"/>
                <w:lang w:val="sr-Latn-ME"/>
              </w:rPr>
            </w:pPr>
            <w:r w:rsidRPr="00930653">
              <w:rPr>
                <w:sz w:val="22"/>
                <w:szCs w:val="22"/>
                <w:lang w:val="sr-Latn-ME"/>
              </w:rPr>
              <w:t xml:space="preserve">Farmakoterapijska grupa: </w:t>
            </w:r>
            <w:r w:rsidR="00766FD1" w:rsidRPr="00766FD1">
              <w:rPr>
                <w:sz w:val="22"/>
                <w:szCs w:val="22"/>
                <w:lang w:val="sr-Latn-ME"/>
              </w:rPr>
              <w:t>Antihistaminici za sistemsku prim</w:t>
            </w:r>
            <w:r w:rsidR="005F1E68">
              <w:rPr>
                <w:sz w:val="22"/>
                <w:szCs w:val="22"/>
                <w:lang w:val="sr-Latn-ME"/>
              </w:rPr>
              <w:t>j</w:t>
            </w:r>
            <w:r w:rsidR="00766FD1" w:rsidRPr="00766FD1">
              <w:rPr>
                <w:sz w:val="22"/>
                <w:szCs w:val="22"/>
                <w:lang w:val="sr-Latn-ME"/>
              </w:rPr>
              <w:t xml:space="preserve">enu; </w:t>
            </w:r>
          </w:p>
          <w:p w14:paraId="47039D2F" w14:textId="7E4F9B2D" w:rsidR="0019381F" w:rsidRPr="00930653" w:rsidRDefault="005D6ADE" w:rsidP="003B411D">
            <w:pPr>
              <w:pStyle w:val="Header"/>
              <w:tabs>
                <w:tab w:val="left" w:pos="284"/>
              </w:tabs>
              <w:ind w:left="2160"/>
              <w:jc w:val="both"/>
              <w:rPr>
                <w:sz w:val="22"/>
                <w:szCs w:val="22"/>
                <w:lang w:val="sr-Latn-ME"/>
              </w:rPr>
            </w:pPr>
            <w:r>
              <w:rPr>
                <w:sz w:val="22"/>
                <w:szCs w:val="22"/>
                <w:lang w:val="sr-Latn-ME"/>
              </w:rPr>
              <w:t xml:space="preserve">   O</w:t>
            </w:r>
            <w:r w:rsidR="00766FD1" w:rsidRPr="00766FD1">
              <w:rPr>
                <w:sz w:val="22"/>
                <w:szCs w:val="22"/>
                <w:lang w:val="sr-Latn-ME"/>
              </w:rPr>
              <w:t>stali antihistaminici za sistemsku prim</w:t>
            </w:r>
            <w:r w:rsidR="00B95D85">
              <w:rPr>
                <w:sz w:val="22"/>
                <w:szCs w:val="22"/>
                <w:lang w:val="sr-Latn-ME"/>
              </w:rPr>
              <w:t>j</w:t>
            </w:r>
            <w:r w:rsidR="00766FD1" w:rsidRPr="00766FD1">
              <w:rPr>
                <w:sz w:val="22"/>
                <w:szCs w:val="22"/>
                <w:lang w:val="sr-Latn-ME"/>
              </w:rPr>
              <w:t>enu</w:t>
            </w:r>
          </w:p>
        </w:tc>
      </w:tr>
      <w:tr w:rsidR="002102CB" w:rsidRPr="00930653" w14:paraId="0A4BA812" w14:textId="77777777" w:rsidTr="007F2243">
        <w:trPr>
          <w:trHeight w:val="542"/>
        </w:trPr>
        <w:tc>
          <w:tcPr>
            <w:tcW w:w="1170" w:type="dxa"/>
            <w:gridSpan w:val="2"/>
            <w:vAlign w:val="center"/>
          </w:tcPr>
          <w:p w14:paraId="7482815E" w14:textId="77777777" w:rsidR="002102CB" w:rsidRPr="00930653" w:rsidRDefault="002102CB" w:rsidP="00007378">
            <w:pPr>
              <w:pStyle w:val="Header"/>
              <w:tabs>
                <w:tab w:val="left" w:pos="284"/>
              </w:tabs>
              <w:jc w:val="both"/>
              <w:rPr>
                <w:sz w:val="22"/>
                <w:szCs w:val="22"/>
                <w:lang w:val="sr-Latn-ME"/>
              </w:rPr>
            </w:pPr>
            <w:r w:rsidRPr="00930653">
              <w:rPr>
                <w:sz w:val="22"/>
                <w:szCs w:val="22"/>
                <w:lang w:val="sr-Latn-ME"/>
              </w:rPr>
              <w:t>ATC коd:</w:t>
            </w:r>
          </w:p>
        </w:tc>
        <w:tc>
          <w:tcPr>
            <w:tcW w:w="8640" w:type="dxa"/>
            <w:vAlign w:val="center"/>
          </w:tcPr>
          <w:p w14:paraId="4DA9E890" w14:textId="77777777" w:rsidR="002102CB" w:rsidRPr="00930653" w:rsidRDefault="002102CB" w:rsidP="004E0BA7">
            <w:pPr>
              <w:pStyle w:val="Header"/>
              <w:tabs>
                <w:tab w:val="left" w:pos="284"/>
              </w:tabs>
              <w:jc w:val="both"/>
              <w:rPr>
                <w:sz w:val="22"/>
                <w:szCs w:val="22"/>
                <w:lang w:val="sr-Latn-ME"/>
              </w:rPr>
            </w:pPr>
            <w:r w:rsidRPr="00930653">
              <w:rPr>
                <w:sz w:val="22"/>
                <w:szCs w:val="22"/>
                <w:lang w:val="sr-Latn-ME"/>
              </w:rPr>
              <w:t>R06AX27</w:t>
            </w:r>
          </w:p>
        </w:tc>
      </w:tr>
      <w:tr w:rsidR="002102CB" w:rsidRPr="00A731F9" w14:paraId="418A43C8" w14:textId="77777777" w:rsidTr="007F2243">
        <w:trPr>
          <w:trHeight w:val="450"/>
        </w:trPr>
        <w:tc>
          <w:tcPr>
            <w:tcW w:w="9810" w:type="dxa"/>
            <w:gridSpan w:val="3"/>
            <w:vAlign w:val="center"/>
          </w:tcPr>
          <w:p w14:paraId="137B6028" w14:textId="77777777" w:rsidR="002102CB" w:rsidRPr="00930653" w:rsidRDefault="006555C9" w:rsidP="00007378">
            <w:pPr>
              <w:jc w:val="both"/>
              <w:rPr>
                <w:sz w:val="22"/>
                <w:szCs w:val="22"/>
                <w:u w:val="single"/>
                <w:lang w:val="sr-Latn-ME"/>
              </w:rPr>
            </w:pPr>
            <w:r w:rsidRPr="00930653">
              <w:rPr>
                <w:sz w:val="22"/>
                <w:szCs w:val="22"/>
                <w:u w:val="single"/>
                <w:lang w:val="sr-Latn-ME"/>
              </w:rPr>
              <w:t>Mehanizam dejstva</w:t>
            </w:r>
          </w:p>
          <w:p w14:paraId="7F24990C" w14:textId="77777777" w:rsidR="002102CB" w:rsidRPr="00930653" w:rsidRDefault="002102CB" w:rsidP="004E0BA7">
            <w:pPr>
              <w:jc w:val="both"/>
              <w:rPr>
                <w:sz w:val="22"/>
                <w:szCs w:val="22"/>
                <w:lang w:val="sr-Latn-ME"/>
              </w:rPr>
            </w:pPr>
            <w:r w:rsidRPr="00930653">
              <w:rPr>
                <w:sz w:val="22"/>
                <w:szCs w:val="22"/>
                <w:lang w:val="sr-Latn-ME"/>
              </w:rPr>
              <w:t>Desloratadin je nesedativni, dugodjelujući histaminski antagonist</w:t>
            </w:r>
            <w:r w:rsidR="00A60C4C" w:rsidRPr="00930653">
              <w:rPr>
                <w:sz w:val="22"/>
                <w:szCs w:val="22"/>
                <w:lang w:val="sr-Latn-ME"/>
              </w:rPr>
              <w:t>a</w:t>
            </w:r>
            <w:r w:rsidRPr="00930653">
              <w:rPr>
                <w:sz w:val="22"/>
                <w:szCs w:val="22"/>
                <w:lang w:val="sr-Latn-ME"/>
              </w:rPr>
              <w:t xml:space="preserve"> koji ima selektivno antagonističko djelovanje na periferne H</w:t>
            </w:r>
            <w:r w:rsidRPr="00930653">
              <w:rPr>
                <w:sz w:val="22"/>
                <w:szCs w:val="22"/>
                <w:vertAlign w:val="subscript"/>
                <w:lang w:val="sr-Latn-ME"/>
              </w:rPr>
              <w:t>1</w:t>
            </w:r>
            <w:r w:rsidRPr="00930653">
              <w:rPr>
                <w:sz w:val="22"/>
                <w:szCs w:val="22"/>
                <w:lang w:val="sr-Latn-ME"/>
              </w:rPr>
              <w:t xml:space="preserve"> receptore. Nakon oralne primjene, desloratadin selektivno blokira periferne histaminske H</w:t>
            </w:r>
            <w:r w:rsidRPr="00930653">
              <w:rPr>
                <w:sz w:val="22"/>
                <w:szCs w:val="22"/>
                <w:vertAlign w:val="subscript"/>
                <w:lang w:val="sr-Latn-ME"/>
              </w:rPr>
              <w:t>1</w:t>
            </w:r>
            <w:r w:rsidRPr="00930653">
              <w:rPr>
                <w:sz w:val="22"/>
                <w:szCs w:val="22"/>
                <w:lang w:val="sr-Latn-ME"/>
              </w:rPr>
              <w:t xml:space="preserve"> receptore, budući da ne prodire u centralni nervni sistem.</w:t>
            </w:r>
          </w:p>
          <w:p w14:paraId="3A105C3E" w14:textId="77777777" w:rsidR="002102CB" w:rsidRPr="00930653" w:rsidRDefault="002102CB" w:rsidP="004E0BA7">
            <w:pPr>
              <w:jc w:val="both"/>
              <w:rPr>
                <w:sz w:val="22"/>
                <w:szCs w:val="22"/>
                <w:lang w:val="sr-Latn-ME"/>
              </w:rPr>
            </w:pPr>
          </w:p>
          <w:p w14:paraId="20AF8C2B" w14:textId="4F011079" w:rsidR="002102CB" w:rsidRPr="00930653" w:rsidRDefault="002102CB" w:rsidP="00F72506">
            <w:pPr>
              <w:jc w:val="both"/>
              <w:rPr>
                <w:sz w:val="22"/>
                <w:szCs w:val="22"/>
                <w:lang w:val="sr-Latn-ME"/>
              </w:rPr>
            </w:pPr>
            <w:r w:rsidRPr="00930653">
              <w:rPr>
                <w:sz w:val="22"/>
                <w:szCs w:val="22"/>
                <w:lang w:val="sr-Latn-ME"/>
              </w:rPr>
              <w:t xml:space="preserve">U istraživanjima </w:t>
            </w:r>
            <w:r w:rsidRPr="00930653">
              <w:rPr>
                <w:i/>
                <w:sz w:val="22"/>
                <w:szCs w:val="22"/>
                <w:lang w:val="sr-Latn-ME"/>
              </w:rPr>
              <w:t>in vitro</w:t>
            </w:r>
            <w:r w:rsidRPr="00930653">
              <w:rPr>
                <w:sz w:val="22"/>
                <w:szCs w:val="22"/>
                <w:lang w:val="sr-Latn-ME"/>
              </w:rPr>
              <w:t xml:space="preserve">, desloratadin je pokazao antialergijska svojstva. To uključuje inhibiciju oslobađanja proinflamatornih citokina kao što su IL-4, IL-6, IL-8 i IL-13 iz ljudskih mastocita i bazofila, kao i inhibiciju ekspresije adhezionog molekula P-selektin na ćelijama endotela. Klinički značaj ovih zapažanja </w:t>
            </w:r>
            <w:r w:rsidR="00C70307">
              <w:rPr>
                <w:sz w:val="22"/>
                <w:szCs w:val="22"/>
                <w:lang w:val="sr-Latn-ME"/>
              </w:rPr>
              <w:t>još uvijek nije utvrđen</w:t>
            </w:r>
            <w:r w:rsidRPr="00930653">
              <w:rPr>
                <w:sz w:val="22"/>
                <w:szCs w:val="22"/>
                <w:lang w:val="sr-Latn-ME"/>
              </w:rPr>
              <w:t>.</w:t>
            </w:r>
          </w:p>
          <w:p w14:paraId="09A118B4" w14:textId="77777777" w:rsidR="002102CB" w:rsidRPr="00930653" w:rsidRDefault="002102CB" w:rsidP="00F72506">
            <w:pPr>
              <w:jc w:val="both"/>
              <w:rPr>
                <w:sz w:val="22"/>
                <w:szCs w:val="22"/>
                <w:lang w:val="sr-Latn-ME"/>
              </w:rPr>
            </w:pPr>
          </w:p>
          <w:p w14:paraId="043D6505" w14:textId="77777777" w:rsidR="006555C9" w:rsidRPr="00930653" w:rsidRDefault="006555C9" w:rsidP="00287B29">
            <w:pPr>
              <w:jc w:val="both"/>
              <w:rPr>
                <w:sz w:val="22"/>
                <w:szCs w:val="22"/>
                <w:u w:val="single"/>
                <w:lang w:val="sr-Latn-ME"/>
              </w:rPr>
            </w:pPr>
            <w:r w:rsidRPr="00930653">
              <w:rPr>
                <w:sz w:val="22"/>
                <w:szCs w:val="22"/>
                <w:u w:val="single"/>
                <w:lang w:val="sr-Latn-ME"/>
              </w:rPr>
              <w:t>Klinička efikasnost i bezbjednost</w:t>
            </w:r>
          </w:p>
          <w:p w14:paraId="42592A10" w14:textId="77777777" w:rsidR="00114F4D" w:rsidRPr="00930653" w:rsidRDefault="00114F4D" w:rsidP="00406B9C">
            <w:pPr>
              <w:jc w:val="both"/>
              <w:rPr>
                <w:sz w:val="22"/>
                <w:szCs w:val="22"/>
                <w:u w:val="single"/>
                <w:lang w:val="sr-Latn-ME"/>
              </w:rPr>
            </w:pPr>
          </w:p>
          <w:p w14:paraId="71AF78F5" w14:textId="77777777" w:rsidR="00E349C8" w:rsidRPr="00930653" w:rsidRDefault="00E349C8" w:rsidP="000C656C">
            <w:pPr>
              <w:jc w:val="both"/>
              <w:rPr>
                <w:sz w:val="22"/>
                <w:szCs w:val="22"/>
                <w:u w:val="single"/>
                <w:lang w:val="sr-Latn-ME"/>
              </w:rPr>
            </w:pPr>
            <w:r w:rsidRPr="00930653">
              <w:rPr>
                <w:sz w:val="22"/>
                <w:szCs w:val="22"/>
                <w:u w:val="single"/>
                <w:lang w:val="sr-Latn-ME"/>
              </w:rPr>
              <w:t>Pedijatrijska populacija</w:t>
            </w:r>
          </w:p>
          <w:p w14:paraId="73C04457" w14:textId="6E9369E8" w:rsidR="002102CB" w:rsidRPr="00930653" w:rsidRDefault="002102CB" w:rsidP="00AF04BB">
            <w:pPr>
              <w:jc w:val="both"/>
              <w:rPr>
                <w:sz w:val="22"/>
                <w:szCs w:val="22"/>
                <w:lang w:val="sr-Latn-ME"/>
              </w:rPr>
            </w:pPr>
            <w:r w:rsidRPr="00930653">
              <w:rPr>
                <w:sz w:val="22"/>
                <w:szCs w:val="22"/>
                <w:lang w:val="sr-Latn-ME"/>
              </w:rPr>
              <w:t xml:space="preserve">Efikasnost </w:t>
            </w:r>
            <w:r w:rsidR="00E37E9E">
              <w:rPr>
                <w:sz w:val="22"/>
                <w:szCs w:val="22"/>
                <w:lang w:val="sr-Latn-ME"/>
              </w:rPr>
              <w:t xml:space="preserve">lijeka </w:t>
            </w:r>
            <w:r w:rsidRPr="00930653">
              <w:rPr>
                <w:sz w:val="22"/>
                <w:szCs w:val="22"/>
                <w:lang w:val="sr-Latn-ME"/>
              </w:rPr>
              <w:t>Aerius oraln</w:t>
            </w:r>
            <w:r w:rsidR="00C70307">
              <w:rPr>
                <w:sz w:val="22"/>
                <w:szCs w:val="22"/>
                <w:lang w:val="sr-Latn-ME"/>
              </w:rPr>
              <w:t>i</w:t>
            </w:r>
            <w:r w:rsidRPr="00930653">
              <w:rPr>
                <w:sz w:val="22"/>
                <w:szCs w:val="22"/>
                <w:lang w:val="sr-Latn-ME"/>
              </w:rPr>
              <w:t xml:space="preserve"> rastvor nije bila ispitivana u odvojenim ispitivanjima u pedijatrijskoj populaciji. Međutim</w:t>
            </w:r>
            <w:r w:rsidR="00287B29" w:rsidRPr="00930653">
              <w:rPr>
                <w:sz w:val="22"/>
                <w:szCs w:val="22"/>
                <w:lang w:val="sr-Latn-ME"/>
              </w:rPr>
              <w:t>,</w:t>
            </w:r>
            <w:r w:rsidRPr="00930653">
              <w:rPr>
                <w:sz w:val="22"/>
                <w:szCs w:val="22"/>
                <w:lang w:val="sr-Latn-ME"/>
              </w:rPr>
              <w:t xml:space="preserve"> </w:t>
            </w:r>
            <w:r w:rsidR="006555C9" w:rsidRPr="00930653">
              <w:rPr>
                <w:sz w:val="22"/>
                <w:szCs w:val="22"/>
                <w:lang w:val="sr-Latn-ME"/>
              </w:rPr>
              <w:t xml:space="preserve">bezbjednost </w:t>
            </w:r>
            <w:r w:rsidRPr="00930653">
              <w:rPr>
                <w:sz w:val="22"/>
                <w:szCs w:val="22"/>
                <w:lang w:val="sr-Latn-ME"/>
              </w:rPr>
              <w:t xml:space="preserve">primjene </w:t>
            </w:r>
            <w:r w:rsidR="00E349C8" w:rsidRPr="00930653">
              <w:rPr>
                <w:sz w:val="22"/>
                <w:szCs w:val="22"/>
                <w:lang w:val="sr-Latn-ME"/>
              </w:rPr>
              <w:t xml:space="preserve">desloratadin </w:t>
            </w:r>
            <w:r w:rsidRPr="00930653">
              <w:rPr>
                <w:sz w:val="22"/>
                <w:szCs w:val="22"/>
                <w:lang w:val="sr-Latn-ME"/>
              </w:rPr>
              <w:t>sirupa, koji sadrži istu koncentraciju desloratadina</w:t>
            </w:r>
            <w:r w:rsidR="00E349C8" w:rsidRPr="00930653">
              <w:rPr>
                <w:sz w:val="22"/>
                <w:szCs w:val="22"/>
                <w:lang w:val="sr-Latn-ME"/>
              </w:rPr>
              <w:t xml:space="preserve"> kao </w:t>
            </w:r>
            <w:r w:rsidR="00E37E9E">
              <w:rPr>
                <w:sz w:val="22"/>
                <w:szCs w:val="22"/>
                <w:lang w:val="sr-Latn-ME"/>
              </w:rPr>
              <w:t xml:space="preserve">lijek </w:t>
            </w:r>
            <w:r w:rsidR="00E349C8" w:rsidRPr="00930653">
              <w:rPr>
                <w:sz w:val="22"/>
                <w:szCs w:val="22"/>
                <w:lang w:val="sr-Latn-ME"/>
              </w:rPr>
              <w:t>Aerius</w:t>
            </w:r>
            <w:r w:rsidR="00C70307">
              <w:rPr>
                <w:sz w:val="22"/>
                <w:szCs w:val="22"/>
                <w:lang w:val="sr-Latn-ME"/>
              </w:rPr>
              <w:t>,</w:t>
            </w:r>
            <w:r w:rsidR="00E349C8" w:rsidRPr="00930653">
              <w:rPr>
                <w:sz w:val="22"/>
                <w:szCs w:val="22"/>
                <w:lang w:val="sr-Latn-ME"/>
              </w:rPr>
              <w:t xml:space="preserve"> oralni rastvor</w:t>
            </w:r>
            <w:r w:rsidRPr="00930653">
              <w:rPr>
                <w:sz w:val="22"/>
                <w:szCs w:val="22"/>
                <w:lang w:val="sr-Latn-ME"/>
              </w:rPr>
              <w:t xml:space="preserve">, je </w:t>
            </w:r>
            <w:r w:rsidR="00A60C4C" w:rsidRPr="00930653">
              <w:rPr>
                <w:sz w:val="22"/>
                <w:szCs w:val="22"/>
                <w:lang w:val="sr-Latn-ME"/>
              </w:rPr>
              <w:t>dokazana</w:t>
            </w:r>
            <w:r w:rsidRPr="00930653">
              <w:rPr>
                <w:sz w:val="22"/>
                <w:szCs w:val="22"/>
                <w:lang w:val="sr-Latn-ME"/>
              </w:rPr>
              <w:t xml:space="preserve"> u 3 ispitivanja u pedijatrijskoj populaciji. Djeca, uzrasta od 1 do 11 godina, koja su bila kandidati za terapiju antihistaminicima, su primala dnevno 1</w:t>
            </w:r>
            <w:r w:rsidR="00287B29" w:rsidRPr="00930653">
              <w:rPr>
                <w:sz w:val="22"/>
                <w:szCs w:val="22"/>
                <w:lang w:val="sr-Latn-ME"/>
              </w:rPr>
              <w:t>,</w:t>
            </w:r>
            <w:r w:rsidRPr="00930653">
              <w:rPr>
                <w:sz w:val="22"/>
                <w:szCs w:val="22"/>
                <w:lang w:val="sr-Latn-ME"/>
              </w:rPr>
              <w:t>25 mg desloratadina (</w:t>
            </w:r>
            <w:r w:rsidR="00287B29" w:rsidRPr="00930653">
              <w:rPr>
                <w:sz w:val="22"/>
                <w:szCs w:val="22"/>
                <w:lang w:val="sr-Latn-ME"/>
              </w:rPr>
              <w:t xml:space="preserve">uzrast </w:t>
            </w:r>
            <w:r w:rsidRPr="00930653">
              <w:rPr>
                <w:sz w:val="22"/>
                <w:szCs w:val="22"/>
                <w:lang w:val="sr-Latn-ME"/>
              </w:rPr>
              <w:t>od 1 do 5 godina) ili 2</w:t>
            </w:r>
            <w:r w:rsidR="00287B29" w:rsidRPr="00930653">
              <w:rPr>
                <w:sz w:val="22"/>
                <w:szCs w:val="22"/>
                <w:lang w:val="sr-Latn-ME"/>
              </w:rPr>
              <w:t>,</w:t>
            </w:r>
            <w:r w:rsidRPr="00930653">
              <w:rPr>
                <w:sz w:val="22"/>
                <w:szCs w:val="22"/>
                <w:lang w:val="sr-Latn-ME"/>
              </w:rPr>
              <w:t>5 mg (</w:t>
            </w:r>
            <w:r w:rsidR="00287B29" w:rsidRPr="00930653">
              <w:rPr>
                <w:sz w:val="22"/>
                <w:szCs w:val="22"/>
                <w:lang w:val="sr-Latn-ME"/>
              </w:rPr>
              <w:t xml:space="preserve">uzrast </w:t>
            </w:r>
            <w:r w:rsidRPr="00930653">
              <w:rPr>
                <w:sz w:val="22"/>
                <w:szCs w:val="22"/>
                <w:lang w:val="sr-Latn-ME"/>
              </w:rPr>
              <w:t xml:space="preserve">od 6 do 11 godina). </w:t>
            </w:r>
            <w:r w:rsidR="00C70307" w:rsidRPr="00C70307">
              <w:rPr>
                <w:sz w:val="22"/>
                <w:szCs w:val="22"/>
                <w:lang w:val="sr-Latn-ME"/>
              </w:rPr>
              <w:t>Prema dokumentovanim kliničkim laboratorijskim testovima, vitalnim znacima i nalazima EKG-a, uključujući i QTc intervale, terapija je pokazala dobru podnošljivost</w:t>
            </w:r>
            <w:r w:rsidRPr="00930653">
              <w:rPr>
                <w:sz w:val="22"/>
                <w:szCs w:val="22"/>
                <w:lang w:val="sr-Latn-ME"/>
              </w:rPr>
              <w:t xml:space="preserve">. Kada se primjenjuje u preporučenim dozama, koncentracije desloratadina u plazmi (vidjeti </w:t>
            </w:r>
            <w:r w:rsidR="006555C9" w:rsidRPr="00930653">
              <w:rPr>
                <w:sz w:val="22"/>
                <w:szCs w:val="22"/>
                <w:lang w:val="sr-Latn-ME"/>
              </w:rPr>
              <w:t xml:space="preserve">dio </w:t>
            </w:r>
            <w:r w:rsidRPr="00930653">
              <w:rPr>
                <w:sz w:val="22"/>
                <w:szCs w:val="22"/>
                <w:lang w:val="sr-Latn-ME"/>
              </w:rPr>
              <w:t>5.2) su bile komparabilne za pedijatrijsku populaciju i odrasle. Prema tome</w:t>
            </w:r>
            <w:r w:rsidR="00287B29" w:rsidRPr="00930653">
              <w:rPr>
                <w:sz w:val="22"/>
                <w:szCs w:val="22"/>
                <w:lang w:val="sr-Latn-ME"/>
              </w:rPr>
              <w:t>,</w:t>
            </w:r>
            <w:r w:rsidRPr="00930653">
              <w:rPr>
                <w:sz w:val="22"/>
                <w:szCs w:val="22"/>
                <w:lang w:val="sr-Latn-ME"/>
              </w:rPr>
              <w:t xml:space="preserve"> </w:t>
            </w:r>
            <w:r w:rsidR="00C70307">
              <w:rPr>
                <w:sz w:val="22"/>
                <w:szCs w:val="22"/>
                <w:lang w:val="sr-Latn-ME"/>
              </w:rPr>
              <w:t xml:space="preserve">kako su </w:t>
            </w:r>
            <w:r w:rsidRPr="00930653">
              <w:rPr>
                <w:sz w:val="22"/>
                <w:szCs w:val="22"/>
                <w:lang w:val="sr-Latn-ME"/>
              </w:rPr>
              <w:t xml:space="preserve">tok alergijskog rinitisa/hronične idiopatske urtikarije i profil desloratadina slični kod odraslih i pedijatrijskih pacijenata, </w:t>
            </w:r>
            <w:r w:rsidR="00C70307" w:rsidRPr="00C70307">
              <w:rPr>
                <w:sz w:val="22"/>
                <w:szCs w:val="22"/>
                <w:lang w:val="sr-Latn-ME"/>
              </w:rPr>
              <w:t>može se izvršiti ekstrapolacija podataka o efikasnosti desloratadina kod odraslih na pedijatrijsku populaciju</w:t>
            </w:r>
            <w:r w:rsidR="00C70307">
              <w:rPr>
                <w:sz w:val="22"/>
                <w:szCs w:val="22"/>
                <w:lang w:val="sr-Latn-ME"/>
              </w:rPr>
              <w:t>.</w:t>
            </w:r>
          </w:p>
          <w:p w14:paraId="320AA8D4" w14:textId="77777777" w:rsidR="002102CB" w:rsidRPr="00930653" w:rsidRDefault="002102CB" w:rsidP="008C62CF">
            <w:pPr>
              <w:jc w:val="both"/>
              <w:rPr>
                <w:sz w:val="22"/>
                <w:szCs w:val="22"/>
                <w:lang w:val="sr-Latn-ME"/>
              </w:rPr>
            </w:pPr>
          </w:p>
          <w:p w14:paraId="5DFBA428" w14:textId="0E626C7F" w:rsidR="00E349C8" w:rsidRPr="00930653" w:rsidRDefault="00E349C8" w:rsidP="008C62CF">
            <w:pPr>
              <w:jc w:val="both"/>
              <w:rPr>
                <w:sz w:val="22"/>
                <w:szCs w:val="22"/>
                <w:lang w:val="sr-Latn-ME"/>
              </w:rPr>
            </w:pPr>
            <w:r w:rsidRPr="00930653">
              <w:rPr>
                <w:sz w:val="22"/>
                <w:szCs w:val="22"/>
                <w:lang w:val="sr-Latn-ME"/>
              </w:rPr>
              <w:t xml:space="preserve">Efikasnost </w:t>
            </w:r>
            <w:r w:rsidR="00A60C4C" w:rsidRPr="00930653">
              <w:rPr>
                <w:sz w:val="22"/>
                <w:szCs w:val="22"/>
                <w:lang w:val="sr-Latn-ME"/>
              </w:rPr>
              <w:t xml:space="preserve">lijeka </w:t>
            </w:r>
            <w:r w:rsidRPr="00930653">
              <w:rPr>
                <w:sz w:val="22"/>
                <w:szCs w:val="22"/>
                <w:lang w:val="sr-Latn-ME"/>
              </w:rPr>
              <w:t>Aerius</w:t>
            </w:r>
            <w:r w:rsidR="00C70307">
              <w:rPr>
                <w:sz w:val="22"/>
                <w:szCs w:val="22"/>
                <w:lang w:val="sr-Latn-ME"/>
              </w:rPr>
              <w:t xml:space="preserve"> sirup</w:t>
            </w:r>
            <w:r w:rsidRPr="00930653">
              <w:rPr>
                <w:sz w:val="22"/>
                <w:szCs w:val="22"/>
                <w:lang w:val="sr-Latn-ME"/>
              </w:rPr>
              <w:t xml:space="preserve"> nije </w:t>
            </w:r>
            <w:r w:rsidR="00C70307">
              <w:rPr>
                <w:sz w:val="22"/>
                <w:szCs w:val="22"/>
                <w:lang w:val="sr-Latn-ME"/>
              </w:rPr>
              <w:t xml:space="preserve">bila </w:t>
            </w:r>
            <w:r w:rsidRPr="00930653">
              <w:rPr>
                <w:sz w:val="22"/>
                <w:szCs w:val="22"/>
                <w:lang w:val="sr-Latn-ME"/>
              </w:rPr>
              <w:t xml:space="preserve">ispitivana u pedijatrijskim </w:t>
            </w:r>
            <w:r w:rsidR="00C70307">
              <w:rPr>
                <w:sz w:val="22"/>
                <w:szCs w:val="22"/>
                <w:lang w:val="sr-Latn-ME"/>
              </w:rPr>
              <w:t xml:space="preserve">kliničkim </w:t>
            </w:r>
            <w:r w:rsidRPr="00930653">
              <w:rPr>
                <w:sz w:val="22"/>
                <w:szCs w:val="22"/>
                <w:lang w:val="sr-Latn-ME"/>
              </w:rPr>
              <w:t xml:space="preserve">studijama </w:t>
            </w:r>
            <w:r w:rsidR="00C70307">
              <w:rPr>
                <w:sz w:val="22"/>
                <w:szCs w:val="22"/>
                <w:lang w:val="sr-Latn-ME"/>
              </w:rPr>
              <w:t>kod</w:t>
            </w:r>
            <w:r w:rsidR="00C70307" w:rsidRPr="00930653">
              <w:rPr>
                <w:sz w:val="22"/>
                <w:szCs w:val="22"/>
                <w:lang w:val="sr-Latn-ME"/>
              </w:rPr>
              <w:t xml:space="preserve"> </w:t>
            </w:r>
            <w:r w:rsidRPr="00930653">
              <w:rPr>
                <w:sz w:val="22"/>
                <w:szCs w:val="22"/>
                <w:lang w:val="sr-Latn-ME"/>
              </w:rPr>
              <w:t>d</w:t>
            </w:r>
            <w:r w:rsidR="00114F4D" w:rsidRPr="00930653">
              <w:rPr>
                <w:sz w:val="22"/>
                <w:szCs w:val="22"/>
                <w:lang w:val="sr-Latn-ME"/>
              </w:rPr>
              <w:t>j</w:t>
            </w:r>
            <w:r w:rsidRPr="00930653">
              <w:rPr>
                <w:sz w:val="22"/>
                <w:szCs w:val="22"/>
                <w:lang w:val="sr-Latn-ME"/>
              </w:rPr>
              <w:t>ec</w:t>
            </w:r>
            <w:r w:rsidR="00C70307">
              <w:rPr>
                <w:sz w:val="22"/>
                <w:szCs w:val="22"/>
                <w:lang w:val="sr-Latn-ME"/>
              </w:rPr>
              <w:t>e</w:t>
            </w:r>
            <w:r w:rsidRPr="00930653">
              <w:rPr>
                <w:sz w:val="22"/>
                <w:szCs w:val="22"/>
                <w:lang w:val="sr-Latn-ME"/>
              </w:rPr>
              <w:t xml:space="preserve"> </w:t>
            </w:r>
            <w:r w:rsidR="00C70307" w:rsidRPr="00930653">
              <w:rPr>
                <w:sz w:val="22"/>
                <w:szCs w:val="22"/>
                <w:lang w:val="sr-Latn-ME"/>
              </w:rPr>
              <w:t>mlađ</w:t>
            </w:r>
            <w:r w:rsidR="00C70307">
              <w:rPr>
                <w:sz w:val="22"/>
                <w:szCs w:val="22"/>
                <w:lang w:val="sr-Latn-ME"/>
              </w:rPr>
              <w:t>e</w:t>
            </w:r>
            <w:r w:rsidR="00C70307" w:rsidRPr="00930653">
              <w:rPr>
                <w:sz w:val="22"/>
                <w:szCs w:val="22"/>
                <w:lang w:val="sr-Latn-ME"/>
              </w:rPr>
              <w:t xml:space="preserve"> </w:t>
            </w:r>
            <w:r w:rsidRPr="00930653">
              <w:rPr>
                <w:sz w:val="22"/>
                <w:szCs w:val="22"/>
                <w:lang w:val="sr-Latn-ME"/>
              </w:rPr>
              <w:t>od 12 godina.</w:t>
            </w:r>
          </w:p>
          <w:p w14:paraId="19D575E4" w14:textId="77777777" w:rsidR="00E349C8" w:rsidRPr="00930653" w:rsidRDefault="00E349C8" w:rsidP="008C62CF">
            <w:pPr>
              <w:jc w:val="both"/>
              <w:rPr>
                <w:sz w:val="22"/>
                <w:szCs w:val="22"/>
                <w:lang w:val="sr-Latn-ME"/>
              </w:rPr>
            </w:pPr>
          </w:p>
          <w:p w14:paraId="2D1859C3" w14:textId="77777777" w:rsidR="00E349C8" w:rsidRPr="00930653" w:rsidRDefault="00E349C8" w:rsidP="008C62CF">
            <w:pPr>
              <w:jc w:val="both"/>
              <w:rPr>
                <w:sz w:val="22"/>
                <w:szCs w:val="22"/>
                <w:lang w:val="sr-Latn-ME"/>
              </w:rPr>
            </w:pPr>
            <w:r w:rsidRPr="00930653">
              <w:rPr>
                <w:sz w:val="22"/>
                <w:szCs w:val="22"/>
                <w:u w:val="single"/>
                <w:lang w:val="sr-Latn-ME"/>
              </w:rPr>
              <w:t>Odrasli i adolescenti</w:t>
            </w:r>
          </w:p>
          <w:p w14:paraId="1A384E95" w14:textId="70E8EFAB" w:rsidR="002102CB" w:rsidRPr="00930653" w:rsidRDefault="002102CB" w:rsidP="00CF7DFD">
            <w:pPr>
              <w:jc w:val="both"/>
              <w:rPr>
                <w:sz w:val="22"/>
                <w:szCs w:val="22"/>
                <w:lang w:val="sr-Latn-ME"/>
              </w:rPr>
            </w:pPr>
            <w:r w:rsidRPr="00930653">
              <w:rPr>
                <w:sz w:val="22"/>
                <w:szCs w:val="22"/>
                <w:lang w:val="sr-Latn-ME"/>
              </w:rPr>
              <w:t xml:space="preserve">U kliničkom ispitivanju </w:t>
            </w:r>
            <w:r w:rsidR="003A37C5">
              <w:rPr>
                <w:sz w:val="22"/>
                <w:szCs w:val="22"/>
                <w:lang w:val="sr-Latn-ME"/>
              </w:rPr>
              <w:t>uz primjenu ponovljenih doza lijeka</w:t>
            </w:r>
            <w:r w:rsidRPr="00930653">
              <w:rPr>
                <w:sz w:val="22"/>
                <w:szCs w:val="22"/>
                <w:lang w:val="sr-Latn-ME"/>
              </w:rPr>
              <w:t>, kod odraslih i adolescenata, u kome je primjenjivano do ukupno 20 mg desloratadina na dan tokom 14 dana, nijesu primijećeni klinički ili statistički značajni kardiovaskularni efekti. U kliničko-farmakološkom ispitivanju, kod odraslih i adolescenata, u kojem se desloratadin primjenjivao u dozi od 45 mg dnevno (devet puta veća doza od kliničke</w:t>
            </w:r>
            <w:r w:rsidR="00A60C4C" w:rsidRPr="00930653">
              <w:rPr>
                <w:sz w:val="22"/>
                <w:szCs w:val="22"/>
                <w:lang w:val="sr-Latn-ME"/>
              </w:rPr>
              <w:t xml:space="preserve"> doze</w:t>
            </w:r>
            <w:r w:rsidRPr="00930653">
              <w:rPr>
                <w:sz w:val="22"/>
                <w:szCs w:val="22"/>
                <w:lang w:val="sr-Latn-ME"/>
              </w:rPr>
              <w:t>) tokom 10 dana, nije primijećeno produženje QT intervala.</w:t>
            </w:r>
          </w:p>
          <w:p w14:paraId="7D2B5B34" w14:textId="77777777" w:rsidR="00E67508" w:rsidRPr="00930653" w:rsidRDefault="00E67508" w:rsidP="00CF7DFD">
            <w:pPr>
              <w:jc w:val="both"/>
              <w:rPr>
                <w:rFonts w:eastAsia="Calibri"/>
                <w:sz w:val="22"/>
                <w:szCs w:val="22"/>
                <w:u w:val="single"/>
                <w:lang w:val="sr-Latn-ME"/>
              </w:rPr>
            </w:pPr>
          </w:p>
          <w:p w14:paraId="0356D91F" w14:textId="77777777" w:rsidR="002102CB" w:rsidRPr="00930653" w:rsidRDefault="00E67508" w:rsidP="0097600C">
            <w:pPr>
              <w:jc w:val="both"/>
              <w:rPr>
                <w:rFonts w:eastAsia="Calibri"/>
                <w:sz w:val="22"/>
                <w:szCs w:val="22"/>
                <w:u w:val="single"/>
                <w:lang w:val="sr-Latn-ME"/>
              </w:rPr>
            </w:pPr>
            <w:r w:rsidRPr="00930653">
              <w:rPr>
                <w:rFonts w:eastAsia="Calibri"/>
                <w:sz w:val="22"/>
                <w:szCs w:val="22"/>
                <w:u w:val="single"/>
                <w:lang w:val="sr-Latn-ME"/>
              </w:rPr>
              <w:t>Farmakodinamski efekti</w:t>
            </w:r>
          </w:p>
          <w:p w14:paraId="35D43E39" w14:textId="20FA842D" w:rsidR="002102CB" w:rsidRPr="00930653" w:rsidRDefault="002102CB" w:rsidP="005F4218">
            <w:pPr>
              <w:jc w:val="both"/>
              <w:rPr>
                <w:sz w:val="22"/>
                <w:szCs w:val="22"/>
                <w:lang w:val="sr-Latn-ME"/>
              </w:rPr>
            </w:pPr>
            <w:r w:rsidRPr="00930653">
              <w:rPr>
                <w:sz w:val="22"/>
                <w:szCs w:val="22"/>
                <w:lang w:val="sr-Latn-ME"/>
              </w:rPr>
              <w:lastRenderedPageBreak/>
              <w:t xml:space="preserve">Desloratadin ne prodire lako u centralni nervni sistem. U kontrolisanim kliničkim ispitivanjima, pri preporučenoj dozi od 5 mg dnevno, incidenca </w:t>
            </w:r>
            <w:r w:rsidR="00C96265" w:rsidRPr="00C96265">
              <w:rPr>
                <w:sz w:val="22"/>
                <w:szCs w:val="22"/>
                <w:lang w:val="sr-Latn-ME"/>
              </w:rPr>
              <w:t>somnolencije</w:t>
            </w:r>
            <w:r w:rsidRPr="00930653">
              <w:rPr>
                <w:sz w:val="22"/>
                <w:szCs w:val="22"/>
                <w:lang w:val="sr-Latn-ME"/>
              </w:rPr>
              <w:t xml:space="preserve"> nije bila veća u odnosu na placebo. U kliničkim ispitivanjima, Aerius tablete primijenjene kod odraslih i adolescenata u pojedinačnoj dnevnoj dozi od 7</w:t>
            </w:r>
            <w:r w:rsidR="002512BE">
              <w:rPr>
                <w:sz w:val="22"/>
                <w:szCs w:val="22"/>
                <w:lang w:val="sr-Latn-ME"/>
              </w:rPr>
              <w:t>,</w:t>
            </w:r>
            <w:r w:rsidRPr="00930653">
              <w:rPr>
                <w:sz w:val="22"/>
                <w:szCs w:val="22"/>
                <w:lang w:val="sr-Latn-ME"/>
              </w:rPr>
              <w:t>5 mg ni</w:t>
            </w:r>
            <w:r w:rsidR="00114F4D" w:rsidRPr="00930653">
              <w:rPr>
                <w:sz w:val="22"/>
                <w:szCs w:val="22"/>
                <w:lang w:val="sr-Latn-ME"/>
              </w:rPr>
              <w:t>je</w:t>
            </w:r>
            <w:r w:rsidRPr="00930653">
              <w:rPr>
                <w:sz w:val="22"/>
                <w:szCs w:val="22"/>
                <w:lang w:val="sr-Latn-ME"/>
              </w:rPr>
              <w:t xml:space="preserve">su uticale na psihomotorne sposobnosti ispitanika. U ispitivanjima efekta pojedinačne doze desloratadina od 5 mg kod odraslih, lijek nije uticao na standardne parametre za procjenu sposobnosti pilotiranja, uključujući egzacerbaciju subjektivnog osjećaja pospanosti ili zadatke </w:t>
            </w:r>
            <w:r w:rsidR="00C70307">
              <w:rPr>
                <w:sz w:val="22"/>
                <w:szCs w:val="22"/>
                <w:lang w:val="sr-Latn-ME"/>
              </w:rPr>
              <w:t>u vezi sa</w:t>
            </w:r>
            <w:r w:rsidRPr="00930653">
              <w:rPr>
                <w:sz w:val="22"/>
                <w:szCs w:val="22"/>
                <w:lang w:val="sr-Latn-ME"/>
              </w:rPr>
              <w:t xml:space="preserve"> pilotiranje</w:t>
            </w:r>
            <w:r w:rsidR="00C70307">
              <w:rPr>
                <w:sz w:val="22"/>
                <w:szCs w:val="22"/>
                <w:lang w:val="sr-Latn-ME"/>
              </w:rPr>
              <w:t>m</w:t>
            </w:r>
            <w:r w:rsidRPr="00930653">
              <w:rPr>
                <w:sz w:val="22"/>
                <w:szCs w:val="22"/>
                <w:lang w:val="sr-Latn-ME"/>
              </w:rPr>
              <w:t>.</w:t>
            </w:r>
          </w:p>
          <w:p w14:paraId="2A63E0E2" w14:textId="77777777" w:rsidR="002102CB" w:rsidRPr="00930653" w:rsidRDefault="002102CB" w:rsidP="005F4218">
            <w:pPr>
              <w:jc w:val="both"/>
              <w:rPr>
                <w:sz w:val="22"/>
                <w:szCs w:val="22"/>
                <w:lang w:val="sr-Latn-ME"/>
              </w:rPr>
            </w:pPr>
          </w:p>
          <w:p w14:paraId="54B6FF37" w14:textId="2A3EC945" w:rsidR="002102CB" w:rsidRPr="00930653" w:rsidRDefault="002102CB" w:rsidP="002B5077">
            <w:pPr>
              <w:jc w:val="both"/>
              <w:rPr>
                <w:sz w:val="22"/>
                <w:szCs w:val="22"/>
                <w:lang w:val="sr-Latn-ME"/>
              </w:rPr>
            </w:pPr>
            <w:r w:rsidRPr="00930653">
              <w:rPr>
                <w:sz w:val="22"/>
                <w:szCs w:val="22"/>
                <w:lang w:val="sr-Latn-ME"/>
              </w:rPr>
              <w:t xml:space="preserve">U kliničko-farmakološkim ispitivanjima kod odraslih, istovremena primjena desloratadina i alkohola nije pojačala </w:t>
            </w:r>
            <w:r w:rsidR="003A37C5">
              <w:rPr>
                <w:sz w:val="22"/>
                <w:szCs w:val="22"/>
                <w:lang w:val="sr-Latn-ME"/>
              </w:rPr>
              <w:t>štetne efekte</w:t>
            </w:r>
            <w:r w:rsidRPr="00930653">
              <w:rPr>
                <w:sz w:val="22"/>
                <w:szCs w:val="22"/>
                <w:lang w:val="sr-Latn-ME"/>
              </w:rPr>
              <w:t xml:space="preserve"> alkohol</w:t>
            </w:r>
            <w:r w:rsidR="003A37C5">
              <w:rPr>
                <w:sz w:val="22"/>
                <w:szCs w:val="22"/>
                <w:lang w:val="sr-Latn-ME"/>
              </w:rPr>
              <w:t>a na ponašanje, kao</w:t>
            </w:r>
            <w:r w:rsidRPr="00930653">
              <w:rPr>
                <w:sz w:val="22"/>
                <w:szCs w:val="22"/>
                <w:lang w:val="sr-Latn-ME"/>
              </w:rPr>
              <w:t xml:space="preserve"> ni pospanost. Nijesu primijećene značajne razlike u rezultatima psihomotornih testova između grupa ispitanika koja je primala desloratadin i one koja je primala placebo, bez obzira da li su tokom terapije uzimali i alkohol.</w:t>
            </w:r>
          </w:p>
          <w:p w14:paraId="0B69B4E7" w14:textId="77777777" w:rsidR="002102CB" w:rsidRPr="00930653" w:rsidRDefault="002102CB" w:rsidP="002B5077">
            <w:pPr>
              <w:jc w:val="both"/>
              <w:rPr>
                <w:sz w:val="22"/>
                <w:szCs w:val="22"/>
                <w:lang w:val="sr-Latn-ME"/>
              </w:rPr>
            </w:pPr>
          </w:p>
          <w:p w14:paraId="714DC62D" w14:textId="77777777" w:rsidR="002102CB" w:rsidRPr="00930653" w:rsidRDefault="002102CB" w:rsidP="00930653">
            <w:pPr>
              <w:pStyle w:val="Header"/>
              <w:tabs>
                <w:tab w:val="left" w:pos="284"/>
              </w:tabs>
              <w:jc w:val="both"/>
              <w:rPr>
                <w:sz w:val="22"/>
                <w:szCs w:val="22"/>
                <w:lang w:val="sr-Latn-ME"/>
              </w:rPr>
            </w:pPr>
            <w:r w:rsidRPr="00930653">
              <w:rPr>
                <w:sz w:val="22"/>
                <w:szCs w:val="22"/>
                <w:lang w:val="sr-Latn-ME"/>
              </w:rPr>
              <w:t>Nijesu zabilježene klinički relevantne promjene u koncentraciji desloratadina u plazmi tokom ispitivanja interakcija ponovljenih doza desloratadina sa ketokonazolom i eritromicinom.</w:t>
            </w:r>
          </w:p>
          <w:p w14:paraId="4FB89865" w14:textId="77777777" w:rsidR="002078BB" w:rsidRPr="00930653" w:rsidRDefault="002078BB" w:rsidP="00930653">
            <w:pPr>
              <w:jc w:val="both"/>
              <w:rPr>
                <w:sz w:val="22"/>
                <w:szCs w:val="22"/>
                <w:lang w:val="sr-Latn-ME"/>
              </w:rPr>
            </w:pPr>
          </w:p>
          <w:p w14:paraId="77BB31D4" w14:textId="1860C9F2" w:rsidR="002102CB" w:rsidRPr="00930653" w:rsidRDefault="002102CB" w:rsidP="00930653">
            <w:pPr>
              <w:jc w:val="both"/>
              <w:rPr>
                <w:sz w:val="22"/>
                <w:szCs w:val="22"/>
                <w:lang w:val="sr-Latn-ME"/>
              </w:rPr>
            </w:pPr>
            <w:r w:rsidRPr="00930653">
              <w:rPr>
                <w:sz w:val="22"/>
                <w:szCs w:val="22"/>
                <w:lang w:val="sr-Latn-ME"/>
              </w:rPr>
              <w:t xml:space="preserve">Kod odraslih i adolescenata sa alergijskim rinitisom, </w:t>
            </w:r>
            <w:r w:rsidR="002512BE">
              <w:rPr>
                <w:sz w:val="22"/>
                <w:szCs w:val="22"/>
                <w:lang w:val="sr-Latn-ME"/>
              </w:rPr>
              <w:t xml:space="preserve">lijek </w:t>
            </w:r>
            <w:r w:rsidRPr="00930653">
              <w:rPr>
                <w:sz w:val="22"/>
                <w:szCs w:val="22"/>
                <w:lang w:val="sr-Latn-ME"/>
              </w:rPr>
              <w:t xml:space="preserve">Aerius tablete su bile efikasne u olakšavanju sljedećih simptoma: kijanje, svrab i </w:t>
            </w:r>
            <w:r w:rsidR="00C96265">
              <w:rPr>
                <w:sz w:val="22"/>
                <w:szCs w:val="22"/>
                <w:lang w:val="sr-Latn-ME"/>
              </w:rPr>
              <w:t>sekrecija</w:t>
            </w:r>
            <w:r w:rsidR="00C96265" w:rsidRPr="00930653">
              <w:rPr>
                <w:sz w:val="22"/>
                <w:szCs w:val="22"/>
                <w:lang w:val="sr-Latn-ME"/>
              </w:rPr>
              <w:t xml:space="preserve"> </w:t>
            </w:r>
            <w:r w:rsidRPr="00930653">
              <w:rPr>
                <w:sz w:val="22"/>
                <w:szCs w:val="22"/>
                <w:lang w:val="sr-Latn-ME"/>
              </w:rPr>
              <w:t xml:space="preserve">iz nosa, kao i svrab, suzenje i crvenilo oka i svrab nepca. </w:t>
            </w:r>
            <w:r w:rsidR="00287B29" w:rsidRPr="00930653">
              <w:rPr>
                <w:sz w:val="22"/>
                <w:szCs w:val="22"/>
                <w:lang w:val="sr-Latn-ME"/>
              </w:rPr>
              <w:t xml:space="preserve">Lijek </w:t>
            </w:r>
            <w:r w:rsidRPr="00930653">
              <w:rPr>
                <w:sz w:val="22"/>
                <w:szCs w:val="22"/>
                <w:lang w:val="sr-Latn-ME"/>
              </w:rPr>
              <w:t xml:space="preserve">Aerius je efikasno kontrolisao simptome tokom 24 sata. Efikasnost Aerius tableta nije jasno dokazana u ispitivanjima </w:t>
            </w:r>
            <w:r w:rsidR="00C96265">
              <w:rPr>
                <w:sz w:val="22"/>
                <w:szCs w:val="22"/>
                <w:lang w:val="sr-Latn-ME"/>
              </w:rPr>
              <w:t>kod</w:t>
            </w:r>
            <w:r w:rsidR="00C96265" w:rsidRPr="00930653">
              <w:rPr>
                <w:sz w:val="22"/>
                <w:szCs w:val="22"/>
                <w:lang w:val="sr-Latn-ME"/>
              </w:rPr>
              <w:t xml:space="preserve"> </w:t>
            </w:r>
            <w:r w:rsidRPr="00930653">
              <w:rPr>
                <w:sz w:val="22"/>
                <w:szCs w:val="22"/>
                <w:lang w:val="sr-Latn-ME"/>
              </w:rPr>
              <w:t>adolescen</w:t>
            </w:r>
            <w:r w:rsidR="00C96265">
              <w:rPr>
                <w:sz w:val="22"/>
                <w:szCs w:val="22"/>
                <w:lang w:val="sr-Latn-ME"/>
              </w:rPr>
              <w:t>ata</w:t>
            </w:r>
            <w:r w:rsidRPr="00930653">
              <w:rPr>
                <w:sz w:val="22"/>
                <w:szCs w:val="22"/>
                <w:lang w:val="sr-Latn-ME"/>
              </w:rPr>
              <w:t xml:space="preserve"> uzrasta od 12 do17 godina.</w:t>
            </w:r>
          </w:p>
          <w:p w14:paraId="63739BBB" w14:textId="77777777" w:rsidR="002102CB" w:rsidRPr="00930653" w:rsidRDefault="002102CB" w:rsidP="00930653">
            <w:pPr>
              <w:jc w:val="both"/>
              <w:rPr>
                <w:sz w:val="22"/>
                <w:szCs w:val="22"/>
                <w:lang w:val="sr-Latn-ME"/>
              </w:rPr>
            </w:pPr>
          </w:p>
          <w:p w14:paraId="652A4FBD" w14:textId="51794869" w:rsidR="002102CB" w:rsidRPr="00930653" w:rsidRDefault="002102CB" w:rsidP="00930653">
            <w:pPr>
              <w:jc w:val="both"/>
              <w:rPr>
                <w:sz w:val="22"/>
                <w:szCs w:val="22"/>
                <w:lang w:val="sr-Latn-ME"/>
              </w:rPr>
            </w:pPr>
            <w:r w:rsidRPr="00930653">
              <w:rPr>
                <w:sz w:val="22"/>
                <w:szCs w:val="22"/>
                <w:lang w:val="sr-Latn-ME"/>
              </w:rPr>
              <w:t>Osim ustanovljene klasifikacije na sezonski i c</w:t>
            </w:r>
            <w:r w:rsidR="00114F4D" w:rsidRPr="00930653">
              <w:rPr>
                <w:sz w:val="22"/>
                <w:szCs w:val="22"/>
                <w:lang w:val="sr-Latn-ME"/>
              </w:rPr>
              <w:t>j</w:t>
            </w:r>
            <w:r w:rsidRPr="00930653">
              <w:rPr>
                <w:sz w:val="22"/>
                <w:szCs w:val="22"/>
                <w:lang w:val="sr-Latn-ME"/>
              </w:rPr>
              <w:t>elogodišnji, alergijski rinitis se može dodatno klasifikovati kao intermitentni i perzistentni alergijski rinitis</w:t>
            </w:r>
            <w:r w:rsidR="00287B29" w:rsidRPr="00930653">
              <w:rPr>
                <w:sz w:val="22"/>
                <w:szCs w:val="22"/>
                <w:lang w:val="sr-Latn-ME"/>
              </w:rPr>
              <w:t>,</w:t>
            </w:r>
            <w:r w:rsidRPr="00930653">
              <w:rPr>
                <w:sz w:val="22"/>
                <w:szCs w:val="22"/>
                <w:lang w:val="sr-Latn-ME"/>
              </w:rPr>
              <w:t xml:space="preserve"> </w:t>
            </w:r>
            <w:r w:rsidR="00C96265">
              <w:rPr>
                <w:sz w:val="22"/>
                <w:szCs w:val="22"/>
                <w:lang w:val="sr-Latn-ME"/>
              </w:rPr>
              <w:t xml:space="preserve">a u </w:t>
            </w:r>
            <w:r w:rsidRPr="00930653">
              <w:rPr>
                <w:sz w:val="22"/>
                <w:szCs w:val="22"/>
                <w:lang w:val="sr-Latn-ME"/>
              </w:rPr>
              <w:t>zavisno</w:t>
            </w:r>
            <w:r w:rsidR="00C96265">
              <w:rPr>
                <w:sz w:val="22"/>
                <w:szCs w:val="22"/>
                <w:lang w:val="sr-Latn-ME"/>
              </w:rPr>
              <w:t>sti</w:t>
            </w:r>
            <w:r w:rsidR="00AC7302" w:rsidRPr="00930653">
              <w:rPr>
                <w:sz w:val="22"/>
                <w:szCs w:val="22"/>
                <w:lang w:val="sr-Latn-ME"/>
              </w:rPr>
              <w:t xml:space="preserve"> </w:t>
            </w:r>
            <w:r w:rsidRPr="00930653">
              <w:rPr>
                <w:sz w:val="22"/>
                <w:szCs w:val="22"/>
                <w:lang w:val="sr-Latn-ME"/>
              </w:rPr>
              <w:t xml:space="preserve">od dužine trajanja simptoma. Intermitentni alergijski rinitis definisan je kao prisustvo simptoma manje od 4 dana nedjeljno ili </w:t>
            </w:r>
            <w:r w:rsidR="00C96265">
              <w:rPr>
                <w:sz w:val="22"/>
                <w:szCs w:val="22"/>
                <w:lang w:val="sr-Latn-ME"/>
              </w:rPr>
              <w:t>kraće</w:t>
            </w:r>
            <w:r w:rsidR="00C96265" w:rsidRPr="00930653">
              <w:rPr>
                <w:sz w:val="22"/>
                <w:szCs w:val="22"/>
                <w:lang w:val="sr-Latn-ME"/>
              </w:rPr>
              <w:t xml:space="preserve"> </w:t>
            </w:r>
            <w:r w:rsidRPr="00930653">
              <w:rPr>
                <w:sz w:val="22"/>
                <w:szCs w:val="22"/>
                <w:lang w:val="sr-Latn-ME"/>
              </w:rPr>
              <w:t>od 4 nedjelje. Perzistentni alergijski rinitis definiše se kao prisustvo simptoma 4 ili više dana nedjeljno i duže od 4 nedjelje.</w:t>
            </w:r>
          </w:p>
          <w:p w14:paraId="2341FAB3" w14:textId="77777777" w:rsidR="002102CB" w:rsidRPr="00930653" w:rsidRDefault="002102CB" w:rsidP="00930653">
            <w:pPr>
              <w:jc w:val="both"/>
              <w:rPr>
                <w:sz w:val="22"/>
                <w:szCs w:val="22"/>
                <w:lang w:val="sr-Latn-ME"/>
              </w:rPr>
            </w:pPr>
          </w:p>
          <w:p w14:paraId="353B743A" w14:textId="1490E2E4" w:rsidR="002102CB" w:rsidRPr="00930653" w:rsidRDefault="002512BE" w:rsidP="00930653">
            <w:pPr>
              <w:jc w:val="both"/>
              <w:rPr>
                <w:sz w:val="22"/>
                <w:szCs w:val="22"/>
                <w:lang w:val="sr-Latn-ME"/>
              </w:rPr>
            </w:pPr>
            <w:r>
              <w:rPr>
                <w:sz w:val="22"/>
                <w:szCs w:val="22"/>
                <w:lang w:val="sr-Latn-ME"/>
              </w:rPr>
              <w:t xml:space="preserve">Lijek </w:t>
            </w:r>
            <w:r w:rsidR="002102CB" w:rsidRPr="00930653">
              <w:rPr>
                <w:sz w:val="22"/>
                <w:szCs w:val="22"/>
                <w:lang w:val="sr-Latn-ME"/>
              </w:rPr>
              <w:t xml:space="preserve">Aerius tablete bile su efikasne u ublažavanju tegoba sezonskog alergijskog rinitisa (SAR), </w:t>
            </w:r>
            <w:r w:rsidR="00C96265">
              <w:rPr>
                <w:sz w:val="22"/>
                <w:szCs w:val="22"/>
                <w:lang w:val="sr-Latn-ME"/>
              </w:rPr>
              <w:t>na šta ukazuje</w:t>
            </w:r>
            <w:r w:rsidR="002102CB" w:rsidRPr="00930653">
              <w:rPr>
                <w:sz w:val="22"/>
                <w:szCs w:val="22"/>
                <w:lang w:val="sr-Latn-ME"/>
              </w:rPr>
              <w:t xml:space="preserve"> ukup</w:t>
            </w:r>
            <w:r w:rsidR="00C96265">
              <w:rPr>
                <w:sz w:val="22"/>
                <w:szCs w:val="22"/>
                <w:lang w:val="sr-Latn-ME"/>
              </w:rPr>
              <w:t>an</w:t>
            </w:r>
            <w:r w:rsidR="002102CB" w:rsidRPr="00930653">
              <w:rPr>
                <w:sz w:val="22"/>
                <w:szCs w:val="22"/>
                <w:lang w:val="sr-Latn-ME"/>
              </w:rPr>
              <w:t xml:space="preserve"> rezultat upitnika o kvalitetu života </w:t>
            </w:r>
            <w:r w:rsidR="00C96265">
              <w:rPr>
                <w:sz w:val="22"/>
                <w:szCs w:val="22"/>
                <w:lang w:val="sr-Latn-ME"/>
              </w:rPr>
              <w:t xml:space="preserve">ispitanika </w:t>
            </w:r>
            <w:r w:rsidR="002102CB" w:rsidRPr="00930653">
              <w:rPr>
                <w:sz w:val="22"/>
                <w:szCs w:val="22"/>
                <w:lang w:val="sr-Latn-ME"/>
              </w:rPr>
              <w:t>s</w:t>
            </w:r>
            <w:r w:rsidR="00C96265">
              <w:rPr>
                <w:sz w:val="22"/>
                <w:szCs w:val="22"/>
                <w:lang w:val="sr-Latn-ME"/>
              </w:rPr>
              <w:t>a</w:t>
            </w:r>
            <w:r w:rsidR="002102CB" w:rsidRPr="00930653">
              <w:rPr>
                <w:sz w:val="22"/>
                <w:szCs w:val="22"/>
                <w:lang w:val="sr-Latn-ME"/>
              </w:rPr>
              <w:t xml:space="preserve"> rinokonjunktivitisom. Najveće poboljšanje uočeno je </w:t>
            </w:r>
            <w:r w:rsidR="00C96265">
              <w:rPr>
                <w:sz w:val="22"/>
                <w:szCs w:val="22"/>
                <w:lang w:val="sr-Latn-ME"/>
              </w:rPr>
              <w:t>u oblasti</w:t>
            </w:r>
            <w:r w:rsidR="002102CB" w:rsidRPr="00930653">
              <w:rPr>
                <w:sz w:val="22"/>
                <w:szCs w:val="22"/>
                <w:lang w:val="sr-Latn-ME"/>
              </w:rPr>
              <w:t xml:space="preserve"> praktičnih problema i dnevnih aktivnosti u kojima su ispitanici inače bili ograničeni simptomima alergije.</w:t>
            </w:r>
          </w:p>
          <w:p w14:paraId="44E6AEAF" w14:textId="77777777" w:rsidR="002102CB" w:rsidRPr="00930653" w:rsidRDefault="002102CB" w:rsidP="00930653">
            <w:pPr>
              <w:jc w:val="both"/>
              <w:rPr>
                <w:sz w:val="22"/>
                <w:szCs w:val="22"/>
                <w:lang w:val="sr-Latn-ME"/>
              </w:rPr>
            </w:pPr>
          </w:p>
          <w:p w14:paraId="60C852B4" w14:textId="4F19F67C" w:rsidR="002102CB" w:rsidRPr="00930653" w:rsidRDefault="002102CB" w:rsidP="00930653">
            <w:pPr>
              <w:jc w:val="both"/>
              <w:rPr>
                <w:sz w:val="22"/>
                <w:szCs w:val="22"/>
                <w:lang w:val="sr-Latn-ME"/>
              </w:rPr>
            </w:pPr>
            <w:r w:rsidRPr="00930653">
              <w:rPr>
                <w:sz w:val="22"/>
                <w:szCs w:val="22"/>
                <w:lang w:val="sr-Latn-ME"/>
              </w:rPr>
              <w:t xml:space="preserve">Hronična idiopatska urtikarija je ispitivana kao klinički model za sva stanja povezana sa urtikarijom, </w:t>
            </w:r>
            <w:r w:rsidR="00C96265">
              <w:rPr>
                <w:sz w:val="22"/>
                <w:szCs w:val="22"/>
                <w:lang w:val="sr-Latn-ME"/>
              </w:rPr>
              <w:t>s obzirom na to da je</w:t>
            </w:r>
            <w:r w:rsidRPr="00930653">
              <w:rPr>
                <w:sz w:val="22"/>
                <w:szCs w:val="22"/>
                <w:lang w:val="sr-Latn-ME"/>
              </w:rPr>
              <w:t xml:space="preserve"> osnovna patofiziologija slična, bez obzira na etiologiju, i zato što je hronične pacijente lakše </w:t>
            </w:r>
            <w:r w:rsidR="00C96265">
              <w:rPr>
                <w:sz w:val="22"/>
                <w:szCs w:val="22"/>
                <w:lang w:val="sr-Latn-ME"/>
              </w:rPr>
              <w:t>prospektivno uključivati u ispitivanja</w:t>
            </w:r>
            <w:r w:rsidRPr="00930653">
              <w:rPr>
                <w:sz w:val="22"/>
                <w:szCs w:val="22"/>
                <w:lang w:val="sr-Latn-ME"/>
              </w:rPr>
              <w:t>. Kako je oslobađanje histamina uzročni faktor kod svih urtikarij</w:t>
            </w:r>
            <w:r w:rsidR="00C96265">
              <w:rPr>
                <w:sz w:val="22"/>
                <w:szCs w:val="22"/>
                <w:lang w:val="sr-Latn-ME"/>
              </w:rPr>
              <w:t>a</w:t>
            </w:r>
            <w:r w:rsidRPr="00930653">
              <w:rPr>
                <w:sz w:val="22"/>
                <w:szCs w:val="22"/>
                <w:lang w:val="sr-Latn-ME"/>
              </w:rPr>
              <w:t xml:space="preserve">, očekuje se </w:t>
            </w:r>
            <w:r w:rsidR="00A60C4C" w:rsidRPr="00930653">
              <w:rPr>
                <w:sz w:val="22"/>
                <w:szCs w:val="22"/>
                <w:lang w:val="sr-Latn-ME"/>
              </w:rPr>
              <w:t>da</w:t>
            </w:r>
            <w:r w:rsidRPr="00930653">
              <w:rPr>
                <w:sz w:val="22"/>
                <w:szCs w:val="22"/>
                <w:lang w:val="sr-Latn-ME"/>
              </w:rPr>
              <w:t xml:space="preserve"> desloratadin bude efikasan k</w:t>
            </w:r>
            <w:r w:rsidR="00C96265">
              <w:rPr>
                <w:sz w:val="22"/>
                <w:szCs w:val="22"/>
                <w:lang w:val="sr-Latn-ME"/>
              </w:rPr>
              <w:t>ao</w:t>
            </w:r>
            <w:r w:rsidRPr="00930653">
              <w:rPr>
                <w:sz w:val="22"/>
                <w:szCs w:val="22"/>
                <w:lang w:val="sr-Latn-ME"/>
              </w:rPr>
              <w:t xml:space="preserve"> simptomatsk</w:t>
            </w:r>
            <w:r w:rsidR="00C96265">
              <w:rPr>
                <w:sz w:val="22"/>
                <w:szCs w:val="22"/>
                <w:lang w:val="sr-Latn-ME"/>
              </w:rPr>
              <w:t>a</w:t>
            </w:r>
            <w:r w:rsidRPr="00930653">
              <w:rPr>
                <w:sz w:val="22"/>
                <w:szCs w:val="22"/>
                <w:lang w:val="sr-Latn-ME"/>
              </w:rPr>
              <w:t xml:space="preserve"> </w:t>
            </w:r>
            <w:r w:rsidR="00C96265">
              <w:rPr>
                <w:sz w:val="22"/>
                <w:szCs w:val="22"/>
                <w:lang w:val="sr-Latn-ME"/>
              </w:rPr>
              <w:t>terapija</w:t>
            </w:r>
            <w:r w:rsidR="00C96265" w:rsidRPr="00930653">
              <w:rPr>
                <w:sz w:val="22"/>
                <w:szCs w:val="22"/>
                <w:lang w:val="sr-Latn-ME"/>
              </w:rPr>
              <w:t xml:space="preserve"> </w:t>
            </w:r>
            <w:r w:rsidRPr="00930653">
              <w:rPr>
                <w:sz w:val="22"/>
                <w:szCs w:val="22"/>
                <w:lang w:val="sr-Latn-ME"/>
              </w:rPr>
              <w:t xml:space="preserve">i </w:t>
            </w:r>
            <w:r w:rsidR="00C96265">
              <w:rPr>
                <w:sz w:val="22"/>
                <w:szCs w:val="22"/>
                <w:lang w:val="sr-Latn-ME"/>
              </w:rPr>
              <w:t>kod ostalih vrsta urtikarija</w:t>
            </w:r>
            <w:r w:rsidRPr="00930653">
              <w:rPr>
                <w:sz w:val="22"/>
                <w:szCs w:val="22"/>
                <w:lang w:val="sr-Latn-ME"/>
              </w:rPr>
              <w:t xml:space="preserve">, a ne samo kod hronične idiopatske urtikarije, kao što </w:t>
            </w:r>
            <w:r w:rsidR="00A60C4C" w:rsidRPr="00930653">
              <w:rPr>
                <w:sz w:val="22"/>
                <w:szCs w:val="22"/>
                <w:lang w:val="sr-Latn-ME"/>
              </w:rPr>
              <w:t xml:space="preserve">se navodi u </w:t>
            </w:r>
            <w:r w:rsidRPr="00930653">
              <w:rPr>
                <w:sz w:val="22"/>
                <w:szCs w:val="22"/>
                <w:lang w:val="sr-Latn-ME"/>
              </w:rPr>
              <w:t>klinički</w:t>
            </w:r>
            <w:r w:rsidR="00A60C4C" w:rsidRPr="00930653">
              <w:rPr>
                <w:sz w:val="22"/>
                <w:szCs w:val="22"/>
                <w:lang w:val="sr-Latn-ME"/>
              </w:rPr>
              <w:t>m</w:t>
            </w:r>
            <w:r w:rsidRPr="00930653">
              <w:rPr>
                <w:sz w:val="22"/>
                <w:szCs w:val="22"/>
                <w:lang w:val="sr-Latn-ME"/>
              </w:rPr>
              <w:t xml:space="preserve"> vodiči</w:t>
            </w:r>
            <w:r w:rsidR="00C96265">
              <w:rPr>
                <w:sz w:val="22"/>
                <w:szCs w:val="22"/>
                <w:lang w:val="sr-Latn-ME"/>
              </w:rPr>
              <w:t>m</w:t>
            </w:r>
            <w:r w:rsidR="00A60C4C" w:rsidRPr="00930653">
              <w:rPr>
                <w:sz w:val="22"/>
                <w:szCs w:val="22"/>
                <w:lang w:val="sr-Latn-ME"/>
              </w:rPr>
              <w:t>a</w:t>
            </w:r>
            <w:r w:rsidRPr="00930653">
              <w:rPr>
                <w:sz w:val="22"/>
                <w:szCs w:val="22"/>
                <w:lang w:val="sr-Latn-ME"/>
              </w:rPr>
              <w:t>.</w:t>
            </w:r>
          </w:p>
          <w:p w14:paraId="0019A926" w14:textId="77777777" w:rsidR="002102CB" w:rsidRPr="00930653" w:rsidRDefault="002102CB" w:rsidP="00930653">
            <w:pPr>
              <w:jc w:val="both"/>
              <w:rPr>
                <w:sz w:val="22"/>
                <w:szCs w:val="22"/>
                <w:lang w:val="sr-Latn-ME"/>
              </w:rPr>
            </w:pPr>
            <w:r w:rsidRPr="00930653">
              <w:rPr>
                <w:sz w:val="22"/>
                <w:szCs w:val="22"/>
                <w:lang w:val="sr-Latn-ME"/>
              </w:rPr>
              <w:t xml:space="preserve"> </w:t>
            </w:r>
          </w:p>
          <w:p w14:paraId="737ABD8A" w14:textId="0630EF53" w:rsidR="002102CB" w:rsidRPr="00930653" w:rsidRDefault="002102CB" w:rsidP="00A60C4C">
            <w:pPr>
              <w:jc w:val="both"/>
              <w:rPr>
                <w:sz w:val="22"/>
                <w:szCs w:val="22"/>
                <w:lang w:val="sr-Latn-ME"/>
              </w:rPr>
            </w:pPr>
            <w:r w:rsidRPr="00930653">
              <w:rPr>
                <w:sz w:val="22"/>
                <w:szCs w:val="22"/>
                <w:lang w:val="sr-Latn-ME"/>
              </w:rPr>
              <w:t>U dva</w:t>
            </w:r>
            <w:r w:rsidR="000A401A">
              <w:rPr>
                <w:sz w:val="22"/>
                <w:szCs w:val="22"/>
                <w:lang w:val="sr-Latn-ME"/>
              </w:rPr>
              <w:t xml:space="preserve"> placebo kontrolisana</w:t>
            </w:r>
            <w:r w:rsidRPr="00930653">
              <w:rPr>
                <w:sz w:val="22"/>
                <w:szCs w:val="22"/>
                <w:lang w:val="sr-Latn-ME"/>
              </w:rPr>
              <w:t xml:space="preserve"> šestonedjeljna ispitivanja kod pacijenata sa hroničnom idiopatskom urtikarijom, </w:t>
            </w:r>
            <w:r w:rsidR="00287B29" w:rsidRPr="00930653">
              <w:rPr>
                <w:sz w:val="22"/>
                <w:szCs w:val="22"/>
                <w:lang w:val="sr-Latn-ME"/>
              </w:rPr>
              <w:t xml:space="preserve">lijek </w:t>
            </w:r>
            <w:r w:rsidRPr="00930653">
              <w:rPr>
                <w:sz w:val="22"/>
                <w:szCs w:val="22"/>
                <w:lang w:val="sr-Latn-ME"/>
              </w:rPr>
              <w:t xml:space="preserve">Aerius je efikasno ublažavao </w:t>
            </w:r>
            <w:r w:rsidR="000A401A">
              <w:rPr>
                <w:sz w:val="22"/>
                <w:szCs w:val="22"/>
                <w:lang w:val="sr-Latn-ME"/>
              </w:rPr>
              <w:t>pruritus</w:t>
            </w:r>
            <w:r w:rsidR="000A401A" w:rsidRPr="00930653">
              <w:rPr>
                <w:sz w:val="22"/>
                <w:szCs w:val="22"/>
                <w:lang w:val="sr-Latn-ME"/>
              </w:rPr>
              <w:t xml:space="preserve"> </w:t>
            </w:r>
            <w:r w:rsidRPr="00930653">
              <w:rPr>
                <w:sz w:val="22"/>
                <w:szCs w:val="22"/>
                <w:lang w:val="sr-Latn-ME"/>
              </w:rPr>
              <w:t xml:space="preserve">i smanjivao veličinu i broj urtikarija do kraja prvog intervala doziranja. U svakom ispitivanju dejstvo se </w:t>
            </w:r>
            <w:r w:rsidR="000A401A">
              <w:rPr>
                <w:sz w:val="22"/>
                <w:szCs w:val="22"/>
                <w:lang w:val="sr-Latn-ME"/>
              </w:rPr>
              <w:t>o</w:t>
            </w:r>
            <w:r w:rsidRPr="00930653">
              <w:rPr>
                <w:sz w:val="22"/>
                <w:szCs w:val="22"/>
                <w:lang w:val="sr-Latn-ME"/>
              </w:rPr>
              <w:t xml:space="preserve">držalo tokom 24 sata nakon primjene doze. Kao i u drugim ispitivanjima sa antihistaminicima </w:t>
            </w:r>
            <w:r w:rsidR="000A401A">
              <w:rPr>
                <w:sz w:val="22"/>
                <w:szCs w:val="22"/>
                <w:lang w:val="sr-Latn-ME"/>
              </w:rPr>
              <w:t xml:space="preserve">kod </w:t>
            </w:r>
            <w:r w:rsidRPr="00930653">
              <w:rPr>
                <w:sz w:val="22"/>
                <w:szCs w:val="22"/>
                <w:lang w:val="sr-Latn-ME"/>
              </w:rPr>
              <w:t>hroničn</w:t>
            </w:r>
            <w:r w:rsidR="000A401A">
              <w:rPr>
                <w:sz w:val="22"/>
                <w:szCs w:val="22"/>
                <w:lang w:val="sr-Latn-ME"/>
              </w:rPr>
              <w:t>e</w:t>
            </w:r>
            <w:r w:rsidR="001A7A7E">
              <w:rPr>
                <w:sz w:val="22"/>
                <w:szCs w:val="22"/>
                <w:lang w:val="sr-Latn-ME"/>
              </w:rPr>
              <w:t xml:space="preserve"> </w:t>
            </w:r>
            <w:r w:rsidRPr="00930653">
              <w:rPr>
                <w:sz w:val="22"/>
                <w:szCs w:val="22"/>
                <w:lang w:val="sr-Latn-ME"/>
              </w:rPr>
              <w:t>idiopatsk</w:t>
            </w:r>
            <w:r w:rsidR="000A401A">
              <w:rPr>
                <w:sz w:val="22"/>
                <w:szCs w:val="22"/>
                <w:lang w:val="sr-Latn-ME"/>
              </w:rPr>
              <w:t>e</w:t>
            </w:r>
            <w:r w:rsidRPr="00930653">
              <w:rPr>
                <w:sz w:val="22"/>
                <w:szCs w:val="22"/>
                <w:lang w:val="sr-Latn-ME"/>
              </w:rPr>
              <w:t xml:space="preserve"> urtikarij</w:t>
            </w:r>
            <w:r w:rsidR="000A401A">
              <w:rPr>
                <w:sz w:val="22"/>
                <w:szCs w:val="22"/>
                <w:lang w:val="sr-Latn-ME"/>
              </w:rPr>
              <w:t>e</w:t>
            </w:r>
            <w:r w:rsidRPr="00930653">
              <w:rPr>
                <w:sz w:val="22"/>
                <w:szCs w:val="22"/>
                <w:lang w:val="sr-Latn-ME"/>
              </w:rPr>
              <w:t>, manji broj pacijenata koji ni</w:t>
            </w:r>
            <w:r w:rsidR="00114F4D" w:rsidRPr="00930653">
              <w:rPr>
                <w:sz w:val="22"/>
                <w:szCs w:val="22"/>
                <w:lang w:val="sr-Latn-ME"/>
              </w:rPr>
              <w:t>je</w:t>
            </w:r>
            <w:r w:rsidRPr="00930653">
              <w:rPr>
                <w:sz w:val="22"/>
                <w:szCs w:val="22"/>
                <w:lang w:val="sr-Latn-ME"/>
              </w:rPr>
              <w:t xml:space="preserve">su odgovarali na liječenje antihistaminicima bio je isključen iz ispitivanja. Smanjenje </w:t>
            </w:r>
            <w:r w:rsidR="000A401A">
              <w:rPr>
                <w:sz w:val="22"/>
                <w:szCs w:val="22"/>
                <w:lang w:val="sr-Latn-ME"/>
              </w:rPr>
              <w:t>pruritusa</w:t>
            </w:r>
            <w:r w:rsidR="000A401A" w:rsidRPr="00930653">
              <w:rPr>
                <w:sz w:val="22"/>
                <w:szCs w:val="22"/>
                <w:lang w:val="sr-Latn-ME"/>
              </w:rPr>
              <w:t xml:space="preserve"> </w:t>
            </w:r>
            <w:r w:rsidRPr="00930653">
              <w:rPr>
                <w:sz w:val="22"/>
                <w:szCs w:val="22"/>
                <w:lang w:val="sr-Latn-ME"/>
              </w:rPr>
              <w:t xml:space="preserve">za više od 50% zabilježeno je </w:t>
            </w:r>
            <w:r w:rsidR="00287B29" w:rsidRPr="00930653">
              <w:rPr>
                <w:sz w:val="22"/>
                <w:szCs w:val="22"/>
                <w:lang w:val="sr-Latn-ME"/>
              </w:rPr>
              <w:t xml:space="preserve">kod </w:t>
            </w:r>
            <w:r w:rsidRPr="00930653">
              <w:rPr>
                <w:sz w:val="22"/>
                <w:szCs w:val="22"/>
                <w:lang w:val="sr-Latn-ME"/>
              </w:rPr>
              <w:t>55% pacijenata liječenih desloratadinom, u poređenju sa 19% pacijenata koji su primali placebo. Liječenje lijekom Aerius takođe je značajno smanjilo uticaj simptoma alergije na spavanje i dnevne aktivnosti, što se mjerilo skalom od četiri stepena</w:t>
            </w:r>
            <w:r w:rsidR="00A60C4C" w:rsidRPr="00930653">
              <w:rPr>
                <w:sz w:val="22"/>
                <w:szCs w:val="22"/>
                <w:lang w:val="sr-Latn-ME"/>
              </w:rPr>
              <w:t xml:space="preserve"> za procjenu ovih promjenljivih.</w:t>
            </w:r>
          </w:p>
          <w:p w14:paraId="46C653D1" w14:textId="77777777" w:rsidR="002102CB" w:rsidRPr="00930653" w:rsidRDefault="002102CB" w:rsidP="00AF04BB">
            <w:pPr>
              <w:pStyle w:val="Header"/>
              <w:tabs>
                <w:tab w:val="left" w:pos="284"/>
              </w:tabs>
              <w:jc w:val="both"/>
              <w:rPr>
                <w:sz w:val="22"/>
                <w:szCs w:val="22"/>
                <w:lang w:val="sr-Latn-ME"/>
              </w:rPr>
            </w:pPr>
          </w:p>
        </w:tc>
      </w:tr>
      <w:tr w:rsidR="002102CB" w:rsidRPr="00930653" w14:paraId="57C382A1" w14:textId="77777777" w:rsidTr="007F2243">
        <w:tc>
          <w:tcPr>
            <w:tcW w:w="9810" w:type="dxa"/>
            <w:gridSpan w:val="3"/>
            <w:vAlign w:val="center"/>
          </w:tcPr>
          <w:p w14:paraId="705714BD" w14:textId="77777777" w:rsidR="002102CB" w:rsidRPr="00930653" w:rsidRDefault="002102CB" w:rsidP="00007378">
            <w:pPr>
              <w:pStyle w:val="Header"/>
              <w:tabs>
                <w:tab w:val="left" w:pos="284"/>
              </w:tabs>
              <w:spacing w:before="80" w:after="80"/>
              <w:jc w:val="both"/>
              <w:rPr>
                <w:b/>
                <w:bCs/>
                <w:sz w:val="22"/>
                <w:szCs w:val="22"/>
                <w:lang w:val="sr-Latn-ME"/>
              </w:rPr>
            </w:pPr>
            <w:r w:rsidRPr="00930653">
              <w:rPr>
                <w:b/>
                <w:bCs/>
                <w:sz w:val="22"/>
                <w:szCs w:val="22"/>
                <w:lang w:val="sr-Latn-ME"/>
              </w:rPr>
              <w:lastRenderedPageBreak/>
              <w:t>5.2. Farmakokinetički podaci</w:t>
            </w:r>
          </w:p>
        </w:tc>
      </w:tr>
      <w:tr w:rsidR="002102CB" w:rsidRPr="00A731F9" w14:paraId="0D5D11A9" w14:textId="77777777" w:rsidTr="007F2243">
        <w:trPr>
          <w:trHeight w:val="135"/>
        </w:trPr>
        <w:tc>
          <w:tcPr>
            <w:tcW w:w="9810" w:type="dxa"/>
            <w:gridSpan w:val="3"/>
            <w:vAlign w:val="center"/>
          </w:tcPr>
          <w:p w14:paraId="027750F4" w14:textId="77777777" w:rsidR="002102CB" w:rsidRPr="00930653" w:rsidRDefault="002102CB" w:rsidP="00007378">
            <w:pPr>
              <w:jc w:val="both"/>
              <w:rPr>
                <w:sz w:val="22"/>
                <w:szCs w:val="22"/>
                <w:lang w:val="sr-Latn-ME"/>
              </w:rPr>
            </w:pPr>
          </w:p>
          <w:p w14:paraId="36695AC9" w14:textId="77777777" w:rsidR="006555C9" w:rsidRPr="00930653" w:rsidRDefault="00287B29" w:rsidP="004E0BA7">
            <w:pPr>
              <w:jc w:val="both"/>
              <w:rPr>
                <w:sz w:val="22"/>
                <w:szCs w:val="22"/>
                <w:u w:val="single"/>
                <w:lang w:val="sr-Latn-ME"/>
              </w:rPr>
            </w:pPr>
            <w:r w:rsidRPr="00930653">
              <w:rPr>
                <w:sz w:val="22"/>
                <w:szCs w:val="22"/>
                <w:u w:val="single"/>
                <w:lang w:val="sr-Latn-ME"/>
              </w:rPr>
              <w:t>Resorpcija</w:t>
            </w:r>
          </w:p>
          <w:p w14:paraId="02CCA911" w14:textId="728D0760" w:rsidR="002102CB" w:rsidRPr="00930653" w:rsidRDefault="002102CB" w:rsidP="004E0BA7">
            <w:pPr>
              <w:jc w:val="both"/>
              <w:rPr>
                <w:sz w:val="22"/>
                <w:szCs w:val="22"/>
                <w:lang w:val="sr-Latn-ME"/>
              </w:rPr>
            </w:pPr>
            <w:r w:rsidRPr="00930653">
              <w:rPr>
                <w:sz w:val="22"/>
                <w:szCs w:val="22"/>
                <w:lang w:val="sr-Latn-ME"/>
              </w:rPr>
              <w:t>Koncentracij</w:t>
            </w:r>
            <w:r w:rsidR="000A401A">
              <w:rPr>
                <w:sz w:val="22"/>
                <w:szCs w:val="22"/>
                <w:lang w:val="sr-Latn-ME"/>
              </w:rPr>
              <w:t>e</w:t>
            </w:r>
            <w:r w:rsidRPr="00930653">
              <w:rPr>
                <w:sz w:val="22"/>
                <w:szCs w:val="22"/>
                <w:lang w:val="sr-Latn-ME"/>
              </w:rPr>
              <w:t xml:space="preserve"> desloratadina u plazmi </w:t>
            </w:r>
            <w:r w:rsidR="000A401A">
              <w:rPr>
                <w:sz w:val="22"/>
                <w:szCs w:val="22"/>
                <w:lang w:val="sr-Latn-ME"/>
              </w:rPr>
              <w:t xml:space="preserve">mogu se izmeriti </w:t>
            </w:r>
            <w:r w:rsidRPr="00930653">
              <w:rPr>
                <w:sz w:val="22"/>
                <w:szCs w:val="22"/>
                <w:lang w:val="sr-Latn-ME"/>
              </w:rPr>
              <w:t xml:space="preserve">30 minuta nakon primjene lijeka kod odraslih i adolescenata. Desloratadin se dobro </w:t>
            </w:r>
            <w:r w:rsidR="00406B9C" w:rsidRPr="00930653">
              <w:rPr>
                <w:sz w:val="22"/>
                <w:szCs w:val="22"/>
                <w:lang w:val="sr-Latn-ME"/>
              </w:rPr>
              <w:t>resorbuje</w:t>
            </w:r>
            <w:r w:rsidRPr="00930653">
              <w:rPr>
                <w:sz w:val="22"/>
                <w:szCs w:val="22"/>
                <w:lang w:val="sr-Latn-ME"/>
              </w:rPr>
              <w:t xml:space="preserve">, a </w:t>
            </w:r>
            <w:r w:rsidR="000A401A">
              <w:rPr>
                <w:sz w:val="22"/>
                <w:szCs w:val="22"/>
                <w:lang w:val="sr-Latn-ME"/>
              </w:rPr>
              <w:t>maksimalnu</w:t>
            </w:r>
            <w:r w:rsidR="000A401A" w:rsidRPr="00930653">
              <w:rPr>
                <w:sz w:val="22"/>
                <w:szCs w:val="22"/>
                <w:lang w:val="sr-Latn-ME"/>
              </w:rPr>
              <w:t xml:space="preserve"> </w:t>
            </w:r>
            <w:r w:rsidRPr="00930653">
              <w:rPr>
                <w:sz w:val="22"/>
                <w:szCs w:val="22"/>
                <w:lang w:val="sr-Latn-ME"/>
              </w:rPr>
              <w:t xml:space="preserve">koncentraciju dostiže nakon približno 3 sata; terminalno poluvrijeme eliminacije desloratadina iznosi </w:t>
            </w:r>
            <w:r w:rsidR="000A401A">
              <w:rPr>
                <w:sz w:val="22"/>
                <w:szCs w:val="22"/>
                <w:lang w:val="sr-Latn-ME"/>
              </w:rPr>
              <w:t>približno</w:t>
            </w:r>
            <w:r w:rsidR="000A401A" w:rsidRPr="00930653">
              <w:rPr>
                <w:sz w:val="22"/>
                <w:szCs w:val="22"/>
                <w:lang w:val="sr-Latn-ME"/>
              </w:rPr>
              <w:t xml:space="preserve"> </w:t>
            </w:r>
            <w:r w:rsidRPr="00930653">
              <w:rPr>
                <w:sz w:val="22"/>
                <w:szCs w:val="22"/>
                <w:lang w:val="sr-Latn-ME"/>
              </w:rPr>
              <w:t xml:space="preserve">27 sati. Stepen akumulacije desloratadina bio je u skladu s njegovim poluvremenom eliminacije (približno 27 sati) i </w:t>
            </w:r>
            <w:r w:rsidR="000A401A">
              <w:rPr>
                <w:sz w:val="22"/>
                <w:szCs w:val="22"/>
                <w:lang w:val="sr-Latn-ME"/>
              </w:rPr>
              <w:t>učestalošću doziranja</w:t>
            </w:r>
            <w:r w:rsidR="000A401A" w:rsidRPr="00930653">
              <w:rPr>
                <w:sz w:val="22"/>
                <w:szCs w:val="22"/>
                <w:lang w:val="sr-Latn-ME"/>
              </w:rPr>
              <w:t xml:space="preserve"> </w:t>
            </w:r>
            <w:r w:rsidRPr="00930653">
              <w:rPr>
                <w:sz w:val="22"/>
                <w:szCs w:val="22"/>
                <w:lang w:val="sr-Latn-ME"/>
              </w:rPr>
              <w:t>jednom na dan. Bioraspoloživost desloratadina bila je srazm</w:t>
            </w:r>
            <w:r w:rsidR="00B05405" w:rsidRPr="00930653">
              <w:rPr>
                <w:sz w:val="22"/>
                <w:szCs w:val="22"/>
                <w:lang w:val="sr-Latn-ME"/>
              </w:rPr>
              <w:t>j</w:t>
            </w:r>
            <w:r w:rsidRPr="00930653">
              <w:rPr>
                <w:sz w:val="22"/>
                <w:szCs w:val="22"/>
                <w:lang w:val="sr-Latn-ME"/>
              </w:rPr>
              <w:t>erna dozi u rasponu doza od 5 mg do 20 mg.</w:t>
            </w:r>
          </w:p>
          <w:p w14:paraId="007EA5B4" w14:textId="77777777" w:rsidR="002102CB" w:rsidRPr="00930653" w:rsidRDefault="002102CB" w:rsidP="004E0BA7">
            <w:pPr>
              <w:jc w:val="both"/>
              <w:rPr>
                <w:sz w:val="22"/>
                <w:szCs w:val="22"/>
                <w:lang w:val="sr-Latn-ME"/>
              </w:rPr>
            </w:pPr>
          </w:p>
          <w:p w14:paraId="15A7AA89" w14:textId="3FE11F23" w:rsidR="002102CB" w:rsidRPr="00930653" w:rsidRDefault="002102CB" w:rsidP="00F72506">
            <w:pPr>
              <w:jc w:val="both"/>
              <w:rPr>
                <w:sz w:val="22"/>
                <w:szCs w:val="22"/>
                <w:lang w:val="sr-Latn-ME"/>
              </w:rPr>
            </w:pPr>
            <w:r w:rsidRPr="00930653">
              <w:rPr>
                <w:sz w:val="22"/>
                <w:szCs w:val="22"/>
                <w:lang w:val="sr-Latn-ME"/>
              </w:rPr>
              <w:t xml:space="preserve">U nizu farmakokinetičkih i kliničkih ispitivanja, </w:t>
            </w:r>
            <w:r w:rsidR="000A401A">
              <w:rPr>
                <w:sz w:val="22"/>
                <w:szCs w:val="22"/>
                <w:lang w:val="sr-Latn-ME"/>
              </w:rPr>
              <w:t xml:space="preserve">kod </w:t>
            </w:r>
            <w:r w:rsidRPr="00930653">
              <w:rPr>
                <w:sz w:val="22"/>
                <w:szCs w:val="22"/>
                <w:lang w:val="sr-Latn-ME"/>
              </w:rPr>
              <w:t xml:space="preserve">6% ispitanika </w:t>
            </w:r>
            <w:r w:rsidR="000A401A">
              <w:rPr>
                <w:sz w:val="22"/>
                <w:szCs w:val="22"/>
                <w:lang w:val="sr-Latn-ME"/>
              </w:rPr>
              <w:t>dostignuta</w:t>
            </w:r>
            <w:r w:rsidR="000A401A" w:rsidRPr="00930653">
              <w:rPr>
                <w:sz w:val="22"/>
                <w:szCs w:val="22"/>
                <w:lang w:val="sr-Latn-ME"/>
              </w:rPr>
              <w:t xml:space="preserve"> </w:t>
            </w:r>
            <w:r w:rsidRPr="00930653">
              <w:rPr>
                <w:sz w:val="22"/>
                <w:szCs w:val="22"/>
                <w:lang w:val="sr-Latn-ME"/>
              </w:rPr>
              <w:t>je već</w:t>
            </w:r>
            <w:r w:rsidR="000A401A">
              <w:rPr>
                <w:sz w:val="22"/>
                <w:szCs w:val="22"/>
                <w:lang w:val="sr-Latn-ME"/>
              </w:rPr>
              <w:t>a</w:t>
            </w:r>
            <w:r w:rsidRPr="00930653">
              <w:rPr>
                <w:sz w:val="22"/>
                <w:szCs w:val="22"/>
                <w:lang w:val="sr-Latn-ME"/>
              </w:rPr>
              <w:t xml:space="preserve"> koncentracij</w:t>
            </w:r>
            <w:r w:rsidR="000A401A">
              <w:rPr>
                <w:sz w:val="22"/>
                <w:szCs w:val="22"/>
                <w:lang w:val="sr-Latn-ME"/>
              </w:rPr>
              <w:t>a</w:t>
            </w:r>
            <w:r w:rsidRPr="00930653">
              <w:rPr>
                <w:sz w:val="22"/>
                <w:szCs w:val="22"/>
                <w:lang w:val="sr-Latn-ME"/>
              </w:rPr>
              <w:t xml:space="preserve"> desloratadina u plazmi. Prevalenca tog fenotipa </w:t>
            </w:r>
            <w:r w:rsidR="000A401A">
              <w:rPr>
                <w:sz w:val="22"/>
                <w:szCs w:val="22"/>
                <w:lang w:val="sr-Latn-ME"/>
              </w:rPr>
              <w:t xml:space="preserve">sporih metabolizera </w:t>
            </w:r>
            <w:r w:rsidRPr="00930653">
              <w:rPr>
                <w:sz w:val="22"/>
                <w:szCs w:val="22"/>
                <w:lang w:val="sr-Latn-ME"/>
              </w:rPr>
              <w:t xml:space="preserve">bila je komparabilna kod odraslih (6%) i </w:t>
            </w:r>
            <w:r w:rsidRPr="00930653">
              <w:rPr>
                <w:sz w:val="22"/>
                <w:szCs w:val="22"/>
                <w:lang w:val="sr-Latn-ME"/>
              </w:rPr>
              <w:lastRenderedPageBreak/>
              <w:t xml:space="preserve">pedijatrijskih ispitanika uzrasta od 2 do 11 godina (6%), dok je </w:t>
            </w:r>
            <w:r w:rsidR="000A401A">
              <w:rPr>
                <w:sz w:val="22"/>
                <w:szCs w:val="22"/>
                <w:lang w:val="sr-Latn-ME"/>
              </w:rPr>
              <w:t>kod pripadnika crne rase</w:t>
            </w:r>
            <w:r w:rsidRPr="00930653">
              <w:rPr>
                <w:sz w:val="22"/>
                <w:szCs w:val="22"/>
                <w:lang w:val="sr-Latn-ME"/>
              </w:rPr>
              <w:t xml:space="preserve"> bila veća (18% odrasli, 16% pedijatrijski ispitanici) nego </w:t>
            </w:r>
            <w:r w:rsidR="000A401A">
              <w:rPr>
                <w:sz w:val="22"/>
                <w:szCs w:val="22"/>
                <w:lang w:val="sr-Latn-ME"/>
              </w:rPr>
              <w:t>kod pripadnika bijele rase</w:t>
            </w:r>
            <w:r w:rsidRPr="00930653">
              <w:rPr>
                <w:sz w:val="22"/>
                <w:szCs w:val="22"/>
                <w:lang w:val="sr-Latn-ME"/>
              </w:rPr>
              <w:t xml:space="preserve"> (2% odrasli, 3% pedijatrijski ispitanici) u obje ispitane grupe.</w:t>
            </w:r>
          </w:p>
          <w:p w14:paraId="5C460076" w14:textId="77777777" w:rsidR="002102CB" w:rsidRPr="00930653" w:rsidRDefault="002102CB" w:rsidP="00287B29">
            <w:pPr>
              <w:jc w:val="both"/>
              <w:rPr>
                <w:sz w:val="22"/>
                <w:szCs w:val="22"/>
                <w:lang w:val="sr-Latn-ME"/>
              </w:rPr>
            </w:pPr>
          </w:p>
          <w:p w14:paraId="048C8C83" w14:textId="41FD8B30" w:rsidR="002102CB" w:rsidRPr="00930653" w:rsidRDefault="002102CB" w:rsidP="00287B29">
            <w:pPr>
              <w:jc w:val="both"/>
              <w:rPr>
                <w:sz w:val="22"/>
                <w:szCs w:val="22"/>
                <w:lang w:val="sr-Latn-ME"/>
              </w:rPr>
            </w:pPr>
            <w:r w:rsidRPr="00930653">
              <w:rPr>
                <w:sz w:val="22"/>
                <w:szCs w:val="22"/>
                <w:lang w:val="sr-Latn-ME"/>
              </w:rPr>
              <w:t xml:space="preserve">U farmakokinetičkom ispitivanju </w:t>
            </w:r>
            <w:r w:rsidR="000A401A">
              <w:rPr>
                <w:sz w:val="22"/>
                <w:szCs w:val="22"/>
                <w:lang w:val="sr-Latn-ME"/>
              </w:rPr>
              <w:t xml:space="preserve">primjene </w:t>
            </w:r>
            <w:r w:rsidRPr="00930653">
              <w:rPr>
                <w:sz w:val="22"/>
                <w:szCs w:val="22"/>
                <w:lang w:val="sr-Latn-ME"/>
              </w:rPr>
              <w:t xml:space="preserve">višestrukih doza </w:t>
            </w:r>
            <w:r w:rsidR="000A401A">
              <w:rPr>
                <w:sz w:val="22"/>
                <w:szCs w:val="22"/>
                <w:lang w:val="sr-Latn-ME"/>
              </w:rPr>
              <w:t>kod</w:t>
            </w:r>
            <w:r w:rsidRPr="00930653">
              <w:rPr>
                <w:sz w:val="22"/>
                <w:szCs w:val="22"/>
                <w:lang w:val="sr-Latn-ME"/>
              </w:rPr>
              <w:t xml:space="preserve"> zdravi</w:t>
            </w:r>
            <w:r w:rsidR="000A401A">
              <w:rPr>
                <w:sz w:val="22"/>
                <w:szCs w:val="22"/>
                <w:lang w:val="sr-Latn-ME"/>
              </w:rPr>
              <w:t>h</w:t>
            </w:r>
            <w:r w:rsidRPr="00930653">
              <w:rPr>
                <w:sz w:val="22"/>
                <w:szCs w:val="22"/>
                <w:lang w:val="sr-Latn-ME"/>
              </w:rPr>
              <w:t xml:space="preserve"> odrasli</w:t>
            </w:r>
            <w:r w:rsidR="000A401A">
              <w:rPr>
                <w:sz w:val="22"/>
                <w:szCs w:val="22"/>
                <w:lang w:val="sr-Latn-ME"/>
              </w:rPr>
              <w:t>h</w:t>
            </w:r>
            <w:r w:rsidRPr="00930653">
              <w:rPr>
                <w:sz w:val="22"/>
                <w:szCs w:val="22"/>
                <w:lang w:val="sr-Latn-ME"/>
              </w:rPr>
              <w:t xml:space="preserve"> ispitani</w:t>
            </w:r>
            <w:r w:rsidR="000A401A">
              <w:rPr>
                <w:sz w:val="22"/>
                <w:szCs w:val="22"/>
                <w:lang w:val="sr-Latn-ME"/>
              </w:rPr>
              <w:t>ka</w:t>
            </w:r>
            <w:r w:rsidRPr="00930653">
              <w:rPr>
                <w:sz w:val="22"/>
                <w:szCs w:val="22"/>
                <w:lang w:val="sr-Latn-ME"/>
              </w:rPr>
              <w:t xml:space="preserve"> u kojem su korišćene desloratadin tablete, </w:t>
            </w:r>
            <w:r w:rsidR="000A401A">
              <w:rPr>
                <w:sz w:val="22"/>
                <w:szCs w:val="22"/>
                <w:lang w:val="sr-Latn-ME"/>
              </w:rPr>
              <w:t>uočena</w:t>
            </w:r>
            <w:r w:rsidR="000A401A" w:rsidRPr="00930653">
              <w:rPr>
                <w:sz w:val="22"/>
                <w:szCs w:val="22"/>
                <w:lang w:val="sr-Latn-ME"/>
              </w:rPr>
              <w:t xml:space="preserve"> </w:t>
            </w:r>
            <w:r w:rsidRPr="00930653">
              <w:rPr>
                <w:sz w:val="22"/>
                <w:szCs w:val="22"/>
                <w:lang w:val="sr-Latn-ME"/>
              </w:rPr>
              <w:t xml:space="preserve">su četiri ispitanika </w:t>
            </w:r>
            <w:r w:rsidR="000A401A">
              <w:rPr>
                <w:sz w:val="22"/>
                <w:szCs w:val="22"/>
                <w:lang w:val="sr-Latn-ME"/>
              </w:rPr>
              <w:t>koji su</w:t>
            </w:r>
            <w:r w:rsidR="000A401A" w:rsidRPr="00930653">
              <w:rPr>
                <w:sz w:val="22"/>
                <w:szCs w:val="22"/>
                <w:lang w:val="sr-Latn-ME"/>
              </w:rPr>
              <w:t xml:space="preserve"> </w:t>
            </w:r>
            <w:r w:rsidRPr="00930653">
              <w:rPr>
                <w:sz w:val="22"/>
                <w:szCs w:val="22"/>
                <w:lang w:val="sr-Latn-ME"/>
              </w:rPr>
              <w:t>spori metaboliz</w:t>
            </w:r>
            <w:r w:rsidR="000A401A">
              <w:rPr>
                <w:sz w:val="22"/>
                <w:szCs w:val="22"/>
                <w:lang w:val="sr-Latn-ME"/>
              </w:rPr>
              <w:t>eri</w:t>
            </w:r>
            <w:r w:rsidRPr="00930653">
              <w:rPr>
                <w:sz w:val="22"/>
                <w:szCs w:val="22"/>
                <w:lang w:val="sr-Latn-ME"/>
              </w:rPr>
              <w:t xml:space="preserve"> desloratadina. </w:t>
            </w:r>
            <w:r w:rsidR="000A401A">
              <w:rPr>
                <w:sz w:val="22"/>
                <w:szCs w:val="22"/>
                <w:lang w:val="sr-Latn-ME"/>
              </w:rPr>
              <w:t>Ovi</w:t>
            </w:r>
            <w:r w:rsidR="000A401A" w:rsidRPr="00930653">
              <w:rPr>
                <w:sz w:val="22"/>
                <w:szCs w:val="22"/>
                <w:lang w:val="sr-Latn-ME"/>
              </w:rPr>
              <w:t xml:space="preserve"> </w:t>
            </w:r>
            <w:r w:rsidRPr="00930653">
              <w:rPr>
                <w:sz w:val="22"/>
                <w:szCs w:val="22"/>
                <w:lang w:val="sr-Latn-ME"/>
              </w:rPr>
              <w:t xml:space="preserve">ispitanici su poslije otprilike 7 sati od </w:t>
            </w:r>
            <w:r w:rsidR="000A401A">
              <w:rPr>
                <w:sz w:val="22"/>
                <w:szCs w:val="22"/>
                <w:lang w:val="sr-Latn-ME"/>
              </w:rPr>
              <w:t>primjene</w:t>
            </w:r>
            <w:r w:rsidR="000A401A" w:rsidRPr="00930653">
              <w:rPr>
                <w:sz w:val="22"/>
                <w:szCs w:val="22"/>
                <w:lang w:val="sr-Latn-ME"/>
              </w:rPr>
              <w:t xml:space="preserve"> </w:t>
            </w:r>
            <w:r w:rsidRPr="00930653">
              <w:rPr>
                <w:sz w:val="22"/>
                <w:szCs w:val="22"/>
                <w:lang w:val="sr-Latn-ME"/>
              </w:rPr>
              <w:t>lijeka imali oko 3 puta veću maksimalnu koncentraciju (C</w:t>
            </w:r>
            <w:r w:rsidRPr="00930653">
              <w:rPr>
                <w:sz w:val="22"/>
                <w:szCs w:val="22"/>
                <w:vertAlign w:val="subscript"/>
                <w:lang w:val="sr-Latn-ME"/>
              </w:rPr>
              <w:t>max</w:t>
            </w:r>
            <w:r w:rsidRPr="00930653">
              <w:rPr>
                <w:sz w:val="22"/>
                <w:szCs w:val="22"/>
                <w:lang w:val="sr-Latn-ME"/>
              </w:rPr>
              <w:t>), uz terminalno poluvrijeme eliminacije od oko 89 sati.</w:t>
            </w:r>
          </w:p>
          <w:p w14:paraId="1EF73AE2" w14:textId="77777777" w:rsidR="00DE1E1E" w:rsidRPr="00930653" w:rsidRDefault="00DE1E1E" w:rsidP="00406B9C">
            <w:pPr>
              <w:jc w:val="both"/>
              <w:rPr>
                <w:sz w:val="22"/>
                <w:szCs w:val="22"/>
                <w:lang w:val="sr-Latn-ME"/>
              </w:rPr>
            </w:pPr>
          </w:p>
          <w:p w14:paraId="0D9AB9E9" w14:textId="3E0932CC" w:rsidR="002102CB" w:rsidRPr="00930653" w:rsidRDefault="002102CB" w:rsidP="000C656C">
            <w:pPr>
              <w:jc w:val="both"/>
              <w:rPr>
                <w:sz w:val="22"/>
                <w:szCs w:val="22"/>
                <w:lang w:val="sr-Latn-ME"/>
              </w:rPr>
            </w:pPr>
            <w:r w:rsidRPr="00930653">
              <w:rPr>
                <w:sz w:val="22"/>
                <w:szCs w:val="22"/>
                <w:lang w:val="sr-Latn-ME"/>
              </w:rPr>
              <w:t xml:space="preserve">U farmakokinetičkom ispitivanju </w:t>
            </w:r>
            <w:r w:rsidR="000A401A">
              <w:rPr>
                <w:sz w:val="22"/>
                <w:szCs w:val="22"/>
                <w:lang w:val="sr-Latn-ME"/>
              </w:rPr>
              <w:t xml:space="preserve">primjene </w:t>
            </w:r>
            <w:r w:rsidRPr="00930653">
              <w:rPr>
                <w:sz w:val="22"/>
                <w:szCs w:val="22"/>
                <w:lang w:val="sr-Latn-ME"/>
              </w:rPr>
              <w:t>višestrukih doza desloratadin sirupa kod pedijatrijskih ispitanika</w:t>
            </w:r>
            <w:r w:rsidR="0041261A">
              <w:rPr>
                <w:sz w:val="22"/>
                <w:szCs w:val="22"/>
                <w:lang w:val="sr-Latn-ME"/>
              </w:rPr>
              <w:t xml:space="preserve"> sporih metabolizera</w:t>
            </w:r>
            <w:r w:rsidRPr="00930653">
              <w:rPr>
                <w:sz w:val="22"/>
                <w:szCs w:val="22"/>
                <w:lang w:val="sr-Latn-ME"/>
              </w:rPr>
              <w:t xml:space="preserve"> uzrasta od 2 do 11 godina s dijagno</w:t>
            </w:r>
            <w:r w:rsidR="0041261A">
              <w:rPr>
                <w:sz w:val="22"/>
                <w:szCs w:val="22"/>
                <w:lang w:val="sr-Latn-ME"/>
              </w:rPr>
              <w:t>zom</w:t>
            </w:r>
            <w:r w:rsidRPr="00930653">
              <w:rPr>
                <w:sz w:val="22"/>
                <w:szCs w:val="22"/>
                <w:lang w:val="sr-Latn-ME"/>
              </w:rPr>
              <w:t xml:space="preserve"> alergijsk</w:t>
            </w:r>
            <w:r w:rsidR="0041261A">
              <w:rPr>
                <w:sz w:val="22"/>
                <w:szCs w:val="22"/>
                <w:lang w:val="sr-Latn-ME"/>
              </w:rPr>
              <w:t>og</w:t>
            </w:r>
            <w:r w:rsidRPr="00930653">
              <w:rPr>
                <w:sz w:val="22"/>
                <w:szCs w:val="22"/>
                <w:lang w:val="sr-Latn-ME"/>
              </w:rPr>
              <w:t xml:space="preserve"> rinitis</w:t>
            </w:r>
            <w:r w:rsidR="0041261A">
              <w:rPr>
                <w:sz w:val="22"/>
                <w:szCs w:val="22"/>
                <w:lang w:val="sr-Latn-ME"/>
              </w:rPr>
              <w:t>a</w:t>
            </w:r>
            <w:r w:rsidRPr="00930653">
              <w:rPr>
                <w:sz w:val="22"/>
                <w:szCs w:val="22"/>
                <w:lang w:val="sr-Latn-ME"/>
              </w:rPr>
              <w:t xml:space="preserve">, </w:t>
            </w:r>
            <w:r w:rsidR="0041261A">
              <w:rPr>
                <w:sz w:val="22"/>
                <w:szCs w:val="22"/>
                <w:lang w:val="sr-Latn-ME"/>
              </w:rPr>
              <w:t>zap</w:t>
            </w:r>
            <w:r w:rsidRPr="00930653">
              <w:rPr>
                <w:sz w:val="22"/>
                <w:szCs w:val="22"/>
                <w:lang w:val="sr-Latn-ME"/>
              </w:rPr>
              <w:t>aženi su slični farmakokinetički parametri. Izloženost desloratadinu (PIK) bila je 6 puta veća, a maksimalna koncentracija (C</w:t>
            </w:r>
            <w:r w:rsidRPr="00930653">
              <w:rPr>
                <w:sz w:val="22"/>
                <w:szCs w:val="22"/>
                <w:vertAlign w:val="subscript"/>
                <w:lang w:val="sr-Latn-ME"/>
              </w:rPr>
              <w:t>max</w:t>
            </w:r>
            <w:r w:rsidRPr="00930653">
              <w:rPr>
                <w:sz w:val="22"/>
                <w:szCs w:val="22"/>
                <w:lang w:val="sr-Latn-ME"/>
              </w:rPr>
              <w:t>)</w:t>
            </w:r>
            <w:r w:rsidRPr="00930653">
              <w:rPr>
                <w:sz w:val="22"/>
                <w:szCs w:val="22"/>
                <w:vertAlign w:val="subscript"/>
                <w:lang w:val="sr-Latn-ME"/>
              </w:rPr>
              <w:t xml:space="preserve"> </w:t>
            </w:r>
            <w:r w:rsidRPr="00930653">
              <w:rPr>
                <w:sz w:val="22"/>
                <w:szCs w:val="22"/>
                <w:lang w:val="sr-Latn-ME"/>
              </w:rPr>
              <w:t xml:space="preserve">3-4 puta veća nakon 3-6 sati, uz terminalno poluvrijeme eliminacije od oko 120 sati. Kada su </w:t>
            </w:r>
            <w:r w:rsidR="0041261A">
              <w:rPr>
                <w:sz w:val="22"/>
                <w:szCs w:val="22"/>
                <w:lang w:val="sr-Latn-ME"/>
              </w:rPr>
              <w:t>primjenjene doze prilagođene uzrastu</w:t>
            </w:r>
            <w:r w:rsidRPr="00930653">
              <w:rPr>
                <w:sz w:val="22"/>
                <w:szCs w:val="22"/>
                <w:lang w:val="sr-Latn-ME"/>
              </w:rPr>
              <w:t xml:space="preserve">, izloženost desloratadinu bila je jednaka kod odraslih i pedijatrijskih ispitanika koji </w:t>
            </w:r>
            <w:r w:rsidR="0041261A">
              <w:rPr>
                <w:sz w:val="22"/>
                <w:szCs w:val="22"/>
                <w:lang w:val="sr-Latn-ME"/>
              </w:rPr>
              <w:t xml:space="preserve">su </w:t>
            </w:r>
            <w:r w:rsidRPr="00930653">
              <w:rPr>
                <w:sz w:val="22"/>
                <w:szCs w:val="22"/>
                <w:lang w:val="sr-Latn-ME"/>
              </w:rPr>
              <w:t>spor</w:t>
            </w:r>
            <w:r w:rsidR="0041261A">
              <w:rPr>
                <w:sz w:val="22"/>
                <w:szCs w:val="22"/>
                <w:lang w:val="sr-Latn-ME"/>
              </w:rPr>
              <w:t>i</w:t>
            </w:r>
            <w:r w:rsidRPr="00930653">
              <w:rPr>
                <w:sz w:val="22"/>
                <w:szCs w:val="22"/>
                <w:lang w:val="sr-Latn-ME"/>
              </w:rPr>
              <w:t xml:space="preserve"> metaboli</w:t>
            </w:r>
            <w:r w:rsidR="0041261A">
              <w:rPr>
                <w:sz w:val="22"/>
                <w:szCs w:val="22"/>
                <w:lang w:val="sr-Latn-ME"/>
              </w:rPr>
              <w:t>zeri</w:t>
            </w:r>
            <w:r w:rsidRPr="00930653">
              <w:rPr>
                <w:sz w:val="22"/>
                <w:szCs w:val="22"/>
                <w:lang w:val="sr-Latn-ME"/>
              </w:rPr>
              <w:t xml:space="preserve"> desloratadin</w:t>
            </w:r>
            <w:r w:rsidR="0041261A">
              <w:rPr>
                <w:sz w:val="22"/>
                <w:szCs w:val="22"/>
                <w:lang w:val="sr-Latn-ME"/>
              </w:rPr>
              <w:t>a</w:t>
            </w:r>
            <w:r w:rsidRPr="00930653">
              <w:rPr>
                <w:sz w:val="22"/>
                <w:szCs w:val="22"/>
                <w:lang w:val="sr-Latn-ME"/>
              </w:rPr>
              <w:t xml:space="preserve">. </w:t>
            </w:r>
            <w:r w:rsidR="006555C9" w:rsidRPr="00930653">
              <w:rPr>
                <w:sz w:val="22"/>
                <w:szCs w:val="22"/>
                <w:lang w:val="sr-Latn-ME"/>
              </w:rPr>
              <w:t>C</w:t>
            </w:r>
            <w:r w:rsidR="00B05405" w:rsidRPr="00930653">
              <w:rPr>
                <w:sz w:val="22"/>
                <w:szCs w:val="22"/>
                <w:lang w:val="sr-Latn-ME"/>
              </w:rPr>
              <w:t>j</w:t>
            </w:r>
            <w:r w:rsidR="006555C9" w:rsidRPr="00930653">
              <w:rPr>
                <w:sz w:val="22"/>
                <w:szCs w:val="22"/>
                <w:lang w:val="sr-Latn-ME"/>
              </w:rPr>
              <w:t xml:space="preserve">elokupni </w:t>
            </w:r>
            <w:r w:rsidR="00406B9C" w:rsidRPr="00930653">
              <w:rPr>
                <w:sz w:val="22"/>
                <w:szCs w:val="22"/>
                <w:lang w:val="sr-Latn-ME"/>
              </w:rPr>
              <w:t xml:space="preserve">bezbjednosni </w:t>
            </w:r>
            <w:r w:rsidR="006555C9" w:rsidRPr="00930653">
              <w:rPr>
                <w:sz w:val="22"/>
                <w:szCs w:val="22"/>
                <w:lang w:val="sr-Latn-ME"/>
              </w:rPr>
              <w:t xml:space="preserve">profil </w:t>
            </w:r>
            <w:r w:rsidRPr="00930653">
              <w:rPr>
                <w:sz w:val="22"/>
                <w:szCs w:val="22"/>
                <w:lang w:val="sr-Latn-ME"/>
              </w:rPr>
              <w:t xml:space="preserve">kod tih ispitanika nije se razlikovao od opšte populacije. Efekti desloratadina kod </w:t>
            </w:r>
            <w:r w:rsidR="0041261A">
              <w:rPr>
                <w:sz w:val="22"/>
                <w:szCs w:val="22"/>
                <w:lang w:val="sr-Latn-ME"/>
              </w:rPr>
              <w:t>sporih metabolizera desloratadina</w:t>
            </w:r>
            <w:r w:rsidR="0041261A" w:rsidRPr="00930653">
              <w:rPr>
                <w:sz w:val="22"/>
                <w:szCs w:val="22"/>
                <w:lang w:val="sr-Latn-ME"/>
              </w:rPr>
              <w:t xml:space="preserve"> </w:t>
            </w:r>
            <w:r w:rsidRPr="00930653">
              <w:rPr>
                <w:sz w:val="22"/>
                <w:szCs w:val="22"/>
                <w:lang w:val="sr-Latn-ME"/>
              </w:rPr>
              <w:t>mlađih od 2 godine nijesu ispitivani.</w:t>
            </w:r>
          </w:p>
          <w:p w14:paraId="03DACFE7" w14:textId="77777777" w:rsidR="002102CB" w:rsidRPr="00930653" w:rsidRDefault="002102CB" w:rsidP="00AF04BB">
            <w:pPr>
              <w:jc w:val="both"/>
              <w:rPr>
                <w:sz w:val="22"/>
                <w:szCs w:val="22"/>
                <w:lang w:val="sr-Latn-ME"/>
              </w:rPr>
            </w:pPr>
          </w:p>
          <w:p w14:paraId="7C66837E" w14:textId="15F28DE2" w:rsidR="006555C9" w:rsidRPr="00930653" w:rsidRDefault="006555C9" w:rsidP="00AF04BB">
            <w:pPr>
              <w:jc w:val="both"/>
              <w:rPr>
                <w:sz w:val="22"/>
                <w:szCs w:val="22"/>
                <w:lang w:val="sr-Latn-ME"/>
              </w:rPr>
            </w:pPr>
            <w:r w:rsidRPr="00930653">
              <w:rPr>
                <w:sz w:val="22"/>
                <w:szCs w:val="22"/>
                <w:lang w:val="sr-Latn-ME"/>
              </w:rPr>
              <w:t xml:space="preserve">U odvojenim  ispitivanjima </w:t>
            </w:r>
            <w:r w:rsidR="001E01FD">
              <w:rPr>
                <w:sz w:val="22"/>
                <w:szCs w:val="22"/>
                <w:lang w:val="sr-Latn-ME"/>
              </w:rPr>
              <w:t>primjene pojedinačne</w:t>
            </w:r>
            <w:r w:rsidR="001E01FD" w:rsidRPr="00930653">
              <w:rPr>
                <w:sz w:val="22"/>
                <w:szCs w:val="22"/>
                <w:lang w:val="sr-Latn-ME"/>
              </w:rPr>
              <w:t xml:space="preserve"> </w:t>
            </w:r>
            <w:r w:rsidRPr="00930653">
              <w:rPr>
                <w:sz w:val="22"/>
                <w:szCs w:val="22"/>
                <w:lang w:val="sr-Latn-ME"/>
              </w:rPr>
              <w:t>doze, u preporučenim dozama, vrijednosti PIK i C</w:t>
            </w:r>
            <w:r w:rsidRPr="00930653">
              <w:rPr>
                <w:sz w:val="22"/>
                <w:szCs w:val="22"/>
                <w:vertAlign w:val="subscript"/>
                <w:lang w:val="sr-Latn-ME"/>
              </w:rPr>
              <w:t>max</w:t>
            </w:r>
            <w:r w:rsidRPr="00930653">
              <w:rPr>
                <w:sz w:val="22"/>
                <w:szCs w:val="22"/>
                <w:lang w:val="sr-Latn-ME"/>
              </w:rPr>
              <w:t xml:space="preserve"> desloratadina kod pedijatrijskih pacijenata bile su uporedive sa vr</w:t>
            </w:r>
            <w:r w:rsidR="00B05405" w:rsidRPr="00930653">
              <w:rPr>
                <w:sz w:val="22"/>
                <w:szCs w:val="22"/>
                <w:lang w:val="sr-Latn-ME"/>
              </w:rPr>
              <w:t>ij</w:t>
            </w:r>
            <w:r w:rsidRPr="00930653">
              <w:rPr>
                <w:sz w:val="22"/>
                <w:szCs w:val="22"/>
                <w:lang w:val="sr-Latn-ME"/>
              </w:rPr>
              <w:t>ednostima kod odraslih koji su primili dozu od 5 mg desloratadin sirupa.</w:t>
            </w:r>
          </w:p>
          <w:p w14:paraId="03CF69EB" w14:textId="77777777" w:rsidR="006555C9" w:rsidRPr="00930653" w:rsidRDefault="006555C9" w:rsidP="008C62CF">
            <w:pPr>
              <w:jc w:val="both"/>
              <w:rPr>
                <w:sz w:val="22"/>
                <w:szCs w:val="22"/>
                <w:lang w:val="sr-Latn-ME"/>
              </w:rPr>
            </w:pPr>
          </w:p>
          <w:p w14:paraId="471F1AA3" w14:textId="77777777" w:rsidR="006555C9" w:rsidRPr="00930653" w:rsidRDefault="006555C9" w:rsidP="008C62CF">
            <w:pPr>
              <w:jc w:val="both"/>
              <w:rPr>
                <w:sz w:val="22"/>
                <w:szCs w:val="22"/>
                <w:u w:val="single"/>
                <w:lang w:val="sr-Latn-ME"/>
              </w:rPr>
            </w:pPr>
            <w:r w:rsidRPr="00930653">
              <w:rPr>
                <w:sz w:val="22"/>
                <w:szCs w:val="22"/>
                <w:u w:val="single"/>
                <w:lang w:val="sr-Latn-ME"/>
              </w:rPr>
              <w:t>Distribu</w:t>
            </w:r>
            <w:r w:rsidR="00144C04" w:rsidRPr="00930653">
              <w:rPr>
                <w:sz w:val="22"/>
                <w:szCs w:val="22"/>
                <w:u w:val="single"/>
                <w:lang w:val="sr-Latn-ME"/>
              </w:rPr>
              <w:t>c</w:t>
            </w:r>
            <w:r w:rsidRPr="00930653">
              <w:rPr>
                <w:sz w:val="22"/>
                <w:szCs w:val="22"/>
                <w:u w:val="single"/>
                <w:lang w:val="sr-Latn-ME"/>
              </w:rPr>
              <w:t>ija</w:t>
            </w:r>
          </w:p>
          <w:p w14:paraId="0F4DB6E2" w14:textId="77777777" w:rsidR="002102CB" w:rsidRPr="00930653" w:rsidRDefault="002102CB" w:rsidP="008C62CF">
            <w:pPr>
              <w:jc w:val="both"/>
              <w:rPr>
                <w:sz w:val="22"/>
                <w:szCs w:val="22"/>
                <w:lang w:val="sr-Latn-ME"/>
              </w:rPr>
            </w:pPr>
            <w:r w:rsidRPr="00930653">
              <w:rPr>
                <w:sz w:val="22"/>
                <w:szCs w:val="22"/>
                <w:lang w:val="sr-Latn-ME"/>
              </w:rPr>
              <w:t>Desloratadin se umjereno vezuje (83%-87%) za proteine plazme. Nema dokaza da dolazi do klinički značajne akumulacije aktivne supstance nakon primjene lijeka jednom dnevno kod odraslih i adolescenata (u dozi od 5 mg do 20 mg) tokom 14 dana.</w:t>
            </w:r>
          </w:p>
          <w:p w14:paraId="336DC382" w14:textId="77777777" w:rsidR="002102CB" w:rsidRPr="00930653" w:rsidRDefault="002102CB" w:rsidP="008C62CF">
            <w:pPr>
              <w:jc w:val="both"/>
              <w:rPr>
                <w:sz w:val="22"/>
                <w:szCs w:val="22"/>
                <w:lang w:val="sr-Latn-ME"/>
              </w:rPr>
            </w:pPr>
          </w:p>
          <w:p w14:paraId="14F2300A" w14:textId="77777777" w:rsidR="002102CB" w:rsidRPr="00930653" w:rsidRDefault="002102CB" w:rsidP="00CF7DFD">
            <w:pPr>
              <w:jc w:val="both"/>
              <w:rPr>
                <w:sz w:val="22"/>
                <w:szCs w:val="22"/>
                <w:lang w:val="sr-Latn-ME"/>
              </w:rPr>
            </w:pPr>
            <w:r w:rsidRPr="00930653">
              <w:rPr>
                <w:sz w:val="22"/>
                <w:szCs w:val="22"/>
                <w:lang w:val="sr-Latn-ME"/>
              </w:rPr>
              <w:t xml:space="preserve">U ukrštenom ispitivanju </w:t>
            </w:r>
            <w:r w:rsidR="0041261A">
              <w:rPr>
                <w:sz w:val="22"/>
                <w:szCs w:val="22"/>
                <w:lang w:val="sr-Latn-ME"/>
              </w:rPr>
              <w:t xml:space="preserve">uz primjenu </w:t>
            </w:r>
            <w:r w:rsidR="00AF04BB" w:rsidRPr="00930653">
              <w:rPr>
                <w:sz w:val="22"/>
                <w:szCs w:val="22"/>
                <w:lang w:val="sr-Latn-ME"/>
              </w:rPr>
              <w:t>pojedinačne</w:t>
            </w:r>
            <w:r w:rsidRPr="00930653">
              <w:rPr>
                <w:sz w:val="22"/>
                <w:szCs w:val="22"/>
                <w:lang w:val="sr-Latn-ME"/>
              </w:rPr>
              <w:t xml:space="preserve"> doze desloratadina, farmaceutski oblici tablete i </w:t>
            </w:r>
            <w:r w:rsidR="009B47E1" w:rsidRPr="00930653">
              <w:rPr>
                <w:sz w:val="22"/>
                <w:szCs w:val="22"/>
                <w:lang w:val="sr-Latn-ME"/>
              </w:rPr>
              <w:t>sirup</w:t>
            </w:r>
            <w:r w:rsidRPr="00930653">
              <w:rPr>
                <w:sz w:val="22"/>
                <w:szCs w:val="22"/>
                <w:lang w:val="sr-Latn-ME"/>
              </w:rPr>
              <w:t xml:space="preserve"> pokazali su se bioekvivalentnima. Kako </w:t>
            </w:r>
            <w:r w:rsidR="0041261A">
              <w:rPr>
                <w:sz w:val="22"/>
                <w:szCs w:val="22"/>
                <w:lang w:val="sr-Latn-ME"/>
              </w:rPr>
              <w:t xml:space="preserve">lijek </w:t>
            </w:r>
            <w:r w:rsidRPr="00930653">
              <w:rPr>
                <w:sz w:val="22"/>
                <w:szCs w:val="22"/>
                <w:lang w:val="sr-Latn-ME"/>
              </w:rPr>
              <w:t>Aerius</w:t>
            </w:r>
            <w:r w:rsidR="0041261A">
              <w:rPr>
                <w:sz w:val="22"/>
                <w:szCs w:val="22"/>
                <w:lang w:val="sr-Latn-ME"/>
              </w:rPr>
              <w:t>,</w:t>
            </w:r>
            <w:r w:rsidRPr="00930653">
              <w:rPr>
                <w:sz w:val="22"/>
                <w:szCs w:val="22"/>
                <w:lang w:val="sr-Latn-ME"/>
              </w:rPr>
              <w:t xml:space="preserve"> oralni rastvor</w:t>
            </w:r>
            <w:r w:rsidR="0041261A">
              <w:rPr>
                <w:sz w:val="22"/>
                <w:szCs w:val="22"/>
                <w:lang w:val="sr-Latn-ME"/>
              </w:rPr>
              <w:t>,</w:t>
            </w:r>
            <w:r w:rsidRPr="00930653">
              <w:rPr>
                <w:sz w:val="22"/>
                <w:szCs w:val="22"/>
                <w:lang w:val="sr-Latn-ME"/>
              </w:rPr>
              <w:t xml:space="preserve"> sadrži istu koncentraciju desloratadina, nije potrebno sprovoditi studiju bioekvivalencije i očekuje se da oralni rastvor bude </w:t>
            </w:r>
            <w:r w:rsidR="0041261A">
              <w:rPr>
                <w:sz w:val="22"/>
                <w:szCs w:val="22"/>
                <w:lang w:val="sr-Latn-ME"/>
              </w:rPr>
              <w:t xml:space="preserve">biološki </w:t>
            </w:r>
            <w:r w:rsidRPr="00930653">
              <w:rPr>
                <w:sz w:val="22"/>
                <w:szCs w:val="22"/>
                <w:lang w:val="sr-Latn-ME"/>
              </w:rPr>
              <w:t>ekvivalentan sirupu i tabletama.</w:t>
            </w:r>
          </w:p>
          <w:p w14:paraId="2A29B2FF" w14:textId="77777777" w:rsidR="009B47E1" w:rsidRPr="00930653" w:rsidRDefault="009B47E1" w:rsidP="0097600C">
            <w:pPr>
              <w:jc w:val="both"/>
              <w:rPr>
                <w:sz w:val="22"/>
                <w:szCs w:val="22"/>
                <w:lang w:val="sr-Latn-ME"/>
              </w:rPr>
            </w:pPr>
          </w:p>
          <w:p w14:paraId="1CC49F6E" w14:textId="77777777" w:rsidR="009B47E1" w:rsidRPr="00930653" w:rsidRDefault="009B47E1" w:rsidP="005F4218">
            <w:pPr>
              <w:jc w:val="both"/>
              <w:rPr>
                <w:sz w:val="22"/>
                <w:szCs w:val="22"/>
                <w:u w:val="single"/>
                <w:lang w:val="sr-Latn-ME"/>
              </w:rPr>
            </w:pPr>
            <w:r w:rsidRPr="00930653">
              <w:rPr>
                <w:sz w:val="22"/>
                <w:szCs w:val="22"/>
                <w:u w:val="single"/>
                <w:lang w:val="sr-Latn-ME"/>
              </w:rPr>
              <w:t>Biotransformacija</w:t>
            </w:r>
          </w:p>
          <w:p w14:paraId="3E24FAAE" w14:textId="77777777" w:rsidR="002102CB" w:rsidRPr="00930653" w:rsidRDefault="00AF04BB" w:rsidP="005F4218">
            <w:pPr>
              <w:jc w:val="both"/>
              <w:rPr>
                <w:sz w:val="22"/>
                <w:szCs w:val="22"/>
                <w:lang w:val="sr-Latn-ME"/>
              </w:rPr>
            </w:pPr>
            <w:r w:rsidRPr="00930653">
              <w:rPr>
                <w:sz w:val="22"/>
                <w:szCs w:val="22"/>
                <w:lang w:val="sr-Latn-ME"/>
              </w:rPr>
              <w:t>Još nije utvrđeno koji je e</w:t>
            </w:r>
            <w:r w:rsidR="002102CB" w:rsidRPr="00930653">
              <w:rPr>
                <w:sz w:val="22"/>
                <w:szCs w:val="22"/>
                <w:lang w:val="sr-Latn-ME"/>
              </w:rPr>
              <w:t xml:space="preserve">nzim odgovoran za metabolizam desloratadina, pa se zato neke interakcije s drugim ljekovima ne mogu potpuno isključiti. Desloratadin ne inhibira CYP3A4 </w:t>
            </w:r>
            <w:r w:rsidR="002102CB" w:rsidRPr="00930653">
              <w:rPr>
                <w:i/>
                <w:iCs/>
                <w:sz w:val="22"/>
                <w:szCs w:val="22"/>
                <w:lang w:val="sr-Latn-ME"/>
              </w:rPr>
              <w:t>in vivo</w:t>
            </w:r>
            <w:r w:rsidR="002102CB" w:rsidRPr="00930653">
              <w:rPr>
                <w:sz w:val="22"/>
                <w:szCs w:val="22"/>
                <w:lang w:val="sr-Latn-ME"/>
              </w:rPr>
              <w:t xml:space="preserve">, a ispitivanja </w:t>
            </w:r>
            <w:r w:rsidR="002102CB" w:rsidRPr="00930653">
              <w:rPr>
                <w:i/>
                <w:iCs/>
                <w:sz w:val="22"/>
                <w:szCs w:val="22"/>
                <w:lang w:val="sr-Latn-ME"/>
              </w:rPr>
              <w:t>in vitro</w:t>
            </w:r>
            <w:r w:rsidR="002102CB" w:rsidRPr="00930653">
              <w:rPr>
                <w:sz w:val="22"/>
                <w:szCs w:val="22"/>
                <w:lang w:val="sr-Latn-ME"/>
              </w:rPr>
              <w:t xml:space="preserve"> pokazala su da lijek ne inhibira CYP2D6 i da nije ni supstrat ni inhibitor P-glikoproteina.</w:t>
            </w:r>
          </w:p>
          <w:p w14:paraId="2BB1B623" w14:textId="77777777" w:rsidR="002102CB" w:rsidRPr="00930653" w:rsidRDefault="002102CB" w:rsidP="002B5077">
            <w:pPr>
              <w:jc w:val="both"/>
              <w:rPr>
                <w:sz w:val="22"/>
                <w:szCs w:val="22"/>
                <w:lang w:val="sr-Latn-ME"/>
              </w:rPr>
            </w:pPr>
          </w:p>
          <w:p w14:paraId="5BA516C8" w14:textId="77777777" w:rsidR="009B47E1" w:rsidRPr="00930653" w:rsidRDefault="009B47E1" w:rsidP="00930653">
            <w:pPr>
              <w:jc w:val="both"/>
              <w:rPr>
                <w:sz w:val="22"/>
                <w:szCs w:val="22"/>
                <w:u w:val="single"/>
                <w:lang w:val="sr-Latn-ME"/>
              </w:rPr>
            </w:pPr>
            <w:r w:rsidRPr="00930653">
              <w:rPr>
                <w:sz w:val="22"/>
                <w:szCs w:val="22"/>
                <w:u w:val="single"/>
                <w:lang w:val="sr-Latn-ME"/>
              </w:rPr>
              <w:t>Eliminacija</w:t>
            </w:r>
          </w:p>
          <w:p w14:paraId="6767EE17" w14:textId="1539CD0E" w:rsidR="002102CB" w:rsidRPr="00930653" w:rsidRDefault="002102CB" w:rsidP="00930653">
            <w:pPr>
              <w:jc w:val="both"/>
              <w:rPr>
                <w:sz w:val="22"/>
                <w:szCs w:val="22"/>
                <w:lang w:val="sr-Latn-ME"/>
              </w:rPr>
            </w:pPr>
            <w:r w:rsidRPr="00930653">
              <w:rPr>
                <w:sz w:val="22"/>
                <w:szCs w:val="22"/>
                <w:lang w:val="sr-Latn-ME"/>
              </w:rPr>
              <w:t xml:space="preserve">U ispitivanju </w:t>
            </w:r>
            <w:r w:rsidR="00ED36F1">
              <w:rPr>
                <w:sz w:val="22"/>
                <w:szCs w:val="22"/>
                <w:lang w:val="sr-Latn-ME"/>
              </w:rPr>
              <w:t>primjene pojedinačne</w:t>
            </w:r>
            <w:r w:rsidR="00ED36F1" w:rsidRPr="00930653">
              <w:rPr>
                <w:sz w:val="22"/>
                <w:szCs w:val="22"/>
                <w:lang w:val="sr-Latn-ME"/>
              </w:rPr>
              <w:t xml:space="preserve"> </w:t>
            </w:r>
            <w:r w:rsidRPr="00930653">
              <w:rPr>
                <w:sz w:val="22"/>
                <w:szCs w:val="22"/>
                <w:lang w:val="sr-Latn-ME"/>
              </w:rPr>
              <w:t>doze desloratadina od 7</w:t>
            </w:r>
            <w:r w:rsidR="00406B9C" w:rsidRPr="00930653">
              <w:rPr>
                <w:sz w:val="22"/>
                <w:szCs w:val="22"/>
                <w:lang w:val="sr-Latn-ME"/>
              </w:rPr>
              <w:t>,</w:t>
            </w:r>
            <w:r w:rsidRPr="00930653">
              <w:rPr>
                <w:sz w:val="22"/>
                <w:szCs w:val="22"/>
                <w:lang w:val="sr-Latn-ME"/>
              </w:rPr>
              <w:t>5 mg nije bilo uticaja hrane (hr</w:t>
            </w:r>
            <w:smartTag w:uri="urn:schemas-microsoft-com:office:smarttags" w:element="PersonName">
              <w:r w:rsidRPr="00930653">
                <w:rPr>
                  <w:sz w:val="22"/>
                  <w:szCs w:val="22"/>
                  <w:lang w:val="sr-Latn-ME"/>
                </w:rPr>
                <w:t>ana</w:t>
              </w:r>
            </w:smartTag>
            <w:r w:rsidRPr="00930653">
              <w:rPr>
                <w:sz w:val="22"/>
                <w:szCs w:val="22"/>
                <w:lang w:val="sr-Latn-ME"/>
              </w:rPr>
              <w:t xml:space="preserve"> bogata mastima, visokokaloričan doručak) na raspoloživost desloratadina. U drugom ispitivanju, sok od grejpfruta nije imao dejstvo na raspoloživost desloratadina.</w:t>
            </w:r>
          </w:p>
          <w:p w14:paraId="1925D6BA" w14:textId="77777777" w:rsidR="002102CB" w:rsidRPr="00930653" w:rsidRDefault="002102CB" w:rsidP="00930653">
            <w:pPr>
              <w:jc w:val="both"/>
              <w:rPr>
                <w:sz w:val="22"/>
                <w:szCs w:val="22"/>
                <w:lang w:val="sr-Latn-ME"/>
              </w:rPr>
            </w:pPr>
          </w:p>
          <w:p w14:paraId="5BAB6666" w14:textId="77777777" w:rsidR="00E349C8" w:rsidRPr="00930653" w:rsidRDefault="00E349C8" w:rsidP="00930653">
            <w:pPr>
              <w:pStyle w:val="NoSpacing"/>
              <w:jc w:val="both"/>
              <w:rPr>
                <w:rFonts w:ascii="Times New Roman" w:hAnsi="Times New Roman"/>
                <w:u w:val="single"/>
                <w:lang w:val="sr-Latn-ME"/>
              </w:rPr>
            </w:pPr>
            <w:r w:rsidRPr="00930653">
              <w:rPr>
                <w:rFonts w:ascii="Times New Roman" w:hAnsi="Times New Roman"/>
                <w:u w:val="single"/>
                <w:lang w:val="sr-Latn-ME"/>
              </w:rPr>
              <w:t>Pacijenti sa oštećenjem funkcije bubrega</w:t>
            </w:r>
          </w:p>
          <w:p w14:paraId="5984462C" w14:textId="6A438577" w:rsidR="0041261A" w:rsidRDefault="0041261A" w:rsidP="00930653">
            <w:pPr>
              <w:jc w:val="both"/>
              <w:rPr>
                <w:sz w:val="22"/>
                <w:szCs w:val="22"/>
                <w:lang w:val="sr-Latn-ME"/>
              </w:rPr>
            </w:pPr>
            <w:r w:rsidRPr="0041261A">
              <w:rPr>
                <w:sz w:val="22"/>
                <w:szCs w:val="22"/>
                <w:lang w:val="sr-Latn-ME"/>
              </w:rPr>
              <w:t>Farmakokinetika desloratadina kod pacijenata sa hroničnom bubrežnom insuficijencijom (HBI) poređena je sa farmakokinetikom kod zdravih ispitanika u jednoj kliničkoj studiji prim</w:t>
            </w:r>
            <w:r>
              <w:rPr>
                <w:sz w:val="22"/>
                <w:szCs w:val="22"/>
                <w:lang w:val="sr-Latn-ME"/>
              </w:rPr>
              <w:t>j</w:t>
            </w:r>
            <w:r w:rsidRPr="0041261A">
              <w:rPr>
                <w:sz w:val="22"/>
                <w:szCs w:val="22"/>
                <w:lang w:val="sr-Latn-ME"/>
              </w:rPr>
              <w:t>ene pojedinačne doze i u kliničkoj studiji uz prim</w:t>
            </w:r>
            <w:r>
              <w:rPr>
                <w:sz w:val="22"/>
                <w:szCs w:val="22"/>
                <w:lang w:val="sr-Latn-ME"/>
              </w:rPr>
              <w:t>j</w:t>
            </w:r>
            <w:r w:rsidRPr="0041261A">
              <w:rPr>
                <w:sz w:val="22"/>
                <w:szCs w:val="22"/>
                <w:lang w:val="sr-Latn-ME"/>
              </w:rPr>
              <w:t xml:space="preserve">enu ponovljenih doza. </w:t>
            </w:r>
            <w:r w:rsidR="00E349C8" w:rsidRPr="00930653">
              <w:rPr>
                <w:sz w:val="22"/>
                <w:szCs w:val="22"/>
                <w:lang w:val="sr-Latn-ME"/>
              </w:rPr>
              <w:t xml:space="preserve"> </w:t>
            </w:r>
          </w:p>
          <w:p w14:paraId="4284EE23" w14:textId="2DEEA2EB" w:rsidR="002102CB" w:rsidRPr="00930653" w:rsidRDefault="00E349C8" w:rsidP="00930653">
            <w:pPr>
              <w:jc w:val="both"/>
              <w:rPr>
                <w:sz w:val="22"/>
                <w:szCs w:val="22"/>
                <w:lang w:val="sr-Latn-ME"/>
              </w:rPr>
            </w:pPr>
            <w:r w:rsidRPr="00930653">
              <w:rPr>
                <w:sz w:val="22"/>
                <w:szCs w:val="22"/>
                <w:lang w:val="sr-Latn-ME"/>
              </w:rPr>
              <w:t xml:space="preserve">U ispitivanju pojedinačne doze, izloženost desloratadinu bila je </w:t>
            </w:r>
            <w:r w:rsidR="0041261A">
              <w:rPr>
                <w:sz w:val="22"/>
                <w:szCs w:val="22"/>
                <w:lang w:val="sr-Latn-ME"/>
              </w:rPr>
              <w:t>približno</w:t>
            </w:r>
            <w:r w:rsidR="0041261A" w:rsidRPr="00930653">
              <w:rPr>
                <w:sz w:val="22"/>
                <w:szCs w:val="22"/>
                <w:lang w:val="sr-Latn-ME"/>
              </w:rPr>
              <w:t xml:space="preserve"> </w:t>
            </w:r>
            <w:r w:rsidRPr="00930653">
              <w:rPr>
                <w:sz w:val="22"/>
                <w:szCs w:val="22"/>
                <w:lang w:val="sr-Latn-ME"/>
              </w:rPr>
              <w:t xml:space="preserve">2 puta veća kod </w:t>
            </w:r>
            <w:r w:rsidR="0041261A">
              <w:rPr>
                <w:sz w:val="22"/>
                <w:szCs w:val="22"/>
                <w:lang w:val="sr-Latn-ME"/>
              </w:rPr>
              <w:t>ispitanika</w:t>
            </w:r>
            <w:r w:rsidR="0041261A" w:rsidRPr="00930653">
              <w:rPr>
                <w:sz w:val="22"/>
                <w:szCs w:val="22"/>
                <w:lang w:val="sr-Latn-ME"/>
              </w:rPr>
              <w:t xml:space="preserve"> </w:t>
            </w:r>
            <w:r w:rsidRPr="00930653">
              <w:rPr>
                <w:sz w:val="22"/>
                <w:szCs w:val="22"/>
                <w:lang w:val="sr-Latn-ME"/>
              </w:rPr>
              <w:t>sa blagom do um</w:t>
            </w:r>
            <w:r w:rsidR="00B05405" w:rsidRPr="00930653">
              <w:rPr>
                <w:sz w:val="22"/>
                <w:szCs w:val="22"/>
                <w:lang w:val="sr-Latn-ME"/>
              </w:rPr>
              <w:t>j</w:t>
            </w:r>
            <w:r w:rsidRPr="00930653">
              <w:rPr>
                <w:sz w:val="22"/>
                <w:szCs w:val="22"/>
                <w:lang w:val="sr-Latn-ME"/>
              </w:rPr>
              <w:t xml:space="preserve">erenom </w:t>
            </w:r>
            <w:r w:rsidR="0041261A">
              <w:rPr>
                <w:sz w:val="22"/>
                <w:szCs w:val="22"/>
                <w:lang w:val="sr-Latn-ME"/>
              </w:rPr>
              <w:t>hroničnom bubrežnom insuficijencijom</w:t>
            </w:r>
            <w:r w:rsidR="00406B9C" w:rsidRPr="00930653">
              <w:rPr>
                <w:sz w:val="22"/>
                <w:szCs w:val="22"/>
                <w:lang w:val="sr-Latn-ME"/>
              </w:rPr>
              <w:t>,</w:t>
            </w:r>
            <w:r w:rsidRPr="00930653">
              <w:rPr>
                <w:sz w:val="22"/>
                <w:szCs w:val="22"/>
                <w:lang w:val="sr-Latn-ME"/>
              </w:rPr>
              <w:t xml:space="preserve"> odnosno 2,5 puta veća kod pacijenata sa teškom HBI, </w:t>
            </w:r>
            <w:r w:rsidR="0041261A">
              <w:rPr>
                <w:sz w:val="22"/>
                <w:szCs w:val="22"/>
                <w:lang w:val="sr-Latn-ME"/>
              </w:rPr>
              <w:t>nego kod zdravih ispitanika</w:t>
            </w:r>
            <w:r w:rsidRPr="00930653">
              <w:rPr>
                <w:sz w:val="22"/>
                <w:szCs w:val="22"/>
                <w:lang w:val="sr-Latn-ME"/>
              </w:rPr>
              <w:t xml:space="preserve">. U ispitivanju </w:t>
            </w:r>
            <w:r w:rsidR="0041261A">
              <w:rPr>
                <w:sz w:val="22"/>
                <w:szCs w:val="22"/>
                <w:lang w:val="sr-Latn-ME"/>
              </w:rPr>
              <w:t>primene ponovljenih doza,</w:t>
            </w:r>
            <w:r w:rsidRPr="00930653">
              <w:rPr>
                <w:sz w:val="22"/>
                <w:szCs w:val="22"/>
                <w:lang w:val="sr-Latn-ME"/>
              </w:rPr>
              <w:t xml:space="preserve"> stanje ravnoteže (engl. </w:t>
            </w:r>
            <w:r w:rsidRPr="00930653">
              <w:rPr>
                <w:i/>
                <w:sz w:val="22"/>
                <w:szCs w:val="22"/>
                <w:lang w:val="sr-Latn-ME"/>
              </w:rPr>
              <w:t>stady state</w:t>
            </w:r>
            <w:r w:rsidRPr="00930653">
              <w:rPr>
                <w:sz w:val="22"/>
                <w:szCs w:val="22"/>
                <w:lang w:val="sr-Latn-ME"/>
              </w:rPr>
              <w:t>) je postignuto nakon 11. dana prim</w:t>
            </w:r>
            <w:r w:rsidR="00B05405" w:rsidRPr="00930653">
              <w:rPr>
                <w:sz w:val="22"/>
                <w:szCs w:val="22"/>
                <w:lang w:val="sr-Latn-ME"/>
              </w:rPr>
              <w:t>j</w:t>
            </w:r>
            <w:r w:rsidRPr="00930653">
              <w:rPr>
                <w:sz w:val="22"/>
                <w:szCs w:val="22"/>
                <w:lang w:val="sr-Latn-ME"/>
              </w:rPr>
              <w:t xml:space="preserve">ene, </w:t>
            </w:r>
            <w:r w:rsidR="00407B5F">
              <w:rPr>
                <w:sz w:val="22"/>
                <w:szCs w:val="22"/>
                <w:lang w:val="sr-Latn-ME"/>
              </w:rPr>
              <w:t>i u poređenju sa</w:t>
            </w:r>
            <w:r w:rsidRPr="00930653">
              <w:rPr>
                <w:sz w:val="22"/>
                <w:szCs w:val="22"/>
                <w:lang w:val="sr-Latn-ME"/>
              </w:rPr>
              <w:t xml:space="preserve"> zdrav</w:t>
            </w:r>
            <w:r w:rsidR="00407B5F">
              <w:rPr>
                <w:sz w:val="22"/>
                <w:szCs w:val="22"/>
                <w:lang w:val="sr-Latn-ME"/>
              </w:rPr>
              <w:t>im</w:t>
            </w:r>
            <w:r w:rsidRPr="00930653">
              <w:rPr>
                <w:sz w:val="22"/>
                <w:szCs w:val="22"/>
                <w:lang w:val="sr-Latn-ME"/>
              </w:rPr>
              <w:t xml:space="preserve"> </w:t>
            </w:r>
            <w:r w:rsidR="00407B5F">
              <w:rPr>
                <w:sz w:val="22"/>
                <w:szCs w:val="22"/>
                <w:lang w:val="sr-Latn-ME"/>
              </w:rPr>
              <w:t>ispitanicima</w:t>
            </w:r>
            <w:r w:rsidR="00407B5F" w:rsidRPr="00930653">
              <w:rPr>
                <w:sz w:val="22"/>
                <w:szCs w:val="22"/>
                <w:lang w:val="sr-Latn-ME"/>
              </w:rPr>
              <w:t xml:space="preserve"> </w:t>
            </w:r>
            <w:r w:rsidRPr="00930653">
              <w:rPr>
                <w:sz w:val="22"/>
                <w:szCs w:val="22"/>
                <w:lang w:val="sr-Latn-ME"/>
              </w:rPr>
              <w:t xml:space="preserve">izloženost desloratadinu bila je </w:t>
            </w:r>
            <w:r w:rsidR="00407B5F">
              <w:rPr>
                <w:sz w:val="22"/>
                <w:szCs w:val="22"/>
                <w:lang w:val="sr-Latn-ME"/>
              </w:rPr>
              <w:t>približno</w:t>
            </w:r>
            <w:r w:rsidR="00407B5F" w:rsidRPr="00930653">
              <w:rPr>
                <w:sz w:val="22"/>
                <w:szCs w:val="22"/>
                <w:lang w:val="sr-Latn-ME"/>
              </w:rPr>
              <w:t xml:space="preserve"> </w:t>
            </w:r>
            <w:r w:rsidRPr="00930653">
              <w:rPr>
                <w:sz w:val="22"/>
                <w:szCs w:val="22"/>
                <w:lang w:val="sr-Latn-ME"/>
              </w:rPr>
              <w:t>1,5 puta veća kod pacijenata sa blag</w:t>
            </w:r>
            <w:r w:rsidR="00407B5F">
              <w:rPr>
                <w:sz w:val="22"/>
                <w:szCs w:val="22"/>
                <w:lang w:val="sr-Latn-ME"/>
              </w:rPr>
              <w:t>o</w:t>
            </w:r>
            <w:r w:rsidRPr="00930653">
              <w:rPr>
                <w:sz w:val="22"/>
                <w:szCs w:val="22"/>
                <w:lang w:val="sr-Latn-ME"/>
              </w:rPr>
              <w:t>m do um</w:t>
            </w:r>
            <w:r w:rsidR="00B05405" w:rsidRPr="00930653">
              <w:rPr>
                <w:sz w:val="22"/>
                <w:szCs w:val="22"/>
                <w:lang w:val="sr-Latn-ME"/>
              </w:rPr>
              <w:t>j</w:t>
            </w:r>
            <w:r w:rsidRPr="00930653">
              <w:rPr>
                <w:sz w:val="22"/>
                <w:szCs w:val="22"/>
                <w:lang w:val="sr-Latn-ME"/>
              </w:rPr>
              <w:t>eren</w:t>
            </w:r>
            <w:r w:rsidR="00407B5F">
              <w:rPr>
                <w:sz w:val="22"/>
                <w:szCs w:val="22"/>
                <w:lang w:val="sr-Latn-ME"/>
              </w:rPr>
              <w:t>o</w:t>
            </w:r>
            <w:r w:rsidRPr="00930653">
              <w:rPr>
                <w:sz w:val="22"/>
                <w:szCs w:val="22"/>
                <w:lang w:val="sr-Latn-ME"/>
              </w:rPr>
              <w:t xml:space="preserve">m HBI odnosno oko 2,5 puta veća kod </w:t>
            </w:r>
            <w:r w:rsidR="00407B5F">
              <w:rPr>
                <w:sz w:val="22"/>
                <w:szCs w:val="22"/>
                <w:lang w:val="sr-Latn-ME"/>
              </w:rPr>
              <w:t>ispitanika</w:t>
            </w:r>
            <w:r w:rsidR="00407B5F" w:rsidRPr="00930653">
              <w:rPr>
                <w:sz w:val="22"/>
                <w:szCs w:val="22"/>
                <w:lang w:val="sr-Latn-ME"/>
              </w:rPr>
              <w:t xml:space="preserve"> </w:t>
            </w:r>
            <w:r w:rsidRPr="00930653">
              <w:rPr>
                <w:sz w:val="22"/>
                <w:szCs w:val="22"/>
                <w:lang w:val="sr-Latn-ME"/>
              </w:rPr>
              <w:t xml:space="preserve">sa teškom HBI. U oba ispitivanja, </w:t>
            </w:r>
            <w:r w:rsidR="00406B9C" w:rsidRPr="00930653">
              <w:rPr>
                <w:sz w:val="22"/>
                <w:szCs w:val="22"/>
                <w:lang w:val="sr-Latn-ME"/>
              </w:rPr>
              <w:t xml:space="preserve">promjene </w:t>
            </w:r>
            <w:r w:rsidRPr="00930653">
              <w:rPr>
                <w:sz w:val="22"/>
                <w:szCs w:val="22"/>
                <w:lang w:val="sr-Latn-ME"/>
              </w:rPr>
              <w:t>u izloženosti (PIK i C</w:t>
            </w:r>
            <w:r w:rsidRPr="00930653">
              <w:rPr>
                <w:sz w:val="22"/>
                <w:szCs w:val="22"/>
                <w:vertAlign w:val="subscript"/>
                <w:lang w:val="sr-Latn-ME"/>
              </w:rPr>
              <w:t>max</w:t>
            </w:r>
            <w:r w:rsidRPr="00930653">
              <w:rPr>
                <w:sz w:val="22"/>
                <w:szCs w:val="22"/>
                <w:lang w:val="sr-Latn-ME"/>
              </w:rPr>
              <w:t>) desloratadinu i 3-hidrokidesloratadinu ni</w:t>
            </w:r>
            <w:r w:rsidR="00B05405" w:rsidRPr="00930653">
              <w:rPr>
                <w:sz w:val="22"/>
                <w:szCs w:val="22"/>
                <w:lang w:val="sr-Latn-ME"/>
              </w:rPr>
              <w:t>je</w:t>
            </w:r>
            <w:r w:rsidRPr="00930653">
              <w:rPr>
                <w:sz w:val="22"/>
                <w:szCs w:val="22"/>
                <w:lang w:val="sr-Latn-ME"/>
              </w:rPr>
              <w:t>su bile klinički značajne.</w:t>
            </w:r>
          </w:p>
          <w:p w14:paraId="00B07AA1" w14:textId="77777777" w:rsidR="00E349C8" w:rsidRPr="00930653" w:rsidRDefault="00E349C8" w:rsidP="00930653">
            <w:pPr>
              <w:jc w:val="both"/>
              <w:rPr>
                <w:sz w:val="22"/>
                <w:szCs w:val="22"/>
                <w:lang w:val="sr-Latn-ME"/>
              </w:rPr>
            </w:pPr>
          </w:p>
        </w:tc>
      </w:tr>
      <w:tr w:rsidR="002102CB" w:rsidRPr="00930653" w14:paraId="02BDA9F1" w14:textId="77777777" w:rsidTr="007F2243">
        <w:tc>
          <w:tcPr>
            <w:tcW w:w="9810" w:type="dxa"/>
            <w:gridSpan w:val="3"/>
            <w:vAlign w:val="center"/>
          </w:tcPr>
          <w:p w14:paraId="467B4973" w14:textId="77777777" w:rsidR="002102CB" w:rsidRPr="00930653" w:rsidRDefault="002102CB" w:rsidP="00007378">
            <w:pPr>
              <w:pStyle w:val="Header"/>
              <w:tabs>
                <w:tab w:val="left" w:pos="284"/>
              </w:tabs>
              <w:spacing w:before="80" w:after="80"/>
              <w:jc w:val="both"/>
              <w:rPr>
                <w:b/>
                <w:bCs/>
                <w:sz w:val="22"/>
                <w:szCs w:val="22"/>
                <w:lang w:val="sr-Latn-ME"/>
              </w:rPr>
            </w:pPr>
            <w:r w:rsidRPr="00930653">
              <w:rPr>
                <w:b/>
                <w:bCs/>
                <w:sz w:val="22"/>
                <w:szCs w:val="22"/>
                <w:lang w:val="sr-Latn-ME"/>
              </w:rPr>
              <w:lastRenderedPageBreak/>
              <w:t xml:space="preserve">5.3. Pretklinički podaci o bezbjednosti </w:t>
            </w:r>
          </w:p>
        </w:tc>
      </w:tr>
      <w:tr w:rsidR="002102CB" w:rsidRPr="00A731F9" w14:paraId="223CF074" w14:textId="77777777" w:rsidTr="007F2243">
        <w:trPr>
          <w:trHeight w:val="1823"/>
        </w:trPr>
        <w:tc>
          <w:tcPr>
            <w:tcW w:w="9810" w:type="dxa"/>
            <w:gridSpan w:val="3"/>
            <w:vAlign w:val="center"/>
          </w:tcPr>
          <w:p w14:paraId="412D4696" w14:textId="77777777" w:rsidR="002102CB" w:rsidRPr="00930653" w:rsidRDefault="002102CB" w:rsidP="00007378">
            <w:pPr>
              <w:jc w:val="both"/>
              <w:rPr>
                <w:sz w:val="22"/>
                <w:szCs w:val="22"/>
                <w:lang w:val="sr-Latn-ME"/>
              </w:rPr>
            </w:pPr>
          </w:p>
          <w:p w14:paraId="00F9BFA4" w14:textId="6A237315" w:rsidR="002102CB" w:rsidRPr="00930653" w:rsidRDefault="002102CB" w:rsidP="004E0BA7">
            <w:pPr>
              <w:jc w:val="both"/>
              <w:rPr>
                <w:sz w:val="22"/>
                <w:szCs w:val="22"/>
                <w:lang w:val="sr-Latn-ME"/>
              </w:rPr>
            </w:pPr>
            <w:r w:rsidRPr="00930653">
              <w:rPr>
                <w:sz w:val="22"/>
                <w:szCs w:val="22"/>
                <w:lang w:val="sr-Latn-ME"/>
              </w:rPr>
              <w:t>Desloratadin je primarn</w:t>
            </w:r>
            <w:r w:rsidR="001A7A7E">
              <w:rPr>
                <w:sz w:val="22"/>
                <w:szCs w:val="22"/>
                <w:lang w:val="sr-Latn-ME"/>
              </w:rPr>
              <w:t>i</w:t>
            </w:r>
            <w:r w:rsidRPr="00930653">
              <w:rPr>
                <w:sz w:val="22"/>
                <w:szCs w:val="22"/>
                <w:lang w:val="sr-Latn-ME"/>
              </w:rPr>
              <w:t xml:space="preserve"> aktivni metabolit loratadina. Pretklinička ispitivanja sa desloratadinom i loratadinom pokazala su da nema kvalitativnih niti kvantitativnih razlika u profilu toksičnosti desloratadina i loratadina, pri uporedivim nivoima izloženosti desloratadinu.</w:t>
            </w:r>
          </w:p>
          <w:p w14:paraId="0839A437" w14:textId="77777777" w:rsidR="002102CB" w:rsidRPr="00930653" w:rsidRDefault="002102CB" w:rsidP="004E0BA7">
            <w:pPr>
              <w:jc w:val="both"/>
              <w:rPr>
                <w:sz w:val="22"/>
                <w:szCs w:val="22"/>
                <w:lang w:val="sr-Latn-ME"/>
              </w:rPr>
            </w:pPr>
          </w:p>
          <w:p w14:paraId="265D76D9" w14:textId="749EC21B" w:rsidR="002102CB" w:rsidRPr="00930653" w:rsidRDefault="002102CB" w:rsidP="00F72506">
            <w:pPr>
              <w:jc w:val="both"/>
              <w:rPr>
                <w:sz w:val="22"/>
                <w:szCs w:val="22"/>
                <w:lang w:val="sr-Latn-ME"/>
              </w:rPr>
            </w:pPr>
            <w:r w:rsidRPr="00930653">
              <w:rPr>
                <w:sz w:val="22"/>
                <w:szCs w:val="22"/>
                <w:lang w:val="sr-Latn-ME"/>
              </w:rPr>
              <w:t xml:space="preserve">Pretklinički podaci </w:t>
            </w:r>
            <w:r w:rsidR="00407B5F">
              <w:rPr>
                <w:sz w:val="22"/>
                <w:szCs w:val="22"/>
                <w:lang w:val="sr-Latn-ME"/>
              </w:rPr>
              <w:t>dobijeni</w:t>
            </w:r>
            <w:r w:rsidRPr="00930653">
              <w:rPr>
                <w:sz w:val="22"/>
                <w:szCs w:val="22"/>
                <w:lang w:val="sr-Latn-ME"/>
              </w:rPr>
              <w:t xml:space="preserve"> na </w:t>
            </w:r>
            <w:r w:rsidR="00407B5F">
              <w:rPr>
                <w:sz w:val="22"/>
                <w:szCs w:val="22"/>
                <w:lang w:val="sr-Latn-ME"/>
              </w:rPr>
              <w:t xml:space="preserve">osnovu </w:t>
            </w:r>
            <w:r w:rsidRPr="00930653">
              <w:rPr>
                <w:sz w:val="22"/>
                <w:szCs w:val="22"/>
                <w:lang w:val="sr-Latn-ME"/>
              </w:rPr>
              <w:t>konvencionalni</w:t>
            </w:r>
            <w:r w:rsidR="00407B5F">
              <w:rPr>
                <w:sz w:val="22"/>
                <w:szCs w:val="22"/>
                <w:lang w:val="sr-Latn-ME"/>
              </w:rPr>
              <w:t>h</w:t>
            </w:r>
            <w:r w:rsidRPr="00930653">
              <w:rPr>
                <w:sz w:val="22"/>
                <w:szCs w:val="22"/>
                <w:lang w:val="sr-Latn-ME"/>
              </w:rPr>
              <w:t xml:space="preserve"> </w:t>
            </w:r>
            <w:r w:rsidR="00407B5F">
              <w:rPr>
                <w:sz w:val="22"/>
                <w:szCs w:val="22"/>
                <w:lang w:val="sr-Latn-ME"/>
              </w:rPr>
              <w:t>studija</w:t>
            </w:r>
            <w:r w:rsidR="00407B5F" w:rsidRPr="00930653">
              <w:rPr>
                <w:sz w:val="22"/>
                <w:szCs w:val="22"/>
                <w:lang w:val="sr-Latn-ME"/>
              </w:rPr>
              <w:t xml:space="preserve"> </w:t>
            </w:r>
            <w:r w:rsidR="00407B5F">
              <w:rPr>
                <w:sz w:val="22"/>
                <w:szCs w:val="22"/>
                <w:lang w:val="sr-Latn-ME"/>
              </w:rPr>
              <w:t xml:space="preserve">bezbednosne </w:t>
            </w:r>
            <w:r w:rsidR="00407B5F" w:rsidRPr="00930653">
              <w:rPr>
                <w:sz w:val="22"/>
                <w:szCs w:val="22"/>
                <w:lang w:val="sr-Latn-ME"/>
              </w:rPr>
              <w:t>farmakolo</w:t>
            </w:r>
            <w:r w:rsidR="00407B5F">
              <w:rPr>
                <w:sz w:val="22"/>
                <w:szCs w:val="22"/>
                <w:lang w:val="sr-Latn-ME"/>
              </w:rPr>
              <w:t>gije</w:t>
            </w:r>
            <w:r w:rsidRPr="00930653">
              <w:rPr>
                <w:sz w:val="22"/>
                <w:szCs w:val="22"/>
                <w:lang w:val="sr-Latn-ME"/>
              </w:rPr>
              <w:t>, toksičnosti ponovljenih doza, genotoksičnosti</w:t>
            </w:r>
            <w:r w:rsidR="009B47E1" w:rsidRPr="00930653">
              <w:rPr>
                <w:sz w:val="22"/>
                <w:szCs w:val="22"/>
                <w:lang w:val="sr-Latn-ME"/>
              </w:rPr>
              <w:t xml:space="preserve">, </w:t>
            </w:r>
            <w:r w:rsidR="00406B9C" w:rsidRPr="00930653">
              <w:rPr>
                <w:sz w:val="22"/>
                <w:szCs w:val="22"/>
                <w:lang w:val="sr-Latn-ME"/>
              </w:rPr>
              <w:t xml:space="preserve">karcinogenog </w:t>
            </w:r>
            <w:r w:rsidR="009B47E1" w:rsidRPr="00930653">
              <w:rPr>
                <w:sz w:val="22"/>
                <w:szCs w:val="22"/>
                <w:lang w:val="sr-Latn-ME"/>
              </w:rPr>
              <w:t>potencijala</w:t>
            </w:r>
            <w:r w:rsidRPr="00930653">
              <w:rPr>
                <w:sz w:val="22"/>
                <w:szCs w:val="22"/>
                <w:lang w:val="sr-Latn-ME"/>
              </w:rPr>
              <w:t xml:space="preserve"> i reproduktivne</w:t>
            </w:r>
            <w:r w:rsidR="009B47E1" w:rsidRPr="00930653">
              <w:rPr>
                <w:sz w:val="22"/>
                <w:szCs w:val="22"/>
                <w:lang w:val="sr-Latn-ME"/>
              </w:rPr>
              <w:t xml:space="preserve"> i razvojne</w:t>
            </w:r>
            <w:r w:rsidRPr="00930653">
              <w:rPr>
                <w:sz w:val="22"/>
                <w:szCs w:val="22"/>
                <w:lang w:val="sr-Latn-ME"/>
              </w:rPr>
              <w:t xml:space="preserve"> toksičnosti</w:t>
            </w:r>
            <w:r w:rsidR="00407B5F">
              <w:rPr>
                <w:sz w:val="22"/>
                <w:szCs w:val="22"/>
                <w:lang w:val="sr-Latn-ME"/>
              </w:rPr>
              <w:t>, nijesu</w:t>
            </w:r>
            <w:r w:rsidRPr="00930653">
              <w:rPr>
                <w:sz w:val="22"/>
                <w:szCs w:val="22"/>
                <w:lang w:val="sr-Latn-ME"/>
              </w:rPr>
              <w:t xml:space="preserve"> pokaz</w:t>
            </w:r>
            <w:r w:rsidR="00407B5F">
              <w:rPr>
                <w:sz w:val="22"/>
                <w:szCs w:val="22"/>
                <w:lang w:val="sr-Latn-ME"/>
              </w:rPr>
              <w:t>ale</w:t>
            </w:r>
            <w:r w:rsidRPr="00930653">
              <w:rPr>
                <w:sz w:val="22"/>
                <w:szCs w:val="22"/>
                <w:lang w:val="sr-Latn-ME"/>
              </w:rPr>
              <w:t xml:space="preserve"> da </w:t>
            </w:r>
            <w:r w:rsidR="009B47E1" w:rsidRPr="00930653">
              <w:rPr>
                <w:sz w:val="22"/>
                <w:szCs w:val="22"/>
                <w:lang w:val="sr-Latn-ME"/>
              </w:rPr>
              <w:t xml:space="preserve">postoji </w:t>
            </w:r>
            <w:r w:rsidRPr="00930653">
              <w:rPr>
                <w:sz w:val="22"/>
                <w:szCs w:val="22"/>
                <w:lang w:val="sr-Latn-ME"/>
              </w:rPr>
              <w:t>poseban rizik</w:t>
            </w:r>
            <w:r w:rsidR="00407B5F">
              <w:rPr>
                <w:sz w:val="22"/>
                <w:szCs w:val="22"/>
                <w:lang w:val="sr-Latn-ME"/>
              </w:rPr>
              <w:t xml:space="preserve"> pri primjeni lijeka</w:t>
            </w:r>
            <w:r w:rsidRPr="00930653">
              <w:rPr>
                <w:sz w:val="22"/>
                <w:szCs w:val="22"/>
                <w:lang w:val="sr-Latn-ME"/>
              </w:rPr>
              <w:t xml:space="preserve"> </w:t>
            </w:r>
            <w:r w:rsidR="00407B5F">
              <w:rPr>
                <w:sz w:val="22"/>
                <w:szCs w:val="22"/>
                <w:lang w:val="sr-Latn-ME"/>
              </w:rPr>
              <w:t>kod</w:t>
            </w:r>
            <w:r w:rsidR="00407B5F" w:rsidRPr="00930653">
              <w:rPr>
                <w:sz w:val="22"/>
                <w:szCs w:val="22"/>
                <w:lang w:val="sr-Latn-ME"/>
              </w:rPr>
              <w:t xml:space="preserve"> </w:t>
            </w:r>
            <w:r w:rsidRPr="00930653">
              <w:rPr>
                <w:sz w:val="22"/>
                <w:szCs w:val="22"/>
                <w:lang w:val="sr-Latn-ME"/>
              </w:rPr>
              <w:t>ljud</w:t>
            </w:r>
            <w:r w:rsidR="00407B5F">
              <w:rPr>
                <w:sz w:val="22"/>
                <w:szCs w:val="22"/>
                <w:lang w:val="sr-Latn-ME"/>
              </w:rPr>
              <w:t>i</w:t>
            </w:r>
            <w:r w:rsidRPr="00930653">
              <w:rPr>
                <w:sz w:val="22"/>
                <w:szCs w:val="22"/>
                <w:lang w:val="sr-Latn-ME"/>
              </w:rPr>
              <w:t xml:space="preserve">. U ispitivanjima koja su sprovedena sa loratadinom i desloratadinom dokazano je da lijek nema </w:t>
            </w:r>
            <w:r w:rsidR="00406B9C" w:rsidRPr="00930653">
              <w:rPr>
                <w:sz w:val="22"/>
                <w:szCs w:val="22"/>
                <w:lang w:val="sr-Latn-ME"/>
              </w:rPr>
              <w:t xml:space="preserve">karcinogeni </w:t>
            </w:r>
            <w:r w:rsidRPr="00930653">
              <w:rPr>
                <w:sz w:val="22"/>
                <w:szCs w:val="22"/>
                <w:lang w:val="sr-Latn-ME"/>
              </w:rPr>
              <w:t>potencijal.</w:t>
            </w:r>
          </w:p>
          <w:p w14:paraId="5E2B4A34" w14:textId="77777777" w:rsidR="00BA2ABD" w:rsidRPr="00930653" w:rsidRDefault="00BA2ABD" w:rsidP="00287B29">
            <w:pPr>
              <w:jc w:val="both"/>
              <w:rPr>
                <w:sz w:val="22"/>
                <w:szCs w:val="22"/>
                <w:lang w:val="sr-Latn-ME"/>
              </w:rPr>
            </w:pPr>
          </w:p>
          <w:p w14:paraId="3DCAA587" w14:textId="77777777" w:rsidR="00F04CB1" w:rsidRPr="00930653" w:rsidRDefault="00F04CB1" w:rsidP="00406B9C">
            <w:pPr>
              <w:jc w:val="both"/>
              <w:rPr>
                <w:sz w:val="22"/>
                <w:szCs w:val="22"/>
                <w:lang w:val="sr-Latn-ME"/>
              </w:rPr>
            </w:pPr>
          </w:p>
        </w:tc>
      </w:tr>
      <w:tr w:rsidR="002102CB" w:rsidRPr="00930653" w14:paraId="6009B896" w14:textId="77777777" w:rsidTr="007F2243">
        <w:tc>
          <w:tcPr>
            <w:tcW w:w="9810" w:type="dxa"/>
            <w:gridSpan w:val="3"/>
            <w:shd w:val="clear" w:color="auto" w:fill="auto"/>
            <w:vAlign w:val="center"/>
          </w:tcPr>
          <w:p w14:paraId="16E165C3" w14:textId="77777777" w:rsidR="002102CB" w:rsidRPr="00930653" w:rsidRDefault="002102CB" w:rsidP="00007378">
            <w:pPr>
              <w:pStyle w:val="Header"/>
              <w:tabs>
                <w:tab w:val="left" w:pos="284"/>
              </w:tabs>
              <w:jc w:val="both"/>
              <w:rPr>
                <w:b/>
                <w:bCs/>
                <w:sz w:val="22"/>
                <w:szCs w:val="22"/>
                <w:lang w:val="sr-Latn-ME"/>
              </w:rPr>
            </w:pPr>
            <w:r w:rsidRPr="00930653">
              <w:rPr>
                <w:b/>
                <w:bCs/>
                <w:sz w:val="22"/>
                <w:szCs w:val="22"/>
                <w:lang w:val="sr-Latn-ME"/>
              </w:rPr>
              <w:t>6. FARMACEUTSKI PODACI</w:t>
            </w:r>
          </w:p>
        </w:tc>
      </w:tr>
      <w:tr w:rsidR="002102CB" w:rsidRPr="00930653" w14:paraId="17136EAD" w14:textId="77777777" w:rsidTr="007F2243">
        <w:tc>
          <w:tcPr>
            <w:tcW w:w="9810" w:type="dxa"/>
            <w:gridSpan w:val="3"/>
            <w:vAlign w:val="center"/>
          </w:tcPr>
          <w:p w14:paraId="22F64BCE" w14:textId="77777777" w:rsidR="00C93CED" w:rsidRDefault="00C93CED" w:rsidP="006F029D">
            <w:pPr>
              <w:pStyle w:val="Header"/>
              <w:tabs>
                <w:tab w:val="left" w:pos="284"/>
              </w:tabs>
              <w:jc w:val="both"/>
              <w:rPr>
                <w:b/>
                <w:bCs/>
                <w:sz w:val="22"/>
                <w:szCs w:val="22"/>
                <w:lang w:val="sr-Latn-ME"/>
              </w:rPr>
            </w:pPr>
          </w:p>
          <w:p w14:paraId="6FFB4F05" w14:textId="27FCA944" w:rsidR="002102CB" w:rsidRPr="00930653" w:rsidRDefault="002102CB" w:rsidP="006F029D">
            <w:pPr>
              <w:pStyle w:val="Header"/>
              <w:tabs>
                <w:tab w:val="left" w:pos="284"/>
              </w:tabs>
              <w:jc w:val="both"/>
              <w:rPr>
                <w:b/>
                <w:bCs/>
                <w:sz w:val="22"/>
                <w:szCs w:val="22"/>
                <w:lang w:val="sr-Latn-ME"/>
              </w:rPr>
            </w:pPr>
            <w:r w:rsidRPr="00930653">
              <w:rPr>
                <w:b/>
                <w:bCs/>
                <w:sz w:val="22"/>
                <w:szCs w:val="22"/>
                <w:lang w:val="sr-Latn-ME"/>
              </w:rPr>
              <w:t>6.1. Lista pomoćnih supstanci</w:t>
            </w:r>
            <w:r w:rsidR="0019381F" w:rsidRPr="00930653">
              <w:rPr>
                <w:b/>
                <w:bCs/>
                <w:sz w:val="22"/>
                <w:szCs w:val="22"/>
                <w:lang w:val="sr-Latn-ME"/>
              </w:rPr>
              <w:t xml:space="preserve"> (ekscipijenasa)</w:t>
            </w:r>
          </w:p>
        </w:tc>
      </w:tr>
      <w:tr w:rsidR="002102CB" w:rsidRPr="00930653" w14:paraId="2B5A5198" w14:textId="77777777" w:rsidTr="007F2243">
        <w:trPr>
          <w:trHeight w:val="779"/>
        </w:trPr>
        <w:tc>
          <w:tcPr>
            <w:tcW w:w="9810" w:type="dxa"/>
            <w:gridSpan w:val="3"/>
            <w:vAlign w:val="center"/>
          </w:tcPr>
          <w:p w14:paraId="5F89A010" w14:textId="77777777" w:rsidR="002102CB" w:rsidRPr="00930653" w:rsidRDefault="002102CB" w:rsidP="00007378">
            <w:pPr>
              <w:jc w:val="both"/>
              <w:rPr>
                <w:sz w:val="22"/>
                <w:szCs w:val="22"/>
                <w:lang w:val="sr-Latn-ME"/>
              </w:rPr>
            </w:pPr>
          </w:p>
          <w:p w14:paraId="3DCE6F03" w14:textId="77777777" w:rsidR="002102CB" w:rsidRPr="00930653" w:rsidRDefault="002102CB" w:rsidP="004E0BA7">
            <w:pPr>
              <w:jc w:val="both"/>
              <w:rPr>
                <w:sz w:val="22"/>
                <w:szCs w:val="22"/>
                <w:lang w:val="sr-Latn-ME"/>
              </w:rPr>
            </w:pPr>
            <w:r w:rsidRPr="00930653">
              <w:rPr>
                <w:sz w:val="22"/>
                <w:szCs w:val="22"/>
                <w:lang w:val="sr-Latn-ME"/>
              </w:rPr>
              <w:t>Sorbitol</w:t>
            </w:r>
            <w:r w:rsidR="00E67508" w:rsidRPr="00930653">
              <w:rPr>
                <w:sz w:val="22"/>
                <w:szCs w:val="22"/>
                <w:lang w:val="sr-Latn-ME"/>
              </w:rPr>
              <w:t xml:space="preserve"> (E420)</w:t>
            </w:r>
          </w:p>
          <w:p w14:paraId="3385A0D4" w14:textId="77777777" w:rsidR="002102CB" w:rsidRPr="00930653" w:rsidRDefault="002102CB" w:rsidP="004E0BA7">
            <w:pPr>
              <w:jc w:val="both"/>
              <w:rPr>
                <w:sz w:val="22"/>
                <w:szCs w:val="22"/>
                <w:lang w:val="sr-Latn-ME"/>
              </w:rPr>
            </w:pPr>
            <w:r w:rsidRPr="00930653">
              <w:rPr>
                <w:sz w:val="22"/>
                <w:szCs w:val="22"/>
                <w:lang w:val="sr-Latn-ME"/>
              </w:rPr>
              <w:t>Propilen</w:t>
            </w:r>
            <w:r w:rsidR="00DE1E1E">
              <w:rPr>
                <w:sz w:val="22"/>
                <w:szCs w:val="22"/>
                <w:lang w:val="sr-Latn-ME"/>
              </w:rPr>
              <w:t xml:space="preserve"> </w:t>
            </w:r>
            <w:r w:rsidRPr="00930653">
              <w:rPr>
                <w:sz w:val="22"/>
                <w:szCs w:val="22"/>
                <w:lang w:val="sr-Latn-ME"/>
              </w:rPr>
              <w:t>glikol</w:t>
            </w:r>
            <w:r w:rsidR="00E67508" w:rsidRPr="00930653">
              <w:rPr>
                <w:sz w:val="22"/>
                <w:szCs w:val="22"/>
                <w:lang w:val="sr-Latn-ME"/>
              </w:rPr>
              <w:t xml:space="preserve"> (E1520)</w:t>
            </w:r>
          </w:p>
          <w:p w14:paraId="2877BD95" w14:textId="77777777" w:rsidR="002102CB" w:rsidRPr="00930653" w:rsidRDefault="002102CB" w:rsidP="00F72506">
            <w:pPr>
              <w:jc w:val="both"/>
              <w:rPr>
                <w:sz w:val="22"/>
                <w:szCs w:val="22"/>
                <w:lang w:val="sr-Latn-ME"/>
              </w:rPr>
            </w:pPr>
            <w:r w:rsidRPr="00930653">
              <w:rPr>
                <w:sz w:val="22"/>
                <w:szCs w:val="22"/>
                <w:lang w:val="sr-Latn-ME"/>
              </w:rPr>
              <w:t xml:space="preserve">Sukraloza </w:t>
            </w:r>
            <w:r w:rsidR="00E67508" w:rsidRPr="00930653">
              <w:rPr>
                <w:sz w:val="22"/>
                <w:szCs w:val="22"/>
                <w:lang w:val="sr-Latn-ME"/>
              </w:rPr>
              <w:t>(</w:t>
            </w:r>
            <w:r w:rsidRPr="00930653">
              <w:rPr>
                <w:sz w:val="22"/>
                <w:szCs w:val="22"/>
                <w:lang w:val="sr-Latn-ME"/>
              </w:rPr>
              <w:t>E955</w:t>
            </w:r>
            <w:r w:rsidR="00E67508" w:rsidRPr="00930653">
              <w:rPr>
                <w:sz w:val="22"/>
                <w:szCs w:val="22"/>
                <w:lang w:val="sr-Latn-ME"/>
              </w:rPr>
              <w:t>)</w:t>
            </w:r>
          </w:p>
          <w:p w14:paraId="14B0CB6F" w14:textId="77777777" w:rsidR="002102CB" w:rsidRPr="00930653" w:rsidRDefault="002102CB" w:rsidP="00287B29">
            <w:pPr>
              <w:jc w:val="both"/>
              <w:rPr>
                <w:sz w:val="22"/>
                <w:szCs w:val="22"/>
                <w:lang w:val="sr-Latn-ME"/>
              </w:rPr>
            </w:pPr>
            <w:r w:rsidRPr="00930653">
              <w:rPr>
                <w:sz w:val="22"/>
                <w:szCs w:val="22"/>
                <w:lang w:val="sr-Latn-ME"/>
              </w:rPr>
              <w:t>Hipromeloza 2910</w:t>
            </w:r>
          </w:p>
          <w:p w14:paraId="5D790DAE" w14:textId="77777777" w:rsidR="002102CB" w:rsidRPr="00930653" w:rsidRDefault="002102CB" w:rsidP="00406B9C">
            <w:pPr>
              <w:jc w:val="both"/>
              <w:rPr>
                <w:sz w:val="22"/>
                <w:szCs w:val="22"/>
                <w:lang w:val="sr-Latn-ME"/>
              </w:rPr>
            </w:pPr>
            <w:r w:rsidRPr="00930653">
              <w:rPr>
                <w:sz w:val="22"/>
                <w:szCs w:val="22"/>
                <w:lang w:val="sr-Latn-ME"/>
              </w:rPr>
              <w:t>Natrijum</w:t>
            </w:r>
            <w:r w:rsidR="00DE1E1E">
              <w:rPr>
                <w:sz w:val="22"/>
                <w:szCs w:val="22"/>
                <w:lang w:val="sr-Latn-ME"/>
              </w:rPr>
              <w:t xml:space="preserve"> </w:t>
            </w:r>
            <w:r w:rsidRPr="00930653">
              <w:rPr>
                <w:sz w:val="22"/>
                <w:szCs w:val="22"/>
                <w:lang w:val="sr-Latn-ME"/>
              </w:rPr>
              <w:t>citrat, dihidrat</w:t>
            </w:r>
          </w:p>
          <w:p w14:paraId="080EBA6F" w14:textId="77777777" w:rsidR="002102CB" w:rsidRPr="00930653" w:rsidRDefault="002102CB" w:rsidP="00406B9C">
            <w:pPr>
              <w:jc w:val="both"/>
              <w:rPr>
                <w:sz w:val="22"/>
                <w:szCs w:val="22"/>
                <w:lang w:val="sr-Latn-ME"/>
              </w:rPr>
            </w:pPr>
            <w:r w:rsidRPr="00930653">
              <w:rPr>
                <w:sz w:val="22"/>
                <w:szCs w:val="22"/>
                <w:lang w:val="sr-Latn-ME"/>
              </w:rPr>
              <w:t xml:space="preserve">Prirodna i vještačka aroma </w:t>
            </w:r>
            <w:r w:rsidR="00E67508" w:rsidRPr="00930653">
              <w:rPr>
                <w:sz w:val="22"/>
                <w:szCs w:val="22"/>
                <w:lang w:val="sr-Latn-ME"/>
              </w:rPr>
              <w:t>(</w:t>
            </w:r>
            <w:r w:rsidRPr="00930653">
              <w:rPr>
                <w:sz w:val="22"/>
                <w:szCs w:val="22"/>
                <w:lang w:val="sr-Latn-ME"/>
              </w:rPr>
              <w:t>gum</w:t>
            </w:r>
            <w:r w:rsidR="00E67508" w:rsidRPr="00930653">
              <w:rPr>
                <w:sz w:val="22"/>
                <w:szCs w:val="22"/>
                <w:lang w:val="sr-Latn-ME"/>
              </w:rPr>
              <w:t>a</w:t>
            </w:r>
            <w:r w:rsidRPr="00930653">
              <w:rPr>
                <w:sz w:val="22"/>
                <w:szCs w:val="22"/>
                <w:lang w:val="sr-Latn-ME"/>
              </w:rPr>
              <w:t xml:space="preserve"> za žvakanje </w:t>
            </w:r>
            <w:r w:rsidR="00E67508" w:rsidRPr="00930653">
              <w:rPr>
                <w:sz w:val="22"/>
                <w:szCs w:val="22"/>
                <w:lang w:val="sr-Latn-ME"/>
              </w:rPr>
              <w:t>koja sadrži propilen</w:t>
            </w:r>
            <w:r w:rsidR="00222B65">
              <w:rPr>
                <w:sz w:val="22"/>
                <w:szCs w:val="22"/>
                <w:lang w:val="sr-Latn-ME"/>
              </w:rPr>
              <w:t xml:space="preserve"> </w:t>
            </w:r>
            <w:r w:rsidR="00E67508" w:rsidRPr="00930653">
              <w:rPr>
                <w:sz w:val="22"/>
                <w:szCs w:val="22"/>
                <w:lang w:val="sr-Latn-ME"/>
              </w:rPr>
              <w:t>glikol i benzil</w:t>
            </w:r>
            <w:r w:rsidR="00A865B5">
              <w:rPr>
                <w:sz w:val="22"/>
                <w:szCs w:val="22"/>
                <w:lang w:val="sr-Latn-ME"/>
              </w:rPr>
              <w:t xml:space="preserve"> </w:t>
            </w:r>
            <w:r w:rsidR="00E67508" w:rsidRPr="00930653">
              <w:rPr>
                <w:sz w:val="22"/>
                <w:szCs w:val="22"/>
                <w:lang w:val="sr-Latn-ME"/>
              </w:rPr>
              <w:t>alkohol</w:t>
            </w:r>
            <w:r w:rsidR="00DE1E1E">
              <w:rPr>
                <w:sz w:val="22"/>
                <w:szCs w:val="22"/>
                <w:lang w:val="sr-Latn-ME"/>
              </w:rPr>
              <w:t>)</w:t>
            </w:r>
          </w:p>
          <w:p w14:paraId="3812EF38" w14:textId="098971EF" w:rsidR="002102CB" w:rsidRPr="00930653" w:rsidRDefault="002102CB" w:rsidP="000C656C">
            <w:pPr>
              <w:jc w:val="both"/>
              <w:rPr>
                <w:sz w:val="22"/>
                <w:szCs w:val="22"/>
                <w:lang w:val="sr-Latn-ME"/>
              </w:rPr>
            </w:pPr>
            <w:r w:rsidRPr="00930653">
              <w:rPr>
                <w:sz w:val="22"/>
                <w:szCs w:val="22"/>
                <w:lang w:val="sr-Latn-ME"/>
              </w:rPr>
              <w:t xml:space="preserve">Limunska kiselina, </w:t>
            </w:r>
            <w:r w:rsidR="00407B5F">
              <w:rPr>
                <w:sz w:val="22"/>
                <w:szCs w:val="22"/>
                <w:lang w:val="sr-Latn-ME"/>
              </w:rPr>
              <w:t>bezvodna</w:t>
            </w:r>
          </w:p>
          <w:p w14:paraId="49700857" w14:textId="77777777" w:rsidR="002102CB" w:rsidRPr="00930653" w:rsidRDefault="002102CB" w:rsidP="00AF04BB">
            <w:pPr>
              <w:jc w:val="both"/>
              <w:rPr>
                <w:sz w:val="22"/>
                <w:szCs w:val="22"/>
                <w:lang w:val="sr-Latn-ME"/>
              </w:rPr>
            </w:pPr>
            <w:r w:rsidRPr="00930653">
              <w:rPr>
                <w:sz w:val="22"/>
                <w:szCs w:val="22"/>
                <w:lang w:val="sr-Latn-ME"/>
              </w:rPr>
              <w:t>Dinatrijum</w:t>
            </w:r>
            <w:r w:rsidR="00DE1E1E">
              <w:rPr>
                <w:sz w:val="22"/>
                <w:szCs w:val="22"/>
                <w:lang w:val="sr-Latn-ME"/>
              </w:rPr>
              <w:t xml:space="preserve"> </w:t>
            </w:r>
            <w:r w:rsidRPr="00930653">
              <w:rPr>
                <w:sz w:val="22"/>
                <w:szCs w:val="22"/>
                <w:lang w:val="sr-Latn-ME"/>
              </w:rPr>
              <w:t>edetat</w:t>
            </w:r>
          </w:p>
          <w:p w14:paraId="69FCD901" w14:textId="77777777" w:rsidR="002102CB" w:rsidRPr="00930653" w:rsidRDefault="002102CB" w:rsidP="008C62CF">
            <w:pPr>
              <w:jc w:val="both"/>
              <w:rPr>
                <w:sz w:val="22"/>
                <w:szCs w:val="22"/>
                <w:lang w:val="sr-Latn-ME"/>
              </w:rPr>
            </w:pPr>
            <w:r w:rsidRPr="00930653">
              <w:rPr>
                <w:sz w:val="22"/>
                <w:szCs w:val="22"/>
                <w:lang w:val="sr-Latn-ME"/>
              </w:rPr>
              <w:t xml:space="preserve">Voda, prečišćena. </w:t>
            </w:r>
          </w:p>
          <w:p w14:paraId="241DEEAE" w14:textId="77777777" w:rsidR="002102CB" w:rsidRPr="00930653" w:rsidRDefault="002102CB" w:rsidP="008C62CF">
            <w:pPr>
              <w:jc w:val="both"/>
              <w:rPr>
                <w:sz w:val="22"/>
                <w:szCs w:val="22"/>
                <w:lang w:val="sr-Latn-ME"/>
              </w:rPr>
            </w:pPr>
          </w:p>
        </w:tc>
      </w:tr>
      <w:tr w:rsidR="002102CB" w:rsidRPr="00930653" w14:paraId="64898A8E" w14:textId="77777777" w:rsidTr="007F2243">
        <w:tc>
          <w:tcPr>
            <w:tcW w:w="9810" w:type="dxa"/>
            <w:gridSpan w:val="3"/>
            <w:vAlign w:val="center"/>
          </w:tcPr>
          <w:p w14:paraId="42F8F987" w14:textId="77777777" w:rsidR="002102CB" w:rsidRPr="00930653" w:rsidRDefault="002102CB" w:rsidP="006F029D">
            <w:pPr>
              <w:pStyle w:val="Header"/>
              <w:tabs>
                <w:tab w:val="left" w:pos="284"/>
              </w:tabs>
              <w:jc w:val="both"/>
              <w:rPr>
                <w:b/>
                <w:bCs/>
                <w:sz w:val="22"/>
                <w:szCs w:val="22"/>
                <w:lang w:val="sr-Latn-ME"/>
              </w:rPr>
            </w:pPr>
            <w:r w:rsidRPr="00930653">
              <w:rPr>
                <w:b/>
                <w:bCs/>
                <w:sz w:val="22"/>
                <w:szCs w:val="22"/>
                <w:lang w:val="sr-Latn-ME"/>
              </w:rPr>
              <w:t>6.2. Inkompatibilnost</w:t>
            </w:r>
          </w:p>
        </w:tc>
      </w:tr>
      <w:tr w:rsidR="002102CB" w:rsidRPr="00930653" w14:paraId="7AB56255" w14:textId="77777777" w:rsidTr="007F2243">
        <w:trPr>
          <w:trHeight w:val="833"/>
        </w:trPr>
        <w:tc>
          <w:tcPr>
            <w:tcW w:w="9810" w:type="dxa"/>
            <w:gridSpan w:val="3"/>
            <w:vAlign w:val="center"/>
          </w:tcPr>
          <w:p w14:paraId="0B95539D" w14:textId="77777777" w:rsidR="002102CB" w:rsidRPr="00930653" w:rsidRDefault="002102CB" w:rsidP="00007378">
            <w:pPr>
              <w:pStyle w:val="Header"/>
              <w:tabs>
                <w:tab w:val="left" w:pos="284"/>
              </w:tabs>
              <w:jc w:val="both"/>
              <w:rPr>
                <w:sz w:val="22"/>
                <w:szCs w:val="22"/>
                <w:lang w:val="sr-Latn-ME"/>
              </w:rPr>
            </w:pPr>
            <w:r w:rsidRPr="00930653">
              <w:rPr>
                <w:sz w:val="22"/>
                <w:szCs w:val="22"/>
                <w:lang w:val="sr-Latn-ME"/>
              </w:rPr>
              <w:t>Nije primjenjivo.</w:t>
            </w:r>
          </w:p>
        </w:tc>
      </w:tr>
      <w:tr w:rsidR="002102CB" w:rsidRPr="00930653" w14:paraId="23FF609B" w14:textId="77777777" w:rsidTr="007F2243">
        <w:tc>
          <w:tcPr>
            <w:tcW w:w="9810" w:type="dxa"/>
            <w:gridSpan w:val="3"/>
            <w:vAlign w:val="center"/>
          </w:tcPr>
          <w:p w14:paraId="1B8A4ED7" w14:textId="77777777" w:rsidR="002102CB" w:rsidRPr="00930653" w:rsidRDefault="002102CB" w:rsidP="006F029D">
            <w:pPr>
              <w:pStyle w:val="Header"/>
              <w:tabs>
                <w:tab w:val="left" w:pos="284"/>
              </w:tabs>
              <w:jc w:val="both"/>
              <w:rPr>
                <w:b/>
                <w:bCs/>
                <w:sz w:val="22"/>
                <w:szCs w:val="22"/>
                <w:lang w:val="sr-Latn-ME"/>
              </w:rPr>
            </w:pPr>
            <w:r w:rsidRPr="00930653">
              <w:rPr>
                <w:b/>
                <w:bCs/>
                <w:sz w:val="22"/>
                <w:szCs w:val="22"/>
                <w:lang w:val="sr-Latn-ME"/>
              </w:rPr>
              <w:t>6.3. Rok upotrebe</w:t>
            </w:r>
          </w:p>
        </w:tc>
      </w:tr>
      <w:tr w:rsidR="002102CB" w:rsidRPr="00930653" w14:paraId="549E9F74" w14:textId="77777777" w:rsidTr="007F2243">
        <w:trPr>
          <w:trHeight w:val="851"/>
        </w:trPr>
        <w:tc>
          <w:tcPr>
            <w:tcW w:w="9810" w:type="dxa"/>
            <w:gridSpan w:val="3"/>
            <w:vAlign w:val="center"/>
          </w:tcPr>
          <w:p w14:paraId="39B44A99" w14:textId="0BB9DA83" w:rsidR="002102CB" w:rsidRPr="00930653" w:rsidRDefault="002102CB" w:rsidP="004E0BA7">
            <w:pPr>
              <w:pStyle w:val="Header"/>
              <w:tabs>
                <w:tab w:val="left" w:pos="284"/>
              </w:tabs>
              <w:jc w:val="both"/>
              <w:rPr>
                <w:sz w:val="22"/>
                <w:szCs w:val="22"/>
                <w:lang w:val="sr-Latn-ME"/>
              </w:rPr>
            </w:pPr>
            <w:r w:rsidRPr="00930653">
              <w:rPr>
                <w:sz w:val="22"/>
                <w:szCs w:val="22"/>
                <w:lang w:val="sr-Latn-ME"/>
              </w:rPr>
              <w:t>2 godine.</w:t>
            </w:r>
          </w:p>
        </w:tc>
      </w:tr>
      <w:tr w:rsidR="002102CB" w:rsidRPr="00930653" w14:paraId="227B4B37" w14:textId="77777777" w:rsidTr="006F029D">
        <w:trPr>
          <w:trHeight w:val="60"/>
        </w:trPr>
        <w:tc>
          <w:tcPr>
            <w:tcW w:w="9810" w:type="dxa"/>
            <w:gridSpan w:val="3"/>
            <w:vAlign w:val="center"/>
          </w:tcPr>
          <w:p w14:paraId="6458171B" w14:textId="77777777" w:rsidR="002102CB" w:rsidRPr="00930653" w:rsidRDefault="002102CB" w:rsidP="006F029D">
            <w:pPr>
              <w:pStyle w:val="Header"/>
              <w:tabs>
                <w:tab w:val="left" w:pos="284"/>
              </w:tabs>
              <w:jc w:val="both"/>
              <w:rPr>
                <w:b/>
                <w:bCs/>
                <w:sz w:val="22"/>
                <w:szCs w:val="22"/>
                <w:lang w:val="sr-Latn-ME"/>
              </w:rPr>
            </w:pPr>
            <w:r w:rsidRPr="00930653">
              <w:rPr>
                <w:b/>
                <w:bCs/>
                <w:sz w:val="22"/>
                <w:szCs w:val="22"/>
                <w:lang w:val="sr-Latn-ME"/>
              </w:rPr>
              <w:t>6.4. Posebne mjere upozorenja pri čuvanju</w:t>
            </w:r>
            <w:r w:rsidR="0019381F" w:rsidRPr="00930653">
              <w:rPr>
                <w:b/>
                <w:bCs/>
                <w:sz w:val="22"/>
                <w:szCs w:val="22"/>
                <w:lang w:val="sr-Latn-ME"/>
              </w:rPr>
              <w:t xml:space="preserve"> lijeka</w:t>
            </w:r>
          </w:p>
        </w:tc>
      </w:tr>
      <w:tr w:rsidR="002102CB" w:rsidRPr="00A731F9" w14:paraId="20A46447" w14:textId="77777777" w:rsidTr="007F2243">
        <w:trPr>
          <w:trHeight w:val="671"/>
        </w:trPr>
        <w:tc>
          <w:tcPr>
            <w:tcW w:w="9810" w:type="dxa"/>
            <w:gridSpan w:val="3"/>
            <w:vAlign w:val="center"/>
          </w:tcPr>
          <w:p w14:paraId="6F013FBD" w14:textId="77777777" w:rsidR="002102CB" w:rsidRPr="00930653" w:rsidRDefault="002102CB" w:rsidP="00007378">
            <w:pPr>
              <w:pStyle w:val="Header"/>
              <w:tabs>
                <w:tab w:val="left" w:pos="284"/>
              </w:tabs>
              <w:jc w:val="both"/>
              <w:rPr>
                <w:sz w:val="22"/>
                <w:szCs w:val="22"/>
                <w:lang w:val="sr-Latn-ME"/>
              </w:rPr>
            </w:pPr>
          </w:p>
          <w:p w14:paraId="2EF15B95" w14:textId="78E4957E" w:rsidR="002102CB" w:rsidRPr="00930653" w:rsidRDefault="002102CB" w:rsidP="004E0BA7">
            <w:pPr>
              <w:pStyle w:val="Header"/>
              <w:tabs>
                <w:tab w:val="left" w:pos="284"/>
              </w:tabs>
              <w:jc w:val="both"/>
              <w:rPr>
                <w:sz w:val="22"/>
                <w:szCs w:val="22"/>
                <w:lang w:val="sr-Latn-ME"/>
              </w:rPr>
            </w:pPr>
            <w:r w:rsidRPr="00930653">
              <w:rPr>
                <w:sz w:val="22"/>
                <w:szCs w:val="22"/>
                <w:lang w:val="sr-Latn-ME"/>
              </w:rPr>
              <w:t>Ne zamrzavati.</w:t>
            </w:r>
            <w:r w:rsidR="00407B5F">
              <w:rPr>
                <w:sz w:val="22"/>
                <w:szCs w:val="22"/>
                <w:lang w:val="sr-Latn-ME"/>
              </w:rPr>
              <w:t xml:space="preserve"> </w:t>
            </w:r>
            <w:r w:rsidRPr="00930653">
              <w:rPr>
                <w:sz w:val="22"/>
                <w:szCs w:val="22"/>
                <w:lang w:val="sr-Latn-ME"/>
              </w:rPr>
              <w:t>Čuvati u originalnom pakovanju.</w:t>
            </w:r>
          </w:p>
          <w:p w14:paraId="7C533EFD" w14:textId="77777777" w:rsidR="002102CB" w:rsidRPr="00930653" w:rsidRDefault="002102CB" w:rsidP="00F72506">
            <w:pPr>
              <w:pStyle w:val="Header"/>
              <w:tabs>
                <w:tab w:val="left" w:pos="284"/>
              </w:tabs>
              <w:jc w:val="both"/>
              <w:rPr>
                <w:sz w:val="22"/>
                <w:szCs w:val="22"/>
                <w:lang w:val="sr-Latn-ME"/>
              </w:rPr>
            </w:pPr>
          </w:p>
        </w:tc>
      </w:tr>
      <w:tr w:rsidR="002102CB" w:rsidRPr="00930653" w14:paraId="04E681CB" w14:textId="77777777" w:rsidTr="007F2243">
        <w:tc>
          <w:tcPr>
            <w:tcW w:w="9810" w:type="dxa"/>
            <w:gridSpan w:val="3"/>
            <w:vAlign w:val="center"/>
          </w:tcPr>
          <w:p w14:paraId="5DA7AEB7" w14:textId="77777777" w:rsidR="002102CB" w:rsidRPr="00930653" w:rsidRDefault="002102CB" w:rsidP="006F029D">
            <w:pPr>
              <w:pStyle w:val="Header"/>
              <w:tabs>
                <w:tab w:val="left" w:pos="284"/>
              </w:tabs>
              <w:jc w:val="both"/>
              <w:rPr>
                <w:b/>
                <w:bCs/>
                <w:sz w:val="22"/>
                <w:szCs w:val="22"/>
                <w:lang w:val="sr-Latn-ME"/>
              </w:rPr>
            </w:pPr>
            <w:r w:rsidRPr="00930653">
              <w:rPr>
                <w:b/>
                <w:bCs/>
                <w:sz w:val="22"/>
                <w:szCs w:val="22"/>
                <w:lang w:val="sr-Latn-ME"/>
              </w:rPr>
              <w:t xml:space="preserve">6.5. </w:t>
            </w:r>
            <w:r w:rsidR="0019381F" w:rsidRPr="00930653">
              <w:rPr>
                <w:b/>
                <w:bCs/>
                <w:sz w:val="22"/>
                <w:szCs w:val="22"/>
                <w:lang w:val="sr-Latn-ME"/>
              </w:rPr>
              <w:t>Vrsta i sadržaj pakovanja</w:t>
            </w:r>
          </w:p>
        </w:tc>
      </w:tr>
      <w:tr w:rsidR="002102CB" w:rsidRPr="00A731F9" w14:paraId="13ADFD86" w14:textId="77777777" w:rsidTr="007F2243">
        <w:trPr>
          <w:trHeight w:val="855"/>
        </w:trPr>
        <w:tc>
          <w:tcPr>
            <w:tcW w:w="9810" w:type="dxa"/>
            <w:gridSpan w:val="3"/>
            <w:vAlign w:val="center"/>
          </w:tcPr>
          <w:p w14:paraId="1A0DFE06" w14:textId="77777777" w:rsidR="002102CB" w:rsidRPr="00930653" w:rsidRDefault="002102CB" w:rsidP="00007378">
            <w:pPr>
              <w:pStyle w:val="Header"/>
              <w:tabs>
                <w:tab w:val="left" w:pos="284"/>
              </w:tabs>
              <w:jc w:val="both"/>
              <w:rPr>
                <w:sz w:val="22"/>
                <w:szCs w:val="22"/>
                <w:lang w:val="sr-Latn-ME"/>
              </w:rPr>
            </w:pPr>
          </w:p>
          <w:p w14:paraId="25D6E547" w14:textId="77777777" w:rsidR="005063D0" w:rsidRPr="005063D0" w:rsidRDefault="005063D0" w:rsidP="005063D0">
            <w:pPr>
              <w:jc w:val="both"/>
              <w:rPr>
                <w:sz w:val="22"/>
                <w:szCs w:val="22"/>
                <w:lang w:val="sr-Latn-ME"/>
              </w:rPr>
            </w:pPr>
            <w:r w:rsidRPr="005063D0">
              <w:rPr>
                <w:sz w:val="22"/>
                <w:szCs w:val="22"/>
                <w:lang w:val="sr-Latn-ME"/>
              </w:rPr>
              <w:t>Unutrašnje pakovanje je boca od tamnog stakla tipa III zatvorena sigurnosnim zatvaračem od polipropilena. Zatvarač je sa unutrašnje strane obložen slojem koji se sastoji od polietilena i u kontaktu je sa l</w:t>
            </w:r>
            <w:r>
              <w:rPr>
                <w:sz w:val="22"/>
                <w:szCs w:val="22"/>
                <w:lang w:val="sr-Latn-ME"/>
              </w:rPr>
              <w:t>ij</w:t>
            </w:r>
            <w:r w:rsidRPr="005063D0">
              <w:rPr>
                <w:sz w:val="22"/>
                <w:szCs w:val="22"/>
                <w:lang w:val="sr-Latn-ME"/>
              </w:rPr>
              <w:t>ekom.</w:t>
            </w:r>
          </w:p>
          <w:p w14:paraId="40269801" w14:textId="77777777" w:rsidR="005063D0" w:rsidRPr="005063D0" w:rsidRDefault="005063D0" w:rsidP="005063D0">
            <w:pPr>
              <w:jc w:val="both"/>
              <w:rPr>
                <w:sz w:val="22"/>
                <w:szCs w:val="22"/>
                <w:lang w:val="sr-Latn-ME"/>
              </w:rPr>
            </w:pPr>
          </w:p>
          <w:p w14:paraId="2130DC7D" w14:textId="56190884" w:rsidR="002102CB" w:rsidRDefault="005063D0" w:rsidP="00F72506">
            <w:pPr>
              <w:pStyle w:val="Header"/>
              <w:tabs>
                <w:tab w:val="left" w:pos="284"/>
              </w:tabs>
              <w:jc w:val="both"/>
              <w:rPr>
                <w:sz w:val="22"/>
                <w:szCs w:val="22"/>
                <w:lang w:val="sr-Latn-ME"/>
              </w:rPr>
            </w:pPr>
            <w:r w:rsidRPr="005063D0">
              <w:rPr>
                <w:sz w:val="22"/>
                <w:szCs w:val="22"/>
                <w:lang w:val="sr-Latn-ME"/>
              </w:rPr>
              <w:t>Spoljašnje pakovanje je složiva kartonska kutija u kojoj se nalazi jedna boca sa 60 m</w:t>
            </w:r>
            <w:r>
              <w:rPr>
                <w:sz w:val="22"/>
                <w:szCs w:val="22"/>
                <w:lang w:val="sr-Latn-ME"/>
              </w:rPr>
              <w:t>l</w:t>
            </w:r>
            <w:r w:rsidRPr="005063D0">
              <w:rPr>
                <w:sz w:val="22"/>
                <w:szCs w:val="22"/>
                <w:lang w:val="sr-Latn-ME"/>
              </w:rPr>
              <w:t xml:space="preserve"> oralnog rastvora, providna plastična kašika za doziranje (sa oznakom doze od 2,5 </w:t>
            </w:r>
            <w:r w:rsidR="00C93CED" w:rsidRPr="005063D0">
              <w:rPr>
                <w:sz w:val="22"/>
                <w:szCs w:val="22"/>
                <w:lang w:val="sr-Latn-ME"/>
              </w:rPr>
              <w:t>m</w:t>
            </w:r>
            <w:r w:rsidR="00C93CED">
              <w:rPr>
                <w:sz w:val="22"/>
                <w:szCs w:val="22"/>
                <w:lang w:val="sr-Latn-ME"/>
              </w:rPr>
              <w:t>l</w:t>
            </w:r>
            <w:r w:rsidR="00C93CED" w:rsidRPr="005063D0">
              <w:rPr>
                <w:sz w:val="22"/>
                <w:szCs w:val="22"/>
                <w:lang w:val="sr-Latn-ME"/>
              </w:rPr>
              <w:t xml:space="preserve"> </w:t>
            </w:r>
            <w:r w:rsidRPr="005063D0">
              <w:rPr>
                <w:sz w:val="22"/>
                <w:szCs w:val="22"/>
                <w:lang w:val="sr-Latn-ME"/>
              </w:rPr>
              <w:t xml:space="preserve">i 5 </w:t>
            </w:r>
            <w:r w:rsidR="00C93CED" w:rsidRPr="005063D0">
              <w:rPr>
                <w:sz w:val="22"/>
                <w:szCs w:val="22"/>
                <w:lang w:val="sr-Latn-ME"/>
              </w:rPr>
              <w:t>m</w:t>
            </w:r>
            <w:r w:rsidR="00C93CED">
              <w:rPr>
                <w:sz w:val="22"/>
                <w:szCs w:val="22"/>
                <w:lang w:val="sr-Latn-ME"/>
              </w:rPr>
              <w:t>l</w:t>
            </w:r>
            <w:r w:rsidRPr="005063D0">
              <w:rPr>
                <w:sz w:val="22"/>
                <w:szCs w:val="22"/>
                <w:lang w:val="sr-Latn-ME"/>
              </w:rPr>
              <w:t>) i Uputstvo za l</w:t>
            </w:r>
            <w:r>
              <w:rPr>
                <w:sz w:val="22"/>
                <w:szCs w:val="22"/>
                <w:lang w:val="sr-Latn-ME"/>
              </w:rPr>
              <w:t>ij</w:t>
            </w:r>
            <w:r w:rsidRPr="005063D0">
              <w:rPr>
                <w:sz w:val="22"/>
                <w:szCs w:val="22"/>
                <w:lang w:val="sr-Latn-ME"/>
              </w:rPr>
              <w:t>ek.</w:t>
            </w:r>
          </w:p>
          <w:p w14:paraId="72DC9787" w14:textId="5B2FDF3B" w:rsidR="001A7A7E" w:rsidRPr="00930653" w:rsidRDefault="001A7A7E" w:rsidP="00F72506">
            <w:pPr>
              <w:pStyle w:val="Header"/>
              <w:tabs>
                <w:tab w:val="left" w:pos="284"/>
              </w:tabs>
              <w:jc w:val="both"/>
              <w:rPr>
                <w:sz w:val="22"/>
                <w:szCs w:val="22"/>
                <w:lang w:val="sr-Latn-ME"/>
              </w:rPr>
            </w:pPr>
          </w:p>
        </w:tc>
      </w:tr>
      <w:tr w:rsidR="002102CB" w:rsidRPr="00A731F9" w14:paraId="7D2FE749" w14:textId="77777777" w:rsidTr="007F2243">
        <w:tc>
          <w:tcPr>
            <w:tcW w:w="9810" w:type="dxa"/>
            <w:gridSpan w:val="3"/>
            <w:vAlign w:val="center"/>
          </w:tcPr>
          <w:p w14:paraId="14E3AB50" w14:textId="77777777" w:rsidR="002102CB" w:rsidRPr="00930653" w:rsidRDefault="002102CB" w:rsidP="00007378">
            <w:pPr>
              <w:tabs>
                <w:tab w:val="left" w:pos="540"/>
                <w:tab w:val="left" w:pos="569"/>
              </w:tabs>
              <w:jc w:val="both"/>
              <w:rPr>
                <w:b/>
                <w:bCs/>
                <w:sz w:val="22"/>
                <w:szCs w:val="22"/>
                <w:lang w:val="sr-Latn-ME"/>
              </w:rPr>
            </w:pPr>
            <w:r w:rsidRPr="00930653">
              <w:rPr>
                <w:b/>
                <w:bCs/>
                <w:sz w:val="22"/>
                <w:szCs w:val="22"/>
                <w:lang w:val="sr-Latn-ME"/>
              </w:rPr>
              <w:t>6.6. Posebne mjere opreza pri odlaganju materijala koji treba odbaciti nakon primjene lijeka</w:t>
            </w:r>
            <w:r w:rsidR="0019381F" w:rsidRPr="00930653">
              <w:rPr>
                <w:b/>
                <w:bCs/>
                <w:sz w:val="22"/>
                <w:szCs w:val="22"/>
                <w:lang w:val="sr-Latn-ME"/>
              </w:rPr>
              <w:t xml:space="preserve"> (i druga uputstva za rukovanje lijekom) </w:t>
            </w:r>
          </w:p>
        </w:tc>
      </w:tr>
      <w:tr w:rsidR="002102CB" w:rsidRPr="00A731F9" w14:paraId="79B72D41" w14:textId="77777777" w:rsidTr="007F2243">
        <w:trPr>
          <w:trHeight w:val="1031"/>
        </w:trPr>
        <w:tc>
          <w:tcPr>
            <w:tcW w:w="9810" w:type="dxa"/>
            <w:gridSpan w:val="3"/>
            <w:vAlign w:val="center"/>
          </w:tcPr>
          <w:p w14:paraId="3E804972" w14:textId="77777777" w:rsidR="002102CB" w:rsidRPr="00930653" w:rsidRDefault="002102CB" w:rsidP="004E0BA7">
            <w:pPr>
              <w:jc w:val="both"/>
              <w:rPr>
                <w:sz w:val="22"/>
                <w:szCs w:val="22"/>
                <w:lang w:val="sr-Latn-ME"/>
              </w:rPr>
            </w:pPr>
          </w:p>
          <w:p w14:paraId="22C1994F" w14:textId="7CCE025D" w:rsidR="002102CB" w:rsidRPr="005A3774" w:rsidRDefault="00407B5F" w:rsidP="00287B29">
            <w:pPr>
              <w:jc w:val="both"/>
              <w:rPr>
                <w:sz w:val="22"/>
                <w:szCs w:val="22"/>
                <w:lang w:val="sr-Latn-ME"/>
              </w:rPr>
            </w:pPr>
            <w:r w:rsidRPr="005A3774">
              <w:rPr>
                <w:sz w:val="22"/>
                <w:szCs w:val="22"/>
                <w:lang w:val="sr-Latn-ME"/>
              </w:rPr>
              <w:t>Svu neiskorišćenu količinu lijeka ili otpadnog materijala nakon njegove upotrebe treba ukloniti u skladu sa važećim propisima.</w:t>
            </w:r>
          </w:p>
          <w:p w14:paraId="3D34623F" w14:textId="77777777" w:rsidR="002102CB" w:rsidRDefault="002102CB" w:rsidP="00406B9C">
            <w:pPr>
              <w:pStyle w:val="Header"/>
              <w:tabs>
                <w:tab w:val="left" w:pos="284"/>
              </w:tabs>
              <w:jc w:val="both"/>
              <w:rPr>
                <w:sz w:val="22"/>
                <w:szCs w:val="22"/>
                <w:lang w:val="sr-Latn-ME"/>
              </w:rPr>
            </w:pPr>
          </w:p>
          <w:p w14:paraId="7823350D" w14:textId="2B8C375B" w:rsidR="00C93CED" w:rsidRPr="00930653" w:rsidRDefault="00C93CED" w:rsidP="00406B9C">
            <w:pPr>
              <w:pStyle w:val="Header"/>
              <w:tabs>
                <w:tab w:val="left" w:pos="284"/>
              </w:tabs>
              <w:jc w:val="both"/>
              <w:rPr>
                <w:sz w:val="22"/>
                <w:szCs w:val="22"/>
                <w:lang w:val="sr-Latn-ME"/>
              </w:rPr>
            </w:pPr>
          </w:p>
        </w:tc>
      </w:tr>
      <w:tr w:rsidR="002102CB" w:rsidRPr="00930653" w14:paraId="30603A81" w14:textId="77777777" w:rsidTr="007F2243">
        <w:trPr>
          <w:trHeight w:val="356"/>
        </w:trPr>
        <w:tc>
          <w:tcPr>
            <w:tcW w:w="9810" w:type="dxa"/>
            <w:gridSpan w:val="3"/>
            <w:shd w:val="clear" w:color="auto" w:fill="auto"/>
            <w:vAlign w:val="center"/>
          </w:tcPr>
          <w:p w14:paraId="0350086F" w14:textId="77777777" w:rsidR="002102CB" w:rsidRPr="00930653" w:rsidRDefault="002102CB" w:rsidP="00007378">
            <w:pPr>
              <w:pStyle w:val="Header"/>
              <w:tabs>
                <w:tab w:val="left" w:pos="284"/>
              </w:tabs>
              <w:jc w:val="both"/>
              <w:rPr>
                <w:b/>
                <w:bCs/>
                <w:sz w:val="22"/>
                <w:szCs w:val="22"/>
                <w:lang w:val="sr-Latn-ME"/>
              </w:rPr>
            </w:pPr>
            <w:r w:rsidRPr="00930653">
              <w:rPr>
                <w:b/>
                <w:bCs/>
                <w:sz w:val="22"/>
                <w:szCs w:val="22"/>
                <w:lang w:val="sr-Latn-ME"/>
              </w:rPr>
              <w:t>7. NOSILAC DOZVOLE</w:t>
            </w:r>
          </w:p>
        </w:tc>
      </w:tr>
      <w:tr w:rsidR="002102CB" w:rsidRPr="00930653" w14:paraId="07DE4FA6" w14:textId="77777777" w:rsidTr="007F2243">
        <w:trPr>
          <w:trHeight w:val="896"/>
        </w:trPr>
        <w:tc>
          <w:tcPr>
            <w:tcW w:w="9810" w:type="dxa"/>
            <w:gridSpan w:val="3"/>
            <w:vAlign w:val="center"/>
          </w:tcPr>
          <w:p w14:paraId="7DD1E1B7" w14:textId="77777777" w:rsidR="002102CB" w:rsidRDefault="006224E0" w:rsidP="004E0BA7">
            <w:pPr>
              <w:jc w:val="both"/>
              <w:rPr>
                <w:sz w:val="22"/>
                <w:szCs w:val="22"/>
                <w:lang w:val="sr-Latn-ME"/>
              </w:rPr>
            </w:pPr>
            <w:r w:rsidRPr="001041ED">
              <w:rPr>
                <w:sz w:val="22"/>
                <w:szCs w:val="22"/>
                <w:lang w:val="sr-Latn-ME"/>
              </w:rPr>
              <w:lastRenderedPageBreak/>
              <w:t>Glosarij d.o.o., Vojislavljevića 76, 81 000 Podgorica, Crna Gora</w:t>
            </w:r>
          </w:p>
          <w:p w14:paraId="7528B923" w14:textId="77777777" w:rsidR="00C93CED" w:rsidRDefault="00C93CED" w:rsidP="004E0BA7">
            <w:pPr>
              <w:jc w:val="both"/>
              <w:rPr>
                <w:bCs/>
                <w:sz w:val="22"/>
                <w:szCs w:val="22"/>
                <w:lang w:val="sr-Latn-ME"/>
              </w:rPr>
            </w:pPr>
          </w:p>
          <w:p w14:paraId="76B138D6" w14:textId="31B12D6F" w:rsidR="00C93CED" w:rsidRPr="00930653" w:rsidRDefault="00C93CED" w:rsidP="004E0BA7">
            <w:pPr>
              <w:jc w:val="both"/>
              <w:rPr>
                <w:bCs/>
                <w:sz w:val="22"/>
                <w:szCs w:val="22"/>
                <w:lang w:val="sr-Latn-ME"/>
              </w:rPr>
            </w:pPr>
          </w:p>
        </w:tc>
      </w:tr>
      <w:tr w:rsidR="002102CB" w:rsidRPr="00930653" w14:paraId="4AB03642" w14:textId="77777777" w:rsidTr="007F2243">
        <w:tc>
          <w:tcPr>
            <w:tcW w:w="9810" w:type="dxa"/>
            <w:gridSpan w:val="3"/>
            <w:shd w:val="clear" w:color="auto" w:fill="auto"/>
            <w:vAlign w:val="center"/>
          </w:tcPr>
          <w:p w14:paraId="76A247FA" w14:textId="77777777" w:rsidR="002102CB" w:rsidRPr="00930653" w:rsidRDefault="002102CB" w:rsidP="00007378">
            <w:pPr>
              <w:pStyle w:val="Header"/>
              <w:tabs>
                <w:tab w:val="left" w:pos="284"/>
              </w:tabs>
              <w:jc w:val="both"/>
              <w:rPr>
                <w:b/>
                <w:bCs/>
                <w:sz w:val="22"/>
                <w:szCs w:val="22"/>
                <w:lang w:val="sr-Latn-ME"/>
              </w:rPr>
            </w:pPr>
            <w:r w:rsidRPr="00930653">
              <w:rPr>
                <w:b/>
                <w:bCs/>
                <w:sz w:val="22"/>
                <w:szCs w:val="22"/>
                <w:lang w:val="sr-Latn-ME"/>
              </w:rPr>
              <w:t xml:space="preserve">8. </w:t>
            </w:r>
            <w:r w:rsidR="0019381F" w:rsidRPr="00930653">
              <w:rPr>
                <w:b/>
                <w:bCs/>
                <w:sz w:val="22"/>
                <w:szCs w:val="22"/>
                <w:lang w:val="sr-Latn-ME"/>
              </w:rPr>
              <w:t>BROJ DOZVOLE ZA STAVLJANJE LIJEKA U PROMET</w:t>
            </w:r>
          </w:p>
        </w:tc>
      </w:tr>
      <w:tr w:rsidR="002102CB" w:rsidRPr="00930653" w14:paraId="4551E56E" w14:textId="77777777" w:rsidTr="007F2243">
        <w:trPr>
          <w:trHeight w:val="869"/>
        </w:trPr>
        <w:tc>
          <w:tcPr>
            <w:tcW w:w="9810" w:type="dxa"/>
            <w:gridSpan w:val="3"/>
            <w:vAlign w:val="center"/>
          </w:tcPr>
          <w:p w14:paraId="651E664E" w14:textId="77777777" w:rsidR="00F04CB1" w:rsidRDefault="00F04CB1" w:rsidP="00007378">
            <w:pPr>
              <w:jc w:val="both"/>
              <w:rPr>
                <w:sz w:val="22"/>
                <w:szCs w:val="22"/>
                <w:lang w:val="sr-Latn-ME"/>
              </w:rPr>
            </w:pPr>
          </w:p>
          <w:p w14:paraId="5A47A07E" w14:textId="42849D95" w:rsidR="00F04CB1" w:rsidRDefault="005A3774" w:rsidP="00007378">
            <w:pPr>
              <w:jc w:val="both"/>
              <w:rPr>
                <w:sz w:val="22"/>
                <w:szCs w:val="22"/>
                <w:lang w:val="sr-Latn-ME"/>
              </w:rPr>
            </w:pPr>
            <w:r w:rsidRPr="005A3774">
              <w:rPr>
                <w:sz w:val="22"/>
                <w:szCs w:val="22"/>
                <w:lang w:val="sr-Latn-ME"/>
              </w:rPr>
              <w:t xml:space="preserve">2030/24/1251 - 6665 </w:t>
            </w:r>
          </w:p>
          <w:p w14:paraId="58B63647" w14:textId="77777777" w:rsidR="00C914F6" w:rsidRDefault="00C914F6" w:rsidP="00930653">
            <w:pPr>
              <w:tabs>
                <w:tab w:val="left" w:pos="540"/>
                <w:tab w:val="left" w:pos="569"/>
              </w:tabs>
              <w:jc w:val="both"/>
              <w:rPr>
                <w:sz w:val="22"/>
                <w:szCs w:val="22"/>
                <w:lang w:val="sr-Latn-ME"/>
              </w:rPr>
            </w:pPr>
          </w:p>
          <w:p w14:paraId="56DF0865" w14:textId="0ABEE725" w:rsidR="00C93CED" w:rsidRPr="00930653" w:rsidRDefault="00C93CED" w:rsidP="00930653">
            <w:pPr>
              <w:tabs>
                <w:tab w:val="left" w:pos="540"/>
                <w:tab w:val="left" w:pos="569"/>
              </w:tabs>
              <w:jc w:val="both"/>
              <w:rPr>
                <w:sz w:val="22"/>
                <w:szCs w:val="22"/>
                <w:lang w:val="sr-Latn-ME"/>
              </w:rPr>
            </w:pPr>
          </w:p>
        </w:tc>
      </w:tr>
      <w:tr w:rsidR="002102CB" w:rsidRPr="00A731F9" w14:paraId="0D9E5A59" w14:textId="77777777" w:rsidTr="007F2243">
        <w:tc>
          <w:tcPr>
            <w:tcW w:w="9810" w:type="dxa"/>
            <w:gridSpan w:val="3"/>
            <w:shd w:val="clear" w:color="auto" w:fill="auto"/>
            <w:vAlign w:val="center"/>
          </w:tcPr>
          <w:p w14:paraId="71DB8586" w14:textId="77777777" w:rsidR="002102CB" w:rsidRPr="00930653" w:rsidRDefault="002102CB" w:rsidP="00007378">
            <w:pPr>
              <w:pStyle w:val="Header"/>
              <w:tabs>
                <w:tab w:val="left" w:pos="284"/>
              </w:tabs>
              <w:jc w:val="both"/>
              <w:rPr>
                <w:b/>
                <w:bCs/>
                <w:sz w:val="22"/>
                <w:szCs w:val="22"/>
                <w:lang w:val="sr-Latn-ME"/>
              </w:rPr>
            </w:pPr>
            <w:r w:rsidRPr="00930653">
              <w:rPr>
                <w:b/>
                <w:bCs/>
                <w:sz w:val="22"/>
                <w:szCs w:val="22"/>
                <w:lang w:val="sr-Latn-ME"/>
              </w:rPr>
              <w:t xml:space="preserve">9. </w:t>
            </w:r>
            <w:r w:rsidR="0019381F" w:rsidRPr="00930653">
              <w:rPr>
                <w:b/>
                <w:bCs/>
                <w:sz w:val="22"/>
                <w:szCs w:val="22"/>
                <w:lang w:val="sr-Latn-ME"/>
              </w:rPr>
              <w:t>DATUM PRVE DOZVOLE/OBNOVE DOZVOLE ZA STAVLJANJE LIJEKA U PROMET</w:t>
            </w:r>
          </w:p>
        </w:tc>
      </w:tr>
      <w:tr w:rsidR="002102CB" w:rsidRPr="00930653" w14:paraId="7767466F" w14:textId="77777777" w:rsidTr="007F2243">
        <w:trPr>
          <w:trHeight w:val="900"/>
        </w:trPr>
        <w:tc>
          <w:tcPr>
            <w:tcW w:w="9810" w:type="dxa"/>
            <w:gridSpan w:val="3"/>
            <w:vAlign w:val="center"/>
          </w:tcPr>
          <w:p w14:paraId="0EFCB4C5" w14:textId="77777777" w:rsidR="00C914F6" w:rsidRPr="00930653" w:rsidRDefault="00C914F6" w:rsidP="00007378">
            <w:pPr>
              <w:jc w:val="both"/>
              <w:rPr>
                <w:bCs/>
                <w:i/>
                <w:sz w:val="22"/>
                <w:szCs w:val="22"/>
                <w:lang w:val="sr-Latn-ME"/>
              </w:rPr>
            </w:pPr>
          </w:p>
          <w:p w14:paraId="0FAF9208" w14:textId="60FF8ACA" w:rsidR="00C914F6" w:rsidRPr="00930653" w:rsidRDefault="00C914F6" w:rsidP="004E0BA7">
            <w:pPr>
              <w:jc w:val="both"/>
              <w:rPr>
                <w:bCs/>
                <w:sz w:val="22"/>
                <w:szCs w:val="22"/>
                <w:lang w:val="sr-Latn-ME"/>
              </w:rPr>
            </w:pPr>
            <w:r w:rsidRPr="00930653">
              <w:rPr>
                <w:bCs/>
                <w:sz w:val="22"/>
                <w:szCs w:val="22"/>
                <w:lang w:val="sr-Latn-ME"/>
              </w:rPr>
              <w:t>Datum prve dozvole:</w:t>
            </w:r>
            <w:r w:rsidR="006224E0">
              <w:rPr>
                <w:bCs/>
                <w:sz w:val="22"/>
                <w:szCs w:val="22"/>
                <w:lang w:val="sr-Latn-ME"/>
              </w:rPr>
              <w:t xml:space="preserve"> </w:t>
            </w:r>
            <w:r w:rsidR="006224E0">
              <w:rPr>
                <w:sz w:val="22"/>
                <w:szCs w:val="22"/>
                <w:lang w:val="sr-Latn-ME"/>
              </w:rPr>
              <w:t>25.07.2011.</w:t>
            </w:r>
            <w:r w:rsidR="005A3774">
              <w:rPr>
                <w:sz w:val="22"/>
                <w:szCs w:val="22"/>
                <w:lang w:val="sr-Latn-ME"/>
              </w:rPr>
              <w:t xml:space="preserve"> godine </w:t>
            </w:r>
          </w:p>
          <w:p w14:paraId="5D81F3AD" w14:textId="47862AB6" w:rsidR="00C914F6" w:rsidRPr="00930653" w:rsidRDefault="00C914F6" w:rsidP="004E0BA7">
            <w:pPr>
              <w:tabs>
                <w:tab w:val="left" w:pos="540"/>
                <w:tab w:val="left" w:pos="569"/>
              </w:tabs>
              <w:jc w:val="both"/>
              <w:rPr>
                <w:bCs/>
                <w:sz w:val="22"/>
                <w:szCs w:val="22"/>
                <w:lang w:val="sr-Latn-ME"/>
              </w:rPr>
            </w:pPr>
            <w:r w:rsidRPr="00930653">
              <w:rPr>
                <w:bCs/>
                <w:sz w:val="22"/>
                <w:szCs w:val="22"/>
                <w:lang w:val="sr-Latn-ME"/>
              </w:rPr>
              <w:t>Datum obnove dozvole:</w:t>
            </w:r>
            <w:r w:rsidR="005A3774">
              <w:rPr>
                <w:bCs/>
                <w:sz w:val="22"/>
                <w:szCs w:val="22"/>
                <w:lang w:val="sr-Latn-ME"/>
              </w:rPr>
              <w:t xml:space="preserve"> </w:t>
            </w:r>
            <w:r w:rsidR="005A3774" w:rsidRPr="005A3774">
              <w:rPr>
                <w:bCs/>
                <w:sz w:val="22"/>
                <w:szCs w:val="22"/>
                <w:lang w:val="sr-Latn-ME"/>
              </w:rPr>
              <w:t>04.03.2024. godine</w:t>
            </w:r>
          </w:p>
          <w:p w14:paraId="5D6E2B95" w14:textId="77777777" w:rsidR="002102CB" w:rsidRPr="00930653" w:rsidRDefault="002102CB" w:rsidP="00F72506">
            <w:pPr>
              <w:jc w:val="both"/>
              <w:rPr>
                <w:sz w:val="22"/>
                <w:szCs w:val="22"/>
                <w:lang w:val="sr-Latn-ME"/>
              </w:rPr>
            </w:pPr>
          </w:p>
          <w:p w14:paraId="668AD702" w14:textId="77777777" w:rsidR="002102CB" w:rsidRPr="00930653" w:rsidRDefault="002102CB" w:rsidP="00287B29">
            <w:pPr>
              <w:jc w:val="both"/>
              <w:rPr>
                <w:sz w:val="22"/>
                <w:szCs w:val="22"/>
                <w:lang w:val="sr-Latn-ME"/>
              </w:rPr>
            </w:pPr>
          </w:p>
        </w:tc>
      </w:tr>
      <w:tr w:rsidR="002102CB" w:rsidRPr="00930653" w14:paraId="115EF7B1" w14:textId="77777777" w:rsidTr="007F2243">
        <w:tc>
          <w:tcPr>
            <w:tcW w:w="9810" w:type="dxa"/>
            <w:gridSpan w:val="3"/>
            <w:shd w:val="clear" w:color="auto" w:fill="auto"/>
            <w:vAlign w:val="center"/>
          </w:tcPr>
          <w:p w14:paraId="500600F1" w14:textId="77777777" w:rsidR="002102CB" w:rsidRPr="00930653" w:rsidRDefault="002102CB" w:rsidP="00007378">
            <w:pPr>
              <w:pStyle w:val="Header"/>
              <w:tabs>
                <w:tab w:val="left" w:pos="284"/>
              </w:tabs>
              <w:jc w:val="both"/>
              <w:rPr>
                <w:b/>
                <w:bCs/>
                <w:sz w:val="22"/>
                <w:szCs w:val="22"/>
                <w:lang w:val="sr-Latn-ME"/>
              </w:rPr>
            </w:pPr>
            <w:r w:rsidRPr="00930653">
              <w:rPr>
                <w:b/>
                <w:bCs/>
                <w:sz w:val="22"/>
                <w:szCs w:val="22"/>
                <w:lang w:val="sr-Latn-ME"/>
              </w:rPr>
              <w:t>10. DATUM REVIZIJE TEKSTA</w:t>
            </w:r>
          </w:p>
        </w:tc>
      </w:tr>
      <w:tr w:rsidR="002102CB" w:rsidRPr="00930653" w14:paraId="56BF45F3" w14:textId="77777777" w:rsidTr="007F2243">
        <w:trPr>
          <w:trHeight w:val="824"/>
        </w:trPr>
        <w:tc>
          <w:tcPr>
            <w:tcW w:w="9810" w:type="dxa"/>
            <w:gridSpan w:val="3"/>
            <w:vAlign w:val="center"/>
          </w:tcPr>
          <w:p w14:paraId="0351087D" w14:textId="6911796E" w:rsidR="002102CB" w:rsidRPr="00930653" w:rsidRDefault="00C93CED" w:rsidP="00C54AAF">
            <w:pPr>
              <w:pStyle w:val="Header"/>
              <w:tabs>
                <w:tab w:val="left" w:pos="284"/>
              </w:tabs>
              <w:jc w:val="both"/>
              <w:rPr>
                <w:sz w:val="22"/>
                <w:szCs w:val="22"/>
                <w:lang w:val="sr-Latn-ME"/>
              </w:rPr>
            </w:pPr>
            <w:r>
              <w:rPr>
                <w:sz w:val="22"/>
                <w:szCs w:val="22"/>
                <w:lang w:val="sr-Latn-ME"/>
              </w:rPr>
              <w:t>Ju</w:t>
            </w:r>
            <w:r w:rsidR="00C54AAF">
              <w:rPr>
                <w:sz w:val="22"/>
                <w:szCs w:val="22"/>
                <w:lang w:val="sr-Latn-ME"/>
              </w:rPr>
              <w:t>l</w:t>
            </w:r>
            <w:bookmarkStart w:id="0" w:name="_GoBack"/>
            <w:bookmarkEnd w:id="0"/>
            <w:r>
              <w:rPr>
                <w:sz w:val="22"/>
                <w:szCs w:val="22"/>
                <w:lang w:val="sr-Latn-ME"/>
              </w:rPr>
              <w:t>, 2025. godine</w:t>
            </w:r>
          </w:p>
        </w:tc>
      </w:tr>
    </w:tbl>
    <w:p w14:paraId="02EB715F" w14:textId="77777777" w:rsidR="002102CB" w:rsidRPr="00930653" w:rsidRDefault="002102CB" w:rsidP="00007378">
      <w:pPr>
        <w:jc w:val="both"/>
        <w:rPr>
          <w:sz w:val="22"/>
          <w:szCs w:val="22"/>
          <w:lang w:val="sr-Latn-ME"/>
        </w:rPr>
      </w:pPr>
    </w:p>
    <w:p w14:paraId="1D68F7D2" w14:textId="77777777" w:rsidR="006768CB" w:rsidRPr="002102CB" w:rsidRDefault="006768CB" w:rsidP="004E0BA7">
      <w:pPr>
        <w:jc w:val="both"/>
        <w:rPr>
          <w:szCs w:val="22"/>
        </w:rPr>
      </w:pPr>
    </w:p>
    <w:sectPr w:rsidR="006768CB" w:rsidRPr="002102CB" w:rsidSect="004440FD">
      <w:footerReference w:type="even" r:id="rId12"/>
      <w:footerReference w:type="default" r:id="rId13"/>
      <w:headerReference w:type="first" r:id="rId14"/>
      <w:footerReference w:type="first" r:id="rId15"/>
      <w:pgSz w:w="11907" w:h="16840" w:code="9"/>
      <w:pgMar w:top="1138" w:right="1411" w:bottom="1138" w:left="1411"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899FB0" w16cex:dateUtc="2025-06-24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FF2DE4" w16cid:durableId="30899F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453D6" w14:textId="77777777" w:rsidR="00017304" w:rsidRDefault="00017304">
      <w:r>
        <w:separator/>
      </w:r>
    </w:p>
  </w:endnote>
  <w:endnote w:type="continuationSeparator" w:id="0">
    <w:p w14:paraId="4AEAB814" w14:textId="77777777" w:rsidR="00017304" w:rsidRDefault="00017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Condensed">
    <w:charset w:val="00"/>
    <w:family w:val="swiss"/>
    <w:pitch w:val="variable"/>
    <w:sig w:usb0="80000287" w:usb1="00000000" w:usb2="00000000" w:usb3="00000000" w:csb0="0000000F" w:csb1="00000000"/>
  </w:font>
  <w:font w:name="Humanist777">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8481A" w14:textId="77777777" w:rsidR="004C4CA2" w:rsidRDefault="004C4CA2"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C2CC03" w14:textId="77777777" w:rsidR="004C4CA2" w:rsidRDefault="004C4CA2"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579FD" w14:textId="77777777" w:rsidR="004C4CA2" w:rsidRDefault="004C4CA2" w:rsidP="00E70869">
    <w:pPr>
      <w:pStyle w:val="Footer"/>
      <w:framePr w:wrap="around" w:vAnchor="text" w:hAnchor="margin" w:xAlign="right" w:y="1"/>
      <w:rPr>
        <w:rStyle w:val="PageNumber"/>
      </w:rPr>
    </w:pPr>
  </w:p>
  <w:p w14:paraId="5055BE4B" w14:textId="77777777" w:rsidR="004C4CA2" w:rsidRDefault="004C4CA2" w:rsidP="00D0180A">
    <w:pPr>
      <w:pStyle w:val="Header"/>
      <w:jc w:val="center"/>
    </w:pPr>
  </w:p>
  <w:p w14:paraId="047225DB" w14:textId="0F5B285A" w:rsidR="004C4CA2" w:rsidRPr="00F96E5A" w:rsidRDefault="004C4CA2" w:rsidP="00D0180A">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C54AAF">
      <w:rPr>
        <w:rStyle w:val="PageNumber"/>
        <w:noProof/>
      </w:rPr>
      <w:t>1</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C54AAF">
      <w:rPr>
        <w:rStyle w:val="PageNumber"/>
        <w:noProof/>
      </w:rPr>
      <w:t>10</w:t>
    </w:r>
    <w:r w:rsidRPr="001F3C6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3918B" w14:textId="77777777" w:rsidR="004C4CA2" w:rsidRDefault="004C4CA2"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75763" w14:textId="77777777" w:rsidR="00017304" w:rsidRDefault="00017304">
      <w:r>
        <w:separator/>
      </w:r>
    </w:p>
  </w:footnote>
  <w:footnote w:type="continuationSeparator" w:id="0">
    <w:p w14:paraId="18FF1B4E" w14:textId="77777777" w:rsidR="00017304" w:rsidRDefault="00017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F065C" w14:textId="59A20F3F" w:rsidR="004C4CA2" w:rsidRDefault="003B411D">
    <w:pPr>
      <w:pStyle w:val="Header"/>
      <w:rPr>
        <w:sz w:val="16"/>
        <w:szCs w:val="16"/>
      </w:rPr>
    </w:pPr>
    <w:r w:rsidRPr="005319EA">
      <w:rPr>
        <w:noProof/>
        <w:sz w:val="16"/>
        <w:szCs w:val="16"/>
      </w:rPr>
      <w:drawing>
        <wp:inline distT="0" distB="0" distL="0" distR="0" wp14:anchorId="784E5C3E" wp14:editId="634498AD">
          <wp:extent cx="144018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266700"/>
                  </a:xfrm>
                  <a:prstGeom prst="rect">
                    <a:avLst/>
                  </a:prstGeom>
                  <a:noFill/>
                  <a:ln>
                    <a:noFill/>
                  </a:ln>
                </pic:spPr>
              </pic:pic>
            </a:graphicData>
          </a:graphic>
        </wp:inline>
      </w:drawing>
    </w:r>
  </w:p>
  <w:p w14:paraId="1623A4C2" w14:textId="77777777" w:rsidR="004C4CA2" w:rsidRDefault="004C4CA2">
    <w:pPr>
      <w:pStyle w:val="Header"/>
      <w:rPr>
        <w:sz w:val="16"/>
        <w:szCs w:val="16"/>
      </w:rPr>
    </w:pPr>
  </w:p>
  <w:p w14:paraId="707455D4" w14:textId="77777777" w:rsidR="004C4CA2" w:rsidRDefault="004C4CA2"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5C44F15"/>
    <w:multiLevelType w:val="hybridMultilevel"/>
    <w:tmpl w:val="389073C8"/>
    <w:lvl w:ilvl="0" w:tplc="FD625738">
      <w:start w:val="1"/>
      <w:numFmt w:val="bullet"/>
      <w:lvlText w:val=""/>
      <w:lvlJc w:val="left"/>
      <w:pPr>
        <w:tabs>
          <w:tab w:val="num" w:pos="1800"/>
        </w:tabs>
        <w:ind w:left="180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F02E08"/>
    <w:multiLevelType w:val="hybridMultilevel"/>
    <w:tmpl w:val="03786DE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0DF7C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1917E4"/>
    <w:multiLevelType w:val="hybridMultilevel"/>
    <w:tmpl w:val="7944B95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11343737"/>
    <w:multiLevelType w:val="hybridMultilevel"/>
    <w:tmpl w:val="DFA6A12E"/>
    <w:lvl w:ilvl="0" w:tplc="D7C67D32">
      <w:start w:val="1"/>
      <w:numFmt w:val="bullet"/>
      <w:lvlText w:val=""/>
      <w:lvlJc w:val="left"/>
      <w:pPr>
        <w:tabs>
          <w:tab w:val="num" w:pos="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1DA13DA"/>
    <w:multiLevelType w:val="hybridMultilevel"/>
    <w:tmpl w:val="AB1E23E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159B08AC"/>
    <w:multiLevelType w:val="hybridMultilevel"/>
    <w:tmpl w:val="BF88527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1860498F"/>
    <w:multiLevelType w:val="hybridMultilevel"/>
    <w:tmpl w:val="756C3C8C"/>
    <w:lvl w:ilvl="0" w:tplc="78D857C4">
      <w:numFmt w:val="bullet"/>
      <w:lvlText w:val="-"/>
      <w:lvlJc w:val="left"/>
      <w:pPr>
        <w:tabs>
          <w:tab w:val="num" w:pos="567"/>
        </w:tabs>
        <w:ind w:left="567" w:hanging="567"/>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394A51"/>
    <w:multiLevelType w:val="hybridMultilevel"/>
    <w:tmpl w:val="ABF0BAE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1B4553A3"/>
    <w:multiLevelType w:val="hybridMultilevel"/>
    <w:tmpl w:val="DAC40A6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1CF10AF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0021B70"/>
    <w:multiLevelType w:val="hybridMultilevel"/>
    <w:tmpl w:val="B1D2750E"/>
    <w:lvl w:ilvl="0" w:tplc="FD625738">
      <w:start w:val="1"/>
      <w:numFmt w:val="bullet"/>
      <w:lvlText w:val=""/>
      <w:lvlJc w:val="left"/>
      <w:pPr>
        <w:tabs>
          <w:tab w:val="num" w:pos="1800"/>
        </w:tabs>
        <w:ind w:left="180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C03A98"/>
    <w:multiLevelType w:val="singleLevel"/>
    <w:tmpl w:val="14F45A96"/>
    <w:lvl w:ilvl="0">
      <w:numFmt w:val="bullet"/>
      <w:lvlText w:val="-"/>
      <w:lvlJc w:val="left"/>
      <w:pPr>
        <w:tabs>
          <w:tab w:val="num" w:pos="360"/>
        </w:tabs>
        <w:ind w:left="360" w:hanging="360"/>
      </w:pPr>
      <w:rPr>
        <w:rFonts w:hint="default"/>
      </w:rPr>
    </w:lvl>
  </w:abstractNum>
  <w:abstractNum w:abstractNumId="19" w15:restartNumberingAfterBreak="0">
    <w:nsid w:val="2C6E20C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D9C72FC"/>
    <w:multiLevelType w:val="hybridMultilevel"/>
    <w:tmpl w:val="9336F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105C6E"/>
    <w:multiLevelType w:val="hybridMultilevel"/>
    <w:tmpl w:val="85082BD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2E221D1D"/>
    <w:multiLevelType w:val="hybridMultilevel"/>
    <w:tmpl w:val="165E78AA"/>
    <w:lvl w:ilvl="0" w:tplc="78D857C4">
      <w:numFmt w:val="bullet"/>
      <w:lvlText w:val="-"/>
      <w:lvlJc w:val="left"/>
      <w:pPr>
        <w:tabs>
          <w:tab w:val="num" w:pos="567"/>
        </w:tabs>
        <w:ind w:left="567" w:hanging="567"/>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105F9D"/>
    <w:multiLevelType w:val="hybridMultilevel"/>
    <w:tmpl w:val="C144D7A6"/>
    <w:lvl w:ilvl="0" w:tplc="D1B243FC">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EC7F22"/>
    <w:multiLevelType w:val="hybridMultilevel"/>
    <w:tmpl w:val="F9C479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ED4359"/>
    <w:multiLevelType w:val="hybridMultilevel"/>
    <w:tmpl w:val="FA96DAFA"/>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6" w15:restartNumberingAfterBreak="0">
    <w:nsid w:val="45DE1BEE"/>
    <w:multiLevelType w:val="hybridMultilevel"/>
    <w:tmpl w:val="60B440F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15:restartNumberingAfterBreak="0">
    <w:nsid w:val="4A055E97"/>
    <w:multiLevelType w:val="hybridMultilevel"/>
    <w:tmpl w:val="FD22B516"/>
    <w:lvl w:ilvl="0" w:tplc="04090001">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4ED178A2"/>
    <w:multiLevelType w:val="hybridMultilevel"/>
    <w:tmpl w:val="8822F9E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563740E8"/>
    <w:multiLevelType w:val="hybridMultilevel"/>
    <w:tmpl w:val="ADC01D48"/>
    <w:lvl w:ilvl="0" w:tplc="141A0001">
      <w:start w:val="1"/>
      <w:numFmt w:val="bullet"/>
      <w:lvlText w:val=""/>
      <w:lvlJc w:val="left"/>
      <w:pPr>
        <w:ind w:left="644" w:hanging="360"/>
      </w:pPr>
      <w:rPr>
        <w:rFonts w:ascii="Symbol" w:hAnsi="Symbol" w:hint="default"/>
      </w:rPr>
    </w:lvl>
    <w:lvl w:ilvl="1" w:tplc="141A0003" w:tentative="1">
      <w:start w:val="1"/>
      <w:numFmt w:val="bullet"/>
      <w:lvlText w:val="o"/>
      <w:lvlJc w:val="left"/>
      <w:pPr>
        <w:ind w:left="1364" w:hanging="360"/>
      </w:pPr>
      <w:rPr>
        <w:rFonts w:ascii="Courier New" w:hAnsi="Courier New" w:cs="Courier New" w:hint="default"/>
      </w:rPr>
    </w:lvl>
    <w:lvl w:ilvl="2" w:tplc="141A0005" w:tentative="1">
      <w:start w:val="1"/>
      <w:numFmt w:val="bullet"/>
      <w:lvlText w:val=""/>
      <w:lvlJc w:val="left"/>
      <w:pPr>
        <w:ind w:left="2084" w:hanging="360"/>
      </w:pPr>
      <w:rPr>
        <w:rFonts w:ascii="Wingdings" w:hAnsi="Wingdings" w:hint="default"/>
      </w:rPr>
    </w:lvl>
    <w:lvl w:ilvl="3" w:tplc="141A0001" w:tentative="1">
      <w:start w:val="1"/>
      <w:numFmt w:val="bullet"/>
      <w:lvlText w:val=""/>
      <w:lvlJc w:val="left"/>
      <w:pPr>
        <w:ind w:left="2804" w:hanging="360"/>
      </w:pPr>
      <w:rPr>
        <w:rFonts w:ascii="Symbol" w:hAnsi="Symbol" w:hint="default"/>
      </w:rPr>
    </w:lvl>
    <w:lvl w:ilvl="4" w:tplc="141A0003" w:tentative="1">
      <w:start w:val="1"/>
      <w:numFmt w:val="bullet"/>
      <w:lvlText w:val="o"/>
      <w:lvlJc w:val="left"/>
      <w:pPr>
        <w:ind w:left="3524" w:hanging="360"/>
      </w:pPr>
      <w:rPr>
        <w:rFonts w:ascii="Courier New" w:hAnsi="Courier New" w:cs="Courier New" w:hint="default"/>
      </w:rPr>
    </w:lvl>
    <w:lvl w:ilvl="5" w:tplc="141A0005" w:tentative="1">
      <w:start w:val="1"/>
      <w:numFmt w:val="bullet"/>
      <w:lvlText w:val=""/>
      <w:lvlJc w:val="left"/>
      <w:pPr>
        <w:ind w:left="4244" w:hanging="360"/>
      </w:pPr>
      <w:rPr>
        <w:rFonts w:ascii="Wingdings" w:hAnsi="Wingdings" w:hint="default"/>
      </w:rPr>
    </w:lvl>
    <w:lvl w:ilvl="6" w:tplc="141A0001" w:tentative="1">
      <w:start w:val="1"/>
      <w:numFmt w:val="bullet"/>
      <w:lvlText w:val=""/>
      <w:lvlJc w:val="left"/>
      <w:pPr>
        <w:ind w:left="4964" w:hanging="360"/>
      </w:pPr>
      <w:rPr>
        <w:rFonts w:ascii="Symbol" w:hAnsi="Symbol" w:hint="default"/>
      </w:rPr>
    </w:lvl>
    <w:lvl w:ilvl="7" w:tplc="141A0003" w:tentative="1">
      <w:start w:val="1"/>
      <w:numFmt w:val="bullet"/>
      <w:lvlText w:val="o"/>
      <w:lvlJc w:val="left"/>
      <w:pPr>
        <w:ind w:left="5684" w:hanging="360"/>
      </w:pPr>
      <w:rPr>
        <w:rFonts w:ascii="Courier New" w:hAnsi="Courier New" w:cs="Courier New" w:hint="default"/>
      </w:rPr>
    </w:lvl>
    <w:lvl w:ilvl="8" w:tplc="141A0005" w:tentative="1">
      <w:start w:val="1"/>
      <w:numFmt w:val="bullet"/>
      <w:lvlText w:val=""/>
      <w:lvlJc w:val="left"/>
      <w:pPr>
        <w:ind w:left="6404" w:hanging="360"/>
      </w:pPr>
      <w:rPr>
        <w:rFonts w:ascii="Wingdings" w:hAnsi="Wingdings" w:hint="default"/>
      </w:rPr>
    </w:lvl>
  </w:abstractNum>
  <w:abstractNum w:abstractNumId="30" w15:restartNumberingAfterBreak="0">
    <w:nsid w:val="5B662763"/>
    <w:multiLevelType w:val="hybridMultilevel"/>
    <w:tmpl w:val="5022B2C8"/>
    <w:lvl w:ilvl="0" w:tplc="D1B243FC">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293FB3"/>
    <w:multiLevelType w:val="hybridMultilevel"/>
    <w:tmpl w:val="FF5AE4DC"/>
    <w:lvl w:ilvl="0" w:tplc="80B87A1E">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166AF2"/>
    <w:multiLevelType w:val="hybridMultilevel"/>
    <w:tmpl w:val="2FAA0D2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80626D"/>
    <w:multiLevelType w:val="hybridMultilevel"/>
    <w:tmpl w:val="94E4909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4" w15:restartNumberingAfterBreak="0">
    <w:nsid w:val="69466AD3"/>
    <w:multiLevelType w:val="hybridMultilevel"/>
    <w:tmpl w:val="FEC2254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 w15:restartNumberingAfterBreak="0">
    <w:nsid w:val="728115D0"/>
    <w:multiLevelType w:val="hybridMultilevel"/>
    <w:tmpl w:val="263897E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15:restartNumberingAfterBreak="0">
    <w:nsid w:val="745D5F55"/>
    <w:multiLevelType w:val="hybridMultilevel"/>
    <w:tmpl w:val="009A62FE"/>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7" w15:restartNumberingAfterBreak="0">
    <w:nsid w:val="79B15264"/>
    <w:multiLevelType w:val="hybridMultilevel"/>
    <w:tmpl w:val="24ECC33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 w15:restartNumberingAfterBreak="0">
    <w:nsid w:val="7B4902A3"/>
    <w:multiLevelType w:val="hybridMultilevel"/>
    <w:tmpl w:val="C54EEBE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 w15:restartNumberingAfterBreak="0">
    <w:nsid w:val="7B750407"/>
    <w:multiLevelType w:val="hybridMultilevel"/>
    <w:tmpl w:val="68D670EE"/>
    <w:lvl w:ilvl="0" w:tplc="FD625738">
      <w:start w:val="1"/>
      <w:numFmt w:val="bullet"/>
      <w:lvlText w:val=""/>
      <w:lvlJc w:val="left"/>
      <w:pPr>
        <w:tabs>
          <w:tab w:val="num" w:pos="1800"/>
        </w:tabs>
        <w:ind w:left="180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DA7E68"/>
    <w:multiLevelType w:val="hybridMultilevel"/>
    <w:tmpl w:val="81DE93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7"/>
  </w:num>
  <w:num w:numId="2">
    <w:abstractNumId w:val="34"/>
  </w:num>
  <w:num w:numId="3">
    <w:abstractNumId w:val="26"/>
  </w:num>
  <w:num w:numId="4">
    <w:abstractNumId w:val="9"/>
  </w:num>
  <w:num w:numId="5">
    <w:abstractNumId w:val="28"/>
  </w:num>
  <w:num w:numId="6">
    <w:abstractNumId w:val="11"/>
  </w:num>
  <w:num w:numId="7">
    <w:abstractNumId w:val="21"/>
  </w:num>
  <w:num w:numId="8">
    <w:abstractNumId w:val="36"/>
  </w:num>
  <w:num w:numId="9">
    <w:abstractNumId w:val="29"/>
  </w:num>
  <w:num w:numId="10">
    <w:abstractNumId w:val="15"/>
  </w:num>
  <w:num w:numId="11">
    <w:abstractNumId w:val="35"/>
  </w:num>
  <w:num w:numId="12">
    <w:abstractNumId w:val="38"/>
  </w:num>
  <w:num w:numId="13">
    <w:abstractNumId w:val="37"/>
  </w:num>
  <w:num w:numId="14">
    <w:abstractNumId w:val="12"/>
  </w:num>
  <w:num w:numId="15">
    <w:abstractNumId w:val="14"/>
  </w:num>
  <w:num w:numId="16">
    <w:abstractNumId w:val="33"/>
  </w:num>
  <w:num w:numId="17">
    <w:abstractNumId w:val="7"/>
  </w:num>
  <w:num w:numId="18">
    <w:abstractNumId w:val="25"/>
  </w:num>
  <w:num w:numId="19">
    <w:abstractNumId w:val="24"/>
  </w:num>
  <w:num w:numId="20">
    <w:abstractNumId w:val="18"/>
  </w:num>
  <w:num w:numId="21">
    <w:abstractNumId w:val="16"/>
  </w:num>
  <w:num w:numId="22">
    <w:abstractNumId w:val="19"/>
  </w:num>
  <w:num w:numId="23">
    <w:abstractNumId w:val="8"/>
  </w:num>
  <w:num w:numId="24">
    <w:abstractNumId w:val="32"/>
  </w:num>
  <w:num w:numId="25">
    <w:abstractNumId w:val="10"/>
  </w:num>
  <w:num w:numId="26">
    <w:abstractNumId w:val="22"/>
  </w:num>
  <w:num w:numId="27">
    <w:abstractNumId w:val="13"/>
  </w:num>
  <w:num w:numId="28">
    <w:abstractNumId w:val="30"/>
  </w:num>
  <w:num w:numId="29">
    <w:abstractNumId w:val="23"/>
  </w:num>
  <w:num w:numId="30">
    <w:abstractNumId w:val="39"/>
  </w:num>
  <w:num w:numId="31">
    <w:abstractNumId w:val="6"/>
  </w:num>
  <w:num w:numId="32">
    <w:abstractNumId w:val="17"/>
  </w:num>
  <w:num w:numId="33">
    <w:abstractNumId w:val="40"/>
  </w:num>
  <w:num w:numId="34">
    <w:abstractNumId w:val="31"/>
  </w:num>
  <w:num w:numId="3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378"/>
    <w:rsid w:val="00007DC9"/>
    <w:rsid w:val="00010AF3"/>
    <w:rsid w:val="000119D9"/>
    <w:rsid w:val="00012793"/>
    <w:rsid w:val="000144AC"/>
    <w:rsid w:val="00015B8A"/>
    <w:rsid w:val="00016159"/>
    <w:rsid w:val="00016262"/>
    <w:rsid w:val="00017304"/>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414A"/>
    <w:rsid w:val="0006657B"/>
    <w:rsid w:val="000665D0"/>
    <w:rsid w:val="00071632"/>
    <w:rsid w:val="00071B1A"/>
    <w:rsid w:val="00072EFD"/>
    <w:rsid w:val="00074871"/>
    <w:rsid w:val="00074F8F"/>
    <w:rsid w:val="000771E2"/>
    <w:rsid w:val="00081747"/>
    <w:rsid w:val="0008350D"/>
    <w:rsid w:val="000855A9"/>
    <w:rsid w:val="00086A28"/>
    <w:rsid w:val="00086AB9"/>
    <w:rsid w:val="00094BE7"/>
    <w:rsid w:val="000975AB"/>
    <w:rsid w:val="00097935"/>
    <w:rsid w:val="000A0EFD"/>
    <w:rsid w:val="000A137E"/>
    <w:rsid w:val="000A2EA1"/>
    <w:rsid w:val="000A3DA4"/>
    <w:rsid w:val="000A401A"/>
    <w:rsid w:val="000A4786"/>
    <w:rsid w:val="000A47D0"/>
    <w:rsid w:val="000A738C"/>
    <w:rsid w:val="000B06E9"/>
    <w:rsid w:val="000B0D38"/>
    <w:rsid w:val="000B2A18"/>
    <w:rsid w:val="000B5AFB"/>
    <w:rsid w:val="000C3B84"/>
    <w:rsid w:val="000C50E2"/>
    <w:rsid w:val="000C63CA"/>
    <w:rsid w:val="000C656C"/>
    <w:rsid w:val="000C7728"/>
    <w:rsid w:val="000D03EF"/>
    <w:rsid w:val="000D3C8E"/>
    <w:rsid w:val="000D41F5"/>
    <w:rsid w:val="000D6526"/>
    <w:rsid w:val="000E0FEE"/>
    <w:rsid w:val="000E1847"/>
    <w:rsid w:val="000E2154"/>
    <w:rsid w:val="000E251A"/>
    <w:rsid w:val="000E30D4"/>
    <w:rsid w:val="000E376D"/>
    <w:rsid w:val="000E4A11"/>
    <w:rsid w:val="000F1C30"/>
    <w:rsid w:val="000F23BF"/>
    <w:rsid w:val="000F5734"/>
    <w:rsid w:val="000F5E16"/>
    <w:rsid w:val="000F7222"/>
    <w:rsid w:val="0010177B"/>
    <w:rsid w:val="0010271F"/>
    <w:rsid w:val="001060EC"/>
    <w:rsid w:val="0011373D"/>
    <w:rsid w:val="001141C7"/>
    <w:rsid w:val="00114F4D"/>
    <w:rsid w:val="0012331A"/>
    <w:rsid w:val="00123901"/>
    <w:rsid w:val="00125032"/>
    <w:rsid w:val="00130E5B"/>
    <w:rsid w:val="001327A9"/>
    <w:rsid w:val="001346AA"/>
    <w:rsid w:val="00134B56"/>
    <w:rsid w:val="001367C1"/>
    <w:rsid w:val="001379A3"/>
    <w:rsid w:val="00140DDE"/>
    <w:rsid w:val="00141295"/>
    <w:rsid w:val="00141C6D"/>
    <w:rsid w:val="00142921"/>
    <w:rsid w:val="00144C04"/>
    <w:rsid w:val="001450CA"/>
    <w:rsid w:val="00145182"/>
    <w:rsid w:val="00150A79"/>
    <w:rsid w:val="00152225"/>
    <w:rsid w:val="0015284E"/>
    <w:rsid w:val="00153D0A"/>
    <w:rsid w:val="00155276"/>
    <w:rsid w:val="001567D1"/>
    <w:rsid w:val="001601CE"/>
    <w:rsid w:val="001616AF"/>
    <w:rsid w:val="00163984"/>
    <w:rsid w:val="00164550"/>
    <w:rsid w:val="00164B6A"/>
    <w:rsid w:val="00166669"/>
    <w:rsid w:val="00166BB8"/>
    <w:rsid w:val="0017032A"/>
    <w:rsid w:val="001717BF"/>
    <w:rsid w:val="00173831"/>
    <w:rsid w:val="0017417F"/>
    <w:rsid w:val="00175740"/>
    <w:rsid w:val="001770B3"/>
    <w:rsid w:val="00185B9B"/>
    <w:rsid w:val="0019381F"/>
    <w:rsid w:val="001971F1"/>
    <w:rsid w:val="001A35D3"/>
    <w:rsid w:val="001A70F6"/>
    <w:rsid w:val="001A7A7E"/>
    <w:rsid w:val="001B3214"/>
    <w:rsid w:val="001B3424"/>
    <w:rsid w:val="001B61E4"/>
    <w:rsid w:val="001B731A"/>
    <w:rsid w:val="001C0FD7"/>
    <w:rsid w:val="001C691D"/>
    <w:rsid w:val="001C711D"/>
    <w:rsid w:val="001D2183"/>
    <w:rsid w:val="001D25D9"/>
    <w:rsid w:val="001D301F"/>
    <w:rsid w:val="001D31CB"/>
    <w:rsid w:val="001D7370"/>
    <w:rsid w:val="001E01FD"/>
    <w:rsid w:val="001E195D"/>
    <w:rsid w:val="001F02DE"/>
    <w:rsid w:val="001F0532"/>
    <w:rsid w:val="001F3C63"/>
    <w:rsid w:val="001F5203"/>
    <w:rsid w:val="001F6994"/>
    <w:rsid w:val="001F7B65"/>
    <w:rsid w:val="00203D65"/>
    <w:rsid w:val="0020566A"/>
    <w:rsid w:val="002078BB"/>
    <w:rsid w:val="002102CB"/>
    <w:rsid w:val="002109DD"/>
    <w:rsid w:val="00210EFE"/>
    <w:rsid w:val="0021208F"/>
    <w:rsid w:val="002125D6"/>
    <w:rsid w:val="0021365F"/>
    <w:rsid w:val="002139ED"/>
    <w:rsid w:val="002168F5"/>
    <w:rsid w:val="00222321"/>
    <w:rsid w:val="00222B65"/>
    <w:rsid w:val="00226477"/>
    <w:rsid w:val="002271C5"/>
    <w:rsid w:val="00231C57"/>
    <w:rsid w:val="0023310B"/>
    <w:rsid w:val="00235129"/>
    <w:rsid w:val="00240C6B"/>
    <w:rsid w:val="002426EA"/>
    <w:rsid w:val="00243CA4"/>
    <w:rsid w:val="00245A64"/>
    <w:rsid w:val="00246606"/>
    <w:rsid w:val="002470D6"/>
    <w:rsid w:val="00247D6A"/>
    <w:rsid w:val="00247EC0"/>
    <w:rsid w:val="002512BE"/>
    <w:rsid w:val="0025222F"/>
    <w:rsid w:val="00256BAA"/>
    <w:rsid w:val="002570F6"/>
    <w:rsid w:val="0026475C"/>
    <w:rsid w:val="00265752"/>
    <w:rsid w:val="00267FB1"/>
    <w:rsid w:val="00273A51"/>
    <w:rsid w:val="002769B2"/>
    <w:rsid w:val="00277751"/>
    <w:rsid w:val="00280AF3"/>
    <w:rsid w:val="00281972"/>
    <w:rsid w:val="002860CA"/>
    <w:rsid w:val="00287B29"/>
    <w:rsid w:val="002905A8"/>
    <w:rsid w:val="00291DB3"/>
    <w:rsid w:val="00293D8E"/>
    <w:rsid w:val="002B1B18"/>
    <w:rsid w:val="002B21F6"/>
    <w:rsid w:val="002B2EDD"/>
    <w:rsid w:val="002B3EBC"/>
    <w:rsid w:val="002B4447"/>
    <w:rsid w:val="002B4ADA"/>
    <w:rsid w:val="002B5077"/>
    <w:rsid w:val="002B5309"/>
    <w:rsid w:val="002B5DE3"/>
    <w:rsid w:val="002B6650"/>
    <w:rsid w:val="002B6EA3"/>
    <w:rsid w:val="002C5920"/>
    <w:rsid w:val="002C6682"/>
    <w:rsid w:val="002D4888"/>
    <w:rsid w:val="002D4B25"/>
    <w:rsid w:val="002D7DF8"/>
    <w:rsid w:val="002E0261"/>
    <w:rsid w:val="002E15EE"/>
    <w:rsid w:val="002E5013"/>
    <w:rsid w:val="002F1002"/>
    <w:rsid w:val="002F1791"/>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1D91"/>
    <w:rsid w:val="00366527"/>
    <w:rsid w:val="00370E09"/>
    <w:rsid w:val="00371CCC"/>
    <w:rsid w:val="003731D0"/>
    <w:rsid w:val="00377385"/>
    <w:rsid w:val="00383CAA"/>
    <w:rsid w:val="00384EA9"/>
    <w:rsid w:val="00387233"/>
    <w:rsid w:val="003920A5"/>
    <w:rsid w:val="003A0CC2"/>
    <w:rsid w:val="003A3014"/>
    <w:rsid w:val="003A321E"/>
    <w:rsid w:val="003A37C5"/>
    <w:rsid w:val="003A4AAF"/>
    <w:rsid w:val="003A5E51"/>
    <w:rsid w:val="003A611F"/>
    <w:rsid w:val="003B411D"/>
    <w:rsid w:val="003B5243"/>
    <w:rsid w:val="003B609E"/>
    <w:rsid w:val="003B698E"/>
    <w:rsid w:val="003C0C63"/>
    <w:rsid w:val="003C255F"/>
    <w:rsid w:val="003C3390"/>
    <w:rsid w:val="003C640B"/>
    <w:rsid w:val="003D195D"/>
    <w:rsid w:val="003D4D9E"/>
    <w:rsid w:val="003E03A3"/>
    <w:rsid w:val="003E1E0B"/>
    <w:rsid w:val="003E26F5"/>
    <w:rsid w:val="003E4328"/>
    <w:rsid w:val="003E4634"/>
    <w:rsid w:val="003E70F7"/>
    <w:rsid w:val="003F1984"/>
    <w:rsid w:val="003F2DBF"/>
    <w:rsid w:val="003F43B4"/>
    <w:rsid w:val="004000CF"/>
    <w:rsid w:val="00405585"/>
    <w:rsid w:val="004064CB"/>
    <w:rsid w:val="004068E7"/>
    <w:rsid w:val="00406B9C"/>
    <w:rsid w:val="00407B5F"/>
    <w:rsid w:val="00411293"/>
    <w:rsid w:val="00411C49"/>
    <w:rsid w:val="0041261A"/>
    <w:rsid w:val="0041299B"/>
    <w:rsid w:val="00413E18"/>
    <w:rsid w:val="004159D4"/>
    <w:rsid w:val="00416AF0"/>
    <w:rsid w:val="00417A42"/>
    <w:rsid w:val="004205CC"/>
    <w:rsid w:val="00424645"/>
    <w:rsid w:val="00426B3B"/>
    <w:rsid w:val="004338B8"/>
    <w:rsid w:val="00440169"/>
    <w:rsid w:val="00443B2A"/>
    <w:rsid w:val="004440FD"/>
    <w:rsid w:val="00454A9F"/>
    <w:rsid w:val="00457C0D"/>
    <w:rsid w:val="00463C95"/>
    <w:rsid w:val="00465608"/>
    <w:rsid w:val="00465C8B"/>
    <w:rsid w:val="00472122"/>
    <w:rsid w:val="0047297A"/>
    <w:rsid w:val="00482641"/>
    <w:rsid w:val="00484A8E"/>
    <w:rsid w:val="00484DDA"/>
    <w:rsid w:val="00485B8C"/>
    <w:rsid w:val="00485C29"/>
    <w:rsid w:val="00486FB2"/>
    <w:rsid w:val="0048792E"/>
    <w:rsid w:val="0049083C"/>
    <w:rsid w:val="00490AB0"/>
    <w:rsid w:val="00493D45"/>
    <w:rsid w:val="00494AD0"/>
    <w:rsid w:val="00495295"/>
    <w:rsid w:val="004A0078"/>
    <w:rsid w:val="004A0E73"/>
    <w:rsid w:val="004A6C86"/>
    <w:rsid w:val="004A7514"/>
    <w:rsid w:val="004B021D"/>
    <w:rsid w:val="004B0963"/>
    <w:rsid w:val="004B2780"/>
    <w:rsid w:val="004B6BB6"/>
    <w:rsid w:val="004B714D"/>
    <w:rsid w:val="004B7805"/>
    <w:rsid w:val="004C19EC"/>
    <w:rsid w:val="004C2D24"/>
    <w:rsid w:val="004C4CA2"/>
    <w:rsid w:val="004C4FB4"/>
    <w:rsid w:val="004C6436"/>
    <w:rsid w:val="004D2F3A"/>
    <w:rsid w:val="004D368C"/>
    <w:rsid w:val="004D45A0"/>
    <w:rsid w:val="004D60D6"/>
    <w:rsid w:val="004D7094"/>
    <w:rsid w:val="004E0BA7"/>
    <w:rsid w:val="004E1E3E"/>
    <w:rsid w:val="004E3B3E"/>
    <w:rsid w:val="004E4900"/>
    <w:rsid w:val="004E7B0F"/>
    <w:rsid w:val="004F0A67"/>
    <w:rsid w:val="004F2DB9"/>
    <w:rsid w:val="004F35C1"/>
    <w:rsid w:val="004F47A6"/>
    <w:rsid w:val="004F7854"/>
    <w:rsid w:val="005063D0"/>
    <w:rsid w:val="00510FAA"/>
    <w:rsid w:val="00514F76"/>
    <w:rsid w:val="00516122"/>
    <w:rsid w:val="00520BF0"/>
    <w:rsid w:val="005215DC"/>
    <w:rsid w:val="005304DE"/>
    <w:rsid w:val="00531BAF"/>
    <w:rsid w:val="00531C42"/>
    <w:rsid w:val="00532984"/>
    <w:rsid w:val="00532E46"/>
    <w:rsid w:val="00546CB3"/>
    <w:rsid w:val="00550607"/>
    <w:rsid w:val="005538D3"/>
    <w:rsid w:val="0055626B"/>
    <w:rsid w:val="00556971"/>
    <w:rsid w:val="00556ABD"/>
    <w:rsid w:val="0056093F"/>
    <w:rsid w:val="005618BE"/>
    <w:rsid w:val="00562D34"/>
    <w:rsid w:val="005635E1"/>
    <w:rsid w:val="00564B7F"/>
    <w:rsid w:val="00565A3A"/>
    <w:rsid w:val="00565A59"/>
    <w:rsid w:val="00566CBC"/>
    <w:rsid w:val="005720FC"/>
    <w:rsid w:val="00573D9C"/>
    <w:rsid w:val="00576237"/>
    <w:rsid w:val="00581B3F"/>
    <w:rsid w:val="005854ED"/>
    <w:rsid w:val="00585E11"/>
    <w:rsid w:val="00587765"/>
    <w:rsid w:val="00596B06"/>
    <w:rsid w:val="005A2368"/>
    <w:rsid w:val="005A244B"/>
    <w:rsid w:val="005A2E76"/>
    <w:rsid w:val="005A2EAF"/>
    <w:rsid w:val="005A3774"/>
    <w:rsid w:val="005A6E7B"/>
    <w:rsid w:val="005B5113"/>
    <w:rsid w:val="005B5A33"/>
    <w:rsid w:val="005B72A8"/>
    <w:rsid w:val="005C28F6"/>
    <w:rsid w:val="005C5709"/>
    <w:rsid w:val="005C6F39"/>
    <w:rsid w:val="005C704B"/>
    <w:rsid w:val="005D0EEE"/>
    <w:rsid w:val="005D6ADE"/>
    <w:rsid w:val="005E48C6"/>
    <w:rsid w:val="005E5E28"/>
    <w:rsid w:val="005E6DD4"/>
    <w:rsid w:val="005F1526"/>
    <w:rsid w:val="005F1E68"/>
    <w:rsid w:val="005F2208"/>
    <w:rsid w:val="005F4218"/>
    <w:rsid w:val="005F78B2"/>
    <w:rsid w:val="006010CA"/>
    <w:rsid w:val="00605C78"/>
    <w:rsid w:val="0060666E"/>
    <w:rsid w:val="00606874"/>
    <w:rsid w:val="00607C1C"/>
    <w:rsid w:val="00611CBC"/>
    <w:rsid w:val="0061344F"/>
    <w:rsid w:val="00614428"/>
    <w:rsid w:val="00615817"/>
    <w:rsid w:val="00615ADD"/>
    <w:rsid w:val="00621308"/>
    <w:rsid w:val="006224E0"/>
    <w:rsid w:val="00624CB8"/>
    <w:rsid w:val="00625F07"/>
    <w:rsid w:val="00627D20"/>
    <w:rsid w:val="00627E89"/>
    <w:rsid w:val="00633042"/>
    <w:rsid w:val="00633A7F"/>
    <w:rsid w:val="00635F30"/>
    <w:rsid w:val="00636E7D"/>
    <w:rsid w:val="00637C1C"/>
    <w:rsid w:val="00640267"/>
    <w:rsid w:val="006468AB"/>
    <w:rsid w:val="0064728E"/>
    <w:rsid w:val="00651794"/>
    <w:rsid w:val="0065194B"/>
    <w:rsid w:val="006555C9"/>
    <w:rsid w:val="0065786F"/>
    <w:rsid w:val="00662494"/>
    <w:rsid w:val="0066660C"/>
    <w:rsid w:val="00670D40"/>
    <w:rsid w:val="0067132D"/>
    <w:rsid w:val="006768CB"/>
    <w:rsid w:val="006827B6"/>
    <w:rsid w:val="00697801"/>
    <w:rsid w:val="006A1550"/>
    <w:rsid w:val="006A1C21"/>
    <w:rsid w:val="006A207D"/>
    <w:rsid w:val="006A6A4C"/>
    <w:rsid w:val="006A7DAC"/>
    <w:rsid w:val="006B03F6"/>
    <w:rsid w:val="006B2095"/>
    <w:rsid w:val="006B379B"/>
    <w:rsid w:val="006B39EF"/>
    <w:rsid w:val="006B4924"/>
    <w:rsid w:val="006C1781"/>
    <w:rsid w:val="006C3244"/>
    <w:rsid w:val="006C569D"/>
    <w:rsid w:val="006D1644"/>
    <w:rsid w:val="006D48E5"/>
    <w:rsid w:val="006E386F"/>
    <w:rsid w:val="006E3B43"/>
    <w:rsid w:val="006E443D"/>
    <w:rsid w:val="006E46C4"/>
    <w:rsid w:val="006F029D"/>
    <w:rsid w:val="006F0991"/>
    <w:rsid w:val="006F1BB1"/>
    <w:rsid w:val="006F5777"/>
    <w:rsid w:val="006F6894"/>
    <w:rsid w:val="00700309"/>
    <w:rsid w:val="007024CD"/>
    <w:rsid w:val="00702CFB"/>
    <w:rsid w:val="00705316"/>
    <w:rsid w:val="0070554C"/>
    <w:rsid w:val="007100BC"/>
    <w:rsid w:val="00710AF0"/>
    <w:rsid w:val="007131F1"/>
    <w:rsid w:val="0071373B"/>
    <w:rsid w:val="00721DDE"/>
    <w:rsid w:val="00722D64"/>
    <w:rsid w:val="007231C5"/>
    <w:rsid w:val="0072320D"/>
    <w:rsid w:val="00724FAA"/>
    <w:rsid w:val="00730279"/>
    <w:rsid w:val="00731FD1"/>
    <w:rsid w:val="0073334A"/>
    <w:rsid w:val="007337F6"/>
    <w:rsid w:val="00734A01"/>
    <w:rsid w:val="00736561"/>
    <w:rsid w:val="007404A9"/>
    <w:rsid w:val="007445FA"/>
    <w:rsid w:val="00744BE7"/>
    <w:rsid w:val="007500E2"/>
    <w:rsid w:val="007508A2"/>
    <w:rsid w:val="007524D0"/>
    <w:rsid w:val="00755FC3"/>
    <w:rsid w:val="00756B6F"/>
    <w:rsid w:val="00762662"/>
    <w:rsid w:val="00763206"/>
    <w:rsid w:val="007632B9"/>
    <w:rsid w:val="007633E3"/>
    <w:rsid w:val="00765261"/>
    <w:rsid w:val="0076565F"/>
    <w:rsid w:val="00766FD1"/>
    <w:rsid w:val="007724BB"/>
    <w:rsid w:val="00782F76"/>
    <w:rsid w:val="0078489F"/>
    <w:rsid w:val="00784958"/>
    <w:rsid w:val="00786E51"/>
    <w:rsid w:val="007874EC"/>
    <w:rsid w:val="00791ECA"/>
    <w:rsid w:val="0079225E"/>
    <w:rsid w:val="00797074"/>
    <w:rsid w:val="007970D9"/>
    <w:rsid w:val="007A2347"/>
    <w:rsid w:val="007B1F9C"/>
    <w:rsid w:val="007C024B"/>
    <w:rsid w:val="007C0F3A"/>
    <w:rsid w:val="007C4173"/>
    <w:rsid w:val="007C5293"/>
    <w:rsid w:val="007D10A3"/>
    <w:rsid w:val="007F0CD9"/>
    <w:rsid w:val="007F1790"/>
    <w:rsid w:val="007F2243"/>
    <w:rsid w:val="007F269F"/>
    <w:rsid w:val="00800BB3"/>
    <w:rsid w:val="00801CAC"/>
    <w:rsid w:val="0080431D"/>
    <w:rsid w:val="008046BA"/>
    <w:rsid w:val="00807089"/>
    <w:rsid w:val="00807887"/>
    <w:rsid w:val="00810728"/>
    <w:rsid w:val="00814949"/>
    <w:rsid w:val="008171E4"/>
    <w:rsid w:val="00821BC8"/>
    <w:rsid w:val="00822795"/>
    <w:rsid w:val="008235B9"/>
    <w:rsid w:val="00830353"/>
    <w:rsid w:val="00833525"/>
    <w:rsid w:val="00835CF6"/>
    <w:rsid w:val="0084036D"/>
    <w:rsid w:val="00840A50"/>
    <w:rsid w:val="00840DBC"/>
    <w:rsid w:val="00841A08"/>
    <w:rsid w:val="00842F83"/>
    <w:rsid w:val="008437AF"/>
    <w:rsid w:val="008475F6"/>
    <w:rsid w:val="00850977"/>
    <w:rsid w:val="00855687"/>
    <w:rsid w:val="00856F31"/>
    <w:rsid w:val="0086367B"/>
    <w:rsid w:val="008642BD"/>
    <w:rsid w:val="0086712D"/>
    <w:rsid w:val="00870297"/>
    <w:rsid w:val="0087395E"/>
    <w:rsid w:val="0087404B"/>
    <w:rsid w:val="00882974"/>
    <w:rsid w:val="00883815"/>
    <w:rsid w:val="00886613"/>
    <w:rsid w:val="00887042"/>
    <w:rsid w:val="0089204B"/>
    <w:rsid w:val="00892205"/>
    <w:rsid w:val="00895960"/>
    <w:rsid w:val="00897A18"/>
    <w:rsid w:val="008A132B"/>
    <w:rsid w:val="008A49E3"/>
    <w:rsid w:val="008A7D27"/>
    <w:rsid w:val="008A7F54"/>
    <w:rsid w:val="008B1957"/>
    <w:rsid w:val="008B3413"/>
    <w:rsid w:val="008B36A5"/>
    <w:rsid w:val="008B6223"/>
    <w:rsid w:val="008B738B"/>
    <w:rsid w:val="008C3FA9"/>
    <w:rsid w:val="008C6130"/>
    <w:rsid w:val="008C61ED"/>
    <w:rsid w:val="008C62CF"/>
    <w:rsid w:val="008D2EB6"/>
    <w:rsid w:val="008D2F97"/>
    <w:rsid w:val="008D4776"/>
    <w:rsid w:val="008D7ED7"/>
    <w:rsid w:val="008E2B0B"/>
    <w:rsid w:val="008E3485"/>
    <w:rsid w:val="008E7128"/>
    <w:rsid w:val="008F1ACF"/>
    <w:rsid w:val="008F4CFF"/>
    <w:rsid w:val="008F55C9"/>
    <w:rsid w:val="00901880"/>
    <w:rsid w:val="00902A3E"/>
    <w:rsid w:val="009066A8"/>
    <w:rsid w:val="00906B3E"/>
    <w:rsid w:val="00907BF3"/>
    <w:rsid w:val="00911701"/>
    <w:rsid w:val="00914FD1"/>
    <w:rsid w:val="0091730D"/>
    <w:rsid w:val="00924C4A"/>
    <w:rsid w:val="00925001"/>
    <w:rsid w:val="00927223"/>
    <w:rsid w:val="00930653"/>
    <w:rsid w:val="00930D88"/>
    <w:rsid w:val="00933B87"/>
    <w:rsid w:val="0093504B"/>
    <w:rsid w:val="00935E5B"/>
    <w:rsid w:val="00936D52"/>
    <w:rsid w:val="0094055C"/>
    <w:rsid w:val="00942167"/>
    <w:rsid w:val="00945F9C"/>
    <w:rsid w:val="00952CF7"/>
    <w:rsid w:val="009550DA"/>
    <w:rsid w:val="00963573"/>
    <w:rsid w:val="0096506F"/>
    <w:rsid w:val="0097600C"/>
    <w:rsid w:val="00982DB1"/>
    <w:rsid w:val="0098590D"/>
    <w:rsid w:val="00985C83"/>
    <w:rsid w:val="00986B3F"/>
    <w:rsid w:val="00987AEE"/>
    <w:rsid w:val="009907A2"/>
    <w:rsid w:val="00991D9E"/>
    <w:rsid w:val="0099295E"/>
    <w:rsid w:val="009971B0"/>
    <w:rsid w:val="009A1129"/>
    <w:rsid w:val="009A1960"/>
    <w:rsid w:val="009A548F"/>
    <w:rsid w:val="009B3EAE"/>
    <w:rsid w:val="009B47E1"/>
    <w:rsid w:val="009C33E7"/>
    <w:rsid w:val="009C4818"/>
    <w:rsid w:val="009D13B3"/>
    <w:rsid w:val="009D535F"/>
    <w:rsid w:val="009D78D5"/>
    <w:rsid w:val="009E257E"/>
    <w:rsid w:val="009E3730"/>
    <w:rsid w:val="009E4453"/>
    <w:rsid w:val="009E5311"/>
    <w:rsid w:val="009F3F28"/>
    <w:rsid w:val="009F5EA1"/>
    <w:rsid w:val="009F7CBF"/>
    <w:rsid w:val="00A038B7"/>
    <w:rsid w:val="00A03AC8"/>
    <w:rsid w:val="00A050C4"/>
    <w:rsid w:val="00A05297"/>
    <w:rsid w:val="00A05D7F"/>
    <w:rsid w:val="00A05DB0"/>
    <w:rsid w:val="00A0674D"/>
    <w:rsid w:val="00A06A2F"/>
    <w:rsid w:val="00A074DA"/>
    <w:rsid w:val="00A12788"/>
    <w:rsid w:val="00A15A28"/>
    <w:rsid w:val="00A15F28"/>
    <w:rsid w:val="00A206EC"/>
    <w:rsid w:val="00A207E3"/>
    <w:rsid w:val="00A223DD"/>
    <w:rsid w:val="00A24879"/>
    <w:rsid w:val="00A24FE3"/>
    <w:rsid w:val="00A26072"/>
    <w:rsid w:val="00A27591"/>
    <w:rsid w:val="00A278D7"/>
    <w:rsid w:val="00A27A7A"/>
    <w:rsid w:val="00A316A0"/>
    <w:rsid w:val="00A32C16"/>
    <w:rsid w:val="00A34BBF"/>
    <w:rsid w:val="00A406EA"/>
    <w:rsid w:val="00A43B24"/>
    <w:rsid w:val="00A51B58"/>
    <w:rsid w:val="00A55D07"/>
    <w:rsid w:val="00A60C4C"/>
    <w:rsid w:val="00A6179A"/>
    <w:rsid w:val="00A618E0"/>
    <w:rsid w:val="00A63CD3"/>
    <w:rsid w:val="00A6457A"/>
    <w:rsid w:val="00A6534C"/>
    <w:rsid w:val="00A6561C"/>
    <w:rsid w:val="00A66E5B"/>
    <w:rsid w:val="00A677D4"/>
    <w:rsid w:val="00A721BC"/>
    <w:rsid w:val="00A731F9"/>
    <w:rsid w:val="00A73331"/>
    <w:rsid w:val="00A73B77"/>
    <w:rsid w:val="00A74A50"/>
    <w:rsid w:val="00A75187"/>
    <w:rsid w:val="00A7626D"/>
    <w:rsid w:val="00A76594"/>
    <w:rsid w:val="00A76618"/>
    <w:rsid w:val="00A802C9"/>
    <w:rsid w:val="00A82A98"/>
    <w:rsid w:val="00A865B5"/>
    <w:rsid w:val="00A86A67"/>
    <w:rsid w:val="00A87ACB"/>
    <w:rsid w:val="00A900D5"/>
    <w:rsid w:val="00A922B3"/>
    <w:rsid w:val="00A94974"/>
    <w:rsid w:val="00A970F2"/>
    <w:rsid w:val="00AA169E"/>
    <w:rsid w:val="00AA42E5"/>
    <w:rsid w:val="00AA52C2"/>
    <w:rsid w:val="00AB00BF"/>
    <w:rsid w:val="00AB4713"/>
    <w:rsid w:val="00AB4731"/>
    <w:rsid w:val="00AB488A"/>
    <w:rsid w:val="00AB5137"/>
    <w:rsid w:val="00AB5291"/>
    <w:rsid w:val="00AB5584"/>
    <w:rsid w:val="00AC158D"/>
    <w:rsid w:val="00AC435A"/>
    <w:rsid w:val="00AC57D3"/>
    <w:rsid w:val="00AC7302"/>
    <w:rsid w:val="00AD2C0B"/>
    <w:rsid w:val="00AD694D"/>
    <w:rsid w:val="00AE55B7"/>
    <w:rsid w:val="00AE68FA"/>
    <w:rsid w:val="00AE6FDF"/>
    <w:rsid w:val="00AF04BB"/>
    <w:rsid w:val="00AF2E1A"/>
    <w:rsid w:val="00AF5AF1"/>
    <w:rsid w:val="00AF718B"/>
    <w:rsid w:val="00B01AF0"/>
    <w:rsid w:val="00B02EE1"/>
    <w:rsid w:val="00B034D4"/>
    <w:rsid w:val="00B04A09"/>
    <w:rsid w:val="00B05405"/>
    <w:rsid w:val="00B0620F"/>
    <w:rsid w:val="00B12AAE"/>
    <w:rsid w:val="00B23949"/>
    <w:rsid w:val="00B23A38"/>
    <w:rsid w:val="00B24289"/>
    <w:rsid w:val="00B26FFA"/>
    <w:rsid w:val="00B46B55"/>
    <w:rsid w:val="00B46BE5"/>
    <w:rsid w:val="00B46C91"/>
    <w:rsid w:val="00B47308"/>
    <w:rsid w:val="00B50519"/>
    <w:rsid w:val="00B50FAF"/>
    <w:rsid w:val="00B54E17"/>
    <w:rsid w:val="00B55717"/>
    <w:rsid w:val="00B5690F"/>
    <w:rsid w:val="00B60222"/>
    <w:rsid w:val="00B72426"/>
    <w:rsid w:val="00B727DC"/>
    <w:rsid w:val="00B72FDA"/>
    <w:rsid w:val="00B75094"/>
    <w:rsid w:val="00B7529A"/>
    <w:rsid w:val="00B772E1"/>
    <w:rsid w:val="00B82353"/>
    <w:rsid w:val="00B832D1"/>
    <w:rsid w:val="00B8407F"/>
    <w:rsid w:val="00B86396"/>
    <w:rsid w:val="00B91092"/>
    <w:rsid w:val="00B926C2"/>
    <w:rsid w:val="00B95D85"/>
    <w:rsid w:val="00BA05C9"/>
    <w:rsid w:val="00BA0C98"/>
    <w:rsid w:val="00BA2ABD"/>
    <w:rsid w:val="00BA5672"/>
    <w:rsid w:val="00BA65C4"/>
    <w:rsid w:val="00BB261C"/>
    <w:rsid w:val="00BB7050"/>
    <w:rsid w:val="00BC1513"/>
    <w:rsid w:val="00BC4DE2"/>
    <w:rsid w:val="00BC7C22"/>
    <w:rsid w:val="00BD58C5"/>
    <w:rsid w:val="00BD76CB"/>
    <w:rsid w:val="00BD7805"/>
    <w:rsid w:val="00BE1CFA"/>
    <w:rsid w:val="00BE3FAC"/>
    <w:rsid w:val="00BE670C"/>
    <w:rsid w:val="00BF1A10"/>
    <w:rsid w:val="00BF353B"/>
    <w:rsid w:val="00C016C0"/>
    <w:rsid w:val="00C036FF"/>
    <w:rsid w:val="00C04194"/>
    <w:rsid w:val="00C04C5F"/>
    <w:rsid w:val="00C13630"/>
    <w:rsid w:val="00C17F0F"/>
    <w:rsid w:val="00C23B01"/>
    <w:rsid w:val="00C26EC0"/>
    <w:rsid w:val="00C325D1"/>
    <w:rsid w:val="00C3274A"/>
    <w:rsid w:val="00C33B38"/>
    <w:rsid w:val="00C347B0"/>
    <w:rsid w:val="00C42008"/>
    <w:rsid w:val="00C4210A"/>
    <w:rsid w:val="00C45B7C"/>
    <w:rsid w:val="00C527B5"/>
    <w:rsid w:val="00C54AAF"/>
    <w:rsid w:val="00C5558E"/>
    <w:rsid w:val="00C60DA8"/>
    <w:rsid w:val="00C64BFF"/>
    <w:rsid w:val="00C70307"/>
    <w:rsid w:val="00C70F39"/>
    <w:rsid w:val="00C74F9D"/>
    <w:rsid w:val="00C82701"/>
    <w:rsid w:val="00C859EE"/>
    <w:rsid w:val="00C85E52"/>
    <w:rsid w:val="00C86BA0"/>
    <w:rsid w:val="00C87EDE"/>
    <w:rsid w:val="00C914F6"/>
    <w:rsid w:val="00C93081"/>
    <w:rsid w:val="00C93CED"/>
    <w:rsid w:val="00C940CB"/>
    <w:rsid w:val="00C96265"/>
    <w:rsid w:val="00CA1646"/>
    <w:rsid w:val="00CA44AE"/>
    <w:rsid w:val="00CA4860"/>
    <w:rsid w:val="00CB0F56"/>
    <w:rsid w:val="00CB100E"/>
    <w:rsid w:val="00CB2CB2"/>
    <w:rsid w:val="00CB51CA"/>
    <w:rsid w:val="00CB70DD"/>
    <w:rsid w:val="00CC7315"/>
    <w:rsid w:val="00CD0B60"/>
    <w:rsid w:val="00CD1757"/>
    <w:rsid w:val="00CD3612"/>
    <w:rsid w:val="00CD4383"/>
    <w:rsid w:val="00CD5312"/>
    <w:rsid w:val="00CE402B"/>
    <w:rsid w:val="00CE6BB2"/>
    <w:rsid w:val="00CE74A5"/>
    <w:rsid w:val="00CF11B7"/>
    <w:rsid w:val="00CF6FD4"/>
    <w:rsid w:val="00CF7DFD"/>
    <w:rsid w:val="00D00E59"/>
    <w:rsid w:val="00D0180A"/>
    <w:rsid w:val="00D03C24"/>
    <w:rsid w:val="00D10F18"/>
    <w:rsid w:val="00D125C2"/>
    <w:rsid w:val="00D14EBE"/>
    <w:rsid w:val="00D178E2"/>
    <w:rsid w:val="00D17CBD"/>
    <w:rsid w:val="00D23391"/>
    <w:rsid w:val="00D2354D"/>
    <w:rsid w:val="00D24AAA"/>
    <w:rsid w:val="00D25CE6"/>
    <w:rsid w:val="00D26BDF"/>
    <w:rsid w:val="00D32257"/>
    <w:rsid w:val="00D32FA5"/>
    <w:rsid w:val="00D33E11"/>
    <w:rsid w:val="00D34F63"/>
    <w:rsid w:val="00D35785"/>
    <w:rsid w:val="00D358A5"/>
    <w:rsid w:val="00D35E5C"/>
    <w:rsid w:val="00D43D0B"/>
    <w:rsid w:val="00D44586"/>
    <w:rsid w:val="00D45A18"/>
    <w:rsid w:val="00D52461"/>
    <w:rsid w:val="00D5482E"/>
    <w:rsid w:val="00D57C3F"/>
    <w:rsid w:val="00D57CE1"/>
    <w:rsid w:val="00D614A4"/>
    <w:rsid w:val="00D660BC"/>
    <w:rsid w:val="00D678EE"/>
    <w:rsid w:val="00D74226"/>
    <w:rsid w:val="00D74590"/>
    <w:rsid w:val="00D749DE"/>
    <w:rsid w:val="00D74E93"/>
    <w:rsid w:val="00D760ED"/>
    <w:rsid w:val="00D7686D"/>
    <w:rsid w:val="00D774C1"/>
    <w:rsid w:val="00D80DCB"/>
    <w:rsid w:val="00D82C5E"/>
    <w:rsid w:val="00D91025"/>
    <w:rsid w:val="00D93365"/>
    <w:rsid w:val="00D945E1"/>
    <w:rsid w:val="00D94615"/>
    <w:rsid w:val="00D9586E"/>
    <w:rsid w:val="00DA05A4"/>
    <w:rsid w:val="00DA0A93"/>
    <w:rsid w:val="00DA43D3"/>
    <w:rsid w:val="00DA4FA9"/>
    <w:rsid w:val="00DA7663"/>
    <w:rsid w:val="00DB019A"/>
    <w:rsid w:val="00DB1EB2"/>
    <w:rsid w:val="00DB4456"/>
    <w:rsid w:val="00DB6DA3"/>
    <w:rsid w:val="00DB7880"/>
    <w:rsid w:val="00DC3CB9"/>
    <w:rsid w:val="00DC730A"/>
    <w:rsid w:val="00DD12E9"/>
    <w:rsid w:val="00DD40A8"/>
    <w:rsid w:val="00DD61A0"/>
    <w:rsid w:val="00DD6586"/>
    <w:rsid w:val="00DE1E1E"/>
    <w:rsid w:val="00DE44D4"/>
    <w:rsid w:val="00DF7182"/>
    <w:rsid w:val="00DF71E5"/>
    <w:rsid w:val="00DF7E66"/>
    <w:rsid w:val="00E05616"/>
    <w:rsid w:val="00E11BA6"/>
    <w:rsid w:val="00E229D3"/>
    <w:rsid w:val="00E23142"/>
    <w:rsid w:val="00E23201"/>
    <w:rsid w:val="00E271CE"/>
    <w:rsid w:val="00E3287C"/>
    <w:rsid w:val="00E33254"/>
    <w:rsid w:val="00E33CD4"/>
    <w:rsid w:val="00E349C8"/>
    <w:rsid w:val="00E358F5"/>
    <w:rsid w:val="00E35C3E"/>
    <w:rsid w:val="00E37E9E"/>
    <w:rsid w:val="00E42153"/>
    <w:rsid w:val="00E46202"/>
    <w:rsid w:val="00E520B8"/>
    <w:rsid w:val="00E529D9"/>
    <w:rsid w:val="00E622AB"/>
    <w:rsid w:val="00E62DDA"/>
    <w:rsid w:val="00E67261"/>
    <w:rsid w:val="00E67508"/>
    <w:rsid w:val="00E677D1"/>
    <w:rsid w:val="00E70869"/>
    <w:rsid w:val="00E753AE"/>
    <w:rsid w:val="00E757F2"/>
    <w:rsid w:val="00E75E4D"/>
    <w:rsid w:val="00E77D2B"/>
    <w:rsid w:val="00E8262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23A2"/>
    <w:rsid w:val="00EC299D"/>
    <w:rsid w:val="00EC3180"/>
    <w:rsid w:val="00EC3D7E"/>
    <w:rsid w:val="00EC4575"/>
    <w:rsid w:val="00EC6798"/>
    <w:rsid w:val="00EC7E83"/>
    <w:rsid w:val="00ED36F1"/>
    <w:rsid w:val="00ED3781"/>
    <w:rsid w:val="00ED4942"/>
    <w:rsid w:val="00ED7528"/>
    <w:rsid w:val="00EE12C5"/>
    <w:rsid w:val="00EE17D0"/>
    <w:rsid w:val="00EE2DC2"/>
    <w:rsid w:val="00EE7BD3"/>
    <w:rsid w:val="00EF2BAF"/>
    <w:rsid w:val="00EF4C99"/>
    <w:rsid w:val="00F01E3B"/>
    <w:rsid w:val="00F02314"/>
    <w:rsid w:val="00F04CB1"/>
    <w:rsid w:val="00F0521F"/>
    <w:rsid w:val="00F07897"/>
    <w:rsid w:val="00F1575B"/>
    <w:rsid w:val="00F20BD2"/>
    <w:rsid w:val="00F24169"/>
    <w:rsid w:val="00F2562D"/>
    <w:rsid w:val="00F26CE1"/>
    <w:rsid w:val="00F27BDF"/>
    <w:rsid w:val="00F32B75"/>
    <w:rsid w:val="00F35626"/>
    <w:rsid w:val="00F362D5"/>
    <w:rsid w:val="00F3792F"/>
    <w:rsid w:val="00F40E2D"/>
    <w:rsid w:val="00F41717"/>
    <w:rsid w:val="00F472DD"/>
    <w:rsid w:val="00F47951"/>
    <w:rsid w:val="00F51887"/>
    <w:rsid w:val="00F51A4B"/>
    <w:rsid w:val="00F53A0F"/>
    <w:rsid w:val="00F570AD"/>
    <w:rsid w:val="00F57CDA"/>
    <w:rsid w:val="00F6158D"/>
    <w:rsid w:val="00F65572"/>
    <w:rsid w:val="00F6620F"/>
    <w:rsid w:val="00F72506"/>
    <w:rsid w:val="00F80BA0"/>
    <w:rsid w:val="00F8166A"/>
    <w:rsid w:val="00F850ED"/>
    <w:rsid w:val="00F8537B"/>
    <w:rsid w:val="00F92454"/>
    <w:rsid w:val="00F92A2F"/>
    <w:rsid w:val="00F92EC2"/>
    <w:rsid w:val="00F93716"/>
    <w:rsid w:val="00F96E5A"/>
    <w:rsid w:val="00FA151C"/>
    <w:rsid w:val="00FA22AD"/>
    <w:rsid w:val="00FA2A7B"/>
    <w:rsid w:val="00FA2D67"/>
    <w:rsid w:val="00FA3929"/>
    <w:rsid w:val="00FA3D5F"/>
    <w:rsid w:val="00FA4B59"/>
    <w:rsid w:val="00FA5394"/>
    <w:rsid w:val="00FB0AF5"/>
    <w:rsid w:val="00FB2077"/>
    <w:rsid w:val="00FB2B8A"/>
    <w:rsid w:val="00FC205D"/>
    <w:rsid w:val="00FC2367"/>
    <w:rsid w:val="00FC2728"/>
    <w:rsid w:val="00FC28C1"/>
    <w:rsid w:val="00FC440B"/>
    <w:rsid w:val="00FC4CDB"/>
    <w:rsid w:val="00FC4E98"/>
    <w:rsid w:val="00FC5FFD"/>
    <w:rsid w:val="00FC6813"/>
    <w:rsid w:val="00FC72A9"/>
    <w:rsid w:val="00FD30D9"/>
    <w:rsid w:val="00FD36A2"/>
    <w:rsid w:val="00FD73BD"/>
    <w:rsid w:val="00FD767F"/>
    <w:rsid w:val="00FE1ADB"/>
    <w:rsid w:val="00FE22A7"/>
    <w:rsid w:val="00FE690F"/>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E993B19"/>
  <w15:chartTrackingRefBased/>
  <w15:docId w15:val="{3628D8AC-FFE2-49F9-90A3-6B652DA2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uiPriority w:val="1"/>
    <w:qFormat/>
    <w:rsid w:val="00000F40"/>
    <w:rPr>
      <w:rFonts w:ascii="Arial" w:hAnsi="Arial"/>
      <w:sz w:val="22"/>
      <w:szCs w:val="22"/>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styleId="CommentReference">
    <w:name w:val="annotation reference"/>
    <w:rsid w:val="0060666E"/>
    <w:rPr>
      <w:sz w:val="16"/>
      <w:szCs w:val="16"/>
    </w:rPr>
  </w:style>
  <w:style w:type="paragraph" w:styleId="CommentText">
    <w:name w:val="annotation text"/>
    <w:basedOn w:val="Normal"/>
    <w:link w:val="CommentTextChar"/>
    <w:rsid w:val="0060666E"/>
  </w:style>
  <w:style w:type="character" w:customStyle="1" w:styleId="CommentTextChar">
    <w:name w:val="Comment Text Char"/>
    <w:basedOn w:val="DefaultParagraphFont"/>
    <w:link w:val="CommentText"/>
    <w:rsid w:val="0060666E"/>
  </w:style>
  <w:style w:type="paragraph" w:styleId="CommentSubject">
    <w:name w:val="annotation subject"/>
    <w:basedOn w:val="CommentText"/>
    <w:next w:val="CommentText"/>
    <w:link w:val="CommentSubjectChar"/>
    <w:rsid w:val="0060666E"/>
    <w:rPr>
      <w:b/>
      <w:bCs/>
    </w:rPr>
  </w:style>
  <w:style w:type="character" w:customStyle="1" w:styleId="CommentSubjectChar">
    <w:name w:val="Comment Subject Char"/>
    <w:link w:val="CommentSubject"/>
    <w:rsid w:val="0060666E"/>
    <w:rPr>
      <w:b/>
      <w:bCs/>
    </w:rPr>
  </w:style>
  <w:style w:type="character" w:customStyle="1" w:styleId="CharChar">
    <w:name w:val="Char Char"/>
    <w:aliases w:val=" Char Char Char Char Char Char, Char Char1 Char Char Char, Char Char Char Char"/>
    <w:uiPriority w:val="99"/>
    <w:locked/>
    <w:rsid w:val="00231C57"/>
    <w:rPr>
      <w:sz w:val="22"/>
      <w:szCs w:val="24"/>
    </w:rPr>
  </w:style>
  <w:style w:type="paragraph" w:styleId="Revision">
    <w:name w:val="Revision"/>
    <w:hidden/>
    <w:uiPriority w:val="99"/>
    <w:semiHidden/>
    <w:rsid w:val="00930653"/>
  </w:style>
  <w:style w:type="character" w:styleId="Hyperlink">
    <w:name w:val="Hyperlink"/>
    <w:rsid w:val="00E37E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790169912">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73316336">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Props1.xml><?xml version="1.0" encoding="utf-8"?>
<ds:datastoreItem xmlns:ds="http://schemas.openxmlformats.org/officeDocument/2006/customXml" ds:itemID="{D39BFB7A-7F1D-4BB9-B8A1-B20A78D5D3E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3930</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26285</CharactersWithSpaces>
  <SharedDoc>false</SharedDoc>
  <HLinks>
    <vt:vector size="24"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ariant>
        <vt:i4>6881316</vt:i4>
      </vt:variant>
      <vt:variant>
        <vt:i4>27562</vt:i4>
      </vt:variant>
      <vt:variant>
        <vt:i4>1025</vt:i4>
      </vt:variant>
      <vt:variant>
        <vt:i4>4</vt:i4>
      </vt:variant>
      <vt:variant>
        <vt:lpwstr>https://primaryreporting.who-umc.org/ME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Minić</cp:lastModifiedBy>
  <cp:revision>4</cp:revision>
  <cp:lastPrinted>2018-07-23T06:40:00Z</cp:lastPrinted>
  <dcterms:created xsi:type="dcterms:W3CDTF">2025-06-24T17:40:00Z</dcterms:created>
  <dcterms:modified xsi:type="dcterms:W3CDTF">2025-08-14T07:48:00Z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a38591c2-0cfd-4c21-a81d-b1346e35b144</vt:lpwstr>
  </property>
  <property fmtid="{D5CDD505-2E9C-101B-9397-08002B2CF9AE}" pid="4" name="bjSaver">
    <vt:lpwstr>v/Ofgi0Luly5S08CFbtFqm8V0of2ryK1</vt:lpwstr>
  </property>
  <property fmtid="{D5CDD505-2E9C-101B-9397-08002B2CF9AE}" pid="5" name="bjDocumentSecurityLabel">
    <vt:lpwstr>Not Classified</vt:lpwstr>
  </property>
  <property fmtid="{D5CDD505-2E9C-101B-9397-08002B2CF9AE}" pid="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7" name="bjDocumentLabelXML-0">
    <vt:lpwstr>ames.com/2008/01/sie/internal/label"&gt;&lt;element uid="9920fcc9-9f43-4d43-9e3e-b98a219cfd55" value="" /&gt;&lt;/sisl&gt;</vt:lpwstr>
  </property>
  <property fmtid="{D5CDD505-2E9C-101B-9397-08002B2CF9AE}" pid="8" name="MSIP_Label_04f783dd-f5fe-4e6c-8816-198fd9c95f56_Enabled">
    <vt:lpwstr>true</vt:lpwstr>
  </property>
  <property fmtid="{D5CDD505-2E9C-101B-9397-08002B2CF9AE}" pid="9" name="MSIP_Label_04f783dd-f5fe-4e6c-8816-198fd9c95f56_SetDate">
    <vt:lpwstr>2025-03-04T15:39:59Z</vt:lpwstr>
  </property>
  <property fmtid="{D5CDD505-2E9C-101B-9397-08002B2CF9AE}" pid="10" name="MSIP_Label_04f783dd-f5fe-4e6c-8816-198fd9c95f56_Method">
    <vt:lpwstr>Privileged</vt:lpwstr>
  </property>
  <property fmtid="{D5CDD505-2E9C-101B-9397-08002B2CF9AE}" pid="11" name="MSIP_Label_04f783dd-f5fe-4e6c-8816-198fd9c95f56_Name">
    <vt:lpwstr>English - Non-Corporate</vt:lpwstr>
  </property>
  <property fmtid="{D5CDD505-2E9C-101B-9397-08002B2CF9AE}" pid="12" name="MSIP_Label_04f783dd-f5fe-4e6c-8816-198fd9c95f56_SiteId">
    <vt:lpwstr>484a70d1-caaf-4a03-a477-1cbe688304af</vt:lpwstr>
  </property>
  <property fmtid="{D5CDD505-2E9C-101B-9397-08002B2CF9AE}" pid="13" name="MSIP_Label_04f783dd-f5fe-4e6c-8816-198fd9c95f56_ActionId">
    <vt:lpwstr>6adc9bb4-d472-4229-b3ce-e5c36adccce7</vt:lpwstr>
  </property>
  <property fmtid="{D5CDD505-2E9C-101B-9397-08002B2CF9AE}" pid="14" name="MSIP_Label_04f783dd-f5fe-4e6c-8816-198fd9c95f56_ContentBits">
    <vt:lpwstr>0</vt:lpwstr>
  </property>
  <property fmtid="{D5CDD505-2E9C-101B-9397-08002B2CF9AE}" pid="15" name="MSIP_Label_04f783dd-f5fe-4e6c-8816-198fd9c95f56_Tag">
    <vt:lpwstr>10, 0, 1, 1</vt:lpwstr>
  </property>
  <property fmtid="{D5CDD505-2E9C-101B-9397-08002B2CF9AE}" pid="16" name="_AdHocReviewCycleID">
    <vt:i4>-2125240138</vt:i4>
  </property>
  <property fmtid="{D5CDD505-2E9C-101B-9397-08002B2CF9AE}" pid="17" name="_EmailSubject">
    <vt:lpwstr>Mejl saglasnost - AERIUS (2030/25/3491-9416 i 2030/25/3494-9414)</vt:lpwstr>
  </property>
  <property fmtid="{D5CDD505-2E9C-101B-9397-08002B2CF9AE}" pid="18" name="_AuthorEmail">
    <vt:lpwstr>mila.novakovic@organon.com</vt:lpwstr>
  </property>
  <property fmtid="{D5CDD505-2E9C-101B-9397-08002B2CF9AE}" pid="19" name="_AuthorEmailDisplayName">
    <vt:lpwstr>Novaković, Mila</vt:lpwstr>
  </property>
  <property fmtid="{D5CDD505-2E9C-101B-9397-08002B2CF9AE}" pid="20" name="_ReviewingToolsShownOnce">
    <vt:lpwstr/>
  </property>
</Properties>
</file>