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39D0F" w14:textId="77777777" w:rsidR="00F91C7B" w:rsidRPr="00F234A2" w:rsidRDefault="00F91C7B" w:rsidP="001A5518">
      <w:pPr>
        <w:rPr>
          <w:b/>
          <w:bCs/>
          <w:i/>
          <w:iCs/>
          <w:sz w:val="22"/>
          <w:szCs w:val="22"/>
          <w:u w:val="single"/>
          <w:lang w:val="sr-Latn-ME"/>
        </w:rPr>
      </w:pPr>
    </w:p>
    <w:p w14:paraId="634CFE78" w14:textId="77777777" w:rsidR="002510A5" w:rsidRPr="00F234A2" w:rsidRDefault="002510A5" w:rsidP="002510A5">
      <w:pPr>
        <w:jc w:val="center"/>
        <w:rPr>
          <w:b/>
          <w:bCs/>
          <w:iCs/>
          <w:sz w:val="22"/>
          <w:szCs w:val="22"/>
          <w:u w:val="single"/>
          <w:lang w:val="sr-Latn-ME"/>
        </w:rPr>
      </w:pPr>
      <w:r w:rsidRPr="00F234A2">
        <w:rPr>
          <w:b/>
          <w:bCs/>
          <w:iCs/>
          <w:sz w:val="22"/>
          <w:szCs w:val="22"/>
          <w:u w:val="single"/>
          <w:lang w:val="sr-Latn-ME"/>
        </w:rPr>
        <w:t>SAŽETAK KARAKTERISTIKA LIJEKA</w:t>
      </w:r>
    </w:p>
    <w:p w14:paraId="1BCB4060" w14:textId="77777777" w:rsidR="002510A5" w:rsidRPr="00F234A2" w:rsidRDefault="002510A5" w:rsidP="002510A5">
      <w:pPr>
        <w:rPr>
          <w:b/>
          <w:bCs/>
          <w:i/>
          <w:iCs/>
          <w:sz w:val="22"/>
          <w:szCs w:val="22"/>
          <w:u w:val="single"/>
          <w:lang w:val="sr-Latn-ME"/>
        </w:rPr>
      </w:pPr>
    </w:p>
    <w:p w14:paraId="5F71633D" w14:textId="77777777" w:rsidR="003C17AB" w:rsidRPr="00F234A2" w:rsidRDefault="003C17AB" w:rsidP="00CA1FEB">
      <w:pPr>
        <w:rPr>
          <w:sz w:val="22"/>
          <w:szCs w:val="22"/>
          <w:lang w:val="sr-Latn-ME"/>
        </w:rPr>
      </w:pPr>
    </w:p>
    <w:p w14:paraId="1BF8F620" w14:textId="4C4144F1" w:rsidR="00C37FD7" w:rsidRPr="00F234A2" w:rsidRDefault="005C5EF4" w:rsidP="003A5532">
      <w:pPr>
        <w:tabs>
          <w:tab w:val="left" w:pos="540"/>
          <w:tab w:val="left" w:pos="569"/>
        </w:tabs>
        <w:jc w:val="both"/>
        <w:rPr>
          <w:bCs/>
          <w:i/>
          <w:sz w:val="22"/>
          <w:szCs w:val="22"/>
          <w:lang w:val="sr-Latn-ME"/>
        </w:rPr>
      </w:pPr>
      <w:r w:rsidRPr="00F234A2">
        <w:rPr>
          <w:noProof/>
          <w:sz w:val="22"/>
          <w:szCs w:val="22"/>
        </w:rPr>
        <w:drawing>
          <wp:inline distT="0" distB="0" distL="0" distR="0" wp14:anchorId="59A565AB" wp14:editId="1F4DD20C">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F234A2">
        <w:rPr>
          <w:noProof/>
          <w:sz w:val="22"/>
          <w:szCs w:val="22"/>
          <w:lang w:val="sr-Latn-ME"/>
        </w:rPr>
        <w:t xml:space="preserve"> Ovaj lijek je pod dodatnim praćenjem.</w:t>
      </w:r>
      <w:r w:rsidR="003C17AB" w:rsidRPr="00F234A2">
        <w:rPr>
          <w:sz w:val="22"/>
          <w:szCs w:val="22"/>
          <w:lang w:val="sr-Latn-ME"/>
        </w:rPr>
        <w:t xml:space="preserve"> </w:t>
      </w:r>
      <w:r w:rsidR="003C17AB" w:rsidRPr="00F234A2">
        <w:rPr>
          <w:noProof/>
          <w:sz w:val="22"/>
          <w:szCs w:val="22"/>
          <w:lang w:val="sr-Latn-ME"/>
        </w:rPr>
        <w:t>Time se omogućava brzo otkrivanje novih bezbjednosnih informacija. Zdravstveni radnici treba da prijave svaku sumnju na neželjeno dejstvo ovog lijeka.</w:t>
      </w:r>
      <w:r w:rsidR="003C17AB" w:rsidRPr="00F234A2">
        <w:rPr>
          <w:sz w:val="22"/>
          <w:szCs w:val="22"/>
          <w:lang w:val="sr-Latn-ME"/>
        </w:rPr>
        <w:t xml:space="preserve"> Za način prijavljivanja neželjenih dejstava vidjeti </w:t>
      </w:r>
      <w:r w:rsidR="007A3ECB" w:rsidRPr="00F234A2">
        <w:rPr>
          <w:sz w:val="22"/>
          <w:szCs w:val="22"/>
          <w:lang w:val="sr-Latn-ME"/>
        </w:rPr>
        <w:t xml:space="preserve">dio </w:t>
      </w:r>
      <w:r w:rsidR="003C17AB" w:rsidRPr="00F234A2">
        <w:rPr>
          <w:sz w:val="22"/>
          <w:szCs w:val="22"/>
          <w:lang w:val="sr-Latn-ME"/>
        </w:rPr>
        <w:t>4.8</w:t>
      </w:r>
      <w:r w:rsidR="003C17AB" w:rsidRPr="00F234A2">
        <w:rPr>
          <w:noProof/>
          <w:sz w:val="22"/>
          <w:szCs w:val="22"/>
          <w:lang w:val="sr-Latn-ME"/>
        </w:rPr>
        <w:t>.</w:t>
      </w:r>
    </w:p>
    <w:p w14:paraId="3906F0BC" w14:textId="77777777" w:rsidR="003C17AB" w:rsidRPr="00F234A2" w:rsidRDefault="003C17AB" w:rsidP="002D49AB">
      <w:pPr>
        <w:tabs>
          <w:tab w:val="left" w:pos="540"/>
          <w:tab w:val="left" w:pos="569"/>
        </w:tabs>
        <w:jc w:val="both"/>
        <w:rPr>
          <w:noProof/>
          <w:sz w:val="22"/>
          <w:szCs w:val="22"/>
          <w:lang w:val="sr-Latn-ME"/>
        </w:rPr>
      </w:pPr>
    </w:p>
    <w:p w14:paraId="5A4E1E3C" w14:textId="77777777" w:rsidR="00C37FD7" w:rsidRPr="00F234A2" w:rsidRDefault="00C37FD7" w:rsidP="002D49AB">
      <w:pPr>
        <w:tabs>
          <w:tab w:val="left" w:pos="540"/>
          <w:tab w:val="left" w:pos="569"/>
        </w:tabs>
        <w:jc w:val="both"/>
        <w:rPr>
          <w:bCs/>
          <w:sz w:val="22"/>
          <w:szCs w:val="22"/>
          <w:lang w:val="sr-Latn-ME"/>
        </w:rPr>
      </w:pPr>
    </w:p>
    <w:p w14:paraId="01EAB7A5" w14:textId="77777777" w:rsidR="00411B4B" w:rsidRPr="00F234A2" w:rsidRDefault="00411B4B" w:rsidP="002D49AB">
      <w:pPr>
        <w:tabs>
          <w:tab w:val="left" w:pos="540"/>
          <w:tab w:val="left" w:pos="569"/>
        </w:tabs>
        <w:jc w:val="both"/>
        <w:rPr>
          <w:b/>
          <w:bCs/>
          <w:sz w:val="22"/>
          <w:szCs w:val="22"/>
          <w:lang w:val="sr-Latn-ME"/>
        </w:rPr>
      </w:pPr>
      <w:r w:rsidRPr="00F234A2">
        <w:rPr>
          <w:b/>
          <w:bCs/>
          <w:sz w:val="22"/>
          <w:szCs w:val="22"/>
          <w:lang w:val="sr-Latn-ME"/>
        </w:rPr>
        <w:t>1.</w:t>
      </w:r>
      <w:r w:rsidR="00F5167F" w:rsidRPr="00F234A2">
        <w:rPr>
          <w:b/>
          <w:bCs/>
          <w:sz w:val="22"/>
          <w:szCs w:val="22"/>
          <w:lang w:val="sr-Latn-ME"/>
        </w:rPr>
        <w:tab/>
      </w:r>
      <w:r w:rsidR="002846DB" w:rsidRPr="00F234A2">
        <w:rPr>
          <w:b/>
          <w:bCs/>
          <w:sz w:val="22"/>
          <w:szCs w:val="22"/>
          <w:lang w:val="sr-Latn-ME"/>
        </w:rPr>
        <w:t xml:space="preserve">NAZIV </w:t>
      </w:r>
      <w:r w:rsidRPr="00F234A2">
        <w:rPr>
          <w:b/>
          <w:bCs/>
          <w:sz w:val="22"/>
          <w:szCs w:val="22"/>
          <w:lang w:val="sr-Latn-ME"/>
        </w:rPr>
        <w:t>LIJEKA</w:t>
      </w:r>
    </w:p>
    <w:p w14:paraId="2493F23C" w14:textId="77777777" w:rsidR="00EC2532" w:rsidRPr="00F234A2" w:rsidRDefault="00EC2532" w:rsidP="002D49AB">
      <w:pPr>
        <w:jc w:val="both"/>
        <w:rPr>
          <w:sz w:val="22"/>
          <w:szCs w:val="22"/>
          <w:lang w:val="sr-Latn-ME"/>
        </w:rPr>
      </w:pPr>
    </w:p>
    <w:p w14:paraId="3583814F" w14:textId="68C121DB" w:rsidR="0048424F" w:rsidRPr="00F234A2" w:rsidRDefault="0048424F">
      <w:pPr>
        <w:jc w:val="both"/>
        <w:rPr>
          <w:sz w:val="22"/>
          <w:szCs w:val="22"/>
          <w:lang w:val="sr-Latn-ME"/>
        </w:rPr>
      </w:pPr>
      <w:r w:rsidRPr="00F234A2">
        <w:rPr>
          <w:sz w:val="22"/>
          <w:szCs w:val="22"/>
          <w:lang w:val="sr-Latn-ME"/>
        </w:rPr>
        <w:t xml:space="preserve">Scemblix, 20 mg, film </w:t>
      </w:r>
      <w:r w:rsidR="00304249" w:rsidRPr="00F234A2">
        <w:rPr>
          <w:sz w:val="22"/>
          <w:szCs w:val="22"/>
          <w:lang w:val="sr-Latn-ME"/>
        </w:rPr>
        <w:t>tableta</w:t>
      </w:r>
    </w:p>
    <w:p w14:paraId="2D6A4E91" w14:textId="543CCB63" w:rsidR="000D425A" w:rsidRPr="00F234A2" w:rsidRDefault="0048424F">
      <w:pPr>
        <w:jc w:val="both"/>
        <w:rPr>
          <w:sz w:val="22"/>
          <w:szCs w:val="22"/>
          <w:lang w:val="sr-Latn-ME"/>
        </w:rPr>
      </w:pPr>
      <w:r w:rsidRPr="00F234A2">
        <w:rPr>
          <w:sz w:val="22"/>
          <w:szCs w:val="22"/>
          <w:lang w:val="sr-Latn-ME"/>
        </w:rPr>
        <w:t xml:space="preserve">Scemblix, 40 mg, film </w:t>
      </w:r>
      <w:r w:rsidR="00304249" w:rsidRPr="00F234A2">
        <w:rPr>
          <w:sz w:val="22"/>
          <w:szCs w:val="22"/>
          <w:lang w:val="sr-Latn-ME"/>
        </w:rPr>
        <w:t>tableta</w:t>
      </w:r>
    </w:p>
    <w:p w14:paraId="7B00ED1C" w14:textId="77777777" w:rsidR="0048424F" w:rsidRPr="00F234A2" w:rsidRDefault="0048424F">
      <w:pPr>
        <w:jc w:val="both"/>
        <w:rPr>
          <w:bCs/>
          <w:sz w:val="22"/>
          <w:szCs w:val="22"/>
          <w:lang w:val="sr-Latn-ME"/>
        </w:rPr>
      </w:pPr>
    </w:p>
    <w:p w14:paraId="6254E08C" w14:textId="69C19746" w:rsidR="006D20A5" w:rsidRPr="00F234A2" w:rsidRDefault="006D20A5">
      <w:pPr>
        <w:jc w:val="both"/>
        <w:rPr>
          <w:sz w:val="22"/>
          <w:szCs w:val="22"/>
          <w:lang w:val="sr-Latn-ME"/>
        </w:rPr>
      </w:pPr>
      <w:r w:rsidRPr="00F234A2">
        <w:rPr>
          <w:sz w:val="22"/>
          <w:szCs w:val="22"/>
          <w:lang w:val="sr-Latn-ME"/>
        </w:rPr>
        <w:t>INN:</w:t>
      </w:r>
      <w:r w:rsidR="0048424F" w:rsidRPr="00F234A2">
        <w:rPr>
          <w:sz w:val="22"/>
          <w:szCs w:val="22"/>
          <w:lang w:val="sr-Latn-ME"/>
        </w:rPr>
        <w:t xml:space="preserve"> asciminib</w:t>
      </w:r>
    </w:p>
    <w:p w14:paraId="6D374CD3" w14:textId="77777777" w:rsidR="006D20A5" w:rsidRPr="00F234A2" w:rsidRDefault="006D20A5" w:rsidP="002D49AB">
      <w:pPr>
        <w:jc w:val="both"/>
        <w:rPr>
          <w:bCs/>
          <w:sz w:val="22"/>
          <w:szCs w:val="22"/>
          <w:lang w:val="sr-Latn-ME"/>
        </w:rPr>
      </w:pPr>
    </w:p>
    <w:p w14:paraId="7D8B1F0E" w14:textId="77777777" w:rsidR="00530BD7" w:rsidRPr="00F234A2" w:rsidRDefault="00530BD7" w:rsidP="002D49AB">
      <w:pPr>
        <w:jc w:val="both"/>
        <w:rPr>
          <w:bCs/>
          <w:sz w:val="22"/>
          <w:szCs w:val="22"/>
          <w:lang w:val="sr-Latn-ME"/>
        </w:rPr>
      </w:pPr>
    </w:p>
    <w:p w14:paraId="5D334535" w14:textId="77777777" w:rsidR="00411B4B" w:rsidRPr="00F234A2" w:rsidRDefault="00411B4B" w:rsidP="002D49AB">
      <w:pPr>
        <w:tabs>
          <w:tab w:val="left" w:pos="540"/>
          <w:tab w:val="left" w:pos="569"/>
        </w:tabs>
        <w:jc w:val="both"/>
        <w:rPr>
          <w:b/>
          <w:bCs/>
          <w:sz w:val="22"/>
          <w:szCs w:val="22"/>
          <w:lang w:val="sr-Latn-ME"/>
        </w:rPr>
      </w:pPr>
      <w:r w:rsidRPr="00F234A2">
        <w:rPr>
          <w:b/>
          <w:bCs/>
          <w:sz w:val="22"/>
          <w:szCs w:val="22"/>
          <w:lang w:val="sr-Latn-ME"/>
        </w:rPr>
        <w:t xml:space="preserve">2. </w:t>
      </w:r>
      <w:r w:rsidR="00F5167F" w:rsidRPr="00F234A2">
        <w:rPr>
          <w:b/>
          <w:bCs/>
          <w:sz w:val="22"/>
          <w:szCs w:val="22"/>
          <w:lang w:val="sr-Latn-ME"/>
        </w:rPr>
        <w:tab/>
      </w:r>
      <w:r w:rsidRPr="00F234A2">
        <w:rPr>
          <w:b/>
          <w:bCs/>
          <w:sz w:val="22"/>
          <w:szCs w:val="22"/>
          <w:lang w:val="sr-Latn-ME"/>
        </w:rPr>
        <w:t>KVALITATIVNI I KVANTITATIVNI SASTAV</w:t>
      </w:r>
    </w:p>
    <w:p w14:paraId="12F2FC77" w14:textId="7D054606" w:rsidR="005A0B2E" w:rsidRPr="00F234A2" w:rsidRDefault="005A0B2E" w:rsidP="002D49AB">
      <w:pPr>
        <w:jc w:val="both"/>
        <w:rPr>
          <w:sz w:val="22"/>
          <w:szCs w:val="22"/>
          <w:lang w:val="sr-Latn-ME"/>
        </w:rPr>
      </w:pPr>
    </w:p>
    <w:p w14:paraId="74D8398D" w14:textId="77777777" w:rsidR="0048424F" w:rsidRPr="00F234A2" w:rsidRDefault="0048424F">
      <w:pPr>
        <w:jc w:val="both"/>
        <w:rPr>
          <w:i/>
          <w:iCs/>
          <w:sz w:val="22"/>
          <w:szCs w:val="22"/>
          <w:lang w:val="sr-Latn-ME"/>
        </w:rPr>
      </w:pPr>
      <w:r w:rsidRPr="00F234A2">
        <w:rPr>
          <w:i/>
          <w:iCs/>
          <w:sz w:val="22"/>
          <w:szCs w:val="22"/>
          <w:lang w:val="sr-Latn-ME"/>
        </w:rPr>
        <w:t>Scemblix, 20 mg, film tablete</w:t>
      </w:r>
    </w:p>
    <w:p w14:paraId="2624CEF9" w14:textId="77777777" w:rsidR="0048424F" w:rsidRPr="00F234A2" w:rsidRDefault="0048424F">
      <w:pPr>
        <w:jc w:val="both"/>
        <w:rPr>
          <w:sz w:val="22"/>
          <w:szCs w:val="22"/>
          <w:lang w:val="sr-Latn-ME"/>
        </w:rPr>
      </w:pPr>
      <w:r w:rsidRPr="00F234A2">
        <w:rPr>
          <w:sz w:val="22"/>
          <w:szCs w:val="22"/>
          <w:lang w:val="sr-Latn-ME"/>
        </w:rPr>
        <w:t>Jedna film tableta sadrži 21,62 mg asciminib hidrohlorida, što odgovara 20 mg asciminiba.</w:t>
      </w:r>
    </w:p>
    <w:p w14:paraId="6D24E22C" w14:textId="77777777" w:rsidR="0048424F" w:rsidRPr="00F234A2" w:rsidRDefault="0048424F">
      <w:pPr>
        <w:jc w:val="both"/>
        <w:rPr>
          <w:sz w:val="22"/>
          <w:szCs w:val="22"/>
          <w:lang w:val="sr-Latn-ME"/>
        </w:rPr>
      </w:pPr>
    </w:p>
    <w:p w14:paraId="3B05A945" w14:textId="77777777" w:rsidR="0048424F" w:rsidRPr="00F234A2" w:rsidRDefault="0048424F">
      <w:pPr>
        <w:jc w:val="both"/>
        <w:rPr>
          <w:sz w:val="22"/>
          <w:szCs w:val="22"/>
          <w:u w:val="single"/>
          <w:lang w:val="sr-Latn-ME"/>
        </w:rPr>
      </w:pPr>
      <w:r w:rsidRPr="00F234A2">
        <w:rPr>
          <w:sz w:val="22"/>
          <w:szCs w:val="22"/>
          <w:u w:val="single"/>
          <w:lang w:val="sr-Latn-ME"/>
        </w:rPr>
        <w:t xml:space="preserve">Pomoćna supstanca sa potvrđenim dejstvom: </w:t>
      </w:r>
    </w:p>
    <w:p w14:paraId="633B9C7F" w14:textId="3FF0F46B" w:rsidR="0048424F" w:rsidRPr="00F234A2" w:rsidRDefault="0048424F">
      <w:pPr>
        <w:jc w:val="both"/>
        <w:rPr>
          <w:sz w:val="22"/>
          <w:szCs w:val="22"/>
          <w:lang w:val="sr-Latn-ME"/>
        </w:rPr>
      </w:pPr>
      <w:r w:rsidRPr="00F234A2">
        <w:rPr>
          <w:sz w:val="22"/>
          <w:szCs w:val="22"/>
          <w:lang w:val="sr-Latn-ME"/>
        </w:rPr>
        <w:t>Jedna film tableta sadrži 43 mg laktoze, monohidrata</w:t>
      </w:r>
      <w:r w:rsidR="00304249" w:rsidRPr="00F234A2">
        <w:rPr>
          <w:sz w:val="22"/>
          <w:szCs w:val="22"/>
          <w:lang w:val="sr-Latn-ME"/>
        </w:rPr>
        <w:t>.</w:t>
      </w:r>
    </w:p>
    <w:p w14:paraId="00EFAB94" w14:textId="77777777" w:rsidR="0048424F" w:rsidRPr="00F234A2" w:rsidRDefault="0048424F">
      <w:pPr>
        <w:jc w:val="both"/>
        <w:rPr>
          <w:sz w:val="22"/>
          <w:szCs w:val="22"/>
          <w:lang w:val="sr-Latn-ME"/>
        </w:rPr>
      </w:pPr>
    </w:p>
    <w:p w14:paraId="0595EE6A" w14:textId="77777777" w:rsidR="0048424F" w:rsidRPr="00F234A2" w:rsidRDefault="0048424F">
      <w:pPr>
        <w:jc w:val="both"/>
        <w:rPr>
          <w:i/>
          <w:iCs/>
          <w:sz w:val="22"/>
          <w:szCs w:val="22"/>
          <w:lang w:val="sr-Latn-ME"/>
        </w:rPr>
      </w:pPr>
      <w:r w:rsidRPr="00F234A2">
        <w:rPr>
          <w:i/>
          <w:iCs/>
          <w:sz w:val="22"/>
          <w:szCs w:val="22"/>
          <w:lang w:val="sr-Latn-ME"/>
        </w:rPr>
        <w:t>Scemblix, 40 mg, film tablete</w:t>
      </w:r>
    </w:p>
    <w:p w14:paraId="63E7FAF9" w14:textId="77777777" w:rsidR="0048424F" w:rsidRPr="00F234A2" w:rsidRDefault="0048424F">
      <w:pPr>
        <w:jc w:val="both"/>
        <w:rPr>
          <w:sz w:val="22"/>
          <w:szCs w:val="22"/>
          <w:lang w:val="sr-Latn-ME"/>
        </w:rPr>
      </w:pPr>
      <w:r w:rsidRPr="00F234A2">
        <w:rPr>
          <w:sz w:val="22"/>
          <w:szCs w:val="22"/>
          <w:lang w:val="sr-Latn-ME"/>
        </w:rPr>
        <w:t>Jedna film tableta sadrži 43,24 mg asciminib hidrohlorida, što odgovara 40 mg asciminiba.</w:t>
      </w:r>
    </w:p>
    <w:p w14:paraId="55941D12" w14:textId="77777777" w:rsidR="0048424F" w:rsidRPr="00F234A2" w:rsidRDefault="0048424F">
      <w:pPr>
        <w:jc w:val="both"/>
        <w:rPr>
          <w:sz w:val="22"/>
          <w:szCs w:val="22"/>
          <w:lang w:val="sr-Latn-ME"/>
        </w:rPr>
      </w:pPr>
    </w:p>
    <w:p w14:paraId="2E2C2ABC" w14:textId="77777777" w:rsidR="0048424F" w:rsidRPr="00F234A2" w:rsidRDefault="0048424F">
      <w:pPr>
        <w:jc w:val="both"/>
        <w:rPr>
          <w:sz w:val="22"/>
          <w:szCs w:val="22"/>
          <w:u w:val="single"/>
          <w:lang w:val="sr-Latn-ME"/>
        </w:rPr>
      </w:pPr>
      <w:r w:rsidRPr="00F234A2">
        <w:rPr>
          <w:sz w:val="22"/>
          <w:szCs w:val="22"/>
          <w:u w:val="single"/>
          <w:lang w:val="sr-Latn-ME"/>
        </w:rPr>
        <w:t xml:space="preserve">Pomoćna supstanca sa potvrđenim dejstvom: </w:t>
      </w:r>
    </w:p>
    <w:p w14:paraId="4E5C4D7D" w14:textId="0FF92DEB" w:rsidR="0048424F" w:rsidRPr="00F234A2" w:rsidRDefault="0048424F">
      <w:pPr>
        <w:jc w:val="both"/>
        <w:rPr>
          <w:sz w:val="22"/>
          <w:szCs w:val="22"/>
          <w:lang w:val="sr-Latn-ME"/>
        </w:rPr>
      </w:pPr>
      <w:r w:rsidRPr="00F234A2">
        <w:rPr>
          <w:sz w:val="22"/>
          <w:szCs w:val="22"/>
          <w:lang w:val="sr-Latn-ME"/>
        </w:rPr>
        <w:t>Jedna film tableta sadrži 86 mg laktoze, monohidrata</w:t>
      </w:r>
      <w:r w:rsidR="00304249" w:rsidRPr="00F234A2">
        <w:rPr>
          <w:sz w:val="22"/>
          <w:szCs w:val="22"/>
          <w:lang w:val="sr-Latn-ME"/>
        </w:rPr>
        <w:t>.</w:t>
      </w:r>
    </w:p>
    <w:p w14:paraId="4471F9C0" w14:textId="77777777" w:rsidR="0048424F" w:rsidRPr="00F234A2" w:rsidRDefault="0048424F">
      <w:pPr>
        <w:jc w:val="both"/>
        <w:rPr>
          <w:sz w:val="22"/>
          <w:szCs w:val="22"/>
          <w:lang w:val="sr-Latn-ME"/>
        </w:rPr>
      </w:pPr>
    </w:p>
    <w:p w14:paraId="0ECC1E86" w14:textId="77777777" w:rsidR="0003793F" w:rsidRPr="00F234A2" w:rsidRDefault="0003793F">
      <w:pPr>
        <w:jc w:val="both"/>
        <w:rPr>
          <w:sz w:val="22"/>
          <w:szCs w:val="22"/>
          <w:lang w:val="sr-Latn-ME"/>
        </w:rPr>
      </w:pPr>
      <w:r w:rsidRPr="00F234A2">
        <w:rPr>
          <w:sz w:val="22"/>
          <w:szCs w:val="22"/>
          <w:lang w:val="sr-Latn-ME"/>
        </w:rPr>
        <w:t>Za spisak svih ekscipijenasa, pogledati dio 6.1.</w:t>
      </w:r>
    </w:p>
    <w:p w14:paraId="47BBC47C" w14:textId="77777777" w:rsidR="0003793F" w:rsidRPr="00F234A2" w:rsidRDefault="0003793F" w:rsidP="0095542C">
      <w:pPr>
        <w:jc w:val="both"/>
        <w:rPr>
          <w:sz w:val="22"/>
          <w:szCs w:val="22"/>
          <w:lang w:val="sr-Latn-ME"/>
        </w:rPr>
      </w:pPr>
    </w:p>
    <w:p w14:paraId="096D9FAB" w14:textId="77777777" w:rsidR="00C37FD7" w:rsidRPr="00F234A2" w:rsidRDefault="00C37FD7" w:rsidP="0095542C">
      <w:pPr>
        <w:jc w:val="both"/>
        <w:rPr>
          <w:sz w:val="22"/>
          <w:szCs w:val="22"/>
          <w:lang w:val="sr-Latn-ME"/>
        </w:rPr>
      </w:pPr>
    </w:p>
    <w:p w14:paraId="4D9315B2" w14:textId="77777777" w:rsidR="00411B4B" w:rsidRPr="00F234A2" w:rsidRDefault="00411B4B" w:rsidP="0095542C">
      <w:pPr>
        <w:tabs>
          <w:tab w:val="left" w:pos="540"/>
          <w:tab w:val="left" w:pos="569"/>
        </w:tabs>
        <w:jc w:val="both"/>
        <w:rPr>
          <w:b/>
          <w:bCs/>
          <w:sz w:val="22"/>
          <w:szCs w:val="22"/>
          <w:lang w:val="sr-Latn-ME"/>
        </w:rPr>
      </w:pPr>
      <w:r w:rsidRPr="00F234A2">
        <w:rPr>
          <w:b/>
          <w:bCs/>
          <w:sz w:val="22"/>
          <w:szCs w:val="22"/>
          <w:lang w:val="sr-Latn-ME"/>
        </w:rPr>
        <w:t xml:space="preserve">3. </w:t>
      </w:r>
      <w:r w:rsidR="00F5167F" w:rsidRPr="00F234A2">
        <w:rPr>
          <w:b/>
          <w:bCs/>
          <w:sz w:val="22"/>
          <w:szCs w:val="22"/>
          <w:lang w:val="sr-Latn-ME"/>
        </w:rPr>
        <w:tab/>
      </w:r>
      <w:r w:rsidRPr="00F234A2">
        <w:rPr>
          <w:b/>
          <w:bCs/>
          <w:sz w:val="22"/>
          <w:szCs w:val="22"/>
          <w:lang w:val="sr-Latn-ME"/>
        </w:rPr>
        <w:t>FARMACEUTSKI OBLIK</w:t>
      </w:r>
      <w:r w:rsidR="009F2D23" w:rsidRPr="00F234A2">
        <w:rPr>
          <w:b/>
          <w:bCs/>
          <w:sz w:val="22"/>
          <w:szCs w:val="22"/>
          <w:lang w:val="sr-Latn-ME"/>
        </w:rPr>
        <w:t xml:space="preserve"> </w:t>
      </w:r>
    </w:p>
    <w:p w14:paraId="1EB43ECF" w14:textId="77777777" w:rsidR="00411B4B" w:rsidRPr="00F234A2" w:rsidRDefault="00411B4B" w:rsidP="0095542C">
      <w:pPr>
        <w:jc w:val="both"/>
        <w:rPr>
          <w:bCs/>
          <w:sz w:val="22"/>
          <w:szCs w:val="22"/>
          <w:lang w:val="sr-Latn-ME"/>
        </w:rPr>
      </w:pPr>
    </w:p>
    <w:p w14:paraId="5B69949B" w14:textId="77777777" w:rsidR="0048424F" w:rsidRPr="00F234A2" w:rsidRDefault="0048424F" w:rsidP="0095542C">
      <w:pPr>
        <w:jc w:val="both"/>
        <w:rPr>
          <w:bCs/>
          <w:sz w:val="22"/>
          <w:szCs w:val="22"/>
          <w:lang w:val="sr-Latn-ME"/>
        </w:rPr>
      </w:pPr>
      <w:r w:rsidRPr="00F234A2">
        <w:rPr>
          <w:bCs/>
          <w:sz w:val="22"/>
          <w:szCs w:val="22"/>
          <w:lang w:val="sr-Latn-ME"/>
        </w:rPr>
        <w:t>Film tableta (tableta).</w:t>
      </w:r>
    </w:p>
    <w:p w14:paraId="7C76F0CC" w14:textId="77777777" w:rsidR="0048424F" w:rsidRPr="00F234A2" w:rsidRDefault="0048424F" w:rsidP="0095542C">
      <w:pPr>
        <w:jc w:val="both"/>
        <w:rPr>
          <w:bCs/>
          <w:sz w:val="22"/>
          <w:szCs w:val="22"/>
          <w:lang w:val="sr-Latn-ME"/>
        </w:rPr>
      </w:pPr>
    </w:p>
    <w:p w14:paraId="7A00C7EE" w14:textId="77777777" w:rsidR="0048424F" w:rsidRPr="00F234A2" w:rsidRDefault="0048424F" w:rsidP="0095542C">
      <w:pPr>
        <w:jc w:val="both"/>
        <w:rPr>
          <w:bCs/>
          <w:i/>
          <w:iCs/>
          <w:sz w:val="22"/>
          <w:szCs w:val="22"/>
          <w:lang w:val="sr-Latn-ME"/>
        </w:rPr>
      </w:pPr>
      <w:r w:rsidRPr="00F234A2">
        <w:rPr>
          <w:bCs/>
          <w:i/>
          <w:iCs/>
          <w:sz w:val="22"/>
          <w:szCs w:val="22"/>
          <w:lang w:val="sr-Latn-ME"/>
        </w:rPr>
        <w:t>Scemblix, 20 mg, film tablete</w:t>
      </w:r>
    </w:p>
    <w:p w14:paraId="0B02DF30" w14:textId="7D37CDD2" w:rsidR="0048424F" w:rsidRPr="00F234A2" w:rsidRDefault="0048424F" w:rsidP="0095542C">
      <w:pPr>
        <w:jc w:val="both"/>
        <w:rPr>
          <w:bCs/>
          <w:sz w:val="22"/>
          <w:szCs w:val="22"/>
          <w:lang w:val="sr-Latn-ME"/>
        </w:rPr>
      </w:pPr>
      <w:r w:rsidRPr="00F234A2">
        <w:rPr>
          <w:bCs/>
          <w:sz w:val="22"/>
          <w:szCs w:val="22"/>
          <w:lang w:val="sr-Latn-ME"/>
        </w:rPr>
        <w:t>Sv</w:t>
      </w:r>
      <w:r w:rsidR="0094593A" w:rsidRPr="00F234A2">
        <w:rPr>
          <w:bCs/>
          <w:sz w:val="22"/>
          <w:szCs w:val="22"/>
          <w:lang w:val="sr-Latn-ME"/>
        </w:rPr>
        <w:t>ij</w:t>
      </w:r>
      <w:r w:rsidRPr="00F234A2">
        <w:rPr>
          <w:bCs/>
          <w:sz w:val="22"/>
          <w:szCs w:val="22"/>
          <w:lang w:val="sr-Latn-ME"/>
        </w:rPr>
        <w:t xml:space="preserve">etlo žuta, okrugla, bikonveksna film tableta zakošenih ivica, prečnika veličine oko 6 mm, sa utisnutim logom sa jedne strane i „20“ sa druge strane. </w:t>
      </w:r>
    </w:p>
    <w:p w14:paraId="0838F34E" w14:textId="77777777" w:rsidR="0048424F" w:rsidRPr="00F234A2" w:rsidRDefault="0048424F" w:rsidP="0095542C">
      <w:pPr>
        <w:jc w:val="both"/>
        <w:rPr>
          <w:bCs/>
          <w:sz w:val="22"/>
          <w:szCs w:val="22"/>
          <w:lang w:val="sr-Latn-ME"/>
        </w:rPr>
      </w:pPr>
    </w:p>
    <w:p w14:paraId="0BDABA07" w14:textId="77777777" w:rsidR="0048424F" w:rsidRPr="00F234A2" w:rsidRDefault="0048424F" w:rsidP="0095542C">
      <w:pPr>
        <w:jc w:val="both"/>
        <w:rPr>
          <w:bCs/>
          <w:i/>
          <w:iCs/>
          <w:sz w:val="22"/>
          <w:szCs w:val="22"/>
          <w:lang w:val="sr-Latn-ME"/>
        </w:rPr>
      </w:pPr>
      <w:r w:rsidRPr="00F234A2">
        <w:rPr>
          <w:bCs/>
          <w:i/>
          <w:iCs/>
          <w:sz w:val="22"/>
          <w:szCs w:val="22"/>
          <w:lang w:val="sr-Latn-ME"/>
        </w:rPr>
        <w:t>Scemblix, 40 mg, film tablete</w:t>
      </w:r>
    </w:p>
    <w:p w14:paraId="03DA4952" w14:textId="07A83E53" w:rsidR="00EC2532" w:rsidRPr="00F234A2" w:rsidRDefault="0048424F" w:rsidP="0095542C">
      <w:pPr>
        <w:jc w:val="both"/>
        <w:rPr>
          <w:bCs/>
          <w:sz w:val="22"/>
          <w:szCs w:val="22"/>
          <w:lang w:val="sr-Latn-ME"/>
        </w:rPr>
      </w:pPr>
      <w:r w:rsidRPr="00F234A2">
        <w:rPr>
          <w:bCs/>
          <w:sz w:val="22"/>
          <w:szCs w:val="22"/>
          <w:lang w:val="sr-Latn-ME"/>
        </w:rPr>
        <w:t>Ljubičasto b</w:t>
      </w:r>
      <w:r w:rsidR="0094593A" w:rsidRPr="00F234A2">
        <w:rPr>
          <w:bCs/>
          <w:sz w:val="22"/>
          <w:szCs w:val="22"/>
          <w:lang w:val="sr-Latn-ME"/>
        </w:rPr>
        <w:t>ij</w:t>
      </w:r>
      <w:r w:rsidRPr="00F234A2">
        <w:rPr>
          <w:bCs/>
          <w:sz w:val="22"/>
          <w:szCs w:val="22"/>
          <w:lang w:val="sr-Latn-ME"/>
        </w:rPr>
        <w:t>ela, okrugla, bikonveksna film tableta zakošenih ivica, prečnika veličine oko 8 mm, sa utisnutim logom sa jedne strane i „40“ sa druge strane.</w:t>
      </w:r>
    </w:p>
    <w:p w14:paraId="0DD8AAD4" w14:textId="1AA76037" w:rsidR="0048424F" w:rsidRPr="00F234A2" w:rsidRDefault="0048424F" w:rsidP="0095542C">
      <w:pPr>
        <w:jc w:val="both"/>
        <w:rPr>
          <w:bCs/>
          <w:sz w:val="22"/>
          <w:szCs w:val="22"/>
          <w:lang w:val="sr-Latn-ME"/>
        </w:rPr>
      </w:pPr>
    </w:p>
    <w:p w14:paraId="2222D07C" w14:textId="77777777" w:rsidR="00304249" w:rsidRPr="00F234A2" w:rsidRDefault="00304249" w:rsidP="0095542C">
      <w:pPr>
        <w:jc w:val="both"/>
        <w:rPr>
          <w:bCs/>
          <w:sz w:val="22"/>
          <w:szCs w:val="22"/>
          <w:lang w:val="sr-Latn-ME"/>
        </w:rPr>
      </w:pPr>
    </w:p>
    <w:p w14:paraId="683B7227" w14:textId="77777777" w:rsidR="00411B4B" w:rsidRPr="00F234A2" w:rsidRDefault="00411B4B" w:rsidP="0095542C">
      <w:pPr>
        <w:tabs>
          <w:tab w:val="left" w:pos="540"/>
          <w:tab w:val="left" w:pos="569"/>
        </w:tabs>
        <w:jc w:val="both"/>
        <w:rPr>
          <w:b/>
          <w:bCs/>
          <w:sz w:val="22"/>
          <w:szCs w:val="22"/>
          <w:lang w:val="sr-Latn-ME"/>
        </w:rPr>
      </w:pPr>
      <w:r w:rsidRPr="00F234A2">
        <w:rPr>
          <w:b/>
          <w:bCs/>
          <w:sz w:val="22"/>
          <w:szCs w:val="22"/>
          <w:lang w:val="sr-Latn-ME"/>
        </w:rPr>
        <w:t xml:space="preserve">4. </w:t>
      </w:r>
      <w:r w:rsidR="00480FB1" w:rsidRPr="00F234A2">
        <w:rPr>
          <w:b/>
          <w:bCs/>
          <w:sz w:val="22"/>
          <w:szCs w:val="22"/>
          <w:lang w:val="sr-Latn-ME"/>
        </w:rPr>
        <w:tab/>
      </w:r>
      <w:r w:rsidRPr="00F234A2">
        <w:rPr>
          <w:b/>
          <w:bCs/>
          <w:sz w:val="22"/>
          <w:szCs w:val="22"/>
          <w:lang w:val="sr-Latn-ME"/>
        </w:rPr>
        <w:t>KLINIČKI PODACI</w:t>
      </w:r>
    </w:p>
    <w:p w14:paraId="4B97382E" w14:textId="77777777" w:rsidR="00CD6F02" w:rsidRPr="00F234A2" w:rsidRDefault="00CD6F02" w:rsidP="0095542C">
      <w:pPr>
        <w:tabs>
          <w:tab w:val="left" w:pos="540"/>
          <w:tab w:val="left" w:pos="569"/>
        </w:tabs>
        <w:jc w:val="both"/>
        <w:rPr>
          <w:bCs/>
          <w:sz w:val="22"/>
          <w:szCs w:val="22"/>
          <w:lang w:val="sr-Latn-ME"/>
        </w:rPr>
      </w:pPr>
    </w:p>
    <w:p w14:paraId="035319C7" w14:textId="17ACC799" w:rsidR="00411B4B" w:rsidRPr="00F234A2" w:rsidRDefault="00411B4B" w:rsidP="0095542C">
      <w:pPr>
        <w:tabs>
          <w:tab w:val="left" w:pos="540"/>
          <w:tab w:val="left" w:pos="569"/>
        </w:tabs>
        <w:jc w:val="both"/>
        <w:rPr>
          <w:b/>
          <w:bCs/>
          <w:sz w:val="22"/>
          <w:szCs w:val="22"/>
          <w:lang w:val="sr-Latn-ME"/>
        </w:rPr>
      </w:pPr>
      <w:r w:rsidRPr="00F234A2">
        <w:rPr>
          <w:b/>
          <w:bCs/>
          <w:sz w:val="22"/>
          <w:szCs w:val="22"/>
          <w:lang w:val="sr-Latn-ME"/>
        </w:rPr>
        <w:t xml:space="preserve">4.1. </w:t>
      </w:r>
      <w:r w:rsidR="00480FB1" w:rsidRPr="00F234A2">
        <w:rPr>
          <w:b/>
          <w:bCs/>
          <w:sz w:val="22"/>
          <w:szCs w:val="22"/>
          <w:lang w:val="sr-Latn-ME"/>
        </w:rPr>
        <w:tab/>
      </w:r>
      <w:r w:rsidRPr="00F234A2">
        <w:rPr>
          <w:b/>
          <w:bCs/>
          <w:sz w:val="22"/>
          <w:szCs w:val="22"/>
          <w:lang w:val="sr-Latn-ME"/>
        </w:rPr>
        <w:t>Terapijske indikacije</w:t>
      </w:r>
    </w:p>
    <w:p w14:paraId="5A71F366" w14:textId="77777777" w:rsidR="0048424F" w:rsidRPr="00F234A2" w:rsidRDefault="0048424F" w:rsidP="0095542C">
      <w:pPr>
        <w:tabs>
          <w:tab w:val="left" w:pos="540"/>
          <w:tab w:val="left" w:pos="569"/>
        </w:tabs>
        <w:jc w:val="both"/>
        <w:rPr>
          <w:b/>
          <w:bCs/>
          <w:sz w:val="22"/>
          <w:szCs w:val="22"/>
          <w:lang w:val="sr-Latn-ME"/>
        </w:rPr>
      </w:pPr>
    </w:p>
    <w:p w14:paraId="26108B56" w14:textId="38C72329" w:rsidR="00411B4B" w:rsidRPr="00F234A2" w:rsidRDefault="0048424F" w:rsidP="0095542C">
      <w:pPr>
        <w:tabs>
          <w:tab w:val="left" w:pos="540"/>
          <w:tab w:val="left" w:pos="569"/>
        </w:tabs>
        <w:jc w:val="both"/>
        <w:rPr>
          <w:bCs/>
          <w:sz w:val="22"/>
          <w:szCs w:val="22"/>
          <w:lang w:val="sr-Latn-ME"/>
        </w:rPr>
      </w:pPr>
      <w:r w:rsidRPr="00F234A2">
        <w:rPr>
          <w:bCs/>
          <w:sz w:val="22"/>
          <w:szCs w:val="22"/>
          <w:lang w:val="sr-Latn-ME"/>
        </w:rPr>
        <w:t>L</w:t>
      </w:r>
      <w:r w:rsidR="0094593A" w:rsidRPr="00F234A2">
        <w:rPr>
          <w:bCs/>
          <w:sz w:val="22"/>
          <w:szCs w:val="22"/>
          <w:lang w:val="sr-Latn-ME"/>
        </w:rPr>
        <w:t>ij</w:t>
      </w:r>
      <w:r w:rsidRPr="00F234A2">
        <w:rPr>
          <w:bCs/>
          <w:sz w:val="22"/>
          <w:szCs w:val="22"/>
          <w:lang w:val="sr-Latn-ME"/>
        </w:rPr>
        <w:t>ek Scemblix je indikovan za l</w:t>
      </w:r>
      <w:r w:rsidR="0094593A" w:rsidRPr="00F234A2">
        <w:rPr>
          <w:bCs/>
          <w:sz w:val="22"/>
          <w:szCs w:val="22"/>
          <w:lang w:val="sr-Latn-ME"/>
        </w:rPr>
        <w:t>ij</w:t>
      </w:r>
      <w:r w:rsidRPr="00F234A2">
        <w:rPr>
          <w:bCs/>
          <w:sz w:val="22"/>
          <w:szCs w:val="22"/>
          <w:lang w:val="sr-Latn-ME"/>
        </w:rPr>
        <w:t xml:space="preserve">ečenje odraslih sa </w:t>
      </w:r>
      <w:r w:rsidRPr="00F234A2">
        <w:rPr>
          <w:bCs/>
          <w:i/>
          <w:sz w:val="22"/>
          <w:szCs w:val="22"/>
          <w:lang w:val="sr-Latn-ME"/>
        </w:rPr>
        <w:t>Philadelphia</w:t>
      </w:r>
      <w:r w:rsidRPr="00F234A2">
        <w:rPr>
          <w:bCs/>
          <w:sz w:val="22"/>
          <w:szCs w:val="22"/>
          <w:lang w:val="sr-Latn-ME"/>
        </w:rPr>
        <w:t>-hromozom pozitivnom hroničnom mijeloidnom leukemijom u hroničnoj fazi (Ph+ CML-CP) koji su prethodno l</w:t>
      </w:r>
      <w:r w:rsidR="0094593A" w:rsidRPr="00F234A2">
        <w:rPr>
          <w:bCs/>
          <w:sz w:val="22"/>
          <w:szCs w:val="22"/>
          <w:lang w:val="sr-Latn-ME"/>
        </w:rPr>
        <w:t>ij</w:t>
      </w:r>
      <w:r w:rsidRPr="00F234A2">
        <w:rPr>
          <w:bCs/>
          <w:sz w:val="22"/>
          <w:szCs w:val="22"/>
          <w:lang w:val="sr-Latn-ME"/>
        </w:rPr>
        <w:t>ečeni sa dva ili više inhibitora tirozin kinaze (vid</w:t>
      </w:r>
      <w:r w:rsidR="0094593A" w:rsidRPr="00F234A2">
        <w:rPr>
          <w:bCs/>
          <w:sz w:val="22"/>
          <w:szCs w:val="22"/>
          <w:lang w:val="sr-Latn-ME"/>
        </w:rPr>
        <w:t>j</w:t>
      </w:r>
      <w:r w:rsidRPr="00F234A2">
        <w:rPr>
          <w:bCs/>
          <w:sz w:val="22"/>
          <w:szCs w:val="22"/>
          <w:lang w:val="sr-Latn-ME"/>
        </w:rPr>
        <w:t xml:space="preserve">eti </w:t>
      </w:r>
      <w:r w:rsidR="00654F19" w:rsidRPr="00F234A2">
        <w:rPr>
          <w:bCs/>
          <w:sz w:val="22"/>
          <w:szCs w:val="22"/>
          <w:lang w:val="sr-Latn-ME"/>
        </w:rPr>
        <w:t xml:space="preserve">dio </w:t>
      </w:r>
      <w:r w:rsidRPr="00F234A2">
        <w:rPr>
          <w:bCs/>
          <w:sz w:val="22"/>
          <w:szCs w:val="22"/>
          <w:lang w:val="sr-Latn-ME"/>
        </w:rPr>
        <w:t>5.1).</w:t>
      </w:r>
    </w:p>
    <w:p w14:paraId="15B380F0" w14:textId="77777777" w:rsidR="0048424F" w:rsidRPr="00F234A2" w:rsidRDefault="0048424F" w:rsidP="0095542C">
      <w:pPr>
        <w:tabs>
          <w:tab w:val="left" w:pos="540"/>
          <w:tab w:val="left" w:pos="569"/>
        </w:tabs>
        <w:jc w:val="both"/>
        <w:rPr>
          <w:bCs/>
          <w:sz w:val="22"/>
          <w:szCs w:val="22"/>
          <w:lang w:val="sr-Latn-ME"/>
        </w:rPr>
      </w:pPr>
    </w:p>
    <w:p w14:paraId="08CBBD89" w14:textId="77777777" w:rsidR="00F234A2" w:rsidRDefault="00F234A2" w:rsidP="0095542C">
      <w:pPr>
        <w:tabs>
          <w:tab w:val="left" w:pos="540"/>
          <w:tab w:val="left" w:pos="569"/>
        </w:tabs>
        <w:jc w:val="both"/>
        <w:rPr>
          <w:b/>
          <w:bCs/>
          <w:sz w:val="22"/>
          <w:szCs w:val="22"/>
          <w:lang w:val="sr-Latn-ME"/>
        </w:rPr>
      </w:pPr>
    </w:p>
    <w:p w14:paraId="289E35B9" w14:textId="77777777" w:rsidR="00F234A2" w:rsidRDefault="00F234A2" w:rsidP="0095542C">
      <w:pPr>
        <w:tabs>
          <w:tab w:val="left" w:pos="540"/>
          <w:tab w:val="left" w:pos="569"/>
        </w:tabs>
        <w:jc w:val="both"/>
        <w:rPr>
          <w:b/>
          <w:bCs/>
          <w:sz w:val="22"/>
          <w:szCs w:val="22"/>
          <w:lang w:val="sr-Latn-ME"/>
        </w:rPr>
      </w:pPr>
    </w:p>
    <w:p w14:paraId="63BE23E1" w14:textId="69778109" w:rsidR="00411B4B" w:rsidRPr="00F234A2" w:rsidRDefault="00411B4B" w:rsidP="0095542C">
      <w:pPr>
        <w:tabs>
          <w:tab w:val="left" w:pos="540"/>
          <w:tab w:val="left" w:pos="569"/>
        </w:tabs>
        <w:jc w:val="both"/>
        <w:rPr>
          <w:b/>
          <w:bCs/>
          <w:sz w:val="22"/>
          <w:szCs w:val="22"/>
          <w:lang w:val="sr-Latn-ME"/>
        </w:rPr>
      </w:pPr>
      <w:r w:rsidRPr="00F234A2">
        <w:rPr>
          <w:b/>
          <w:bCs/>
          <w:sz w:val="22"/>
          <w:szCs w:val="22"/>
          <w:lang w:val="sr-Latn-ME"/>
        </w:rPr>
        <w:lastRenderedPageBreak/>
        <w:t xml:space="preserve">4.2. </w:t>
      </w:r>
      <w:r w:rsidR="00480FB1" w:rsidRPr="00F234A2">
        <w:rPr>
          <w:b/>
          <w:bCs/>
          <w:sz w:val="22"/>
          <w:szCs w:val="22"/>
          <w:lang w:val="sr-Latn-ME"/>
        </w:rPr>
        <w:tab/>
      </w:r>
      <w:r w:rsidRPr="00F234A2">
        <w:rPr>
          <w:b/>
          <w:bCs/>
          <w:sz w:val="22"/>
          <w:szCs w:val="22"/>
          <w:lang w:val="sr-Latn-ME"/>
        </w:rPr>
        <w:t>Doziranje i način primjene</w:t>
      </w:r>
    </w:p>
    <w:p w14:paraId="10736414" w14:textId="77777777" w:rsidR="0072020E" w:rsidRPr="00F234A2" w:rsidRDefault="0072020E" w:rsidP="0095542C">
      <w:pPr>
        <w:tabs>
          <w:tab w:val="left" w:pos="540"/>
          <w:tab w:val="left" w:pos="569"/>
        </w:tabs>
        <w:jc w:val="both"/>
        <w:rPr>
          <w:bCs/>
          <w:sz w:val="22"/>
          <w:szCs w:val="22"/>
          <w:lang w:val="sr-Latn-ME"/>
        </w:rPr>
      </w:pPr>
    </w:p>
    <w:p w14:paraId="06E55F92" w14:textId="3B538655" w:rsidR="002C6545" w:rsidRPr="00F234A2" w:rsidRDefault="002C6545" w:rsidP="0095542C">
      <w:pPr>
        <w:tabs>
          <w:tab w:val="left" w:pos="540"/>
          <w:tab w:val="left" w:pos="569"/>
        </w:tabs>
        <w:jc w:val="both"/>
        <w:rPr>
          <w:bCs/>
          <w:sz w:val="22"/>
          <w:szCs w:val="22"/>
          <w:lang w:val="sr-Latn-ME"/>
        </w:rPr>
      </w:pPr>
      <w:r w:rsidRPr="00F234A2">
        <w:rPr>
          <w:bCs/>
          <w:sz w:val="22"/>
          <w:szCs w:val="22"/>
          <w:lang w:val="sr-Latn-ME"/>
        </w:rPr>
        <w:t>L</w:t>
      </w:r>
      <w:r w:rsidR="00304249" w:rsidRPr="00F234A2">
        <w:rPr>
          <w:bCs/>
          <w:sz w:val="22"/>
          <w:szCs w:val="22"/>
          <w:lang w:val="sr-Latn-ME"/>
        </w:rPr>
        <w:t>ij</w:t>
      </w:r>
      <w:r w:rsidRPr="00F234A2">
        <w:rPr>
          <w:bCs/>
          <w:sz w:val="22"/>
          <w:szCs w:val="22"/>
          <w:lang w:val="sr-Latn-ME"/>
        </w:rPr>
        <w:t>ečenje treba da započne l</w:t>
      </w:r>
      <w:r w:rsidR="00304249" w:rsidRPr="00F234A2">
        <w:rPr>
          <w:bCs/>
          <w:sz w:val="22"/>
          <w:szCs w:val="22"/>
          <w:lang w:val="sr-Latn-ME"/>
        </w:rPr>
        <w:t>j</w:t>
      </w:r>
      <w:r w:rsidRPr="00F234A2">
        <w:rPr>
          <w:bCs/>
          <w:sz w:val="22"/>
          <w:szCs w:val="22"/>
          <w:lang w:val="sr-Latn-ME"/>
        </w:rPr>
        <w:t xml:space="preserve">ekar sa iskustvom u dijagnostikovanju </w:t>
      </w:r>
      <w:r w:rsidR="00304249" w:rsidRPr="00F234A2">
        <w:rPr>
          <w:bCs/>
          <w:sz w:val="22"/>
          <w:szCs w:val="22"/>
          <w:lang w:val="sr-Latn-ME"/>
        </w:rPr>
        <w:t>i</w:t>
      </w:r>
      <w:r w:rsidRPr="00F234A2">
        <w:rPr>
          <w:bCs/>
          <w:sz w:val="22"/>
          <w:szCs w:val="22"/>
          <w:lang w:val="sr-Latn-ME"/>
        </w:rPr>
        <w:t xml:space="preserve"> l</w:t>
      </w:r>
      <w:r w:rsidR="00304249" w:rsidRPr="00F234A2">
        <w:rPr>
          <w:bCs/>
          <w:sz w:val="22"/>
          <w:szCs w:val="22"/>
          <w:lang w:val="sr-Latn-ME"/>
        </w:rPr>
        <w:t>ij</w:t>
      </w:r>
      <w:r w:rsidRPr="00F234A2">
        <w:rPr>
          <w:bCs/>
          <w:sz w:val="22"/>
          <w:szCs w:val="22"/>
          <w:lang w:val="sr-Latn-ME"/>
        </w:rPr>
        <w:t>ečenju pacijenata sa leukemijom.</w:t>
      </w:r>
    </w:p>
    <w:p w14:paraId="552DC325" w14:textId="77777777" w:rsidR="002C6545" w:rsidRPr="00F234A2" w:rsidRDefault="002C6545" w:rsidP="0095542C">
      <w:pPr>
        <w:tabs>
          <w:tab w:val="left" w:pos="540"/>
          <w:tab w:val="left" w:pos="569"/>
        </w:tabs>
        <w:jc w:val="both"/>
        <w:rPr>
          <w:bCs/>
          <w:sz w:val="22"/>
          <w:szCs w:val="22"/>
          <w:u w:val="single"/>
          <w:lang w:val="sr-Latn-ME"/>
        </w:rPr>
      </w:pPr>
    </w:p>
    <w:p w14:paraId="35D317FA" w14:textId="30BCC712" w:rsidR="00452E9D" w:rsidRPr="00F234A2" w:rsidRDefault="00452E9D" w:rsidP="0095542C">
      <w:pPr>
        <w:tabs>
          <w:tab w:val="left" w:pos="540"/>
          <w:tab w:val="left" w:pos="569"/>
        </w:tabs>
        <w:jc w:val="both"/>
        <w:rPr>
          <w:bCs/>
          <w:sz w:val="22"/>
          <w:szCs w:val="22"/>
          <w:u w:val="single"/>
          <w:lang w:val="sr-Latn-ME"/>
        </w:rPr>
      </w:pPr>
      <w:r w:rsidRPr="00F234A2">
        <w:rPr>
          <w:bCs/>
          <w:sz w:val="22"/>
          <w:szCs w:val="22"/>
          <w:u w:val="single"/>
          <w:lang w:val="sr-Latn-ME"/>
        </w:rPr>
        <w:t>Doziranje</w:t>
      </w:r>
    </w:p>
    <w:p w14:paraId="022E57D3" w14:textId="77777777" w:rsidR="0048424F" w:rsidRPr="00F234A2" w:rsidRDefault="0048424F" w:rsidP="0095542C">
      <w:pPr>
        <w:tabs>
          <w:tab w:val="left" w:pos="540"/>
          <w:tab w:val="left" w:pos="569"/>
        </w:tabs>
        <w:jc w:val="both"/>
        <w:rPr>
          <w:bCs/>
          <w:sz w:val="22"/>
          <w:szCs w:val="22"/>
          <w:u w:val="single"/>
          <w:lang w:val="sr-Latn-ME"/>
        </w:rPr>
      </w:pPr>
    </w:p>
    <w:p w14:paraId="7E4B9AF2" w14:textId="46EBFA2A" w:rsidR="00452E9D" w:rsidRPr="00F234A2" w:rsidRDefault="0048424F" w:rsidP="0095542C">
      <w:pPr>
        <w:tabs>
          <w:tab w:val="left" w:pos="540"/>
          <w:tab w:val="left" w:pos="569"/>
        </w:tabs>
        <w:jc w:val="both"/>
        <w:rPr>
          <w:bCs/>
          <w:sz w:val="22"/>
          <w:szCs w:val="22"/>
          <w:lang w:val="sr-Latn-ME"/>
        </w:rPr>
      </w:pPr>
      <w:r w:rsidRPr="00F234A2">
        <w:rPr>
          <w:bCs/>
          <w:sz w:val="22"/>
          <w:szCs w:val="22"/>
          <w:lang w:val="sr-Latn-ME"/>
        </w:rPr>
        <w:t>Preporučena doza je 40 mg dva puta na dan u razmacima od približno 12 sati.</w:t>
      </w:r>
    </w:p>
    <w:p w14:paraId="65E90628" w14:textId="7AAC6114" w:rsidR="0048424F" w:rsidRPr="00F234A2" w:rsidRDefault="0048424F" w:rsidP="0095542C">
      <w:pPr>
        <w:tabs>
          <w:tab w:val="left" w:pos="540"/>
          <w:tab w:val="left" w:pos="569"/>
        </w:tabs>
        <w:jc w:val="both"/>
        <w:rPr>
          <w:bCs/>
          <w:sz w:val="22"/>
          <w:szCs w:val="22"/>
          <w:lang w:val="sr-Latn-ME"/>
        </w:rPr>
      </w:pPr>
    </w:p>
    <w:p w14:paraId="22ADC4C1" w14:textId="77777777" w:rsidR="0048424F" w:rsidRPr="00F234A2" w:rsidRDefault="0048424F" w:rsidP="0095542C">
      <w:pPr>
        <w:tabs>
          <w:tab w:val="left" w:pos="540"/>
          <w:tab w:val="left" w:pos="569"/>
        </w:tabs>
        <w:jc w:val="both"/>
        <w:rPr>
          <w:bCs/>
          <w:i/>
          <w:iCs/>
          <w:sz w:val="22"/>
          <w:szCs w:val="22"/>
          <w:u w:val="single"/>
          <w:lang w:val="sr-Latn-ME"/>
        </w:rPr>
      </w:pPr>
      <w:r w:rsidRPr="00F234A2">
        <w:rPr>
          <w:bCs/>
          <w:i/>
          <w:iCs/>
          <w:sz w:val="22"/>
          <w:szCs w:val="22"/>
          <w:u w:val="single"/>
          <w:lang w:val="sr-Latn-ME"/>
        </w:rPr>
        <w:t>Propuštena doza</w:t>
      </w:r>
    </w:p>
    <w:p w14:paraId="7F61F694" w14:textId="4032A119" w:rsidR="0048424F" w:rsidRPr="00F234A2" w:rsidRDefault="0048424F" w:rsidP="0095542C">
      <w:pPr>
        <w:tabs>
          <w:tab w:val="left" w:pos="540"/>
          <w:tab w:val="left" w:pos="569"/>
        </w:tabs>
        <w:jc w:val="both"/>
        <w:rPr>
          <w:bCs/>
          <w:sz w:val="22"/>
          <w:szCs w:val="22"/>
          <w:lang w:val="sr-Latn-ME"/>
        </w:rPr>
      </w:pPr>
      <w:r w:rsidRPr="00F234A2">
        <w:rPr>
          <w:bCs/>
          <w:sz w:val="22"/>
          <w:szCs w:val="22"/>
          <w:lang w:val="sr-Latn-ME"/>
        </w:rPr>
        <w:t>Ako je od propuštene doze prošlo manje od 6 sati, potrebno je uzeti propuštenu dozu, a sl</w:t>
      </w:r>
      <w:r w:rsidR="0094593A" w:rsidRPr="00F234A2">
        <w:rPr>
          <w:bCs/>
          <w:sz w:val="22"/>
          <w:szCs w:val="22"/>
          <w:lang w:val="sr-Latn-ME"/>
        </w:rPr>
        <w:t>j</w:t>
      </w:r>
      <w:r w:rsidRPr="00F234A2">
        <w:rPr>
          <w:bCs/>
          <w:sz w:val="22"/>
          <w:szCs w:val="22"/>
          <w:lang w:val="sr-Latn-ME"/>
        </w:rPr>
        <w:t>edeću dozu nakon toga uzeti prema rasporedu.</w:t>
      </w:r>
    </w:p>
    <w:p w14:paraId="6C3D7D21" w14:textId="77777777" w:rsidR="0048424F" w:rsidRPr="00F234A2" w:rsidRDefault="0048424F" w:rsidP="0095542C">
      <w:pPr>
        <w:tabs>
          <w:tab w:val="left" w:pos="540"/>
          <w:tab w:val="left" w:pos="569"/>
        </w:tabs>
        <w:jc w:val="both"/>
        <w:rPr>
          <w:bCs/>
          <w:sz w:val="22"/>
          <w:szCs w:val="22"/>
          <w:lang w:val="sr-Latn-ME"/>
        </w:rPr>
      </w:pPr>
    </w:p>
    <w:p w14:paraId="42152444" w14:textId="715B1445" w:rsidR="0048424F" w:rsidRPr="00F234A2" w:rsidRDefault="0048424F" w:rsidP="0095542C">
      <w:pPr>
        <w:tabs>
          <w:tab w:val="left" w:pos="540"/>
          <w:tab w:val="left" w:pos="569"/>
        </w:tabs>
        <w:jc w:val="both"/>
        <w:rPr>
          <w:bCs/>
          <w:sz w:val="22"/>
          <w:szCs w:val="22"/>
          <w:lang w:val="sr-Latn-ME"/>
        </w:rPr>
      </w:pPr>
      <w:r w:rsidRPr="00F234A2">
        <w:rPr>
          <w:bCs/>
          <w:sz w:val="22"/>
          <w:szCs w:val="22"/>
          <w:lang w:val="sr-Latn-ME"/>
        </w:rPr>
        <w:t>Ako je od propuštene doze prošlo više od oko 6 sati, potrebno je preskočiti propuštenu dozu, a sl</w:t>
      </w:r>
      <w:r w:rsidR="0094593A" w:rsidRPr="00F234A2">
        <w:rPr>
          <w:bCs/>
          <w:sz w:val="22"/>
          <w:szCs w:val="22"/>
          <w:lang w:val="sr-Latn-ME"/>
        </w:rPr>
        <w:t>j</w:t>
      </w:r>
      <w:r w:rsidRPr="00F234A2">
        <w:rPr>
          <w:bCs/>
          <w:sz w:val="22"/>
          <w:szCs w:val="22"/>
          <w:lang w:val="sr-Latn-ME"/>
        </w:rPr>
        <w:t>edeću dozu uzeti prema rasporedu.</w:t>
      </w:r>
    </w:p>
    <w:p w14:paraId="635E6D9E" w14:textId="77777777" w:rsidR="0048424F" w:rsidRPr="00F234A2" w:rsidRDefault="0048424F" w:rsidP="0095542C">
      <w:pPr>
        <w:tabs>
          <w:tab w:val="left" w:pos="540"/>
          <w:tab w:val="left" w:pos="569"/>
        </w:tabs>
        <w:jc w:val="both"/>
        <w:rPr>
          <w:bCs/>
          <w:sz w:val="22"/>
          <w:szCs w:val="22"/>
          <w:lang w:val="sr-Latn-ME"/>
        </w:rPr>
      </w:pPr>
    </w:p>
    <w:p w14:paraId="08C115D0" w14:textId="128EE594" w:rsidR="0048424F" w:rsidRPr="00F234A2" w:rsidRDefault="0048424F" w:rsidP="0095542C">
      <w:pPr>
        <w:tabs>
          <w:tab w:val="left" w:pos="540"/>
          <w:tab w:val="left" w:pos="569"/>
        </w:tabs>
        <w:jc w:val="both"/>
        <w:rPr>
          <w:bCs/>
          <w:i/>
          <w:iCs/>
          <w:sz w:val="22"/>
          <w:szCs w:val="22"/>
          <w:u w:val="single"/>
          <w:lang w:val="sr-Latn-ME"/>
        </w:rPr>
      </w:pPr>
      <w:r w:rsidRPr="00F234A2">
        <w:rPr>
          <w:bCs/>
          <w:i/>
          <w:iCs/>
          <w:sz w:val="22"/>
          <w:szCs w:val="22"/>
          <w:u w:val="single"/>
          <w:lang w:val="sr-Latn-ME"/>
        </w:rPr>
        <w:t>Trajanje l</w:t>
      </w:r>
      <w:r w:rsidR="0094593A" w:rsidRPr="00F234A2">
        <w:rPr>
          <w:bCs/>
          <w:i/>
          <w:iCs/>
          <w:sz w:val="22"/>
          <w:szCs w:val="22"/>
          <w:u w:val="single"/>
          <w:lang w:val="sr-Latn-ME"/>
        </w:rPr>
        <w:t>ij</w:t>
      </w:r>
      <w:r w:rsidRPr="00F234A2">
        <w:rPr>
          <w:bCs/>
          <w:i/>
          <w:iCs/>
          <w:sz w:val="22"/>
          <w:szCs w:val="22"/>
          <w:u w:val="single"/>
          <w:lang w:val="sr-Latn-ME"/>
        </w:rPr>
        <w:t>ečenja</w:t>
      </w:r>
    </w:p>
    <w:p w14:paraId="38D60469" w14:textId="1FFB6557" w:rsidR="0048424F" w:rsidRPr="00F234A2" w:rsidRDefault="0048424F" w:rsidP="0095542C">
      <w:pPr>
        <w:tabs>
          <w:tab w:val="left" w:pos="540"/>
          <w:tab w:val="left" w:pos="569"/>
        </w:tabs>
        <w:jc w:val="both"/>
        <w:rPr>
          <w:bCs/>
          <w:sz w:val="22"/>
          <w:szCs w:val="22"/>
          <w:lang w:val="sr-Latn-ME"/>
        </w:rPr>
      </w:pPr>
      <w:r w:rsidRPr="00F234A2">
        <w:rPr>
          <w:bCs/>
          <w:sz w:val="22"/>
          <w:szCs w:val="22"/>
          <w:lang w:val="sr-Latn-ME"/>
        </w:rPr>
        <w:t>L</w:t>
      </w:r>
      <w:r w:rsidR="0094593A" w:rsidRPr="00F234A2">
        <w:rPr>
          <w:bCs/>
          <w:sz w:val="22"/>
          <w:szCs w:val="22"/>
          <w:lang w:val="sr-Latn-ME"/>
        </w:rPr>
        <w:t>ij</w:t>
      </w:r>
      <w:r w:rsidRPr="00F234A2">
        <w:rPr>
          <w:bCs/>
          <w:sz w:val="22"/>
          <w:szCs w:val="22"/>
          <w:lang w:val="sr-Latn-ME"/>
        </w:rPr>
        <w:t>ečenje asciminibom treba nastaviti sve dok se prim</w:t>
      </w:r>
      <w:r w:rsidR="0094593A" w:rsidRPr="00F234A2">
        <w:rPr>
          <w:bCs/>
          <w:sz w:val="22"/>
          <w:szCs w:val="22"/>
          <w:lang w:val="sr-Latn-ME"/>
        </w:rPr>
        <w:t>j</w:t>
      </w:r>
      <w:r w:rsidRPr="00F234A2">
        <w:rPr>
          <w:bCs/>
          <w:sz w:val="22"/>
          <w:szCs w:val="22"/>
          <w:lang w:val="sr-Latn-ME"/>
        </w:rPr>
        <w:t>ećuje klinička korist</w:t>
      </w:r>
      <w:r w:rsidR="00F10338" w:rsidRPr="00F234A2">
        <w:rPr>
          <w:bCs/>
          <w:sz w:val="22"/>
          <w:szCs w:val="22"/>
          <w:lang w:val="sr-Latn-ME"/>
        </w:rPr>
        <w:t>,</w:t>
      </w:r>
      <w:r w:rsidRPr="00F234A2">
        <w:rPr>
          <w:bCs/>
          <w:sz w:val="22"/>
          <w:szCs w:val="22"/>
          <w:lang w:val="sr-Latn-ME"/>
        </w:rPr>
        <w:t xml:space="preserve"> ili do pojave neprihvatljive toksičnosti.</w:t>
      </w:r>
    </w:p>
    <w:p w14:paraId="722CB3E4" w14:textId="0993CA0A" w:rsidR="0048424F" w:rsidRPr="00F234A2" w:rsidRDefault="0048424F" w:rsidP="0095542C">
      <w:pPr>
        <w:tabs>
          <w:tab w:val="left" w:pos="540"/>
          <w:tab w:val="left" w:pos="569"/>
        </w:tabs>
        <w:jc w:val="both"/>
        <w:rPr>
          <w:bCs/>
          <w:sz w:val="22"/>
          <w:szCs w:val="22"/>
          <w:lang w:val="sr-Latn-ME"/>
        </w:rPr>
      </w:pPr>
    </w:p>
    <w:p w14:paraId="62F66B80" w14:textId="77777777" w:rsidR="0048424F" w:rsidRPr="00F234A2" w:rsidRDefault="0048424F" w:rsidP="0095542C">
      <w:pPr>
        <w:tabs>
          <w:tab w:val="left" w:pos="540"/>
          <w:tab w:val="left" w:pos="569"/>
        </w:tabs>
        <w:jc w:val="both"/>
        <w:rPr>
          <w:bCs/>
          <w:i/>
          <w:iCs/>
          <w:sz w:val="22"/>
          <w:szCs w:val="22"/>
          <w:u w:val="single"/>
          <w:lang w:val="sr-Latn-ME"/>
        </w:rPr>
      </w:pPr>
      <w:r w:rsidRPr="00F234A2">
        <w:rPr>
          <w:bCs/>
          <w:i/>
          <w:iCs/>
          <w:sz w:val="22"/>
          <w:szCs w:val="22"/>
          <w:u w:val="single"/>
          <w:lang w:val="sr-Latn-ME"/>
        </w:rPr>
        <w:t>Prilagođavanje doze zbog neželjenih reakcija</w:t>
      </w:r>
    </w:p>
    <w:p w14:paraId="05BA8514" w14:textId="0E553DE7" w:rsidR="0048424F" w:rsidRPr="00F234A2" w:rsidRDefault="0048424F" w:rsidP="0095542C">
      <w:pPr>
        <w:tabs>
          <w:tab w:val="left" w:pos="540"/>
          <w:tab w:val="left" w:pos="569"/>
        </w:tabs>
        <w:jc w:val="both"/>
        <w:rPr>
          <w:bCs/>
          <w:sz w:val="22"/>
          <w:szCs w:val="22"/>
          <w:lang w:val="sr-Latn-ME"/>
        </w:rPr>
      </w:pPr>
      <w:r w:rsidRPr="00F234A2">
        <w:rPr>
          <w:bCs/>
          <w:sz w:val="22"/>
          <w:szCs w:val="22"/>
          <w:lang w:val="sr-Latn-ME"/>
        </w:rPr>
        <w:t>Početna doza je 40 mg dva puta na dan, dok je smanjena doza 20 mg dva puta na dan. Doza može da se prilagodi prema individualnoj bezb</w:t>
      </w:r>
      <w:r w:rsidR="0094593A" w:rsidRPr="00F234A2">
        <w:rPr>
          <w:bCs/>
          <w:sz w:val="22"/>
          <w:szCs w:val="22"/>
          <w:lang w:val="sr-Latn-ME"/>
        </w:rPr>
        <w:t>j</w:t>
      </w:r>
      <w:r w:rsidRPr="00F234A2">
        <w:rPr>
          <w:bCs/>
          <w:sz w:val="22"/>
          <w:szCs w:val="22"/>
          <w:lang w:val="sr-Latn-ME"/>
        </w:rPr>
        <w:t xml:space="preserve">ednosti i podnošljivosti kao što je navedeno u Tabeli 1. Asciminib treba trajno prekinuti kod </w:t>
      </w:r>
      <w:r w:rsidR="00F10338" w:rsidRPr="00F234A2">
        <w:rPr>
          <w:bCs/>
          <w:sz w:val="22"/>
          <w:szCs w:val="22"/>
          <w:lang w:val="sr-Latn-ME"/>
        </w:rPr>
        <w:t xml:space="preserve">pacijenata </w:t>
      </w:r>
      <w:r w:rsidRPr="00F234A2">
        <w:rPr>
          <w:bCs/>
          <w:sz w:val="22"/>
          <w:szCs w:val="22"/>
          <w:lang w:val="sr-Latn-ME"/>
        </w:rPr>
        <w:t>koji ne podnose dnevnu dozu od 20 mg dva puta na dan.</w:t>
      </w:r>
    </w:p>
    <w:p w14:paraId="3270C742" w14:textId="422C9CA3" w:rsidR="0048424F" w:rsidRPr="00F234A2" w:rsidRDefault="0048424F" w:rsidP="0095542C">
      <w:pPr>
        <w:tabs>
          <w:tab w:val="left" w:pos="540"/>
          <w:tab w:val="left" w:pos="569"/>
        </w:tabs>
        <w:jc w:val="both"/>
        <w:rPr>
          <w:bCs/>
          <w:sz w:val="22"/>
          <w:szCs w:val="22"/>
          <w:lang w:val="sr-Latn-ME"/>
        </w:rPr>
      </w:pPr>
    </w:p>
    <w:p w14:paraId="4481FDEB" w14:textId="2DE2EE4C" w:rsidR="0048424F" w:rsidRPr="00F234A2" w:rsidRDefault="0048424F" w:rsidP="0095542C">
      <w:pPr>
        <w:tabs>
          <w:tab w:val="left" w:pos="540"/>
          <w:tab w:val="left" w:pos="569"/>
        </w:tabs>
        <w:jc w:val="both"/>
        <w:rPr>
          <w:b/>
          <w:sz w:val="22"/>
          <w:szCs w:val="22"/>
          <w:lang w:val="sr-Latn-ME"/>
        </w:rPr>
      </w:pPr>
      <w:r w:rsidRPr="00F234A2">
        <w:rPr>
          <w:b/>
          <w:sz w:val="22"/>
          <w:szCs w:val="22"/>
          <w:lang w:val="sr-Latn-ME"/>
        </w:rPr>
        <w:t>Tabela 1</w:t>
      </w:r>
      <w:r w:rsidRPr="00F234A2">
        <w:rPr>
          <w:b/>
          <w:sz w:val="22"/>
          <w:szCs w:val="22"/>
          <w:lang w:val="sr-Latn-ME"/>
        </w:rPr>
        <w:tab/>
        <w:t>Prilagođavanje doze asciminiba zbog neželjenih reakcija na l</w:t>
      </w:r>
      <w:r w:rsidR="0094593A" w:rsidRPr="00F234A2">
        <w:rPr>
          <w:b/>
          <w:sz w:val="22"/>
          <w:szCs w:val="22"/>
          <w:lang w:val="sr-Latn-ME"/>
        </w:rPr>
        <w:t>ij</w:t>
      </w:r>
      <w:r w:rsidRPr="00F234A2">
        <w:rPr>
          <w:b/>
          <w:sz w:val="22"/>
          <w:szCs w:val="22"/>
          <w:lang w:val="sr-Latn-ME"/>
        </w:rPr>
        <w:t>ek</w:t>
      </w:r>
    </w:p>
    <w:p w14:paraId="25BB169C" w14:textId="155F1E4A" w:rsidR="0048424F" w:rsidRPr="00F234A2" w:rsidRDefault="0048424F" w:rsidP="0095542C">
      <w:pPr>
        <w:tabs>
          <w:tab w:val="left" w:pos="540"/>
          <w:tab w:val="left" w:pos="569"/>
        </w:tabs>
        <w:jc w:val="both"/>
        <w:rPr>
          <w:b/>
          <w:sz w:val="22"/>
          <w:szCs w:val="22"/>
          <w:lang w:val="sr-Latn-ME"/>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688"/>
      </w:tblGrid>
      <w:tr w:rsidR="0048424F" w:rsidRPr="00F234A2" w14:paraId="6357A8B1" w14:textId="77777777" w:rsidTr="00304249">
        <w:trPr>
          <w:cantSplit/>
          <w:trHeight w:val="145"/>
        </w:trPr>
        <w:tc>
          <w:tcPr>
            <w:tcW w:w="3402" w:type="dxa"/>
            <w:tcBorders>
              <w:top w:val="single" w:sz="4" w:space="0" w:color="auto"/>
              <w:left w:val="nil"/>
              <w:bottom w:val="single" w:sz="4" w:space="0" w:color="auto"/>
              <w:right w:val="single" w:sz="4" w:space="0" w:color="auto"/>
            </w:tcBorders>
            <w:vAlign w:val="center"/>
            <w:hideMark/>
          </w:tcPr>
          <w:p w14:paraId="0CAB777A" w14:textId="77777777" w:rsidR="0048424F" w:rsidRPr="00F234A2" w:rsidRDefault="0048424F" w:rsidP="0095542C">
            <w:pPr>
              <w:pStyle w:val="Table"/>
              <w:keepNext/>
              <w:spacing w:before="0" w:after="0"/>
              <w:jc w:val="both"/>
              <w:rPr>
                <w:rFonts w:ascii="Times New Roman" w:hAnsi="Times New Roman" w:cs="Times New Roman"/>
                <w:b/>
                <w:sz w:val="22"/>
                <w:szCs w:val="22"/>
                <w:lang w:val="sr-Latn-ME"/>
              </w:rPr>
            </w:pPr>
            <w:r w:rsidRPr="00F234A2">
              <w:rPr>
                <w:rFonts w:ascii="Times New Roman" w:hAnsi="Times New Roman" w:cs="Times New Roman"/>
                <w:b/>
                <w:sz w:val="22"/>
                <w:szCs w:val="22"/>
                <w:lang w:val="sr-Latn-ME"/>
              </w:rPr>
              <w:t>Neželjena reakcija</w:t>
            </w:r>
          </w:p>
        </w:tc>
        <w:tc>
          <w:tcPr>
            <w:tcW w:w="5688" w:type="dxa"/>
            <w:tcBorders>
              <w:top w:val="single" w:sz="4" w:space="0" w:color="auto"/>
              <w:left w:val="single" w:sz="4" w:space="0" w:color="auto"/>
              <w:bottom w:val="single" w:sz="4" w:space="0" w:color="auto"/>
              <w:right w:val="nil"/>
            </w:tcBorders>
            <w:vAlign w:val="center"/>
            <w:hideMark/>
          </w:tcPr>
          <w:p w14:paraId="29134555" w14:textId="77777777" w:rsidR="0048424F" w:rsidRPr="00F234A2" w:rsidRDefault="0048424F" w:rsidP="0095542C">
            <w:pPr>
              <w:pStyle w:val="Table"/>
              <w:keepNext/>
              <w:spacing w:before="0" w:after="0"/>
              <w:jc w:val="both"/>
              <w:rPr>
                <w:rFonts w:ascii="Times New Roman" w:hAnsi="Times New Roman" w:cs="Times New Roman"/>
                <w:b/>
                <w:sz w:val="22"/>
                <w:szCs w:val="22"/>
                <w:lang w:val="sr-Latn-ME"/>
              </w:rPr>
            </w:pPr>
            <w:r w:rsidRPr="00F234A2">
              <w:rPr>
                <w:rFonts w:ascii="Times New Roman" w:hAnsi="Times New Roman" w:cs="Times New Roman"/>
                <w:b/>
                <w:sz w:val="22"/>
                <w:szCs w:val="22"/>
                <w:lang w:val="sr-Latn-ME"/>
              </w:rPr>
              <w:t>Prilagođavanje doze</w:t>
            </w:r>
          </w:p>
        </w:tc>
      </w:tr>
      <w:tr w:rsidR="0048424F" w:rsidRPr="00F234A2" w14:paraId="605574EB" w14:textId="77777777" w:rsidTr="00304249">
        <w:trPr>
          <w:cantSplit/>
          <w:trHeight w:val="218"/>
        </w:trPr>
        <w:tc>
          <w:tcPr>
            <w:tcW w:w="9090" w:type="dxa"/>
            <w:gridSpan w:val="2"/>
            <w:tcBorders>
              <w:top w:val="single" w:sz="4" w:space="0" w:color="auto"/>
              <w:left w:val="nil"/>
              <w:bottom w:val="single" w:sz="4" w:space="0" w:color="auto"/>
              <w:right w:val="nil"/>
            </w:tcBorders>
            <w:hideMark/>
          </w:tcPr>
          <w:p w14:paraId="34EF6DD6" w14:textId="77777777" w:rsidR="0048424F" w:rsidRPr="00F234A2" w:rsidRDefault="0048424F" w:rsidP="0095542C">
            <w:pPr>
              <w:pStyle w:val="Table"/>
              <w:keepNext/>
              <w:spacing w:before="0" w:after="0"/>
              <w:jc w:val="both"/>
              <w:rPr>
                <w:rFonts w:ascii="Times New Roman" w:hAnsi="Times New Roman" w:cs="Times New Roman"/>
                <w:sz w:val="22"/>
                <w:szCs w:val="22"/>
                <w:lang w:val="sr-Latn-ME"/>
              </w:rPr>
            </w:pPr>
            <w:r w:rsidRPr="00F234A2">
              <w:rPr>
                <w:rFonts w:ascii="Times New Roman" w:hAnsi="Times New Roman" w:cs="Times New Roman"/>
                <w:b/>
                <w:sz w:val="22"/>
                <w:szCs w:val="22"/>
                <w:lang w:val="sr-Latn-ME"/>
              </w:rPr>
              <w:t>Trombocitopenija i/ili neutropenija</w:t>
            </w:r>
          </w:p>
        </w:tc>
      </w:tr>
      <w:tr w:rsidR="0048424F" w:rsidRPr="00F234A2" w14:paraId="0491DBB4" w14:textId="77777777" w:rsidTr="00304249">
        <w:trPr>
          <w:cantSplit/>
          <w:trHeight w:val="50"/>
        </w:trPr>
        <w:tc>
          <w:tcPr>
            <w:tcW w:w="3402" w:type="dxa"/>
            <w:tcBorders>
              <w:top w:val="single" w:sz="4" w:space="0" w:color="auto"/>
              <w:left w:val="nil"/>
              <w:bottom w:val="single" w:sz="4" w:space="0" w:color="auto"/>
              <w:right w:val="single" w:sz="4" w:space="0" w:color="auto"/>
            </w:tcBorders>
            <w:hideMark/>
          </w:tcPr>
          <w:p w14:paraId="497354D4" w14:textId="77777777" w:rsidR="0048424F" w:rsidRPr="00F234A2" w:rsidRDefault="0048424F" w:rsidP="0095542C">
            <w:pPr>
              <w:pStyle w:val="Text"/>
              <w:keepNext/>
              <w:keepLines/>
              <w:spacing w:before="0"/>
              <w:rPr>
                <w:rFonts w:eastAsiaTheme="minorEastAsia"/>
                <w:sz w:val="22"/>
                <w:szCs w:val="22"/>
                <w:lang w:val="sr-Latn-ME" w:eastAsia="en-US"/>
              </w:rPr>
            </w:pPr>
            <w:r w:rsidRPr="00F234A2">
              <w:rPr>
                <w:rFonts w:eastAsiaTheme="minorEastAsia"/>
                <w:sz w:val="22"/>
                <w:szCs w:val="22"/>
                <w:lang w:val="sr-Latn-ME" w:eastAsia="en-US"/>
              </w:rPr>
              <w:t>ABN &lt;1.0 x 10</w:t>
            </w:r>
            <w:r w:rsidRPr="00F234A2">
              <w:rPr>
                <w:rFonts w:eastAsiaTheme="minorEastAsia"/>
                <w:sz w:val="22"/>
                <w:szCs w:val="22"/>
                <w:vertAlign w:val="superscript"/>
                <w:lang w:val="sr-Latn-ME" w:eastAsia="en-US"/>
              </w:rPr>
              <w:t>9</w:t>
            </w:r>
            <w:r w:rsidRPr="00F234A2">
              <w:rPr>
                <w:rFonts w:eastAsiaTheme="minorEastAsia"/>
                <w:sz w:val="22"/>
                <w:szCs w:val="22"/>
                <w:lang w:val="sr-Latn-ME" w:eastAsia="en-US"/>
              </w:rPr>
              <w:t>/l i/ili broj trombocita &lt;50 x 10</w:t>
            </w:r>
            <w:r w:rsidRPr="00F234A2">
              <w:rPr>
                <w:rFonts w:eastAsiaTheme="minorEastAsia"/>
                <w:sz w:val="22"/>
                <w:szCs w:val="22"/>
                <w:vertAlign w:val="superscript"/>
                <w:lang w:val="sr-Latn-ME" w:eastAsia="en-US"/>
              </w:rPr>
              <w:t>9</w:t>
            </w:r>
            <w:r w:rsidRPr="00F234A2">
              <w:rPr>
                <w:rFonts w:eastAsiaTheme="minorEastAsia"/>
                <w:sz w:val="22"/>
                <w:szCs w:val="22"/>
                <w:lang w:val="sr-Latn-ME" w:eastAsia="en-US"/>
              </w:rPr>
              <w:t>/l</w:t>
            </w:r>
          </w:p>
        </w:tc>
        <w:tc>
          <w:tcPr>
            <w:tcW w:w="5688" w:type="dxa"/>
            <w:tcBorders>
              <w:top w:val="single" w:sz="4" w:space="0" w:color="auto"/>
              <w:left w:val="single" w:sz="4" w:space="0" w:color="auto"/>
              <w:bottom w:val="single" w:sz="4" w:space="0" w:color="auto"/>
              <w:right w:val="nil"/>
            </w:tcBorders>
            <w:hideMark/>
          </w:tcPr>
          <w:p w14:paraId="688A33B6" w14:textId="3DF4458E" w:rsidR="0048424F" w:rsidRPr="00F234A2" w:rsidRDefault="0048424F" w:rsidP="0095542C">
            <w:pPr>
              <w:pStyle w:val="Table"/>
              <w:keepNext/>
              <w:spacing w:before="0" w:after="0"/>
              <w:jc w:val="both"/>
              <w:rPr>
                <w:rFonts w:ascii="Times New Roman" w:hAnsi="Times New Roman" w:cs="Times New Roman"/>
                <w:sz w:val="22"/>
                <w:szCs w:val="22"/>
                <w:lang w:val="sr-Latn-ME"/>
              </w:rPr>
            </w:pPr>
            <w:r w:rsidRPr="00F234A2">
              <w:rPr>
                <w:rFonts w:ascii="Times New Roman" w:hAnsi="Times New Roman" w:cs="Times New Roman"/>
                <w:sz w:val="22"/>
                <w:szCs w:val="22"/>
                <w:lang w:val="sr-Latn-ME"/>
              </w:rPr>
              <w:t>Privremeno prekinuti prim</w:t>
            </w:r>
            <w:r w:rsidR="0094593A" w:rsidRPr="00F234A2">
              <w:rPr>
                <w:rFonts w:ascii="Times New Roman" w:hAnsi="Times New Roman" w:cs="Times New Roman"/>
                <w:sz w:val="22"/>
                <w:szCs w:val="22"/>
                <w:lang w:val="sr-Latn-ME"/>
              </w:rPr>
              <w:t>j</w:t>
            </w:r>
            <w:r w:rsidRPr="00F234A2">
              <w:rPr>
                <w:rFonts w:ascii="Times New Roman" w:hAnsi="Times New Roman" w:cs="Times New Roman"/>
                <w:sz w:val="22"/>
                <w:szCs w:val="22"/>
                <w:lang w:val="sr-Latn-ME"/>
              </w:rPr>
              <w:t>enu asciminiba do povratka vr</w:t>
            </w:r>
            <w:r w:rsidR="0094593A" w:rsidRPr="00F234A2">
              <w:rPr>
                <w:rFonts w:ascii="Times New Roman" w:hAnsi="Times New Roman" w:cs="Times New Roman"/>
                <w:sz w:val="22"/>
                <w:szCs w:val="22"/>
                <w:lang w:val="sr-Latn-ME"/>
              </w:rPr>
              <w:t>ij</w:t>
            </w:r>
            <w:r w:rsidRPr="00F234A2">
              <w:rPr>
                <w:rFonts w:ascii="Times New Roman" w:hAnsi="Times New Roman" w:cs="Times New Roman"/>
                <w:sz w:val="22"/>
                <w:szCs w:val="22"/>
                <w:lang w:val="sr-Latn-ME"/>
              </w:rPr>
              <w:t>ednosti ABN ≥1 x 10</w:t>
            </w:r>
            <w:r w:rsidRPr="00F234A2">
              <w:rPr>
                <w:rFonts w:ascii="Times New Roman" w:hAnsi="Times New Roman" w:cs="Times New Roman"/>
                <w:sz w:val="22"/>
                <w:szCs w:val="22"/>
                <w:vertAlign w:val="superscript"/>
                <w:lang w:val="sr-Latn-ME"/>
              </w:rPr>
              <w:t>9</w:t>
            </w:r>
            <w:r w:rsidRPr="00F234A2">
              <w:rPr>
                <w:rFonts w:ascii="Times New Roman" w:hAnsi="Times New Roman" w:cs="Times New Roman"/>
                <w:sz w:val="22"/>
                <w:szCs w:val="22"/>
                <w:lang w:val="sr-Latn-ME"/>
              </w:rPr>
              <w:t>/l i/ili broja trombocita ≥50 x 10</w:t>
            </w:r>
            <w:r w:rsidRPr="00F234A2">
              <w:rPr>
                <w:rFonts w:ascii="Times New Roman" w:hAnsi="Times New Roman" w:cs="Times New Roman"/>
                <w:sz w:val="22"/>
                <w:szCs w:val="22"/>
                <w:vertAlign w:val="superscript"/>
                <w:lang w:val="sr-Latn-ME"/>
              </w:rPr>
              <w:t>9</w:t>
            </w:r>
            <w:r w:rsidRPr="00F234A2">
              <w:rPr>
                <w:rFonts w:ascii="Times New Roman" w:hAnsi="Times New Roman" w:cs="Times New Roman"/>
                <w:sz w:val="22"/>
                <w:szCs w:val="22"/>
                <w:lang w:val="sr-Latn-ME"/>
              </w:rPr>
              <w:t>/l.</w:t>
            </w:r>
          </w:p>
          <w:p w14:paraId="18EEC023" w14:textId="77777777" w:rsidR="0048424F" w:rsidRPr="00F234A2" w:rsidRDefault="0048424F" w:rsidP="0095542C">
            <w:pPr>
              <w:pStyle w:val="Table"/>
              <w:keepNext/>
              <w:spacing w:before="0" w:after="0"/>
              <w:jc w:val="both"/>
              <w:rPr>
                <w:rFonts w:ascii="Times New Roman" w:hAnsi="Times New Roman" w:cs="Times New Roman"/>
                <w:sz w:val="22"/>
                <w:szCs w:val="22"/>
                <w:lang w:val="sr-Latn-ME"/>
              </w:rPr>
            </w:pPr>
            <w:r w:rsidRPr="00F234A2">
              <w:rPr>
                <w:rFonts w:ascii="Times New Roman" w:hAnsi="Times New Roman" w:cs="Times New Roman"/>
                <w:sz w:val="22"/>
                <w:szCs w:val="22"/>
                <w:lang w:val="sr-Latn-ME"/>
              </w:rPr>
              <w:t>Ako dođe do poboljšanja:</w:t>
            </w:r>
          </w:p>
          <w:p w14:paraId="1A4DAB3A" w14:textId="5F1D363F" w:rsidR="0048424F" w:rsidRPr="00F234A2" w:rsidRDefault="0048424F" w:rsidP="0095542C">
            <w:pPr>
              <w:pStyle w:val="Listlevel1"/>
              <w:keepNext/>
              <w:keepLines/>
              <w:numPr>
                <w:ilvl w:val="0"/>
                <w:numId w:val="12"/>
              </w:numPr>
              <w:spacing w:before="0"/>
              <w:ind w:left="284" w:hanging="284"/>
              <w:jc w:val="both"/>
              <w:rPr>
                <w:sz w:val="22"/>
                <w:szCs w:val="22"/>
                <w:lang w:val="sr-Latn-ME"/>
              </w:rPr>
            </w:pPr>
            <w:r w:rsidRPr="00F234A2">
              <w:rPr>
                <w:sz w:val="22"/>
                <w:szCs w:val="22"/>
                <w:lang w:val="sr-Latn-ME"/>
              </w:rPr>
              <w:t>u toku 2 ned</w:t>
            </w:r>
            <w:r w:rsidR="0094593A" w:rsidRPr="00F234A2">
              <w:rPr>
                <w:sz w:val="22"/>
                <w:szCs w:val="22"/>
                <w:lang w:val="sr-Latn-ME"/>
              </w:rPr>
              <w:t>j</w:t>
            </w:r>
            <w:r w:rsidRPr="00F234A2">
              <w:rPr>
                <w:sz w:val="22"/>
                <w:szCs w:val="22"/>
                <w:lang w:val="sr-Latn-ME"/>
              </w:rPr>
              <w:t>elje: nastaviti sa početnom dozom.</w:t>
            </w:r>
          </w:p>
          <w:p w14:paraId="30AE7F80" w14:textId="7EB6EAAC" w:rsidR="0048424F" w:rsidRPr="00F234A2" w:rsidRDefault="0048424F" w:rsidP="0095542C">
            <w:pPr>
              <w:pStyle w:val="Listlevel1"/>
              <w:keepNext/>
              <w:keepLines/>
              <w:numPr>
                <w:ilvl w:val="0"/>
                <w:numId w:val="12"/>
              </w:numPr>
              <w:spacing w:before="0"/>
              <w:ind w:left="284" w:hanging="284"/>
              <w:jc w:val="both"/>
              <w:rPr>
                <w:sz w:val="22"/>
                <w:szCs w:val="22"/>
                <w:lang w:val="sr-Latn-ME"/>
              </w:rPr>
            </w:pPr>
            <w:r w:rsidRPr="00F234A2">
              <w:rPr>
                <w:color w:val="000000" w:themeColor="text1"/>
                <w:sz w:val="22"/>
                <w:szCs w:val="22"/>
                <w:lang w:val="sr-Latn-ME"/>
              </w:rPr>
              <w:t xml:space="preserve">nakon više od </w:t>
            </w:r>
            <w:r w:rsidRPr="00F234A2">
              <w:rPr>
                <w:sz w:val="22"/>
                <w:szCs w:val="22"/>
                <w:lang w:val="sr-Latn-ME"/>
              </w:rPr>
              <w:t>ned</w:t>
            </w:r>
            <w:r w:rsidR="0094593A" w:rsidRPr="00F234A2">
              <w:rPr>
                <w:sz w:val="22"/>
                <w:szCs w:val="22"/>
                <w:lang w:val="sr-Latn-ME"/>
              </w:rPr>
              <w:t>j</w:t>
            </w:r>
            <w:r w:rsidRPr="00F234A2">
              <w:rPr>
                <w:sz w:val="22"/>
                <w:szCs w:val="22"/>
                <w:lang w:val="sr-Latn-ME"/>
              </w:rPr>
              <w:t>elje: nastaviti sa smanjenom dozom.</w:t>
            </w:r>
          </w:p>
          <w:p w14:paraId="315E2A84" w14:textId="552F5A12" w:rsidR="0048424F" w:rsidRPr="00F234A2" w:rsidRDefault="0048424F" w:rsidP="0095542C">
            <w:pPr>
              <w:pStyle w:val="Listlevel1"/>
              <w:keepNext/>
              <w:keepLines/>
              <w:spacing w:before="0"/>
              <w:ind w:left="0" w:firstLine="0"/>
              <w:jc w:val="both"/>
              <w:rPr>
                <w:sz w:val="22"/>
                <w:szCs w:val="22"/>
                <w:lang w:val="sr-Latn-ME"/>
              </w:rPr>
            </w:pPr>
            <w:r w:rsidRPr="00F234A2">
              <w:rPr>
                <w:sz w:val="22"/>
                <w:szCs w:val="22"/>
                <w:lang w:val="sr-Latn-ME"/>
              </w:rPr>
              <w:t>U slučaju rekurentne teške trombocitopenije i/ili neutropenije, privremeno prekinuti l</w:t>
            </w:r>
            <w:r w:rsidR="0094593A" w:rsidRPr="00F234A2">
              <w:rPr>
                <w:sz w:val="22"/>
                <w:szCs w:val="22"/>
                <w:lang w:val="sr-Latn-ME"/>
              </w:rPr>
              <w:t>ij</w:t>
            </w:r>
            <w:r w:rsidRPr="00F234A2">
              <w:rPr>
                <w:sz w:val="22"/>
                <w:szCs w:val="22"/>
                <w:lang w:val="sr-Latn-ME"/>
              </w:rPr>
              <w:t>ečenje asciminibom do poboljšanja ABN ≥1 x 10</w:t>
            </w:r>
            <w:r w:rsidRPr="00F234A2">
              <w:rPr>
                <w:sz w:val="22"/>
                <w:szCs w:val="22"/>
                <w:vertAlign w:val="superscript"/>
                <w:lang w:val="sr-Latn-ME"/>
              </w:rPr>
              <w:t>9</w:t>
            </w:r>
            <w:r w:rsidRPr="00F234A2">
              <w:rPr>
                <w:sz w:val="22"/>
                <w:szCs w:val="22"/>
                <w:lang w:val="sr-Latn-ME"/>
              </w:rPr>
              <w:t>/l i broja trombocita ≥50 x 10</w:t>
            </w:r>
            <w:r w:rsidRPr="00F234A2">
              <w:rPr>
                <w:sz w:val="22"/>
                <w:szCs w:val="22"/>
                <w:vertAlign w:val="superscript"/>
                <w:lang w:val="sr-Latn-ME"/>
              </w:rPr>
              <w:t>9</w:t>
            </w:r>
            <w:r w:rsidRPr="00F234A2">
              <w:rPr>
                <w:sz w:val="22"/>
                <w:szCs w:val="22"/>
                <w:lang w:val="sr-Latn-ME"/>
              </w:rPr>
              <w:t>/l, a zatim nastaviti sa smanjenom dozom.</w:t>
            </w:r>
            <w:r w:rsidRPr="00F234A2">
              <w:rPr>
                <w:color w:val="000000" w:themeColor="text1"/>
                <w:sz w:val="22"/>
                <w:szCs w:val="22"/>
                <w:lang w:val="sr-Latn-ME"/>
              </w:rPr>
              <w:t xml:space="preserve"> </w:t>
            </w:r>
          </w:p>
        </w:tc>
      </w:tr>
      <w:tr w:rsidR="0048424F" w:rsidRPr="00F234A2" w14:paraId="074D9A13" w14:textId="77777777" w:rsidTr="00304249">
        <w:trPr>
          <w:cantSplit/>
          <w:trHeight w:val="198"/>
        </w:trPr>
        <w:tc>
          <w:tcPr>
            <w:tcW w:w="9090" w:type="dxa"/>
            <w:gridSpan w:val="2"/>
            <w:tcBorders>
              <w:top w:val="nil"/>
              <w:left w:val="nil"/>
              <w:bottom w:val="single" w:sz="4" w:space="0" w:color="auto"/>
              <w:right w:val="nil"/>
            </w:tcBorders>
            <w:hideMark/>
          </w:tcPr>
          <w:p w14:paraId="6AA64262" w14:textId="3BE10425" w:rsidR="0048424F" w:rsidRPr="00F234A2" w:rsidRDefault="0048424F" w:rsidP="0095542C">
            <w:pPr>
              <w:pStyle w:val="Table"/>
              <w:keepNext/>
              <w:spacing w:before="0" w:after="0"/>
              <w:jc w:val="both"/>
              <w:rPr>
                <w:rFonts w:ascii="Times New Roman" w:hAnsi="Times New Roman" w:cs="Times New Roman"/>
                <w:b/>
                <w:sz w:val="22"/>
                <w:szCs w:val="22"/>
                <w:lang w:val="sr-Latn-ME"/>
              </w:rPr>
            </w:pPr>
            <w:r w:rsidRPr="00F234A2">
              <w:rPr>
                <w:rFonts w:ascii="Times New Roman" w:hAnsi="Times New Roman" w:cs="Times New Roman"/>
                <w:b/>
                <w:sz w:val="22"/>
                <w:szCs w:val="22"/>
                <w:lang w:val="sr-Latn-ME"/>
              </w:rPr>
              <w:t>Asimptomatski povišene vr</w:t>
            </w:r>
            <w:r w:rsidR="0094593A" w:rsidRPr="00F234A2">
              <w:rPr>
                <w:rFonts w:ascii="Times New Roman" w:hAnsi="Times New Roman" w:cs="Times New Roman"/>
                <w:b/>
                <w:sz w:val="22"/>
                <w:szCs w:val="22"/>
                <w:lang w:val="sr-Latn-ME"/>
              </w:rPr>
              <w:t>ij</w:t>
            </w:r>
            <w:r w:rsidRPr="00F234A2">
              <w:rPr>
                <w:rFonts w:ascii="Times New Roman" w:hAnsi="Times New Roman" w:cs="Times New Roman"/>
                <w:b/>
                <w:sz w:val="22"/>
                <w:szCs w:val="22"/>
                <w:lang w:val="sr-Latn-ME"/>
              </w:rPr>
              <w:t>ednosti amilaze i/ili lipaze</w:t>
            </w:r>
          </w:p>
        </w:tc>
      </w:tr>
      <w:tr w:rsidR="0048424F" w:rsidRPr="00F234A2" w14:paraId="7D168E5C" w14:textId="77777777" w:rsidTr="00304249">
        <w:trPr>
          <w:cantSplit/>
          <w:trHeight w:val="269"/>
        </w:trPr>
        <w:tc>
          <w:tcPr>
            <w:tcW w:w="3402" w:type="dxa"/>
            <w:tcBorders>
              <w:top w:val="single" w:sz="4" w:space="0" w:color="auto"/>
              <w:left w:val="nil"/>
              <w:bottom w:val="single" w:sz="4" w:space="0" w:color="auto"/>
              <w:right w:val="single" w:sz="4" w:space="0" w:color="auto"/>
            </w:tcBorders>
            <w:hideMark/>
          </w:tcPr>
          <w:p w14:paraId="471C70AB" w14:textId="77777777" w:rsidR="0048424F" w:rsidRPr="00F234A2" w:rsidRDefault="0048424F" w:rsidP="0095542C">
            <w:pPr>
              <w:pStyle w:val="Table"/>
              <w:keepNext/>
              <w:spacing w:before="0" w:after="0"/>
              <w:jc w:val="both"/>
              <w:rPr>
                <w:rFonts w:ascii="Times New Roman" w:eastAsiaTheme="minorEastAsia" w:hAnsi="Times New Roman" w:cs="Times New Roman"/>
                <w:sz w:val="22"/>
                <w:szCs w:val="22"/>
                <w:lang w:val="sr-Latn-ME" w:eastAsia="en-US"/>
              </w:rPr>
            </w:pPr>
            <w:r w:rsidRPr="00F234A2">
              <w:rPr>
                <w:rFonts w:ascii="Times New Roman" w:eastAsiaTheme="minorEastAsia" w:hAnsi="Times New Roman" w:cs="Times New Roman"/>
                <w:sz w:val="22"/>
                <w:szCs w:val="22"/>
                <w:lang w:val="sr-Latn-ME" w:eastAsia="en-US"/>
              </w:rPr>
              <w:t>Porast &gt;2.0 x GGN</w:t>
            </w:r>
          </w:p>
        </w:tc>
        <w:tc>
          <w:tcPr>
            <w:tcW w:w="5688" w:type="dxa"/>
            <w:tcBorders>
              <w:top w:val="single" w:sz="4" w:space="0" w:color="auto"/>
              <w:left w:val="single" w:sz="4" w:space="0" w:color="auto"/>
              <w:bottom w:val="single" w:sz="4" w:space="0" w:color="auto"/>
              <w:right w:val="nil"/>
            </w:tcBorders>
            <w:vAlign w:val="center"/>
            <w:hideMark/>
          </w:tcPr>
          <w:p w14:paraId="291B1894" w14:textId="171AD044" w:rsidR="0048424F" w:rsidRPr="00F234A2" w:rsidRDefault="0048424F" w:rsidP="0095542C">
            <w:pPr>
              <w:pStyle w:val="Table"/>
              <w:keepNext/>
              <w:spacing w:before="0" w:after="0"/>
              <w:jc w:val="both"/>
              <w:rPr>
                <w:rFonts w:ascii="Times New Roman" w:hAnsi="Times New Roman" w:cs="Times New Roman"/>
                <w:sz w:val="22"/>
                <w:szCs w:val="22"/>
                <w:lang w:val="sr-Latn-ME"/>
              </w:rPr>
            </w:pPr>
            <w:r w:rsidRPr="00F234A2">
              <w:rPr>
                <w:rFonts w:ascii="Times New Roman" w:hAnsi="Times New Roman" w:cs="Times New Roman"/>
                <w:sz w:val="22"/>
                <w:szCs w:val="22"/>
                <w:lang w:val="sr-Latn-ME"/>
              </w:rPr>
              <w:t>Privremeno prekinuti prim</w:t>
            </w:r>
            <w:r w:rsidR="0094593A" w:rsidRPr="00F234A2">
              <w:rPr>
                <w:rFonts w:ascii="Times New Roman" w:hAnsi="Times New Roman" w:cs="Times New Roman"/>
                <w:sz w:val="22"/>
                <w:szCs w:val="22"/>
                <w:lang w:val="sr-Latn-ME"/>
              </w:rPr>
              <w:t>j</w:t>
            </w:r>
            <w:r w:rsidRPr="00F234A2">
              <w:rPr>
                <w:rFonts w:ascii="Times New Roman" w:hAnsi="Times New Roman" w:cs="Times New Roman"/>
                <w:sz w:val="22"/>
                <w:szCs w:val="22"/>
                <w:lang w:val="sr-Latn-ME"/>
              </w:rPr>
              <w:t>enu asciminiba do poboljšanja na &lt;1.5 x GGN.</w:t>
            </w:r>
          </w:p>
          <w:p w14:paraId="0F8AB20C" w14:textId="4984666D" w:rsidR="0048424F" w:rsidRPr="00F234A2" w:rsidRDefault="0048424F" w:rsidP="0095542C">
            <w:pPr>
              <w:pStyle w:val="Listlevel1"/>
              <w:keepNext/>
              <w:keepLines/>
              <w:numPr>
                <w:ilvl w:val="0"/>
                <w:numId w:val="12"/>
              </w:numPr>
              <w:spacing w:before="0"/>
              <w:ind w:left="284" w:hanging="284"/>
              <w:jc w:val="both"/>
              <w:rPr>
                <w:sz w:val="22"/>
                <w:szCs w:val="22"/>
                <w:lang w:val="sr-Latn-ME"/>
              </w:rPr>
            </w:pPr>
            <w:r w:rsidRPr="00F234A2">
              <w:rPr>
                <w:sz w:val="22"/>
                <w:szCs w:val="22"/>
                <w:lang w:val="sr-Latn-ME"/>
              </w:rPr>
              <w:t>Ako dođe do poboljšanja: nastaviti sa smanjenom dozom. Ako se događaji ponovno jave sa smanjenom dozom, trajno prekinuti l</w:t>
            </w:r>
            <w:r w:rsidR="0094593A" w:rsidRPr="00F234A2">
              <w:rPr>
                <w:sz w:val="22"/>
                <w:szCs w:val="22"/>
                <w:lang w:val="sr-Latn-ME"/>
              </w:rPr>
              <w:t>ij</w:t>
            </w:r>
            <w:r w:rsidRPr="00F234A2">
              <w:rPr>
                <w:sz w:val="22"/>
                <w:szCs w:val="22"/>
                <w:lang w:val="sr-Latn-ME"/>
              </w:rPr>
              <w:t>ečenje.</w:t>
            </w:r>
          </w:p>
          <w:p w14:paraId="56DD2663" w14:textId="5B896825" w:rsidR="0048424F" w:rsidRPr="00F234A2" w:rsidRDefault="0048424F" w:rsidP="0095542C">
            <w:pPr>
              <w:pStyle w:val="Listlevel1"/>
              <w:keepNext/>
              <w:keepLines/>
              <w:numPr>
                <w:ilvl w:val="0"/>
                <w:numId w:val="12"/>
              </w:numPr>
              <w:spacing w:before="0"/>
              <w:ind w:left="284" w:hanging="284"/>
              <w:jc w:val="both"/>
              <w:rPr>
                <w:sz w:val="22"/>
                <w:szCs w:val="22"/>
                <w:lang w:val="sr-Latn-ME"/>
              </w:rPr>
            </w:pPr>
            <w:r w:rsidRPr="00F234A2">
              <w:rPr>
                <w:sz w:val="22"/>
                <w:szCs w:val="22"/>
                <w:lang w:val="sr-Latn-ME"/>
              </w:rPr>
              <w:t>Ako ne dođe do poboljšanja: trajno prekinuti l</w:t>
            </w:r>
            <w:r w:rsidR="0094593A" w:rsidRPr="00F234A2">
              <w:rPr>
                <w:sz w:val="22"/>
                <w:szCs w:val="22"/>
                <w:lang w:val="sr-Latn-ME"/>
              </w:rPr>
              <w:t>ij</w:t>
            </w:r>
            <w:r w:rsidRPr="00F234A2">
              <w:rPr>
                <w:sz w:val="22"/>
                <w:szCs w:val="22"/>
                <w:lang w:val="sr-Latn-ME"/>
              </w:rPr>
              <w:t>ečenje. Uraditi dijagnostičke preglede da bi se isključio pankreatitis.</w:t>
            </w:r>
          </w:p>
        </w:tc>
      </w:tr>
      <w:tr w:rsidR="0048424F" w:rsidRPr="00F234A2" w14:paraId="3CD9D387" w14:textId="77777777" w:rsidTr="00304249">
        <w:trPr>
          <w:cantSplit/>
          <w:trHeight w:val="242"/>
        </w:trPr>
        <w:tc>
          <w:tcPr>
            <w:tcW w:w="9090" w:type="dxa"/>
            <w:gridSpan w:val="2"/>
            <w:tcBorders>
              <w:top w:val="single" w:sz="4" w:space="0" w:color="auto"/>
              <w:left w:val="nil"/>
              <w:bottom w:val="single" w:sz="4" w:space="0" w:color="auto"/>
              <w:right w:val="nil"/>
            </w:tcBorders>
            <w:vAlign w:val="center"/>
            <w:hideMark/>
          </w:tcPr>
          <w:p w14:paraId="65605CED" w14:textId="77777777" w:rsidR="0048424F" w:rsidRPr="00F234A2" w:rsidRDefault="0048424F" w:rsidP="0095542C">
            <w:pPr>
              <w:pStyle w:val="Table"/>
              <w:keepNext/>
              <w:spacing w:before="0" w:after="0"/>
              <w:jc w:val="both"/>
              <w:rPr>
                <w:rFonts w:ascii="Times New Roman" w:hAnsi="Times New Roman" w:cs="Times New Roman"/>
                <w:b/>
                <w:sz w:val="22"/>
                <w:szCs w:val="22"/>
                <w:lang w:val="sr-Latn-ME"/>
              </w:rPr>
            </w:pPr>
            <w:r w:rsidRPr="00F234A2">
              <w:rPr>
                <w:rFonts w:ascii="Times New Roman" w:eastAsiaTheme="minorEastAsia" w:hAnsi="Times New Roman" w:cs="Times New Roman"/>
                <w:b/>
                <w:sz w:val="22"/>
                <w:szCs w:val="22"/>
                <w:lang w:val="sr-Latn-ME" w:eastAsia="en-US"/>
              </w:rPr>
              <w:t>Nehematološke neželjene reakcije</w:t>
            </w:r>
          </w:p>
        </w:tc>
      </w:tr>
      <w:tr w:rsidR="0048424F" w:rsidRPr="00F234A2" w14:paraId="07899C39" w14:textId="77777777" w:rsidTr="00304249">
        <w:trPr>
          <w:cantSplit/>
          <w:trHeight w:val="404"/>
        </w:trPr>
        <w:tc>
          <w:tcPr>
            <w:tcW w:w="3402" w:type="dxa"/>
            <w:tcBorders>
              <w:top w:val="single" w:sz="4" w:space="0" w:color="auto"/>
              <w:left w:val="nil"/>
              <w:bottom w:val="single" w:sz="4" w:space="0" w:color="auto"/>
              <w:right w:val="single" w:sz="4" w:space="0" w:color="auto"/>
            </w:tcBorders>
            <w:hideMark/>
          </w:tcPr>
          <w:p w14:paraId="0B94BD4F" w14:textId="77777777" w:rsidR="0048424F" w:rsidRPr="00F234A2" w:rsidRDefault="0048424F" w:rsidP="0095542C">
            <w:pPr>
              <w:pStyle w:val="Table"/>
              <w:keepNext/>
              <w:spacing w:before="0" w:after="0"/>
              <w:jc w:val="both"/>
              <w:rPr>
                <w:rFonts w:ascii="Times New Roman" w:eastAsiaTheme="minorEastAsia" w:hAnsi="Times New Roman" w:cs="Times New Roman"/>
                <w:sz w:val="22"/>
                <w:szCs w:val="22"/>
                <w:lang w:val="sr-Latn-ME" w:eastAsia="en-US"/>
              </w:rPr>
            </w:pPr>
            <w:r w:rsidRPr="00F234A2">
              <w:rPr>
                <w:rFonts w:ascii="Times New Roman" w:eastAsiaTheme="minorEastAsia" w:hAnsi="Times New Roman" w:cs="Times New Roman"/>
                <w:sz w:val="22"/>
                <w:szCs w:val="22"/>
                <w:lang w:val="sr-Latn-ME" w:eastAsia="en-US"/>
              </w:rPr>
              <w:t>Neželjene reakcije gradusa 3 ili većeg</w:t>
            </w:r>
            <w:r w:rsidRPr="00F234A2">
              <w:rPr>
                <w:rFonts w:ascii="Times New Roman" w:eastAsiaTheme="minorEastAsia" w:hAnsi="Times New Roman" w:cs="Times New Roman"/>
                <w:sz w:val="22"/>
                <w:szCs w:val="22"/>
                <w:vertAlign w:val="superscript"/>
                <w:lang w:val="sr-Latn-ME" w:eastAsia="en-US"/>
              </w:rPr>
              <w:t>1</w:t>
            </w:r>
          </w:p>
        </w:tc>
        <w:tc>
          <w:tcPr>
            <w:tcW w:w="5688" w:type="dxa"/>
            <w:tcBorders>
              <w:top w:val="single" w:sz="4" w:space="0" w:color="auto"/>
              <w:left w:val="single" w:sz="4" w:space="0" w:color="auto"/>
              <w:bottom w:val="single" w:sz="4" w:space="0" w:color="auto"/>
              <w:right w:val="nil"/>
            </w:tcBorders>
            <w:hideMark/>
          </w:tcPr>
          <w:p w14:paraId="642F3C50" w14:textId="143B3729" w:rsidR="0048424F" w:rsidRPr="00F234A2" w:rsidRDefault="0048424F" w:rsidP="0095542C">
            <w:pPr>
              <w:pStyle w:val="Table"/>
              <w:keepNext/>
              <w:spacing w:before="0" w:after="0"/>
              <w:jc w:val="both"/>
              <w:rPr>
                <w:rFonts w:ascii="Times New Roman" w:hAnsi="Times New Roman" w:cs="Times New Roman"/>
                <w:sz w:val="22"/>
                <w:szCs w:val="22"/>
                <w:lang w:val="sr-Latn-ME"/>
              </w:rPr>
            </w:pPr>
            <w:r w:rsidRPr="00F234A2">
              <w:rPr>
                <w:rFonts w:ascii="Times New Roman" w:hAnsi="Times New Roman" w:cs="Times New Roman"/>
                <w:sz w:val="22"/>
                <w:szCs w:val="22"/>
                <w:lang w:val="sr-Latn-ME"/>
              </w:rPr>
              <w:t>Privremeno prekinuti l</w:t>
            </w:r>
            <w:r w:rsidR="0094593A" w:rsidRPr="00F234A2">
              <w:rPr>
                <w:rFonts w:ascii="Times New Roman" w:hAnsi="Times New Roman" w:cs="Times New Roman"/>
                <w:sz w:val="22"/>
                <w:szCs w:val="22"/>
                <w:lang w:val="sr-Latn-ME"/>
              </w:rPr>
              <w:t>ij</w:t>
            </w:r>
            <w:r w:rsidRPr="00F234A2">
              <w:rPr>
                <w:rFonts w:ascii="Times New Roman" w:hAnsi="Times New Roman" w:cs="Times New Roman"/>
                <w:sz w:val="22"/>
                <w:szCs w:val="22"/>
                <w:lang w:val="sr-Latn-ME"/>
              </w:rPr>
              <w:t>ečenje asciminibom do oporavka na gradus 1 ili niži.</w:t>
            </w:r>
          </w:p>
          <w:p w14:paraId="0329C73F" w14:textId="77777777" w:rsidR="0048424F" w:rsidRPr="00F234A2" w:rsidRDefault="0048424F" w:rsidP="0095542C">
            <w:pPr>
              <w:pStyle w:val="Listlevel1"/>
              <w:keepNext/>
              <w:keepLines/>
              <w:numPr>
                <w:ilvl w:val="0"/>
                <w:numId w:val="12"/>
              </w:numPr>
              <w:spacing w:before="0"/>
              <w:ind w:left="284" w:hanging="284"/>
              <w:jc w:val="both"/>
              <w:rPr>
                <w:sz w:val="22"/>
                <w:szCs w:val="22"/>
                <w:lang w:val="sr-Latn-ME"/>
              </w:rPr>
            </w:pPr>
            <w:r w:rsidRPr="00F234A2">
              <w:rPr>
                <w:sz w:val="22"/>
                <w:szCs w:val="22"/>
                <w:lang w:val="sr-Latn-ME"/>
              </w:rPr>
              <w:t>Ako dođe do poboljšanja: nastaviti sa smanjenom dozom.</w:t>
            </w:r>
          </w:p>
          <w:p w14:paraId="74CD6ADD" w14:textId="5FA9BA5B" w:rsidR="0048424F" w:rsidRPr="00F234A2" w:rsidRDefault="0048424F" w:rsidP="0095542C">
            <w:pPr>
              <w:pStyle w:val="Listlevel1"/>
              <w:keepNext/>
              <w:keepLines/>
              <w:numPr>
                <w:ilvl w:val="0"/>
                <w:numId w:val="12"/>
              </w:numPr>
              <w:spacing w:before="0"/>
              <w:ind w:left="284" w:hanging="284"/>
              <w:jc w:val="both"/>
              <w:rPr>
                <w:sz w:val="22"/>
                <w:szCs w:val="22"/>
                <w:lang w:val="sr-Latn-ME"/>
              </w:rPr>
            </w:pPr>
            <w:r w:rsidRPr="00F234A2">
              <w:rPr>
                <w:sz w:val="22"/>
                <w:szCs w:val="22"/>
                <w:lang w:val="sr-Latn-ME"/>
              </w:rPr>
              <w:t>Ako ne dođe do poboljšanja: trajno prekinuti l</w:t>
            </w:r>
            <w:r w:rsidR="0094593A" w:rsidRPr="00F234A2">
              <w:rPr>
                <w:sz w:val="22"/>
                <w:szCs w:val="22"/>
                <w:lang w:val="sr-Latn-ME"/>
              </w:rPr>
              <w:t>ij</w:t>
            </w:r>
            <w:r w:rsidRPr="00F234A2">
              <w:rPr>
                <w:sz w:val="22"/>
                <w:szCs w:val="22"/>
                <w:lang w:val="sr-Latn-ME"/>
              </w:rPr>
              <w:t>ečenje.</w:t>
            </w:r>
          </w:p>
        </w:tc>
      </w:tr>
      <w:tr w:rsidR="0048424F" w:rsidRPr="00F234A2" w14:paraId="14FF90D0" w14:textId="77777777" w:rsidTr="00304249">
        <w:trPr>
          <w:cantSplit/>
          <w:trHeight w:val="323"/>
        </w:trPr>
        <w:tc>
          <w:tcPr>
            <w:tcW w:w="9090" w:type="dxa"/>
            <w:gridSpan w:val="2"/>
            <w:tcBorders>
              <w:top w:val="single" w:sz="4" w:space="0" w:color="auto"/>
              <w:left w:val="nil"/>
              <w:bottom w:val="single" w:sz="4" w:space="0" w:color="auto"/>
              <w:right w:val="nil"/>
            </w:tcBorders>
            <w:hideMark/>
          </w:tcPr>
          <w:p w14:paraId="453AEB88" w14:textId="146F0C59" w:rsidR="0048424F" w:rsidRPr="00F234A2" w:rsidRDefault="0048424F" w:rsidP="0095542C">
            <w:pPr>
              <w:pStyle w:val="Table"/>
              <w:keepLines w:val="0"/>
              <w:spacing w:before="0" w:after="0"/>
              <w:jc w:val="both"/>
              <w:rPr>
                <w:rFonts w:ascii="Times New Roman" w:hAnsi="Times New Roman" w:cs="Times New Roman"/>
                <w:sz w:val="22"/>
                <w:szCs w:val="22"/>
                <w:lang w:val="sr-Latn-ME"/>
              </w:rPr>
            </w:pPr>
            <w:r w:rsidRPr="00F234A2">
              <w:rPr>
                <w:rFonts w:ascii="Times New Roman" w:hAnsi="Times New Roman" w:cs="Times New Roman"/>
                <w:sz w:val="22"/>
                <w:szCs w:val="22"/>
                <w:lang w:val="sr-Latn-ME"/>
              </w:rPr>
              <w:t>ABN: apsolutni broj neutrofila; GGN: gornja granica normalnih vr</w:t>
            </w:r>
            <w:r w:rsidR="0094593A" w:rsidRPr="00F234A2">
              <w:rPr>
                <w:rFonts w:ascii="Times New Roman" w:hAnsi="Times New Roman" w:cs="Times New Roman"/>
                <w:sz w:val="22"/>
                <w:szCs w:val="22"/>
                <w:lang w:val="sr-Latn-ME"/>
              </w:rPr>
              <w:t>ij</w:t>
            </w:r>
            <w:r w:rsidRPr="00F234A2">
              <w:rPr>
                <w:rFonts w:ascii="Times New Roman" w:hAnsi="Times New Roman" w:cs="Times New Roman"/>
                <w:sz w:val="22"/>
                <w:szCs w:val="22"/>
                <w:lang w:val="sr-Latn-ME"/>
              </w:rPr>
              <w:t>ednosti</w:t>
            </w:r>
          </w:p>
          <w:p w14:paraId="006A9C6C" w14:textId="77777777" w:rsidR="0048424F" w:rsidRPr="00F234A2" w:rsidRDefault="0048424F" w:rsidP="0095542C">
            <w:pPr>
              <w:pStyle w:val="Table"/>
              <w:keepLines w:val="0"/>
              <w:spacing w:before="0" w:after="0"/>
              <w:jc w:val="both"/>
              <w:rPr>
                <w:rFonts w:ascii="Times New Roman" w:hAnsi="Times New Roman" w:cs="Times New Roman"/>
                <w:sz w:val="22"/>
                <w:szCs w:val="22"/>
                <w:lang w:val="sr-Latn-ME"/>
              </w:rPr>
            </w:pPr>
            <w:r w:rsidRPr="00F234A2">
              <w:rPr>
                <w:rFonts w:ascii="Times New Roman" w:hAnsi="Times New Roman" w:cs="Times New Roman"/>
                <w:sz w:val="22"/>
                <w:szCs w:val="22"/>
                <w:vertAlign w:val="superscript"/>
                <w:lang w:val="sr-Latn-ME"/>
              </w:rPr>
              <w:t>1</w:t>
            </w:r>
            <w:r w:rsidRPr="00F234A2">
              <w:rPr>
                <w:rFonts w:ascii="Times New Roman" w:hAnsi="Times New Roman" w:cs="Times New Roman"/>
                <w:sz w:val="22"/>
                <w:szCs w:val="22"/>
                <w:lang w:val="sr-Latn-ME"/>
              </w:rPr>
              <w:t xml:space="preserve">Prema Zajedničkim terminološkim kriterijumima za neželjene događaje Nacionalnog instituta za karcinom, (engl. </w:t>
            </w:r>
            <w:r w:rsidRPr="00F234A2">
              <w:rPr>
                <w:rFonts w:ascii="Times New Roman" w:hAnsi="Times New Roman" w:cs="Times New Roman"/>
                <w:i/>
                <w:sz w:val="22"/>
                <w:szCs w:val="22"/>
                <w:lang w:val="sr-Latn-ME"/>
              </w:rPr>
              <w:t>National Cancer Institute Common Terminology Criteria for Adverse Events</w:t>
            </w:r>
            <w:r w:rsidRPr="00F234A2">
              <w:rPr>
                <w:rFonts w:ascii="Times New Roman" w:hAnsi="Times New Roman" w:cs="Times New Roman"/>
                <w:sz w:val="22"/>
                <w:szCs w:val="22"/>
                <w:lang w:val="sr-Latn-ME"/>
              </w:rPr>
              <w:t>, NCI CTCAE) v 4.03.</w:t>
            </w:r>
          </w:p>
        </w:tc>
      </w:tr>
    </w:tbl>
    <w:p w14:paraId="7D19B886" w14:textId="77777777" w:rsidR="0048424F" w:rsidRPr="00F234A2" w:rsidRDefault="0048424F" w:rsidP="0095542C">
      <w:pPr>
        <w:tabs>
          <w:tab w:val="left" w:pos="540"/>
          <w:tab w:val="left" w:pos="569"/>
        </w:tabs>
        <w:jc w:val="both"/>
        <w:rPr>
          <w:b/>
          <w:sz w:val="22"/>
          <w:szCs w:val="22"/>
          <w:lang w:val="sr-Latn-ME"/>
        </w:rPr>
      </w:pPr>
    </w:p>
    <w:p w14:paraId="0E0A05A6" w14:textId="77777777" w:rsidR="0048424F" w:rsidRPr="00F234A2" w:rsidRDefault="0048424F" w:rsidP="0095542C">
      <w:pPr>
        <w:tabs>
          <w:tab w:val="left" w:pos="540"/>
          <w:tab w:val="left" w:pos="569"/>
        </w:tabs>
        <w:jc w:val="both"/>
        <w:rPr>
          <w:bCs/>
          <w:i/>
          <w:iCs/>
          <w:sz w:val="22"/>
          <w:szCs w:val="22"/>
          <w:u w:val="single"/>
          <w:lang w:val="sr-Latn-ME"/>
        </w:rPr>
      </w:pPr>
      <w:r w:rsidRPr="00F234A2">
        <w:rPr>
          <w:bCs/>
          <w:i/>
          <w:iCs/>
          <w:sz w:val="22"/>
          <w:szCs w:val="22"/>
          <w:u w:val="single"/>
          <w:lang w:val="sr-Latn-ME"/>
        </w:rPr>
        <w:lastRenderedPageBreak/>
        <w:t>Posebne populacije</w:t>
      </w:r>
    </w:p>
    <w:p w14:paraId="31876AC7" w14:textId="77777777" w:rsidR="0048424F" w:rsidRPr="00F234A2" w:rsidRDefault="0048424F" w:rsidP="0095542C">
      <w:pPr>
        <w:tabs>
          <w:tab w:val="left" w:pos="540"/>
          <w:tab w:val="left" w:pos="569"/>
        </w:tabs>
        <w:jc w:val="both"/>
        <w:rPr>
          <w:bCs/>
          <w:i/>
          <w:iCs/>
          <w:sz w:val="22"/>
          <w:szCs w:val="22"/>
          <w:lang w:val="sr-Latn-ME"/>
        </w:rPr>
      </w:pPr>
      <w:r w:rsidRPr="00F234A2">
        <w:rPr>
          <w:bCs/>
          <w:i/>
          <w:iCs/>
          <w:sz w:val="22"/>
          <w:szCs w:val="22"/>
          <w:lang w:val="sr-Latn-ME"/>
        </w:rPr>
        <w:t>Starije osobe</w:t>
      </w:r>
    </w:p>
    <w:p w14:paraId="23A1B304" w14:textId="03397180" w:rsidR="0048424F" w:rsidRPr="00F234A2" w:rsidRDefault="0048424F" w:rsidP="0095542C">
      <w:pPr>
        <w:tabs>
          <w:tab w:val="left" w:pos="540"/>
          <w:tab w:val="left" w:pos="569"/>
        </w:tabs>
        <w:jc w:val="both"/>
        <w:rPr>
          <w:bCs/>
          <w:sz w:val="22"/>
          <w:szCs w:val="22"/>
          <w:lang w:val="sr-Latn-ME"/>
        </w:rPr>
      </w:pPr>
      <w:r w:rsidRPr="00F234A2">
        <w:rPr>
          <w:bCs/>
          <w:sz w:val="22"/>
          <w:szCs w:val="22"/>
          <w:lang w:val="sr-Latn-ME"/>
        </w:rPr>
        <w:t>Nije potrebno prilagođavanje doze kod starosti od 65 i više godina.</w:t>
      </w:r>
    </w:p>
    <w:p w14:paraId="0D3F83BB" w14:textId="36526C22" w:rsidR="0048424F" w:rsidRPr="00F234A2" w:rsidRDefault="0048424F" w:rsidP="0095542C">
      <w:pPr>
        <w:tabs>
          <w:tab w:val="left" w:pos="540"/>
          <w:tab w:val="left" w:pos="569"/>
        </w:tabs>
        <w:jc w:val="both"/>
        <w:rPr>
          <w:bCs/>
          <w:sz w:val="22"/>
          <w:szCs w:val="22"/>
          <w:lang w:val="sr-Latn-ME"/>
        </w:rPr>
      </w:pPr>
    </w:p>
    <w:p w14:paraId="6ACE2161" w14:textId="77777777" w:rsidR="0048424F" w:rsidRPr="00F234A2" w:rsidRDefault="0048424F" w:rsidP="0095542C">
      <w:pPr>
        <w:tabs>
          <w:tab w:val="left" w:pos="540"/>
          <w:tab w:val="left" w:pos="569"/>
        </w:tabs>
        <w:jc w:val="both"/>
        <w:rPr>
          <w:bCs/>
          <w:i/>
          <w:iCs/>
          <w:sz w:val="22"/>
          <w:szCs w:val="22"/>
          <w:lang w:val="sr-Latn-ME"/>
        </w:rPr>
      </w:pPr>
      <w:r w:rsidRPr="00F234A2">
        <w:rPr>
          <w:bCs/>
          <w:i/>
          <w:iCs/>
          <w:sz w:val="22"/>
          <w:szCs w:val="22"/>
          <w:lang w:val="sr-Latn-ME"/>
        </w:rPr>
        <w:t>Oštećenje funkcije bubrega</w:t>
      </w:r>
    </w:p>
    <w:p w14:paraId="130B33AA" w14:textId="4719003A" w:rsidR="0048424F" w:rsidRPr="00F234A2" w:rsidRDefault="0048424F" w:rsidP="0095542C">
      <w:pPr>
        <w:tabs>
          <w:tab w:val="left" w:pos="540"/>
          <w:tab w:val="left" w:pos="569"/>
        </w:tabs>
        <w:jc w:val="both"/>
        <w:rPr>
          <w:bCs/>
          <w:sz w:val="22"/>
          <w:szCs w:val="22"/>
          <w:lang w:val="sr-Latn-ME"/>
        </w:rPr>
      </w:pPr>
      <w:r w:rsidRPr="00F234A2">
        <w:rPr>
          <w:bCs/>
          <w:sz w:val="22"/>
          <w:szCs w:val="22"/>
          <w:lang w:val="sr-Latn-ME"/>
        </w:rPr>
        <w:t xml:space="preserve">Nije potrebno prilagođavati doze kod </w:t>
      </w:r>
      <w:r w:rsidR="00FB25DC" w:rsidRPr="00F234A2">
        <w:rPr>
          <w:bCs/>
          <w:sz w:val="22"/>
          <w:szCs w:val="22"/>
          <w:lang w:val="sr-Latn-ME"/>
        </w:rPr>
        <w:t xml:space="preserve">pacijenata </w:t>
      </w:r>
      <w:r w:rsidRPr="00F234A2">
        <w:rPr>
          <w:bCs/>
          <w:sz w:val="22"/>
          <w:szCs w:val="22"/>
          <w:lang w:val="sr-Latn-ME"/>
        </w:rPr>
        <w:t>sa blagim, um</w:t>
      </w:r>
      <w:r w:rsidR="0094593A" w:rsidRPr="00F234A2">
        <w:rPr>
          <w:bCs/>
          <w:sz w:val="22"/>
          <w:szCs w:val="22"/>
          <w:lang w:val="sr-Latn-ME"/>
        </w:rPr>
        <w:t>j</w:t>
      </w:r>
      <w:r w:rsidRPr="00F234A2">
        <w:rPr>
          <w:bCs/>
          <w:sz w:val="22"/>
          <w:szCs w:val="22"/>
          <w:lang w:val="sr-Latn-ME"/>
        </w:rPr>
        <w:t>erenim ili teškim oštećenjem funkcije bubrega (vid</w:t>
      </w:r>
      <w:r w:rsidR="0094593A" w:rsidRPr="00F234A2">
        <w:rPr>
          <w:bCs/>
          <w:sz w:val="22"/>
          <w:szCs w:val="22"/>
          <w:lang w:val="sr-Latn-ME"/>
        </w:rPr>
        <w:t>j</w:t>
      </w:r>
      <w:r w:rsidRPr="00F234A2">
        <w:rPr>
          <w:bCs/>
          <w:sz w:val="22"/>
          <w:szCs w:val="22"/>
          <w:lang w:val="sr-Latn-ME"/>
        </w:rPr>
        <w:t xml:space="preserve">eti </w:t>
      </w:r>
      <w:r w:rsidR="00F10338" w:rsidRPr="00F234A2">
        <w:rPr>
          <w:bCs/>
          <w:sz w:val="22"/>
          <w:szCs w:val="22"/>
          <w:lang w:val="sr-Latn-ME"/>
        </w:rPr>
        <w:t xml:space="preserve">dio </w:t>
      </w:r>
      <w:r w:rsidRPr="00F234A2">
        <w:rPr>
          <w:bCs/>
          <w:sz w:val="22"/>
          <w:szCs w:val="22"/>
          <w:lang w:val="sr-Latn-ME"/>
        </w:rPr>
        <w:t>5.2).</w:t>
      </w:r>
    </w:p>
    <w:p w14:paraId="2798B0A0" w14:textId="27BCB17F" w:rsidR="0048424F" w:rsidRPr="00F234A2" w:rsidRDefault="0048424F" w:rsidP="0095542C">
      <w:pPr>
        <w:tabs>
          <w:tab w:val="left" w:pos="540"/>
          <w:tab w:val="left" w:pos="569"/>
        </w:tabs>
        <w:jc w:val="both"/>
        <w:rPr>
          <w:bCs/>
          <w:i/>
          <w:iCs/>
          <w:sz w:val="22"/>
          <w:szCs w:val="22"/>
          <w:lang w:val="sr-Latn-ME"/>
        </w:rPr>
      </w:pPr>
    </w:p>
    <w:p w14:paraId="5EA99C8A" w14:textId="77777777" w:rsidR="0048424F" w:rsidRPr="00F234A2" w:rsidRDefault="0048424F" w:rsidP="0095542C">
      <w:pPr>
        <w:tabs>
          <w:tab w:val="left" w:pos="540"/>
          <w:tab w:val="left" w:pos="569"/>
        </w:tabs>
        <w:jc w:val="both"/>
        <w:rPr>
          <w:bCs/>
          <w:i/>
          <w:iCs/>
          <w:sz w:val="22"/>
          <w:szCs w:val="22"/>
          <w:lang w:val="sr-Latn-ME"/>
        </w:rPr>
      </w:pPr>
      <w:r w:rsidRPr="00F234A2">
        <w:rPr>
          <w:bCs/>
          <w:i/>
          <w:iCs/>
          <w:sz w:val="22"/>
          <w:szCs w:val="22"/>
          <w:lang w:val="sr-Latn-ME"/>
        </w:rPr>
        <w:t>Oštećenje funkcije jetre</w:t>
      </w:r>
    </w:p>
    <w:p w14:paraId="0CF21C49" w14:textId="62DE5167" w:rsidR="0048424F" w:rsidRPr="00F234A2" w:rsidRDefault="0048424F" w:rsidP="0095542C">
      <w:pPr>
        <w:tabs>
          <w:tab w:val="left" w:pos="540"/>
          <w:tab w:val="left" w:pos="569"/>
        </w:tabs>
        <w:jc w:val="both"/>
        <w:rPr>
          <w:bCs/>
          <w:sz w:val="22"/>
          <w:szCs w:val="22"/>
          <w:lang w:val="sr-Latn-ME"/>
        </w:rPr>
      </w:pPr>
      <w:r w:rsidRPr="00F234A2">
        <w:rPr>
          <w:bCs/>
          <w:sz w:val="22"/>
          <w:szCs w:val="22"/>
          <w:lang w:val="sr-Latn-ME"/>
        </w:rPr>
        <w:t xml:space="preserve">Nije potrebno prilagođavanje doze kod </w:t>
      </w:r>
      <w:r w:rsidR="00FB25DC" w:rsidRPr="00F234A2">
        <w:rPr>
          <w:bCs/>
          <w:sz w:val="22"/>
          <w:szCs w:val="22"/>
          <w:lang w:val="sr-Latn-ME"/>
        </w:rPr>
        <w:t xml:space="preserve">pacijenata </w:t>
      </w:r>
      <w:r w:rsidRPr="00F234A2">
        <w:rPr>
          <w:bCs/>
          <w:sz w:val="22"/>
          <w:szCs w:val="22"/>
          <w:lang w:val="sr-Latn-ME"/>
        </w:rPr>
        <w:t>sa blagim, um</w:t>
      </w:r>
      <w:r w:rsidR="0094593A" w:rsidRPr="00F234A2">
        <w:rPr>
          <w:bCs/>
          <w:sz w:val="22"/>
          <w:szCs w:val="22"/>
          <w:lang w:val="sr-Latn-ME"/>
        </w:rPr>
        <w:t>j</w:t>
      </w:r>
      <w:r w:rsidRPr="00F234A2">
        <w:rPr>
          <w:bCs/>
          <w:sz w:val="22"/>
          <w:szCs w:val="22"/>
          <w:lang w:val="sr-Latn-ME"/>
        </w:rPr>
        <w:t>erenim ili teškim oštećenjem funkcije jetre (</w:t>
      </w:r>
      <w:r w:rsidR="0094593A" w:rsidRPr="00F234A2">
        <w:rPr>
          <w:bCs/>
          <w:sz w:val="22"/>
          <w:szCs w:val="22"/>
          <w:lang w:val="sr-Latn-ME"/>
        </w:rPr>
        <w:t>vidjet</w:t>
      </w:r>
      <w:r w:rsidRPr="00F234A2">
        <w:rPr>
          <w:bCs/>
          <w:sz w:val="22"/>
          <w:szCs w:val="22"/>
          <w:lang w:val="sr-Latn-ME"/>
        </w:rPr>
        <w:t xml:space="preserve">i </w:t>
      </w:r>
      <w:r w:rsidR="00F10338" w:rsidRPr="00F234A2">
        <w:rPr>
          <w:bCs/>
          <w:sz w:val="22"/>
          <w:szCs w:val="22"/>
          <w:lang w:val="sr-Latn-ME"/>
        </w:rPr>
        <w:t xml:space="preserve">dio </w:t>
      </w:r>
      <w:r w:rsidRPr="00F234A2">
        <w:rPr>
          <w:bCs/>
          <w:sz w:val="22"/>
          <w:szCs w:val="22"/>
          <w:lang w:val="sr-Latn-ME"/>
        </w:rPr>
        <w:t>5.2).</w:t>
      </w:r>
    </w:p>
    <w:p w14:paraId="53D255D6" w14:textId="4733E6A8" w:rsidR="0048424F" w:rsidRPr="00F234A2" w:rsidRDefault="0048424F" w:rsidP="0095542C">
      <w:pPr>
        <w:tabs>
          <w:tab w:val="left" w:pos="540"/>
          <w:tab w:val="left" w:pos="569"/>
        </w:tabs>
        <w:jc w:val="both"/>
        <w:rPr>
          <w:bCs/>
          <w:sz w:val="22"/>
          <w:szCs w:val="22"/>
          <w:lang w:val="sr-Latn-ME"/>
        </w:rPr>
      </w:pPr>
    </w:p>
    <w:p w14:paraId="50F5341B" w14:textId="77777777" w:rsidR="0048424F" w:rsidRPr="00F234A2" w:rsidRDefault="0048424F" w:rsidP="0095542C">
      <w:pPr>
        <w:tabs>
          <w:tab w:val="left" w:pos="540"/>
          <w:tab w:val="left" w:pos="569"/>
        </w:tabs>
        <w:jc w:val="both"/>
        <w:rPr>
          <w:bCs/>
          <w:i/>
          <w:iCs/>
          <w:sz w:val="22"/>
          <w:szCs w:val="22"/>
          <w:lang w:val="sr-Latn-ME"/>
        </w:rPr>
      </w:pPr>
      <w:r w:rsidRPr="00F234A2">
        <w:rPr>
          <w:bCs/>
          <w:i/>
          <w:iCs/>
          <w:sz w:val="22"/>
          <w:szCs w:val="22"/>
          <w:lang w:val="sr-Latn-ME"/>
        </w:rPr>
        <w:t>Pedijatrijska populacija</w:t>
      </w:r>
    </w:p>
    <w:p w14:paraId="2D2494CC" w14:textId="4F493C8B" w:rsidR="0048424F" w:rsidRPr="00F234A2" w:rsidRDefault="0048424F" w:rsidP="0095542C">
      <w:pPr>
        <w:tabs>
          <w:tab w:val="left" w:pos="540"/>
          <w:tab w:val="left" w:pos="569"/>
        </w:tabs>
        <w:jc w:val="both"/>
        <w:rPr>
          <w:bCs/>
          <w:sz w:val="22"/>
          <w:szCs w:val="22"/>
          <w:lang w:val="sr-Latn-ME"/>
        </w:rPr>
      </w:pPr>
      <w:r w:rsidRPr="00F234A2">
        <w:rPr>
          <w:bCs/>
          <w:sz w:val="22"/>
          <w:szCs w:val="22"/>
          <w:lang w:val="sr-Latn-ME"/>
        </w:rPr>
        <w:t>Bezb</w:t>
      </w:r>
      <w:r w:rsidR="0094593A" w:rsidRPr="00F234A2">
        <w:rPr>
          <w:bCs/>
          <w:sz w:val="22"/>
          <w:szCs w:val="22"/>
          <w:lang w:val="sr-Latn-ME"/>
        </w:rPr>
        <w:t>j</w:t>
      </w:r>
      <w:r w:rsidRPr="00F234A2">
        <w:rPr>
          <w:bCs/>
          <w:sz w:val="22"/>
          <w:szCs w:val="22"/>
          <w:lang w:val="sr-Latn-ME"/>
        </w:rPr>
        <w:t>ednost i efikasnost l</w:t>
      </w:r>
      <w:r w:rsidR="0094593A" w:rsidRPr="00F234A2">
        <w:rPr>
          <w:bCs/>
          <w:sz w:val="22"/>
          <w:szCs w:val="22"/>
          <w:lang w:val="sr-Latn-ME"/>
        </w:rPr>
        <w:t>ij</w:t>
      </w:r>
      <w:r w:rsidRPr="00F234A2">
        <w:rPr>
          <w:bCs/>
          <w:sz w:val="22"/>
          <w:szCs w:val="22"/>
          <w:lang w:val="sr-Latn-ME"/>
        </w:rPr>
        <w:t>eka Scemblix kod d</w:t>
      </w:r>
      <w:r w:rsidR="0094593A" w:rsidRPr="00F234A2">
        <w:rPr>
          <w:bCs/>
          <w:sz w:val="22"/>
          <w:szCs w:val="22"/>
          <w:lang w:val="sr-Latn-ME"/>
        </w:rPr>
        <w:t>j</w:t>
      </w:r>
      <w:r w:rsidRPr="00F234A2">
        <w:rPr>
          <w:bCs/>
          <w:sz w:val="22"/>
          <w:szCs w:val="22"/>
          <w:lang w:val="sr-Latn-ME"/>
        </w:rPr>
        <w:t>ece uzrasta do 18 godina nisu ustanovljene. Nema dostupnih podataka.</w:t>
      </w:r>
    </w:p>
    <w:p w14:paraId="1ACE9A2A" w14:textId="77777777" w:rsidR="0048424F" w:rsidRPr="00F234A2" w:rsidRDefault="0048424F" w:rsidP="0095542C">
      <w:pPr>
        <w:tabs>
          <w:tab w:val="left" w:pos="540"/>
          <w:tab w:val="left" w:pos="569"/>
        </w:tabs>
        <w:jc w:val="both"/>
        <w:rPr>
          <w:bCs/>
          <w:sz w:val="22"/>
          <w:szCs w:val="22"/>
          <w:lang w:val="sr-Latn-ME"/>
        </w:rPr>
      </w:pPr>
    </w:p>
    <w:p w14:paraId="358440E8" w14:textId="0C3F375A" w:rsidR="00452E9D" w:rsidRPr="00F234A2" w:rsidRDefault="00452E9D" w:rsidP="0095542C">
      <w:pPr>
        <w:tabs>
          <w:tab w:val="left" w:pos="540"/>
          <w:tab w:val="left" w:pos="569"/>
        </w:tabs>
        <w:jc w:val="both"/>
        <w:rPr>
          <w:bCs/>
          <w:sz w:val="22"/>
          <w:szCs w:val="22"/>
          <w:u w:val="single"/>
          <w:lang w:val="sr-Latn-ME"/>
        </w:rPr>
      </w:pPr>
      <w:r w:rsidRPr="00F234A2">
        <w:rPr>
          <w:bCs/>
          <w:sz w:val="22"/>
          <w:szCs w:val="22"/>
          <w:u w:val="single"/>
          <w:lang w:val="sr-Latn-ME"/>
        </w:rPr>
        <w:t>Način primjene</w:t>
      </w:r>
    </w:p>
    <w:p w14:paraId="703B3043" w14:textId="77777777" w:rsidR="0048424F" w:rsidRPr="00F234A2" w:rsidRDefault="0048424F" w:rsidP="0095542C">
      <w:pPr>
        <w:tabs>
          <w:tab w:val="left" w:pos="540"/>
          <w:tab w:val="left" w:pos="569"/>
        </w:tabs>
        <w:jc w:val="both"/>
        <w:rPr>
          <w:bCs/>
          <w:sz w:val="22"/>
          <w:szCs w:val="22"/>
          <w:u w:val="single"/>
          <w:lang w:val="sr-Latn-ME"/>
        </w:rPr>
      </w:pPr>
    </w:p>
    <w:p w14:paraId="5A7A07AC" w14:textId="17EDF090" w:rsidR="0048424F" w:rsidRPr="00F234A2" w:rsidRDefault="0048424F" w:rsidP="0095542C">
      <w:pPr>
        <w:tabs>
          <w:tab w:val="left" w:pos="540"/>
          <w:tab w:val="left" w:pos="569"/>
        </w:tabs>
        <w:jc w:val="both"/>
        <w:rPr>
          <w:bCs/>
          <w:sz w:val="22"/>
          <w:szCs w:val="22"/>
          <w:lang w:val="sr-Latn-ME"/>
        </w:rPr>
      </w:pPr>
      <w:r w:rsidRPr="00F234A2">
        <w:rPr>
          <w:bCs/>
          <w:sz w:val="22"/>
          <w:szCs w:val="22"/>
          <w:lang w:val="sr-Latn-ME"/>
        </w:rPr>
        <w:t>L</w:t>
      </w:r>
      <w:r w:rsidR="0094593A" w:rsidRPr="00F234A2">
        <w:rPr>
          <w:bCs/>
          <w:sz w:val="22"/>
          <w:szCs w:val="22"/>
          <w:lang w:val="sr-Latn-ME"/>
        </w:rPr>
        <w:t>ij</w:t>
      </w:r>
      <w:r w:rsidRPr="00F234A2">
        <w:rPr>
          <w:bCs/>
          <w:sz w:val="22"/>
          <w:szCs w:val="22"/>
          <w:lang w:val="sr-Latn-ME"/>
        </w:rPr>
        <w:t>ek Scemblix je nam</w:t>
      </w:r>
      <w:r w:rsidR="0094593A" w:rsidRPr="00F234A2">
        <w:rPr>
          <w:bCs/>
          <w:sz w:val="22"/>
          <w:szCs w:val="22"/>
          <w:lang w:val="sr-Latn-ME"/>
        </w:rPr>
        <w:t>ij</w:t>
      </w:r>
      <w:r w:rsidRPr="00F234A2">
        <w:rPr>
          <w:bCs/>
          <w:sz w:val="22"/>
          <w:szCs w:val="22"/>
          <w:lang w:val="sr-Latn-ME"/>
        </w:rPr>
        <w:t>enjen za oralnu upotrebu. Film tablete treba progutati c</w:t>
      </w:r>
      <w:r w:rsidR="0094593A" w:rsidRPr="00F234A2">
        <w:rPr>
          <w:bCs/>
          <w:sz w:val="22"/>
          <w:szCs w:val="22"/>
          <w:lang w:val="sr-Latn-ME"/>
        </w:rPr>
        <w:t>ij</w:t>
      </w:r>
      <w:r w:rsidRPr="00F234A2">
        <w:rPr>
          <w:bCs/>
          <w:sz w:val="22"/>
          <w:szCs w:val="22"/>
          <w:lang w:val="sr-Latn-ME"/>
        </w:rPr>
        <w:t>ele uz čašu vode, ne sm</w:t>
      </w:r>
      <w:r w:rsidR="0094593A" w:rsidRPr="00F234A2">
        <w:rPr>
          <w:bCs/>
          <w:sz w:val="22"/>
          <w:szCs w:val="22"/>
          <w:lang w:val="sr-Latn-ME"/>
        </w:rPr>
        <w:t>i</w:t>
      </w:r>
      <w:r w:rsidRPr="00F234A2">
        <w:rPr>
          <w:bCs/>
          <w:sz w:val="22"/>
          <w:szCs w:val="22"/>
          <w:lang w:val="sr-Latn-ME"/>
        </w:rPr>
        <w:t>ju se lomiti</w:t>
      </w:r>
      <w:r w:rsidR="00304249" w:rsidRPr="00F234A2">
        <w:rPr>
          <w:bCs/>
          <w:sz w:val="22"/>
          <w:szCs w:val="22"/>
          <w:lang w:val="sr-Latn-ME"/>
        </w:rPr>
        <w:t>,</w:t>
      </w:r>
      <w:r w:rsidRPr="00F234A2">
        <w:rPr>
          <w:bCs/>
          <w:sz w:val="22"/>
          <w:szCs w:val="22"/>
          <w:lang w:val="sr-Latn-ME"/>
        </w:rPr>
        <w:t xml:space="preserve"> drobiti ili žvakati.</w:t>
      </w:r>
    </w:p>
    <w:p w14:paraId="16853165" w14:textId="77777777" w:rsidR="0048424F" w:rsidRPr="00F234A2" w:rsidRDefault="0048424F" w:rsidP="0095542C">
      <w:pPr>
        <w:tabs>
          <w:tab w:val="left" w:pos="540"/>
          <w:tab w:val="left" w:pos="569"/>
        </w:tabs>
        <w:jc w:val="both"/>
        <w:rPr>
          <w:bCs/>
          <w:sz w:val="22"/>
          <w:szCs w:val="22"/>
          <w:lang w:val="sr-Latn-ME"/>
        </w:rPr>
      </w:pPr>
    </w:p>
    <w:p w14:paraId="2DBADC06" w14:textId="69C9E7CB" w:rsidR="00452E9D" w:rsidRPr="00F234A2" w:rsidRDefault="0048424F" w:rsidP="0095542C">
      <w:pPr>
        <w:tabs>
          <w:tab w:val="left" w:pos="540"/>
          <w:tab w:val="left" w:pos="569"/>
        </w:tabs>
        <w:jc w:val="both"/>
        <w:rPr>
          <w:bCs/>
          <w:sz w:val="22"/>
          <w:szCs w:val="22"/>
          <w:lang w:val="sr-Latn-ME"/>
        </w:rPr>
      </w:pPr>
      <w:r w:rsidRPr="00F234A2">
        <w:rPr>
          <w:bCs/>
          <w:sz w:val="22"/>
          <w:szCs w:val="22"/>
          <w:lang w:val="sr-Latn-ME"/>
        </w:rPr>
        <w:t>Tablete treba uzimati oralno, bez hrane. Uzimanje hrane treba izb</w:t>
      </w:r>
      <w:r w:rsidR="00304249" w:rsidRPr="00F234A2">
        <w:rPr>
          <w:bCs/>
          <w:sz w:val="22"/>
          <w:szCs w:val="22"/>
          <w:lang w:val="sr-Latn-ME"/>
        </w:rPr>
        <w:t>j</w:t>
      </w:r>
      <w:r w:rsidRPr="00F234A2">
        <w:rPr>
          <w:bCs/>
          <w:sz w:val="22"/>
          <w:szCs w:val="22"/>
          <w:lang w:val="sr-Latn-ME"/>
        </w:rPr>
        <w:t>egavati najmanje 2 sata pr</w:t>
      </w:r>
      <w:r w:rsidR="0094593A" w:rsidRPr="00F234A2">
        <w:rPr>
          <w:bCs/>
          <w:sz w:val="22"/>
          <w:szCs w:val="22"/>
          <w:lang w:val="sr-Latn-ME"/>
        </w:rPr>
        <w:t>ij</w:t>
      </w:r>
      <w:r w:rsidRPr="00F234A2">
        <w:rPr>
          <w:bCs/>
          <w:sz w:val="22"/>
          <w:szCs w:val="22"/>
          <w:lang w:val="sr-Latn-ME"/>
        </w:rPr>
        <w:t>e i 1 sat nakon uzimanja asciminiba (</w:t>
      </w:r>
      <w:r w:rsidR="0094593A" w:rsidRPr="00F234A2">
        <w:rPr>
          <w:bCs/>
          <w:sz w:val="22"/>
          <w:szCs w:val="22"/>
          <w:lang w:val="sr-Latn-ME"/>
        </w:rPr>
        <w:t>vidjet</w:t>
      </w:r>
      <w:r w:rsidRPr="00F234A2">
        <w:rPr>
          <w:bCs/>
          <w:sz w:val="22"/>
          <w:szCs w:val="22"/>
          <w:lang w:val="sr-Latn-ME"/>
        </w:rPr>
        <w:t xml:space="preserve">i </w:t>
      </w:r>
      <w:r w:rsidR="009930F3" w:rsidRPr="00F234A2">
        <w:rPr>
          <w:bCs/>
          <w:sz w:val="22"/>
          <w:szCs w:val="22"/>
          <w:lang w:val="sr-Latn-ME"/>
        </w:rPr>
        <w:t>dio</w:t>
      </w:r>
      <w:r w:rsidRPr="00F234A2">
        <w:rPr>
          <w:bCs/>
          <w:sz w:val="22"/>
          <w:szCs w:val="22"/>
          <w:lang w:val="sr-Latn-ME"/>
        </w:rPr>
        <w:t xml:space="preserve"> 5.2).</w:t>
      </w:r>
    </w:p>
    <w:p w14:paraId="7FB10F22" w14:textId="77777777" w:rsidR="0048424F" w:rsidRPr="00F234A2" w:rsidRDefault="0048424F" w:rsidP="0095542C">
      <w:pPr>
        <w:tabs>
          <w:tab w:val="left" w:pos="540"/>
          <w:tab w:val="left" w:pos="569"/>
        </w:tabs>
        <w:jc w:val="both"/>
        <w:rPr>
          <w:bCs/>
          <w:sz w:val="22"/>
          <w:szCs w:val="22"/>
          <w:lang w:val="sr-Latn-ME"/>
        </w:rPr>
      </w:pPr>
    </w:p>
    <w:p w14:paraId="7497A08D" w14:textId="77777777" w:rsidR="00411B4B" w:rsidRPr="00F234A2" w:rsidRDefault="00411B4B" w:rsidP="0095542C">
      <w:pPr>
        <w:tabs>
          <w:tab w:val="left" w:pos="540"/>
          <w:tab w:val="left" w:pos="569"/>
        </w:tabs>
        <w:jc w:val="both"/>
        <w:rPr>
          <w:b/>
          <w:bCs/>
          <w:sz w:val="22"/>
          <w:szCs w:val="22"/>
          <w:lang w:val="sr-Latn-ME"/>
        </w:rPr>
      </w:pPr>
      <w:r w:rsidRPr="00F234A2">
        <w:rPr>
          <w:b/>
          <w:bCs/>
          <w:sz w:val="22"/>
          <w:szCs w:val="22"/>
          <w:lang w:val="sr-Latn-ME"/>
        </w:rPr>
        <w:t xml:space="preserve">4.3. </w:t>
      </w:r>
      <w:r w:rsidR="00480FB1" w:rsidRPr="00F234A2">
        <w:rPr>
          <w:b/>
          <w:bCs/>
          <w:sz w:val="22"/>
          <w:szCs w:val="22"/>
          <w:lang w:val="sr-Latn-ME"/>
        </w:rPr>
        <w:tab/>
      </w:r>
      <w:r w:rsidRPr="00F234A2">
        <w:rPr>
          <w:b/>
          <w:bCs/>
          <w:sz w:val="22"/>
          <w:szCs w:val="22"/>
          <w:lang w:val="sr-Latn-ME"/>
        </w:rPr>
        <w:t>Kontraindikacije</w:t>
      </w:r>
    </w:p>
    <w:p w14:paraId="77F74146" w14:textId="31138C61" w:rsidR="0072020E" w:rsidRPr="00F234A2" w:rsidRDefault="0072020E" w:rsidP="0095542C">
      <w:pPr>
        <w:tabs>
          <w:tab w:val="left" w:pos="540"/>
          <w:tab w:val="left" w:pos="569"/>
        </w:tabs>
        <w:jc w:val="both"/>
        <w:rPr>
          <w:bCs/>
          <w:sz w:val="22"/>
          <w:szCs w:val="22"/>
          <w:lang w:val="sr-Latn-ME"/>
        </w:rPr>
      </w:pPr>
    </w:p>
    <w:p w14:paraId="55FD4200" w14:textId="07513669" w:rsidR="0048424F" w:rsidRPr="00F234A2" w:rsidRDefault="0048424F" w:rsidP="0095542C">
      <w:pPr>
        <w:tabs>
          <w:tab w:val="left" w:pos="540"/>
          <w:tab w:val="left" w:pos="569"/>
        </w:tabs>
        <w:jc w:val="both"/>
        <w:rPr>
          <w:bCs/>
          <w:sz w:val="22"/>
          <w:szCs w:val="22"/>
          <w:lang w:val="sr-Latn-ME"/>
        </w:rPr>
      </w:pPr>
      <w:r w:rsidRPr="00F234A2">
        <w:rPr>
          <w:bCs/>
          <w:sz w:val="22"/>
          <w:szCs w:val="22"/>
          <w:lang w:val="sr-Latn-ME"/>
        </w:rPr>
        <w:t>Preos</w:t>
      </w:r>
      <w:r w:rsidR="0094593A" w:rsidRPr="00F234A2">
        <w:rPr>
          <w:bCs/>
          <w:sz w:val="22"/>
          <w:szCs w:val="22"/>
          <w:lang w:val="sr-Latn-ME"/>
        </w:rPr>
        <w:t>j</w:t>
      </w:r>
      <w:r w:rsidRPr="00F234A2">
        <w:rPr>
          <w:bCs/>
          <w:sz w:val="22"/>
          <w:szCs w:val="22"/>
          <w:lang w:val="sr-Latn-ME"/>
        </w:rPr>
        <w:t xml:space="preserve">etljivost na aktivnu supstancu ili neku od pomoćnih supstanci navedenih u </w:t>
      </w:r>
      <w:r w:rsidR="00F10338" w:rsidRPr="00F234A2">
        <w:rPr>
          <w:bCs/>
          <w:sz w:val="22"/>
          <w:szCs w:val="22"/>
          <w:lang w:val="sr-Latn-ME"/>
        </w:rPr>
        <w:t xml:space="preserve">dijelu </w:t>
      </w:r>
      <w:r w:rsidRPr="00F234A2">
        <w:rPr>
          <w:bCs/>
          <w:sz w:val="22"/>
          <w:szCs w:val="22"/>
          <w:lang w:val="sr-Latn-ME"/>
        </w:rPr>
        <w:t>6.1.</w:t>
      </w:r>
    </w:p>
    <w:p w14:paraId="11E2F951" w14:textId="77777777" w:rsidR="0048424F" w:rsidRPr="00F234A2" w:rsidRDefault="0048424F" w:rsidP="0095542C">
      <w:pPr>
        <w:tabs>
          <w:tab w:val="left" w:pos="540"/>
          <w:tab w:val="left" w:pos="569"/>
        </w:tabs>
        <w:jc w:val="both"/>
        <w:rPr>
          <w:bCs/>
          <w:sz w:val="22"/>
          <w:szCs w:val="22"/>
          <w:lang w:val="sr-Latn-ME"/>
        </w:rPr>
      </w:pPr>
    </w:p>
    <w:p w14:paraId="6390049A" w14:textId="77777777" w:rsidR="00411B4B" w:rsidRPr="00F234A2" w:rsidRDefault="00411B4B" w:rsidP="0095542C">
      <w:pPr>
        <w:tabs>
          <w:tab w:val="left" w:pos="540"/>
          <w:tab w:val="left" w:pos="569"/>
        </w:tabs>
        <w:jc w:val="both"/>
        <w:rPr>
          <w:b/>
          <w:bCs/>
          <w:sz w:val="22"/>
          <w:szCs w:val="22"/>
          <w:lang w:val="sr-Latn-ME"/>
        </w:rPr>
      </w:pPr>
      <w:r w:rsidRPr="00F234A2">
        <w:rPr>
          <w:b/>
          <w:bCs/>
          <w:sz w:val="22"/>
          <w:szCs w:val="22"/>
          <w:lang w:val="sr-Latn-ME"/>
        </w:rPr>
        <w:t xml:space="preserve">4.4. </w:t>
      </w:r>
      <w:r w:rsidR="00480FB1" w:rsidRPr="00F234A2">
        <w:rPr>
          <w:b/>
          <w:bCs/>
          <w:sz w:val="22"/>
          <w:szCs w:val="22"/>
          <w:lang w:val="sr-Latn-ME"/>
        </w:rPr>
        <w:tab/>
      </w:r>
      <w:r w:rsidRPr="00F234A2">
        <w:rPr>
          <w:b/>
          <w:bCs/>
          <w:sz w:val="22"/>
          <w:szCs w:val="22"/>
          <w:lang w:val="sr-Latn-ME"/>
        </w:rPr>
        <w:t>Posebna upozorenja i mjere opreza pri upotrebi lijeka</w:t>
      </w:r>
    </w:p>
    <w:p w14:paraId="270D709F" w14:textId="6B6EA286" w:rsidR="0072020E" w:rsidRPr="00F234A2" w:rsidRDefault="0072020E" w:rsidP="0095542C">
      <w:pPr>
        <w:tabs>
          <w:tab w:val="left" w:pos="540"/>
          <w:tab w:val="left" w:pos="569"/>
        </w:tabs>
        <w:jc w:val="both"/>
        <w:rPr>
          <w:bCs/>
          <w:sz w:val="22"/>
          <w:szCs w:val="22"/>
          <w:lang w:val="sr-Latn-ME"/>
        </w:rPr>
      </w:pPr>
    </w:p>
    <w:p w14:paraId="5E01F5D9" w14:textId="77777777" w:rsidR="0048424F" w:rsidRPr="00F234A2" w:rsidRDefault="0048424F" w:rsidP="0095542C">
      <w:pPr>
        <w:tabs>
          <w:tab w:val="left" w:pos="540"/>
          <w:tab w:val="left" w:pos="569"/>
        </w:tabs>
        <w:jc w:val="both"/>
        <w:rPr>
          <w:bCs/>
          <w:sz w:val="22"/>
          <w:szCs w:val="22"/>
          <w:u w:val="single"/>
          <w:lang w:val="sr-Latn-ME"/>
        </w:rPr>
      </w:pPr>
      <w:r w:rsidRPr="00F234A2">
        <w:rPr>
          <w:bCs/>
          <w:sz w:val="22"/>
          <w:szCs w:val="22"/>
          <w:u w:val="single"/>
          <w:lang w:val="sr-Latn-ME"/>
        </w:rPr>
        <w:t>Mijelosupresija</w:t>
      </w:r>
    </w:p>
    <w:p w14:paraId="0C41618C" w14:textId="77777777" w:rsidR="0048424F" w:rsidRPr="00F234A2" w:rsidRDefault="0048424F" w:rsidP="0095542C">
      <w:pPr>
        <w:tabs>
          <w:tab w:val="left" w:pos="540"/>
          <w:tab w:val="left" w:pos="569"/>
        </w:tabs>
        <w:jc w:val="both"/>
        <w:rPr>
          <w:bCs/>
          <w:sz w:val="22"/>
          <w:szCs w:val="22"/>
          <w:lang w:val="sr-Latn-ME"/>
        </w:rPr>
      </w:pPr>
    </w:p>
    <w:p w14:paraId="4347F7EC" w14:textId="530ED0E4" w:rsidR="0048424F" w:rsidRPr="00F234A2" w:rsidRDefault="0048424F" w:rsidP="0095542C">
      <w:pPr>
        <w:tabs>
          <w:tab w:val="left" w:pos="540"/>
          <w:tab w:val="left" w:pos="569"/>
        </w:tabs>
        <w:jc w:val="both"/>
        <w:rPr>
          <w:bCs/>
          <w:sz w:val="22"/>
          <w:szCs w:val="22"/>
          <w:lang w:val="sr-Latn-ME"/>
        </w:rPr>
      </w:pPr>
      <w:r w:rsidRPr="00F234A2">
        <w:rPr>
          <w:bCs/>
          <w:sz w:val="22"/>
          <w:szCs w:val="22"/>
          <w:lang w:val="sr-Latn-ME"/>
        </w:rPr>
        <w:t xml:space="preserve">Kod </w:t>
      </w:r>
      <w:r w:rsidR="00304249" w:rsidRPr="00F234A2">
        <w:rPr>
          <w:bCs/>
          <w:sz w:val="22"/>
          <w:szCs w:val="22"/>
          <w:lang w:val="sr-Latn-ME"/>
        </w:rPr>
        <w:t xml:space="preserve">pacijenata </w:t>
      </w:r>
      <w:r w:rsidRPr="00F234A2">
        <w:rPr>
          <w:bCs/>
          <w:sz w:val="22"/>
          <w:szCs w:val="22"/>
          <w:lang w:val="sr-Latn-ME"/>
        </w:rPr>
        <w:t xml:space="preserve">koji su uzimali asciminib javile su se trombocitopenija, neutropenija i anemija. Teška (NCI CTCAE 3. ili 4. </w:t>
      </w:r>
      <w:r w:rsidR="00304249" w:rsidRPr="00F234A2">
        <w:rPr>
          <w:bCs/>
          <w:sz w:val="22"/>
          <w:szCs w:val="22"/>
          <w:lang w:val="sr-Latn-ME"/>
        </w:rPr>
        <w:t>stadijum</w:t>
      </w:r>
      <w:r w:rsidRPr="00F234A2">
        <w:rPr>
          <w:bCs/>
          <w:sz w:val="22"/>
          <w:szCs w:val="22"/>
          <w:lang w:val="sr-Latn-ME"/>
        </w:rPr>
        <w:t>) trombocitopenija i neutropenija zab</w:t>
      </w:r>
      <w:r w:rsidR="0094593A" w:rsidRPr="00F234A2">
        <w:rPr>
          <w:bCs/>
          <w:sz w:val="22"/>
          <w:szCs w:val="22"/>
          <w:lang w:val="sr-Latn-ME"/>
        </w:rPr>
        <w:t>i</w:t>
      </w:r>
      <w:r w:rsidRPr="00F234A2">
        <w:rPr>
          <w:bCs/>
          <w:sz w:val="22"/>
          <w:szCs w:val="22"/>
          <w:lang w:val="sr-Latn-ME"/>
        </w:rPr>
        <w:t>l</w:t>
      </w:r>
      <w:r w:rsidR="0094593A" w:rsidRPr="00F234A2">
        <w:rPr>
          <w:bCs/>
          <w:sz w:val="22"/>
          <w:szCs w:val="22"/>
          <w:lang w:val="sr-Latn-ME"/>
        </w:rPr>
        <w:t>j</w:t>
      </w:r>
      <w:r w:rsidRPr="00F234A2">
        <w:rPr>
          <w:bCs/>
          <w:sz w:val="22"/>
          <w:szCs w:val="22"/>
          <w:lang w:val="sr-Latn-ME"/>
        </w:rPr>
        <w:t>ežene su tokom l</w:t>
      </w:r>
      <w:r w:rsidR="0094593A" w:rsidRPr="00F234A2">
        <w:rPr>
          <w:bCs/>
          <w:sz w:val="22"/>
          <w:szCs w:val="22"/>
          <w:lang w:val="sr-Latn-ME"/>
        </w:rPr>
        <w:t>ij</w:t>
      </w:r>
      <w:r w:rsidRPr="00F234A2">
        <w:rPr>
          <w:bCs/>
          <w:sz w:val="22"/>
          <w:szCs w:val="22"/>
          <w:lang w:val="sr-Latn-ME"/>
        </w:rPr>
        <w:t>ečenja asciminibom (</w:t>
      </w:r>
      <w:r w:rsidR="0094593A" w:rsidRPr="00F234A2">
        <w:rPr>
          <w:bCs/>
          <w:sz w:val="22"/>
          <w:szCs w:val="22"/>
          <w:lang w:val="sr-Latn-ME"/>
        </w:rPr>
        <w:t>vidjet</w:t>
      </w:r>
      <w:r w:rsidRPr="00F234A2">
        <w:rPr>
          <w:bCs/>
          <w:sz w:val="22"/>
          <w:szCs w:val="22"/>
          <w:lang w:val="sr-Latn-ME"/>
        </w:rPr>
        <w:t>i d</w:t>
      </w:r>
      <w:r w:rsidR="0094593A" w:rsidRPr="00F234A2">
        <w:rPr>
          <w:bCs/>
          <w:sz w:val="22"/>
          <w:szCs w:val="22"/>
          <w:lang w:val="sr-Latn-ME"/>
        </w:rPr>
        <w:t>i</w:t>
      </w:r>
      <w:r w:rsidRPr="00F234A2">
        <w:rPr>
          <w:bCs/>
          <w:sz w:val="22"/>
          <w:szCs w:val="22"/>
          <w:lang w:val="sr-Latn-ME"/>
        </w:rPr>
        <w:t>o 4.8). Mijelosupresija je uopšteno bila reverzibilna i zbrinuta privremenim prekidom l</w:t>
      </w:r>
      <w:r w:rsidR="0094593A" w:rsidRPr="00F234A2">
        <w:rPr>
          <w:bCs/>
          <w:sz w:val="22"/>
          <w:szCs w:val="22"/>
          <w:lang w:val="sr-Latn-ME"/>
        </w:rPr>
        <w:t>ij</w:t>
      </w:r>
      <w:r w:rsidRPr="00F234A2">
        <w:rPr>
          <w:bCs/>
          <w:sz w:val="22"/>
          <w:szCs w:val="22"/>
          <w:lang w:val="sr-Latn-ME"/>
        </w:rPr>
        <w:t>ečenja. Kompletnu krvnu sliku potrebno je uraditi svake dv</w:t>
      </w:r>
      <w:r w:rsidR="0094593A" w:rsidRPr="00F234A2">
        <w:rPr>
          <w:bCs/>
          <w:sz w:val="22"/>
          <w:szCs w:val="22"/>
          <w:lang w:val="sr-Latn-ME"/>
        </w:rPr>
        <w:t>ij</w:t>
      </w:r>
      <w:r w:rsidRPr="00F234A2">
        <w:rPr>
          <w:bCs/>
          <w:sz w:val="22"/>
          <w:szCs w:val="22"/>
          <w:lang w:val="sr-Latn-ME"/>
        </w:rPr>
        <w:t>e ned</w:t>
      </w:r>
      <w:r w:rsidR="0094593A" w:rsidRPr="00F234A2">
        <w:rPr>
          <w:bCs/>
          <w:sz w:val="22"/>
          <w:szCs w:val="22"/>
          <w:lang w:val="sr-Latn-ME"/>
        </w:rPr>
        <w:t>j</w:t>
      </w:r>
      <w:r w:rsidRPr="00F234A2">
        <w:rPr>
          <w:bCs/>
          <w:sz w:val="22"/>
          <w:szCs w:val="22"/>
          <w:lang w:val="sr-Latn-ME"/>
        </w:rPr>
        <w:t>elje tokom prva 3 m</w:t>
      </w:r>
      <w:r w:rsidR="0094593A" w:rsidRPr="00F234A2">
        <w:rPr>
          <w:bCs/>
          <w:sz w:val="22"/>
          <w:szCs w:val="22"/>
          <w:lang w:val="sr-Latn-ME"/>
        </w:rPr>
        <w:t>j</w:t>
      </w:r>
      <w:r w:rsidRPr="00F234A2">
        <w:rPr>
          <w:bCs/>
          <w:sz w:val="22"/>
          <w:szCs w:val="22"/>
          <w:lang w:val="sr-Latn-ME"/>
        </w:rPr>
        <w:t>eseca l</w:t>
      </w:r>
      <w:r w:rsidR="0094593A" w:rsidRPr="00F234A2">
        <w:rPr>
          <w:bCs/>
          <w:sz w:val="22"/>
          <w:szCs w:val="22"/>
          <w:lang w:val="sr-Latn-ME"/>
        </w:rPr>
        <w:t>ij</w:t>
      </w:r>
      <w:r w:rsidRPr="00F234A2">
        <w:rPr>
          <w:bCs/>
          <w:sz w:val="22"/>
          <w:szCs w:val="22"/>
          <w:lang w:val="sr-Latn-ME"/>
        </w:rPr>
        <w:t>ečenja, a zatim jednom m</w:t>
      </w:r>
      <w:r w:rsidR="0094593A" w:rsidRPr="00F234A2">
        <w:rPr>
          <w:bCs/>
          <w:sz w:val="22"/>
          <w:szCs w:val="22"/>
          <w:lang w:val="sr-Latn-ME"/>
        </w:rPr>
        <w:t>j</w:t>
      </w:r>
      <w:r w:rsidRPr="00F234A2">
        <w:rPr>
          <w:bCs/>
          <w:sz w:val="22"/>
          <w:szCs w:val="22"/>
          <w:lang w:val="sr-Latn-ME"/>
        </w:rPr>
        <w:t>esečno ili kako je klinički indikovano. Pacijente je potrebno pratiti na znake i simptome mijelosupresije.</w:t>
      </w:r>
    </w:p>
    <w:p w14:paraId="3AFEFE30" w14:textId="77777777" w:rsidR="0048424F" w:rsidRPr="00F234A2" w:rsidRDefault="0048424F" w:rsidP="0095542C">
      <w:pPr>
        <w:tabs>
          <w:tab w:val="left" w:pos="540"/>
          <w:tab w:val="left" w:pos="569"/>
        </w:tabs>
        <w:jc w:val="both"/>
        <w:rPr>
          <w:bCs/>
          <w:sz w:val="22"/>
          <w:szCs w:val="22"/>
          <w:lang w:val="sr-Latn-ME"/>
        </w:rPr>
      </w:pPr>
    </w:p>
    <w:p w14:paraId="0E5DEB24" w14:textId="65FD8A7C" w:rsidR="0048424F" w:rsidRPr="00F234A2" w:rsidRDefault="0048424F" w:rsidP="0095542C">
      <w:pPr>
        <w:tabs>
          <w:tab w:val="left" w:pos="540"/>
          <w:tab w:val="left" w:pos="569"/>
        </w:tabs>
        <w:jc w:val="both"/>
        <w:rPr>
          <w:bCs/>
          <w:sz w:val="22"/>
          <w:szCs w:val="22"/>
          <w:lang w:val="sr-Latn-ME"/>
        </w:rPr>
      </w:pPr>
      <w:r w:rsidRPr="00F234A2">
        <w:rPr>
          <w:bCs/>
          <w:sz w:val="22"/>
          <w:szCs w:val="22"/>
          <w:lang w:val="sr-Latn-ME"/>
        </w:rPr>
        <w:t>Prema težini trombocitopenije i/ili neutropenije dozu je potrebno privremeno prekinuti, smanjiti ili trajno prekinuti kako je opisano u Tabeli 1 (</w:t>
      </w:r>
      <w:r w:rsidR="0094593A" w:rsidRPr="00F234A2">
        <w:rPr>
          <w:bCs/>
          <w:sz w:val="22"/>
          <w:szCs w:val="22"/>
          <w:lang w:val="sr-Latn-ME"/>
        </w:rPr>
        <w:t>vidjet</w:t>
      </w:r>
      <w:r w:rsidRPr="00F234A2">
        <w:rPr>
          <w:bCs/>
          <w:sz w:val="22"/>
          <w:szCs w:val="22"/>
          <w:lang w:val="sr-Latn-ME"/>
        </w:rPr>
        <w:t xml:space="preserve">i </w:t>
      </w:r>
      <w:r w:rsidR="009930F3" w:rsidRPr="00F234A2">
        <w:rPr>
          <w:bCs/>
          <w:sz w:val="22"/>
          <w:szCs w:val="22"/>
          <w:lang w:val="sr-Latn-ME"/>
        </w:rPr>
        <w:t>dio</w:t>
      </w:r>
      <w:r w:rsidRPr="00F234A2">
        <w:rPr>
          <w:bCs/>
          <w:sz w:val="22"/>
          <w:szCs w:val="22"/>
          <w:lang w:val="sr-Latn-ME"/>
        </w:rPr>
        <w:t xml:space="preserve"> 4.2).</w:t>
      </w:r>
    </w:p>
    <w:p w14:paraId="7D085FE6" w14:textId="4553E3E8" w:rsidR="0048424F" w:rsidRPr="00F234A2" w:rsidRDefault="0048424F" w:rsidP="0095542C">
      <w:pPr>
        <w:tabs>
          <w:tab w:val="left" w:pos="540"/>
          <w:tab w:val="left" w:pos="569"/>
        </w:tabs>
        <w:jc w:val="both"/>
        <w:rPr>
          <w:bCs/>
          <w:sz w:val="22"/>
          <w:szCs w:val="22"/>
          <w:lang w:val="sr-Latn-ME"/>
        </w:rPr>
      </w:pPr>
    </w:p>
    <w:p w14:paraId="171AEEE1" w14:textId="77777777" w:rsidR="0048424F" w:rsidRPr="00F234A2" w:rsidRDefault="0048424F" w:rsidP="0095542C">
      <w:pPr>
        <w:tabs>
          <w:tab w:val="left" w:pos="540"/>
          <w:tab w:val="left" w:pos="569"/>
        </w:tabs>
        <w:jc w:val="both"/>
        <w:rPr>
          <w:bCs/>
          <w:sz w:val="22"/>
          <w:szCs w:val="22"/>
          <w:u w:val="single"/>
          <w:lang w:val="sr-Latn-ME"/>
        </w:rPr>
      </w:pPr>
      <w:r w:rsidRPr="00F234A2">
        <w:rPr>
          <w:bCs/>
          <w:sz w:val="22"/>
          <w:szCs w:val="22"/>
          <w:u w:val="single"/>
          <w:lang w:val="sr-Latn-ME"/>
        </w:rPr>
        <w:t>Toksičnost za pankreas</w:t>
      </w:r>
    </w:p>
    <w:p w14:paraId="7F4AE482" w14:textId="77777777" w:rsidR="0048424F" w:rsidRPr="00F234A2" w:rsidRDefault="0048424F" w:rsidP="0095542C">
      <w:pPr>
        <w:tabs>
          <w:tab w:val="left" w:pos="540"/>
          <w:tab w:val="left" w:pos="569"/>
        </w:tabs>
        <w:jc w:val="both"/>
        <w:rPr>
          <w:bCs/>
          <w:sz w:val="22"/>
          <w:szCs w:val="22"/>
          <w:lang w:val="sr-Latn-ME"/>
        </w:rPr>
      </w:pPr>
    </w:p>
    <w:p w14:paraId="772D46F5" w14:textId="0A268344" w:rsidR="0048424F" w:rsidRPr="00F234A2" w:rsidRDefault="0048424F" w:rsidP="0095542C">
      <w:pPr>
        <w:tabs>
          <w:tab w:val="left" w:pos="540"/>
          <w:tab w:val="left" w:pos="569"/>
        </w:tabs>
        <w:jc w:val="both"/>
        <w:rPr>
          <w:bCs/>
          <w:sz w:val="22"/>
          <w:szCs w:val="22"/>
          <w:lang w:val="sr-Latn-ME"/>
        </w:rPr>
      </w:pPr>
      <w:r w:rsidRPr="00F234A2">
        <w:rPr>
          <w:bCs/>
          <w:sz w:val="22"/>
          <w:szCs w:val="22"/>
          <w:lang w:val="sr-Latn-ME"/>
        </w:rPr>
        <w:t>Pankreatitis i asimptomatski povišene vr</w:t>
      </w:r>
      <w:r w:rsidR="00472E1C" w:rsidRPr="00F234A2">
        <w:rPr>
          <w:bCs/>
          <w:sz w:val="22"/>
          <w:szCs w:val="22"/>
          <w:lang w:val="sr-Latn-ME"/>
        </w:rPr>
        <w:t>ij</w:t>
      </w:r>
      <w:r w:rsidRPr="00F234A2">
        <w:rPr>
          <w:bCs/>
          <w:sz w:val="22"/>
          <w:szCs w:val="22"/>
          <w:lang w:val="sr-Latn-ME"/>
        </w:rPr>
        <w:t xml:space="preserve">ednosti lipaze i amilaze u serumu, uključujući teške reakcije, javili su se kod </w:t>
      </w:r>
      <w:r w:rsidR="005251D5" w:rsidRPr="00F234A2">
        <w:rPr>
          <w:bCs/>
          <w:sz w:val="22"/>
          <w:szCs w:val="22"/>
          <w:lang w:val="sr-Latn-ME"/>
        </w:rPr>
        <w:t xml:space="preserve">pacijenata </w:t>
      </w:r>
      <w:r w:rsidRPr="00F234A2">
        <w:rPr>
          <w:bCs/>
          <w:sz w:val="22"/>
          <w:szCs w:val="22"/>
          <w:lang w:val="sr-Latn-ME"/>
        </w:rPr>
        <w:t>koji su primali asciminib (</w:t>
      </w:r>
      <w:r w:rsidR="0094593A" w:rsidRPr="00F234A2">
        <w:rPr>
          <w:bCs/>
          <w:sz w:val="22"/>
          <w:szCs w:val="22"/>
          <w:lang w:val="sr-Latn-ME"/>
        </w:rPr>
        <w:t>vidjet</w:t>
      </w:r>
      <w:r w:rsidRPr="00F234A2">
        <w:rPr>
          <w:bCs/>
          <w:sz w:val="22"/>
          <w:szCs w:val="22"/>
          <w:lang w:val="sr-Latn-ME"/>
        </w:rPr>
        <w:t>i d</w:t>
      </w:r>
      <w:r w:rsidR="00945E1A" w:rsidRPr="00F234A2">
        <w:rPr>
          <w:bCs/>
          <w:sz w:val="22"/>
          <w:szCs w:val="22"/>
          <w:lang w:val="sr-Latn-ME"/>
        </w:rPr>
        <w:t>i</w:t>
      </w:r>
      <w:r w:rsidRPr="00F234A2">
        <w:rPr>
          <w:bCs/>
          <w:sz w:val="22"/>
          <w:szCs w:val="22"/>
          <w:lang w:val="sr-Latn-ME"/>
        </w:rPr>
        <w:t>o 4.8).</w:t>
      </w:r>
    </w:p>
    <w:p w14:paraId="1F082F66" w14:textId="77777777" w:rsidR="0048424F" w:rsidRPr="00F234A2" w:rsidRDefault="0048424F" w:rsidP="0095542C">
      <w:pPr>
        <w:tabs>
          <w:tab w:val="left" w:pos="540"/>
          <w:tab w:val="left" w:pos="569"/>
        </w:tabs>
        <w:jc w:val="both"/>
        <w:rPr>
          <w:bCs/>
          <w:sz w:val="22"/>
          <w:szCs w:val="22"/>
          <w:lang w:val="sr-Latn-ME"/>
        </w:rPr>
      </w:pPr>
    </w:p>
    <w:p w14:paraId="180F226A" w14:textId="5C595E2C" w:rsidR="0048424F" w:rsidRPr="00F234A2" w:rsidRDefault="0048424F" w:rsidP="0095542C">
      <w:pPr>
        <w:tabs>
          <w:tab w:val="left" w:pos="540"/>
          <w:tab w:val="left" w:pos="569"/>
        </w:tabs>
        <w:jc w:val="both"/>
        <w:rPr>
          <w:bCs/>
          <w:sz w:val="22"/>
          <w:szCs w:val="22"/>
          <w:lang w:val="sr-Latn-ME"/>
        </w:rPr>
      </w:pPr>
      <w:r w:rsidRPr="00F234A2">
        <w:rPr>
          <w:bCs/>
          <w:sz w:val="22"/>
          <w:szCs w:val="22"/>
          <w:lang w:val="sr-Latn-ME"/>
        </w:rPr>
        <w:t>Nivo lipaze i amilaze u serumu potrebno je proc</w:t>
      </w:r>
      <w:r w:rsidR="00472E1C" w:rsidRPr="00F234A2">
        <w:rPr>
          <w:bCs/>
          <w:sz w:val="22"/>
          <w:szCs w:val="22"/>
          <w:lang w:val="sr-Latn-ME"/>
        </w:rPr>
        <w:t>j</w:t>
      </w:r>
      <w:r w:rsidRPr="00F234A2">
        <w:rPr>
          <w:bCs/>
          <w:sz w:val="22"/>
          <w:szCs w:val="22"/>
          <w:lang w:val="sr-Latn-ME"/>
        </w:rPr>
        <w:t>enjivati svakih m</w:t>
      </w:r>
      <w:r w:rsidR="00472E1C" w:rsidRPr="00F234A2">
        <w:rPr>
          <w:bCs/>
          <w:sz w:val="22"/>
          <w:szCs w:val="22"/>
          <w:lang w:val="sr-Latn-ME"/>
        </w:rPr>
        <w:t>j</w:t>
      </w:r>
      <w:r w:rsidRPr="00F234A2">
        <w:rPr>
          <w:bCs/>
          <w:sz w:val="22"/>
          <w:szCs w:val="22"/>
          <w:lang w:val="sr-Latn-ME"/>
        </w:rPr>
        <w:t>esec dana tokom l</w:t>
      </w:r>
      <w:r w:rsidR="00472E1C" w:rsidRPr="00F234A2">
        <w:rPr>
          <w:bCs/>
          <w:sz w:val="22"/>
          <w:szCs w:val="22"/>
          <w:lang w:val="sr-Latn-ME"/>
        </w:rPr>
        <w:t>ij</w:t>
      </w:r>
      <w:r w:rsidRPr="00F234A2">
        <w:rPr>
          <w:bCs/>
          <w:sz w:val="22"/>
          <w:szCs w:val="22"/>
          <w:lang w:val="sr-Latn-ME"/>
        </w:rPr>
        <w:t xml:space="preserve">ečenja asciminibom, ili kako je klinički indikovano. Pacijente je potrebno pratiti zbog mogućih znakova i simptoma toksičnosti za pankreas. Potrebno je učestalije praćenje kod pacijenata sa pankreatitisom u anamnezi. Ako su povišenja </w:t>
      </w:r>
      <w:r w:rsidR="00472E1C" w:rsidRPr="00F234A2">
        <w:rPr>
          <w:bCs/>
          <w:sz w:val="22"/>
          <w:szCs w:val="22"/>
          <w:lang w:val="sr-Latn-ME"/>
        </w:rPr>
        <w:t>vrijedno</w:t>
      </w:r>
      <w:r w:rsidRPr="00F234A2">
        <w:rPr>
          <w:bCs/>
          <w:sz w:val="22"/>
          <w:szCs w:val="22"/>
          <w:lang w:val="sr-Latn-ME"/>
        </w:rPr>
        <w:t xml:space="preserve">sti lipaze i amilaze u serumu popraćena abdominalnim simptomima, </w:t>
      </w:r>
      <w:r w:rsidR="00472E1C" w:rsidRPr="00F234A2">
        <w:rPr>
          <w:bCs/>
          <w:sz w:val="22"/>
          <w:szCs w:val="22"/>
          <w:lang w:val="sr-Latn-ME"/>
        </w:rPr>
        <w:t>liječ</w:t>
      </w:r>
      <w:r w:rsidRPr="00F234A2">
        <w:rPr>
          <w:bCs/>
          <w:sz w:val="22"/>
          <w:szCs w:val="22"/>
          <w:lang w:val="sr-Latn-ME"/>
        </w:rPr>
        <w:t>enje je potrebno privremeno prekinuti te razmotriti odgovarajuće dijagnostičke preglede kako bi se isključio pankreatitis (</w:t>
      </w:r>
      <w:r w:rsidR="0094593A" w:rsidRPr="00F234A2">
        <w:rPr>
          <w:bCs/>
          <w:sz w:val="22"/>
          <w:szCs w:val="22"/>
          <w:lang w:val="sr-Latn-ME"/>
        </w:rPr>
        <w:t>vidjet</w:t>
      </w:r>
      <w:r w:rsidRPr="00F234A2">
        <w:rPr>
          <w:bCs/>
          <w:sz w:val="22"/>
          <w:szCs w:val="22"/>
          <w:lang w:val="sr-Latn-ME"/>
        </w:rPr>
        <w:t xml:space="preserve">i </w:t>
      </w:r>
      <w:r w:rsidR="009930F3" w:rsidRPr="00F234A2">
        <w:rPr>
          <w:bCs/>
          <w:sz w:val="22"/>
          <w:szCs w:val="22"/>
          <w:lang w:val="sr-Latn-ME"/>
        </w:rPr>
        <w:t>dio</w:t>
      </w:r>
      <w:r w:rsidRPr="00F234A2">
        <w:rPr>
          <w:bCs/>
          <w:sz w:val="22"/>
          <w:szCs w:val="22"/>
          <w:lang w:val="sr-Latn-ME"/>
        </w:rPr>
        <w:t xml:space="preserve"> 4.2).</w:t>
      </w:r>
    </w:p>
    <w:p w14:paraId="17A8057E" w14:textId="77777777" w:rsidR="0048424F" w:rsidRPr="00F234A2" w:rsidRDefault="0048424F" w:rsidP="0095542C">
      <w:pPr>
        <w:tabs>
          <w:tab w:val="left" w:pos="540"/>
          <w:tab w:val="left" w:pos="569"/>
        </w:tabs>
        <w:jc w:val="both"/>
        <w:rPr>
          <w:bCs/>
          <w:sz w:val="22"/>
          <w:szCs w:val="22"/>
          <w:lang w:val="sr-Latn-ME"/>
        </w:rPr>
      </w:pPr>
    </w:p>
    <w:p w14:paraId="3E5B0BFB" w14:textId="1EDE211A" w:rsidR="0048424F" w:rsidRPr="00F234A2" w:rsidRDefault="0048424F" w:rsidP="0095542C">
      <w:pPr>
        <w:tabs>
          <w:tab w:val="left" w:pos="540"/>
          <w:tab w:val="left" w:pos="569"/>
        </w:tabs>
        <w:jc w:val="both"/>
        <w:rPr>
          <w:bCs/>
          <w:sz w:val="22"/>
          <w:szCs w:val="22"/>
          <w:lang w:val="sr-Latn-ME"/>
        </w:rPr>
      </w:pPr>
      <w:r w:rsidRPr="00F234A2">
        <w:rPr>
          <w:bCs/>
          <w:sz w:val="22"/>
          <w:szCs w:val="22"/>
          <w:lang w:val="sr-Latn-ME"/>
        </w:rPr>
        <w:t xml:space="preserve">Na osnovu težine povišenja </w:t>
      </w:r>
      <w:r w:rsidR="00472E1C" w:rsidRPr="00F234A2">
        <w:rPr>
          <w:bCs/>
          <w:sz w:val="22"/>
          <w:szCs w:val="22"/>
          <w:lang w:val="sr-Latn-ME"/>
        </w:rPr>
        <w:t>vrijedno</w:t>
      </w:r>
      <w:r w:rsidRPr="00F234A2">
        <w:rPr>
          <w:bCs/>
          <w:sz w:val="22"/>
          <w:szCs w:val="22"/>
          <w:lang w:val="sr-Latn-ME"/>
        </w:rPr>
        <w:t>sti lipaze i amilaze u serumu dozu je potrebno privremeno prekinuti, smanjiti ili trajno prekinuti kako je opisano u Tabeli 1 (</w:t>
      </w:r>
      <w:r w:rsidR="0094593A" w:rsidRPr="00F234A2">
        <w:rPr>
          <w:bCs/>
          <w:sz w:val="22"/>
          <w:szCs w:val="22"/>
          <w:lang w:val="sr-Latn-ME"/>
        </w:rPr>
        <w:t>vidjet</w:t>
      </w:r>
      <w:r w:rsidRPr="00F234A2">
        <w:rPr>
          <w:bCs/>
          <w:sz w:val="22"/>
          <w:szCs w:val="22"/>
          <w:lang w:val="sr-Latn-ME"/>
        </w:rPr>
        <w:t>i d</w:t>
      </w:r>
      <w:r w:rsidR="00472E1C" w:rsidRPr="00F234A2">
        <w:rPr>
          <w:bCs/>
          <w:sz w:val="22"/>
          <w:szCs w:val="22"/>
          <w:lang w:val="sr-Latn-ME"/>
        </w:rPr>
        <w:t>i</w:t>
      </w:r>
      <w:r w:rsidRPr="00F234A2">
        <w:rPr>
          <w:bCs/>
          <w:sz w:val="22"/>
          <w:szCs w:val="22"/>
          <w:lang w:val="sr-Latn-ME"/>
        </w:rPr>
        <w:t>o 4.2).</w:t>
      </w:r>
    </w:p>
    <w:p w14:paraId="5B5864B8" w14:textId="56AC0E13" w:rsidR="0048424F" w:rsidRPr="00F234A2" w:rsidRDefault="0048424F" w:rsidP="0095542C">
      <w:pPr>
        <w:tabs>
          <w:tab w:val="left" w:pos="540"/>
          <w:tab w:val="left" w:pos="569"/>
        </w:tabs>
        <w:jc w:val="both"/>
        <w:rPr>
          <w:bCs/>
          <w:sz w:val="22"/>
          <w:szCs w:val="22"/>
          <w:lang w:val="sr-Latn-ME"/>
        </w:rPr>
      </w:pPr>
    </w:p>
    <w:p w14:paraId="6E385EE9" w14:textId="77777777" w:rsidR="0048424F" w:rsidRPr="00F234A2" w:rsidRDefault="0048424F" w:rsidP="0095542C">
      <w:pPr>
        <w:tabs>
          <w:tab w:val="left" w:pos="540"/>
          <w:tab w:val="left" w:pos="569"/>
        </w:tabs>
        <w:jc w:val="both"/>
        <w:rPr>
          <w:bCs/>
          <w:sz w:val="22"/>
          <w:szCs w:val="22"/>
          <w:u w:val="single"/>
          <w:lang w:val="sr-Latn-ME"/>
        </w:rPr>
      </w:pPr>
      <w:r w:rsidRPr="00F234A2">
        <w:rPr>
          <w:bCs/>
          <w:sz w:val="22"/>
          <w:szCs w:val="22"/>
          <w:u w:val="single"/>
          <w:lang w:val="sr-Latn-ME"/>
        </w:rPr>
        <w:lastRenderedPageBreak/>
        <w:t>Produženje QT intervala</w:t>
      </w:r>
    </w:p>
    <w:p w14:paraId="039DF700" w14:textId="77777777" w:rsidR="0048424F" w:rsidRPr="00F234A2" w:rsidRDefault="0048424F" w:rsidP="0095542C">
      <w:pPr>
        <w:tabs>
          <w:tab w:val="left" w:pos="540"/>
          <w:tab w:val="left" w:pos="569"/>
        </w:tabs>
        <w:jc w:val="both"/>
        <w:rPr>
          <w:bCs/>
          <w:sz w:val="22"/>
          <w:szCs w:val="22"/>
          <w:lang w:val="sr-Latn-ME"/>
        </w:rPr>
      </w:pPr>
    </w:p>
    <w:p w14:paraId="21A4CE37" w14:textId="68BE7CA9" w:rsidR="0048424F" w:rsidRPr="00F234A2" w:rsidRDefault="0048424F" w:rsidP="0095542C">
      <w:pPr>
        <w:tabs>
          <w:tab w:val="left" w:pos="540"/>
          <w:tab w:val="left" w:pos="569"/>
        </w:tabs>
        <w:jc w:val="both"/>
        <w:rPr>
          <w:bCs/>
          <w:sz w:val="22"/>
          <w:szCs w:val="22"/>
          <w:lang w:val="sr-Latn-ME"/>
        </w:rPr>
      </w:pPr>
      <w:r w:rsidRPr="00F234A2">
        <w:rPr>
          <w:bCs/>
          <w:sz w:val="22"/>
          <w:szCs w:val="22"/>
          <w:lang w:val="sr-Latn-ME"/>
        </w:rPr>
        <w:t>Produženje QT intervala zab</w:t>
      </w:r>
      <w:r w:rsidR="00472E1C" w:rsidRPr="00F234A2">
        <w:rPr>
          <w:bCs/>
          <w:sz w:val="22"/>
          <w:szCs w:val="22"/>
          <w:lang w:val="sr-Latn-ME"/>
        </w:rPr>
        <w:t>ilje</w:t>
      </w:r>
      <w:r w:rsidRPr="00F234A2">
        <w:rPr>
          <w:bCs/>
          <w:sz w:val="22"/>
          <w:szCs w:val="22"/>
          <w:lang w:val="sr-Latn-ME"/>
        </w:rPr>
        <w:t>ženo je kod pacijenata koji su uzimali asciminib (</w:t>
      </w:r>
      <w:r w:rsidR="0094593A" w:rsidRPr="00F234A2">
        <w:rPr>
          <w:bCs/>
          <w:sz w:val="22"/>
          <w:szCs w:val="22"/>
          <w:lang w:val="sr-Latn-ME"/>
        </w:rPr>
        <w:t>vidjet</w:t>
      </w:r>
      <w:r w:rsidRPr="00F234A2">
        <w:rPr>
          <w:bCs/>
          <w:sz w:val="22"/>
          <w:szCs w:val="22"/>
          <w:lang w:val="sr-Latn-ME"/>
        </w:rPr>
        <w:t>i d</w:t>
      </w:r>
      <w:r w:rsidR="00472E1C" w:rsidRPr="00F234A2">
        <w:rPr>
          <w:bCs/>
          <w:sz w:val="22"/>
          <w:szCs w:val="22"/>
          <w:lang w:val="sr-Latn-ME"/>
        </w:rPr>
        <w:t>i</w:t>
      </w:r>
      <w:r w:rsidRPr="00F234A2">
        <w:rPr>
          <w:bCs/>
          <w:sz w:val="22"/>
          <w:szCs w:val="22"/>
          <w:lang w:val="sr-Latn-ME"/>
        </w:rPr>
        <w:t>o 4.8).</w:t>
      </w:r>
    </w:p>
    <w:p w14:paraId="5B76155C" w14:textId="77777777" w:rsidR="0048424F" w:rsidRPr="00F234A2" w:rsidRDefault="0048424F" w:rsidP="0095542C">
      <w:pPr>
        <w:tabs>
          <w:tab w:val="left" w:pos="540"/>
          <w:tab w:val="left" w:pos="569"/>
        </w:tabs>
        <w:jc w:val="both"/>
        <w:rPr>
          <w:bCs/>
          <w:sz w:val="22"/>
          <w:szCs w:val="22"/>
          <w:lang w:val="sr-Latn-ME"/>
        </w:rPr>
      </w:pPr>
    </w:p>
    <w:p w14:paraId="6A5C8C57" w14:textId="21BE379E" w:rsidR="0048424F" w:rsidRPr="00F234A2" w:rsidRDefault="0048424F" w:rsidP="0095542C">
      <w:pPr>
        <w:tabs>
          <w:tab w:val="left" w:pos="540"/>
          <w:tab w:val="left" w:pos="569"/>
        </w:tabs>
        <w:jc w:val="both"/>
        <w:rPr>
          <w:bCs/>
          <w:sz w:val="22"/>
          <w:szCs w:val="22"/>
          <w:lang w:val="sr-Latn-ME"/>
        </w:rPr>
      </w:pPr>
      <w:r w:rsidRPr="00F234A2">
        <w:rPr>
          <w:bCs/>
          <w:sz w:val="22"/>
          <w:szCs w:val="22"/>
          <w:lang w:val="sr-Latn-ME"/>
        </w:rPr>
        <w:t>Preporučuje se da se uradi elektrokardiogram pr</w:t>
      </w:r>
      <w:r w:rsidR="00472E1C" w:rsidRPr="00F234A2">
        <w:rPr>
          <w:bCs/>
          <w:sz w:val="22"/>
          <w:szCs w:val="22"/>
          <w:lang w:val="sr-Latn-ME"/>
        </w:rPr>
        <w:t>ij</w:t>
      </w:r>
      <w:r w:rsidRPr="00F234A2">
        <w:rPr>
          <w:bCs/>
          <w:sz w:val="22"/>
          <w:szCs w:val="22"/>
          <w:lang w:val="sr-Latn-ME"/>
        </w:rPr>
        <w:t xml:space="preserve">e početka </w:t>
      </w:r>
      <w:r w:rsidR="00472E1C" w:rsidRPr="00F234A2">
        <w:rPr>
          <w:bCs/>
          <w:sz w:val="22"/>
          <w:szCs w:val="22"/>
          <w:lang w:val="sr-Latn-ME"/>
        </w:rPr>
        <w:t>liječ</w:t>
      </w:r>
      <w:r w:rsidRPr="00F234A2">
        <w:rPr>
          <w:bCs/>
          <w:sz w:val="22"/>
          <w:szCs w:val="22"/>
          <w:lang w:val="sr-Latn-ME"/>
        </w:rPr>
        <w:t xml:space="preserve">enja asciminibom i da se prati u toku </w:t>
      </w:r>
      <w:r w:rsidR="00472E1C" w:rsidRPr="00F234A2">
        <w:rPr>
          <w:bCs/>
          <w:sz w:val="22"/>
          <w:szCs w:val="22"/>
          <w:lang w:val="sr-Latn-ME"/>
        </w:rPr>
        <w:t>liječ</w:t>
      </w:r>
      <w:r w:rsidRPr="00F234A2">
        <w:rPr>
          <w:bCs/>
          <w:sz w:val="22"/>
          <w:szCs w:val="22"/>
          <w:lang w:val="sr-Latn-ME"/>
        </w:rPr>
        <w:t>enja kako je klinički indikovano. Hipokalijemiju i hipomagnezijemiju je potrebno korigova</w:t>
      </w:r>
      <w:r w:rsidR="00FB25DC" w:rsidRPr="00F234A2">
        <w:rPr>
          <w:bCs/>
          <w:sz w:val="22"/>
          <w:szCs w:val="22"/>
          <w:lang w:val="sr-Latn-ME"/>
        </w:rPr>
        <w:t>t</w:t>
      </w:r>
      <w:r w:rsidRPr="00F234A2">
        <w:rPr>
          <w:bCs/>
          <w:sz w:val="22"/>
          <w:szCs w:val="22"/>
          <w:lang w:val="sr-Latn-ME"/>
        </w:rPr>
        <w:t>i pr</w:t>
      </w:r>
      <w:r w:rsidR="00472E1C" w:rsidRPr="00F234A2">
        <w:rPr>
          <w:bCs/>
          <w:sz w:val="22"/>
          <w:szCs w:val="22"/>
          <w:lang w:val="sr-Latn-ME"/>
        </w:rPr>
        <w:t>ij</w:t>
      </w:r>
      <w:r w:rsidRPr="00F234A2">
        <w:rPr>
          <w:bCs/>
          <w:sz w:val="22"/>
          <w:szCs w:val="22"/>
          <w:lang w:val="sr-Latn-ME"/>
        </w:rPr>
        <w:t xml:space="preserve">e </w:t>
      </w:r>
      <w:r w:rsidR="0094593A" w:rsidRPr="00F234A2">
        <w:rPr>
          <w:bCs/>
          <w:sz w:val="22"/>
          <w:szCs w:val="22"/>
          <w:lang w:val="sr-Latn-ME"/>
        </w:rPr>
        <w:t>primjen</w:t>
      </w:r>
      <w:r w:rsidRPr="00F234A2">
        <w:rPr>
          <w:bCs/>
          <w:sz w:val="22"/>
          <w:szCs w:val="22"/>
          <w:lang w:val="sr-Latn-ME"/>
        </w:rPr>
        <w:t xml:space="preserve">e asciminiba i pratiti je u toku </w:t>
      </w:r>
      <w:r w:rsidR="00472E1C" w:rsidRPr="00F234A2">
        <w:rPr>
          <w:bCs/>
          <w:sz w:val="22"/>
          <w:szCs w:val="22"/>
          <w:lang w:val="sr-Latn-ME"/>
        </w:rPr>
        <w:t>liječ</w:t>
      </w:r>
      <w:r w:rsidRPr="00F234A2">
        <w:rPr>
          <w:bCs/>
          <w:sz w:val="22"/>
          <w:szCs w:val="22"/>
          <w:lang w:val="sr-Latn-ME"/>
        </w:rPr>
        <w:t>enja kako je klinički indikovano.</w:t>
      </w:r>
    </w:p>
    <w:p w14:paraId="7B80E1AF" w14:textId="77777777" w:rsidR="0048424F" w:rsidRPr="00F234A2" w:rsidRDefault="0048424F" w:rsidP="0095542C">
      <w:pPr>
        <w:tabs>
          <w:tab w:val="left" w:pos="540"/>
          <w:tab w:val="left" w:pos="569"/>
        </w:tabs>
        <w:jc w:val="both"/>
        <w:rPr>
          <w:bCs/>
          <w:sz w:val="22"/>
          <w:szCs w:val="22"/>
          <w:lang w:val="sr-Latn-ME"/>
        </w:rPr>
      </w:pPr>
    </w:p>
    <w:p w14:paraId="5640A212" w14:textId="4EBA7972" w:rsidR="0048424F" w:rsidRPr="00F234A2" w:rsidRDefault="0048424F" w:rsidP="0095542C">
      <w:pPr>
        <w:tabs>
          <w:tab w:val="left" w:pos="540"/>
          <w:tab w:val="left" w:pos="569"/>
        </w:tabs>
        <w:jc w:val="both"/>
        <w:rPr>
          <w:bCs/>
          <w:sz w:val="22"/>
          <w:szCs w:val="22"/>
          <w:lang w:val="sr-Latn-ME"/>
        </w:rPr>
      </w:pPr>
      <w:r w:rsidRPr="00F234A2">
        <w:rPr>
          <w:bCs/>
          <w:sz w:val="22"/>
          <w:szCs w:val="22"/>
          <w:lang w:val="sr-Latn-ME"/>
        </w:rPr>
        <w:t xml:space="preserve">Potreban je oprez kod istovremene </w:t>
      </w:r>
      <w:r w:rsidR="0094593A" w:rsidRPr="00F234A2">
        <w:rPr>
          <w:bCs/>
          <w:sz w:val="22"/>
          <w:szCs w:val="22"/>
          <w:lang w:val="sr-Latn-ME"/>
        </w:rPr>
        <w:t>primjen</w:t>
      </w:r>
      <w:r w:rsidRPr="00F234A2">
        <w:rPr>
          <w:bCs/>
          <w:sz w:val="22"/>
          <w:szCs w:val="22"/>
          <w:lang w:val="sr-Latn-ME"/>
        </w:rPr>
        <w:t>e asciminiba sa l</w:t>
      </w:r>
      <w:r w:rsidR="00472E1C" w:rsidRPr="00F234A2">
        <w:rPr>
          <w:bCs/>
          <w:sz w:val="22"/>
          <w:szCs w:val="22"/>
          <w:lang w:val="sr-Latn-ME"/>
        </w:rPr>
        <w:t>j</w:t>
      </w:r>
      <w:r w:rsidRPr="00F234A2">
        <w:rPr>
          <w:bCs/>
          <w:sz w:val="22"/>
          <w:szCs w:val="22"/>
          <w:lang w:val="sr-Latn-ME"/>
        </w:rPr>
        <w:t xml:space="preserve">ekovima za koje je poznat rizik od </w:t>
      </w:r>
      <w:r w:rsidRPr="00F234A2">
        <w:rPr>
          <w:bCs/>
          <w:i/>
          <w:iCs/>
          <w:sz w:val="22"/>
          <w:szCs w:val="22"/>
          <w:lang w:val="sr-Latn-ME"/>
        </w:rPr>
        <w:t>torsades de pointes</w:t>
      </w:r>
      <w:r w:rsidRPr="00F234A2">
        <w:rPr>
          <w:bCs/>
          <w:sz w:val="22"/>
          <w:szCs w:val="22"/>
          <w:lang w:val="sr-Latn-ME"/>
        </w:rPr>
        <w:t xml:space="preserve"> (</w:t>
      </w:r>
      <w:r w:rsidR="0094593A" w:rsidRPr="00F234A2">
        <w:rPr>
          <w:bCs/>
          <w:sz w:val="22"/>
          <w:szCs w:val="22"/>
          <w:lang w:val="sr-Latn-ME"/>
        </w:rPr>
        <w:t>vidjet</w:t>
      </w:r>
      <w:r w:rsidRPr="00F234A2">
        <w:rPr>
          <w:bCs/>
          <w:sz w:val="22"/>
          <w:szCs w:val="22"/>
          <w:lang w:val="sr-Latn-ME"/>
        </w:rPr>
        <w:t>i d</w:t>
      </w:r>
      <w:r w:rsidR="00472E1C" w:rsidRPr="00F234A2">
        <w:rPr>
          <w:bCs/>
          <w:sz w:val="22"/>
          <w:szCs w:val="22"/>
          <w:lang w:val="sr-Latn-ME"/>
        </w:rPr>
        <w:t>ij</w:t>
      </w:r>
      <w:r w:rsidRPr="00F234A2">
        <w:rPr>
          <w:bCs/>
          <w:sz w:val="22"/>
          <w:szCs w:val="22"/>
          <w:lang w:val="sr-Latn-ME"/>
        </w:rPr>
        <w:t>elove 4.5 i 5.1).</w:t>
      </w:r>
    </w:p>
    <w:p w14:paraId="07A60DD4" w14:textId="086D3970" w:rsidR="00A60A13" w:rsidRPr="00F234A2" w:rsidRDefault="00A60A13" w:rsidP="0095542C">
      <w:pPr>
        <w:tabs>
          <w:tab w:val="left" w:pos="540"/>
          <w:tab w:val="left" w:pos="569"/>
        </w:tabs>
        <w:jc w:val="both"/>
        <w:rPr>
          <w:bCs/>
          <w:sz w:val="22"/>
          <w:szCs w:val="22"/>
          <w:lang w:val="sr-Latn-ME"/>
        </w:rPr>
      </w:pPr>
    </w:p>
    <w:p w14:paraId="69736C23" w14:textId="77777777" w:rsidR="00A60A13" w:rsidRPr="00F234A2" w:rsidRDefault="00A60A13" w:rsidP="0095542C">
      <w:pPr>
        <w:tabs>
          <w:tab w:val="left" w:pos="540"/>
          <w:tab w:val="left" w:pos="569"/>
        </w:tabs>
        <w:jc w:val="both"/>
        <w:rPr>
          <w:bCs/>
          <w:sz w:val="22"/>
          <w:szCs w:val="22"/>
          <w:u w:val="single"/>
          <w:lang w:val="sr-Latn-ME"/>
        </w:rPr>
      </w:pPr>
      <w:r w:rsidRPr="00F234A2">
        <w:rPr>
          <w:bCs/>
          <w:sz w:val="22"/>
          <w:szCs w:val="22"/>
          <w:u w:val="single"/>
          <w:lang w:val="sr-Latn-ME"/>
        </w:rPr>
        <w:t>Hipertenzija</w:t>
      </w:r>
    </w:p>
    <w:p w14:paraId="0C08662A" w14:textId="77777777" w:rsidR="00A60A13" w:rsidRPr="00F234A2" w:rsidRDefault="00A60A13" w:rsidP="0095542C">
      <w:pPr>
        <w:tabs>
          <w:tab w:val="left" w:pos="540"/>
          <w:tab w:val="left" w:pos="569"/>
        </w:tabs>
        <w:jc w:val="both"/>
        <w:rPr>
          <w:bCs/>
          <w:sz w:val="22"/>
          <w:szCs w:val="22"/>
          <w:lang w:val="sr-Latn-ME"/>
        </w:rPr>
      </w:pPr>
    </w:p>
    <w:p w14:paraId="39441EDE" w14:textId="1D6C59DA" w:rsidR="00A60A13" w:rsidRPr="00F234A2" w:rsidRDefault="00A60A13" w:rsidP="0095542C">
      <w:pPr>
        <w:tabs>
          <w:tab w:val="left" w:pos="540"/>
          <w:tab w:val="left" w:pos="569"/>
        </w:tabs>
        <w:jc w:val="both"/>
        <w:rPr>
          <w:bCs/>
          <w:sz w:val="22"/>
          <w:szCs w:val="22"/>
          <w:lang w:val="sr-Latn-ME"/>
        </w:rPr>
      </w:pPr>
      <w:r w:rsidRPr="00F234A2">
        <w:rPr>
          <w:bCs/>
          <w:sz w:val="22"/>
          <w:szCs w:val="22"/>
          <w:lang w:val="sr-Latn-ME"/>
        </w:rPr>
        <w:t>Hipertenzija, uključujući tešku hipertenziju, zab</w:t>
      </w:r>
      <w:r w:rsidR="00472E1C" w:rsidRPr="00F234A2">
        <w:rPr>
          <w:bCs/>
          <w:sz w:val="22"/>
          <w:szCs w:val="22"/>
          <w:lang w:val="sr-Latn-ME"/>
        </w:rPr>
        <w:t>i</w:t>
      </w:r>
      <w:r w:rsidRPr="00F234A2">
        <w:rPr>
          <w:bCs/>
          <w:sz w:val="22"/>
          <w:szCs w:val="22"/>
          <w:lang w:val="sr-Latn-ME"/>
        </w:rPr>
        <w:t>l</w:t>
      </w:r>
      <w:r w:rsidR="00472E1C" w:rsidRPr="00F234A2">
        <w:rPr>
          <w:bCs/>
          <w:sz w:val="22"/>
          <w:szCs w:val="22"/>
          <w:lang w:val="sr-Latn-ME"/>
        </w:rPr>
        <w:t>j</w:t>
      </w:r>
      <w:r w:rsidRPr="00F234A2">
        <w:rPr>
          <w:bCs/>
          <w:sz w:val="22"/>
          <w:szCs w:val="22"/>
          <w:lang w:val="sr-Latn-ME"/>
        </w:rPr>
        <w:t>ežena je kod pacijenata koji su uzimali asciminib (</w:t>
      </w:r>
      <w:r w:rsidR="0094593A" w:rsidRPr="00F234A2">
        <w:rPr>
          <w:bCs/>
          <w:sz w:val="22"/>
          <w:szCs w:val="22"/>
          <w:lang w:val="sr-Latn-ME"/>
        </w:rPr>
        <w:t>vidjet</w:t>
      </w:r>
      <w:r w:rsidRPr="00F234A2">
        <w:rPr>
          <w:bCs/>
          <w:sz w:val="22"/>
          <w:szCs w:val="22"/>
          <w:lang w:val="sr-Latn-ME"/>
        </w:rPr>
        <w:t>i d</w:t>
      </w:r>
      <w:r w:rsidR="00472E1C" w:rsidRPr="00F234A2">
        <w:rPr>
          <w:bCs/>
          <w:sz w:val="22"/>
          <w:szCs w:val="22"/>
          <w:lang w:val="sr-Latn-ME"/>
        </w:rPr>
        <w:t>i</w:t>
      </w:r>
      <w:r w:rsidRPr="00F234A2">
        <w:rPr>
          <w:bCs/>
          <w:sz w:val="22"/>
          <w:szCs w:val="22"/>
          <w:lang w:val="sr-Latn-ME"/>
        </w:rPr>
        <w:t>o 4.8).</w:t>
      </w:r>
    </w:p>
    <w:p w14:paraId="0560FAAD" w14:textId="77777777" w:rsidR="00A60A13" w:rsidRPr="00F234A2" w:rsidRDefault="00A60A13" w:rsidP="0095542C">
      <w:pPr>
        <w:tabs>
          <w:tab w:val="left" w:pos="540"/>
          <w:tab w:val="left" w:pos="569"/>
        </w:tabs>
        <w:jc w:val="both"/>
        <w:rPr>
          <w:bCs/>
          <w:sz w:val="22"/>
          <w:szCs w:val="22"/>
          <w:lang w:val="sr-Latn-ME"/>
        </w:rPr>
      </w:pPr>
    </w:p>
    <w:p w14:paraId="614132BC" w14:textId="42CC38F4" w:rsidR="00A60A13" w:rsidRPr="00F234A2" w:rsidRDefault="00A60A13" w:rsidP="0095542C">
      <w:pPr>
        <w:tabs>
          <w:tab w:val="left" w:pos="540"/>
          <w:tab w:val="left" w:pos="569"/>
        </w:tabs>
        <w:jc w:val="both"/>
        <w:rPr>
          <w:bCs/>
          <w:sz w:val="22"/>
          <w:szCs w:val="22"/>
          <w:lang w:val="sr-Latn-ME"/>
        </w:rPr>
      </w:pPr>
      <w:r w:rsidRPr="00F234A2">
        <w:rPr>
          <w:bCs/>
          <w:sz w:val="22"/>
          <w:szCs w:val="22"/>
          <w:lang w:val="sr-Latn-ME"/>
        </w:rPr>
        <w:t xml:space="preserve">Hipertenziju i ostale kardiovaskularne faktore rizika potrebno je redovno pratiti i zbrinjavati koristeći standardnu terapiju tokom </w:t>
      </w:r>
      <w:r w:rsidR="00472E1C" w:rsidRPr="00F234A2">
        <w:rPr>
          <w:bCs/>
          <w:sz w:val="22"/>
          <w:szCs w:val="22"/>
          <w:lang w:val="sr-Latn-ME"/>
        </w:rPr>
        <w:t>liječ</w:t>
      </w:r>
      <w:r w:rsidRPr="00F234A2">
        <w:rPr>
          <w:bCs/>
          <w:sz w:val="22"/>
          <w:szCs w:val="22"/>
          <w:lang w:val="sr-Latn-ME"/>
        </w:rPr>
        <w:t>enja asciminibom.</w:t>
      </w:r>
    </w:p>
    <w:p w14:paraId="1B8DEFA2" w14:textId="23045079" w:rsidR="00A60A13" w:rsidRPr="00F234A2" w:rsidRDefault="00A60A13" w:rsidP="0095542C">
      <w:pPr>
        <w:tabs>
          <w:tab w:val="left" w:pos="540"/>
          <w:tab w:val="left" w:pos="569"/>
        </w:tabs>
        <w:jc w:val="both"/>
        <w:rPr>
          <w:bCs/>
          <w:sz w:val="22"/>
          <w:szCs w:val="22"/>
          <w:lang w:val="sr-Latn-ME"/>
        </w:rPr>
      </w:pPr>
    </w:p>
    <w:p w14:paraId="6EB869A5" w14:textId="77777777" w:rsidR="00A60A13" w:rsidRPr="00F234A2" w:rsidRDefault="00A60A13" w:rsidP="0095542C">
      <w:pPr>
        <w:tabs>
          <w:tab w:val="left" w:pos="540"/>
          <w:tab w:val="left" w:pos="569"/>
        </w:tabs>
        <w:jc w:val="both"/>
        <w:rPr>
          <w:bCs/>
          <w:sz w:val="22"/>
          <w:szCs w:val="22"/>
          <w:u w:val="single"/>
          <w:lang w:val="sr-Latn-ME"/>
        </w:rPr>
      </w:pPr>
      <w:r w:rsidRPr="00F234A2">
        <w:rPr>
          <w:bCs/>
          <w:sz w:val="22"/>
          <w:szCs w:val="22"/>
          <w:u w:val="single"/>
          <w:lang w:val="sr-Latn-ME"/>
        </w:rPr>
        <w:t>Reaktivacija hepatitisa B</w:t>
      </w:r>
    </w:p>
    <w:p w14:paraId="33B9DB8C" w14:textId="77777777" w:rsidR="00A60A13" w:rsidRPr="00F234A2" w:rsidRDefault="00A60A13" w:rsidP="0095542C">
      <w:pPr>
        <w:tabs>
          <w:tab w:val="left" w:pos="540"/>
          <w:tab w:val="left" w:pos="569"/>
        </w:tabs>
        <w:jc w:val="both"/>
        <w:rPr>
          <w:bCs/>
          <w:sz w:val="22"/>
          <w:szCs w:val="22"/>
          <w:lang w:val="sr-Latn-ME"/>
        </w:rPr>
      </w:pPr>
    </w:p>
    <w:p w14:paraId="778FFD56" w14:textId="09B7ECDB" w:rsidR="00A60A13" w:rsidRPr="00F234A2" w:rsidRDefault="00A60A13" w:rsidP="0095542C">
      <w:pPr>
        <w:tabs>
          <w:tab w:val="left" w:pos="540"/>
          <w:tab w:val="left" w:pos="569"/>
        </w:tabs>
        <w:jc w:val="both"/>
        <w:rPr>
          <w:bCs/>
          <w:sz w:val="22"/>
          <w:szCs w:val="22"/>
          <w:lang w:val="sr-Latn-ME"/>
        </w:rPr>
      </w:pPr>
      <w:r w:rsidRPr="00F234A2">
        <w:rPr>
          <w:bCs/>
          <w:sz w:val="22"/>
          <w:szCs w:val="22"/>
          <w:lang w:val="sr-Latn-ME"/>
        </w:rPr>
        <w:t>Reaktivacija virusa hepatitisa B (HBV) zab</w:t>
      </w:r>
      <w:r w:rsidR="00472E1C" w:rsidRPr="00F234A2">
        <w:rPr>
          <w:bCs/>
          <w:sz w:val="22"/>
          <w:szCs w:val="22"/>
          <w:lang w:val="sr-Latn-ME"/>
        </w:rPr>
        <w:t>i</w:t>
      </w:r>
      <w:r w:rsidRPr="00F234A2">
        <w:rPr>
          <w:bCs/>
          <w:sz w:val="22"/>
          <w:szCs w:val="22"/>
          <w:lang w:val="sr-Latn-ME"/>
        </w:rPr>
        <w:t>l</w:t>
      </w:r>
      <w:r w:rsidR="00472E1C" w:rsidRPr="00F234A2">
        <w:rPr>
          <w:bCs/>
          <w:sz w:val="22"/>
          <w:szCs w:val="22"/>
          <w:lang w:val="sr-Latn-ME"/>
        </w:rPr>
        <w:t>j</w:t>
      </w:r>
      <w:r w:rsidRPr="00F234A2">
        <w:rPr>
          <w:bCs/>
          <w:sz w:val="22"/>
          <w:szCs w:val="22"/>
          <w:lang w:val="sr-Latn-ME"/>
        </w:rPr>
        <w:t xml:space="preserve">ežena je kod pacijenata koji su hronični nosioci virusa nakon </w:t>
      </w:r>
      <w:r w:rsidR="0094593A" w:rsidRPr="00F234A2">
        <w:rPr>
          <w:bCs/>
          <w:sz w:val="22"/>
          <w:szCs w:val="22"/>
          <w:lang w:val="sr-Latn-ME"/>
        </w:rPr>
        <w:t>primjen</w:t>
      </w:r>
      <w:r w:rsidRPr="00F234A2">
        <w:rPr>
          <w:bCs/>
          <w:sz w:val="22"/>
          <w:szCs w:val="22"/>
          <w:lang w:val="sr-Latn-ME"/>
        </w:rPr>
        <w:t>e drugih inhibitora BCR::ABL1 tirozin kinaze (TKIs). Pacijente je potrebno testirati na infekciju HBV-om pr</w:t>
      </w:r>
      <w:r w:rsidR="00472E1C" w:rsidRPr="00F234A2">
        <w:rPr>
          <w:bCs/>
          <w:sz w:val="22"/>
          <w:szCs w:val="22"/>
          <w:lang w:val="sr-Latn-ME"/>
        </w:rPr>
        <w:t>ij</w:t>
      </w:r>
      <w:r w:rsidRPr="00F234A2">
        <w:rPr>
          <w:bCs/>
          <w:sz w:val="22"/>
          <w:szCs w:val="22"/>
          <w:lang w:val="sr-Latn-ME"/>
        </w:rPr>
        <w:t xml:space="preserve">e početka </w:t>
      </w:r>
      <w:r w:rsidR="00472E1C" w:rsidRPr="00F234A2">
        <w:rPr>
          <w:bCs/>
          <w:sz w:val="22"/>
          <w:szCs w:val="22"/>
          <w:lang w:val="sr-Latn-ME"/>
        </w:rPr>
        <w:t>liječ</w:t>
      </w:r>
      <w:r w:rsidRPr="00F234A2">
        <w:rPr>
          <w:bCs/>
          <w:sz w:val="22"/>
          <w:szCs w:val="22"/>
          <w:lang w:val="sr-Latn-ME"/>
        </w:rPr>
        <w:t xml:space="preserve">enja asciminibom. Nosioce virusa HBV kojima je potrebno </w:t>
      </w:r>
      <w:r w:rsidR="00472E1C" w:rsidRPr="00F234A2">
        <w:rPr>
          <w:bCs/>
          <w:sz w:val="22"/>
          <w:szCs w:val="22"/>
          <w:lang w:val="sr-Latn-ME"/>
        </w:rPr>
        <w:t>liječ</w:t>
      </w:r>
      <w:r w:rsidRPr="00F234A2">
        <w:rPr>
          <w:bCs/>
          <w:sz w:val="22"/>
          <w:szCs w:val="22"/>
          <w:lang w:val="sr-Latn-ME"/>
        </w:rPr>
        <w:t>enje asciminibom treba pažljivo pratiti na znake i simptome aktivne infekcije HBV-om tokom terapije i nekoliko m</w:t>
      </w:r>
      <w:r w:rsidR="00472E1C" w:rsidRPr="00F234A2">
        <w:rPr>
          <w:bCs/>
          <w:sz w:val="22"/>
          <w:szCs w:val="22"/>
          <w:lang w:val="sr-Latn-ME"/>
        </w:rPr>
        <w:t>j</w:t>
      </w:r>
      <w:r w:rsidRPr="00F234A2">
        <w:rPr>
          <w:bCs/>
          <w:sz w:val="22"/>
          <w:szCs w:val="22"/>
          <w:lang w:val="sr-Latn-ME"/>
        </w:rPr>
        <w:t>eseci nakon završetka terapije.</w:t>
      </w:r>
    </w:p>
    <w:p w14:paraId="0699DFA2" w14:textId="58250D23" w:rsidR="00A60A13" w:rsidRPr="00F234A2" w:rsidRDefault="00A60A13" w:rsidP="0095542C">
      <w:pPr>
        <w:tabs>
          <w:tab w:val="left" w:pos="540"/>
          <w:tab w:val="left" w:pos="569"/>
        </w:tabs>
        <w:jc w:val="both"/>
        <w:rPr>
          <w:bCs/>
          <w:sz w:val="22"/>
          <w:szCs w:val="22"/>
          <w:lang w:val="sr-Latn-ME"/>
        </w:rPr>
      </w:pPr>
    </w:p>
    <w:p w14:paraId="5CF81EEA" w14:textId="77777777" w:rsidR="00A60A13" w:rsidRPr="00F234A2" w:rsidRDefault="00A60A13" w:rsidP="0095542C">
      <w:pPr>
        <w:tabs>
          <w:tab w:val="left" w:pos="540"/>
          <w:tab w:val="left" w:pos="569"/>
        </w:tabs>
        <w:jc w:val="both"/>
        <w:rPr>
          <w:bCs/>
          <w:sz w:val="22"/>
          <w:szCs w:val="22"/>
          <w:u w:val="single"/>
          <w:lang w:val="sr-Latn-ME"/>
        </w:rPr>
      </w:pPr>
      <w:r w:rsidRPr="00F234A2">
        <w:rPr>
          <w:bCs/>
          <w:sz w:val="22"/>
          <w:szCs w:val="22"/>
          <w:u w:val="single"/>
          <w:lang w:val="sr-Latn-ME"/>
        </w:rPr>
        <w:t>Ekscipijensi</w:t>
      </w:r>
    </w:p>
    <w:p w14:paraId="35C6E454" w14:textId="77777777" w:rsidR="00A60A13" w:rsidRPr="00F234A2" w:rsidRDefault="00A60A13" w:rsidP="0095542C">
      <w:pPr>
        <w:tabs>
          <w:tab w:val="left" w:pos="540"/>
          <w:tab w:val="left" w:pos="569"/>
        </w:tabs>
        <w:jc w:val="both"/>
        <w:rPr>
          <w:bCs/>
          <w:sz w:val="22"/>
          <w:szCs w:val="22"/>
          <w:lang w:val="sr-Latn-ME"/>
        </w:rPr>
      </w:pPr>
    </w:p>
    <w:p w14:paraId="2A3244E1" w14:textId="77777777" w:rsidR="00A60A13" w:rsidRPr="00F234A2" w:rsidRDefault="00A60A13" w:rsidP="0095542C">
      <w:pPr>
        <w:tabs>
          <w:tab w:val="left" w:pos="540"/>
          <w:tab w:val="left" w:pos="569"/>
        </w:tabs>
        <w:jc w:val="both"/>
        <w:rPr>
          <w:bCs/>
          <w:sz w:val="22"/>
          <w:szCs w:val="22"/>
          <w:u w:val="single"/>
          <w:lang w:val="sr-Latn-ME"/>
        </w:rPr>
      </w:pPr>
      <w:r w:rsidRPr="00F234A2">
        <w:rPr>
          <w:bCs/>
          <w:sz w:val="22"/>
          <w:szCs w:val="22"/>
          <w:u w:val="single"/>
          <w:lang w:val="sr-Latn-ME"/>
        </w:rPr>
        <w:t>Laktoza</w:t>
      </w:r>
    </w:p>
    <w:p w14:paraId="658947D3" w14:textId="77777777" w:rsidR="00A60A13" w:rsidRPr="00F234A2" w:rsidRDefault="00A60A13" w:rsidP="0095542C">
      <w:pPr>
        <w:tabs>
          <w:tab w:val="left" w:pos="540"/>
          <w:tab w:val="left" w:pos="569"/>
        </w:tabs>
        <w:jc w:val="both"/>
        <w:rPr>
          <w:bCs/>
          <w:sz w:val="22"/>
          <w:szCs w:val="22"/>
          <w:lang w:val="sr-Latn-ME"/>
        </w:rPr>
      </w:pPr>
    </w:p>
    <w:p w14:paraId="5E954C8E" w14:textId="01BB75F7" w:rsidR="00A60A13" w:rsidRPr="00F234A2" w:rsidRDefault="00A60A13" w:rsidP="0095542C">
      <w:pPr>
        <w:tabs>
          <w:tab w:val="left" w:pos="540"/>
          <w:tab w:val="left" w:pos="569"/>
        </w:tabs>
        <w:jc w:val="both"/>
        <w:rPr>
          <w:bCs/>
          <w:sz w:val="22"/>
          <w:szCs w:val="22"/>
          <w:lang w:val="sr-Latn-ME"/>
        </w:rPr>
      </w:pPr>
      <w:r w:rsidRPr="00F234A2">
        <w:rPr>
          <w:bCs/>
          <w:sz w:val="22"/>
          <w:szCs w:val="22"/>
          <w:lang w:val="sr-Latn-ME"/>
        </w:rPr>
        <w:t>Pacijenti sa r</w:t>
      </w:r>
      <w:r w:rsidR="00472E1C" w:rsidRPr="00F234A2">
        <w:rPr>
          <w:bCs/>
          <w:sz w:val="22"/>
          <w:szCs w:val="22"/>
          <w:lang w:val="sr-Latn-ME"/>
        </w:rPr>
        <w:t>ij</w:t>
      </w:r>
      <w:r w:rsidRPr="00F234A2">
        <w:rPr>
          <w:bCs/>
          <w:sz w:val="22"/>
          <w:szCs w:val="22"/>
          <w:lang w:val="sr-Latn-ME"/>
        </w:rPr>
        <w:t>etkim nasl</w:t>
      </w:r>
      <w:r w:rsidR="005251D5" w:rsidRPr="00F234A2">
        <w:rPr>
          <w:bCs/>
          <w:sz w:val="22"/>
          <w:szCs w:val="22"/>
          <w:lang w:val="sr-Latn-ME"/>
        </w:rPr>
        <w:t>j</w:t>
      </w:r>
      <w:r w:rsidRPr="00F234A2">
        <w:rPr>
          <w:bCs/>
          <w:sz w:val="22"/>
          <w:szCs w:val="22"/>
          <w:lang w:val="sr-Latn-ME"/>
        </w:rPr>
        <w:t>ednim oboljenjem intolerancije na galaktozu, nedostatkom laktaze ili glukozno-galaktoznom malapsorpcijom, ne sm</w:t>
      </w:r>
      <w:r w:rsidR="00472E1C" w:rsidRPr="00F234A2">
        <w:rPr>
          <w:bCs/>
          <w:sz w:val="22"/>
          <w:szCs w:val="22"/>
          <w:lang w:val="sr-Latn-ME"/>
        </w:rPr>
        <w:t>i</w:t>
      </w:r>
      <w:r w:rsidRPr="00F234A2">
        <w:rPr>
          <w:bCs/>
          <w:sz w:val="22"/>
          <w:szCs w:val="22"/>
          <w:lang w:val="sr-Latn-ME"/>
        </w:rPr>
        <w:t>ju da koriste ovaj l</w:t>
      </w:r>
      <w:r w:rsidR="00472E1C" w:rsidRPr="00F234A2">
        <w:rPr>
          <w:bCs/>
          <w:sz w:val="22"/>
          <w:szCs w:val="22"/>
          <w:lang w:val="sr-Latn-ME"/>
        </w:rPr>
        <w:t>ij</w:t>
      </w:r>
      <w:r w:rsidRPr="00F234A2">
        <w:rPr>
          <w:bCs/>
          <w:sz w:val="22"/>
          <w:szCs w:val="22"/>
          <w:lang w:val="sr-Latn-ME"/>
        </w:rPr>
        <w:t>ek.</w:t>
      </w:r>
    </w:p>
    <w:p w14:paraId="20A6DACD" w14:textId="77777777" w:rsidR="00A60A13" w:rsidRPr="00F234A2" w:rsidRDefault="00A60A13" w:rsidP="0095542C">
      <w:pPr>
        <w:tabs>
          <w:tab w:val="left" w:pos="540"/>
          <w:tab w:val="left" w:pos="569"/>
        </w:tabs>
        <w:jc w:val="both"/>
        <w:rPr>
          <w:bCs/>
          <w:sz w:val="22"/>
          <w:szCs w:val="22"/>
          <w:lang w:val="sr-Latn-ME"/>
        </w:rPr>
      </w:pPr>
    </w:p>
    <w:p w14:paraId="3C249D93" w14:textId="77777777" w:rsidR="00A60A13" w:rsidRPr="00F234A2" w:rsidRDefault="00A60A13" w:rsidP="0095542C">
      <w:pPr>
        <w:tabs>
          <w:tab w:val="left" w:pos="540"/>
          <w:tab w:val="left" w:pos="569"/>
        </w:tabs>
        <w:jc w:val="both"/>
        <w:rPr>
          <w:bCs/>
          <w:sz w:val="22"/>
          <w:szCs w:val="22"/>
          <w:u w:val="single"/>
          <w:lang w:val="sr-Latn-ME"/>
        </w:rPr>
      </w:pPr>
      <w:r w:rsidRPr="00F234A2">
        <w:rPr>
          <w:bCs/>
          <w:sz w:val="22"/>
          <w:szCs w:val="22"/>
          <w:u w:val="single"/>
          <w:lang w:val="sr-Latn-ME"/>
        </w:rPr>
        <w:t>Natrijum</w:t>
      </w:r>
    </w:p>
    <w:p w14:paraId="63BDE598" w14:textId="77777777" w:rsidR="00A60A13" w:rsidRPr="00F234A2" w:rsidRDefault="00A60A13" w:rsidP="0095542C">
      <w:pPr>
        <w:tabs>
          <w:tab w:val="left" w:pos="540"/>
          <w:tab w:val="left" w:pos="569"/>
        </w:tabs>
        <w:jc w:val="both"/>
        <w:rPr>
          <w:bCs/>
          <w:sz w:val="22"/>
          <w:szCs w:val="22"/>
          <w:lang w:val="sr-Latn-ME"/>
        </w:rPr>
      </w:pPr>
    </w:p>
    <w:p w14:paraId="2075D5E7" w14:textId="0BFB1A3A" w:rsidR="00A60A13" w:rsidRPr="00F234A2" w:rsidRDefault="00A60A13" w:rsidP="0095542C">
      <w:pPr>
        <w:tabs>
          <w:tab w:val="left" w:pos="540"/>
          <w:tab w:val="left" w:pos="569"/>
        </w:tabs>
        <w:jc w:val="both"/>
        <w:rPr>
          <w:bCs/>
          <w:sz w:val="22"/>
          <w:szCs w:val="22"/>
          <w:lang w:val="sr-Latn-ME"/>
        </w:rPr>
      </w:pPr>
      <w:r w:rsidRPr="00F234A2">
        <w:rPr>
          <w:bCs/>
          <w:sz w:val="22"/>
          <w:szCs w:val="22"/>
          <w:lang w:val="sr-Latn-ME"/>
        </w:rPr>
        <w:t>Ovaj l</w:t>
      </w:r>
      <w:r w:rsidR="00472E1C" w:rsidRPr="00F234A2">
        <w:rPr>
          <w:bCs/>
          <w:sz w:val="22"/>
          <w:szCs w:val="22"/>
          <w:lang w:val="sr-Latn-ME"/>
        </w:rPr>
        <w:t>ij</w:t>
      </w:r>
      <w:r w:rsidRPr="00F234A2">
        <w:rPr>
          <w:bCs/>
          <w:sz w:val="22"/>
          <w:szCs w:val="22"/>
          <w:lang w:val="sr-Latn-ME"/>
        </w:rPr>
        <w:t>ek sadrži manje od 1 mmol (23 mg) natrijuma po jednoj film tableti, tj. suštinski je „bez natrijuma”.</w:t>
      </w:r>
    </w:p>
    <w:p w14:paraId="38340F72" w14:textId="77777777" w:rsidR="00A60A13" w:rsidRPr="00F234A2" w:rsidRDefault="00A60A13" w:rsidP="0095542C">
      <w:pPr>
        <w:tabs>
          <w:tab w:val="left" w:pos="540"/>
          <w:tab w:val="left" w:pos="569"/>
        </w:tabs>
        <w:jc w:val="both"/>
        <w:rPr>
          <w:bCs/>
          <w:sz w:val="22"/>
          <w:szCs w:val="22"/>
          <w:lang w:val="sr-Latn-ME"/>
        </w:rPr>
      </w:pPr>
    </w:p>
    <w:p w14:paraId="1F8634AD" w14:textId="77777777" w:rsidR="00411B4B" w:rsidRPr="00F234A2" w:rsidRDefault="00411B4B" w:rsidP="0095542C">
      <w:pPr>
        <w:tabs>
          <w:tab w:val="left" w:pos="540"/>
          <w:tab w:val="left" w:pos="569"/>
        </w:tabs>
        <w:jc w:val="both"/>
        <w:rPr>
          <w:b/>
          <w:bCs/>
          <w:sz w:val="22"/>
          <w:szCs w:val="22"/>
          <w:lang w:val="sr-Latn-ME"/>
        </w:rPr>
      </w:pPr>
      <w:r w:rsidRPr="00F234A2">
        <w:rPr>
          <w:b/>
          <w:bCs/>
          <w:sz w:val="22"/>
          <w:szCs w:val="22"/>
          <w:lang w:val="sr-Latn-ME"/>
        </w:rPr>
        <w:t>4.5.</w:t>
      </w:r>
      <w:r w:rsidR="000D60CC" w:rsidRPr="00F234A2">
        <w:rPr>
          <w:b/>
          <w:bCs/>
          <w:sz w:val="22"/>
          <w:szCs w:val="22"/>
          <w:lang w:val="sr-Latn-ME"/>
        </w:rPr>
        <w:tab/>
      </w:r>
      <w:r w:rsidRPr="00F234A2">
        <w:rPr>
          <w:b/>
          <w:bCs/>
          <w:sz w:val="22"/>
          <w:szCs w:val="22"/>
          <w:lang w:val="sr-Latn-ME"/>
        </w:rPr>
        <w:t>Interakcije sa drugim ljekovima i druge vrste interakcija</w:t>
      </w:r>
    </w:p>
    <w:p w14:paraId="7A9F95DA" w14:textId="21159856" w:rsidR="0072020E" w:rsidRPr="00F234A2" w:rsidRDefault="0072020E" w:rsidP="0095542C">
      <w:pPr>
        <w:tabs>
          <w:tab w:val="left" w:pos="540"/>
          <w:tab w:val="left" w:pos="569"/>
        </w:tabs>
        <w:jc w:val="both"/>
        <w:rPr>
          <w:bCs/>
          <w:sz w:val="22"/>
          <w:szCs w:val="22"/>
          <w:lang w:val="sr-Latn-ME"/>
        </w:rPr>
      </w:pPr>
    </w:p>
    <w:p w14:paraId="5F0ED8AB" w14:textId="3B29D4AC" w:rsidR="00A60A13" w:rsidRPr="00F234A2" w:rsidRDefault="00A60A13" w:rsidP="0095542C">
      <w:pPr>
        <w:tabs>
          <w:tab w:val="left" w:pos="540"/>
          <w:tab w:val="left" w:pos="569"/>
        </w:tabs>
        <w:jc w:val="both"/>
        <w:rPr>
          <w:bCs/>
          <w:sz w:val="22"/>
          <w:szCs w:val="22"/>
          <w:u w:val="single"/>
          <w:lang w:val="sr-Latn-ME"/>
        </w:rPr>
      </w:pPr>
      <w:r w:rsidRPr="00F234A2">
        <w:rPr>
          <w:bCs/>
          <w:sz w:val="22"/>
          <w:szCs w:val="22"/>
          <w:u w:val="single"/>
          <w:lang w:val="sr-Latn-ME"/>
        </w:rPr>
        <w:t>L</w:t>
      </w:r>
      <w:r w:rsidR="00472E1C" w:rsidRPr="00F234A2">
        <w:rPr>
          <w:bCs/>
          <w:sz w:val="22"/>
          <w:szCs w:val="22"/>
          <w:u w:val="single"/>
          <w:lang w:val="sr-Latn-ME"/>
        </w:rPr>
        <w:t>j</w:t>
      </w:r>
      <w:r w:rsidRPr="00F234A2">
        <w:rPr>
          <w:bCs/>
          <w:sz w:val="22"/>
          <w:szCs w:val="22"/>
          <w:u w:val="single"/>
          <w:lang w:val="sr-Latn-ME"/>
        </w:rPr>
        <w:t xml:space="preserve">ekovi sa poznatim rizikom od </w:t>
      </w:r>
      <w:r w:rsidRPr="00F234A2">
        <w:rPr>
          <w:bCs/>
          <w:i/>
          <w:iCs/>
          <w:sz w:val="22"/>
          <w:szCs w:val="22"/>
          <w:u w:val="single"/>
          <w:lang w:val="sr-Latn-ME"/>
        </w:rPr>
        <w:t>torsades de pointes</w:t>
      </w:r>
    </w:p>
    <w:p w14:paraId="579AF747" w14:textId="77777777" w:rsidR="00A60A13" w:rsidRPr="00F234A2" w:rsidRDefault="00A60A13" w:rsidP="0095542C">
      <w:pPr>
        <w:tabs>
          <w:tab w:val="left" w:pos="540"/>
          <w:tab w:val="left" w:pos="569"/>
        </w:tabs>
        <w:jc w:val="both"/>
        <w:rPr>
          <w:bCs/>
          <w:sz w:val="22"/>
          <w:szCs w:val="22"/>
          <w:lang w:val="sr-Latn-ME"/>
        </w:rPr>
      </w:pPr>
    </w:p>
    <w:p w14:paraId="5481D23D" w14:textId="5499C2C5" w:rsidR="00A60A13" w:rsidRPr="00F234A2" w:rsidRDefault="00A60A13" w:rsidP="0095542C">
      <w:pPr>
        <w:tabs>
          <w:tab w:val="left" w:pos="540"/>
          <w:tab w:val="left" w:pos="569"/>
        </w:tabs>
        <w:jc w:val="both"/>
        <w:rPr>
          <w:bCs/>
          <w:sz w:val="22"/>
          <w:szCs w:val="22"/>
          <w:lang w:val="sr-Latn-ME"/>
        </w:rPr>
      </w:pPr>
      <w:r w:rsidRPr="00F234A2">
        <w:rPr>
          <w:bCs/>
          <w:sz w:val="22"/>
          <w:szCs w:val="22"/>
          <w:lang w:val="sr-Latn-ME"/>
        </w:rPr>
        <w:t xml:space="preserve">Potreban je oprez tokom istovremene </w:t>
      </w:r>
      <w:r w:rsidR="0094593A" w:rsidRPr="00F234A2">
        <w:rPr>
          <w:bCs/>
          <w:sz w:val="22"/>
          <w:szCs w:val="22"/>
          <w:lang w:val="sr-Latn-ME"/>
        </w:rPr>
        <w:t>primjen</w:t>
      </w:r>
      <w:r w:rsidRPr="00F234A2">
        <w:rPr>
          <w:bCs/>
          <w:sz w:val="22"/>
          <w:szCs w:val="22"/>
          <w:lang w:val="sr-Latn-ME"/>
        </w:rPr>
        <w:t>e asciminiba i l</w:t>
      </w:r>
      <w:r w:rsidR="00472E1C" w:rsidRPr="00F234A2">
        <w:rPr>
          <w:bCs/>
          <w:sz w:val="22"/>
          <w:szCs w:val="22"/>
          <w:lang w:val="sr-Latn-ME"/>
        </w:rPr>
        <w:t>j</w:t>
      </w:r>
      <w:r w:rsidRPr="00F234A2">
        <w:rPr>
          <w:bCs/>
          <w:sz w:val="22"/>
          <w:szCs w:val="22"/>
          <w:lang w:val="sr-Latn-ME"/>
        </w:rPr>
        <w:t xml:space="preserve">ekova sa poznatim rizikom od </w:t>
      </w:r>
      <w:r w:rsidRPr="00F234A2">
        <w:rPr>
          <w:bCs/>
          <w:i/>
          <w:iCs/>
          <w:sz w:val="22"/>
          <w:szCs w:val="22"/>
          <w:lang w:val="sr-Latn-ME"/>
        </w:rPr>
        <w:t>torsades de pointes</w:t>
      </w:r>
      <w:r w:rsidRPr="00F234A2">
        <w:rPr>
          <w:bCs/>
          <w:sz w:val="22"/>
          <w:szCs w:val="22"/>
          <w:lang w:val="sr-Latn-ME"/>
        </w:rPr>
        <w:t>, uključujući, između ostalih, bepridil, hlorokin, klaritromicin, halofantrin, haloperidol, metadon, moksifloksacin ili pimozid (</w:t>
      </w:r>
      <w:r w:rsidR="0094593A" w:rsidRPr="00F234A2">
        <w:rPr>
          <w:bCs/>
          <w:sz w:val="22"/>
          <w:szCs w:val="22"/>
          <w:lang w:val="sr-Latn-ME"/>
        </w:rPr>
        <w:t>vidjet</w:t>
      </w:r>
      <w:r w:rsidRPr="00F234A2">
        <w:rPr>
          <w:bCs/>
          <w:sz w:val="22"/>
          <w:szCs w:val="22"/>
          <w:lang w:val="sr-Latn-ME"/>
        </w:rPr>
        <w:t>i d</w:t>
      </w:r>
      <w:r w:rsidR="00472E1C" w:rsidRPr="00F234A2">
        <w:rPr>
          <w:bCs/>
          <w:sz w:val="22"/>
          <w:szCs w:val="22"/>
          <w:lang w:val="sr-Latn-ME"/>
        </w:rPr>
        <w:t>i</w:t>
      </w:r>
      <w:r w:rsidRPr="00F234A2">
        <w:rPr>
          <w:bCs/>
          <w:sz w:val="22"/>
          <w:szCs w:val="22"/>
          <w:lang w:val="sr-Latn-ME"/>
        </w:rPr>
        <w:t>o 5.1).</w:t>
      </w:r>
    </w:p>
    <w:p w14:paraId="17932435" w14:textId="6D308342" w:rsidR="00A60A13" w:rsidRPr="00F234A2" w:rsidRDefault="00A60A13" w:rsidP="0095542C">
      <w:pPr>
        <w:tabs>
          <w:tab w:val="left" w:pos="540"/>
          <w:tab w:val="left" w:pos="569"/>
        </w:tabs>
        <w:jc w:val="both"/>
        <w:rPr>
          <w:bCs/>
          <w:sz w:val="22"/>
          <w:szCs w:val="22"/>
          <w:lang w:val="sr-Latn-ME"/>
        </w:rPr>
      </w:pPr>
    </w:p>
    <w:p w14:paraId="50CA3A2A" w14:textId="4ED0ADC4" w:rsidR="00A60A13" w:rsidRPr="00F234A2" w:rsidRDefault="00A60A13" w:rsidP="0095542C">
      <w:pPr>
        <w:tabs>
          <w:tab w:val="left" w:pos="540"/>
          <w:tab w:val="left" w:pos="569"/>
        </w:tabs>
        <w:jc w:val="both"/>
        <w:rPr>
          <w:bCs/>
          <w:sz w:val="22"/>
          <w:szCs w:val="22"/>
          <w:u w:val="single"/>
          <w:lang w:val="sr-Latn-ME"/>
        </w:rPr>
      </w:pPr>
      <w:r w:rsidRPr="00F234A2">
        <w:rPr>
          <w:bCs/>
          <w:sz w:val="22"/>
          <w:szCs w:val="22"/>
          <w:u w:val="single"/>
          <w:lang w:val="sr-Latn-ME"/>
        </w:rPr>
        <w:t>L</w:t>
      </w:r>
      <w:r w:rsidR="00472E1C" w:rsidRPr="00F234A2">
        <w:rPr>
          <w:bCs/>
          <w:sz w:val="22"/>
          <w:szCs w:val="22"/>
          <w:u w:val="single"/>
          <w:lang w:val="sr-Latn-ME"/>
        </w:rPr>
        <w:t>j</w:t>
      </w:r>
      <w:r w:rsidRPr="00F234A2">
        <w:rPr>
          <w:bCs/>
          <w:sz w:val="22"/>
          <w:szCs w:val="22"/>
          <w:u w:val="single"/>
          <w:lang w:val="sr-Latn-ME"/>
        </w:rPr>
        <w:t>ekovi koji mogu da smanje koncentraciju asciminiba u plazmi</w:t>
      </w:r>
    </w:p>
    <w:p w14:paraId="79263359" w14:textId="77777777" w:rsidR="00A60A13" w:rsidRPr="00F234A2" w:rsidRDefault="00A60A13" w:rsidP="0095542C">
      <w:pPr>
        <w:tabs>
          <w:tab w:val="left" w:pos="540"/>
          <w:tab w:val="left" w:pos="569"/>
        </w:tabs>
        <w:jc w:val="both"/>
        <w:rPr>
          <w:bCs/>
          <w:sz w:val="22"/>
          <w:szCs w:val="22"/>
          <w:lang w:val="sr-Latn-ME"/>
        </w:rPr>
      </w:pPr>
    </w:p>
    <w:p w14:paraId="498CD238" w14:textId="77777777" w:rsidR="00A60A13" w:rsidRPr="00F234A2" w:rsidRDefault="00A60A13" w:rsidP="00C12E11">
      <w:pPr>
        <w:tabs>
          <w:tab w:val="left" w:pos="540"/>
          <w:tab w:val="left" w:pos="569"/>
        </w:tabs>
        <w:jc w:val="both"/>
        <w:rPr>
          <w:bCs/>
          <w:i/>
          <w:iCs/>
          <w:sz w:val="22"/>
          <w:szCs w:val="22"/>
          <w:u w:val="single"/>
          <w:lang w:val="sr-Latn-ME"/>
        </w:rPr>
      </w:pPr>
      <w:r w:rsidRPr="00F234A2">
        <w:rPr>
          <w:bCs/>
          <w:i/>
          <w:iCs/>
          <w:sz w:val="22"/>
          <w:szCs w:val="22"/>
          <w:u w:val="single"/>
          <w:lang w:val="sr-Latn-ME"/>
        </w:rPr>
        <w:t>Snažni induktori CYP3A4</w:t>
      </w:r>
    </w:p>
    <w:p w14:paraId="7B644C68" w14:textId="3557F6BD" w:rsidR="009F1D15" w:rsidRPr="009F1D15" w:rsidRDefault="00A60A13" w:rsidP="00EE19E6">
      <w:pPr>
        <w:jc w:val="both"/>
        <w:rPr>
          <w:sz w:val="22"/>
          <w:szCs w:val="22"/>
        </w:rPr>
      </w:pPr>
      <w:r w:rsidRPr="00F234A2">
        <w:rPr>
          <w:bCs/>
          <w:sz w:val="22"/>
          <w:szCs w:val="22"/>
          <w:lang w:val="sr-Latn-ME"/>
        </w:rPr>
        <w:t xml:space="preserve">Istovremena </w:t>
      </w:r>
      <w:r w:rsidR="0094593A" w:rsidRPr="00F234A2">
        <w:rPr>
          <w:bCs/>
          <w:sz w:val="22"/>
          <w:szCs w:val="22"/>
          <w:lang w:val="sr-Latn-ME"/>
        </w:rPr>
        <w:t>primjen</w:t>
      </w:r>
      <w:r w:rsidRPr="00F234A2">
        <w:rPr>
          <w:bCs/>
          <w:sz w:val="22"/>
          <w:szCs w:val="22"/>
          <w:lang w:val="sr-Latn-ME"/>
        </w:rPr>
        <w:t xml:space="preserve">a snažnog induktora CYP3A4 (rifampicin) smanjila je </w:t>
      </w:r>
      <w:r w:rsidR="00472E1C" w:rsidRPr="00F234A2">
        <w:rPr>
          <w:bCs/>
          <w:sz w:val="22"/>
          <w:szCs w:val="22"/>
          <w:lang w:val="sr-Latn-ME"/>
        </w:rPr>
        <w:t>vrijedno</w:t>
      </w:r>
      <w:r w:rsidRPr="00F234A2">
        <w:rPr>
          <w:bCs/>
          <w:sz w:val="22"/>
          <w:szCs w:val="22"/>
          <w:lang w:val="sr-Latn-ME"/>
        </w:rPr>
        <w:t>st PIK</w:t>
      </w:r>
      <w:r w:rsidRPr="00F234A2">
        <w:rPr>
          <w:bCs/>
          <w:sz w:val="22"/>
          <w:szCs w:val="22"/>
          <w:vertAlign w:val="subscript"/>
          <w:lang w:val="sr-Latn-ME"/>
        </w:rPr>
        <w:t>inf</w:t>
      </w:r>
      <w:r w:rsidRPr="00F234A2">
        <w:rPr>
          <w:bCs/>
          <w:sz w:val="22"/>
          <w:szCs w:val="22"/>
          <w:lang w:val="sr-Latn-ME"/>
        </w:rPr>
        <w:t xml:space="preserve"> asciminiba za 15% i povećala C</w:t>
      </w:r>
      <w:r w:rsidRPr="00F234A2">
        <w:rPr>
          <w:bCs/>
          <w:sz w:val="22"/>
          <w:szCs w:val="22"/>
          <w:vertAlign w:val="subscript"/>
          <w:lang w:val="sr-Latn-ME"/>
        </w:rPr>
        <w:t>max</w:t>
      </w:r>
      <w:r w:rsidRPr="00F234A2">
        <w:rPr>
          <w:bCs/>
          <w:sz w:val="22"/>
          <w:szCs w:val="22"/>
          <w:lang w:val="sr-Latn-ME"/>
        </w:rPr>
        <w:t xml:space="preserve"> za 9% kod zdravih ispitanik</w:t>
      </w:r>
      <w:r w:rsidR="00C12E11">
        <w:rPr>
          <w:bCs/>
          <w:sz w:val="22"/>
          <w:szCs w:val="22"/>
          <w:lang w:val="sr-Latn-ME"/>
        </w:rPr>
        <w:t>a</w:t>
      </w:r>
      <w:r w:rsidRPr="00F234A2">
        <w:rPr>
          <w:bCs/>
          <w:sz w:val="22"/>
          <w:szCs w:val="22"/>
          <w:lang w:val="sr-Latn-ME"/>
        </w:rPr>
        <w:t xml:space="preserve"> koji su primili jednokratnu dozu asciminiba od 40 mg.</w:t>
      </w:r>
      <w:r w:rsidR="009F1D15">
        <w:rPr>
          <w:bCs/>
          <w:sz w:val="22"/>
          <w:szCs w:val="22"/>
          <w:lang w:val="sr-Latn-ME"/>
        </w:rPr>
        <w:t xml:space="preserve"> </w:t>
      </w:r>
      <w:r w:rsidR="009F1D15" w:rsidRPr="009F1D15">
        <w:rPr>
          <w:sz w:val="22"/>
          <w:szCs w:val="22"/>
          <w:lang w:val="hr-HR"/>
        </w:rPr>
        <w:t>Istovremena prim</w:t>
      </w:r>
      <w:r w:rsidR="00E614CD">
        <w:rPr>
          <w:sz w:val="22"/>
          <w:szCs w:val="22"/>
          <w:lang w:val="hr-HR"/>
        </w:rPr>
        <w:t>j</w:t>
      </w:r>
      <w:r w:rsidR="009F1D15" w:rsidRPr="009F1D15">
        <w:rPr>
          <w:sz w:val="22"/>
          <w:szCs w:val="22"/>
          <w:lang w:val="hr-HR"/>
        </w:rPr>
        <w:t>ena snažnog induktora CYP3A4 (fenitoina) je smanjila vr</w:t>
      </w:r>
      <w:r w:rsidR="00E614CD">
        <w:rPr>
          <w:sz w:val="22"/>
          <w:szCs w:val="22"/>
          <w:lang w:val="hr-HR"/>
        </w:rPr>
        <w:t>ij</w:t>
      </w:r>
      <w:r w:rsidR="009F1D15" w:rsidRPr="009F1D15">
        <w:rPr>
          <w:sz w:val="22"/>
          <w:szCs w:val="22"/>
          <w:lang w:val="hr-HR"/>
        </w:rPr>
        <w:t>ednost PIK</w:t>
      </w:r>
      <w:r w:rsidR="009F1D15" w:rsidRPr="009F1D15">
        <w:rPr>
          <w:sz w:val="22"/>
          <w:szCs w:val="22"/>
          <w:vertAlign w:val="subscript"/>
          <w:lang w:val="hr-HR"/>
        </w:rPr>
        <w:t>inf</w:t>
      </w:r>
      <w:r w:rsidR="009F1D15" w:rsidRPr="009F1D15">
        <w:rPr>
          <w:sz w:val="22"/>
          <w:szCs w:val="22"/>
          <w:lang w:val="hr-HR"/>
        </w:rPr>
        <w:t xml:space="preserve"> asciminiba za 34 % i C</w:t>
      </w:r>
      <w:r w:rsidR="009F1D15" w:rsidRPr="009F1D15">
        <w:rPr>
          <w:sz w:val="22"/>
          <w:szCs w:val="22"/>
          <w:vertAlign w:val="subscript"/>
          <w:lang w:val="hr-HR"/>
        </w:rPr>
        <w:t>max</w:t>
      </w:r>
      <w:r w:rsidR="009F1D15" w:rsidRPr="009F1D15">
        <w:rPr>
          <w:sz w:val="22"/>
          <w:szCs w:val="22"/>
          <w:lang w:val="hr-HR"/>
        </w:rPr>
        <w:t xml:space="preserve"> za 22 % kod zdravih ispitanika koji su primili jednokratnu dozu asciminiba od 200 mg.</w:t>
      </w:r>
    </w:p>
    <w:p w14:paraId="3A6995F8" w14:textId="51D43355" w:rsidR="00A60A13" w:rsidRPr="00F234A2" w:rsidRDefault="00A60A13" w:rsidP="0095542C">
      <w:pPr>
        <w:tabs>
          <w:tab w:val="left" w:pos="540"/>
          <w:tab w:val="left" w:pos="569"/>
        </w:tabs>
        <w:jc w:val="both"/>
        <w:rPr>
          <w:bCs/>
          <w:sz w:val="22"/>
          <w:szCs w:val="22"/>
          <w:lang w:val="sr-Latn-ME"/>
        </w:rPr>
      </w:pPr>
    </w:p>
    <w:p w14:paraId="7FAB2CF2" w14:textId="77777777" w:rsidR="00A60A13" w:rsidRPr="00F234A2" w:rsidRDefault="00A60A13" w:rsidP="0095542C">
      <w:pPr>
        <w:tabs>
          <w:tab w:val="left" w:pos="540"/>
          <w:tab w:val="left" w:pos="569"/>
        </w:tabs>
        <w:jc w:val="both"/>
        <w:rPr>
          <w:bCs/>
          <w:sz w:val="22"/>
          <w:szCs w:val="22"/>
          <w:lang w:val="sr-Latn-ME"/>
        </w:rPr>
      </w:pPr>
    </w:p>
    <w:p w14:paraId="792863CC" w14:textId="763B36CB" w:rsidR="00A60A13" w:rsidRPr="00F234A2" w:rsidRDefault="00A60A13" w:rsidP="0095542C">
      <w:pPr>
        <w:tabs>
          <w:tab w:val="left" w:pos="540"/>
          <w:tab w:val="left" w:pos="569"/>
        </w:tabs>
        <w:jc w:val="both"/>
        <w:rPr>
          <w:bCs/>
          <w:sz w:val="22"/>
          <w:szCs w:val="22"/>
          <w:lang w:val="sr-Latn-ME"/>
        </w:rPr>
      </w:pPr>
      <w:r w:rsidRPr="00F234A2">
        <w:rPr>
          <w:bCs/>
          <w:sz w:val="22"/>
          <w:szCs w:val="22"/>
          <w:lang w:val="sr-Latn-ME"/>
        </w:rPr>
        <w:lastRenderedPageBreak/>
        <w:t xml:space="preserve">Potreban je oprez tokom istovremene </w:t>
      </w:r>
      <w:r w:rsidR="0094593A" w:rsidRPr="00F234A2">
        <w:rPr>
          <w:bCs/>
          <w:sz w:val="22"/>
          <w:szCs w:val="22"/>
          <w:lang w:val="sr-Latn-ME"/>
        </w:rPr>
        <w:t>primjen</w:t>
      </w:r>
      <w:r w:rsidRPr="00F234A2">
        <w:rPr>
          <w:bCs/>
          <w:sz w:val="22"/>
          <w:szCs w:val="22"/>
          <w:lang w:val="sr-Latn-ME"/>
        </w:rPr>
        <w:t>e asciminiba sa snažnim induktorima CYP3A4, između ostalih uključujući karbamazepin, fenobarbital, fenitoin ili kantarion (</w:t>
      </w:r>
      <w:r w:rsidRPr="00F234A2">
        <w:rPr>
          <w:bCs/>
          <w:i/>
          <w:iCs/>
          <w:sz w:val="22"/>
          <w:szCs w:val="22"/>
          <w:lang w:val="sr-Latn-ME"/>
        </w:rPr>
        <w:t>Hypericum perforatum</w:t>
      </w:r>
      <w:r w:rsidRPr="00F234A2">
        <w:rPr>
          <w:bCs/>
          <w:sz w:val="22"/>
          <w:szCs w:val="22"/>
          <w:lang w:val="sr-Latn-ME"/>
        </w:rPr>
        <w:t>), koji mogu dovesti do smanjenja efikasnosti asciminiba.</w:t>
      </w:r>
    </w:p>
    <w:p w14:paraId="514B8064" w14:textId="7B0C17CF" w:rsidR="00A60A13" w:rsidRPr="00F234A2" w:rsidRDefault="00A60A13" w:rsidP="0095542C">
      <w:pPr>
        <w:tabs>
          <w:tab w:val="left" w:pos="540"/>
          <w:tab w:val="left" w:pos="569"/>
        </w:tabs>
        <w:jc w:val="both"/>
        <w:rPr>
          <w:bCs/>
          <w:sz w:val="22"/>
          <w:szCs w:val="22"/>
          <w:u w:val="single"/>
          <w:lang w:val="sr-Latn-ME"/>
        </w:rPr>
      </w:pPr>
      <w:r w:rsidRPr="00F234A2">
        <w:rPr>
          <w:bCs/>
          <w:sz w:val="22"/>
          <w:szCs w:val="22"/>
          <w:u w:val="single"/>
          <w:lang w:val="sr-Latn-ME"/>
        </w:rPr>
        <w:t>L</w:t>
      </w:r>
      <w:r w:rsidR="00472E1C" w:rsidRPr="00F234A2">
        <w:rPr>
          <w:bCs/>
          <w:sz w:val="22"/>
          <w:szCs w:val="22"/>
          <w:u w:val="single"/>
          <w:lang w:val="sr-Latn-ME"/>
        </w:rPr>
        <w:t>j</w:t>
      </w:r>
      <w:r w:rsidRPr="00F234A2">
        <w:rPr>
          <w:bCs/>
          <w:sz w:val="22"/>
          <w:szCs w:val="22"/>
          <w:u w:val="single"/>
          <w:lang w:val="sr-Latn-ME"/>
        </w:rPr>
        <w:t>ekovi kojima asciminib može prom</w:t>
      </w:r>
      <w:r w:rsidR="00472E1C" w:rsidRPr="00F234A2">
        <w:rPr>
          <w:bCs/>
          <w:sz w:val="22"/>
          <w:szCs w:val="22"/>
          <w:u w:val="single"/>
          <w:lang w:val="sr-Latn-ME"/>
        </w:rPr>
        <w:t>ij</w:t>
      </w:r>
      <w:r w:rsidRPr="00F234A2">
        <w:rPr>
          <w:bCs/>
          <w:sz w:val="22"/>
          <w:szCs w:val="22"/>
          <w:u w:val="single"/>
          <w:lang w:val="sr-Latn-ME"/>
        </w:rPr>
        <w:t>eniti koncentraciju u plazmi</w:t>
      </w:r>
    </w:p>
    <w:p w14:paraId="41120C0D" w14:textId="3F5B5B2E" w:rsidR="00A60A13" w:rsidRPr="00F234A2" w:rsidRDefault="00A60A13" w:rsidP="0095542C">
      <w:pPr>
        <w:tabs>
          <w:tab w:val="left" w:pos="540"/>
          <w:tab w:val="left" w:pos="569"/>
        </w:tabs>
        <w:jc w:val="both"/>
        <w:rPr>
          <w:bCs/>
          <w:sz w:val="22"/>
          <w:szCs w:val="22"/>
          <w:lang w:val="sr-Latn-ME"/>
        </w:rPr>
      </w:pPr>
    </w:p>
    <w:p w14:paraId="25A14A71" w14:textId="77777777" w:rsidR="00A60A13" w:rsidRPr="00F234A2" w:rsidRDefault="00A60A13" w:rsidP="0095542C">
      <w:pPr>
        <w:tabs>
          <w:tab w:val="left" w:pos="540"/>
          <w:tab w:val="left" w:pos="569"/>
        </w:tabs>
        <w:jc w:val="both"/>
        <w:rPr>
          <w:bCs/>
          <w:i/>
          <w:iCs/>
          <w:sz w:val="22"/>
          <w:szCs w:val="22"/>
          <w:u w:val="single"/>
          <w:lang w:val="sr-Latn-ME"/>
        </w:rPr>
      </w:pPr>
      <w:r w:rsidRPr="00F234A2">
        <w:rPr>
          <w:bCs/>
          <w:i/>
          <w:iCs/>
          <w:sz w:val="22"/>
          <w:szCs w:val="22"/>
          <w:u w:val="single"/>
          <w:lang w:val="sr-Latn-ME"/>
        </w:rPr>
        <w:t>Supstrati CYP3A4 s uskim terapijskim indeksom</w:t>
      </w:r>
    </w:p>
    <w:p w14:paraId="37B1A2B9" w14:textId="63F1CB81" w:rsidR="00A60A13" w:rsidRPr="00F234A2" w:rsidRDefault="00A60A13" w:rsidP="0095542C">
      <w:pPr>
        <w:tabs>
          <w:tab w:val="left" w:pos="540"/>
          <w:tab w:val="left" w:pos="569"/>
        </w:tabs>
        <w:jc w:val="both"/>
        <w:rPr>
          <w:bCs/>
          <w:sz w:val="22"/>
          <w:szCs w:val="22"/>
          <w:lang w:val="sr-Latn-ME"/>
        </w:rPr>
      </w:pPr>
      <w:r w:rsidRPr="00F234A2">
        <w:rPr>
          <w:bCs/>
          <w:sz w:val="22"/>
          <w:szCs w:val="22"/>
          <w:lang w:val="sr-Latn-ME"/>
        </w:rPr>
        <w:t xml:space="preserve">Istovremena </w:t>
      </w:r>
      <w:r w:rsidR="0094593A" w:rsidRPr="00F234A2">
        <w:rPr>
          <w:bCs/>
          <w:sz w:val="22"/>
          <w:szCs w:val="22"/>
          <w:lang w:val="sr-Latn-ME"/>
        </w:rPr>
        <w:t>primjen</w:t>
      </w:r>
      <w:r w:rsidRPr="00F234A2">
        <w:rPr>
          <w:bCs/>
          <w:sz w:val="22"/>
          <w:szCs w:val="22"/>
          <w:lang w:val="sr-Latn-ME"/>
        </w:rPr>
        <w:t xml:space="preserve">a asciminiba sa supstratom CYP3A4 (midazolam) povećala je </w:t>
      </w:r>
      <w:r w:rsidR="00472E1C" w:rsidRPr="00F234A2">
        <w:rPr>
          <w:bCs/>
          <w:sz w:val="22"/>
          <w:szCs w:val="22"/>
          <w:lang w:val="sr-Latn-ME"/>
        </w:rPr>
        <w:t>vrijedno</w:t>
      </w:r>
      <w:r w:rsidRPr="00F234A2">
        <w:rPr>
          <w:bCs/>
          <w:sz w:val="22"/>
          <w:szCs w:val="22"/>
          <w:lang w:val="sr-Latn-ME"/>
        </w:rPr>
        <w:t>st PIK</w:t>
      </w:r>
      <w:r w:rsidRPr="00F234A2">
        <w:rPr>
          <w:bCs/>
          <w:sz w:val="22"/>
          <w:szCs w:val="22"/>
          <w:vertAlign w:val="subscript"/>
          <w:lang w:val="sr-Latn-ME"/>
        </w:rPr>
        <w:t>inf</w:t>
      </w:r>
      <w:r w:rsidRPr="00F234A2">
        <w:rPr>
          <w:bCs/>
          <w:sz w:val="22"/>
          <w:szCs w:val="22"/>
          <w:lang w:val="sr-Latn-ME"/>
        </w:rPr>
        <w:t xml:space="preserve"> midazolama za 28% i C</w:t>
      </w:r>
      <w:r w:rsidRPr="00F234A2">
        <w:rPr>
          <w:bCs/>
          <w:sz w:val="22"/>
          <w:szCs w:val="22"/>
          <w:vertAlign w:val="subscript"/>
          <w:lang w:val="sr-Latn-ME"/>
        </w:rPr>
        <w:t>max</w:t>
      </w:r>
      <w:r w:rsidRPr="00F234A2">
        <w:rPr>
          <w:bCs/>
          <w:sz w:val="22"/>
          <w:szCs w:val="22"/>
          <w:lang w:val="sr-Latn-ME"/>
        </w:rPr>
        <w:t xml:space="preserve"> za 11% kod zdravih ispitanika koji su primali asciminib 40 mg dva puta na dan.</w:t>
      </w:r>
    </w:p>
    <w:p w14:paraId="34BC6C99" w14:textId="77777777" w:rsidR="00A60A13" w:rsidRPr="00F234A2" w:rsidRDefault="00A60A13" w:rsidP="0095542C">
      <w:pPr>
        <w:tabs>
          <w:tab w:val="left" w:pos="540"/>
          <w:tab w:val="left" w:pos="569"/>
        </w:tabs>
        <w:jc w:val="both"/>
        <w:rPr>
          <w:bCs/>
          <w:sz w:val="22"/>
          <w:szCs w:val="22"/>
          <w:lang w:val="sr-Latn-ME"/>
        </w:rPr>
      </w:pPr>
    </w:p>
    <w:p w14:paraId="3B9EF7CF" w14:textId="772536AF" w:rsidR="00A60A13" w:rsidRPr="00F234A2" w:rsidRDefault="00A60A13" w:rsidP="0095542C">
      <w:pPr>
        <w:tabs>
          <w:tab w:val="left" w:pos="540"/>
          <w:tab w:val="left" w:pos="569"/>
        </w:tabs>
        <w:jc w:val="both"/>
        <w:rPr>
          <w:bCs/>
          <w:sz w:val="22"/>
          <w:szCs w:val="22"/>
          <w:lang w:val="sr-Latn-ME"/>
        </w:rPr>
      </w:pPr>
      <w:r w:rsidRPr="00F234A2">
        <w:rPr>
          <w:bCs/>
          <w:sz w:val="22"/>
          <w:szCs w:val="22"/>
          <w:lang w:val="sr-Latn-ME"/>
        </w:rPr>
        <w:t xml:space="preserve">Potreban je oprez tokom istovremene </w:t>
      </w:r>
      <w:r w:rsidR="0094593A" w:rsidRPr="00F234A2">
        <w:rPr>
          <w:bCs/>
          <w:sz w:val="22"/>
          <w:szCs w:val="22"/>
          <w:lang w:val="sr-Latn-ME"/>
        </w:rPr>
        <w:t>primjen</w:t>
      </w:r>
      <w:r w:rsidRPr="00F234A2">
        <w:rPr>
          <w:bCs/>
          <w:sz w:val="22"/>
          <w:szCs w:val="22"/>
          <w:lang w:val="sr-Latn-ME"/>
        </w:rPr>
        <w:t>e asciminiba sa supstratima CYP3A4 za koje je poznato da imaju uski terapijski indeks, uključujući, između ostalih, supstrate CYP3A4 fentanil, alfentanil, dihidroergotamin ili ergotamin (</w:t>
      </w:r>
      <w:r w:rsidR="0094593A" w:rsidRPr="00F234A2">
        <w:rPr>
          <w:bCs/>
          <w:sz w:val="22"/>
          <w:szCs w:val="22"/>
          <w:lang w:val="sr-Latn-ME"/>
        </w:rPr>
        <w:t>vidjet</w:t>
      </w:r>
      <w:r w:rsidRPr="00F234A2">
        <w:rPr>
          <w:bCs/>
          <w:sz w:val="22"/>
          <w:szCs w:val="22"/>
          <w:lang w:val="sr-Latn-ME"/>
        </w:rPr>
        <w:t xml:space="preserve">i </w:t>
      </w:r>
      <w:r w:rsidR="009930F3" w:rsidRPr="00F234A2">
        <w:rPr>
          <w:bCs/>
          <w:sz w:val="22"/>
          <w:szCs w:val="22"/>
          <w:lang w:val="sr-Latn-ME"/>
        </w:rPr>
        <w:t>dio</w:t>
      </w:r>
      <w:r w:rsidRPr="00F234A2">
        <w:rPr>
          <w:bCs/>
          <w:sz w:val="22"/>
          <w:szCs w:val="22"/>
          <w:lang w:val="sr-Latn-ME"/>
        </w:rPr>
        <w:t xml:space="preserve"> 5.2). Nije potrebno prilagođavanje doze asciminiba.</w:t>
      </w:r>
    </w:p>
    <w:p w14:paraId="5C958BF3" w14:textId="77777777" w:rsidR="00A60A13" w:rsidRPr="00F234A2" w:rsidRDefault="00A60A13" w:rsidP="0095542C">
      <w:pPr>
        <w:tabs>
          <w:tab w:val="left" w:pos="540"/>
          <w:tab w:val="left" w:pos="569"/>
        </w:tabs>
        <w:jc w:val="both"/>
        <w:rPr>
          <w:bCs/>
          <w:sz w:val="22"/>
          <w:szCs w:val="22"/>
          <w:lang w:val="sr-Latn-ME"/>
        </w:rPr>
      </w:pPr>
    </w:p>
    <w:p w14:paraId="7026DB9E" w14:textId="77777777" w:rsidR="00A60A13" w:rsidRPr="00F234A2" w:rsidRDefault="00A60A13" w:rsidP="0095542C">
      <w:pPr>
        <w:tabs>
          <w:tab w:val="left" w:pos="540"/>
          <w:tab w:val="left" w:pos="569"/>
        </w:tabs>
        <w:jc w:val="both"/>
        <w:rPr>
          <w:bCs/>
          <w:i/>
          <w:iCs/>
          <w:sz w:val="22"/>
          <w:szCs w:val="22"/>
          <w:u w:val="single"/>
          <w:lang w:val="sr-Latn-ME"/>
        </w:rPr>
      </w:pPr>
      <w:r w:rsidRPr="00F234A2">
        <w:rPr>
          <w:bCs/>
          <w:i/>
          <w:iCs/>
          <w:sz w:val="22"/>
          <w:szCs w:val="22"/>
          <w:u w:val="single"/>
          <w:lang w:val="sr-Latn-ME"/>
        </w:rPr>
        <w:t>Supstrati CYP2C9</w:t>
      </w:r>
    </w:p>
    <w:p w14:paraId="1DC41D48" w14:textId="2D41659E" w:rsidR="00A60A13" w:rsidRPr="00F234A2" w:rsidRDefault="00A60A13" w:rsidP="0095542C">
      <w:pPr>
        <w:tabs>
          <w:tab w:val="left" w:pos="540"/>
          <w:tab w:val="left" w:pos="569"/>
        </w:tabs>
        <w:jc w:val="both"/>
        <w:rPr>
          <w:bCs/>
          <w:sz w:val="22"/>
          <w:szCs w:val="22"/>
          <w:lang w:val="sr-Latn-ME"/>
        </w:rPr>
      </w:pPr>
      <w:r w:rsidRPr="00F234A2">
        <w:rPr>
          <w:bCs/>
          <w:sz w:val="22"/>
          <w:szCs w:val="22"/>
          <w:lang w:val="sr-Latn-ME"/>
        </w:rPr>
        <w:t xml:space="preserve">Istovremena </w:t>
      </w:r>
      <w:r w:rsidR="0094593A" w:rsidRPr="00F234A2">
        <w:rPr>
          <w:bCs/>
          <w:sz w:val="22"/>
          <w:szCs w:val="22"/>
          <w:lang w:val="sr-Latn-ME"/>
        </w:rPr>
        <w:t>primjen</w:t>
      </w:r>
      <w:r w:rsidRPr="00F234A2">
        <w:rPr>
          <w:bCs/>
          <w:sz w:val="22"/>
          <w:szCs w:val="22"/>
          <w:lang w:val="sr-Latn-ME"/>
        </w:rPr>
        <w:t xml:space="preserve">a asciminiba sa supstratom CYP2C9 (varfarin) povećala je </w:t>
      </w:r>
      <w:r w:rsidR="00472E1C" w:rsidRPr="00F234A2">
        <w:rPr>
          <w:bCs/>
          <w:sz w:val="22"/>
          <w:szCs w:val="22"/>
          <w:lang w:val="sr-Latn-ME"/>
        </w:rPr>
        <w:t>vrijedno</w:t>
      </w:r>
      <w:r w:rsidRPr="00F234A2">
        <w:rPr>
          <w:bCs/>
          <w:sz w:val="22"/>
          <w:szCs w:val="22"/>
          <w:lang w:val="sr-Latn-ME"/>
        </w:rPr>
        <w:t>st PIK</w:t>
      </w:r>
      <w:r w:rsidRPr="00F234A2">
        <w:rPr>
          <w:bCs/>
          <w:sz w:val="22"/>
          <w:szCs w:val="22"/>
          <w:vertAlign w:val="subscript"/>
          <w:lang w:val="sr-Latn-ME"/>
        </w:rPr>
        <w:t>inf</w:t>
      </w:r>
      <w:r w:rsidRPr="00F234A2">
        <w:rPr>
          <w:bCs/>
          <w:sz w:val="22"/>
          <w:szCs w:val="22"/>
          <w:lang w:val="sr-Latn-ME"/>
        </w:rPr>
        <w:t xml:space="preserve"> S varfarina za 41% i C</w:t>
      </w:r>
      <w:r w:rsidRPr="00F234A2">
        <w:rPr>
          <w:bCs/>
          <w:sz w:val="22"/>
          <w:szCs w:val="22"/>
          <w:vertAlign w:val="subscript"/>
          <w:lang w:val="sr-Latn-ME"/>
        </w:rPr>
        <w:t>max</w:t>
      </w:r>
      <w:r w:rsidRPr="00F234A2">
        <w:rPr>
          <w:bCs/>
          <w:sz w:val="22"/>
          <w:szCs w:val="22"/>
          <w:lang w:val="sr-Latn-ME"/>
        </w:rPr>
        <w:t xml:space="preserve"> za 8% kod zdravih ispitanika koji su primali asciminib 40 mg dva puta na dan.</w:t>
      </w:r>
    </w:p>
    <w:p w14:paraId="07A427C1" w14:textId="77777777" w:rsidR="00A60A13" w:rsidRPr="00F234A2" w:rsidRDefault="00A60A13" w:rsidP="0095542C">
      <w:pPr>
        <w:tabs>
          <w:tab w:val="left" w:pos="540"/>
          <w:tab w:val="left" w:pos="569"/>
        </w:tabs>
        <w:jc w:val="both"/>
        <w:rPr>
          <w:bCs/>
          <w:sz w:val="22"/>
          <w:szCs w:val="22"/>
          <w:lang w:val="sr-Latn-ME"/>
        </w:rPr>
      </w:pPr>
    </w:p>
    <w:p w14:paraId="2EC5D259" w14:textId="357F1F19" w:rsidR="00A60A13" w:rsidRDefault="00A60A13" w:rsidP="0095542C">
      <w:pPr>
        <w:tabs>
          <w:tab w:val="left" w:pos="540"/>
          <w:tab w:val="left" w:pos="569"/>
        </w:tabs>
        <w:jc w:val="both"/>
        <w:rPr>
          <w:bCs/>
          <w:sz w:val="22"/>
          <w:szCs w:val="22"/>
          <w:lang w:val="sr-Latn-ME"/>
        </w:rPr>
      </w:pPr>
      <w:r w:rsidRPr="00F234A2">
        <w:rPr>
          <w:bCs/>
          <w:sz w:val="22"/>
          <w:szCs w:val="22"/>
          <w:lang w:val="sr-Latn-ME"/>
        </w:rPr>
        <w:t xml:space="preserve">Potreban je oprez tokom istovremene </w:t>
      </w:r>
      <w:r w:rsidR="0094593A" w:rsidRPr="00F234A2">
        <w:rPr>
          <w:bCs/>
          <w:sz w:val="22"/>
          <w:szCs w:val="22"/>
          <w:lang w:val="sr-Latn-ME"/>
        </w:rPr>
        <w:t>primjen</w:t>
      </w:r>
      <w:r w:rsidRPr="00F234A2">
        <w:rPr>
          <w:bCs/>
          <w:sz w:val="22"/>
          <w:szCs w:val="22"/>
          <w:lang w:val="sr-Latn-ME"/>
        </w:rPr>
        <w:t>e asciminiba sa supstratima CYP2C9 za koje je poznato da imaju uski terapijski indeks, uključujući, između ostalih, fenitoin ili varfarin (</w:t>
      </w:r>
      <w:r w:rsidR="0094593A" w:rsidRPr="00F234A2">
        <w:rPr>
          <w:bCs/>
          <w:sz w:val="22"/>
          <w:szCs w:val="22"/>
          <w:lang w:val="sr-Latn-ME"/>
        </w:rPr>
        <w:t>vidjet</w:t>
      </w:r>
      <w:r w:rsidRPr="00F234A2">
        <w:rPr>
          <w:bCs/>
          <w:sz w:val="22"/>
          <w:szCs w:val="22"/>
          <w:lang w:val="sr-Latn-ME"/>
        </w:rPr>
        <w:t>i d</w:t>
      </w:r>
      <w:r w:rsidR="00472E1C" w:rsidRPr="00F234A2">
        <w:rPr>
          <w:bCs/>
          <w:sz w:val="22"/>
          <w:szCs w:val="22"/>
          <w:lang w:val="sr-Latn-ME"/>
        </w:rPr>
        <w:t>i</w:t>
      </w:r>
      <w:r w:rsidRPr="00F234A2">
        <w:rPr>
          <w:bCs/>
          <w:sz w:val="22"/>
          <w:szCs w:val="22"/>
          <w:lang w:val="sr-Latn-ME"/>
        </w:rPr>
        <w:t>o 5.2). Nije potrebno prilagođavanje doze asciminiba.</w:t>
      </w:r>
    </w:p>
    <w:p w14:paraId="776DF44D" w14:textId="77777777" w:rsidR="00C52EE0" w:rsidRDefault="00C52EE0" w:rsidP="0095542C">
      <w:pPr>
        <w:tabs>
          <w:tab w:val="left" w:pos="540"/>
          <w:tab w:val="left" w:pos="569"/>
        </w:tabs>
        <w:jc w:val="both"/>
        <w:rPr>
          <w:bCs/>
          <w:sz w:val="22"/>
          <w:szCs w:val="22"/>
          <w:lang w:val="sr-Latn-ME"/>
        </w:rPr>
      </w:pPr>
    </w:p>
    <w:p w14:paraId="3DF10755" w14:textId="0D3D7EBC" w:rsidR="00C52EE0" w:rsidRPr="00C52EE0" w:rsidRDefault="00C52EE0" w:rsidP="0061372B">
      <w:pPr>
        <w:keepNext/>
        <w:widowControl w:val="0"/>
        <w:jc w:val="both"/>
        <w:rPr>
          <w:rFonts w:eastAsia="MS Gothic"/>
          <w:i/>
          <w:sz w:val="22"/>
          <w:szCs w:val="22"/>
          <w:u w:val="single"/>
          <w:lang w:val="hr-HR" w:eastAsia="zh-CN"/>
        </w:rPr>
      </w:pPr>
      <w:r w:rsidRPr="00C52EE0">
        <w:rPr>
          <w:rFonts w:eastAsia="MS Gothic"/>
          <w:i/>
          <w:sz w:val="22"/>
          <w:szCs w:val="22"/>
          <w:u w:val="single"/>
          <w:lang w:val="hr-HR" w:eastAsia="zh-CN"/>
        </w:rPr>
        <w:t>Supstrati OATP1B</w:t>
      </w:r>
      <w:r w:rsidR="009F1D15">
        <w:rPr>
          <w:rFonts w:eastAsia="MS Gothic"/>
          <w:i/>
          <w:sz w:val="22"/>
          <w:szCs w:val="22"/>
          <w:u w:val="single"/>
          <w:lang w:val="hr-HR" w:eastAsia="zh-CN"/>
        </w:rPr>
        <w:t xml:space="preserve"> ili</w:t>
      </w:r>
      <w:r w:rsidRPr="00C52EE0">
        <w:rPr>
          <w:rFonts w:eastAsia="MS Gothic"/>
          <w:i/>
          <w:sz w:val="22"/>
          <w:szCs w:val="22"/>
          <w:u w:val="single"/>
          <w:lang w:val="hr-HR" w:eastAsia="zh-CN"/>
        </w:rPr>
        <w:t xml:space="preserve"> BCRP</w:t>
      </w:r>
    </w:p>
    <w:p w14:paraId="1403DC57" w14:textId="45C22D3C" w:rsidR="00C52EE0" w:rsidRDefault="00C52EE0" w:rsidP="0061372B">
      <w:pPr>
        <w:jc w:val="both"/>
        <w:rPr>
          <w:rFonts w:eastAsia="MS Gothic"/>
          <w:iCs/>
          <w:sz w:val="22"/>
          <w:szCs w:val="22"/>
          <w:lang w:val="hr-HR" w:eastAsia="zh-CN"/>
        </w:rPr>
      </w:pPr>
      <w:r w:rsidRPr="00C52EE0">
        <w:rPr>
          <w:rFonts w:eastAsia="MS Gothic"/>
          <w:iCs/>
          <w:sz w:val="22"/>
          <w:szCs w:val="22"/>
          <w:lang w:val="hr-HR" w:eastAsia="zh-CN"/>
        </w:rPr>
        <w:t xml:space="preserve">Na osnovu </w:t>
      </w:r>
      <w:r w:rsidR="00CD690A" w:rsidRPr="00CD690A">
        <w:rPr>
          <w:rFonts w:eastAsia="MS Gothic"/>
          <w:iCs/>
          <w:sz w:val="22"/>
          <w:szCs w:val="22"/>
          <w:lang w:val="hr-HR" w:eastAsia="zh-CN"/>
        </w:rPr>
        <w:t xml:space="preserve">fiziološki zasnovanog farmakokinetičkog (engl. </w:t>
      </w:r>
      <w:r w:rsidR="00CD690A" w:rsidRPr="00DD77A4">
        <w:rPr>
          <w:rFonts w:eastAsia="MS Gothic"/>
          <w:i/>
          <w:sz w:val="22"/>
          <w:szCs w:val="22"/>
          <w:lang w:val="hr-HR" w:eastAsia="zh-CN"/>
        </w:rPr>
        <w:t>physiologically-based pharmacokinetic</w:t>
      </w:r>
      <w:r w:rsidR="00C12E11">
        <w:rPr>
          <w:rFonts w:eastAsia="MS Gothic"/>
          <w:sz w:val="22"/>
          <w:szCs w:val="22"/>
          <w:lang w:val="hr-HR" w:eastAsia="zh-CN"/>
        </w:rPr>
        <w:t>,</w:t>
      </w:r>
      <w:r w:rsidR="00CD690A" w:rsidRPr="00CD690A">
        <w:rPr>
          <w:rFonts w:eastAsia="MS Gothic"/>
          <w:iCs/>
          <w:sz w:val="22"/>
          <w:szCs w:val="22"/>
          <w:lang w:val="hr-HR" w:eastAsia="zh-CN"/>
        </w:rPr>
        <w:t xml:space="preserve"> </w:t>
      </w:r>
      <w:r w:rsidRPr="00C52EE0">
        <w:rPr>
          <w:rFonts w:eastAsia="MS Gothic"/>
          <w:iCs/>
          <w:sz w:val="22"/>
          <w:szCs w:val="22"/>
          <w:lang w:val="hr-HR" w:eastAsia="zh-CN"/>
        </w:rPr>
        <w:t>PBPK</w:t>
      </w:r>
      <w:r w:rsidR="00CD690A">
        <w:rPr>
          <w:rFonts w:eastAsia="MS Gothic"/>
          <w:iCs/>
          <w:sz w:val="22"/>
          <w:szCs w:val="22"/>
          <w:lang w:val="hr-HR" w:eastAsia="zh-CN"/>
        </w:rPr>
        <w:t>)</w:t>
      </w:r>
      <w:r w:rsidRPr="00C52EE0">
        <w:rPr>
          <w:rFonts w:eastAsia="MS Gothic"/>
          <w:iCs/>
          <w:sz w:val="22"/>
          <w:szCs w:val="22"/>
          <w:lang w:val="hr-HR" w:eastAsia="zh-CN"/>
        </w:rPr>
        <w:t xml:space="preserve"> model</w:t>
      </w:r>
      <w:r w:rsidR="009A70BE">
        <w:rPr>
          <w:rFonts w:eastAsia="MS Gothic"/>
          <w:iCs/>
          <w:sz w:val="22"/>
          <w:szCs w:val="22"/>
          <w:lang w:val="hr-HR" w:eastAsia="zh-CN"/>
        </w:rPr>
        <w:t>ovanja</w:t>
      </w:r>
      <w:r w:rsidRPr="00C52EE0">
        <w:rPr>
          <w:rFonts w:eastAsia="MS Gothic"/>
          <w:iCs/>
          <w:sz w:val="22"/>
          <w:szCs w:val="22"/>
          <w:lang w:val="hr-HR" w:eastAsia="zh-CN"/>
        </w:rPr>
        <w:t>, potreban je oprez u toku istovremene prim</w:t>
      </w:r>
      <w:r w:rsidR="00F04FA6">
        <w:rPr>
          <w:rFonts w:eastAsia="MS Gothic"/>
          <w:iCs/>
          <w:sz w:val="22"/>
          <w:szCs w:val="22"/>
          <w:lang w:val="hr-HR" w:eastAsia="zh-CN"/>
        </w:rPr>
        <w:t>j</w:t>
      </w:r>
      <w:r w:rsidRPr="00C52EE0">
        <w:rPr>
          <w:rFonts w:eastAsia="MS Gothic"/>
          <w:iCs/>
          <w:sz w:val="22"/>
          <w:szCs w:val="22"/>
          <w:lang w:val="hr-HR" w:eastAsia="zh-CN"/>
        </w:rPr>
        <w:t xml:space="preserve">ene asciminiba sa supstratima </w:t>
      </w:r>
      <w:r w:rsidR="009F1D15" w:rsidRPr="009F1D15">
        <w:rPr>
          <w:iCs/>
          <w:sz w:val="22"/>
          <w:szCs w:val="22"/>
          <w:lang w:val="hr-HR"/>
        </w:rPr>
        <w:t xml:space="preserve">proteina rezistencije raka dojke (engl. </w:t>
      </w:r>
      <w:r w:rsidR="009F1D15" w:rsidRPr="009F1D15">
        <w:rPr>
          <w:i/>
          <w:iCs/>
          <w:sz w:val="22"/>
          <w:szCs w:val="22"/>
          <w:lang w:val="hr-HR"/>
        </w:rPr>
        <w:t>breast cancer</w:t>
      </w:r>
      <w:r w:rsidR="009F1D15" w:rsidRPr="009F1D15">
        <w:rPr>
          <w:i/>
          <w:iCs/>
          <w:sz w:val="22"/>
          <w:szCs w:val="22"/>
          <w:lang w:val="hr-HR"/>
        </w:rPr>
        <w:noBreakHyphen/>
        <w:t>resistance protein</w:t>
      </w:r>
      <w:r w:rsidR="009F1D15" w:rsidRPr="009F1D15">
        <w:rPr>
          <w:iCs/>
          <w:sz w:val="22"/>
          <w:szCs w:val="22"/>
          <w:lang w:val="hr-HR"/>
        </w:rPr>
        <w:t xml:space="preserve">, </w:t>
      </w:r>
      <w:r w:rsidRPr="00C52EE0">
        <w:rPr>
          <w:rFonts w:eastAsia="MS Gothic"/>
          <w:iCs/>
          <w:sz w:val="22"/>
          <w:szCs w:val="22"/>
          <w:lang w:val="hr-HR" w:eastAsia="zh-CN"/>
        </w:rPr>
        <w:t>BCRP</w:t>
      </w:r>
      <w:r w:rsidR="00C12E11">
        <w:rPr>
          <w:rFonts w:eastAsia="MS Gothic"/>
          <w:iCs/>
          <w:sz w:val="22"/>
          <w:szCs w:val="22"/>
          <w:lang w:val="hr-HR" w:eastAsia="zh-CN"/>
        </w:rPr>
        <w:t>)</w:t>
      </w:r>
      <w:r w:rsidRPr="00C52EE0">
        <w:rPr>
          <w:rFonts w:eastAsia="MS Gothic"/>
          <w:iCs/>
          <w:sz w:val="22"/>
          <w:szCs w:val="22"/>
          <w:lang w:val="hr-HR" w:eastAsia="zh-CN"/>
        </w:rPr>
        <w:t xml:space="preserve">, uključujući, </w:t>
      </w:r>
      <w:r w:rsidRPr="00C52EE0">
        <w:rPr>
          <w:rFonts w:eastAsia="MS Mincho"/>
          <w:sz w:val="22"/>
          <w:szCs w:val="22"/>
          <w:lang w:val="hr-HR" w:eastAsia="zh-CN"/>
        </w:rPr>
        <w:t>između ostalih,</w:t>
      </w:r>
      <w:r w:rsidRPr="00C52EE0">
        <w:rPr>
          <w:rFonts w:eastAsia="MS Gothic"/>
          <w:iCs/>
          <w:sz w:val="22"/>
          <w:szCs w:val="22"/>
          <w:lang w:val="hr-HR" w:eastAsia="zh-CN"/>
        </w:rPr>
        <w:t xml:space="preserve"> sulfasalazin, metotreksat, rosuvastatin. Ni</w:t>
      </w:r>
      <w:r w:rsidR="009F1D15">
        <w:rPr>
          <w:rFonts w:eastAsia="MS Gothic"/>
          <w:iCs/>
          <w:sz w:val="22"/>
          <w:szCs w:val="22"/>
          <w:lang w:val="hr-HR" w:eastAsia="zh-CN"/>
        </w:rPr>
        <w:t>je</w:t>
      </w:r>
      <w:r w:rsidRPr="00C52EE0">
        <w:rPr>
          <w:rFonts w:eastAsia="MS Gothic"/>
          <w:iCs/>
          <w:sz w:val="22"/>
          <w:szCs w:val="22"/>
          <w:lang w:val="hr-HR" w:eastAsia="zh-CN"/>
        </w:rPr>
        <w:t xml:space="preserve"> sproveden</w:t>
      </w:r>
      <w:r w:rsidR="009F1D15">
        <w:rPr>
          <w:rFonts w:eastAsia="MS Gothic"/>
          <w:iCs/>
          <w:sz w:val="22"/>
          <w:szCs w:val="22"/>
          <w:lang w:val="hr-HR" w:eastAsia="zh-CN"/>
        </w:rPr>
        <w:t>o</w:t>
      </w:r>
      <w:r w:rsidRPr="00C52EE0">
        <w:rPr>
          <w:rFonts w:eastAsia="MS Gothic"/>
          <w:iCs/>
          <w:sz w:val="22"/>
          <w:szCs w:val="22"/>
          <w:lang w:val="hr-HR" w:eastAsia="zh-CN"/>
        </w:rPr>
        <w:t xml:space="preserve"> kliničk</w:t>
      </w:r>
      <w:r w:rsidR="009F1D15">
        <w:rPr>
          <w:rFonts w:eastAsia="MS Gothic"/>
          <w:iCs/>
          <w:sz w:val="22"/>
          <w:szCs w:val="22"/>
          <w:lang w:val="hr-HR" w:eastAsia="zh-CN"/>
        </w:rPr>
        <w:t>o</w:t>
      </w:r>
      <w:r w:rsidRPr="00C52EE0">
        <w:rPr>
          <w:rFonts w:eastAsia="MS Gothic"/>
          <w:iCs/>
          <w:sz w:val="22"/>
          <w:szCs w:val="22"/>
          <w:lang w:val="hr-HR" w:eastAsia="zh-CN"/>
        </w:rPr>
        <w:t xml:space="preserve"> ispitivanj</w:t>
      </w:r>
      <w:r w:rsidR="009F1D15">
        <w:rPr>
          <w:rFonts w:eastAsia="MS Gothic"/>
          <w:iCs/>
          <w:sz w:val="22"/>
          <w:szCs w:val="22"/>
          <w:lang w:val="hr-HR" w:eastAsia="zh-CN"/>
        </w:rPr>
        <w:t>e</w:t>
      </w:r>
      <w:r w:rsidRPr="00C52EE0">
        <w:rPr>
          <w:rFonts w:eastAsia="MS Gothic"/>
          <w:iCs/>
          <w:sz w:val="22"/>
          <w:szCs w:val="22"/>
          <w:lang w:val="hr-HR" w:eastAsia="zh-CN"/>
        </w:rPr>
        <w:t xml:space="preserve"> interakcije l</w:t>
      </w:r>
      <w:r w:rsidR="00F04FA6">
        <w:rPr>
          <w:rFonts w:eastAsia="MS Gothic"/>
          <w:iCs/>
          <w:sz w:val="22"/>
          <w:szCs w:val="22"/>
          <w:lang w:val="hr-HR" w:eastAsia="zh-CN"/>
        </w:rPr>
        <w:t>j</w:t>
      </w:r>
      <w:r w:rsidRPr="00C52EE0">
        <w:rPr>
          <w:rFonts w:eastAsia="MS Gothic"/>
          <w:iCs/>
          <w:sz w:val="22"/>
          <w:szCs w:val="22"/>
          <w:lang w:val="hr-HR" w:eastAsia="zh-CN"/>
        </w:rPr>
        <w:t>ekova</w:t>
      </w:r>
      <w:r w:rsidR="009F1D15" w:rsidRPr="009F1D15">
        <w:rPr>
          <w:rFonts w:eastAsia="MS Gothic"/>
          <w:iCs/>
          <w:sz w:val="22"/>
          <w:szCs w:val="22"/>
          <w:lang w:val="hr-HR"/>
        </w:rPr>
        <w:t xml:space="preserve"> sa BCRP</w:t>
      </w:r>
      <w:r w:rsidRPr="00C52EE0">
        <w:rPr>
          <w:rFonts w:eastAsia="MS Gothic"/>
          <w:iCs/>
          <w:sz w:val="22"/>
          <w:szCs w:val="22"/>
          <w:lang w:val="hr-HR" w:eastAsia="zh-CN"/>
        </w:rPr>
        <w:t>.</w:t>
      </w:r>
    </w:p>
    <w:p w14:paraId="71FD0441" w14:textId="77777777" w:rsidR="00CD690A" w:rsidRDefault="00CD690A" w:rsidP="0061372B">
      <w:pPr>
        <w:jc w:val="both"/>
        <w:rPr>
          <w:rFonts w:eastAsia="MS Gothic"/>
          <w:iCs/>
          <w:sz w:val="22"/>
          <w:szCs w:val="22"/>
          <w:lang w:val="hr-HR" w:eastAsia="zh-CN"/>
        </w:rPr>
      </w:pPr>
    </w:p>
    <w:p w14:paraId="4D3F15B6" w14:textId="5165ADC2" w:rsidR="009F1D15" w:rsidRPr="009F1D15" w:rsidRDefault="009F1D15" w:rsidP="009F1D15">
      <w:pPr>
        <w:rPr>
          <w:rFonts w:eastAsia="MS Gothic"/>
          <w:iCs/>
          <w:sz w:val="22"/>
          <w:szCs w:val="22"/>
          <w:lang w:val="hr-HR" w:eastAsia="zh-CN"/>
        </w:rPr>
      </w:pPr>
      <w:r w:rsidRPr="009F1D15">
        <w:rPr>
          <w:rFonts w:eastAsia="MS Mincho"/>
          <w:color w:val="000000"/>
          <w:sz w:val="22"/>
          <w:szCs w:val="22"/>
          <w:lang w:val="hr-HR" w:eastAsia="zh-CN"/>
        </w:rPr>
        <w:t>Istovremena prim</w:t>
      </w:r>
      <w:r w:rsidR="00E614CD">
        <w:rPr>
          <w:rFonts w:eastAsia="MS Mincho"/>
          <w:color w:val="000000"/>
          <w:sz w:val="22"/>
          <w:szCs w:val="22"/>
          <w:lang w:val="hr-HR" w:eastAsia="zh-CN"/>
        </w:rPr>
        <w:t>j</w:t>
      </w:r>
      <w:r w:rsidRPr="009F1D15">
        <w:rPr>
          <w:rFonts w:eastAsia="MS Mincho"/>
          <w:color w:val="000000"/>
          <w:sz w:val="22"/>
          <w:szCs w:val="22"/>
          <w:lang w:val="hr-HR" w:eastAsia="zh-CN"/>
        </w:rPr>
        <w:t>ena asciminiba u dozi od 80 mg jednom dnevno sa supstratom OATP1B, CYP3A4 i P</w:t>
      </w:r>
      <w:r w:rsidRPr="009F1D15">
        <w:rPr>
          <w:rFonts w:eastAsia="MS Gothic"/>
          <w:iCs/>
          <w:sz w:val="22"/>
          <w:szCs w:val="22"/>
          <w:lang w:val="hr-HR" w:eastAsia="zh-CN"/>
        </w:rPr>
        <w:noBreakHyphen/>
      </w:r>
      <w:r w:rsidRPr="009F1D15">
        <w:rPr>
          <w:rFonts w:eastAsia="MS Mincho"/>
          <w:color w:val="000000"/>
          <w:sz w:val="22"/>
          <w:szCs w:val="22"/>
          <w:lang w:val="hr-HR" w:eastAsia="zh-CN"/>
        </w:rPr>
        <w:t>gp</w:t>
      </w:r>
      <w:r w:rsidRPr="009F1D15">
        <w:rPr>
          <w:rFonts w:eastAsia="MS Gothic"/>
          <w:iCs/>
          <w:sz w:val="22"/>
          <w:szCs w:val="22"/>
          <w:lang w:val="hr-HR" w:eastAsia="zh-CN"/>
        </w:rPr>
        <w:t xml:space="preserve"> </w:t>
      </w:r>
      <w:r w:rsidRPr="009F1D15">
        <w:rPr>
          <w:rFonts w:eastAsia="MS Mincho"/>
          <w:color w:val="000000"/>
          <w:sz w:val="22"/>
          <w:szCs w:val="22"/>
          <w:lang w:val="hr-HR" w:eastAsia="zh-CN"/>
        </w:rPr>
        <w:t xml:space="preserve">(atorvastatinom) kod zdravih ispitanika </w:t>
      </w:r>
      <w:r w:rsidR="002C6F73" w:rsidRPr="009F1D15">
        <w:rPr>
          <w:rFonts w:eastAsia="MS Mincho"/>
          <w:color w:val="000000"/>
          <w:sz w:val="22"/>
          <w:szCs w:val="22"/>
          <w:lang w:val="hr-HR" w:eastAsia="zh-CN"/>
        </w:rPr>
        <w:t xml:space="preserve">je </w:t>
      </w:r>
      <w:r w:rsidRPr="009F1D15">
        <w:rPr>
          <w:rFonts w:eastAsia="MS Mincho"/>
          <w:color w:val="000000"/>
          <w:sz w:val="22"/>
          <w:szCs w:val="22"/>
          <w:lang w:val="hr-HR" w:eastAsia="zh-CN"/>
        </w:rPr>
        <w:t>povećala vr</w:t>
      </w:r>
      <w:r w:rsidR="00E614CD">
        <w:rPr>
          <w:rFonts w:eastAsia="MS Mincho"/>
          <w:color w:val="000000"/>
          <w:sz w:val="22"/>
          <w:szCs w:val="22"/>
          <w:lang w:val="hr-HR" w:eastAsia="zh-CN"/>
        </w:rPr>
        <w:t>ij</w:t>
      </w:r>
      <w:r w:rsidRPr="009F1D15">
        <w:rPr>
          <w:rFonts w:eastAsia="MS Mincho"/>
          <w:color w:val="000000"/>
          <w:sz w:val="22"/>
          <w:szCs w:val="22"/>
          <w:lang w:val="hr-HR" w:eastAsia="zh-CN"/>
        </w:rPr>
        <w:t>ednost PIK</w:t>
      </w:r>
      <w:r w:rsidRPr="009F1D15">
        <w:rPr>
          <w:rFonts w:eastAsia="MS Mincho"/>
          <w:color w:val="000000"/>
          <w:sz w:val="22"/>
          <w:szCs w:val="22"/>
          <w:vertAlign w:val="subscript"/>
          <w:lang w:val="hr-HR" w:eastAsia="zh-CN"/>
        </w:rPr>
        <w:t>inf</w:t>
      </w:r>
      <w:r w:rsidRPr="009F1D15">
        <w:rPr>
          <w:rFonts w:eastAsia="MS Mincho"/>
          <w:color w:val="000000"/>
          <w:sz w:val="22"/>
          <w:szCs w:val="22"/>
          <w:lang w:val="hr-HR" w:eastAsia="zh-CN"/>
        </w:rPr>
        <w:t xml:space="preserve"> atorvastatina za 14 % i C</w:t>
      </w:r>
      <w:r w:rsidRPr="009F1D15">
        <w:rPr>
          <w:rFonts w:eastAsia="MS Mincho"/>
          <w:color w:val="000000"/>
          <w:sz w:val="22"/>
          <w:szCs w:val="22"/>
          <w:vertAlign w:val="subscript"/>
          <w:lang w:val="hr-HR" w:eastAsia="zh-CN"/>
        </w:rPr>
        <w:t>max</w:t>
      </w:r>
      <w:r w:rsidRPr="009F1D15">
        <w:rPr>
          <w:rFonts w:eastAsia="MS Mincho"/>
          <w:color w:val="000000"/>
          <w:sz w:val="22"/>
          <w:szCs w:val="22"/>
          <w:lang w:val="hr-HR" w:eastAsia="zh-CN"/>
        </w:rPr>
        <w:t xml:space="preserve"> za 24 %. Klinički značajne interakcije između l</w:t>
      </w:r>
      <w:r w:rsidR="00E614CD">
        <w:rPr>
          <w:rFonts w:eastAsia="MS Mincho"/>
          <w:color w:val="000000"/>
          <w:sz w:val="22"/>
          <w:szCs w:val="22"/>
          <w:lang w:val="hr-HR" w:eastAsia="zh-CN"/>
        </w:rPr>
        <w:t>ij</w:t>
      </w:r>
      <w:r w:rsidRPr="009F1D15">
        <w:rPr>
          <w:rFonts w:eastAsia="MS Mincho"/>
          <w:color w:val="000000"/>
          <w:sz w:val="22"/>
          <w:szCs w:val="22"/>
          <w:lang w:val="hr-HR" w:eastAsia="zh-CN"/>
        </w:rPr>
        <w:t>eka Scemblix i supstrata OATP1B ni</w:t>
      </w:r>
      <w:r w:rsidR="00C12E11">
        <w:rPr>
          <w:rFonts w:eastAsia="MS Mincho"/>
          <w:color w:val="000000"/>
          <w:sz w:val="22"/>
          <w:szCs w:val="22"/>
          <w:lang w:val="hr-HR" w:eastAsia="zh-CN"/>
        </w:rPr>
        <w:t>je</w:t>
      </w:r>
      <w:r w:rsidRPr="009F1D15">
        <w:rPr>
          <w:rFonts w:eastAsia="MS Mincho"/>
          <w:color w:val="000000"/>
          <w:sz w:val="22"/>
          <w:szCs w:val="22"/>
          <w:lang w:val="hr-HR" w:eastAsia="zh-CN"/>
        </w:rPr>
        <w:t>su v</w:t>
      </w:r>
      <w:r w:rsidR="00E614CD">
        <w:rPr>
          <w:rFonts w:eastAsia="MS Mincho"/>
          <w:color w:val="000000"/>
          <w:sz w:val="22"/>
          <w:szCs w:val="22"/>
          <w:lang w:val="hr-HR" w:eastAsia="zh-CN"/>
        </w:rPr>
        <w:t>j</w:t>
      </w:r>
      <w:r w:rsidRPr="009F1D15">
        <w:rPr>
          <w:rFonts w:eastAsia="MS Mincho"/>
          <w:color w:val="000000"/>
          <w:sz w:val="22"/>
          <w:szCs w:val="22"/>
          <w:lang w:val="hr-HR" w:eastAsia="zh-CN"/>
        </w:rPr>
        <w:t>erovatne.</w:t>
      </w:r>
    </w:p>
    <w:p w14:paraId="4B78045A" w14:textId="77777777" w:rsidR="009F1D15" w:rsidRDefault="009F1D15" w:rsidP="0061372B">
      <w:pPr>
        <w:jc w:val="both"/>
        <w:rPr>
          <w:rFonts w:eastAsia="MS Gothic"/>
          <w:iCs/>
          <w:sz w:val="22"/>
          <w:szCs w:val="22"/>
          <w:lang w:val="hr-HR" w:eastAsia="zh-CN"/>
        </w:rPr>
      </w:pPr>
    </w:p>
    <w:p w14:paraId="155B7CED" w14:textId="77777777" w:rsidR="00CD690A" w:rsidRPr="00DD77A4" w:rsidRDefault="00CD690A" w:rsidP="00CD690A">
      <w:pPr>
        <w:jc w:val="both"/>
        <w:rPr>
          <w:rFonts w:eastAsia="MS Gothic"/>
          <w:i/>
          <w:sz w:val="22"/>
          <w:szCs w:val="22"/>
          <w:lang w:val="hr-HR" w:eastAsia="zh-CN"/>
        </w:rPr>
      </w:pPr>
      <w:r w:rsidRPr="00DD77A4">
        <w:rPr>
          <w:rFonts w:eastAsia="MS Gothic"/>
          <w:i/>
          <w:sz w:val="22"/>
          <w:szCs w:val="22"/>
          <w:lang w:val="hr-HR" w:eastAsia="zh-CN"/>
        </w:rPr>
        <w:t>Supstrati P-gp sa uskim terapijskim indeksom</w:t>
      </w:r>
    </w:p>
    <w:p w14:paraId="67A7718F" w14:textId="774E8ACF" w:rsidR="00CD690A" w:rsidRPr="0061372B" w:rsidRDefault="00CD690A" w:rsidP="00CD690A">
      <w:pPr>
        <w:jc w:val="both"/>
        <w:rPr>
          <w:rFonts w:eastAsia="MS Gothic"/>
          <w:iCs/>
          <w:sz w:val="22"/>
          <w:szCs w:val="22"/>
          <w:lang w:val="hr-HR" w:eastAsia="zh-CN"/>
        </w:rPr>
      </w:pPr>
      <w:r w:rsidRPr="00CD690A">
        <w:rPr>
          <w:rFonts w:eastAsia="MS Gothic"/>
          <w:iCs/>
          <w:sz w:val="22"/>
          <w:szCs w:val="22"/>
          <w:lang w:val="hr-HR" w:eastAsia="zh-CN"/>
        </w:rPr>
        <w:t>Na osnovu PBPK modelovanja, potreban je oprez tokom istovremene prim</w:t>
      </w:r>
      <w:r w:rsidR="008E5D96">
        <w:rPr>
          <w:rFonts w:eastAsia="MS Gothic"/>
          <w:iCs/>
          <w:sz w:val="22"/>
          <w:szCs w:val="22"/>
          <w:lang w:val="hr-HR" w:eastAsia="zh-CN"/>
        </w:rPr>
        <w:t>j</w:t>
      </w:r>
      <w:r w:rsidRPr="00CD690A">
        <w:rPr>
          <w:rFonts w:eastAsia="MS Gothic"/>
          <w:iCs/>
          <w:sz w:val="22"/>
          <w:szCs w:val="22"/>
          <w:lang w:val="hr-HR" w:eastAsia="zh-CN"/>
        </w:rPr>
        <w:t>ene asciminiba sa supstratima P glikoproteina (P-gp) za koje je poznato da imaju uski terapijski indeks, uključujući, između ostalih, digoksin, dabigatran i kolhicin (vid</w:t>
      </w:r>
      <w:r w:rsidR="008E5D96">
        <w:rPr>
          <w:rFonts w:eastAsia="MS Gothic"/>
          <w:iCs/>
          <w:sz w:val="22"/>
          <w:szCs w:val="22"/>
          <w:lang w:val="hr-HR" w:eastAsia="zh-CN"/>
        </w:rPr>
        <w:t>j</w:t>
      </w:r>
      <w:r w:rsidRPr="00CD690A">
        <w:rPr>
          <w:rFonts w:eastAsia="MS Gothic"/>
          <w:iCs/>
          <w:sz w:val="22"/>
          <w:szCs w:val="22"/>
          <w:lang w:val="hr-HR" w:eastAsia="zh-CN"/>
        </w:rPr>
        <w:t xml:space="preserve">eti </w:t>
      </w:r>
      <w:r w:rsidR="009A70BE">
        <w:rPr>
          <w:rFonts w:eastAsia="MS Gothic"/>
          <w:iCs/>
          <w:sz w:val="22"/>
          <w:szCs w:val="22"/>
          <w:lang w:val="hr-HR" w:eastAsia="zh-CN"/>
        </w:rPr>
        <w:t>dio</w:t>
      </w:r>
      <w:r w:rsidR="009A70BE" w:rsidRPr="00CD690A">
        <w:rPr>
          <w:rFonts w:eastAsia="MS Gothic"/>
          <w:iCs/>
          <w:sz w:val="22"/>
          <w:szCs w:val="22"/>
          <w:lang w:val="hr-HR" w:eastAsia="zh-CN"/>
        </w:rPr>
        <w:t xml:space="preserve"> </w:t>
      </w:r>
      <w:r w:rsidRPr="00CD690A">
        <w:rPr>
          <w:rFonts w:eastAsia="MS Gothic"/>
          <w:iCs/>
          <w:sz w:val="22"/>
          <w:szCs w:val="22"/>
          <w:lang w:val="hr-HR" w:eastAsia="zh-CN"/>
        </w:rPr>
        <w:t>5.2). Nije potrebno prilagođavanje doze asciminiba.</w:t>
      </w:r>
    </w:p>
    <w:p w14:paraId="46B18295" w14:textId="77777777" w:rsidR="00A60A13" w:rsidRPr="00F234A2" w:rsidRDefault="00A60A13" w:rsidP="00C52EE0">
      <w:pPr>
        <w:tabs>
          <w:tab w:val="left" w:pos="540"/>
          <w:tab w:val="left" w:pos="569"/>
        </w:tabs>
        <w:jc w:val="both"/>
        <w:rPr>
          <w:bCs/>
          <w:sz w:val="22"/>
          <w:szCs w:val="22"/>
          <w:lang w:val="sr-Latn-ME"/>
        </w:rPr>
      </w:pPr>
    </w:p>
    <w:p w14:paraId="5744D790" w14:textId="77777777" w:rsidR="0072020E" w:rsidRPr="00F234A2" w:rsidRDefault="0072020E" w:rsidP="0095542C">
      <w:pPr>
        <w:tabs>
          <w:tab w:val="left" w:pos="540"/>
          <w:tab w:val="left" w:pos="569"/>
        </w:tabs>
        <w:jc w:val="both"/>
        <w:rPr>
          <w:b/>
          <w:sz w:val="22"/>
          <w:szCs w:val="22"/>
          <w:lang w:val="sr-Latn-ME"/>
        </w:rPr>
      </w:pPr>
      <w:r w:rsidRPr="00F234A2">
        <w:rPr>
          <w:b/>
          <w:bCs/>
          <w:sz w:val="22"/>
          <w:szCs w:val="22"/>
          <w:lang w:val="sr-Latn-ME"/>
        </w:rPr>
        <w:t xml:space="preserve">4.6. </w:t>
      </w:r>
      <w:r w:rsidR="00480FB1" w:rsidRPr="00F234A2">
        <w:rPr>
          <w:b/>
          <w:bCs/>
          <w:sz w:val="22"/>
          <w:szCs w:val="22"/>
          <w:lang w:val="sr-Latn-ME"/>
        </w:rPr>
        <w:tab/>
      </w:r>
      <w:r w:rsidR="006D20A5" w:rsidRPr="00F234A2">
        <w:rPr>
          <w:b/>
          <w:sz w:val="22"/>
          <w:szCs w:val="22"/>
          <w:lang w:val="sr-Latn-ME"/>
        </w:rPr>
        <w:t>Plodnost, trudnoća i dojenje</w:t>
      </w:r>
    </w:p>
    <w:p w14:paraId="070E8376" w14:textId="7B19E71C" w:rsidR="002031B3" w:rsidRPr="00F234A2" w:rsidRDefault="002031B3" w:rsidP="0095542C">
      <w:pPr>
        <w:tabs>
          <w:tab w:val="left" w:pos="540"/>
          <w:tab w:val="left" w:pos="569"/>
        </w:tabs>
        <w:jc w:val="both"/>
        <w:rPr>
          <w:sz w:val="22"/>
          <w:szCs w:val="22"/>
          <w:u w:val="single"/>
          <w:lang w:val="sr-Latn-ME"/>
        </w:rPr>
      </w:pPr>
    </w:p>
    <w:p w14:paraId="6E730E40" w14:textId="77777777" w:rsidR="00A60A13" w:rsidRPr="00F234A2" w:rsidRDefault="00A60A13" w:rsidP="0095542C">
      <w:pPr>
        <w:tabs>
          <w:tab w:val="left" w:pos="540"/>
          <w:tab w:val="left" w:pos="569"/>
        </w:tabs>
        <w:jc w:val="both"/>
        <w:rPr>
          <w:sz w:val="22"/>
          <w:szCs w:val="22"/>
          <w:u w:val="single"/>
          <w:lang w:val="sr-Latn-ME"/>
        </w:rPr>
      </w:pPr>
      <w:r w:rsidRPr="00F234A2">
        <w:rPr>
          <w:sz w:val="22"/>
          <w:szCs w:val="22"/>
          <w:u w:val="single"/>
          <w:lang w:val="sr-Latn-ME"/>
        </w:rPr>
        <w:t xml:space="preserve">Žene u reproduktivnom periodu/kontracepcija </w:t>
      </w:r>
    </w:p>
    <w:p w14:paraId="4EF69939" w14:textId="77777777" w:rsidR="00A60A13" w:rsidRPr="00F234A2" w:rsidRDefault="00A60A13" w:rsidP="0095542C">
      <w:pPr>
        <w:tabs>
          <w:tab w:val="left" w:pos="540"/>
          <w:tab w:val="left" w:pos="569"/>
        </w:tabs>
        <w:jc w:val="both"/>
        <w:rPr>
          <w:sz w:val="22"/>
          <w:szCs w:val="22"/>
          <w:u w:val="single"/>
          <w:lang w:val="sr-Latn-ME"/>
        </w:rPr>
      </w:pPr>
    </w:p>
    <w:p w14:paraId="6560EFCE" w14:textId="684039E4" w:rsidR="00A60A13" w:rsidRPr="00F234A2" w:rsidRDefault="00A60A13" w:rsidP="0095542C">
      <w:pPr>
        <w:tabs>
          <w:tab w:val="left" w:pos="540"/>
          <w:tab w:val="left" w:pos="569"/>
        </w:tabs>
        <w:jc w:val="both"/>
        <w:rPr>
          <w:sz w:val="22"/>
          <w:szCs w:val="22"/>
          <w:lang w:val="sr-Latn-ME"/>
        </w:rPr>
      </w:pPr>
      <w:r w:rsidRPr="00F234A2">
        <w:rPr>
          <w:sz w:val="22"/>
          <w:szCs w:val="22"/>
          <w:lang w:val="sr-Latn-ME"/>
        </w:rPr>
        <w:t>Pr</w:t>
      </w:r>
      <w:r w:rsidR="00472E1C" w:rsidRPr="00F234A2">
        <w:rPr>
          <w:sz w:val="22"/>
          <w:szCs w:val="22"/>
          <w:lang w:val="sr-Latn-ME"/>
        </w:rPr>
        <w:t>ij</w:t>
      </w:r>
      <w:r w:rsidRPr="00F234A2">
        <w:rPr>
          <w:sz w:val="22"/>
          <w:szCs w:val="22"/>
          <w:lang w:val="sr-Latn-ME"/>
        </w:rPr>
        <w:t xml:space="preserve">e početka </w:t>
      </w:r>
      <w:r w:rsidR="00472E1C" w:rsidRPr="00F234A2">
        <w:rPr>
          <w:sz w:val="22"/>
          <w:szCs w:val="22"/>
          <w:lang w:val="sr-Latn-ME"/>
        </w:rPr>
        <w:t>liječ</w:t>
      </w:r>
      <w:r w:rsidRPr="00F234A2">
        <w:rPr>
          <w:sz w:val="22"/>
          <w:szCs w:val="22"/>
          <w:lang w:val="sr-Latn-ME"/>
        </w:rPr>
        <w:t>enja asciminibom potrebno je da se prov</w:t>
      </w:r>
      <w:r w:rsidR="00472E1C" w:rsidRPr="00F234A2">
        <w:rPr>
          <w:sz w:val="22"/>
          <w:szCs w:val="22"/>
          <w:lang w:val="sr-Latn-ME"/>
        </w:rPr>
        <w:t>j</w:t>
      </w:r>
      <w:r w:rsidRPr="00F234A2">
        <w:rPr>
          <w:sz w:val="22"/>
          <w:szCs w:val="22"/>
          <w:lang w:val="sr-Latn-ME"/>
        </w:rPr>
        <w:t>eri status trudnoće kod žena u reproduktivnom periodu.</w:t>
      </w:r>
    </w:p>
    <w:p w14:paraId="52DC9258" w14:textId="77777777" w:rsidR="00A60A13" w:rsidRPr="00F234A2" w:rsidRDefault="00A60A13" w:rsidP="0095542C">
      <w:pPr>
        <w:tabs>
          <w:tab w:val="left" w:pos="540"/>
          <w:tab w:val="left" w:pos="569"/>
        </w:tabs>
        <w:jc w:val="both"/>
        <w:rPr>
          <w:sz w:val="22"/>
          <w:szCs w:val="22"/>
          <w:lang w:val="sr-Latn-ME"/>
        </w:rPr>
      </w:pPr>
    </w:p>
    <w:p w14:paraId="2BC411B0" w14:textId="1C477A18" w:rsidR="00A60A13" w:rsidRPr="00F234A2" w:rsidRDefault="00A60A13" w:rsidP="0095542C">
      <w:pPr>
        <w:tabs>
          <w:tab w:val="left" w:pos="540"/>
          <w:tab w:val="left" w:pos="569"/>
        </w:tabs>
        <w:jc w:val="both"/>
        <w:rPr>
          <w:sz w:val="22"/>
          <w:szCs w:val="22"/>
          <w:lang w:val="sr-Latn-ME"/>
        </w:rPr>
      </w:pPr>
      <w:r w:rsidRPr="00F234A2">
        <w:rPr>
          <w:sz w:val="22"/>
          <w:szCs w:val="22"/>
          <w:lang w:val="sr-Latn-ME"/>
        </w:rPr>
        <w:t>Seksualno aktivne žene u reproduktivnom periodu treba da koriste efektivnu kontracepciju (metode koje imaju stopu manju od 1% trudnoće) za vr</w:t>
      </w:r>
      <w:r w:rsidR="005251D5" w:rsidRPr="00F234A2">
        <w:rPr>
          <w:sz w:val="22"/>
          <w:szCs w:val="22"/>
          <w:lang w:val="sr-Latn-ME"/>
        </w:rPr>
        <w:t>ij</w:t>
      </w:r>
      <w:r w:rsidRPr="00F234A2">
        <w:rPr>
          <w:sz w:val="22"/>
          <w:szCs w:val="22"/>
          <w:lang w:val="sr-Latn-ME"/>
        </w:rPr>
        <w:t xml:space="preserve">eme </w:t>
      </w:r>
      <w:r w:rsidR="00472E1C" w:rsidRPr="00F234A2">
        <w:rPr>
          <w:sz w:val="22"/>
          <w:szCs w:val="22"/>
          <w:lang w:val="sr-Latn-ME"/>
        </w:rPr>
        <w:t>liječ</w:t>
      </w:r>
      <w:r w:rsidRPr="00F234A2">
        <w:rPr>
          <w:sz w:val="22"/>
          <w:szCs w:val="22"/>
          <w:lang w:val="sr-Latn-ME"/>
        </w:rPr>
        <w:t xml:space="preserve">enja asciminibom i još najmanje 3 dana nakon prestanka </w:t>
      </w:r>
      <w:r w:rsidR="0094593A" w:rsidRPr="00F234A2">
        <w:rPr>
          <w:sz w:val="22"/>
          <w:szCs w:val="22"/>
          <w:lang w:val="sr-Latn-ME"/>
        </w:rPr>
        <w:t>primjen</w:t>
      </w:r>
      <w:r w:rsidRPr="00F234A2">
        <w:rPr>
          <w:sz w:val="22"/>
          <w:szCs w:val="22"/>
          <w:lang w:val="sr-Latn-ME"/>
        </w:rPr>
        <w:t>e l</w:t>
      </w:r>
      <w:r w:rsidR="00472E1C" w:rsidRPr="00F234A2">
        <w:rPr>
          <w:sz w:val="22"/>
          <w:szCs w:val="22"/>
          <w:lang w:val="sr-Latn-ME"/>
        </w:rPr>
        <w:t>ij</w:t>
      </w:r>
      <w:r w:rsidRPr="00F234A2">
        <w:rPr>
          <w:sz w:val="22"/>
          <w:szCs w:val="22"/>
          <w:lang w:val="sr-Latn-ME"/>
        </w:rPr>
        <w:t>eka.</w:t>
      </w:r>
    </w:p>
    <w:p w14:paraId="1439D62E" w14:textId="77777777" w:rsidR="00A60A13" w:rsidRPr="00F234A2" w:rsidRDefault="00A60A13" w:rsidP="0095542C">
      <w:pPr>
        <w:tabs>
          <w:tab w:val="left" w:pos="540"/>
          <w:tab w:val="left" w:pos="569"/>
        </w:tabs>
        <w:jc w:val="both"/>
        <w:rPr>
          <w:sz w:val="22"/>
          <w:szCs w:val="22"/>
          <w:u w:val="single"/>
          <w:lang w:val="sr-Latn-ME"/>
        </w:rPr>
      </w:pPr>
    </w:p>
    <w:p w14:paraId="52D5F8AB" w14:textId="77777777" w:rsidR="002031B3" w:rsidRPr="00F234A2" w:rsidRDefault="002031B3" w:rsidP="0095542C">
      <w:pPr>
        <w:tabs>
          <w:tab w:val="left" w:pos="540"/>
          <w:tab w:val="left" w:pos="569"/>
        </w:tabs>
        <w:jc w:val="both"/>
        <w:rPr>
          <w:sz w:val="22"/>
          <w:szCs w:val="22"/>
          <w:u w:val="single"/>
          <w:lang w:val="sr-Latn-ME"/>
        </w:rPr>
      </w:pPr>
      <w:r w:rsidRPr="00F234A2">
        <w:rPr>
          <w:sz w:val="22"/>
          <w:szCs w:val="22"/>
          <w:u w:val="single"/>
          <w:lang w:val="sr-Latn-ME"/>
        </w:rPr>
        <w:t>Plodnost</w:t>
      </w:r>
    </w:p>
    <w:p w14:paraId="75B197CD" w14:textId="22BA002D" w:rsidR="002031B3" w:rsidRPr="00F234A2" w:rsidRDefault="002031B3" w:rsidP="0095542C">
      <w:pPr>
        <w:tabs>
          <w:tab w:val="left" w:pos="540"/>
          <w:tab w:val="left" w:pos="569"/>
        </w:tabs>
        <w:jc w:val="both"/>
        <w:rPr>
          <w:sz w:val="22"/>
          <w:szCs w:val="22"/>
          <w:u w:val="single"/>
          <w:lang w:val="sr-Latn-ME"/>
        </w:rPr>
      </w:pPr>
    </w:p>
    <w:p w14:paraId="54A59184" w14:textId="6274EED2" w:rsidR="00A60A13" w:rsidRPr="00F234A2" w:rsidRDefault="00A60A13" w:rsidP="0095542C">
      <w:pPr>
        <w:tabs>
          <w:tab w:val="left" w:pos="540"/>
          <w:tab w:val="left" w:pos="569"/>
        </w:tabs>
        <w:jc w:val="both"/>
        <w:rPr>
          <w:sz w:val="22"/>
          <w:szCs w:val="22"/>
          <w:lang w:val="sr-Latn-ME"/>
        </w:rPr>
      </w:pPr>
      <w:r w:rsidRPr="00F234A2">
        <w:rPr>
          <w:sz w:val="22"/>
          <w:szCs w:val="22"/>
          <w:lang w:val="sr-Latn-ME"/>
        </w:rPr>
        <w:t xml:space="preserve">Nema podataka o efektima asciminiba na plodnost </w:t>
      </w:r>
      <w:r w:rsidR="005251D5" w:rsidRPr="00F234A2">
        <w:rPr>
          <w:sz w:val="22"/>
          <w:szCs w:val="22"/>
          <w:lang w:val="sr-Latn-ME"/>
        </w:rPr>
        <w:t xml:space="preserve">kod </w:t>
      </w:r>
      <w:r w:rsidRPr="00F234A2">
        <w:rPr>
          <w:sz w:val="22"/>
          <w:szCs w:val="22"/>
          <w:lang w:val="sr-Latn-ME"/>
        </w:rPr>
        <w:t>ljudi. U ispitivanjima plodnosti kod pacova, asciminib nije uticao na reproduktivnu funkciju mužjaka i ženki pacova. Međutim, uočeni su neželjeni efekti na pokretljivost i broj spermatozoida pacova pri dozama od 200 mg/kg/dan (</w:t>
      </w:r>
      <w:r w:rsidR="0094593A" w:rsidRPr="00F234A2">
        <w:rPr>
          <w:sz w:val="22"/>
          <w:szCs w:val="22"/>
          <w:lang w:val="sr-Latn-ME"/>
        </w:rPr>
        <w:t>vidjet</w:t>
      </w:r>
      <w:r w:rsidRPr="00F234A2">
        <w:rPr>
          <w:sz w:val="22"/>
          <w:szCs w:val="22"/>
          <w:lang w:val="sr-Latn-ME"/>
        </w:rPr>
        <w:t>i d</w:t>
      </w:r>
      <w:r w:rsidR="00472E1C" w:rsidRPr="00F234A2">
        <w:rPr>
          <w:sz w:val="22"/>
          <w:szCs w:val="22"/>
          <w:lang w:val="sr-Latn-ME"/>
        </w:rPr>
        <w:t>i</w:t>
      </w:r>
      <w:r w:rsidRPr="00F234A2">
        <w:rPr>
          <w:sz w:val="22"/>
          <w:szCs w:val="22"/>
          <w:lang w:val="sr-Latn-ME"/>
        </w:rPr>
        <w:t>o 5.3). Značaj za ljude je nepoznat.</w:t>
      </w:r>
    </w:p>
    <w:p w14:paraId="4414F737" w14:textId="7D129502" w:rsidR="005251D5" w:rsidRPr="00F234A2" w:rsidRDefault="005251D5" w:rsidP="0095542C">
      <w:pPr>
        <w:tabs>
          <w:tab w:val="left" w:pos="540"/>
          <w:tab w:val="left" w:pos="569"/>
        </w:tabs>
        <w:jc w:val="both"/>
        <w:rPr>
          <w:sz w:val="22"/>
          <w:szCs w:val="22"/>
          <w:lang w:val="sr-Latn-ME"/>
        </w:rPr>
      </w:pPr>
    </w:p>
    <w:p w14:paraId="4CEB6D07" w14:textId="71D43D0E" w:rsidR="005251D5" w:rsidRPr="00F234A2" w:rsidRDefault="005251D5" w:rsidP="0095542C">
      <w:pPr>
        <w:tabs>
          <w:tab w:val="left" w:pos="540"/>
          <w:tab w:val="left" w:pos="569"/>
        </w:tabs>
        <w:jc w:val="both"/>
        <w:rPr>
          <w:sz w:val="22"/>
          <w:szCs w:val="22"/>
          <w:u w:val="single"/>
          <w:lang w:val="sr-Latn-ME"/>
        </w:rPr>
      </w:pPr>
      <w:r w:rsidRPr="00F234A2">
        <w:rPr>
          <w:sz w:val="22"/>
          <w:szCs w:val="22"/>
          <w:u w:val="single"/>
          <w:lang w:val="sr-Latn-ME"/>
        </w:rPr>
        <w:lastRenderedPageBreak/>
        <w:t>Trudnoća</w:t>
      </w:r>
    </w:p>
    <w:p w14:paraId="2501087F" w14:textId="5E9DE49A" w:rsidR="002031B3" w:rsidRPr="00F234A2" w:rsidRDefault="002031B3" w:rsidP="00810C37">
      <w:pPr>
        <w:tabs>
          <w:tab w:val="left" w:pos="6760"/>
        </w:tabs>
        <w:jc w:val="both"/>
        <w:rPr>
          <w:sz w:val="22"/>
          <w:szCs w:val="22"/>
          <w:u w:val="single"/>
          <w:lang w:val="sr-Latn-ME"/>
        </w:rPr>
      </w:pPr>
    </w:p>
    <w:p w14:paraId="6A57BDE3" w14:textId="6180F317" w:rsidR="00A60A13" w:rsidRPr="00F234A2" w:rsidRDefault="00A60A13" w:rsidP="0095542C">
      <w:pPr>
        <w:tabs>
          <w:tab w:val="left" w:pos="540"/>
          <w:tab w:val="left" w:pos="569"/>
        </w:tabs>
        <w:jc w:val="both"/>
        <w:rPr>
          <w:sz w:val="22"/>
          <w:szCs w:val="22"/>
          <w:lang w:val="sr-Latn-ME"/>
        </w:rPr>
      </w:pPr>
      <w:r w:rsidRPr="00F234A2">
        <w:rPr>
          <w:sz w:val="22"/>
          <w:szCs w:val="22"/>
          <w:lang w:val="sr-Latn-ME"/>
        </w:rPr>
        <w:t xml:space="preserve">Nema podataka ili su podaci o </w:t>
      </w:r>
      <w:r w:rsidR="0094593A" w:rsidRPr="00F234A2">
        <w:rPr>
          <w:sz w:val="22"/>
          <w:szCs w:val="22"/>
          <w:lang w:val="sr-Latn-ME"/>
        </w:rPr>
        <w:t>primjen</w:t>
      </w:r>
      <w:r w:rsidRPr="00F234A2">
        <w:rPr>
          <w:sz w:val="22"/>
          <w:szCs w:val="22"/>
          <w:lang w:val="sr-Latn-ME"/>
        </w:rPr>
        <w:t>i asciminiba kod trudnica ograničeni. Ispitivanja na životinjama pokazala su reproduktivnu toksičnost (</w:t>
      </w:r>
      <w:r w:rsidR="0094593A" w:rsidRPr="00F234A2">
        <w:rPr>
          <w:sz w:val="22"/>
          <w:szCs w:val="22"/>
          <w:lang w:val="sr-Latn-ME"/>
        </w:rPr>
        <w:t>vidjet</w:t>
      </w:r>
      <w:r w:rsidRPr="00F234A2">
        <w:rPr>
          <w:sz w:val="22"/>
          <w:szCs w:val="22"/>
          <w:lang w:val="sr-Latn-ME"/>
        </w:rPr>
        <w:t>i d</w:t>
      </w:r>
      <w:r w:rsidR="00472E1C" w:rsidRPr="00F234A2">
        <w:rPr>
          <w:sz w:val="22"/>
          <w:szCs w:val="22"/>
          <w:lang w:val="sr-Latn-ME"/>
        </w:rPr>
        <w:t>i</w:t>
      </w:r>
      <w:r w:rsidRPr="00F234A2">
        <w:rPr>
          <w:sz w:val="22"/>
          <w:szCs w:val="22"/>
          <w:lang w:val="sr-Latn-ME"/>
        </w:rPr>
        <w:t>o 5.3). Ne preporučuje se upotreba asciminiba tokom trudnoće niti kod žena u reproduktivnom periodu koje ne koriste kontracepciju. Pacijentkinju je potrebno upoznati sa mogućim rizikom za fetus ako se asciminib uzima tokom trudnoće ili ako pacijentkinja zatrudni dok uzima asciminib.</w:t>
      </w:r>
    </w:p>
    <w:p w14:paraId="3A769660" w14:textId="77777777" w:rsidR="00A60A13" w:rsidRPr="00F234A2" w:rsidRDefault="00A60A13" w:rsidP="0095542C">
      <w:pPr>
        <w:tabs>
          <w:tab w:val="left" w:pos="540"/>
          <w:tab w:val="left" w:pos="569"/>
        </w:tabs>
        <w:jc w:val="both"/>
        <w:rPr>
          <w:sz w:val="22"/>
          <w:szCs w:val="22"/>
          <w:u w:val="single"/>
          <w:lang w:val="sr-Latn-ME"/>
        </w:rPr>
      </w:pPr>
    </w:p>
    <w:p w14:paraId="33AFB539" w14:textId="48D0344A" w:rsidR="0072020E" w:rsidRPr="00F234A2" w:rsidRDefault="007A3ECB" w:rsidP="0095542C">
      <w:pPr>
        <w:tabs>
          <w:tab w:val="left" w:pos="540"/>
          <w:tab w:val="left" w:pos="569"/>
        </w:tabs>
        <w:jc w:val="both"/>
        <w:rPr>
          <w:sz w:val="22"/>
          <w:szCs w:val="22"/>
          <w:u w:val="single"/>
          <w:lang w:val="sr-Latn-ME"/>
        </w:rPr>
      </w:pPr>
      <w:r w:rsidRPr="00F234A2">
        <w:rPr>
          <w:sz w:val="22"/>
          <w:szCs w:val="22"/>
          <w:u w:val="single"/>
          <w:lang w:val="sr-Latn-ME"/>
        </w:rPr>
        <w:t xml:space="preserve">Dojenje </w:t>
      </w:r>
    </w:p>
    <w:p w14:paraId="7672D11F" w14:textId="2DCD9517" w:rsidR="00A60A13" w:rsidRPr="00F234A2" w:rsidRDefault="00A60A13" w:rsidP="0095542C">
      <w:pPr>
        <w:tabs>
          <w:tab w:val="left" w:pos="540"/>
          <w:tab w:val="left" w:pos="569"/>
        </w:tabs>
        <w:jc w:val="both"/>
        <w:rPr>
          <w:sz w:val="22"/>
          <w:szCs w:val="22"/>
          <w:u w:val="single"/>
          <w:lang w:val="sr-Latn-ME"/>
        </w:rPr>
      </w:pPr>
    </w:p>
    <w:p w14:paraId="42DD4C87" w14:textId="04F94761" w:rsidR="00A60A13" w:rsidRPr="00F234A2" w:rsidRDefault="00A60A13" w:rsidP="0095542C">
      <w:pPr>
        <w:tabs>
          <w:tab w:val="left" w:pos="540"/>
          <w:tab w:val="left" w:pos="569"/>
        </w:tabs>
        <w:jc w:val="both"/>
        <w:rPr>
          <w:sz w:val="22"/>
          <w:szCs w:val="22"/>
          <w:lang w:val="sr-Latn-ME"/>
        </w:rPr>
      </w:pPr>
      <w:r w:rsidRPr="00F234A2">
        <w:rPr>
          <w:sz w:val="22"/>
          <w:szCs w:val="22"/>
          <w:lang w:val="sr-Latn-ME"/>
        </w:rPr>
        <w:t xml:space="preserve">Nije poznato da li se asciminib/metaboliti izlučuje u majčino mlijeko. Nema podataka o efektima asciminiba na dojeno novorođenče/dojenče ili na laktaciju. Zbog mogućnosti ozbiljnih neželjenih dejstava kod dojenog novorođenčeta/dojenčeta, dojenje treba prekinuti tokom </w:t>
      </w:r>
      <w:r w:rsidR="00472E1C" w:rsidRPr="00F234A2">
        <w:rPr>
          <w:sz w:val="22"/>
          <w:szCs w:val="22"/>
          <w:lang w:val="sr-Latn-ME"/>
        </w:rPr>
        <w:t>liječ</w:t>
      </w:r>
      <w:r w:rsidRPr="00F234A2">
        <w:rPr>
          <w:sz w:val="22"/>
          <w:szCs w:val="22"/>
          <w:lang w:val="sr-Latn-ME"/>
        </w:rPr>
        <w:t xml:space="preserve">enja i još najmanje 3 dana nakon prestanka </w:t>
      </w:r>
      <w:r w:rsidR="0094593A" w:rsidRPr="00F234A2">
        <w:rPr>
          <w:sz w:val="22"/>
          <w:szCs w:val="22"/>
          <w:lang w:val="sr-Latn-ME"/>
        </w:rPr>
        <w:t>primjen</w:t>
      </w:r>
      <w:r w:rsidRPr="00F234A2">
        <w:rPr>
          <w:sz w:val="22"/>
          <w:szCs w:val="22"/>
          <w:lang w:val="sr-Latn-ME"/>
        </w:rPr>
        <w:t>e asciminiba.</w:t>
      </w:r>
    </w:p>
    <w:p w14:paraId="76C81150" w14:textId="77777777" w:rsidR="00227BDB" w:rsidRPr="00F234A2" w:rsidRDefault="00227BDB" w:rsidP="0095542C">
      <w:pPr>
        <w:tabs>
          <w:tab w:val="left" w:pos="540"/>
          <w:tab w:val="left" w:pos="569"/>
        </w:tabs>
        <w:ind w:left="540" w:hanging="540"/>
        <w:jc w:val="both"/>
        <w:rPr>
          <w:b/>
          <w:bCs/>
          <w:sz w:val="22"/>
          <w:szCs w:val="22"/>
          <w:lang w:val="sr-Latn-ME"/>
        </w:rPr>
      </w:pPr>
    </w:p>
    <w:p w14:paraId="744D2072" w14:textId="77777777" w:rsidR="0072020E" w:rsidRPr="00F234A2" w:rsidRDefault="0072020E" w:rsidP="0095542C">
      <w:pPr>
        <w:tabs>
          <w:tab w:val="left" w:pos="540"/>
          <w:tab w:val="left" w:pos="569"/>
        </w:tabs>
        <w:ind w:left="540" w:hanging="540"/>
        <w:jc w:val="both"/>
        <w:rPr>
          <w:b/>
          <w:bCs/>
          <w:sz w:val="22"/>
          <w:szCs w:val="22"/>
          <w:lang w:val="sr-Latn-ME"/>
        </w:rPr>
      </w:pPr>
      <w:r w:rsidRPr="00F234A2">
        <w:rPr>
          <w:b/>
          <w:bCs/>
          <w:sz w:val="22"/>
          <w:szCs w:val="22"/>
          <w:lang w:val="sr-Latn-ME"/>
        </w:rPr>
        <w:t xml:space="preserve">4.7. </w:t>
      </w:r>
      <w:r w:rsidR="00480FB1" w:rsidRPr="00F234A2">
        <w:rPr>
          <w:b/>
          <w:bCs/>
          <w:sz w:val="22"/>
          <w:szCs w:val="22"/>
          <w:lang w:val="sr-Latn-ME"/>
        </w:rPr>
        <w:tab/>
      </w:r>
      <w:r w:rsidRPr="00F234A2">
        <w:rPr>
          <w:b/>
          <w:bCs/>
          <w:sz w:val="22"/>
          <w:szCs w:val="22"/>
          <w:lang w:val="sr-Latn-ME"/>
        </w:rPr>
        <w:t xml:space="preserve">Uticaj na </w:t>
      </w:r>
      <w:r w:rsidR="002031B3" w:rsidRPr="00F234A2">
        <w:rPr>
          <w:b/>
          <w:bCs/>
          <w:sz w:val="22"/>
          <w:szCs w:val="22"/>
          <w:lang w:val="sr-Latn-ME"/>
        </w:rPr>
        <w:t xml:space="preserve">sposobnost </w:t>
      </w:r>
      <w:r w:rsidR="00F34554" w:rsidRPr="00F234A2">
        <w:rPr>
          <w:b/>
          <w:bCs/>
          <w:sz w:val="22"/>
          <w:szCs w:val="22"/>
          <w:lang w:val="sr-Latn-ME"/>
        </w:rPr>
        <w:t>upravljanja vozili</w:t>
      </w:r>
      <w:r w:rsidRPr="00F234A2">
        <w:rPr>
          <w:b/>
          <w:bCs/>
          <w:sz w:val="22"/>
          <w:szCs w:val="22"/>
          <w:lang w:val="sr-Latn-ME"/>
        </w:rPr>
        <w:t>m</w:t>
      </w:r>
      <w:r w:rsidR="00F34554" w:rsidRPr="00F234A2">
        <w:rPr>
          <w:b/>
          <w:bCs/>
          <w:sz w:val="22"/>
          <w:szCs w:val="22"/>
          <w:lang w:val="sr-Latn-ME"/>
        </w:rPr>
        <w:t>a</w:t>
      </w:r>
      <w:r w:rsidRPr="00F234A2">
        <w:rPr>
          <w:b/>
          <w:bCs/>
          <w:sz w:val="22"/>
          <w:szCs w:val="22"/>
          <w:lang w:val="sr-Latn-ME"/>
        </w:rPr>
        <w:t xml:space="preserve"> i </w:t>
      </w:r>
      <w:r w:rsidR="000D3449" w:rsidRPr="00F234A2">
        <w:rPr>
          <w:b/>
          <w:bCs/>
          <w:sz w:val="22"/>
          <w:szCs w:val="22"/>
          <w:lang w:val="sr-Latn-ME"/>
        </w:rPr>
        <w:t xml:space="preserve">rukovanje </w:t>
      </w:r>
      <w:r w:rsidRPr="00F234A2">
        <w:rPr>
          <w:b/>
          <w:bCs/>
          <w:sz w:val="22"/>
          <w:szCs w:val="22"/>
          <w:lang w:val="sr-Latn-ME"/>
        </w:rPr>
        <w:t>mašinama</w:t>
      </w:r>
    </w:p>
    <w:p w14:paraId="4DE2B551" w14:textId="6525E436" w:rsidR="0072020E" w:rsidRPr="00F234A2" w:rsidRDefault="0072020E" w:rsidP="0095542C">
      <w:pPr>
        <w:tabs>
          <w:tab w:val="left" w:pos="540"/>
          <w:tab w:val="left" w:pos="569"/>
        </w:tabs>
        <w:jc w:val="both"/>
        <w:rPr>
          <w:b/>
          <w:bCs/>
          <w:sz w:val="22"/>
          <w:szCs w:val="22"/>
          <w:lang w:val="sr-Latn-ME"/>
        </w:rPr>
      </w:pPr>
    </w:p>
    <w:p w14:paraId="79B0CA53" w14:textId="41E812E8" w:rsidR="00A60A13" w:rsidRPr="00F234A2" w:rsidRDefault="00A60A13" w:rsidP="0095542C">
      <w:pPr>
        <w:tabs>
          <w:tab w:val="left" w:pos="540"/>
          <w:tab w:val="left" w:pos="569"/>
        </w:tabs>
        <w:jc w:val="both"/>
        <w:rPr>
          <w:sz w:val="22"/>
          <w:szCs w:val="22"/>
          <w:lang w:val="sr-Latn-ME"/>
        </w:rPr>
      </w:pPr>
      <w:r w:rsidRPr="00F234A2">
        <w:rPr>
          <w:sz w:val="22"/>
          <w:szCs w:val="22"/>
          <w:lang w:val="sr-Latn-ME"/>
        </w:rPr>
        <w:t>Asciminib ne utiče ili zanemar</w:t>
      </w:r>
      <w:r w:rsidR="005251D5" w:rsidRPr="00F234A2">
        <w:rPr>
          <w:sz w:val="22"/>
          <w:szCs w:val="22"/>
          <w:lang w:val="sr-Latn-ME"/>
        </w:rPr>
        <w:t>lj</w:t>
      </w:r>
      <w:r w:rsidRPr="00F234A2">
        <w:rPr>
          <w:sz w:val="22"/>
          <w:szCs w:val="22"/>
          <w:lang w:val="sr-Latn-ME"/>
        </w:rPr>
        <w:t>ivo utiče na sposobnost upravljanja vozilima i rukovanja mašinama. Međutim, preporučuje se da se pacijenti s</w:t>
      </w:r>
      <w:r w:rsidR="005251D5" w:rsidRPr="00F234A2">
        <w:rPr>
          <w:sz w:val="22"/>
          <w:szCs w:val="22"/>
          <w:lang w:val="sr-Latn-ME"/>
        </w:rPr>
        <w:t>a</w:t>
      </w:r>
      <w:r w:rsidRPr="00F234A2">
        <w:rPr>
          <w:sz w:val="22"/>
          <w:szCs w:val="22"/>
          <w:lang w:val="sr-Latn-ME"/>
        </w:rPr>
        <w:t xml:space="preserve"> vrtoglavicom, umorom ili drugim neželjenim efektima (</w:t>
      </w:r>
      <w:r w:rsidR="0094593A" w:rsidRPr="00F234A2">
        <w:rPr>
          <w:sz w:val="22"/>
          <w:szCs w:val="22"/>
          <w:lang w:val="sr-Latn-ME"/>
        </w:rPr>
        <w:t>vidjet</w:t>
      </w:r>
      <w:r w:rsidRPr="00F234A2">
        <w:rPr>
          <w:sz w:val="22"/>
          <w:szCs w:val="22"/>
          <w:lang w:val="sr-Latn-ME"/>
        </w:rPr>
        <w:t>i d</w:t>
      </w:r>
      <w:r w:rsidR="00472E1C" w:rsidRPr="00F234A2">
        <w:rPr>
          <w:sz w:val="22"/>
          <w:szCs w:val="22"/>
          <w:lang w:val="sr-Latn-ME"/>
        </w:rPr>
        <w:t>i</w:t>
      </w:r>
      <w:r w:rsidRPr="00F234A2">
        <w:rPr>
          <w:sz w:val="22"/>
          <w:szCs w:val="22"/>
          <w:lang w:val="sr-Latn-ME"/>
        </w:rPr>
        <w:t>o 4.8) koji mogu uticati na sposobnost upravljanja vozilima ili rukovanja mašinama uzdrže od tih aktivnostima sve dok traju ti neželjeni efekti.</w:t>
      </w:r>
    </w:p>
    <w:p w14:paraId="7E92D9B4" w14:textId="77777777" w:rsidR="00A60A13" w:rsidRPr="00F234A2" w:rsidRDefault="00A60A13" w:rsidP="0095542C">
      <w:pPr>
        <w:tabs>
          <w:tab w:val="left" w:pos="540"/>
          <w:tab w:val="left" w:pos="569"/>
        </w:tabs>
        <w:jc w:val="both"/>
        <w:rPr>
          <w:b/>
          <w:bCs/>
          <w:sz w:val="22"/>
          <w:szCs w:val="22"/>
          <w:lang w:val="sr-Latn-ME"/>
        </w:rPr>
      </w:pPr>
    </w:p>
    <w:p w14:paraId="0D52C0AA" w14:textId="77777777" w:rsidR="0072020E" w:rsidRPr="00F234A2" w:rsidRDefault="0072020E" w:rsidP="0095542C">
      <w:pPr>
        <w:tabs>
          <w:tab w:val="left" w:pos="540"/>
          <w:tab w:val="left" w:pos="569"/>
        </w:tabs>
        <w:jc w:val="both"/>
        <w:rPr>
          <w:b/>
          <w:bCs/>
          <w:sz w:val="22"/>
          <w:szCs w:val="22"/>
          <w:lang w:val="sr-Latn-ME"/>
        </w:rPr>
      </w:pPr>
      <w:r w:rsidRPr="00F234A2">
        <w:rPr>
          <w:b/>
          <w:bCs/>
          <w:sz w:val="22"/>
          <w:szCs w:val="22"/>
          <w:lang w:val="sr-Latn-ME"/>
        </w:rPr>
        <w:t xml:space="preserve">4.8. </w:t>
      </w:r>
      <w:r w:rsidR="00480FB1" w:rsidRPr="00F234A2">
        <w:rPr>
          <w:b/>
          <w:bCs/>
          <w:sz w:val="22"/>
          <w:szCs w:val="22"/>
          <w:lang w:val="sr-Latn-ME"/>
        </w:rPr>
        <w:tab/>
      </w:r>
      <w:r w:rsidRPr="00F234A2">
        <w:rPr>
          <w:b/>
          <w:bCs/>
          <w:sz w:val="22"/>
          <w:szCs w:val="22"/>
          <w:lang w:val="sr-Latn-ME"/>
        </w:rPr>
        <w:t>Neželjena dejstva</w:t>
      </w:r>
    </w:p>
    <w:p w14:paraId="3AB6043D" w14:textId="089D1797" w:rsidR="004E70AD" w:rsidRPr="00F234A2" w:rsidRDefault="004E70AD" w:rsidP="0095542C">
      <w:pPr>
        <w:tabs>
          <w:tab w:val="left" w:pos="540"/>
          <w:tab w:val="left" w:pos="569"/>
        </w:tabs>
        <w:jc w:val="both"/>
        <w:rPr>
          <w:b/>
          <w:bCs/>
          <w:sz w:val="22"/>
          <w:szCs w:val="22"/>
          <w:lang w:val="sr-Latn-ME"/>
        </w:rPr>
      </w:pPr>
    </w:p>
    <w:p w14:paraId="4A1184DB" w14:textId="6372BD1B" w:rsidR="00A60A13" w:rsidRPr="00F234A2" w:rsidRDefault="00A60A13" w:rsidP="0095542C">
      <w:pPr>
        <w:tabs>
          <w:tab w:val="left" w:pos="540"/>
          <w:tab w:val="left" w:pos="569"/>
        </w:tabs>
        <w:jc w:val="both"/>
        <w:rPr>
          <w:sz w:val="22"/>
          <w:szCs w:val="22"/>
          <w:u w:val="single"/>
          <w:lang w:val="sr-Latn-ME"/>
        </w:rPr>
      </w:pPr>
      <w:r w:rsidRPr="00F234A2">
        <w:rPr>
          <w:sz w:val="22"/>
          <w:szCs w:val="22"/>
          <w:u w:val="single"/>
          <w:lang w:val="sr-Latn-ME"/>
        </w:rPr>
        <w:t xml:space="preserve">Sažetak </w:t>
      </w:r>
      <w:r w:rsidR="00472E1C" w:rsidRPr="00F234A2">
        <w:rPr>
          <w:sz w:val="22"/>
          <w:szCs w:val="22"/>
          <w:u w:val="single"/>
          <w:lang w:val="sr-Latn-ME"/>
        </w:rPr>
        <w:t>bezbje</w:t>
      </w:r>
      <w:r w:rsidRPr="00F234A2">
        <w:rPr>
          <w:sz w:val="22"/>
          <w:szCs w:val="22"/>
          <w:u w:val="single"/>
          <w:lang w:val="sr-Latn-ME"/>
        </w:rPr>
        <w:t>dnosnog profila</w:t>
      </w:r>
    </w:p>
    <w:p w14:paraId="1D22A0D3" w14:textId="77777777" w:rsidR="00A60A13" w:rsidRPr="00F234A2" w:rsidRDefault="00A60A13" w:rsidP="0095542C">
      <w:pPr>
        <w:tabs>
          <w:tab w:val="left" w:pos="540"/>
          <w:tab w:val="left" w:pos="569"/>
        </w:tabs>
        <w:jc w:val="both"/>
        <w:rPr>
          <w:sz w:val="22"/>
          <w:szCs w:val="22"/>
          <w:lang w:val="sr-Latn-ME"/>
        </w:rPr>
      </w:pPr>
    </w:p>
    <w:p w14:paraId="54807B45" w14:textId="22BD5CA6" w:rsidR="00A60A13" w:rsidRPr="00F234A2" w:rsidRDefault="00A60A13" w:rsidP="0095542C">
      <w:pPr>
        <w:tabs>
          <w:tab w:val="left" w:pos="540"/>
          <w:tab w:val="left" w:pos="569"/>
        </w:tabs>
        <w:jc w:val="both"/>
        <w:rPr>
          <w:sz w:val="22"/>
          <w:szCs w:val="22"/>
          <w:lang w:val="sr-Latn-ME"/>
        </w:rPr>
      </w:pPr>
      <w:r w:rsidRPr="00F234A2">
        <w:rPr>
          <w:sz w:val="22"/>
          <w:szCs w:val="22"/>
          <w:lang w:val="sr-Latn-ME"/>
        </w:rPr>
        <w:t>Najčešće neželjene reakcije bilo kog stepena (incidenca ≥</w:t>
      </w:r>
      <w:r w:rsidR="009A70BE">
        <w:rPr>
          <w:sz w:val="22"/>
          <w:szCs w:val="22"/>
          <w:lang w:val="sr-Latn-ME"/>
        </w:rPr>
        <w:t xml:space="preserve"> </w:t>
      </w:r>
      <w:r w:rsidRPr="00F234A2">
        <w:rPr>
          <w:sz w:val="22"/>
          <w:szCs w:val="22"/>
          <w:lang w:val="sr-Latn-ME"/>
        </w:rPr>
        <w:t xml:space="preserve"> 20%) kod pacijenata koji su primali asciminib bile su </w:t>
      </w:r>
      <w:r w:rsidR="009A70BE">
        <w:rPr>
          <w:sz w:val="22"/>
          <w:szCs w:val="22"/>
          <w:lang w:val="sr-Latn-ME"/>
        </w:rPr>
        <w:t xml:space="preserve">bolovi u </w:t>
      </w:r>
      <w:r w:rsidRPr="00F234A2">
        <w:rPr>
          <w:sz w:val="22"/>
          <w:szCs w:val="22"/>
          <w:lang w:val="sr-Latn-ME"/>
        </w:rPr>
        <w:t>mišićno-koštan</w:t>
      </w:r>
      <w:r w:rsidR="009A70BE">
        <w:rPr>
          <w:sz w:val="22"/>
          <w:szCs w:val="22"/>
          <w:lang w:val="sr-Latn-ME"/>
        </w:rPr>
        <w:t>om sistemu</w:t>
      </w:r>
      <w:r w:rsidRPr="00F234A2">
        <w:rPr>
          <w:sz w:val="22"/>
          <w:szCs w:val="22"/>
          <w:lang w:val="sr-Latn-ME"/>
        </w:rPr>
        <w:t xml:space="preserve"> (</w:t>
      </w:r>
      <w:r w:rsidR="00CD690A" w:rsidRPr="00F234A2">
        <w:rPr>
          <w:sz w:val="22"/>
          <w:szCs w:val="22"/>
          <w:lang w:val="sr-Latn-ME"/>
        </w:rPr>
        <w:t>3</w:t>
      </w:r>
      <w:r w:rsidR="00CD690A">
        <w:rPr>
          <w:sz w:val="22"/>
          <w:szCs w:val="22"/>
          <w:lang w:val="sr-Latn-ME"/>
        </w:rPr>
        <w:t>8</w:t>
      </w:r>
      <w:r w:rsidRPr="00F234A2">
        <w:rPr>
          <w:sz w:val="22"/>
          <w:szCs w:val="22"/>
          <w:lang w:val="sr-Latn-ME"/>
        </w:rPr>
        <w:t>,</w:t>
      </w:r>
      <w:r w:rsidR="00CD690A">
        <w:rPr>
          <w:sz w:val="22"/>
          <w:szCs w:val="22"/>
          <w:lang w:val="sr-Latn-ME"/>
        </w:rPr>
        <w:t>8</w:t>
      </w:r>
      <w:r w:rsidRPr="00F234A2">
        <w:rPr>
          <w:sz w:val="22"/>
          <w:szCs w:val="22"/>
          <w:lang w:val="sr-Latn-ME"/>
        </w:rPr>
        <w:t>%), infekcije gornjih disajnih puteva (</w:t>
      </w:r>
      <w:r w:rsidR="00CD690A" w:rsidRPr="00F234A2">
        <w:rPr>
          <w:sz w:val="22"/>
          <w:szCs w:val="22"/>
          <w:lang w:val="sr-Latn-ME"/>
        </w:rPr>
        <w:t>2</w:t>
      </w:r>
      <w:r w:rsidR="00CD690A">
        <w:rPr>
          <w:sz w:val="22"/>
          <w:szCs w:val="22"/>
          <w:lang w:val="sr-Latn-ME"/>
        </w:rPr>
        <w:t>9</w:t>
      </w:r>
      <w:r w:rsidRPr="00F234A2">
        <w:rPr>
          <w:sz w:val="22"/>
          <w:szCs w:val="22"/>
          <w:lang w:val="sr-Latn-ME"/>
        </w:rPr>
        <w:t>,</w:t>
      </w:r>
      <w:r w:rsidR="00CD690A">
        <w:rPr>
          <w:sz w:val="22"/>
          <w:szCs w:val="22"/>
          <w:lang w:val="sr-Latn-ME"/>
        </w:rPr>
        <w:t>5</w:t>
      </w:r>
      <w:r w:rsidRPr="00F234A2">
        <w:rPr>
          <w:sz w:val="22"/>
          <w:szCs w:val="22"/>
          <w:lang w:val="sr-Latn-ME"/>
        </w:rPr>
        <w:t xml:space="preserve">%), </w:t>
      </w:r>
      <w:r w:rsidR="00CD690A" w:rsidRPr="00CD690A">
        <w:rPr>
          <w:sz w:val="22"/>
          <w:szCs w:val="22"/>
          <w:lang w:val="sr-Latn-ME"/>
        </w:rPr>
        <w:t>zamor (28,9%),</w:t>
      </w:r>
      <w:r w:rsidR="00CD690A">
        <w:rPr>
          <w:sz w:val="22"/>
          <w:szCs w:val="22"/>
          <w:lang w:val="sr-Latn-ME"/>
        </w:rPr>
        <w:t xml:space="preserve"> </w:t>
      </w:r>
      <w:r w:rsidRPr="00F234A2">
        <w:rPr>
          <w:sz w:val="22"/>
          <w:szCs w:val="22"/>
          <w:lang w:val="sr-Latn-ME"/>
        </w:rPr>
        <w:t>trombocitopenija (</w:t>
      </w:r>
      <w:r w:rsidR="00CD690A" w:rsidRPr="00F234A2">
        <w:rPr>
          <w:sz w:val="22"/>
          <w:szCs w:val="22"/>
          <w:lang w:val="sr-Latn-ME"/>
        </w:rPr>
        <w:t>2</w:t>
      </w:r>
      <w:r w:rsidR="00CD690A">
        <w:rPr>
          <w:sz w:val="22"/>
          <w:szCs w:val="22"/>
          <w:lang w:val="sr-Latn-ME"/>
        </w:rPr>
        <w:t>8</w:t>
      </w:r>
      <w:r w:rsidRPr="00F234A2">
        <w:rPr>
          <w:sz w:val="22"/>
          <w:szCs w:val="22"/>
          <w:lang w:val="sr-Latn-ME"/>
        </w:rPr>
        <w:t>,</w:t>
      </w:r>
      <w:r w:rsidR="00CD690A">
        <w:rPr>
          <w:sz w:val="22"/>
          <w:szCs w:val="22"/>
          <w:lang w:val="sr-Latn-ME"/>
        </w:rPr>
        <w:t>1</w:t>
      </w:r>
      <w:r w:rsidRPr="00F234A2">
        <w:rPr>
          <w:sz w:val="22"/>
          <w:szCs w:val="22"/>
          <w:lang w:val="sr-Latn-ME"/>
        </w:rPr>
        <w:t>%), glavobolja (</w:t>
      </w:r>
      <w:r w:rsidR="00CD690A" w:rsidRPr="00F234A2">
        <w:rPr>
          <w:sz w:val="22"/>
          <w:szCs w:val="22"/>
          <w:lang w:val="sr-Latn-ME"/>
        </w:rPr>
        <w:t>2</w:t>
      </w:r>
      <w:r w:rsidR="00CD690A">
        <w:rPr>
          <w:sz w:val="22"/>
          <w:szCs w:val="22"/>
          <w:lang w:val="sr-Latn-ME"/>
        </w:rPr>
        <w:t>6</w:t>
      </w:r>
      <w:r w:rsidRPr="00F234A2">
        <w:rPr>
          <w:sz w:val="22"/>
          <w:szCs w:val="22"/>
          <w:lang w:val="sr-Latn-ME"/>
        </w:rPr>
        <w:t>,</w:t>
      </w:r>
      <w:r w:rsidR="00CD690A">
        <w:rPr>
          <w:sz w:val="22"/>
          <w:szCs w:val="22"/>
          <w:lang w:val="sr-Latn-ME"/>
        </w:rPr>
        <w:t>4</w:t>
      </w:r>
      <w:r w:rsidRPr="00F234A2">
        <w:rPr>
          <w:sz w:val="22"/>
          <w:szCs w:val="22"/>
          <w:lang w:val="sr-Latn-ME"/>
        </w:rPr>
        <w:t>%), artralgija (</w:t>
      </w:r>
      <w:r w:rsidR="00CD690A" w:rsidRPr="00F234A2">
        <w:rPr>
          <w:sz w:val="22"/>
          <w:szCs w:val="22"/>
          <w:lang w:val="sr-Latn-ME"/>
        </w:rPr>
        <w:t>2</w:t>
      </w:r>
      <w:r w:rsidR="00CD690A">
        <w:rPr>
          <w:sz w:val="22"/>
          <w:szCs w:val="22"/>
          <w:lang w:val="sr-Latn-ME"/>
        </w:rPr>
        <w:t>4</w:t>
      </w:r>
      <w:r w:rsidRPr="00F234A2">
        <w:rPr>
          <w:sz w:val="22"/>
          <w:szCs w:val="22"/>
          <w:lang w:val="sr-Latn-ME"/>
        </w:rPr>
        <w:t>,</w:t>
      </w:r>
      <w:r w:rsidR="00CD690A">
        <w:rPr>
          <w:sz w:val="22"/>
          <w:szCs w:val="22"/>
          <w:lang w:val="sr-Latn-ME"/>
        </w:rPr>
        <w:t>4</w:t>
      </w:r>
      <w:r w:rsidRPr="00F234A2">
        <w:rPr>
          <w:sz w:val="22"/>
          <w:szCs w:val="22"/>
          <w:lang w:val="sr-Latn-ME"/>
        </w:rPr>
        <w:t xml:space="preserve">%), povećanje enzima pankreasa (23%), </w:t>
      </w:r>
      <w:r w:rsidR="00CD690A" w:rsidRPr="00CD690A">
        <w:rPr>
          <w:sz w:val="22"/>
          <w:szCs w:val="22"/>
          <w:lang w:val="sr-Latn-ME"/>
        </w:rPr>
        <w:t xml:space="preserve">dijareja (22,5%), </w:t>
      </w:r>
      <w:r w:rsidRPr="00F234A2">
        <w:rPr>
          <w:sz w:val="22"/>
          <w:szCs w:val="22"/>
          <w:lang w:val="sr-Latn-ME"/>
        </w:rPr>
        <w:t>bol u abdomenu (</w:t>
      </w:r>
      <w:r w:rsidR="00CD690A" w:rsidRPr="00F234A2">
        <w:rPr>
          <w:sz w:val="22"/>
          <w:szCs w:val="22"/>
          <w:lang w:val="sr-Latn-ME"/>
        </w:rPr>
        <w:t>2</w:t>
      </w:r>
      <w:r w:rsidR="00CD690A">
        <w:rPr>
          <w:sz w:val="22"/>
          <w:szCs w:val="22"/>
          <w:lang w:val="sr-Latn-ME"/>
        </w:rPr>
        <w:t>2</w:t>
      </w:r>
      <w:r w:rsidRPr="00F234A2">
        <w:rPr>
          <w:sz w:val="22"/>
          <w:szCs w:val="22"/>
          <w:lang w:val="sr-Latn-ME"/>
        </w:rPr>
        <w:t>,</w:t>
      </w:r>
      <w:r w:rsidR="00CD690A">
        <w:rPr>
          <w:sz w:val="22"/>
          <w:szCs w:val="22"/>
          <w:lang w:val="sr-Latn-ME"/>
        </w:rPr>
        <w:t>2</w:t>
      </w:r>
      <w:r w:rsidRPr="00F234A2">
        <w:rPr>
          <w:sz w:val="22"/>
          <w:szCs w:val="22"/>
          <w:lang w:val="sr-Latn-ME"/>
        </w:rPr>
        <w:t xml:space="preserve">%), </w:t>
      </w:r>
      <w:r w:rsidR="00CD690A" w:rsidRPr="00CD690A">
        <w:rPr>
          <w:sz w:val="22"/>
          <w:szCs w:val="22"/>
          <w:lang w:val="sr-Latn-ME"/>
        </w:rPr>
        <w:t>osip (21,6%), hiper</w:t>
      </w:r>
      <w:r w:rsidR="003F7FA2">
        <w:rPr>
          <w:sz w:val="22"/>
          <w:szCs w:val="22"/>
          <w:lang w:val="sr-Latn-ME"/>
        </w:rPr>
        <w:t>t</w:t>
      </w:r>
      <w:r w:rsidR="00CD690A" w:rsidRPr="00CD690A">
        <w:rPr>
          <w:sz w:val="22"/>
          <w:szCs w:val="22"/>
          <w:lang w:val="sr-Latn-ME"/>
        </w:rPr>
        <w:t>enzija (20,8%)</w:t>
      </w:r>
      <w:r w:rsidR="00CD690A">
        <w:rPr>
          <w:sz w:val="22"/>
          <w:szCs w:val="22"/>
          <w:lang w:val="sr-Latn-ME"/>
        </w:rPr>
        <w:t xml:space="preserve"> </w:t>
      </w:r>
      <w:r w:rsidRPr="00F234A2">
        <w:rPr>
          <w:sz w:val="22"/>
          <w:szCs w:val="22"/>
          <w:lang w:val="sr-Latn-ME"/>
        </w:rPr>
        <w:t>i mučnina (20,</w:t>
      </w:r>
      <w:r w:rsidR="00CD690A">
        <w:rPr>
          <w:sz w:val="22"/>
          <w:szCs w:val="22"/>
          <w:lang w:val="sr-Latn-ME"/>
        </w:rPr>
        <w:t>8</w:t>
      </w:r>
      <w:r w:rsidRPr="00F234A2">
        <w:rPr>
          <w:sz w:val="22"/>
          <w:szCs w:val="22"/>
          <w:lang w:val="sr-Latn-ME"/>
        </w:rPr>
        <w:t>%).</w:t>
      </w:r>
    </w:p>
    <w:p w14:paraId="6005DDE1" w14:textId="77777777" w:rsidR="00A60A13" w:rsidRPr="00F234A2" w:rsidRDefault="00A60A13" w:rsidP="0095542C">
      <w:pPr>
        <w:tabs>
          <w:tab w:val="left" w:pos="540"/>
          <w:tab w:val="left" w:pos="569"/>
        </w:tabs>
        <w:jc w:val="both"/>
        <w:rPr>
          <w:sz w:val="22"/>
          <w:szCs w:val="22"/>
          <w:lang w:val="sr-Latn-ME"/>
        </w:rPr>
      </w:pPr>
    </w:p>
    <w:p w14:paraId="5C1DFC72" w14:textId="44D77AD6" w:rsidR="00A60A13" w:rsidRPr="00F234A2" w:rsidRDefault="00A60A13" w:rsidP="0095542C">
      <w:pPr>
        <w:tabs>
          <w:tab w:val="left" w:pos="540"/>
          <w:tab w:val="left" w:pos="569"/>
        </w:tabs>
        <w:jc w:val="both"/>
        <w:rPr>
          <w:sz w:val="22"/>
          <w:szCs w:val="22"/>
          <w:lang w:val="sr-Latn-ME"/>
        </w:rPr>
      </w:pPr>
      <w:r w:rsidRPr="00F234A2">
        <w:rPr>
          <w:sz w:val="22"/>
          <w:szCs w:val="22"/>
          <w:lang w:val="sr-Latn-ME"/>
        </w:rPr>
        <w:t>Najčešće neželjene reakcije ≥ gradus 3 (incidenca ≥ 5%) kod pacijenata koji su primali asciminib bile su trombocitopenija (18,5%), neutropenija (15,7%), povećanje enzima pankreasa (12,</w:t>
      </w:r>
      <w:r w:rsidR="009A70BE">
        <w:rPr>
          <w:sz w:val="22"/>
          <w:szCs w:val="22"/>
          <w:lang w:val="sr-Latn-ME"/>
        </w:rPr>
        <w:t>9</w:t>
      </w:r>
      <w:r w:rsidRPr="00F234A2">
        <w:rPr>
          <w:sz w:val="22"/>
          <w:szCs w:val="22"/>
          <w:lang w:val="sr-Latn-ME"/>
        </w:rPr>
        <w:t>%), hipertenzija (</w:t>
      </w:r>
      <w:r w:rsidR="00CD690A">
        <w:rPr>
          <w:sz w:val="22"/>
          <w:szCs w:val="22"/>
          <w:lang w:val="sr-Latn-ME"/>
        </w:rPr>
        <w:t>11</w:t>
      </w:r>
      <w:r w:rsidRPr="00F234A2">
        <w:rPr>
          <w:sz w:val="22"/>
          <w:szCs w:val="22"/>
          <w:lang w:val="sr-Latn-ME"/>
        </w:rPr>
        <w:t>,</w:t>
      </w:r>
      <w:r w:rsidR="009A70BE">
        <w:rPr>
          <w:sz w:val="22"/>
          <w:szCs w:val="22"/>
          <w:lang w:val="sr-Latn-ME"/>
        </w:rPr>
        <w:t>2</w:t>
      </w:r>
      <w:r w:rsidRPr="00F234A2">
        <w:rPr>
          <w:sz w:val="22"/>
          <w:szCs w:val="22"/>
          <w:lang w:val="sr-Latn-ME"/>
        </w:rPr>
        <w:t>%) i anemija (5,3%).</w:t>
      </w:r>
    </w:p>
    <w:p w14:paraId="056A76FC" w14:textId="77777777" w:rsidR="00A60A13" w:rsidRPr="00F234A2" w:rsidRDefault="00A60A13" w:rsidP="0095542C">
      <w:pPr>
        <w:tabs>
          <w:tab w:val="left" w:pos="540"/>
          <w:tab w:val="left" w:pos="569"/>
        </w:tabs>
        <w:jc w:val="both"/>
        <w:rPr>
          <w:sz w:val="22"/>
          <w:szCs w:val="22"/>
          <w:lang w:val="sr-Latn-ME"/>
        </w:rPr>
      </w:pPr>
    </w:p>
    <w:p w14:paraId="0D9EA213" w14:textId="50E269CF" w:rsidR="00A60A13" w:rsidRPr="00F234A2" w:rsidRDefault="00A60A13" w:rsidP="0095542C">
      <w:pPr>
        <w:tabs>
          <w:tab w:val="left" w:pos="540"/>
          <w:tab w:val="left" w:pos="569"/>
        </w:tabs>
        <w:jc w:val="both"/>
        <w:rPr>
          <w:sz w:val="22"/>
          <w:szCs w:val="22"/>
          <w:lang w:val="sr-Latn-ME"/>
        </w:rPr>
      </w:pPr>
      <w:r w:rsidRPr="00F234A2">
        <w:rPr>
          <w:sz w:val="22"/>
          <w:szCs w:val="22"/>
          <w:lang w:val="sr-Latn-ME"/>
        </w:rPr>
        <w:t xml:space="preserve">Ozbiljne neželjene reakcije javile su se kod </w:t>
      </w:r>
      <w:r w:rsidR="00814007" w:rsidRPr="00F234A2">
        <w:rPr>
          <w:sz w:val="22"/>
          <w:szCs w:val="22"/>
          <w:lang w:val="sr-Latn-ME"/>
        </w:rPr>
        <w:t>1</w:t>
      </w:r>
      <w:r w:rsidR="00814007">
        <w:rPr>
          <w:sz w:val="22"/>
          <w:szCs w:val="22"/>
          <w:lang w:val="sr-Latn-ME"/>
        </w:rPr>
        <w:t>3</w:t>
      </w:r>
      <w:r w:rsidRPr="00F234A2">
        <w:rPr>
          <w:sz w:val="22"/>
          <w:szCs w:val="22"/>
          <w:lang w:val="sr-Latn-ME"/>
        </w:rPr>
        <w:t>,</w:t>
      </w:r>
      <w:r w:rsidR="00814007">
        <w:rPr>
          <w:sz w:val="22"/>
          <w:szCs w:val="22"/>
          <w:lang w:val="sr-Latn-ME"/>
        </w:rPr>
        <w:t>2</w:t>
      </w:r>
      <w:r w:rsidRPr="00F234A2">
        <w:rPr>
          <w:sz w:val="22"/>
          <w:szCs w:val="22"/>
          <w:lang w:val="sr-Latn-ME"/>
        </w:rPr>
        <w:t xml:space="preserve">% pacijenata koji su primali asciminib. Najčešće ozbiljne neželjene reakcije (incidenca ≥ 1%) bile su pleuralni izliv (2,5%), infekcije donjih disajnih puteva (2,2%), trombocitopenija (1,7%), pireksija (1,4%), pankreatitis (1,1%), </w:t>
      </w:r>
      <w:r w:rsidR="00814007" w:rsidRPr="00814007">
        <w:rPr>
          <w:sz w:val="22"/>
          <w:szCs w:val="22"/>
          <w:lang w:val="sr-Latn-ME"/>
        </w:rPr>
        <w:t>bol u abdomenu (1,1%),</w:t>
      </w:r>
      <w:r w:rsidR="00814007">
        <w:rPr>
          <w:sz w:val="22"/>
          <w:szCs w:val="22"/>
          <w:lang w:val="sr-Latn-ME"/>
        </w:rPr>
        <w:t xml:space="preserve"> </w:t>
      </w:r>
      <w:r w:rsidRPr="00F234A2">
        <w:rPr>
          <w:sz w:val="22"/>
          <w:szCs w:val="22"/>
          <w:lang w:val="sr-Latn-ME"/>
        </w:rPr>
        <w:t>nekardijalna bol u grudima (1,1%) i povraćanje (1,1%).</w:t>
      </w:r>
    </w:p>
    <w:p w14:paraId="6999C0F6" w14:textId="08219051" w:rsidR="00A60A13" w:rsidRPr="00F234A2" w:rsidRDefault="00A60A13" w:rsidP="0095542C">
      <w:pPr>
        <w:tabs>
          <w:tab w:val="left" w:pos="540"/>
          <w:tab w:val="left" w:pos="569"/>
        </w:tabs>
        <w:jc w:val="both"/>
        <w:rPr>
          <w:sz w:val="22"/>
          <w:szCs w:val="22"/>
          <w:u w:val="single"/>
          <w:lang w:val="sr-Latn-ME"/>
        </w:rPr>
      </w:pPr>
    </w:p>
    <w:p w14:paraId="0AAA21BC" w14:textId="0018E458" w:rsidR="00A60A13" w:rsidRPr="00F234A2" w:rsidRDefault="00A60A13" w:rsidP="0095542C">
      <w:pPr>
        <w:tabs>
          <w:tab w:val="left" w:pos="540"/>
          <w:tab w:val="left" w:pos="569"/>
        </w:tabs>
        <w:jc w:val="both"/>
        <w:rPr>
          <w:sz w:val="22"/>
          <w:szCs w:val="22"/>
          <w:u w:val="single"/>
          <w:lang w:val="sr-Latn-ME"/>
        </w:rPr>
      </w:pPr>
      <w:r w:rsidRPr="00F234A2">
        <w:rPr>
          <w:sz w:val="22"/>
          <w:szCs w:val="22"/>
          <w:u w:val="single"/>
          <w:lang w:val="sr-Latn-ME"/>
        </w:rPr>
        <w:t>Tabelarni prikaz neželjenih reakcija</w:t>
      </w:r>
    </w:p>
    <w:p w14:paraId="248418CB" w14:textId="55FCC00F" w:rsidR="00A60A13" w:rsidRPr="00F234A2" w:rsidRDefault="00A60A13" w:rsidP="0095542C">
      <w:pPr>
        <w:tabs>
          <w:tab w:val="left" w:pos="540"/>
          <w:tab w:val="left" w:pos="569"/>
        </w:tabs>
        <w:jc w:val="both"/>
        <w:rPr>
          <w:b/>
          <w:bCs/>
          <w:sz w:val="22"/>
          <w:szCs w:val="22"/>
          <w:lang w:val="sr-Latn-ME"/>
        </w:rPr>
      </w:pPr>
    </w:p>
    <w:p w14:paraId="5E1A93FB" w14:textId="7FC609C1" w:rsidR="00A60A13" w:rsidRPr="00F234A2" w:rsidRDefault="00A60A13" w:rsidP="0095542C">
      <w:pPr>
        <w:tabs>
          <w:tab w:val="left" w:pos="540"/>
          <w:tab w:val="left" w:pos="569"/>
        </w:tabs>
        <w:jc w:val="both"/>
        <w:rPr>
          <w:sz w:val="22"/>
          <w:szCs w:val="22"/>
          <w:lang w:val="sr-Latn-ME"/>
        </w:rPr>
      </w:pPr>
      <w:r w:rsidRPr="00F234A2">
        <w:rPr>
          <w:sz w:val="22"/>
          <w:szCs w:val="22"/>
          <w:lang w:val="sr-Latn-ME"/>
        </w:rPr>
        <w:t xml:space="preserve">Ukupni </w:t>
      </w:r>
      <w:r w:rsidR="00472E1C" w:rsidRPr="00F234A2">
        <w:rPr>
          <w:sz w:val="22"/>
          <w:szCs w:val="22"/>
          <w:lang w:val="sr-Latn-ME"/>
        </w:rPr>
        <w:t>bezbje</w:t>
      </w:r>
      <w:r w:rsidRPr="00F234A2">
        <w:rPr>
          <w:sz w:val="22"/>
          <w:szCs w:val="22"/>
          <w:lang w:val="sr-Latn-ME"/>
        </w:rPr>
        <w:t>dnosni profil asciminiba proc</w:t>
      </w:r>
      <w:r w:rsidR="00472E1C" w:rsidRPr="00F234A2">
        <w:rPr>
          <w:sz w:val="22"/>
          <w:szCs w:val="22"/>
          <w:lang w:val="sr-Latn-ME"/>
        </w:rPr>
        <w:t>ij</w:t>
      </w:r>
      <w:r w:rsidRPr="00F234A2">
        <w:rPr>
          <w:sz w:val="22"/>
          <w:szCs w:val="22"/>
          <w:lang w:val="sr-Latn-ME"/>
        </w:rPr>
        <w:t xml:space="preserve">enjen je kod 356 pacijenata sa Ph+ CML om u hroničnoj (engl. </w:t>
      </w:r>
      <w:r w:rsidRPr="00F234A2">
        <w:rPr>
          <w:i/>
          <w:sz w:val="22"/>
          <w:szCs w:val="22"/>
          <w:lang w:val="sr-Latn-ME"/>
        </w:rPr>
        <w:t>chronic phase</w:t>
      </w:r>
      <w:r w:rsidRPr="00F234A2">
        <w:rPr>
          <w:sz w:val="22"/>
          <w:szCs w:val="22"/>
          <w:lang w:val="sr-Latn-ME"/>
        </w:rPr>
        <w:t xml:space="preserve">, CP) i ubrzanoj fazi (engl. </w:t>
      </w:r>
      <w:r w:rsidRPr="00F234A2">
        <w:rPr>
          <w:i/>
          <w:sz w:val="22"/>
          <w:szCs w:val="22"/>
          <w:lang w:val="sr-Latn-ME"/>
        </w:rPr>
        <w:t>accelerated</w:t>
      </w:r>
      <w:r w:rsidRPr="00F234A2">
        <w:rPr>
          <w:sz w:val="22"/>
          <w:szCs w:val="22"/>
          <w:lang w:val="sr-Latn-ME"/>
        </w:rPr>
        <w:t xml:space="preserve"> phase, AP) u pivotalnom ispitivanju faze III pod nazivom A2301 (ASCEMBL) i ispitivanju faze I pod nazivom X2101. U ispitivanju ASCEMBL pacijenti su primali asciminib kao monoterapiju u dozi od 40 mg dva puta na dan. U ispitivanju X2101 pacijenti su primali asciminib kao monoterapiju u dozama u rasponu od 10 do 200 mg dva puta na dan i 80 do 200 mg jednom na dan. U objedinjenom skupu podataka, medijana trajanja izloženosti asciminibu bila je </w:t>
      </w:r>
      <w:r w:rsidR="00814007" w:rsidRPr="00F234A2">
        <w:rPr>
          <w:sz w:val="22"/>
          <w:szCs w:val="22"/>
          <w:lang w:val="sr-Latn-ME"/>
        </w:rPr>
        <w:t>1</w:t>
      </w:r>
      <w:r w:rsidR="00814007">
        <w:rPr>
          <w:sz w:val="22"/>
          <w:szCs w:val="22"/>
          <w:lang w:val="sr-Latn-ME"/>
        </w:rPr>
        <w:t>67</w:t>
      </w:r>
      <w:r w:rsidR="00814007" w:rsidRPr="00F234A2">
        <w:rPr>
          <w:sz w:val="22"/>
          <w:szCs w:val="22"/>
          <w:lang w:val="sr-Latn-ME"/>
        </w:rPr>
        <w:t xml:space="preserve"> </w:t>
      </w:r>
      <w:r w:rsidR="0094593A" w:rsidRPr="00F234A2">
        <w:rPr>
          <w:sz w:val="22"/>
          <w:szCs w:val="22"/>
          <w:lang w:val="sr-Latn-ME"/>
        </w:rPr>
        <w:t>nedjelj</w:t>
      </w:r>
      <w:r w:rsidRPr="00F234A2">
        <w:rPr>
          <w:sz w:val="22"/>
          <w:szCs w:val="22"/>
          <w:lang w:val="sr-Latn-ME"/>
        </w:rPr>
        <w:t xml:space="preserve">a (raspon: 0,1 do </w:t>
      </w:r>
      <w:r w:rsidR="00814007">
        <w:rPr>
          <w:sz w:val="22"/>
          <w:szCs w:val="22"/>
          <w:lang w:val="sr-Latn-ME"/>
        </w:rPr>
        <w:t>439</w:t>
      </w:r>
      <w:r w:rsidR="00814007" w:rsidRPr="00F234A2">
        <w:rPr>
          <w:sz w:val="22"/>
          <w:szCs w:val="22"/>
          <w:lang w:val="sr-Latn-ME"/>
        </w:rPr>
        <w:t xml:space="preserve"> </w:t>
      </w:r>
      <w:r w:rsidR="0094593A" w:rsidRPr="00F234A2">
        <w:rPr>
          <w:sz w:val="22"/>
          <w:szCs w:val="22"/>
          <w:lang w:val="sr-Latn-ME"/>
        </w:rPr>
        <w:t>nedjelj</w:t>
      </w:r>
      <w:r w:rsidRPr="00F234A2">
        <w:rPr>
          <w:sz w:val="22"/>
          <w:szCs w:val="22"/>
          <w:lang w:val="sr-Latn-ME"/>
        </w:rPr>
        <w:t>e).</w:t>
      </w:r>
    </w:p>
    <w:p w14:paraId="3CABF52D" w14:textId="77777777" w:rsidR="00A60A13" w:rsidRPr="00F234A2" w:rsidRDefault="00A60A13" w:rsidP="0095542C">
      <w:pPr>
        <w:tabs>
          <w:tab w:val="left" w:pos="540"/>
          <w:tab w:val="left" w:pos="569"/>
        </w:tabs>
        <w:jc w:val="both"/>
        <w:rPr>
          <w:sz w:val="22"/>
          <w:szCs w:val="22"/>
          <w:lang w:val="sr-Latn-ME"/>
        </w:rPr>
      </w:pPr>
    </w:p>
    <w:p w14:paraId="5C60F337" w14:textId="19902F46" w:rsidR="00A60A13" w:rsidRPr="00F234A2" w:rsidRDefault="00A60A13" w:rsidP="0095542C">
      <w:pPr>
        <w:tabs>
          <w:tab w:val="left" w:pos="540"/>
          <w:tab w:val="left" w:pos="569"/>
        </w:tabs>
        <w:jc w:val="both"/>
        <w:rPr>
          <w:sz w:val="22"/>
          <w:szCs w:val="22"/>
          <w:lang w:val="sr-Latn-ME"/>
        </w:rPr>
      </w:pPr>
      <w:r w:rsidRPr="00F234A2">
        <w:rPr>
          <w:sz w:val="22"/>
          <w:szCs w:val="22"/>
          <w:lang w:val="sr-Latn-ME"/>
        </w:rPr>
        <w:t xml:space="preserve">Neželjene reakcije iz kliničkih ispitivanja (Tabela 2) navedene su prema MedDRA klasifikaciji sistema organa. Unutar svake klase </w:t>
      </w:r>
      <w:r w:rsidR="00472E1C" w:rsidRPr="00F234A2">
        <w:rPr>
          <w:sz w:val="22"/>
          <w:szCs w:val="22"/>
          <w:lang w:val="sr-Latn-ME"/>
        </w:rPr>
        <w:t>sistema organa</w:t>
      </w:r>
      <w:r w:rsidRPr="00F234A2">
        <w:rPr>
          <w:sz w:val="22"/>
          <w:szCs w:val="22"/>
          <w:lang w:val="sr-Latn-ME"/>
        </w:rPr>
        <w:t>, n</w:t>
      </w:r>
      <w:r w:rsidR="00472E1C" w:rsidRPr="00F234A2">
        <w:rPr>
          <w:sz w:val="22"/>
          <w:szCs w:val="22"/>
          <w:lang w:val="sr-Latn-ME"/>
        </w:rPr>
        <w:t>eželjene reakcije</w:t>
      </w:r>
      <w:r w:rsidRPr="00F234A2">
        <w:rPr>
          <w:sz w:val="22"/>
          <w:szCs w:val="22"/>
          <w:lang w:val="sr-Latn-ME"/>
        </w:rPr>
        <w:t xml:space="preserve"> su pore</w:t>
      </w:r>
      <w:r w:rsidR="009A70BE">
        <w:rPr>
          <w:sz w:val="22"/>
          <w:szCs w:val="22"/>
          <w:lang w:val="sr-Latn-ME"/>
        </w:rPr>
        <w:t>đ</w:t>
      </w:r>
      <w:r w:rsidRPr="00F234A2">
        <w:rPr>
          <w:sz w:val="22"/>
          <w:szCs w:val="22"/>
          <w:lang w:val="sr-Latn-ME"/>
        </w:rPr>
        <w:t xml:space="preserve">ane po učestalosti, pri čemu su najučestalije </w:t>
      </w:r>
      <w:r w:rsidR="00472E1C" w:rsidRPr="00F234A2">
        <w:rPr>
          <w:sz w:val="22"/>
          <w:szCs w:val="22"/>
          <w:lang w:val="sr-Latn-ME"/>
        </w:rPr>
        <w:t>neželjene reakcije</w:t>
      </w:r>
      <w:r w:rsidRPr="00F234A2">
        <w:rPr>
          <w:sz w:val="22"/>
          <w:szCs w:val="22"/>
          <w:lang w:val="sr-Latn-ME"/>
        </w:rPr>
        <w:t xml:space="preserve"> navedene prve. Unutar </w:t>
      </w:r>
      <w:r w:rsidR="00A5419C" w:rsidRPr="00F234A2">
        <w:rPr>
          <w:sz w:val="22"/>
          <w:szCs w:val="22"/>
          <w:lang w:val="sr-Latn-ME"/>
        </w:rPr>
        <w:t>svake kategorije učestalosti</w:t>
      </w:r>
      <w:r w:rsidRPr="00F234A2">
        <w:rPr>
          <w:sz w:val="22"/>
          <w:szCs w:val="22"/>
          <w:lang w:val="sr-Latn-ME"/>
        </w:rPr>
        <w:t xml:space="preserve"> neželjene reakcije prikazane su u opadajućem nizu prema ozbiljnosti. Uz to, odgovarajuća kategorija učestalosti za svaku neželjenu reakciju na l</w:t>
      </w:r>
      <w:r w:rsidR="00472E1C" w:rsidRPr="00F234A2">
        <w:rPr>
          <w:sz w:val="22"/>
          <w:szCs w:val="22"/>
          <w:lang w:val="sr-Latn-ME"/>
        </w:rPr>
        <w:t>ij</w:t>
      </w:r>
      <w:r w:rsidRPr="00F234A2">
        <w:rPr>
          <w:sz w:val="22"/>
          <w:szCs w:val="22"/>
          <w:lang w:val="sr-Latn-ME"/>
        </w:rPr>
        <w:t>ek zasniva se na sl</w:t>
      </w:r>
      <w:r w:rsidR="00472E1C" w:rsidRPr="00F234A2">
        <w:rPr>
          <w:sz w:val="22"/>
          <w:szCs w:val="22"/>
          <w:lang w:val="sr-Latn-ME"/>
        </w:rPr>
        <w:t>j</w:t>
      </w:r>
      <w:r w:rsidRPr="00F234A2">
        <w:rPr>
          <w:sz w:val="22"/>
          <w:szCs w:val="22"/>
          <w:lang w:val="sr-Latn-ME"/>
        </w:rPr>
        <w:t>edećoj konvenciji: veoma često (≥</w:t>
      </w:r>
      <w:r w:rsidR="009A70BE">
        <w:rPr>
          <w:sz w:val="22"/>
          <w:szCs w:val="22"/>
          <w:lang w:val="sr-Latn-ME"/>
        </w:rPr>
        <w:t xml:space="preserve"> </w:t>
      </w:r>
      <w:r w:rsidRPr="00F234A2">
        <w:rPr>
          <w:sz w:val="22"/>
          <w:szCs w:val="22"/>
          <w:lang w:val="sr-Latn-ME"/>
        </w:rPr>
        <w:t>1/10); često (≥</w:t>
      </w:r>
      <w:r w:rsidR="009A70BE">
        <w:rPr>
          <w:sz w:val="22"/>
          <w:szCs w:val="22"/>
          <w:lang w:val="sr-Latn-ME"/>
        </w:rPr>
        <w:t xml:space="preserve"> </w:t>
      </w:r>
      <w:r w:rsidRPr="00F234A2">
        <w:rPr>
          <w:sz w:val="22"/>
          <w:szCs w:val="22"/>
          <w:lang w:val="sr-Latn-ME"/>
        </w:rPr>
        <w:t xml:space="preserve">1/100 </w:t>
      </w:r>
      <w:r w:rsidR="005F2C6C" w:rsidRPr="00F234A2">
        <w:rPr>
          <w:sz w:val="22"/>
          <w:szCs w:val="22"/>
          <w:lang w:val="sr-Latn-ME"/>
        </w:rPr>
        <w:t>do</w:t>
      </w:r>
      <w:r w:rsidRPr="00F234A2">
        <w:rPr>
          <w:sz w:val="22"/>
          <w:szCs w:val="22"/>
          <w:lang w:val="sr-Latn-ME"/>
        </w:rPr>
        <w:t xml:space="preserve"> &lt;</w:t>
      </w:r>
      <w:r w:rsidR="009A70BE">
        <w:rPr>
          <w:sz w:val="22"/>
          <w:szCs w:val="22"/>
          <w:lang w:val="sr-Latn-ME"/>
        </w:rPr>
        <w:t xml:space="preserve"> </w:t>
      </w:r>
      <w:r w:rsidRPr="00F234A2">
        <w:rPr>
          <w:sz w:val="22"/>
          <w:szCs w:val="22"/>
          <w:lang w:val="sr-Latn-ME"/>
        </w:rPr>
        <w:t>1/10); povremeno (≥</w:t>
      </w:r>
      <w:r w:rsidR="009A70BE">
        <w:rPr>
          <w:sz w:val="22"/>
          <w:szCs w:val="22"/>
          <w:lang w:val="sr-Latn-ME"/>
        </w:rPr>
        <w:t xml:space="preserve"> </w:t>
      </w:r>
      <w:r w:rsidRPr="00F234A2">
        <w:rPr>
          <w:sz w:val="22"/>
          <w:szCs w:val="22"/>
          <w:lang w:val="sr-Latn-ME"/>
        </w:rPr>
        <w:t xml:space="preserve">1/1000 </w:t>
      </w:r>
      <w:r w:rsidR="005F2C6C" w:rsidRPr="00F234A2">
        <w:rPr>
          <w:sz w:val="22"/>
          <w:szCs w:val="22"/>
          <w:lang w:val="sr-Latn-ME"/>
        </w:rPr>
        <w:t>do</w:t>
      </w:r>
      <w:r w:rsidRPr="00F234A2">
        <w:rPr>
          <w:sz w:val="22"/>
          <w:szCs w:val="22"/>
          <w:lang w:val="sr-Latn-ME"/>
        </w:rPr>
        <w:t xml:space="preserve"> &lt;</w:t>
      </w:r>
      <w:r w:rsidR="009A70BE">
        <w:rPr>
          <w:sz w:val="22"/>
          <w:szCs w:val="22"/>
          <w:lang w:val="sr-Latn-ME"/>
        </w:rPr>
        <w:t xml:space="preserve"> </w:t>
      </w:r>
      <w:r w:rsidRPr="00F234A2">
        <w:rPr>
          <w:sz w:val="22"/>
          <w:szCs w:val="22"/>
          <w:lang w:val="sr-Latn-ME"/>
        </w:rPr>
        <w:t>1/100); r</w:t>
      </w:r>
      <w:r w:rsidR="00472E1C" w:rsidRPr="00F234A2">
        <w:rPr>
          <w:sz w:val="22"/>
          <w:szCs w:val="22"/>
          <w:lang w:val="sr-Latn-ME"/>
        </w:rPr>
        <w:t>ij</w:t>
      </w:r>
      <w:r w:rsidRPr="00F234A2">
        <w:rPr>
          <w:sz w:val="22"/>
          <w:szCs w:val="22"/>
          <w:lang w:val="sr-Latn-ME"/>
        </w:rPr>
        <w:t>etko (≥1/10</w:t>
      </w:r>
      <w:r w:rsidR="009A70BE">
        <w:rPr>
          <w:sz w:val="22"/>
          <w:szCs w:val="22"/>
          <w:lang w:val="sr-Latn-ME"/>
        </w:rPr>
        <w:t xml:space="preserve"> </w:t>
      </w:r>
      <w:r w:rsidRPr="00F234A2">
        <w:rPr>
          <w:sz w:val="22"/>
          <w:szCs w:val="22"/>
          <w:lang w:val="sr-Latn-ME"/>
        </w:rPr>
        <w:t xml:space="preserve">000 </w:t>
      </w:r>
      <w:r w:rsidR="005F2C6C" w:rsidRPr="00F234A2">
        <w:rPr>
          <w:sz w:val="22"/>
          <w:szCs w:val="22"/>
          <w:lang w:val="sr-Latn-ME"/>
        </w:rPr>
        <w:t>do</w:t>
      </w:r>
      <w:r w:rsidRPr="00F234A2">
        <w:rPr>
          <w:sz w:val="22"/>
          <w:szCs w:val="22"/>
          <w:lang w:val="sr-Latn-ME"/>
        </w:rPr>
        <w:t xml:space="preserve"> &lt;</w:t>
      </w:r>
      <w:r w:rsidR="009A70BE">
        <w:rPr>
          <w:sz w:val="22"/>
          <w:szCs w:val="22"/>
          <w:lang w:val="sr-Latn-ME"/>
        </w:rPr>
        <w:t xml:space="preserve"> </w:t>
      </w:r>
      <w:r w:rsidRPr="00F234A2">
        <w:rPr>
          <w:sz w:val="22"/>
          <w:szCs w:val="22"/>
          <w:lang w:val="sr-Latn-ME"/>
        </w:rPr>
        <w:t>1/1000); veoma r</w:t>
      </w:r>
      <w:r w:rsidR="00472E1C" w:rsidRPr="00F234A2">
        <w:rPr>
          <w:sz w:val="22"/>
          <w:szCs w:val="22"/>
          <w:lang w:val="sr-Latn-ME"/>
        </w:rPr>
        <w:t>ij</w:t>
      </w:r>
      <w:r w:rsidRPr="00F234A2">
        <w:rPr>
          <w:sz w:val="22"/>
          <w:szCs w:val="22"/>
          <w:lang w:val="sr-Latn-ME"/>
        </w:rPr>
        <w:t>etko (&lt;</w:t>
      </w:r>
      <w:r w:rsidR="009A70BE">
        <w:rPr>
          <w:sz w:val="22"/>
          <w:szCs w:val="22"/>
          <w:lang w:val="sr-Latn-ME"/>
        </w:rPr>
        <w:t xml:space="preserve"> </w:t>
      </w:r>
      <w:r w:rsidRPr="00F234A2">
        <w:rPr>
          <w:sz w:val="22"/>
          <w:szCs w:val="22"/>
          <w:lang w:val="sr-Latn-ME"/>
        </w:rPr>
        <w:t>1/10</w:t>
      </w:r>
      <w:r w:rsidR="009A70BE">
        <w:rPr>
          <w:sz w:val="22"/>
          <w:szCs w:val="22"/>
          <w:lang w:val="sr-Latn-ME"/>
        </w:rPr>
        <w:t xml:space="preserve"> </w:t>
      </w:r>
      <w:r w:rsidRPr="00F234A2">
        <w:rPr>
          <w:sz w:val="22"/>
          <w:szCs w:val="22"/>
          <w:lang w:val="sr-Latn-ME"/>
        </w:rPr>
        <w:t>000).</w:t>
      </w:r>
    </w:p>
    <w:p w14:paraId="7BB7109B" w14:textId="3B281DCD" w:rsidR="00A60A13" w:rsidRPr="00F234A2" w:rsidRDefault="00A60A13" w:rsidP="0095542C">
      <w:pPr>
        <w:tabs>
          <w:tab w:val="left" w:pos="540"/>
          <w:tab w:val="left" w:pos="569"/>
        </w:tabs>
        <w:jc w:val="both"/>
        <w:rPr>
          <w:b/>
          <w:bCs/>
          <w:sz w:val="22"/>
          <w:szCs w:val="22"/>
          <w:lang w:val="sr-Latn-ME"/>
        </w:rPr>
      </w:pPr>
    </w:p>
    <w:p w14:paraId="0D0C1060" w14:textId="4B724780" w:rsidR="00A60A13" w:rsidRPr="00F234A2" w:rsidRDefault="00A60A13" w:rsidP="0095542C">
      <w:pPr>
        <w:tabs>
          <w:tab w:val="left" w:pos="540"/>
          <w:tab w:val="left" w:pos="569"/>
        </w:tabs>
        <w:jc w:val="both"/>
        <w:rPr>
          <w:b/>
          <w:bCs/>
          <w:sz w:val="22"/>
          <w:szCs w:val="22"/>
          <w:lang w:val="sr-Latn-ME"/>
        </w:rPr>
      </w:pPr>
      <w:r w:rsidRPr="00F234A2">
        <w:rPr>
          <w:b/>
          <w:bCs/>
          <w:sz w:val="22"/>
          <w:szCs w:val="22"/>
          <w:lang w:val="sr-Latn-ME"/>
        </w:rPr>
        <w:t>Tabela 2</w:t>
      </w:r>
      <w:r w:rsidR="009A70BE">
        <w:rPr>
          <w:b/>
          <w:bCs/>
          <w:sz w:val="22"/>
          <w:szCs w:val="22"/>
          <w:lang w:val="sr-Latn-ME"/>
        </w:rPr>
        <w:t xml:space="preserve"> </w:t>
      </w:r>
      <w:r w:rsidRPr="00F234A2">
        <w:rPr>
          <w:b/>
          <w:bCs/>
          <w:sz w:val="22"/>
          <w:szCs w:val="22"/>
          <w:lang w:val="sr-Latn-ME"/>
        </w:rPr>
        <w:t>Neželjene reakcije prim</w:t>
      </w:r>
      <w:r w:rsidR="00472E1C" w:rsidRPr="00F234A2">
        <w:rPr>
          <w:b/>
          <w:bCs/>
          <w:sz w:val="22"/>
          <w:szCs w:val="22"/>
          <w:lang w:val="sr-Latn-ME"/>
        </w:rPr>
        <w:t>ij</w:t>
      </w:r>
      <w:r w:rsidRPr="00F234A2">
        <w:rPr>
          <w:b/>
          <w:bCs/>
          <w:sz w:val="22"/>
          <w:szCs w:val="22"/>
          <w:lang w:val="sr-Latn-ME"/>
        </w:rPr>
        <w:t>ećene uz asciminib u kliničkim ispitivanjima</w:t>
      </w:r>
    </w:p>
    <w:p w14:paraId="46B78738" w14:textId="09CB4F68" w:rsidR="00A60A13" w:rsidRPr="00F234A2" w:rsidRDefault="00A60A13" w:rsidP="00480FB1">
      <w:pPr>
        <w:tabs>
          <w:tab w:val="left" w:pos="540"/>
          <w:tab w:val="left" w:pos="569"/>
        </w:tabs>
        <w:rPr>
          <w:b/>
          <w:bCs/>
          <w:sz w:val="22"/>
          <w:szCs w:val="22"/>
          <w:lang w:val="sr-Latn-M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701"/>
        <w:gridCol w:w="4536"/>
      </w:tblGrid>
      <w:tr w:rsidR="00A60A13" w:rsidRPr="00F234A2" w14:paraId="06137D07" w14:textId="77777777" w:rsidTr="00DA1165">
        <w:trPr>
          <w:cantSplit/>
          <w:trHeight w:val="478"/>
        </w:trPr>
        <w:tc>
          <w:tcPr>
            <w:tcW w:w="2830" w:type="dxa"/>
            <w:tcBorders>
              <w:top w:val="single" w:sz="4" w:space="0" w:color="auto"/>
              <w:left w:val="single" w:sz="4" w:space="0" w:color="auto"/>
              <w:bottom w:val="single" w:sz="4" w:space="0" w:color="auto"/>
              <w:right w:val="single" w:sz="4" w:space="0" w:color="auto"/>
            </w:tcBorders>
            <w:vAlign w:val="center"/>
            <w:hideMark/>
          </w:tcPr>
          <w:p w14:paraId="5A4048E0" w14:textId="77777777" w:rsidR="00A60A13" w:rsidRPr="00F234A2" w:rsidRDefault="00A60A13" w:rsidP="00304249">
            <w:pPr>
              <w:keepNext/>
              <w:keepLines/>
              <w:rPr>
                <w:rFonts w:eastAsia="MS Mincho"/>
                <w:b/>
                <w:bCs/>
                <w:sz w:val="22"/>
                <w:szCs w:val="22"/>
                <w:lang w:val="sr-Latn-ME" w:eastAsia="zh-CN"/>
              </w:rPr>
            </w:pPr>
            <w:r w:rsidRPr="00F234A2">
              <w:rPr>
                <w:rFonts w:eastAsia="MS Mincho"/>
                <w:b/>
                <w:bCs/>
                <w:sz w:val="22"/>
                <w:szCs w:val="22"/>
                <w:lang w:val="sr-Latn-ME" w:eastAsia="zh-CN"/>
              </w:rPr>
              <w:t>Klasa sistema organa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389981" w14:textId="77777777" w:rsidR="00A60A13" w:rsidRPr="00F234A2" w:rsidRDefault="00A60A13" w:rsidP="00304249">
            <w:pPr>
              <w:keepNext/>
              <w:keepLines/>
              <w:rPr>
                <w:rFonts w:eastAsia="MS Mincho"/>
                <w:b/>
                <w:sz w:val="22"/>
                <w:szCs w:val="22"/>
                <w:lang w:val="sr-Latn-ME" w:eastAsia="zh-CN"/>
              </w:rPr>
            </w:pPr>
            <w:r w:rsidRPr="00F234A2">
              <w:rPr>
                <w:rFonts w:eastAsia="MS Mincho"/>
                <w:b/>
                <w:sz w:val="22"/>
                <w:szCs w:val="22"/>
                <w:lang w:val="sr-Latn-ME" w:eastAsia="zh-CN"/>
              </w:rPr>
              <w:t>Kategorija učestalosti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965EBC9" w14:textId="77777777" w:rsidR="00A60A13" w:rsidRPr="00F234A2" w:rsidRDefault="00A60A13" w:rsidP="00304249">
            <w:pPr>
              <w:keepNext/>
              <w:keepLines/>
              <w:tabs>
                <w:tab w:val="left" w:pos="8505"/>
              </w:tabs>
              <w:rPr>
                <w:rFonts w:eastAsia="MS Mincho"/>
                <w:b/>
                <w:sz w:val="22"/>
                <w:szCs w:val="22"/>
                <w:lang w:val="sr-Latn-ME" w:eastAsia="zh-CN"/>
              </w:rPr>
            </w:pPr>
            <w:r w:rsidRPr="00F234A2">
              <w:rPr>
                <w:b/>
                <w:sz w:val="22"/>
                <w:szCs w:val="22"/>
                <w:lang w:val="sr-Latn-ME"/>
              </w:rPr>
              <w:t>Neželjena reakcija</w:t>
            </w:r>
          </w:p>
        </w:tc>
      </w:tr>
      <w:tr w:rsidR="00A60A13" w:rsidRPr="00F234A2" w14:paraId="3F99D454" w14:textId="77777777" w:rsidTr="00DA1165">
        <w:trPr>
          <w:cantSplit/>
          <w:trHeight w:val="117"/>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34B02473"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Infekcije i infestacije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731E60"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Veoma 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F613778"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Infekcija gornjih disajnih puteva</w:t>
            </w:r>
            <w:r w:rsidRPr="00F234A2">
              <w:rPr>
                <w:rFonts w:eastAsia="MS Mincho"/>
                <w:sz w:val="22"/>
                <w:szCs w:val="22"/>
                <w:vertAlign w:val="superscript"/>
                <w:lang w:val="sr-Latn-ME" w:eastAsia="zh-CN"/>
              </w:rPr>
              <w:t>1</w:t>
            </w:r>
          </w:p>
        </w:tc>
      </w:tr>
      <w:tr w:rsidR="00A60A13" w:rsidRPr="00F234A2" w14:paraId="75CFE181" w14:textId="77777777" w:rsidTr="00DA1165">
        <w:trPr>
          <w:cantSplit/>
          <w:trHeight w:val="262"/>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0B737D46" w14:textId="77777777" w:rsidR="00A60A13" w:rsidRPr="00F234A2" w:rsidRDefault="00A60A13" w:rsidP="00304249">
            <w:pPr>
              <w:rPr>
                <w:rFonts w:eastAsia="MS Mincho"/>
                <w:sz w:val="22"/>
                <w:szCs w:val="22"/>
                <w:lang w:val="sr-Latn-ME" w:eastAsia="zh-C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899A957"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A02504F"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Infekcija donjih disajnih puteva</w:t>
            </w:r>
            <w:r w:rsidRPr="00F234A2">
              <w:rPr>
                <w:rFonts w:eastAsia="MS Mincho"/>
                <w:sz w:val="22"/>
                <w:szCs w:val="22"/>
                <w:vertAlign w:val="superscript"/>
                <w:lang w:val="sr-Latn-ME" w:eastAsia="zh-CN"/>
              </w:rPr>
              <w:t>2</w:t>
            </w:r>
            <w:r w:rsidRPr="00F234A2">
              <w:rPr>
                <w:rFonts w:eastAsia="MS Mincho"/>
                <w:sz w:val="22"/>
                <w:szCs w:val="22"/>
                <w:lang w:val="sr-Latn-ME" w:eastAsia="zh-CN"/>
              </w:rPr>
              <w:t>,</w:t>
            </w:r>
            <w:r w:rsidRPr="00F234A2">
              <w:rPr>
                <w:sz w:val="22"/>
                <w:szCs w:val="22"/>
                <w:lang w:val="sr-Latn-ME"/>
              </w:rPr>
              <w:t xml:space="preserve"> grip</w:t>
            </w:r>
          </w:p>
        </w:tc>
      </w:tr>
      <w:tr w:rsidR="00A60A13" w:rsidRPr="00F234A2" w14:paraId="6CA70380" w14:textId="77777777" w:rsidTr="00DA1165">
        <w:trPr>
          <w:cantSplit/>
          <w:trHeight w:val="265"/>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430B06E7"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Poremećaji krvi i limfnog sistema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149B45"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Veoma 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6956741"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Trombocitopenija</w:t>
            </w:r>
            <w:r w:rsidRPr="00F234A2">
              <w:rPr>
                <w:rFonts w:eastAsia="MS Mincho"/>
                <w:sz w:val="22"/>
                <w:szCs w:val="22"/>
                <w:vertAlign w:val="superscript"/>
                <w:lang w:val="sr-Latn-ME" w:eastAsia="zh-CN"/>
              </w:rPr>
              <w:t>3</w:t>
            </w:r>
            <w:r w:rsidRPr="00F234A2">
              <w:rPr>
                <w:rFonts w:eastAsia="MS Mincho"/>
                <w:sz w:val="22"/>
                <w:szCs w:val="22"/>
                <w:lang w:val="sr-Latn-ME" w:eastAsia="zh-CN"/>
              </w:rPr>
              <w:t>, neutropenija</w:t>
            </w:r>
            <w:r w:rsidRPr="00F234A2">
              <w:rPr>
                <w:rFonts w:eastAsia="MS Mincho"/>
                <w:sz w:val="22"/>
                <w:szCs w:val="22"/>
                <w:vertAlign w:val="superscript"/>
                <w:lang w:val="sr-Latn-ME" w:eastAsia="zh-CN"/>
              </w:rPr>
              <w:t>4</w:t>
            </w:r>
            <w:r w:rsidRPr="00F234A2">
              <w:rPr>
                <w:rFonts w:eastAsia="MS Mincho"/>
                <w:sz w:val="22"/>
                <w:szCs w:val="22"/>
                <w:lang w:val="sr-Latn-ME" w:eastAsia="zh-CN"/>
              </w:rPr>
              <w:t>, anemija</w:t>
            </w:r>
            <w:r w:rsidRPr="00F234A2">
              <w:rPr>
                <w:rFonts w:eastAsia="MS Mincho"/>
                <w:sz w:val="22"/>
                <w:szCs w:val="22"/>
                <w:vertAlign w:val="superscript"/>
                <w:lang w:val="sr-Latn-ME" w:eastAsia="zh-CN"/>
              </w:rPr>
              <w:t>5</w:t>
            </w:r>
          </w:p>
        </w:tc>
      </w:tr>
      <w:tr w:rsidR="00A60A13" w:rsidRPr="00F234A2" w14:paraId="4BF5C291" w14:textId="77777777" w:rsidTr="00DA1165">
        <w:trPr>
          <w:cantSplit/>
          <w:trHeight w:val="142"/>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5E3E2C00" w14:textId="77777777" w:rsidR="00A60A13" w:rsidRPr="00F234A2" w:rsidRDefault="00A60A13" w:rsidP="00304249">
            <w:pPr>
              <w:rPr>
                <w:rFonts w:eastAsia="MS Mincho"/>
                <w:sz w:val="22"/>
                <w:szCs w:val="22"/>
                <w:lang w:val="sr-Latn-ME" w:eastAsia="zh-C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22AE86D"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Povremeno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3234AB5" w14:textId="1D76BDF7" w:rsidR="00A60A13" w:rsidRPr="00F234A2" w:rsidRDefault="00A60A13" w:rsidP="00304249">
            <w:pPr>
              <w:keepNext/>
              <w:keepLines/>
              <w:rPr>
                <w:rFonts w:eastAsia="MS Mincho"/>
                <w:sz w:val="22"/>
                <w:szCs w:val="22"/>
                <w:vertAlign w:val="superscript"/>
                <w:lang w:val="sr-Latn-ME" w:eastAsia="zh-CN"/>
              </w:rPr>
            </w:pPr>
            <w:r w:rsidRPr="00F234A2">
              <w:rPr>
                <w:rFonts w:eastAsia="MS Mincho"/>
                <w:sz w:val="22"/>
                <w:szCs w:val="22"/>
                <w:lang w:val="sr-Latn-ME" w:eastAsia="zh-CN"/>
              </w:rPr>
              <w:t>Febrilna neutropenija</w:t>
            </w:r>
            <w:r w:rsidR="00814007" w:rsidRPr="00814007">
              <w:rPr>
                <w:rFonts w:eastAsia="MS Mincho"/>
                <w:sz w:val="22"/>
                <w:szCs w:val="22"/>
                <w:lang w:val="sr-Latn-ME" w:eastAsia="zh-CN"/>
              </w:rPr>
              <w:t>, pancitopenija</w:t>
            </w:r>
          </w:p>
        </w:tc>
      </w:tr>
      <w:tr w:rsidR="00DA1165" w:rsidRPr="00F234A2" w14:paraId="58DAE4B9" w14:textId="77777777" w:rsidTr="00DA1165">
        <w:trPr>
          <w:cantSplit/>
          <w:trHeight w:val="142"/>
        </w:trPr>
        <w:tc>
          <w:tcPr>
            <w:tcW w:w="2830" w:type="dxa"/>
            <w:tcBorders>
              <w:top w:val="single" w:sz="4" w:space="0" w:color="auto"/>
              <w:left w:val="single" w:sz="4" w:space="0" w:color="auto"/>
              <w:bottom w:val="single" w:sz="4" w:space="0" w:color="auto"/>
              <w:right w:val="single" w:sz="4" w:space="0" w:color="auto"/>
            </w:tcBorders>
            <w:vAlign w:val="center"/>
          </w:tcPr>
          <w:p w14:paraId="76E66F65" w14:textId="5033DA34" w:rsidR="00DA1165" w:rsidRPr="00F234A2" w:rsidRDefault="00DA1165" w:rsidP="00304249">
            <w:pPr>
              <w:rPr>
                <w:rFonts w:eastAsia="MS Mincho"/>
                <w:sz w:val="22"/>
                <w:szCs w:val="22"/>
                <w:lang w:val="sr-Latn-ME" w:eastAsia="zh-CN"/>
              </w:rPr>
            </w:pPr>
            <w:r w:rsidRPr="00F234A2">
              <w:rPr>
                <w:rFonts w:eastAsia="MS Mincho"/>
                <w:sz w:val="22"/>
                <w:szCs w:val="22"/>
                <w:lang w:val="sr-Latn-ME" w:eastAsia="zh-CN"/>
              </w:rPr>
              <w:t>Poremećaji imunog sistema</w:t>
            </w:r>
          </w:p>
        </w:tc>
        <w:tc>
          <w:tcPr>
            <w:tcW w:w="1701" w:type="dxa"/>
            <w:tcBorders>
              <w:top w:val="single" w:sz="4" w:space="0" w:color="auto"/>
              <w:left w:val="single" w:sz="4" w:space="0" w:color="auto"/>
              <w:bottom w:val="single" w:sz="4" w:space="0" w:color="auto"/>
              <w:right w:val="single" w:sz="4" w:space="0" w:color="auto"/>
            </w:tcBorders>
            <w:vAlign w:val="center"/>
          </w:tcPr>
          <w:p w14:paraId="014C6138" w14:textId="3BD31247" w:rsidR="00DA1165" w:rsidRPr="00F234A2" w:rsidRDefault="00DA1165" w:rsidP="00304249">
            <w:pPr>
              <w:keepNext/>
              <w:keepLines/>
              <w:rPr>
                <w:rFonts w:eastAsia="MS Mincho"/>
                <w:sz w:val="22"/>
                <w:szCs w:val="22"/>
                <w:lang w:val="sr-Latn-ME" w:eastAsia="zh-CN"/>
              </w:rPr>
            </w:pPr>
            <w:r w:rsidRPr="00F234A2">
              <w:rPr>
                <w:rFonts w:eastAsia="MS Mincho"/>
                <w:sz w:val="22"/>
                <w:szCs w:val="22"/>
                <w:lang w:val="sr-Latn-ME" w:eastAsia="zh-CN"/>
              </w:rPr>
              <w:t>Povremeno</w:t>
            </w:r>
          </w:p>
        </w:tc>
        <w:tc>
          <w:tcPr>
            <w:tcW w:w="4536" w:type="dxa"/>
            <w:tcBorders>
              <w:top w:val="single" w:sz="4" w:space="0" w:color="auto"/>
              <w:left w:val="single" w:sz="4" w:space="0" w:color="auto"/>
              <w:bottom w:val="single" w:sz="4" w:space="0" w:color="auto"/>
              <w:right w:val="single" w:sz="4" w:space="0" w:color="auto"/>
            </w:tcBorders>
            <w:vAlign w:val="center"/>
          </w:tcPr>
          <w:p w14:paraId="6A3A47A1" w14:textId="52EC4E87" w:rsidR="00DA1165" w:rsidRPr="00F234A2" w:rsidRDefault="00DA1165" w:rsidP="00304249">
            <w:pPr>
              <w:keepNext/>
              <w:keepLines/>
              <w:rPr>
                <w:rFonts w:eastAsia="MS Mincho"/>
                <w:sz w:val="22"/>
                <w:szCs w:val="22"/>
                <w:lang w:val="sr-Latn-ME" w:eastAsia="zh-CN"/>
              </w:rPr>
            </w:pPr>
            <w:r w:rsidRPr="00F234A2">
              <w:rPr>
                <w:rFonts w:eastAsia="MS Mincho"/>
                <w:sz w:val="22"/>
                <w:szCs w:val="22"/>
                <w:lang w:val="sr-Latn-ME" w:eastAsia="zh-CN"/>
              </w:rPr>
              <w:t>Preosjetljivost</w:t>
            </w:r>
          </w:p>
        </w:tc>
      </w:tr>
      <w:tr w:rsidR="00A60A13" w:rsidRPr="00F234A2" w14:paraId="688DC0B2" w14:textId="77777777" w:rsidTr="00DA1165">
        <w:trPr>
          <w:cantSplit/>
          <w:trHeight w:val="223"/>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2E361316"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Poremećaji metabolizma i ishrane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8707BC"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Veoma 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640A1D9"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Dislipidemija</w:t>
            </w:r>
            <w:r w:rsidRPr="00F234A2">
              <w:rPr>
                <w:rFonts w:eastAsia="MS Mincho"/>
                <w:sz w:val="22"/>
                <w:szCs w:val="22"/>
                <w:vertAlign w:val="superscript"/>
                <w:lang w:val="sr-Latn-ME" w:eastAsia="zh-CN"/>
              </w:rPr>
              <w:t>6</w:t>
            </w:r>
          </w:p>
        </w:tc>
      </w:tr>
      <w:tr w:rsidR="00A60A13" w:rsidRPr="00F234A2" w14:paraId="28D7FD48" w14:textId="77777777" w:rsidTr="00DA1165">
        <w:trPr>
          <w:cantSplit/>
          <w:trHeight w:val="53"/>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12655B7" w14:textId="77777777" w:rsidR="00A60A13" w:rsidRPr="00F234A2" w:rsidRDefault="00A60A13" w:rsidP="00304249">
            <w:pPr>
              <w:rPr>
                <w:rFonts w:eastAsia="MS Mincho"/>
                <w:sz w:val="22"/>
                <w:szCs w:val="22"/>
                <w:lang w:val="sr-Latn-ME" w:eastAsia="zh-C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6B31A48"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0041CF7"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Smanjeni apetit, hiperglikemija</w:t>
            </w:r>
          </w:p>
        </w:tc>
      </w:tr>
      <w:tr w:rsidR="00A60A13" w:rsidRPr="00F234A2" w14:paraId="50C3EFD7" w14:textId="77777777" w:rsidTr="00DA1165">
        <w:trPr>
          <w:cantSplit/>
          <w:trHeight w:val="228"/>
        </w:trPr>
        <w:tc>
          <w:tcPr>
            <w:tcW w:w="2830" w:type="dxa"/>
            <w:tcBorders>
              <w:top w:val="single" w:sz="4" w:space="0" w:color="auto"/>
              <w:left w:val="single" w:sz="4" w:space="0" w:color="auto"/>
              <w:bottom w:val="single" w:sz="4" w:space="0" w:color="auto"/>
              <w:right w:val="single" w:sz="4" w:space="0" w:color="auto"/>
            </w:tcBorders>
            <w:vAlign w:val="center"/>
            <w:hideMark/>
          </w:tcPr>
          <w:p w14:paraId="011C8CED"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Poremećaji nervnog sistema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570470"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Veoma 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8521A34"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Glavobolja, vrtoglavica</w:t>
            </w:r>
          </w:p>
        </w:tc>
      </w:tr>
      <w:tr w:rsidR="00A60A13" w:rsidRPr="00F234A2" w14:paraId="425B79DB" w14:textId="77777777" w:rsidTr="00DA1165">
        <w:trPr>
          <w:cantSplit/>
          <w:trHeight w:val="259"/>
        </w:trPr>
        <w:tc>
          <w:tcPr>
            <w:tcW w:w="2830" w:type="dxa"/>
            <w:tcBorders>
              <w:top w:val="single" w:sz="4" w:space="0" w:color="auto"/>
              <w:left w:val="single" w:sz="4" w:space="0" w:color="auto"/>
              <w:bottom w:val="single" w:sz="4" w:space="0" w:color="auto"/>
              <w:right w:val="single" w:sz="4" w:space="0" w:color="auto"/>
            </w:tcBorders>
            <w:vAlign w:val="center"/>
            <w:hideMark/>
          </w:tcPr>
          <w:p w14:paraId="07D4F8BB"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Poremećaji oka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56C772"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C2E2C04"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Suvo oko, zamagljeni vid</w:t>
            </w:r>
          </w:p>
        </w:tc>
      </w:tr>
      <w:tr w:rsidR="00A60A13" w:rsidRPr="00F234A2" w14:paraId="5437F6F5" w14:textId="77777777" w:rsidTr="00DA1165">
        <w:trPr>
          <w:cantSplit/>
          <w:trHeight w:val="277"/>
        </w:trPr>
        <w:tc>
          <w:tcPr>
            <w:tcW w:w="2830" w:type="dxa"/>
            <w:tcBorders>
              <w:top w:val="single" w:sz="4" w:space="0" w:color="auto"/>
              <w:left w:val="single" w:sz="4" w:space="0" w:color="auto"/>
              <w:bottom w:val="single" w:sz="4" w:space="0" w:color="auto"/>
              <w:right w:val="single" w:sz="4" w:space="0" w:color="auto"/>
            </w:tcBorders>
            <w:vAlign w:val="center"/>
            <w:hideMark/>
          </w:tcPr>
          <w:p w14:paraId="4A5EAFAF"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Kardiološki poremećaji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86A058"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0C22CA8"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Palpitacije</w:t>
            </w:r>
          </w:p>
        </w:tc>
      </w:tr>
      <w:tr w:rsidR="00A60A13" w:rsidRPr="00F234A2" w14:paraId="00B0B318" w14:textId="77777777" w:rsidTr="00DA1165">
        <w:trPr>
          <w:cantSplit/>
          <w:trHeight w:val="267"/>
        </w:trPr>
        <w:tc>
          <w:tcPr>
            <w:tcW w:w="2830" w:type="dxa"/>
            <w:tcBorders>
              <w:top w:val="single" w:sz="4" w:space="0" w:color="auto"/>
              <w:left w:val="single" w:sz="4" w:space="0" w:color="auto"/>
              <w:bottom w:val="single" w:sz="4" w:space="0" w:color="auto"/>
              <w:right w:val="single" w:sz="4" w:space="0" w:color="auto"/>
            </w:tcBorders>
            <w:vAlign w:val="center"/>
            <w:hideMark/>
          </w:tcPr>
          <w:p w14:paraId="0209EB40"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 xml:space="preserve">Vaskularni poremećaji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92AC59" w14:textId="77777777" w:rsidR="00A60A13" w:rsidRPr="00F234A2" w:rsidRDefault="00A60A13" w:rsidP="00304249">
            <w:pPr>
              <w:keepNext/>
              <w:keepLines/>
              <w:rPr>
                <w:sz w:val="22"/>
                <w:szCs w:val="22"/>
                <w:lang w:val="sr-Latn-ME"/>
              </w:rPr>
            </w:pPr>
            <w:r w:rsidRPr="00F234A2">
              <w:rPr>
                <w:rFonts w:eastAsia="MS Mincho"/>
                <w:sz w:val="22"/>
                <w:szCs w:val="22"/>
                <w:lang w:val="sr-Latn-ME" w:eastAsia="zh-CN"/>
              </w:rPr>
              <w:t>Veoma 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2EAB1B9" w14:textId="77777777" w:rsidR="00A60A13" w:rsidRPr="00F234A2" w:rsidRDefault="00A60A13" w:rsidP="00304249">
            <w:pPr>
              <w:keepNext/>
              <w:keepLines/>
              <w:rPr>
                <w:rFonts w:eastAsia="MS Mincho"/>
                <w:sz w:val="22"/>
                <w:szCs w:val="22"/>
                <w:lang w:val="sr-Latn-ME" w:eastAsia="zh-CN"/>
              </w:rPr>
            </w:pPr>
            <w:r w:rsidRPr="00F234A2">
              <w:rPr>
                <w:color w:val="000000"/>
                <w:sz w:val="22"/>
                <w:szCs w:val="22"/>
                <w:lang w:val="sr-Latn-ME"/>
              </w:rPr>
              <w:t>Hipertenzija</w:t>
            </w:r>
            <w:r w:rsidRPr="00F234A2">
              <w:rPr>
                <w:color w:val="000000"/>
                <w:sz w:val="22"/>
                <w:szCs w:val="22"/>
                <w:vertAlign w:val="superscript"/>
                <w:lang w:val="sr-Latn-ME"/>
              </w:rPr>
              <w:t>7</w:t>
            </w:r>
          </w:p>
        </w:tc>
      </w:tr>
      <w:tr w:rsidR="00A60A13" w:rsidRPr="00F234A2" w14:paraId="2F3ACEC7" w14:textId="77777777" w:rsidTr="00DA1165">
        <w:trPr>
          <w:cantSplit/>
          <w:trHeight w:val="167"/>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15D34BA2"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Respiratorni, torakalni i medijastinalni poremećaji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093AE5"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Veoma 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B2540FD" w14:textId="6B71356F" w:rsidR="00A60A13" w:rsidRPr="00F234A2" w:rsidRDefault="00814007" w:rsidP="00304249">
            <w:pPr>
              <w:keepNext/>
              <w:keepLines/>
              <w:rPr>
                <w:rFonts w:eastAsia="MS Mincho"/>
                <w:sz w:val="22"/>
                <w:szCs w:val="22"/>
                <w:lang w:val="sr-Latn-ME" w:eastAsia="zh-CN"/>
              </w:rPr>
            </w:pPr>
            <w:r w:rsidRPr="00814007">
              <w:rPr>
                <w:rFonts w:eastAsia="MS Mincho"/>
                <w:sz w:val="22"/>
                <w:szCs w:val="22"/>
                <w:lang w:val="sr-Latn-ME" w:eastAsia="zh-CN"/>
              </w:rPr>
              <w:t xml:space="preserve">Dispneja, </w:t>
            </w:r>
            <w:r>
              <w:rPr>
                <w:rFonts w:eastAsia="MS Mincho"/>
                <w:sz w:val="22"/>
                <w:szCs w:val="22"/>
                <w:lang w:val="sr-Latn-ME" w:eastAsia="zh-CN"/>
              </w:rPr>
              <w:t>k</w:t>
            </w:r>
            <w:r w:rsidR="00A60A13" w:rsidRPr="00F234A2">
              <w:rPr>
                <w:rFonts w:eastAsia="MS Mincho"/>
                <w:sz w:val="22"/>
                <w:szCs w:val="22"/>
                <w:lang w:val="sr-Latn-ME" w:eastAsia="zh-CN"/>
              </w:rPr>
              <w:t>ašalj</w:t>
            </w:r>
          </w:p>
        </w:tc>
      </w:tr>
      <w:tr w:rsidR="00A60A13" w:rsidRPr="00F234A2" w14:paraId="77D79462" w14:textId="77777777" w:rsidTr="00DA1165">
        <w:trPr>
          <w:cantSplit/>
          <w:trHeight w:val="272"/>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E1B69DA" w14:textId="77777777" w:rsidR="00A60A13" w:rsidRPr="00F234A2" w:rsidRDefault="00A60A13" w:rsidP="00304249">
            <w:pPr>
              <w:rPr>
                <w:rFonts w:eastAsia="MS Mincho"/>
                <w:sz w:val="22"/>
                <w:szCs w:val="22"/>
                <w:lang w:val="sr-Latn-ME" w:eastAsia="zh-C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CB8CDEC"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8C0CF25" w14:textId="711BDB22"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Pleuralni izliv, nekardijalni bol u grudima</w:t>
            </w:r>
          </w:p>
        </w:tc>
      </w:tr>
      <w:tr w:rsidR="00A60A13" w:rsidRPr="00F234A2" w14:paraId="267DAE13" w14:textId="77777777" w:rsidTr="00DA1165">
        <w:trPr>
          <w:cantSplit/>
          <w:trHeight w:val="403"/>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24645A8E"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Gastrointestinalni poremećaji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F2C33E"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Veoma 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438EA34"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Povećanje enzima pankreasa</w:t>
            </w:r>
            <w:r w:rsidRPr="00F234A2">
              <w:rPr>
                <w:rFonts w:eastAsia="MS Mincho"/>
                <w:sz w:val="22"/>
                <w:szCs w:val="22"/>
                <w:vertAlign w:val="superscript"/>
                <w:lang w:val="sr-Latn-ME" w:eastAsia="zh-CN"/>
              </w:rPr>
              <w:t>8</w:t>
            </w:r>
            <w:r w:rsidRPr="00F234A2">
              <w:rPr>
                <w:rFonts w:eastAsia="MS Mincho"/>
                <w:sz w:val="22"/>
                <w:szCs w:val="22"/>
                <w:lang w:val="sr-Latn-ME" w:eastAsia="zh-CN"/>
              </w:rPr>
              <w:t>, povraćanje, proliv, mučnina, bol u abdomenu</w:t>
            </w:r>
            <w:r w:rsidRPr="00F234A2">
              <w:rPr>
                <w:rFonts w:eastAsia="MS Mincho"/>
                <w:sz w:val="22"/>
                <w:szCs w:val="22"/>
                <w:vertAlign w:val="superscript"/>
                <w:lang w:val="sr-Latn-ME" w:eastAsia="zh-CN"/>
              </w:rPr>
              <w:t>9</w:t>
            </w:r>
          </w:p>
        </w:tc>
      </w:tr>
      <w:tr w:rsidR="00A60A13" w:rsidRPr="00F234A2" w14:paraId="61711C87" w14:textId="77777777" w:rsidTr="00DA1165">
        <w:trPr>
          <w:cantSplit/>
          <w:trHeight w:val="237"/>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E8BD8EF" w14:textId="77777777" w:rsidR="00A60A13" w:rsidRPr="00F234A2" w:rsidRDefault="00A60A13" w:rsidP="00304249">
            <w:pPr>
              <w:rPr>
                <w:rFonts w:eastAsia="MS Mincho"/>
                <w:sz w:val="22"/>
                <w:szCs w:val="22"/>
                <w:lang w:val="sr-Latn-ME" w:eastAsia="zh-C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60E0DFC"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43B4920"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Pankreatitis</w:t>
            </w:r>
            <w:r w:rsidRPr="00F234A2">
              <w:rPr>
                <w:rFonts w:eastAsia="MS Mincho"/>
                <w:sz w:val="22"/>
                <w:szCs w:val="22"/>
                <w:vertAlign w:val="superscript"/>
                <w:lang w:val="sr-Latn-ME" w:eastAsia="zh-CN"/>
              </w:rPr>
              <w:t>10</w:t>
            </w:r>
          </w:p>
        </w:tc>
      </w:tr>
      <w:tr w:rsidR="00A60A13" w:rsidRPr="00F234A2" w14:paraId="17516038" w14:textId="77777777" w:rsidTr="00DA1165">
        <w:trPr>
          <w:cantSplit/>
          <w:trHeight w:val="277"/>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4B6040F5"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Hepatobilijarni poremećaji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A8CFA5"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Veoma 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532C235"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Povećanje enzima jetre</w:t>
            </w:r>
            <w:r w:rsidRPr="00F234A2">
              <w:rPr>
                <w:rFonts w:eastAsia="MS Mincho"/>
                <w:sz w:val="22"/>
                <w:szCs w:val="22"/>
                <w:vertAlign w:val="superscript"/>
                <w:lang w:val="sr-Latn-ME" w:eastAsia="zh-CN"/>
              </w:rPr>
              <w:t>11</w:t>
            </w:r>
          </w:p>
        </w:tc>
      </w:tr>
      <w:tr w:rsidR="00A60A13" w:rsidRPr="00F234A2" w14:paraId="2AEAEADF" w14:textId="77777777" w:rsidTr="00DA1165">
        <w:trPr>
          <w:cantSplit/>
          <w:trHeight w:val="24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7E50C94" w14:textId="77777777" w:rsidR="00A60A13" w:rsidRPr="00F234A2" w:rsidRDefault="00A60A13" w:rsidP="00304249">
            <w:pPr>
              <w:rPr>
                <w:rFonts w:eastAsia="MS Mincho"/>
                <w:sz w:val="22"/>
                <w:szCs w:val="22"/>
                <w:lang w:val="sr-Latn-ME" w:eastAsia="zh-C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9204124"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56FBE79"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Povećanje bilirubina u krvi</w:t>
            </w:r>
            <w:r w:rsidRPr="00F234A2">
              <w:rPr>
                <w:rFonts w:eastAsia="MS Mincho"/>
                <w:sz w:val="22"/>
                <w:szCs w:val="22"/>
                <w:vertAlign w:val="superscript"/>
                <w:lang w:val="sr-Latn-ME" w:eastAsia="zh-CN"/>
              </w:rPr>
              <w:t>12</w:t>
            </w:r>
          </w:p>
        </w:tc>
      </w:tr>
      <w:tr w:rsidR="00A60A13" w:rsidRPr="00F234A2" w14:paraId="0B286B56" w14:textId="77777777" w:rsidTr="00DA1165">
        <w:trPr>
          <w:cantSplit/>
          <w:trHeight w:val="277"/>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1141285C"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Poremećaji kože i potkožnog tkiva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B5FF82"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Veoma 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017C689" w14:textId="3F6C0D10" w:rsidR="00A60A13" w:rsidRPr="00814007" w:rsidRDefault="00A60A13" w:rsidP="00304249">
            <w:pPr>
              <w:keepNext/>
              <w:keepLines/>
              <w:rPr>
                <w:rFonts w:eastAsia="MS Mincho"/>
                <w:sz w:val="22"/>
                <w:szCs w:val="22"/>
                <w:lang w:val="sr-Latn-ME" w:eastAsia="zh-CN"/>
              </w:rPr>
            </w:pPr>
            <w:r w:rsidRPr="00F234A2">
              <w:rPr>
                <w:rFonts w:eastAsia="MS Mincho"/>
                <w:sz w:val="22"/>
                <w:szCs w:val="22"/>
                <w:lang w:val="sr-Latn-ME" w:eastAsia="zh-CN"/>
              </w:rPr>
              <w:t>Osip</w:t>
            </w:r>
            <w:r w:rsidRPr="00F234A2">
              <w:rPr>
                <w:rFonts w:eastAsia="MS Mincho"/>
                <w:sz w:val="22"/>
                <w:szCs w:val="22"/>
                <w:vertAlign w:val="superscript"/>
                <w:lang w:val="sr-Latn-ME" w:eastAsia="zh-CN"/>
              </w:rPr>
              <w:t>13</w:t>
            </w:r>
            <w:r w:rsidR="00814007" w:rsidRPr="00DD77A4">
              <w:rPr>
                <w:rFonts w:eastAsia="MS Mincho"/>
                <w:sz w:val="22"/>
                <w:szCs w:val="22"/>
                <w:lang w:val="sr-Latn-ME" w:eastAsia="zh-CN"/>
              </w:rPr>
              <w:t>, pruritus</w:t>
            </w:r>
          </w:p>
        </w:tc>
      </w:tr>
      <w:tr w:rsidR="00A60A13" w:rsidRPr="00F234A2" w14:paraId="6A3C5795" w14:textId="77777777" w:rsidTr="00DA1165">
        <w:trPr>
          <w:cantSplit/>
          <w:trHeight w:val="20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8AA757F" w14:textId="77777777" w:rsidR="00A60A13" w:rsidRPr="00F234A2" w:rsidRDefault="00A60A13" w:rsidP="00304249">
            <w:pPr>
              <w:rPr>
                <w:rFonts w:eastAsia="MS Mincho"/>
                <w:sz w:val="22"/>
                <w:szCs w:val="22"/>
                <w:lang w:val="sr-Latn-ME" w:eastAsia="zh-C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E6A45E8"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E0894AC"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Urtikarija</w:t>
            </w:r>
          </w:p>
        </w:tc>
      </w:tr>
      <w:tr w:rsidR="00A60A13" w:rsidRPr="00F234A2" w14:paraId="3D1096BB" w14:textId="77777777" w:rsidTr="00DA1165">
        <w:trPr>
          <w:cantSplit/>
          <w:trHeight w:val="373"/>
        </w:trPr>
        <w:tc>
          <w:tcPr>
            <w:tcW w:w="2830" w:type="dxa"/>
            <w:tcBorders>
              <w:top w:val="single" w:sz="4" w:space="0" w:color="auto"/>
              <w:left w:val="single" w:sz="4" w:space="0" w:color="auto"/>
              <w:bottom w:val="single" w:sz="4" w:space="0" w:color="auto"/>
              <w:right w:val="single" w:sz="4" w:space="0" w:color="auto"/>
            </w:tcBorders>
            <w:vAlign w:val="center"/>
            <w:hideMark/>
          </w:tcPr>
          <w:p w14:paraId="27F8EBD0"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Poremećaji mišićno</w:t>
            </w:r>
            <w:r w:rsidRPr="00F234A2">
              <w:rPr>
                <w:rFonts w:eastAsia="MS Mincho"/>
                <w:sz w:val="22"/>
                <w:szCs w:val="22"/>
                <w:lang w:val="sr-Latn-ME" w:eastAsia="zh-CN"/>
              </w:rPr>
              <w:noBreakHyphen/>
              <w:t>koštanog sistema i vezivnog tkiva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7B47A2"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Veoma 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B77C6BF"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Mišićno</w:t>
            </w:r>
            <w:r w:rsidRPr="00F234A2">
              <w:rPr>
                <w:rFonts w:eastAsia="MS Mincho"/>
                <w:sz w:val="22"/>
                <w:szCs w:val="22"/>
                <w:lang w:val="sr-Latn-ME" w:eastAsia="zh-CN"/>
              </w:rPr>
              <w:noBreakHyphen/>
              <w:t>koštani bol</w:t>
            </w:r>
            <w:r w:rsidRPr="00F234A2">
              <w:rPr>
                <w:rFonts w:eastAsia="MS Mincho"/>
                <w:sz w:val="22"/>
                <w:szCs w:val="22"/>
                <w:vertAlign w:val="superscript"/>
                <w:lang w:val="sr-Latn-ME" w:eastAsia="zh-CN"/>
              </w:rPr>
              <w:t>14</w:t>
            </w:r>
            <w:r w:rsidRPr="00F234A2">
              <w:rPr>
                <w:rFonts w:eastAsia="MS Mincho"/>
                <w:sz w:val="22"/>
                <w:szCs w:val="22"/>
                <w:lang w:val="sr-Latn-ME" w:eastAsia="zh-CN"/>
              </w:rPr>
              <w:t>, artralgija</w:t>
            </w:r>
          </w:p>
        </w:tc>
      </w:tr>
      <w:tr w:rsidR="00A60A13" w:rsidRPr="00F234A2" w14:paraId="76229B31" w14:textId="77777777" w:rsidTr="00DA1165">
        <w:trPr>
          <w:cantSplit/>
          <w:trHeight w:val="277"/>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40735BD3" w14:textId="4893B5B0"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Opšti poremećaju i reakcije na m</w:t>
            </w:r>
            <w:r w:rsidR="000B6873" w:rsidRPr="00F234A2">
              <w:rPr>
                <w:rFonts w:eastAsia="MS Mincho"/>
                <w:sz w:val="22"/>
                <w:szCs w:val="22"/>
                <w:lang w:val="sr-Latn-ME" w:eastAsia="zh-CN"/>
              </w:rPr>
              <w:t>j</w:t>
            </w:r>
            <w:r w:rsidRPr="00F234A2">
              <w:rPr>
                <w:rFonts w:eastAsia="MS Mincho"/>
                <w:sz w:val="22"/>
                <w:szCs w:val="22"/>
                <w:lang w:val="sr-Latn-ME" w:eastAsia="zh-CN"/>
              </w:rPr>
              <w:t xml:space="preserve">estu </w:t>
            </w:r>
            <w:r w:rsidR="0094593A" w:rsidRPr="00F234A2">
              <w:rPr>
                <w:rFonts w:eastAsia="MS Mincho"/>
                <w:sz w:val="22"/>
                <w:szCs w:val="22"/>
                <w:lang w:val="sr-Latn-ME" w:eastAsia="zh-CN"/>
              </w:rPr>
              <w:t>primjen</w:t>
            </w:r>
            <w:r w:rsidRPr="00F234A2">
              <w:rPr>
                <w:rFonts w:eastAsia="MS Mincho"/>
                <w:sz w:val="22"/>
                <w:szCs w:val="22"/>
                <w:lang w:val="sr-Latn-ME" w:eastAsia="zh-CN"/>
              </w:rPr>
              <w: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9689F7"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Veoma 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E379A2E" w14:textId="54B29246"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Umor</w:t>
            </w:r>
            <w:r w:rsidRPr="00F234A2">
              <w:rPr>
                <w:rFonts w:eastAsia="MS Mincho"/>
                <w:sz w:val="22"/>
                <w:szCs w:val="22"/>
                <w:vertAlign w:val="superscript"/>
                <w:lang w:val="sr-Latn-ME" w:eastAsia="zh-CN"/>
              </w:rPr>
              <w:t>15</w:t>
            </w:r>
            <w:r w:rsidRPr="00F234A2">
              <w:rPr>
                <w:rFonts w:eastAsia="MS Mincho"/>
                <w:sz w:val="22"/>
                <w:szCs w:val="22"/>
                <w:lang w:val="sr-Latn-ME" w:eastAsia="zh-CN"/>
              </w:rPr>
              <w:t xml:space="preserve">, </w:t>
            </w:r>
            <w:r w:rsidR="00814007" w:rsidRPr="00814007">
              <w:rPr>
                <w:rFonts w:eastAsia="MS Mincho"/>
                <w:sz w:val="22"/>
                <w:szCs w:val="22"/>
                <w:lang w:val="sr-Latn-ME" w:eastAsia="zh-CN"/>
              </w:rPr>
              <w:t>edem</w:t>
            </w:r>
            <w:r w:rsidR="00814007" w:rsidRPr="00DD77A4">
              <w:rPr>
                <w:rFonts w:eastAsia="MS Mincho"/>
                <w:sz w:val="22"/>
                <w:szCs w:val="22"/>
                <w:vertAlign w:val="superscript"/>
                <w:lang w:val="sr-Latn-ME" w:eastAsia="zh-CN"/>
              </w:rPr>
              <w:t>16</w:t>
            </w:r>
            <w:r w:rsidR="00814007" w:rsidRPr="00814007">
              <w:rPr>
                <w:rFonts w:eastAsia="MS Mincho"/>
                <w:sz w:val="22"/>
                <w:szCs w:val="22"/>
                <w:lang w:val="sr-Latn-ME" w:eastAsia="zh-CN"/>
              </w:rPr>
              <w:t>, pireksija</w:t>
            </w:r>
            <w:r w:rsidR="00814007" w:rsidRPr="00DD77A4">
              <w:rPr>
                <w:rFonts w:eastAsia="MS Mincho"/>
                <w:sz w:val="22"/>
                <w:szCs w:val="22"/>
                <w:vertAlign w:val="superscript"/>
                <w:lang w:val="sr-Latn-ME" w:eastAsia="zh-CN"/>
              </w:rPr>
              <w:t>17</w:t>
            </w:r>
          </w:p>
        </w:tc>
      </w:tr>
      <w:tr w:rsidR="00A60A13" w:rsidRPr="00F234A2" w14:paraId="2505D28A" w14:textId="77777777" w:rsidTr="00DA1165">
        <w:trPr>
          <w:cantSplit/>
          <w:trHeight w:val="116"/>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8A8A7C1" w14:textId="77777777" w:rsidR="00A60A13" w:rsidRPr="00F234A2" w:rsidRDefault="00A60A13" w:rsidP="00304249">
            <w:pPr>
              <w:rPr>
                <w:rFonts w:eastAsia="MS Mincho"/>
                <w:sz w:val="22"/>
                <w:szCs w:val="22"/>
                <w:lang w:val="sr-Latn-ME" w:eastAsia="zh-C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93861D1" w14:textId="61A2690F" w:rsidR="00A60A13" w:rsidRPr="00F234A2" w:rsidRDefault="00A60A13" w:rsidP="00304249">
            <w:pPr>
              <w:keepNext/>
              <w:keepLines/>
              <w:rPr>
                <w:rFonts w:eastAsia="MS Mincho"/>
                <w:sz w:val="22"/>
                <w:szCs w:val="22"/>
                <w:lang w:val="sr-Latn-ME"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330D6C70" w14:textId="1F7FF968" w:rsidR="00A60A13" w:rsidRPr="00F234A2" w:rsidRDefault="00A60A13" w:rsidP="00304249">
            <w:pPr>
              <w:keepNext/>
              <w:keepLines/>
              <w:rPr>
                <w:rFonts w:eastAsia="MS Mincho"/>
                <w:sz w:val="22"/>
                <w:szCs w:val="22"/>
                <w:lang w:val="sr-Latn-ME" w:eastAsia="zh-CN"/>
              </w:rPr>
            </w:pPr>
          </w:p>
        </w:tc>
      </w:tr>
      <w:tr w:rsidR="00A60A13" w:rsidRPr="00F234A2" w14:paraId="4E8390D2" w14:textId="77777777" w:rsidTr="00DA1165">
        <w:trPr>
          <w:cantSplit/>
          <w:trHeight w:val="277"/>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6B6AC768"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Ispitivanja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70C15C" w14:textId="77777777" w:rsidR="00A60A13" w:rsidRPr="00F234A2" w:rsidRDefault="00A60A13" w:rsidP="00304249">
            <w:pPr>
              <w:keepNext/>
              <w:keepLines/>
              <w:rPr>
                <w:rFonts w:eastAsia="MS Mincho"/>
                <w:sz w:val="22"/>
                <w:szCs w:val="22"/>
                <w:lang w:val="sr-Latn-ME" w:eastAsia="zh-CN"/>
              </w:rPr>
            </w:pPr>
            <w:r w:rsidRPr="00F234A2">
              <w:rPr>
                <w:rFonts w:eastAsia="MS Mincho"/>
                <w:sz w:val="22"/>
                <w:szCs w:val="22"/>
                <w:lang w:val="sr-Latn-ME" w:eastAsia="zh-CN"/>
              </w:rPr>
              <w:t>Često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2B6EBDE" w14:textId="0B8FDC28" w:rsidR="00A60A13" w:rsidRPr="00F234A2" w:rsidRDefault="00814007" w:rsidP="00304249">
            <w:pPr>
              <w:keepNext/>
              <w:keepLines/>
              <w:rPr>
                <w:rFonts w:eastAsia="MS Mincho"/>
                <w:sz w:val="22"/>
                <w:szCs w:val="22"/>
                <w:lang w:val="sr-Latn-ME" w:eastAsia="zh-CN"/>
              </w:rPr>
            </w:pPr>
            <w:r w:rsidRPr="00814007">
              <w:rPr>
                <w:rFonts w:eastAsia="MS Mincho"/>
                <w:sz w:val="22"/>
                <w:szCs w:val="22"/>
                <w:lang w:val="sr-Latn-ME" w:eastAsia="zh-CN"/>
              </w:rPr>
              <w:t xml:space="preserve">Produženje QT intervala na elektrokardiogramu </w:t>
            </w:r>
            <w:r>
              <w:rPr>
                <w:rFonts w:eastAsia="MS Mincho"/>
                <w:sz w:val="22"/>
                <w:szCs w:val="22"/>
                <w:lang w:val="sr-Latn-ME" w:eastAsia="zh-CN"/>
              </w:rPr>
              <w:t>p</w:t>
            </w:r>
            <w:r w:rsidR="00A60A13" w:rsidRPr="00F234A2">
              <w:rPr>
                <w:rFonts w:eastAsia="MS Mincho"/>
                <w:sz w:val="22"/>
                <w:szCs w:val="22"/>
                <w:lang w:val="sr-Latn-ME" w:eastAsia="zh-CN"/>
              </w:rPr>
              <w:t>ovećanje kreatin fosfokinaze u krvi</w:t>
            </w:r>
          </w:p>
        </w:tc>
      </w:tr>
      <w:tr w:rsidR="00A60A13" w:rsidRPr="00F234A2" w14:paraId="756419F2" w14:textId="77777777" w:rsidTr="00DA1165">
        <w:trPr>
          <w:cantSplit/>
          <w:trHeight w:val="277"/>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85794B8" w14:textId="77777777" w:rsidR="00A60A13" w:rsidRPr="00F234A2" w:rsidRDefault="00A60A13" w:rsidP="00304249">
            <w:pPr>
              <w:rPr>
                <w:rFonts w:eastAsia="MS Mincho"/>
                <w:sz w:val="22"/>
                <w:szCs w:val="22"/>
                <w:lang w:val="sr-Latn-ME" w:eastAsia="zh-C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2F114CF" w14:textId="28FDA80D" w:rsidR="00A60A13" w:rsidRPr="00F234A2" w:rsidRDefault="00A60A13" w:rsidP="00304249">
            <w:pPr>
              <w:keepNext/>
              <w:keepLines/>
              <w:rPr>
                <w:rFonts w:eastAsia="MS Mincho"/>
                <w:sz w:val="22"/>
                <w:szCs w:val="22"/>
                <w:lang w:val="sr-Latn-ME"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35B82B5B" w14:textId="68F683CA" w:rsidR="00A60A13" w:rsidRPr="00F234A2" w:rsidRDefault="00A60A13" w:rsidP="00304249">
            <w:pPr>
              <w:keepNext/>
              <w:keepLines/>
              <w:rPr>
                <w:rFonts w:eastAsia="MS Mincho"/>
                <w:sz w:val="22"/>
                <w:szCs w:val="22"/>
                <w:lang w:val="sr-Latn-ME" w:eastAsia="zh-CN"/>
              </w:rPr>
            </w:pPr>
          </w:p>
        </w:tc>
      </w:tr>
      <w:tr w:rsidR="00A60A13" w:rsidRPr="00F234A2" w14:paraId="2F91573E" w14:textId="77777777" w:rsidTr="00DA1165">
        <w:trPr>
          <w:cantSplit/>
          <w:trHeight w:val="397"/>
        </w:trPr>
        <w:tc>
          <w:tcPr>
            <w:tcW w:w="9067" w:type="dxa"/>
            <w:gridSpan w:val="3"/>
            <w:tcBorders>
              <w:top w:val="single" w:sz="4" w:space="0" w:color="auto"/>
              <w:left w:val="single" w:sz="4" w:space="0" w:color="auto"/>
              <w:bottom w:val="single" w:sz="4" w:space="0" w:color="auto"/>
              <w:right w:val="single" w:sz="4" w:space="0" w:color="auto"/>
            </w:tcBorders>
            <w:vAlign w:val="center"/>
            <w:hideMark/>
          </w:tcPr>
          <w:p w14:paraId="1C445B97" w14:textId="77777777" w:rsidR="00A60A13" w:rsidRPr="00F234A2" w:rsidRDefault="00A60A13" w:rsidP="00427FDB">
            <w:pPr>
              <w:pStyle w:val="Table"/>
              <w:keepLines w:val="0"/>
              <w:spacing w:before="0" w:after="0"/>
              <w:ind w:left="308" w:hanging="308"/>
              <w:jc w:val="both"/>
              <w:rPr>
                <w:rFonts w:ascii="Times New Roman" w:hAnsi="Times New Roman" w:cs="Times New Roman"/>
                <w:color w:val="000000" w:themeColor="text1"/>
                <w:sz w:val="22"/>
                <w:szCs w:val="22"/>
                <w:lang w:val="sr-Latn-ME"/>
              </w:rPr>
            </w:pPr>
            <w:r w:rsidRPr="00F234A2">
              <w:rPr>
                <w:rFonts w:ascii="Times New Roman" w:hAnsi="Times New Roman" w:cs="Times New Roman"/>
                <w:color w:val="000000" w:themeColor="text1"/>
                <w:sz w:val="22"/>
                <w:szCs w:val="22"/>
                <w:vertAlign w:val="superscript"/>
                <w:lang w:val="sr-Latn-ME"/>
              </w:rPr>
              <w:lastRenderedPageBreak/>
              <w:t>1</w:t>
            </w:r>
            <w:r w:rsidRPr="00F234A2">
              <w:rPr>
                <w:rFonts w:ascii="Times New Roman" w:hAnsi="Times New Roman" w:cs="Times New Roman"/>
                <w:color w:val="000000" w:themeColor="text1"/>
                <w:sz w:val="22"/>
                <w:szCs w:val="22"/>
                <w:lang w:val="sr-Latn-ME"/>
              </w:rPr>
              <w:tab/>
              <w:t>Infekcija gornjih disajnih puteva uključuje: infekciju gornjih disajnih puteva, nazofaringitis, faringitis i rinitis.</w:t>
            </w:r>
          </w:p>
          <w:p w14:paraId="057A814E" w14:textId="77777777" w:rsidR="00A60A13" w:rsidRPr="00F234A2" w:rsidRDefault="00A60A13" w:rsidP="00427FDB">
            <w:pPr>
              <w:pStyle w:val="Table"/>
              <w:keepLines w:val="0"/>
              <w:spacing w:before="0" w:after="0"/>
              <w:ind w:left="308" w:hanging="308"/>
              <w:jc w:val="both"/>
              <w:rPr>
                <w:rFonts w:ascii="Times New Roman" w:hAnsi="Times New Roman" w:cs="Times New Roman"/>
                <w:color w:val="000000" w:themeColor="text1"/>
                <w:sz w:val="22"/>
                <w:szCs w:val="22"/>
                <w:lang w:val="sr-Latn-ME"/>
              </w:rPr>
            </w:pPr>
            <w:r w:rsidRPr="00F234A2">
              <w:rPr>
                <w:rFonts w:ascii="Times New Roman" w:hAnsi="Times New Roman" w:cs="Times New Roman"/>
                <w:color w:val="000000" w:themeColor="text1"/>
                <w:sz w:val="22"/>
                <w:szCs w:val="22"/>
                <w:vertAlign w:val="superscript"/>
                <w:lang w:val="sr-Latn-ME"/>
              </w:rPr>
              <w:t>2</w:t>
            </w:r>
            <w:r w:rsidRPr="00F234A2">
              <w:rPr>
                <w:rFonts w:ascii="Times New Roman" w:hAnsi="Times New Roman" w:cs="Times New Roman"/>
                <w:color w:val="000000" w:themeColor="text1"/>
                <w:sz w:val="22"/>
                <w:szCs w:val="22"/>
                <w:lang w:val="sr-Latn-ME"/>
              </w:rPr>
              <w:tab/>
              <w:t>Infekcija donjih disajnih puteva uključuje: pneumoniju, bronhitis i traheobronhitis.</w:t>
            </w:r>
          </w:p>
          <w:p w14:paraId="47BF51D2" w14:textId="77777777" w:rsidR="00A60A13" w:rsidRPr="00F234A2" w:rsidRDefault="00A60A13" w:rsidP="00427FDB">
            <w:pPr>
              <w:pStyle w:val="Table"/>
              <w:keepLines w:val="0"/>
              <w:spacing w:before="0" w:after="0"/>
              <w:jc w:val="both"/>
              <w:rPr>
                <w:rFonts w:ascii="Times New Roman" w:hAnsi="Times New Roman" w:cs="Times New Roman"/>
                <w:color w:val="000000" w:themeColor="text1"/>
                <w:sz w:val="22"/>
                <w:szCs w:val="22"/>
                <w:lang w:val="sr-Latn-ME"/>
              </w:rPr>
            </w:pPr>
            <w:r w:rsidRPr="00F234A2">
              <w:rPr>
                <w:rFonts w:ascii="Times New Roman" w:hAnsi="Times New Roman" w:cs="Times New Roman"/>
                <w:color w:val="000000" w:themeColor="text1"/>
                <w:sz w:val="22"/>
                <w:szCs w:val="22"/>
                <w:vertAlign w:val="superscript"/>
                <w:lang w:val="sr-Latn-ME"/>
              </w:rPr>
              <w:t>3</w:t>
            </w:r>
            <w:r w:rsidRPr="00F234A2">
              <w:rPr>
                <w:rFonts w:ascii="Times New Roman" w:hAnsi="Times New Roman" w:cs="Times New Roman"/>
                <w:color w:val="000000" w:themeColor="text1"/>
                <w:sz w:val="22"/>
                <w:szCs w:val="22"/>
                <w:lang w:val="sr-Latn-ME"/>
              </w:rPr>
              <w:tab/>
              <w:t>Trombocitopenija uključuje: trombocitopeniju i smanjeni broj trombocita.</w:t>
            </w:r>
          </w:p>
          <w:p w14:paraId="11B2BFE1" w14:textId="77777777" w:rsidR="00A60A13" w:rsidRPr="00F234A2" w:rsidRDefault="00A60A13" w:rsidP="00427FDB">
            <w:pPr>
              <w:pStyle w:val="Table"/>
              <w:keepLines w:val="0"/>
              <w:spacing w:before="0" w:after="0"/>
              <w:jc w:val="both"/>
              <w:rPr>
                <w:rFonts w:ascii="Times New Roman" w:hAnsi="Times New Roman" w:cs="Times New Roman"/>
                <w:color w:val="000000" w:themeColor="text1"/>
                <w:sz w:val="22"/>
                <w:szCs w:val="22"/>
                <w:lang w:val="sr-Latn-ME"/>
              </w:rPr>
            </w:pPr>
            <w:r w:rsidRPr="00F234A2">
              <w:rPr>
                <w:rFonts w:ascii="Times New Roman" w:hAnsi="Times New Roman" w:cs="Times New Roman"/>
                <w:color w:val="000000" w:themeColor="text1"/>
                <w:sz w:val="22"/>
                <w:szCs w:val="22"/>
                <w:vertAlign w:val="superscript"/>
                <w:lang w:val="sr-Latn-ME"/>
              </w:rPr>
              <w:t>4</w:t>
            </w:r>
            <w:r w:rsidRPr="00F234A2">
              <w:rPr>
                <w:rFonts w:ascii="Times New Roman" w:hAnsi="Times New Roman" w:cs="Times New Roman"/>
                <w:color w:val="000000" w:themeColor="text1"/>
                <w:sz w:val="22"/>
                <w:szCs w:val="22"/>
                <w:lang w:val="sr-Latn-ME"/>
              </w:rPr>
              <w:tab/>
              <w:t>Neutropenija uključuje: neutropeniju i smanjeni broj neutrofila.</w:t>
            </w:r>
          </w:p>
          <w:p w14:paraId="1177E55F" w14:textId="77777777" w:rsidR="00A60A13" w:rsidRPr="00F234A2" w:rsidRDefault="00A60A13" w:rsidP="00427FDB">
            <w:pPr>
              <w:pStyle w:val="Table"/>
              <w:keepLines w:val="0"/>
              <w:spacing w:before="0" w:after="0"/>
              <w:jc w:val="both"/>
              <w:rPr>
                <w:rFonts w:ascii="Times New Roman" w:hAnsi="Times New Roman" w:cs="Times New Roman"/>
                <w:color w:val="000000" w:themeColor="text1"/>
                <w:sz w:val="22"/>
                <w:szCs w:val="22"/>
                <w:lang w:val="sr-Latn-ME"/>
              </w:rPr>
            </w:pPr>
            <w:r w:rsidRPr="00F234A2">
              <w:rPr>
                <w:rFonts w:ascii="Times New Roman" w:hAnsi="Times New Roman" w:cs="Times New Roman"/>
                <w:color w:val="000000" w:themeColor="text1"/>
                <w:sz w:val="22"/>
                <w:szCs w:val="22"/>
                <w:vertAlign w:val="superscript"/>
                <w:lang w:val="sr-Latn-ME"/>
              </w:rPr>
              <w:t>5</w:t>
            </w:r>
            <w:r w:rsidRPr="00F234A2">
              <w:rPr>
                <w:rFonts w:ascii="Times New Roman" w:hAnsi="Times New Roman" w:cs="Times New Roman"/>
                <w:color w:val="000000" w:themeColor="text1"/>
                <w:sz w:val="22"/>
                <w:szCs w:val="22"/>
                <w:lang w:val="sr-Latn-ME"/>
              </w:rPr>
              <w:tab/>
              <w:t>Anemija uključuje: anemiju, sniženje hemoglobina i normocitnu anemiju.</w:t>
            </w:r>
          </w:p>
          <w:p w14:paraId="3FA71DB1" w14:textId="77777777" w:rsidR="00A60A13" w:rsidRPr="00F234A2" w:rsidRDefault="00A60A13" w:rsidP="00427FDB">
            <w:pPr>
              <w:pStyle w:val="Table"/>
              <w:keepLines w:val="0"/>
              <w:spacing w:before="0" w:after="0"/>
              <w:ind w:left="284" w:hanging="284"/>
              <w:jc w:val="both"/>
              <w:rPr>
                <w:rFonts w:ascii="Times New Roman" w:hAnsi="Times New Roman" w:cs="Times New Roman"/>
                <w:color w:val="000000" w:themeColor="text1"/>
                <w:sz w:val="22"/>
                <w:szCs w:val="22"/>
                <w:lang w:val="sr-Latn-ME"/>
              </w:rPr>
            </w:pPr>
            <w:r w:rsidRPr="00F234A2">
              <w:rPr>
                <w:rFonts w:ascii="Times New Roman" w:hAnsi="Times New Roman" w:cs="Times New Roman"/>
                <w:color w:val="000000" w:themeColor="text1"/>
                <w:sz w:val="22"/>
                <w:szCs w:val="22"/>
                <w:vertAlign w:val="superscript"/>
                <w:lang w:val="sr-Latn-ME"/>
              </w:rPr>
              <w:t>6</w:t>
            </w:r>
            <w:r w:rsidRPr="00F234A2">
              <w:rPr>
                <w:rFonts w:ascii="Times New Roman" w:hAnsi="Times New Roman" w:cs="Times New Roman"/>
                <w:color w:val="000000" w:themeColor="text1"/>
                <w:sz w:val="22"/>
                <w:szCs w:val="22"/>
                <w:lang w:val="sr-Latn-ME"/>
              </w:rPr>
              <w:tab/>
              <w:t>Dislipidemija uključuje: hipertrigliceridemiju, povećanje holesterola u krvi, hiperholesterolemiju, povećanje triglicerida u krvi, hiperlipidemiju i dislipidemiju.</w:t>
            </w:r>
          </w:p>
          <w:p w14:paraId="092AE147" w14:textId="77777777" w:rsidR="00A60A13" w:rsidRPr="00F234A2" w:rsidRDefault="00A60A13" w:rsidP="00427FDB">
            <w:pPr>
              <w:pStyle w:val="Table"/>
              <w:keepLines w:val="0"/>
              <w:spacing w:before="0" w:after="0"/>
              <w:jc w:val="both"/>
              <w:rPr>
                <w:rFonts w:ascii="Times New Roman" w:hAnsi="Times New Roman" w:cs="Times New Roman"/>
                <w:color w:val="000000" w:themeColor="text1"/>
                <w:sz w:val="22"/>
                <w:szCs w:val="22"/>
                <w:lang w:val="sr-Latn-ME"/>
              </w:rPr>
            </w:pPr>
            <w:r w:rsidRPr="00F234A2">
              <w:rPr>
                <w:rFonts w:ascii="Times New Roman" w:hAnsi="Times New Roman" w:cs="Times New Roman"/>
                <w:color w:val="000000" w:themeColor="text1"/>
                <w:sz w:val="22"/>
                <w:szCs w:val="22"/>
                <w:vertAlign w:val="superscript"/>
                <w:lang w:val="sr-Latn-ME"/>
              </w:rPr>
              <w:t>7</w:t>
            </w:r>
            <w:r w:rsidRPr="00F234A2">
              <w:rPr>
                <w:rFonts w:ascii="Times New Roman" w:hAnsi="Times New Roman" w:cs="Times New Roman"/>
                <w:color w:val="000000" w:themeColor="text1"/>
                <w:sz w:val="22"/>
                <w:szCs w:val="22"/>
                <w:lang w:val="sr-Latn-ME"/>
              </w:rPr>
              <w:tab/>
              <w:t>Hipertenzija uključuje: hipertenziju i povišeni krvni pritisak.</w:t>
            </w:r>
          </w:p>
          <w:p w14:paraId="4D110954" w14:textId="77777777" w:rsidR="00A60A13" w:rsidRPr="00F234A2" w:rsidRDefault="00A60A13" w:rsidP="00427FDB">
            <w:pPr>
              <w:pStyle w:val="Table"/>
              <w:keepLines w:val="0"/>
              <w:spacing w:before="0" w:after="0"/>
              <w:jc w:val="both"/>
              <w:rPr>
                <w:rFonts w:ascii="Times New Roman" w:hAnsi="Times New Roman" w:cs="Times New Roman"/>
                <w:color w:val="000000" w:themeColor="text1"/>
                <w:sz w:val="22"/>
                <w:szCs w:val="22"/>
                <w:lang w:val="sr-Latn-ME"/>
              </w:rPr>
            </w:pPr>
            <w:r w:rsidRPr="00F234A2">
              <w:rPr>
                <w:rFonts w:ascii="Times New Roman" w:hAnsi="Times New Roman" w:cs="Times New Roman"/>
                <w:color w:val="000000" w:themeColor="text1"/>
                <w:sz w:val="22"/>
                <w:szCs w:val="22"/>
                <w:vertAlign w:val="superscript"/>
                <w:lang w:val="sr-Latn-ME"/>
              </w:rPr>
              <w:t>8</w:t>
            </w:r>
            <w:r w:rsidRPr="00F234A2">
              <w:rPr>
                <w:rFonts w:ascii="Times New Roman" w:hAnsi="Times New Roman" w:cs="Times New Roman"/>
                <w:color w:val="000000" w:themeColor="text1"/>
                <w:sz w:val="22"/>
                <w:szCs w:val="22"/>
                <w:lang w:val="sr-Latn-ME"/>
              </w:rPr>
              <w:tab/>
              <w:t>Povećanje enzima pankreasa uključuje: povećanje lipaze, povećanje amilaze i hiperlipazemiju.</w:t>
            </w:r>
          </w:p>
          <w:p w14:paraId="219FBF9F" w14:textId="1E04D1F9" w:rsidR="00A60A13" w:rsidRPr="00F234A2" w:rsidRDefault="00A60A13" w:rsidP="00427FDB">
            <w:pPr>
              <w:pStyle w:val="Table"/>
              <w:keepLines w:val="0"/>
              <w:spacing w:before="0" w:after="0"/>
              <w:jc w:val="both"/>
              <w:rPr>
                <w:rFonts w:ascii="Times New Roman" w:hAnsi="Times New Roman" w:cs="Times New Roman"/>
                <w:color w:val="000000" w:themeColor="text1"/>
                <w:sz w:val="22"/>
                <w:szCs w:val="22"/>
                <w:lang w:val="sr-Latn-ME"/>
              </w:rPr>
            </w:pPr>
            <w:r w:rsidRPr="00F234A2">
              <w:rPr>
                <w:rFonts w:ascii="Times New Roman" w:hAnsi="Times New Roman" w:cs="Times New Roman"/>
                <w:color w:val="000000" w:themeColor="text1"/>
                <w:sz w:val="22"/>
                <w:szCs w:val="22"/>
                <w:vertAlign w:val="superscript"/>
                <w:lang w:val="sr-Latn-ME"/>
              </w:rPr>
              <w:t>9</w:t>
            </w:r>
            <w:r w:rsidRPr="00F234A2">
              <w:rPr>
                <w:rFonts w:ascii="Times New Roman" w:hAnsi="Times New Roman" w:cs="Times New Roman"/>
                <w:color w:val="000000" w:themeColor="text1"/>
                <w:sz w:val="22"/>
                <w:szCs w:val="22"/>
                <w:lang w:val="sr-Latn-ME"/>
              </w:rPr>
              <w:tab/>
              <w:t>Bol u abdomenu uključuje: bol u abdomenu i bol u gornjem d</w:t>
            </w:r>
            <w:r w:rsidR="00870748">
              <w:rPr>
                <w:rFonts w:ascii="Times New Roman" w:hAnsi="Times New Roman" w:cs="Times New Roman"/>
                <w:color w:val="000000" w:themeColor="text1"/>
                <w:sz w:val="22"/>
                <w:szCs w:val="22"/>
                <w:lang w:val="sr-Latn-ME"/>
              </w:rPr>
              <w:t>ij</w:t>
            </w:r>
            <w:r w:rsidRPr="00F234A2">
              <w:rPr>
                <w:rFonts w:ascii="Times New Roman" w:hAnsi="Times New Roman" w:cs="Times New Roman"/>
                <w:color w:val="000000" w:themeColor="text1"/>
                <w:sz w:val="22"/>
                <w:szCs w:val="22"/>
                <w:lang w:val="sr-Latn-ME"/>
              </w:rPr>
              <w:t>elu abdomena.</w:t>
            </w:r>
          </w:p>
          <w:p w14:paraId="08870404" w14:textId="77777777" w:rsidR="00A60A13" w:rsidRPr="00F234A2" w:rsidRDefault="00A60A13" w:rsidP="00427FDB">
            <w:pPr>
              <w:pStyle w:val="Table"/>
              <w:keepLines w:val="0"/>
              <w:spacing w:before="0" w:after="0"/>
              <w:jc w:val="both"/>
              <w:rPr>
                <w:rFonts w:ascii="Times New Roman" w:hAnsi="Times New Roman" w:cs="Times New Roman"/>
                <w:color w:val="000000" w:themeColor="text1"/>
                <w:sz w:val="22"/>
                <w:szCs w:val="22"/>
                <w:lang w:val="sr-Latn-ME"/>
              </w:rPr>
            </w:pPr>
            <w:r w:rsidRPr="00F234A2">
              <w:rPr>
                <w:rFonts w:ascii="Times New Roman" w:hAnsi="Times New Roman" w:cs="Times New Roman"/>
                <w:color w:val="000000" w:themeColor="text1"/>
                <w:sz w:val="22"/>
                <w:szCs w:val="22"/>
                <w:vertAlign w:val="superscript"/>
                <w:lang w:val="sr-Latn-ME"/>
              </w:rPr>
              <w:t>10</w:t>
            </w:r>
            <w:r w:rsidRPr="00F234A2">
              <w:rPr>
                <w:rFonts w:ascii="Times New Roman" w:hAnsi="Times New Roman" w:cs="Times New Roman"/>
                <w:color w:val="000000" w:themeColor="text1"/>
                <w:sz w:val="22"/>
                <w:szCs w:val="22"/>
                <w:lang w:val="sr-Latn-ME"/>
              </w:rPr>
              <w:tab/>
              <w:t>Pankreatitis uključuje: pankreatitis i akutni pankreatitis.</w:t>
            </w:r>
          </w:p>
          <w:p w14:paraId="3EB1CB58" w14:textId="7A2DE6BE" w:rsidR="00A60A13" w:rsidRPr="00F234A2" w:rsidRDefault="00A60A13" w:rsidP="00427FDB">
            <w:pPr>
              <w:pStyle w:val="Table"/>
              <w:keepLines w:val="0"/>
              <w:spacing w:before="0" w:after="0"/>
              <w:ind w:left="308" w:hanging="308"/>
              <w:jc w:val="both"/>
              <w:rPr>
                <w:rFonts w:ascii="Times New Roman" w:hAnsi="Times New Roman" w:cs="Times New Roman"/>
                <w:color w:val="000000" w:themeColor="text1"/>
                <w:sz w:val="22"/>
                <w:szCs w:val="22"/>
                <w:lang w:val="sr-Latn-ME"/>
              </w:rPr>
            </w:pPr>
            <w:r w:rsidRPr="00F234A2">
              <w:rPr>
                <w:rFonts w:ascii="Times New Roman" w:hAnsi="Times New Roman" w:cs="Times New Roman"/>
                <w:color w:val="000000" w:themeColor="text1"/>
                <w:sz w:val="22"/>
                <w:szCs w:val="22"/>
                <w:vertAlign w:val="superscript"/>
                <w:lang w:val="sr-Latn-ME"/>
              </w:rPr>
              <w:t>11</w:t>
            </w:r>
            <w:r w:rsidRPr="00F234A2">
              <w:rPr>
                <w:rFonts w:ascii="Times New Roman" w:hAnsi="Times New Roman" w:cs="Times New Roman"/>
                <w:color w:val="000000" w:themeColor="text1"/>
                <w:sz w:val="22"/>
                <w:szCs w:val="22"/>
                <w:lang w:val="sr-Latn-ME"/>
              </w:rPr>
              <w:tab/>
              <w:t>Povećanje enzima jetre uključuje: povećanje alanin aminotransferaze, povećanje aspartat</w:t>
            </w:r>
            <w:r w:rsidR="00870748">
              <w:rPr>
                <w:rFonts w:ascii="Times New Roman" w:hAnsi="Times New Roman" w:cs="Times New Roman"/>
                <w:color w:val="000000" w:themeColor="text1"/>
                <w:sz w:val="22"/>
                <w:szCs w:val="22"/>
                <w:lang w:val="sr-Latn-ME"/>
              </w:rPr>
              <w:t xml:space="preserve"> </w:t>
            </w:r>
            <w:r w:rsidRPr="00F234A2">
              <w:rPr>
                <w:rFonts w:ascii="Times New Roman" w:hAnsi="Times New Roman" w:cs="Times New Roman"/>
                <w:color w:val="000000" w:themeColor="text1"/>
                <w:sz w:val="22"/>
                <w:szCs w:val="22"/>
                <w:lang w:val="sr-Latn-ME"/>
              </w:rPr>
              <w:t>aminotransferaze, povećanje gama</w:t>
            </w:r>
            <w:r w:rsidRPr="00F234A2">
              <w:rPr>
                <w:rFonts w:ascii="Times New Roman" w:hAnsi="Times New Roman" w:cs="Times New Roman"/>
                <w:color w:val="000000" w:themeColor="text1"/>
                <w:sz w:val="22"/>
                <w:szCs w:val="22"/>
                <w:lang w:val="sr-Latn-ME"/>
              </w:rPr>
              <w:noBreakHyphen/>
              <w:t>glutamiltransferaze</w:t>
            </w:r>
            <w:r w:rsidR="00814007">
              <w:rPr>
                <w:rFonts w:ascii="Times New Roman" w:hAnsi="Times New Roman" w:cs="Times New Roman"/>
                <w:color w:val="000000" w:themeColor="text1"/>
                <w:sz w:val="22"/>
                <w:szCs w:val="22"/>
                <w:lang w:val="sr-Latn-ME"/>
              </w:rPr>
              <w:t xml:space="preserve">, </w:t>
            </w:r>
            <w:r w:rsidRPr="00F234A2">
              <w:rPr>
                <w:rFonts w:ascii="Times New Roman" w:hAnsi="Times New Roman" w:cs="Times New Roman"/>
                <w:color w:val="000000" w:themeColor="text1"/>
                <w:sz w:val="22"/>
                <w:szCs w:val="22"/>
                <w:lang w:val="sr-Latn-ME"/>
              </w:rPr>
              <w:t>povećanje transaminaza</w:t>
            </w:r>
            <w:r w:rsidR="00814007">
              <w:t xml:space="preserve"> </w:t>
            </w:r>
            <w:r w:rsidR="00814007" w:rsidRPr="00814007">
              <w:rPr>
                <w:rFonts w:ascii="Times New Roman" w:hAnsi="Times New Roman" w:cs="Times New Roman"/>
                <w:color w:val="000000" w:themeColor="text1"/>
                <w:sz w:val="22"/>
                <w:szCs w:val="22"/>
                <w:lang w:val="sr-Latn-ME"/>
              </w:rPr>
              <w:t>i hipertransaminazemiju</w:t>
            </w:r>
            <w:r w:rsidRPr="00F234A2">
              <w:rPr>
                <w:rFonts w:ascii="Times New Roman" w:hAnsi="Times New Roman" w:cs="Times New Roman"/>
                <w:color w:val="000000" w:themeColor="text1"/>
                <w:sz w:val="22"/>
                <w:szCs w:val="22"/>
                <w:lang w:val="sr-Latn-ME"/>
              </w:rPr>
              <w:t>.</w:t>
            </w:r>
            <w:r w:rsidR="00814007">
              <w:rPr>
                <w:rFonts w:ascii="Times New Roman" w:hAnsi="Times New Roman" w:cs="Times New Roman"/>
                <w:color w:val="000000" w:themeColor="text1"/>
                <w:sz w:val="22"/>
                <w:szCs w:val="22"/>
                <w:lang w:val="sr-Latn-ME"/>
              </w:rPr>
              <w:t xml:space="preserve"> </w:t>
            </w:r>
          </w:p>
          <w:p w14:paraId="45D2CA28" w14:textId="77777777" w:rsidR="00A60A13" w:rsidRPr="00F234A2" w:rsidRDefault="00A60A13" w:rsidP="00427FDB">
            <w:pPr>
              <w:pStyle w:val="Table"/>
              <w:keepLines w:val="0"/>
              <w:spacing w:before="0" w:after="0"/>
              <w:ind w:left="308" w:hanging="308"/>
              <w:jc w:val="both"/>
              <w:rPr>
                <w:rFonts w:ascii="Times New Roman" w:hAnsi="Times New Roman" w:cs="Times New Roman"/>
                <w:color w:val="000000" w:themeColor="text1"/>
                <w:sz w:val="22"/>
                <w:szCs w:val="22"/>
                <w:lang w:val="sr-Latn-ME"/>
              </w:rPr>
            </w:pPr>
            <w:r w:rsidRPr="00F234A2">
              <w:rPr>
                <w:rFonts w:ascii="Times New Roman" w:hAnsi="Times New Roman" w:cs="Times New Roman"/>
                <w:color w:val="000000" w:themeColor="text1"/>
                <w:sz w:val="22"/>
                <w:szCs w:val="22"/>
                <w:vertAlign w:val="superscript"/>
                <w:lang w:val="sr-Latn-ME"/>
              </w:rPr>
              <w:t>12</w:t>
            </w:r>
            <w:r w:rsidRPr="00F234A2">
              <w:rPr>
                <w:rFonts w:ascii="Times New Roman" w:hAnsi="Times New Roman" w:cs="Times New Roman"/>
                <w:color w:val="000000" w:themeColor="text1"/>
                <w:sz w:val="22"/>
                <w:szCs w:val="22"/>
                <w:lang w:val="sr-Latn-ME"/>
              </w:rPr>
              <w:tab/>
              <w:t>Povećanje bilirubina u krvi uključuju: povećanje bilirubina u krvi, povećanje konjugovanog bilirubina i hiperbilirubinemiju.</w:t>
            </w:r>
          </w:p>
          <w:p w14:paraId="42A23C8B" w14:textId="40AB97A1" w:rsidR="00A60A13" w:rsidRPr="00F234A2" w:rsidRDefault="00A60A13" w:rsidP="00427FDB">
            <w:pPr>
              <w:pStyle w:val="Table"/>
              <w:keepLines w:val="0"/>
              <w:spacing w:before="0" w:after="0"/>
              <w:jc w:val="both"/>
              <w:rPr>
                <w:rFonts w:ascii="Times New Roman" w:hAnsi="Times New Roman" w:cs="Times New Roman"/>
                <w:color w:val="000000" w:themeColor="text1"/>
                <w:sz w:val="22"/>
                <w:szCs w:val="22"/>
                <w:lang w:val="sr-Latn-ME"/>
              </w:rPr>
            </w:pPr>
            <w:r w:rsidRPr="00F234A2">
              <w:rPr>
                <w:rFonts w:ascii="Times New Roman" w:hAnsi="Times New Roman" w:cs="Times New Roman"/>
                <w:color w:val="000000" w:themeColor="text1"/>
                <w:sz w:val="22"/>
                <w:szCs w:val="22"/>
                <w:vertAlign w:val="superscript"/>
                <w:lang w:val="sr-Latn-ME"/>
              </w:rPr>
              <w:t>13</w:t>
            </w:r>
            <w:r w:rsidRPr="00F234A2">
              <w:rPr>
                <w:rFonts w:ascii="Times New Roman" w:hAnsi="Times New Roman" w:cs="Times New Roman"/>
                <w:color w:val="000000" w:themeColor="text1"/>
                <w:sz w:val="22"/>
                <w:szCs w:val="22"/>
                <w:lang w:val="sr-Latn-ME"/>
              </w:rPr>
              <w:tab/>
              <w:t>Osip uključuje: osip i makulopapularni osip</w:t>
            </w:r>
            <w:r w:rsidR="00814007">
              <w:t xml:space="preserve"> </w:t>
            </w:r>
            <w:r w:rsidR="00814007" w:rsidRPr="00814007">
              <w:rPr>
                <w:rFonts w:ascii="Times New Roman" w:hAnsi="Times New Roman" w:cs="Times New Roman"/>
                <w:color w:val="000000" w:themeColor="text1"/>
                <w:sz w:val="22"/>
                <w:szCs w:val="22"/>
                <w:lang w:val="sr-Latn-ME"/>
              </w:rPr>
              <w:t>i pruritusni osip</w:t>
            </w:r>
            <w:r w:rsidRPr="00F234A2">
              <w:rPr>
                <w:rFonts w:ascii="Times New Roman" w:hAnsi="Times New Roman" w:cs="Times New Roman"/>
                <w:color w:val="000000" w:themeColor="text1"/>
                <w:sz w:val="22"/>
                <w:szCs w:val="22"/>
                <w:lang w:val="sr-Latn-ME"/>
              </w:rPr>
              <w:t>.</w:t>
            </w:r>
          </w:p>
          <w:p w14:paraId="64F97C6E" w14:textId="4DFA00C8" w:rsidR="00A60A13" w:rsidRPr="00F234A2" w:rsidRDefault="00A60A13" w:rsidP="00427FDB">
            <w:pPr>
              <w:pStyle w:val="Table"/>
              <w:keepLines w:val="0"/>
              <w:spacing w:before="0" w:after="0"/>
              <w:ind w:left="308" w:hanging="308"/>
              <w:jc w:val="both"/>
              <w:rPr>
                <w:rFonts w:ascii="Times New Roman" w:hAnsi="Times New Roman" w:cs="Times New Roman"/>
                <w:color w:val="000000" w:themeColor="text1"/>
                <w:sz w:val="22"/>
                <w:szCs w:val="22"/>
                <w:lang w:val="sr-Latn-ME"/>
              </w:rPr>
            </w:pPr>
            <w:r w:rsidRPr="00F234A2">
              <w:rPr>
                <w:rFonts w:ascii="Times New Roman" w:hAnsi="Times New Roman" w:cs="Times New Roman"/>
                <w:color w:val="000000" w:themeColor="text1"/>
                <w:sz w:val="22"/>
                <w:szCs w:val="22"/>
                <w:vertAlign w:val="superscript"/>
                <w:lang w:val="sr-Latn-ME"/>
              </w:rPr>
              <w:t>14</w:t>
            </w:r>
            <w:r w:rsidRPr="00F234A2">
              <w:rPr>
                <w:rFonts w:ascii="Times New Roman" w:hAnsi="Times New Roman" w:cs="Times New Roman"/>
                <w:color w:val="000000" w:themeColor="text1"/>
                <w:sz w:val="22"/>
                <w:szCs w:val="22"/>
                <w:lang w:val="sr-Latn-ME"/>
              </w:rPr>
              <w:tab/>
              <w:t>Mišićno</w:t>
            </w:r>
            <w:r w:rsidRPr="00F234A2">
              <w:rPr>
                <w:rFonts w:ascii="Times New Roman" w:hAnsi="Times New Roman" w:cs="Times New Roman"/>
                <w:color w:val="000000" w:themeColor="text1"/>
                <w:sz w:val="22"/>
                <w:szCs w:val="22"/>
                <w:lang w:val="sr-Latn-ME"/>
              </w:rPr>
              <w:noBreakHyphen/>
              <w:t>koštani bol uključuje: bol u ekstremitetima, bol u leđima, mijalgiju, bol u kostima, mišićno</w:t>
            </w:r>
            <w:r w:rsidRPr="00F234A2">
              <w:rPr>
                <w:rFonts w:ascii="Times New Roman" w:hAnsi="Times New Roman" w:cs="Times New Roman"/>
                <w:color w:val="000000" w:themeColor="text1"/>
                <w:sz w:val="22"/>
                <w:szCs w:val="22"/>
                <w:lang w:val="sr-Latn-ME"/>
              </w:rPr>
              <w:noBreakHyphen/>
              <w:t>koštani bol u vratu, bol u mišićima i kostima grudi i nelagodnost u mišićno</w:t>
            </w:r>
            <w:r w:rsidRPr="00F234A2">
              <w:rPr>
                <w:rFonts w:ascii="Times New Roman" w:hAnsi="Times New Roman" w:cs="Times New Roman"/>
                <w:color w:val="000000" w:themeColor="text1"/>
                <w:sz w:val="22"/>
                <w:szCs w:val="22"/>
                <w:lang w:val="sr-Latn-ME"/>
              </w:rPr>
              <w:noBreakHyphen/>
              <w:t>koštanom sistemu.</w:t>
            </w:r>
          </w:p>
          <w:p w14:paraId="5227834B" w14:textId="77777777" w:rsidR="00A60A13" w:rsidRPr="00F234A2" w:rsidRDefault="00A60A13" w:rsidP="00427FDB">
            <w:pPr>
              <w:pStyle w:val="Table"/>
              <w:keepLines w:val="0"/>
              <w:spacing w:before="0" w:after="0"/>
              <w:jc w:val="both"/>
              <w:rPr>
                <w:rFonts w:ascii="Times New Roman" w:hAnsi="Times New Roman" w:cs="Times New Roman"/>
                <w:color w:val="000000" w:themeColor="text1"/>
                <w:sz w:val="22"/>
                <w:szCs w:val="22"/>
                <w:lang w:val="sr-Latn-ME"/>
              </w:rPr>
            </w:pPr>
            <w:r w:rsidRPr="00F234A2">
              <w:rPr>
                <w:rFonts w:ascii="Times New Roman" w:hAnsi="Times New Roman" w:cs="Times New Roman"/>
                <w:color w:val="000000" w:themeColor="text1"/>
                <w:sz w:val="22"/>
                <w:szCs w:val="22"/>
                <w:vertAlign w:val="superscript"/>
                <w:lang w:val="sr-Latn-ME"/>
              </w:rPr>
              <w:t>15</w:t>
            </w:r>
            <w:r w:rsidRPr="00F234A2">
              <w:rPr>
                <w:rFonts w:ascii="Times New Roman" w:hAnsi="Times New Roman" w:cs="Times New Roman"/>
                <w:color w:val="000000" w:themeColor="text1"/>
                <w:sz w:val="22"/>
                <w:szCs w:val="22"/>
                <w:lang w:val="sr-Latn-ME"/>
              </w:rPr>
              <w:tab/>
              <w:t>Umor uključuje: umor i asteniju.</w:t>
            </w:r>
          </w:p>
          <w:p w14:paraId="6AAC40AE" w14:textId="202F1C98" w:rsidR="00A60A13" w:rsidRDefault="00A60A13" w:rsidP="00427FDB">
            <w:pPr>
              <w:pStyle w:val="Table"/>
              <w:keepLines w:val="0"/>
              <w:spacing w:before="0" w:after="0"/>
              <w:jc w:val="both"/>
              <w:rPr>
                <w:rFonts w:ascii="Times New Roman" w:hAnsi="Times New Roman" w:cs="Times New Roman"/>
                <w:color w:val="000000" w:themeColor="text1"/>
                <w:sz w:val="22"/>
                <w:szCs w:val="22"/>
                <w:lang w:val="sr-Latn-ME"/>
              </w:rPr>
            </w:pPr>
            <w:r w:rsidRPr="00F234A2">
              <w:rPr>
                <w:rFonts w:ascii="Times New Roman" w:hAnsi="Times New Roman" w:cs="Times New Roman"/>
                <w:color w:val="000000" w:themeColor="text1"/>
                <w:sz w:val="22"/>
                <w:szCs w:val="22"/>
                <w:vertAlign w:val="superscript"/>
                <w:lang w:val="sr-Latn-ME"/>
              </w:rPr>
              <w:t>1</w:t>
            </w:r>
            <w:r w:rsidR="00814007">
              <w:rPr>
                <w:rFonts w:ascii="Times New Roman" w:hAnsi="Times New Roman" w:cs="Times New Roman"/>
                <w:color w:val="000000" w:themeColor="text1"/>
                <w:sz w:val="22"/>
                <w:szCs w:val="22"/>
                <w:vertAlign w:val="superscript"/>
                <w:lang w:val="sr-Latn-ME"/>
              </w:rPr>
              <w:t>6</w:t>
            </w:r>
            <w:r w:rsidRPr="00F234A2">
              <w:rPr>
                <w:rFonts w:ascii="Times New Roman" w:hAnsi="Times New Roman" w:cs="Times New Roman"/>
                <w:color w:val="000000" w:themeColor="text1"/>
                <w:sz w:val="22"/>
                <w:szCs w:val="22"/>
                <w:lang w:val="sr-Latn-ME"/>
              </w:rPr>
              <w:tab/>
              <w:t>Edem uključuje: edem i periferni edem.</w:t>
            </w:r>
          </w:p>
          <w:p w14:paraId="6FDA94F4" w14:textId="5EAA680B" w:rsidR="00814007" w:rsidRPr="00F234A2" w:rsidRDefault="00814007" w:rsidP="00427FDB">
            <w:pPr>
              <w:pStyle w:val="Table"/>
              <w:keepLines w:val="0"/>
              <w:spacing w:before="0" w:after="0"/>
              <w:jc w:val="both"/>
              <w:rPr>
                <w:rFonts w:ascii="Times New Roman" w:hAnsi="Times New Roman" w:cs="Times New Roman"/>
                <w:color w:val="000000" w:themeColor="text1"/>
                <w:sz w:val="22"/>
                <w:szCs w:val="22"/>
                <w:lang w:val="sr-Latn-ME"/>
              </w:rPr>
            </w:pPr>
            <w:r w:rsidRPr="00DD77A4">
              <w:rPr>
                <w:rFonts w:ascii="Times New Roman" w:hAnsi="Times New Roman" w:cs="Times New Roman"/>
                <w:color w:val="000000" w:themeColor="text1"/>
                <w:sz w:val="22"/>
                <w:szCs w:val="22"/>
                <w:vertAlign w:val="superscript"/>
                <w:lang w:val="sr-Latn-ME"/>
              </w:rPr>
              <w:t>17</w:t>
            </w:r>
            <w:r w:rsidRPr="00814007">
              <w:rPr>
                <w:rFonts w:ascii="Times New Roman" w:hAnsi="Times New Roman" w:cs="Times New Roman"/>
                <w:color w:val="000000" w:themeColor="text1"/>
                <w:sz w:val="22"/>
                <w:szCs w:val="22"/>
                <w:lang w:val="sr-Latn-ME"/>
              </w:rPr>
              <w:tab/>
              <w:t>Pireksija uključuje: pireksiju i povišenu t</w:t>
            </w:r>
            <w:r w:rsidR="008E5D96">
              <w:rPr>
                <w:rFonts w:ascii="Times New Roman" w:hAnsi="Times New Roman" w:cs="Times New Roman"/>
                <w:color w:val="000000" w:themeColor="text1"/>
                <w:sz w:val="22"/>
                <w:szCs w:val="22"/>
                <w:lang w:val="sr-Latn-ME"/>
              </w:rPr>
              <w:t>j</w:t>
            </w:r>
            <w:r w:rsidRPr="00814007">
              <w:rPr>
                <w:rFonts w:ascii="Times New Roman" w:hAnsi="Times New Roman" w:cs="Times New Roman"/>
                <w:color w:val="000000" w:themeColor="text1"/>
                <w:sz w:val="22"/>
                <w:szCs w:val="22"/>
                <w:lang w:val="sr-Latn-ME"/>
              </w:rPr>
              <w:t>elesnu temperaturu.</w:t>
            </w:r>
          </w:p>
        </w:tc>
      </w:tr>
    </w:tbl>
    <w:p w14:paraId="57B1F703" w14:textId="5C812F79" w:rsidR="00A60A13" w:rsidRPr="00F234A2" w:rsidRDefault="00A60A13" w:rsidP="00480FB1">
      <w:pPr>
        <w:tabs>
          <w:tab w:val="left" w:pos="540"/>
          <w:tab w:val="left" w:pos="569"/>
        </w:tabs>
        <w:rPr>
          <w:sz w:val="22"/>
          <w:szCs w:val="22"/>
          <w:lang w:val="sr-Latn-ME"/>
        </w:rPr>
      </w:pPr>
    </w:p>
    <w:p w14:paraId="540FC61B" w14:textId="77777777" w:rsidR="00A60A13" w:rsidRPr="00F234A2" w:rsidRDefault="00A60A13" w:rsidP="0095542C">
      <w:pPr>
        <w:tabs>
          <w:tab w:val="left" w:pos="540"/>
          <w:tab w:val="left" w:pos="569"/>
        </w:tabs>
        <w:jc w:val="both"/>
        <w:rPr>
          <w:sz w:val="22"/>
          <w:szCs w:val="22"/>
          <w:u w:val="single"/>
          <w:lang w:val="sr-Latn-ME"/>
        </w:rPr>
      </w:pPr>
      <w:r w:rsidRPr="00F234A2">
        <w:rPr>
          <w:sz w:val="22"/>
          <w:szCs w:val="22"/>
          <w:u w:val="single"/>
          <w:lang w:val="sr-Latn-ME"/>
        </w:rPr>
        <w:t>Opis odabranih neželjenih reakcjia</w:t>
      </w:r>
    </w:p>
    <w:p w14:paraId="7C2FCE79" w14:textId="77777777" w:rsidR="00A60A13" w:rsidRPr="00F234A2" w:rsidRDefault="00A60A13" w:rsidP="0095542C">
      <w:pPr>
        <w:tabs>
          <w:tab w:val="left" w:pos="540"/>
          <w:tab w:val="left" w:pos="569"/>
        </w:tabs>
        <w:jc w:val="both"/>
        <w:rPr>
          <w:sz w:val="22"/>
          <w:szCs w:val="22"/>
          <w:lang w:val="sr-Latn-ME"/>
        </w:rPr>
      </w:pPr>
    </w:p>
    <w:p w14:paraId="511101E6" w14:textId="77777777" w:rsidR="00A60A13" w:rsidRPr="00F234A2" w:rsidRDefault="00A60A13" w:rsidP="0095542C">
      <w:pPr>
        <w:tabs>
          <w:tab w:val="left" w:pos="540"/>
          <w:tab w:val="left" w:pos="569"/>
        </w:tabs>
        <w:jc w:val="both"/>
        <w:rPr>
          <w:i/>
          <w:iCs/>
          <w:sz w:val="22"/>
          <w:szCs w:val="22"/>
          <w:u w:val="single"/>
          <w:lang w:val="sr-Latn-ME"/>
        </w:rPr>
      </w:pPr>
      <w:r w:rsidRPr="00F234A2">
        <w:rPr>
          <w:i/>
          <w:iCs/>
          <w:sz w:val="22"/>
          <w:szCs w:val="22"/>
          <w:u w:val="single"/>
          <w:lang w:val="sr-Latn-ME"/>
        </w:rPr>
        <w:t>Mijelosupresija</w:t>
      </w:r>
    </w:p>
    <w:p w14:paraId="63071E3B" w14:textId="3A443161" w:rsidR="00A60A13" w:rsidRPr="00F234A2" w:rsidRDefault="00A60A13" w:rsidP="0095542C">
      <w:pPr>
        <w:tabs>
          <w:tab w:val="left" w:pos="540"/>
          <w:tab w:val="left" w:pos="569"/>
        </w:tabs>
        <w:jc w:val="both"/>
        <w:rPr>
          <w:sz w:val="22"/>
          <w:szCs w:val="22"/>
          <w:lang w:val="sr-Latn-ME"/>
        </w:rPr>
      </w:pPr>
      <w:r w:rsidRPr="00F234A2">
        <w:rPr>
          <w:sz w:val="22"/>
          <w:szCs w:val="22"/>
          <w:lang w:val="sr-Latn-ME"/>
        </w:rPr>
        <w:t xml:space="preserve">Trombocitopenija se javila kod </w:t>
      </w:r>
      <w:r w:rsidR="00EB6ADF" w:rsidRPr="00F234A2">
        <w:rPr>
          <w:sz w:val="22"/>
          <w:szCs w:val="22"/>
          <w:lang w:val="sr-Latn-ME"/>
        </w:rPr>
        <w:t>2</w:t>
      </w:r>
      <w:r w:rsidR="00EB6ADF">
        <w:rPr>
          <w:sz w:val="22"/>
          <w:szCs w:val="22"/>
          <w:lang w:val="sr-Latn-ME"/>
        </w:rPr>
        <w:t>8</w:t>
      </w:r>
      <w:r w:rsidRPr="00F234A2">
        <w:rPr>
          <w:sz w:val="22"/>
          <w:szCs w:val="22"/>
          <w:lang w:val="sr-Latn-ME"/>
        </w:rPr>
        <w:t>,</w:t>
      </w:r>
      <w:r w:rsidR="00EB6ADF">
        <w:rPr>
          <w:sz w:val="22"/>
          <w:szCs w:val="22"/>
          <w:lang w:val="sr-Latn-ME"/>
        </w:rPr>
        <w:t>1</w:t>
      </w:r>
      <w:r w:rsidRPr="00F234A2">
        <w:rPr>
          <w:sz w:val="22"/>
          <w:szCs w:val="22"/>
          <w:lang w:val="sr-Latn-ME"/>
        </w:rPr>
        <w:t>% pacijenata koji su primali asciminib, pri čemu su neželjene reakcije gradusa 3 i 4 zab</w:t>
      </w:r>
      <w:r w:rsidR="000B6873" w:rsidRPr="00F234A2">
        <w:rPr>
          <w:sz w:val="22"/>
          <w:szCs w:val="22"/>
          <w:lang w:val="sr-Latn-ME"/>
        </w:rPr>
        <w:t>ilj</w:t>
      </w:r>
      <w:r w:rsidRPr="00F234A2">
        <w:rPr>
          <w:sz w:val="22"/>
          <w:szCs w:val="22"/>
          <w:lang w:val="sr-Latn-ME"/>
        </w:rPr>
        <w:t>ežene u 6,7%, tj. 11,8%. Kod pacijenata sa trombocitopenijom ≥ gradus 3, medijana vremena do prve pojave neželjene reakcije bila je 6</w:t>
      </w:r>
      <w:r w:rsidR="00EB6ADF">
        <w:rPr>
          <w:sz w:val="22"/>
          <w:szCs w:val="22"/>
          <w:lang w:val="sr-Latn-ME"/>
        </w:rPr>
        <w:t>,14</w:t>
      </w:r>
      <w:r w:rsidRPr="00F234A2">
        <w:rPr>
          <w:sz w:val="22"/>
          <w:szCs w:val="22"/>
          <w:lang w:val="sr-Latn-ME"/>
        </w:rPr>
        <w:t xml:space="preserve"> </w:t>
      </w:r>
      <w:r w:rsidR="0094593A" w:rsidRPr="00F234A2">
        <w:rPr>
          <w:sz w:val="22"/>
          <w:szCs w:val="22"/>
          <w:lang w:val="sr-Latn-ME"/>
        </w:rPr>
        <w:t>nedjelj</w:t>
      </w:r>
      <w:r w:rsidRPr="00F234A2">
        <w:rPr>
          <w:sz w:val="22"/>
          <w:szCs w:val="22"/>
          <w:lang w:val="sr-Latn-ME"/>
        </w:rPr>
        <w:t>a (raspon: 0,14 do 64</w:t>
      </w:r>
      <w:r w:rsidR="00EB6ADF">
        <w:rPr>
          <w:sz w:val="22"/>
          <w:szCs w:val="22"/>
          <w:lang w:val="sr-Latn-ME"/>
        </w:rPr>
        <w:t>,14</w:t>
      </w:r>
      <w:r w:rsidRPr="00F234A2">
        <w:rPr>
          <w:sz w:val="22"/>
          <w:szCs w:val="22"/>
          <w:lang w:val="sr-Latn-ME"/>
        </w:rPr>
        <w:t xml:space="preserve"> </w:t>
      </w:r>
      <w:r w:rsidR="0094593A" w:rsidRPr="00F234A2">
        <w:rPr>
          <w:sz w:val="22"/>
          <w:szCs w:val="22"/>
          <w:lang w:val="sr-Latn-ME"/>
        </w:rPr>
        <w:t>nedjelj</w:t>
      </w:r>
      <w:r w:rsidRPr="00F234A2">
        <w:rPr>
          <w:sz w:val="22"/>
          <w:szCs w:val="22"/>
          <w:lang w:val="sr-Latn-ME"/>
        </w:rPr>
        <w:t xml:space="preserve">e), sa medijanom trajanja do pojave bilo koje neželjene reakcije od </w:t>
      </w:r>
      <w:r w:rsidR="00EB6ADF">
        <w:rPr>
          <w:sz w:val="22"/>
          <w:szCs w:val="22"/>
          <w:lang w:val="sr-Latn-ME"/>
        </w:rPr>
        <w:t>2</w:t>
      </w:r>
      <w:r w:rsidRPr="00F234A2">
        <w:rPr>
          <w:sz w:val="22"/>
          <w:szCs w:val="22"/>
          <w:lang w:val="sr-Latn-ME"/>
        </w:rPr>
        <w:t xml:space="preserve"> </w:t>
      </w:r>
      <w:r w:rsidR="0094593A" w:rsidRPr="00F234A2">
        <w:rPr>
          <w:sz w:val="22"/>
          <w:szCs w:val="22"/>
          <w:lang w:val="sr-Latn-ME"/>
        </w:rPr>
        <w:t>nedjelj</w:t>
      </w:r>
      <w:r w:rsidRPr="00F234A2">
        <w:rPr>
          <w:sz w:val="22"/>
          <w:szCs w:val="22"/>
          <w:lang w:val="sr-Latn-ME"/>
        </w:rPr>
        <w:t xml:space="preserve">e (95% CI, raspon: 1,43 do 2 </w:t>
      </w:r>
      <w:r w:rsidR="0094593A" w:rsidRPr="00F234A2">
        <w:rPr>
          <w:sz w:val="22"/>
          <w:szCs w:val="22"/>
          <w:lang w:val="sr-Latn-ME"/>
        </w:rPr>
        <w:t>nedjelj</w:t>
      </w:r>
      <w:r w:rsidRPr="00F234A2">
        <w:rPr>
          <w:sz w:val="22"/>
          <w:szCs w:val="22"/>
          <w:lang w:val="sr-Latn-ME"/>
        </w:rPr>
        <w:t>a). 2</w:t>
      </w:r>
      <w:r w:rsidR="00EB6ADF">
        <w:rPr>
          <w:sz w:val="22"/>
          <w:szCs w:val="22"/>
          <w:lang w:val="sr-Latn-ME"/>
        </w:rPr>
        <w:t>,5</w:t>
      </w:r>
      <w:r w:rsidRPr="00F234A2">
        <w:rPr>
          <w:sz w:val="22"/>
          <w:szCs w:val="22"/>
          <w:lang w:val="sr-Latn-ME"/>
        </w:rPr>
        <w:t xml:space="preserve">% pacijenata koji su primali asciminib trajno je prekinulo </w:t>
      </w:r>
      <w:r w:rsidR="00472E1C" w:rsidRPr="00F234A2">
        <w:rPr>
          <w:sz w:val="22"/>
          <w:szCs w:val="22"/>
          <w:lang w:val="sr-Latn-ME"/>
        </w:rPr>
        <w:t>liječ</w:t>
      </w:r>
      <w:r w:rsidRPr="00F234A2">
        <w:rPr>
          <w:sz w:val="22"/>
          <w:szCs w:val="22"/>
          <w:lang w:val="sr-Latn-ME"/>
        </w:rPr>
        <w:t xml:space="preserve">enje zbog trombocitopenije, dok je </w:t>
      </w:r>
      <w:r w:rsidR="00472E1C" w:rsidRPr="00F234A2">
        <w:rPr>
          <w:sz w:val="22"/>
          <w:szCs w:val="22"/>
          <w:lang w:val="sr-Latn-ME"/>
        </w:rPr>
        <w:t>liječ</w:t>
      </w:r>
      <w:r w:rsidRPr="00F234A2">
        <w:rPr>
          <w:sz w:val="22"/>
          <w:szCs w:val="22"/>
          <w:lang w:val="sr-Latn-ME"/>
        </w:rPr>
        <w:t>enje asciminibom privremeno prekinuto kod 12,</w:t>
      </w:r>
      <w:r w:rsidR="00EB6ADF">
        <w:rPr>
          <w:sz w:val="22"/>
          <w:szCs w:val="22"/>
          <w:lang w:val="sr-Latn-ME"/>
        </w:rPr>
        <w:t>4</w:t>
      </w:r>
      <w:r w:rsidRPr="00F234A2">
        <w:rPr>
          <w:sz w:val="22"/>
          <w:szCs w:val="22"/>
          <w:lang w:val="sr-Latn-ME"/>
        </w:rPr>
        <w:t>% pacijenata zbog neželjene reakcije.</w:t>
      </w:r>
    </w:p>
    <w:p w14:paraId="3E3440A7" w14:textId="75A1156A" w:rsidR="00A60A13" w:rsidRPr="00F234A2" w:rsidRDefault="00A60A13" w:rsidP="0095542C">
      <w:pPr>
        <w:tabs>
          <w:tab w:val="left" w:pos="540"/>
          <w:tab w:val="left" w:pos="569"/>
        </w:tabs>
        <w:jc w:val="both"/>
        <w:rPr>
          <w:sz w:val="22"/>
          <w:szCs w:val="22"/>
          <w:lang w:val="sr-Latn-ME"/>
        </w:rPr>
      </w:pPr>
    </w:p>
    <w:p w14:paraId="3FBF800A" w14:textId="1C97EFB3" w:rsidR="00A60A13" w:rsidRPr="00F234A2" w:rsidRDefault="00A60A13" w:rsidP="0095542C">
      <w:pPr>
        <w:tabs>
          <w:tab w:val="left" w:pos="540"/>
          <w:tab w:val="left" w:pos="569"/>
        </w:tabs>
        <w:jc w:val="both"/>
        <w:rPr>
          <w:sz w:val="22"/>
          <w:szCs w:val="22"/>
          <w:lang w:val="sr-Latn-ME"/>
        </w:rPr>
      </w:pPr>
      <w:r w:rsidRPr="00F234A2">
        <w:rPr>
          <w:sz w:val="22"/>
          <w:szCs w:val="22"/>
          <w:lang w:val="sr-Latn-ME"/>
        </w:rPr>
        <w:t>Neutropenija se javila kod 19,</w:t>
      </w:r>
      <w:r w:rsidR="00EB6ADF">
        <w:rPr>
          <w:sz w:val="22"/>
          <w:szCs w:val="22"/>
          <w:lang w:val="sr-Latn-ME"/>
        </w:rPr>
        <w:t>7</w:t>
      </w:r>
      <w:r w:rsidRPr="00F234A2">
        <w:rPr>
          <w:sz w:val="22"/>
          <w:szCs w:val="22"/>
          <w:lang w:val="sr-Latn-ME"/>
        </w:rPr>
        <w:t>% pacijenata koji su primali asciminib, pri čemu su neželjene reakcije gradusa 3 i 4 zab</w:t>
      </w:r>
      <w:r w:rsidR="000B6873" w:rsidRPr="00F234A2">
        <w:rPr>
          <w:sz w:val="22"/>
          <w:szCs w:val="22"/>
          <w:lang w:val="sr-Latn-ME"/>
        </w:rPr>
        <w:t>ilj</w:t>
      </w:r>
      <w:r w:rsidRPr="00F234A2">
        <w:rPr>
          <w:sz w:val="22"/>
          <w:szCs w:val="22"/>
          <w:lang w:val="sr-Latn-ME"/>
        </w:rPr>
        <w:t>ežene u 7,3%, tj. 8,4%. Kod pacijenata sa neutropenijom ≥ gradus 3, medijana vremena do prve pojave neželjene reakcije bila je 6</w:t>
      </w:r>
      <w:r w:rsidR="00EB6ADF">
        <w:rPr>
          <w:sz w:val="22"/>
          <w:szCs w:val="22"/>
          <w:lang w:val="sr-Latn-ME"/>
        </w:rPr>
        <w:t>,14</w:t>
      </w:r>
      <w:r w:rsidRPr="00F234A2">
        <w:rPr>
          <w:sz w:val="22"/>
          <w:szCs w:val="22"/>
          <w:lang w:val="sr-Latn-ME"/>
        </w:rPr>
        <w:t xml:space="preserve"> </w:t>
      </w:r>
      <w:r w:rsidR="0094593A" w:rsidRPr="00F234A2">
        <w:rPr>
          <w:sz w:val="22"/>
          <w:szCs w:val="22"/>
          <w:lang w:val="sr-Latn-ME"/>
        </w:rPr>
        <w:t>nedjelj</w:t>
      </w:r>
      <w:r w:rsidRPr="00F234A2">
        <w:rPr>
          <w:sz w:val="22"/>
          <w:szCs w:val="22"/>
          <w:lang w:val="sr-Latn-ME"/>
        </w:rPr>
        <w:t>a (raspon: 0,14 do 180</w:t>
      </w:r>
      <w:r w:rsidR="00EB6ADF">
        <w:rPr>
          <w:sz w:val="22"/>
          <w:szCs w:val="22"/>
          <w:lang w:val="sr-Latn-ME"/>
        </w:rPr>
        <w:t>,1</w:t>
      </w:r>
      <w:r w:rsidRPr="00F234A2">
        <w:rPr>
          <w:sz w:val="22"/>
          <w:szCs w:val="22"/>
          <w:lang w:val="sr-Latn-ME"/>
        </w:rPr>
        <w:t xml:space="preserve"> </w:t>
      </w:r>
      <w:r w:rsidR="0094593A" w:rsidRPr="00F234A2">
        <w:rPr>
          <w:sz w:val="22"/>
          <w:szCs w:val="22"/>
          <w:lang w:val="sr-Latn-ME"/>
        </w:rPr>
        <w:t>nedjelj</w:t>
      </w:r>
      <w:r w:rsidRPr="00F234A2">
        <w:rPr>
          <w:sz w:val="22"/>
          <w:szCs w:val="22"/>
          <w:lang w:val="sr-Latn-ME"/>
        </w:rPr>
        <w:t xml:space="preserve">a), sa medijanom trajanja do pojave bilo koje neželjene reakcije od </w:t>
      </w:r>
      <w:r w:rsidR="00EB6ADF">
        <w:rPr>
          <w:sz w:val="22"/>
          <w:szCs w:val="22"/>
          <w:lang w:val="sr-Latn-ME"/>
        </w:rPr>
        <w:t>2</w:t>
      </w:r>
      <w:r w:rsidRPr="00F234A2">
        <w:rPr>
          <w:sz w:val="22"/>
          <w:szCs w:val="22"/>
          <w:lang w:val="sr-Latn-ME"/>
        </w:rPr>
        <w:t xml:space="preserve"> </w:t>
      </w:r>
      <w:r w:rsidR="00EB6ADF" w:rsidRPr="00F234A2">
        <w:rPr>
          <w:sz w:val="22"/>
          <w:szCs w:val="22"/>
          <w:lang w:val="sr-Latn-ME"/>
        </w:rPr>
        <w:t>nedjelj</w:t>
      </w:r>
      <w:r w:rsidR="00EB6ADF">
        <w:rPr>
          <w:sz w:val="22"/>
          <w:szCs w:val="22"/>
          <w:lang w:val="sr-Latn-ME"/>
        </w:rPr>
        <w:t>e</w:t>
      </w:r>
      <w:r w:rsidR="00EB6ADF" w:rsidRPr="00F234A2">
        <w:rPr>
          <w:sz w:val="22"/>
          <w:szCs w:val="22"/>
          <w:lang w:val="sr-Latn-ME"/>
        </w:rPr>
        <w:t xml:space="preserve"> </w:t>
      </w:r>
      <w:r w:rsidRPr="00F234A2">
        <w:rPr>
          <w:sz w:val="22"/>
          <w:szCs w:val="22"/>
          <w:lang w:val="sr-Latn-ME"/>
        </w:rPr>
        <w:t>(95% CI, raspon: 1,</w:t>
      </w:r>
      <w:r w:rsidR="00EB6ADF">
        <w:rPr>
          <w:sz w:val="22"/>
          <w:szCs w:val="22"/>
          <w:lang w:val="sr-Latn-ME"/>
        </w:rPr>
        <w:t>43</w:t>
      </w:r>
      <w:r w:rsidR="00EB6ADF" w:rsidRPr="00F234A2">
        <w:rPr>
          <w:sz w:val="22"/>
          <w:szCs w:val="22"/>
          <w:lang w:val="sr-Latn-ME"/>
        </w:rPr>
        <w:t xml:space="preserve"> </w:t>
      </w:r>
      <w:r w:rsidRPr="00F234A2">
        <w:rPr>
          <w:sz w:val="22"/>
          <w:szCs w:val="22"/>
          <w:lang w:val="sr-Latn-ME"/>
        </w:rPr>
        <w:t>do 2</w:t>
      </w:r>
      <w:r w:rsidR="00EB6ADF">
        <w:rPr>
          <w:sz w:val="22"/>
          <w:szCs w:val="22"/>
          <w:lang w:val="sr-Latn-ME"/>
        </w:rPr>
        <w:t>,14</w:t>
      </w:r>
      <w:r w:rsidRPr="00F234A2">
        <w:rPr>
          <w:sz w:val="22"/>
          <w:szCs w:val="22"/>
          <w:lang w:val="sr-Latn-ME"/>
        </w:rPr>
        <w:t xml:space="preserve"> </w:t>
      </w:r>
      <w:r w:rsidR="0094593A" w:rsidRPr="00F234A2">
        <w:rPr>
          <w:sz w:val="22"/>
          <w:szCs w:val="22"/>
          <w:lang w:val="sr-Latn-ME"/>
        </w:rPr>
        <w:t>nedjelj</w:t>
      </w:r>
      <w:r w:rsidRPr="00F234A2">
        <w:rPr>
          <w:sz w:val="22"/>
          <w:szCs w:val="22"/>
          <w:lang w:val="sr-Latn-ME"/>
        </w:rPr>
        <w:t>a). Zbog neutropenije je 1,</w:t>
      </w:r>
      <w:r w:rsidR="00EB6ADF">
        <w:rPr>
          <w:sz w:val="22"/>
          <w:szCs w:val="22"/>
          <w:lang w:val="sr-Latn-ME"/>
        </w:rPr>
        <w:t>7</w:t>
      </w:r>
      <w:r w:rsidRPr="00F234A2">
        <w:rPr>
          <w:sz w:val="22"/>
          <w:szCs w:val="22"/>
          <w:lang w:val="sr-Latn-ME"/>
        </w:rPr>
        <w:t>% pacijenata koji su primali asciminib trajno prekinulo liječenje, dok je liječenje asciminibom privremeno prekinuto kod 9,</w:t>
      </w:r>
      <w:r w:rsidR="00EB6ADF">
        <w:rPr>
          <w:sz w:val="22"/>
          <w:szCs w:val="22"/>
          <w:lang w:val="sr-Latn-ME"/>
        </w:rPr>
        <w:t>3</w:t>
      </w:r>
      <w:r w:rsidRPr="00F234A2">
        <w:rPr>
          <w:sz w:val="22"/>
          <w:szCs w:val="22"/>
          <w:lang w:val="sr-Latn-ME"/>
        </w:rPr>
        <w:t>% pacijenata zbog neželjene reakcije.</w:t>
      </w:r>
    </w:p>
    <w:p w14:paraId="24C39FE5" w14:textId="7FD9DC6B" w:rsidR="00A60A13" w:rsidRPr="00F234A2" w:rsidRDefault="00A60A13" w:rsidP="0095542C">
      <w:pPr>
        <w:tabs>
          <w:tab w:val="left" w:pos="540"/>
          <w:tab w:val="left" w:pos="569"/>
        </w:tabs>
        <w:jc w:val="both"/>
        <w:rPr>
          <w:sz w:val="22"/>
          <w:szCs w:val="22"/>
          <w:lang w:val="sr-Latn-ME"/>
        </w:rPr>
      </w:pPr>
    </w:p>
    <w:p w14:paraId="63E9F8F8" w14:textId="09E1EF13" w:rsidR="00A60A13" w:rsidRPr="00F234A2" w:rsidRDefault="00A60A13" w:rsidP="0095542C">
      <w:pPr>
        <w:tabs>
          <w:tab w:val="left" w:pos="540"/>
          <w:tab w:val="left" w:pos="569"/>
        </w:tabs>
        <w:jc w:val="both"/>
        <w:rPr>
          <w:sz w:val="22"/>
          <w:szCs w:val="22"/>
          <w:lang w:val="sr-Latn-ME"/>
        </w:rPr>
      </w:pPr>
      <w:r w:rsidRPr="00F234A2">
        <w:rPr>
          <w:sz w:val="22"/>
          <w:szCs w:val="22"/>
          <w:lang w:val="sr-Latn-ME"/>
        </w:rPr>
        <w:t xml:space="preserve">Anemija se javila kod </w:t>
      </w:r>
      <w:r w:rsidR="00EB6ADF" w:rsidRPr="00F234A2">
        <w:rPr>
          <w:sz w:val="22"/>
          <w:szCs w:val="22"/>
          <w:lang w:val="sr-Latn-ME"/>
        </w:rPr>
        <w:t>1</w:t>
      </w:r>
      <w:r w:rsidR="00EB6ADF">
        <w:rPr>
          <w:sz w:val="22"/>
          <w:szCs w:val="22"/>
          <w:lang w:val="sr-Latn-ME"/>
        </w:rPr>
        <w:t>3</w:t>
      </w:r>
      <w:r w:rsidRPr="00F234A2">
        <w:rPr>
          <w:sz w:val="22"/>
          <w:szCs w:val="22"/>
          <w:lang w:val="sr-Latn-ME"/>
        </w:rPr>
        <w:t>,</w:t>
      </w:r>
      <w:r w:rsidR="00EB6ADF">
        <w:rPr>
          <w:sz w:val="22"/>
          <w:szCs w:val="22"/>
          <w:lang w:val="sr-Latn-ME"/>
        </w:rPr>
        <w:t>2</w:t>
      </w:r>
      <w:r w:rsidRPr="00F234A2">
        <w:rPr>
          <w:sz w:val="22"/>
          <w:szCs w:val="22"/>
          <w:lang w:val="sr-Latn-ME"/>
        </w:rPr>
        <w:t>% pacijenata koji su primali asciminib, pri čemu su se neželjene reakcije gradusa 3 javile kod 5,3% pacijenata. Kod pacijenata s</w:t>
      </w:r>
      <w:r w:rsidR="00870748">
        <w:rPr>
          <w:sz w:val="22"/>
          <w:szCs w:val="22"/>
          <w:lang w:val="sr-Latn-ME"/>
        </w:rPr>
        <w:t>a</w:t>
      </w:r>
      <w:r w:rsidRPr="00F234A2">
        <w:rPr>
          <w:sz w:val="22"/>
          <w:szCs w:val="22"/>
          <w:lang w:val="sr-Latn-ME"/>
        </w:rPr>
        <w:t xml:space="preserve"> anemijom ≥ gradus 3, medijana vremena do prve pojave neželjene reakcije bila je 30</w:t>
      </w:r>
      <w:r w:rsidR="00EB6ADF">
        <w:rPr>
          <w:sz w:val="22"/>
          <w:szCs w:val="22"/>
          <w:lang w:val="sr-Latn-ME"/>
        </w:rPr>
        <w:t>,43</w:t>
      </w:r>
      <w:r w:rsidRPr="00F234A2">
        <w:rPr>
          <w:sz w:val="22"/>
          <w:szCs w:val="22"/>
          <w:lang w:val="sr-Latn-ME"/>
        </w:rPr>
        <w:t xml:space="preserve"> </w:t>
      </w:r>
      <w:r w:rsidR="0094593A" w:rsidRPr="00F234A2">
        <w:rPr>
          <w:sz w:val="22"/>
          <w:szCs w:val="22"/>
          <w:lang w:val="sr-Latn-ME"/>
        </w:rPr>
        <w:t>nedjelj</w:t>
      </w:r>
      <w:r w:rsidRPr="00F234A2">
        <w:rPr>
          <w:sz w:val="22"/>
          <w:szCs w:val="22"/>
          <w:lang w:val="sr-Latn-ME"/>
        </w:rPr>
        <w:t>a (raspon: 0,4</w:t>
      </w:r>
      <w:r w:rsidR="00EB6ADF">
        <w:rPr>
          <w:sz w:val="22"/>
          <w:szCs w:val="22"/>
          <w:lang w:val="sr-Latn-ME"/>
        </w:rPr>
        <w:t>3</w:t>
      </w:r>
      <w:r w:rsidRPr="00F234A2">
        <w:rPr>
          <w:sz w:val="22"/>
          <w:szCs w:val="22"/>
          <w:lang w:val="sr-Latn-ME"/>
        </w:rPr>
        <w:t xml:space="preserve"> do 207 </w:t>
      </w:r>
      <w:r w:rsidR="0094593A" w:rsidRPr="00F234A2">
        <w:rPr>
          <w:sz w:val="22"/>
          <w:szCs w:val="22"/>
          <w:lang w:val="sr-Latn-ME"/>
        </w:rPr>
        <w:t>nedjelj</w:t>
      </w:r>
      <w:r w:rsidRPr="00F234A2">
        <w:rPr>
          <w:sz w:val="22"/>
          <w:szCs w:val="22"/>
          <w:lang w:val="sr-Latn-ME"/>
        </w:rPr>
        <w:t>a), sa medijanom trajanja o pojave bilo koje neželjene reakcije od 0,</w:t>
      </w:r>
      <w:r w:rsidR="00EB6ADF">
        <w:rPr>
          <w:sz w:val="22"/>
          <w:szCs w:val="22"/>
          <w:lang w:val="sr-Latn-ME"/>
        </w:rPr>
        <w:t>86</w:t>
      </w:r>
      <w:r w:rsidR="00EB6ADF" w:rsidRPr="00F234A2">
        <w:rPr>
          <w:sz w:val="22"/>
          <w:szCs w:val="22"/>
          <w:lang w:val="sr-Latn-ME"/>
        </w:rPr>
        <w:t xml:space="preserve"> </w:t>
      </w:r>
      <w:r w:rsidR="0094593A" w:rsidRPr="00F234A2">
        <w:rPr>
          <w:sz w:val="22"/>
          <w:szCs w:val="22"/>
          <w:lang w:val="sr-Latn-ME"/>
        </w:rPr>
        <w:t>nedjelj</w:t>
      </w:r>
      <w:r w:rsidRPr="00F234A2">
        <w:rPr>
          <w:sz w:val="22"/>
          <w:szCs w:val="22"/>
          <w:lang w:val="sr-Latn-ME"/>
        </w:rPr>
        <w:t>e (95% CI, raspon: 0,</w:t>
      </w:r>
      <w:r w:rsidR="00EB6ADF">
        <w:rPr>
          <w:sz w:val="22"/>
          <w:szCs w:val="22"/>
          <w:lang w:val="sr-Latn-ME"/>
        </w:rPr>
        <w:t>29</w:t>
      </w:r>
      <w:r w:rsidR="00EB6ADF" w:rsidRPr="00F234A2">
        <w:rPr>
          <w:sz w:val="22"/>
          <w:szCs w:val="22"/>
          <w:lang w:val="sr-Latn-ME"/>
        </w:rPr>
        <w:t xml:space="preserve"> </w:t>
      </w:r>
      <w:r w:rsidRPr="00F234A2">
        <w:rPr>
          <w:sz w:val="22"/>
          <w:szCs w:val="22"/>
          <w:lang w:val="sr-Latn-ME"/>
        </w:rPr>
        <w:t xml:space="preserve">do </w:t>
      </w:r>
      <w:r w:rsidR="00EB6ADF">
        <w:rPr>
          <w:sz w:val="22"/>
          <w:szCs w:val="22"/>
          <w:lang w:val="sr-Latn-ME"/>
        </w:rPr>
        <w:t>1</w:t>
      </w:r>
      <w:r w:rsidRPr="00F234A2">
        <w:rPr>
          <w:sz w:val="22"/>
          <w:szCs w:val="22"/>
          <w:lang w:val="sr-Latn-ME"/>
        </w:rPr>
        <w:t>,</w:t>
      </w:r>
      <w:r w:rsidR="00EB6ADF">
        <w:rPr>
          <w:sz w:val="22"/>
          <w:szCs w:val="22"/>
          <w:lang w:val="sr-Latn-ME"/>
        </w:rPr>
        <w:t>71</w:t>
      </w:r>
      <w:r w:rsidR="00EB6ADF" w:rsidRPr="00F234A2">
        <w:rPr>
          <w:sz w:val="22"/>
          <w:szCs w:val="22"/>
          <w:lang w:val="sr-Latn-ME"/>
        </w:rPr>
        <w:t xml:space="preserve"> </w:t>
      </w:r>
      <w:r w:rsidR="0094593A" w:rsidRPr="00F234A2">
        <w:rPr>
          <w:sz w:val="22"/>
          <w:szCs w:val="22"/>
          <w:lang w:val="sr-Latn-ME"/>
        </w:rPr>
        <w:t>nedjelj</w:t>
      </w:r>
      <w:r w:rsidRPr="00F234A2">
        <w:rPr>
          <w:sz w:val="22"/>
          <w:szCs w:val="22"/>
          <w:lang w:val="sr-Latn-ME"/>
        </w:rPr>
        <w:t xml:space="preserve">a). </w:t>
      </w:r>
      <w:r w:rsidR="00472E1C" w:rsidRPr="00F234A2">
        <w:rPr>
          <w:sz w:val="22"/>
          <w:szCs w:val="22"/>
          <w:lang w:val="sr-Latn-ME"/>
        </w:rPr>
        <w:t>Liječ</w:t>
      </w:r>
      <w:r w:rsidRPr="00F234A2">
        <w:rPr>
          <w:sz w:val="22"/>
          <w:szCs w:val="22"/>
          <w:lang w:val="sr-Latn-ME"/>
        </w:rPr>
        <w:t>enje asciminibom privremeno je prekinuto kod 0,6% pacijenata zbog neželjene reakcije.</w:t>
      </w:r>
    </w:p>
    <w:p w14:paraId="1107AAA7" w14:textId="2E613276" w:rsidR="00A60A13" w:rsidRPr="00F234A2" w:rsidRDefault="00A60A13" w:rsidP="0095542C">
      <w:pPr>
        <w:tabs>
          <w:tab w:val="left" w:pos="540"/>
          <w:tab w:val="left" w:pos="569"/>
        </w:tabs>
        <w:jc w:val="both"/>
        <w:rPr>
          <w:b/>
          <w:bCs/>
          <w:sz w:val="22"/>
          <w:szCs w:val="22"/>
          <w:lang w:val="sr-Latn-ME"/>
        </w:rPr>
      </w:pPr>
    </w:p>
    <w:p w14:paraId="3A40F6A5" w14:textId="77777777" w:rsidR="00A60A13" w:rsidRPr="00F234A2" w:rsidRDefault="00A60A13" w:rsidP="0095542C">
      <w:pPr>
        <w:tabs>
          <w:tab w:val="left" w:pos="540"/>
          <w:tab w:val="left" w:pos="569"/>
        </w:tabs>
        <w:jc w:val="both"/>
        <w:rPr>
          <w:i/>
          <w:iCs/>
          <w:sz w:val="22"/>
          <w:szCs w:val="22"/>
          <w:u w:val="single"/>
          <w:lang w:val="sr-Latn-ME"/>
        </w:rPr>
      </w:pPr>
      <w:r w:rsidRPr="00F234A2">
        <w:rPr>
          <w:i/>
          <w:iCs/>
          <w:sz w:val="22"/>
          <w:szCs w:val="22"/>
          <w:u w:val="single"/>
          <w:lang w:val="sr-Latn-ME"/>
        </w:rPr>
        <w:t>Toksičnost za pankreas</w:t>
      </w:r>
    </w:p>
    <w:p w14:paraId="61D9A9A3" w14:textId="52852E41" w:rsidR="00A60A13" w:rsidRPr="00F234A2" w:rsidRDefault="00A60A13" w:rsidP="0095542C">
      <w:pPr>
        <w:tabs>
          <w:tab w:val="left" w:pos="540"/>
          <w:tab w:val="left" w:pos="569"/>
        </w:tabs>
        <w:jc w:val="both"/>
        <w:rPr>
          <w:sz w:val="22"/>
          <w:szCs w:val="22"/>
          <w:lang w:val="sr-Latn-ME"/>
        </w:rPr>
      </w:pPr>
      <w:r w:rsidRPr="00F234A2">
        <w:rPr>
          <w:sz w:val="22"/>
          <w:szCs w:val="22"/>
          <w:lang w:val="sr-Latn-ME"/>
        </w:rPr>
        <w:t xml:space="preserve">Pankreatitis se javio kod 2,5% pacijenata koji su primali asciminib, pri čemu su se neželjene reakcije gradusa 3 javile kod 1,1% pacijenata. Sve te neželjene reakcije javile su se u ispitivanju faze I (X2101). 0,6% pacijenata koji su primali asciminib trajno je prekinulo </w:t>
      </w:r>
      <w:r w:rsidR="00472E1C" w:rsidRPr="00F234A2">
        <w:rPr>
          <w:sz w:val="22"/>
          <w:szCs w:val="22"/>
          <w:lang w:val="sr-Latn-ME"/>
        </w:rPr>
        <w:t>liječ</w:t>
      </w:r>
      <w:r w:rsidRPr="00F234A2">
        <w:rPr>
          <w:sz w:val="22"/>
          <w:szCs w:val="22"/>
          <w:lang w:val="sr-Latn-ME"/>
        </w:rPr>
        <w:t xml:space="preserve">enje zbog pankreatitisa, dok je </w:t>
      </w:r>
      <w:r w:rsidR="00472E1C" w:rsidRPr="00F234A2">
        <w:rPr>
          <w:sz w:val="22"/>
          <w:szCs w:val="22"/>
          <w:lang w:val="sr-Latn-ME"/>
        </w:rPr>
        <w:t>liječ</w:t>
      </w:r>
      <w:r w:rsidRPr="00F234A2">
        <w:rPr>
          <w:sz w:val="22"/>
          <w:szCs w:val="22"/>
          <w:lang w:val="sr-Latn-ME"/>
        </w:rPr>
        <w:t>enje asciminibom privremeno prekinuto kod 1,</w:t>
      </w:r>
      <w:r w:rsidR="00EB6ADF">
        <w:rPr>
          <w:sz w:val="22"/>
          <w:szCs w:val="22"/>
          <w:lang w:val="sr-Latn-ME"/>
        </w:rPr>
        <w:t>4</w:t>
      </w:r>
      <w:r w:rsidRPr="00F234A2">
        <w:rPr>
          <w:sz w:val="22"/>
          <w:szCs w:val="22"/>
          <w:lang w:val="sr-Latn-ME"/>
        </w:rPr>
        <w:t>% pacijenata zbog neželjene reakcije. Asimptomatska povećanja lipaze i amilaze u serumu javila su se kod 23% pacijenata koji su primali asciminib, pri čemu su se neželjene reakcije gradusa 3 i 4 javile kod 10,</w:t>
      </w:r>
      <w:r w:rsidR="00EB6ADF">
        <w:rPr>
          <w:sz w:val="22"/>
          <w:szCs w:val="22"/>
          <w:lang w:val="sr-Latn-ME"/>
        </w:rPr>
        <w:t>4</w:t>
      </w:r>
      <w:r w:rsidRPr="00F234A2">
        <w:rPr>
          <w:sz w:val="22"/>
          <w:szCs w:val="22"/>
          <w:lang w:val="sr-Latn-ME"/>
        </w:rPr>
        <w:t>%, tj. 2,</w:t>
      </w:r>
      <w:r w:rsidR="00EB6ADF">
        <w:rPr>
          <w:sz w:val="22"/>
          <w:szCs w:val="22"/>
          <w:lang w:val="sr-Latn-ME"/>
        </w:rPr>
        <w:t>5</w:t>
      </w:r>
      <w:r w:rsidRPr="00F234A2">
        <w:rPr>
          <w:sz w:val="22"/>
          <w:szCs w:val="22"/>
          <w:lang w:val="sr-Latn-ME"/>
        </w:rPr>
        <w:t xml:space="preserve">% pacijenta. Kod pacijenata sa povećanjem enzima pankreasa, </w:t>
      </w:r>
      <w:r w:rsidR="00472E1C" w:rsidRPr="00F234A2">
        <w:rPr>
          <w:sz w:val="22"/>
          <w:szCs w:val="22"/>
          <w:lang w:val="sr-Latn-ME"/>
        </w:rPr>
        <w:t>liječ</w:t>
      </w:r>
      <w:r w:rsidRPr="00F234A2">
        <w:rPr>
          <w:sz w:val="22"/>
          <w:szCs w:val="22"/>
          <w:lang w:val="sr-Latn-ME"/>
        </w:rPr>
        <w:t>enje asciminibom trajno je prekinuto kod 2,2% pacijenta zbog neželjene reakcije.</w:t>
      </w:r>
    </w:p>
    <w:p w14:paraId="6F1D9687" w14:textId="5D24BC9E" w:rsidR="00A60A13" w:rsidRPr="00F234A2" w:rsidRDefault="00A60A13" w:rsidP="0095542C">
      <w:pPr>
        <w:tabs>
          <w:tab w:val="left" w:pos="540"/>
          <w:tab w:val="left" w:pos="569"/>
        </w:tabs>
        <w:jc w:val="both"/>
        <w:rPr>
          <w:sz w:val="22"/>
          <w:szCs w:val="22"/>
          <w:lang w:val="sr-Latn-ME"/>
        </w:rPr>
      </w:pPr>
    </w:p>
    <w:p w14:paraId="4E7C24DD" w14:textId="77777777" w:rsidR="00A60A13" w:rsidRPr="00F234A2" w:rsidRDefault="00A60A13" w:rsidP="0095542C">
      <w:pPr>
        <w:tabs>
          <w:tab w:val="left" w:pos="540"/>
          <w:tab w:val="left" w:pos="569"/>
        </w:tabs>
        <w:jc w:val="both"/>
        <w:rPr>
          <w:i/>
          <w:iCs/>
          <w:sz w:val="22"/>
          <w:szCs w:val="22"/>
          <w:u w:val="single"/>
          <w:lang w:val="sr-Latn-ME"/>
        </w:rPr>
      </w:pPr>
      <w:r w:rsidRPr="00F234A2">
        <w:rPr>
          <w:i/>
          <w:iCs/>
          <w:sz w:val="22"/>
          <w:szCs w:val="22"/>
          <w:u w:val="single"/>
          <w:lang w:val="sr-Latn-ME"/>
        </w:rPr>
        <w:t>Produženje QT intervala</w:t>
      </w:r>
    </w:p>
    <w:p w14:paraId="6564D1BD" w14:textId="3CCE269B" w:rsidR="00A60A13" w:rsidRPr="00F234A2" w:rsidRDefault="00A60A13" w:rsidP="0095542C">
      <w:pPr>
        <w:tabs>
          <w:tab w:val="left" w:pos="540"/>
          <w:tab w:val="left" w:pos="569"/>
        </w:tabs>
        <w:jc w:val="both"/>
        <w:rPr>
          <w:sz w:val="22"/>
          <w:szCs w:val="22"/>
          <w:lang w:val="sr-Latn-ME"/>
        </w:rPr>
      </w:pPr>
      <w:r w:rsidRPr="00F234A2">
        <w:rPr>
          <w:sz w:val="22"/>
          <w:szCs w:val="22"/>
          <w:lang w:val="sr-Latn-ME"/>
        </w:rPr>
        <w:t xml:space="preserve">Produženje QT intervala na elektrokardiogramu javilo se kod </w:t>
      </w:r>
      <w:r w:rsidR="00EB6ADF">
        <w:rPr>
          <w:sz w:val="22"/>
          <w:szCs w:val="22"/>
          <w:lang w:val="sr-Latn-ME"/>
        </w:rPr>
        <w:t>1</w:t>
      </w:r>
      <w:r w:rsidRPr="00F234A2">
        <w:rPr>
          <w:sz w:val="22"/>
          <w:szCs w:val="22"/>
          <w:lang w:val="sr-Latn-ME"/>
        </w:rPr>
        <w:t>,</w:t>
      </w:r>
      <w:r w:rsidR="00EB6ADF">
        <w:rPr>
          <w:sz w:val="22"/>
          <w:szCs w:val="22"/>
          <w:lang w:val="sr-Latn-ME"/>
        </w:rPr>
        <w:t>1</w:t>
      </w:r>
      <w:r w:rsidRPr="00F234A2">
        <w:rPr>
          <w:sz w:val="22"/>
          <w:szCs w:val="22"/>
          <w:lang w:val="sr-Latn-ME"/>
        </w:rPr>
        <w:t xml:space="preserve">% pacijenata koji su primali asciminib. U kliničkom ispitivanju ASCEMBL, jedan pacijent je imao produženi QTcF veći od 500 milisekundi (ms) zajedno sa produženjem QTcF za više od 60 ms u odnosu na početnu </w:t>
      </w:r>
      <w:r w:rsidR="00472E1C" w:rsidRPr="00F234A2">
        <w:rPr>
          <w:sz w:val="22"/>
          <w:szCs w:val="22"/>
          <w:lang w:val="sr-Latn-ME"/>
        </w:rPr>
        <w:t>vrijedno</w:t>
      </w:r>
      <w:r w:rsidRPr="00F234A2">
        <w:rPr>
          <w:sz w:val="22"/>
          <w:szCs w:val="22"/>
          <w:lang w:val="sr-Latn-ME"/>
        </w:rPr>
        <w:t xml:space="preserve">st, a jedan pacijent je imao produženi QTcF sa produženjem za više od 60 ms QTcF u odnosu na početnu </w:t>
      </w:r>
      <w:r w:rsidR="00472E1C" w:rsidRPr="00F234A2">
        <w:rPr>
          <w:sz w:val="22"/>
          <w:szCs w:val="22"/>
          <w:lang w:val="sr-Latn-ME"/>
        </w:rPr>
        <w:t>vrijedno</w:t>
      </w:r>
      <w:r w:rsidRPr="00F234A2">
        <w:rPr>
          <w:sz w:val="22"/>
          <w:szCs w:val="22"/>
          <w:lang w:val="sr-Latn-ME"/>
        </w:rPr>
        <w:t>st.</w:t>
      </w:r>
    </w:p>
    <w:p w14:paraId="28E3D989" w14:textId="481D2F6A" w:rsidR="00A60A13" w:rsidRPr="00F234A2" w:rsidRDefault="00A60A13" w:rsidP="0095542C">
      <w:pPr>
        <w:tabs>
          <w:tab w:val="left" w:pos="540"/>
          <w:tab w:val="left" w:pos="569"/>
        </w:tabs>
        <w:jc w:val="both"/>
        <w:rPr>
          <w:sz w:val="22"/>
          <w:szCs w:val="22"/>
          <w:lang w:val="sr-Latn-ME"/>
        </w:rPr>
      </w:pPr>
    </w:p>
    <w:p w14:paraId="198D18FF" w14:textId="77777777" w:rsidR="00A60A13" w:rsidRPr="00F234A2" w:rsidRDefault="00A60A13" w:rsidP="0095542C">
      <w:pPr>
        <w:tabs>
          <w:tab w:val="left" w:pos="540"/>
          <w:tab w:val="left" w:pos="569"/>
        </w:tabs>
        <w:jc w:val="both"/>
        <w:rPr>
          <w:i/>
          <w:iCs/>
          <w:sz w:val="22"/>
          <w:szCs w:val="22"/>
          <w:u w:val="single"/>
          <w:lang w:val="sr-Latn-ME"/>
        </w:rPr>
      </w:pPr>
      <w:r w:rsidRPr="00F234A2">
        <w:rPr>
          <w:i/>
          <w:iCs/>
          <w:sz w:val="22"/>
          <w:szCs w:val="22"/>
          <w:u w:val="single"/>
          <w:lang w:val="sr-Latn-ME"/>
        </w:rPr>
        <w:t>Hipertenzija</w:t>
      </w:r>
    </w:p>
    <w:p w14:paraId="5504A51C" w14:textId="242070AD" w:rsidR="00A60A13" w:rsidRPr="00F234A2" w:rsidRDefault="00A60A13" w:rsidP="0095542C">
      <w:pPr>
        <w:tabs>
          <w:tab w:val="left" w:pos="540"/>
          <w:tab w:val="left" w:pos="569"/>
        </w:tabs>
        <w:jc w:val="both"/>
        <w:rPr>
          <w:sz w:val="22"/>
          <w:szCs w:val="22"/>
          <w:lang w:val="sr-Latn-ME"/>
        </w:rPr>
      </w:pPr>
      <w:r w:rsidRPr="00F234A2">
        <w:rPr>
          <w:sz w:val="22"/>
          <w:szCs w:val="22"/>
          <w:lang w:val="sr-Latn-ME"/>
        </w:rPr>
        <w:t xml:space="preserve">Hipertenzija se javila kod </w:t>
      </w:r>
      <w:r w:rsidR="00EB6ADF">
        <w:rPr>
          <w:sz w:val="22"/>
          <w:szCs w:val="22"/>
          <w:lang w:val="sr-Latn-ME"/>
        </w:rPr>
        <w:t>20</w:t>
      </w:r>
      <w:r w:rsidRPr="00F234A2">
        <w:rPr>
          <w:sz w:val="22"/>
          <w:szCs w:val="22"/>
          <w:lang w:val="sr-Latn-ME"/>
        </w:rPr>
        <w:t>.</w:t>
      </w:r>
      <w:r w:rsidR="00EB6ADF">
        <w:rPr>
          <w:sz w:val="22"/>
          <w:szCs w:val="22"/>
          <w:lang w:val="sr-Latn-ME"/>
        </w:rPr>
        <w:t>8</w:t>
      </w:r>
      <w:r w:rsidRPr="00F234A2">
        <w:rPr>
          <w:sz w:val="22"/>
          <w:szCs w:val="22"/>
          <w:lang w:val="sr-Latn-ME"/>
        </w:rPr>
        <w:t xml:space="preserve">% pacijenata koji su primali asciminib, pri čemu su neželjene reakcije gradusa 3 i 4 prijavljene kod </w:t>
      </w:r>
      <w:r w:rsidR="00EB6ADF">
        <w:rPr>
          <w:sz w:val="22"/>
          <w:szCs w:val="22"/>
          <w:lang w:val="sr-Latn-ME"/>
        </w:rPr>
        <w:t>11</w:t>
      </w:r>
      <w:r w:rsidRPr="00F234A2">
        <w:rPr>
          <w:sz w:val="22"/>
          <w:szCs w:val="22"/>
          <w:lang w:val="sr-Latn-ME"/>
        </w:rPr>
        <w:t xml:space="preserve">%, tj. 0,3% pacijenta. Kod pacijenata sa hipertenzijom ≥ gradus 3, medijana vremena do prve pojave neželjene reakcije bila je </w:t>
      </w:r>
      <w:r w:rsidR="00EB6ADF">
        <w:rPr>
          <w:sz w:val="22"/>
          <w:szCs w:val="22"/>
          <w:lang w:val="sr-Latn-ME"/>
        </w:rPr>
        <w:t>29,21</w:t>
      </w:r>
      <w:r w:rsidR="00EB6ADF" w:rsidRPr="00F234A2">
        <w:rPr>
          <w:sz w:val="22"/>
          <w:szCs w:val="22"/>
          <w:lang w:val="sr-Latn-ME"/>
        </w:rPr>
        <w:t xml:space="preserve"> </w:t>
      </w:r>
      <w:r w:rsidR="0094593A" w:rsidRPr="00F234A2">
        <w:rPr>
          <w:sz w:val="22"/>
          <w:szCs w:val="22"/>
          <w:lang w:val="sr-Latn-ME"/>
        </w:rPr>
        <w:t>nedjelj</w:t>
      </w:r>
      <w:r w:rsidRPr="00F234A2">
        <w:rPr>
          <w:sz w:val="22"/>
          <w:szCs w:val="22"/>
          <w:lang w:val="sr-Latn-ME"/>
        </w:rPr>
        <w:t>a (raspon: 0,</w:t>
      </w:r>
      <w:r w:rsidR="00EB6ADF">
        <w:rPr>
          <w:sz w:val="22"/>
          <w:szCs w:val="22"/>
          <w:lang w:val="sr-Latn-ME"/>
        </w:rPr>
        <w:t>4</w:t>
      </w:r>
      <w:r w:rsidR="00EB6ADF" w:rsidRPr="00F234A2">
        <w:rPr>
          <w:sz w:val="22"/>
          <w:szCs w:val="22"/>
          <w:lang w:val="sr-Latn-ME"/>
        </w:rPr>
        <w:t xml:space="preserve"> </w:t>
      </w:r>
      <w:r w:rsidRPr="00F234A2">
        <w:rPr>
          <w:sz w:val="22"/>
          <w:szCs w:val="22"/>
          <w:lang w:val="sr-Latn-ME"/>
        </w:rPr>
        <w:t xml:space="preserve">do </w:t>
      </w:r>
      <w:r w:rsidR="00EB6ADF">
        <w:rPr>
          <w:sz w:val="22"/>
          <w:szCs w:val="22"/>
          <w:lang w:val="sr-Latn-ME"/>
        </w:rPr>
        <w:t>365</w:t>
      </w:r>
      <w:r w:rsidR="00EB6ADF" w:rsidRPr="00F234A2">
        <w:rPr>
          <w:sz w:val="22"/>
          <w:szCs w:val="22"/>
          <w:lang w:val="sr-Latn-ME"/>
        </w:rPr>
        <w:t xml:space="preserve"> </w:t>
      </w:r>
      <w:r w:rsidR="0094593A" w:rsidRPr="00F234A2">
        <w:rPr>
          <w:sz w:val="22"/>
          <w:szCs w:val="22"/>
          <w:lang w:val="sr-Latn-ME"/>
        </w:rPr>
        <w:t>nedjelj</w:t>
      </w:r>
      <w:r w:rsidRPr="00F234A2">
        <w:rPr>
          <w:sz w:val="22"/>
          <w:szCs w:val="22"/>
          <w:lang w:val="sr-Latn-ME"/>
        </w:rPr>
        <w:t xml:space="preserve">a). </w:t>
      </w:r>
      <w:r w:rsidR="00472E1C" w:rsidRPr="00F234A2">
        <w:rPr>
          <w:sz w:val="22"/>
          <w:szCs w:val="22"/>
          <w:lang w:val="sr-Latn-ME"/>
        </w:rPr>
        <w:t>Liječ</w:t>
      </w:r>
      <w:r w:rsidRPr="00F234A2">
        <w:rPr>
          <w:sz w:val="22"/>
          <w:szCs w:val="22"/>
          <w:lang w:val="sr-Latn-ME"/>
        </w:rPr>
        <w:t>enje asciminibom privremeno je prekinuto kod 0,8% pacijenata zbog neželjene reakcije.</w:t>
      </w:r>
    </w:p>
    <w:p w14:paraId="2E3EFF09" w14:textId="77777777" w:rsidR="00A60A13" w:rsidRPr="00F234A2" w:rsidRDefault="00A60A13" w:rsidP="0095542C">
      <w:pPr>
        <w:tabs>
          <w:tab w:val="left" w:pos="540"/>
          <w:tab w:val="left" w:pos="569"/>
        </w:tabs>
        <w:jc w:val="both"/>
        <w:rPr>
          <w:sz w:val="22"/>
          <w:szCs w:val="22"/>
          <w:lang w:val="sr-Latn-ME"/>
        </w:rPr>
      </w:pPr>
    </w:p>
    <w:p w14:paraId="41CACA45" w14:textId="1C9A1E19" w:rsidR="00A60A13" w:rsidRPr="00F234A2" w:rsidRDefault="00A60A13" w:rsidP="0095542C">
      <w:pPr>
        <w:tabs>
          <w:tab w:val="left" w:pos="540"/>
          <w:tab w:val="left" w:pos="569"/>
        </w:tabs>
        <w:jc w:val="both"/>
        <w:rPr>
          <w:i/>
          <w:iCs/>
          <w:sz w:val="22"/>
          <w:szCs w:val="22"/>
          <w:u w:val="single"/>
          <w:lang w:val="sr-Latn-ME"/>
        </w:rPr>
      </w:pPr>
      <w:r w:rsidRPr="00F234A2">
        <w:rPr>
          <w:i/>
          <w:iCs/>
          <w:sz w:val="22"/>
          <w:szCs w:val="22"/>
          <w:u w:val="single"/>
          <w:lang w:val="sr-Latn-ME"/>
        </w:rPr>
        <w:t xml:space="preserve">Odstupanja laboratorijskih </w:t>
      </w:r>
      <w:r w:rsidR="00472E1C" w:rsidRPr="00F234A2">
        <w:rPr>
          <w:i/>
          <w:iCs/>
          <w:sz w:val="22"/>
          <w:szCs w:val="22"/>
          <w:u w:val="single"/>
          <w:lang w:val="sr-Latn-ME"/>
        </w:rPr>
        <w:t>vrijedno</w:t>
      </w:r>
      <w:r w:rsidRPr="00F234A2">
        <w:rPr>
          <w:i/>
          <w:iCs/>
          <w:sz w:val="22"/>
          <w:szCs w:val="22"/>
          <w:u w:val="single"/>
          <w:lang w:val="sr-Latn-ME"/>
        </w:rPr>
        <w:t>sti</w:t>
      </w:r>
    </w:p>
    <w:p w14:paraId="22B0DCC3" w14:textId="15F4DBB6" w:rsidR="00A60A13" w:rsidRPr="00F234A2" w:rsidRDefault="00A60A13" w:rsidP="0095542C">
      <w:pPr>
        <w:tabs>
          <w:tab w:val="left" w:pos="540"/>
          <w:tab w:val="left" w:pos="569"/>
        </w:tabs>
        <w:jc w:val="both"/>
        <w:rPr>
          <w:sz w:val="22"/>
          <w:szCs w:val="22"/>
          <w:lang w:val="sr-Latn-ME"/>
        </w:rPr>
      </w:pPr>
      <w:r w:rsidRPr="00F234A2">
        <w:rPr>
          <w:sz w:val="22"/>
          <w:szCs w:val="22"/>
          <w:lang w:val="sr-Latn-ME"/>
        </w:rPr>
        <w:t xml:space="preserve">Smanjenje fosfata javilo se kao odstupanje laboratorijskih </w:t>
      </w:r>
      <w:r w:rsidR="00472E1C" w:rsidRPr="00F234A2">
        <w:rPr>
          <w:sz w:val="22"/>
          <w:szCs w:val="22"/>
          <w:lang w:val="sr-Latn-ME"/>
        </w:rPr>
        <w:t>vrijedno</w:t>
      </w:r>
      <w:r w:rsidRPr="00F234A2">
        <w:rPr>
          <w:sz w:val="22"/>
          <w:szCs w:val="22"/>
          <w:lang w:val="sr-Latn-ME"/>
        </w:rPr>
        <w:t xml:space="preserve">sti kod 17,9% (svi gradusi) i </w:t>
      </w:r>
      <w:r w:rsidR="00EB6ADF">
        <w:rPr>
          <w:sz w:val="22"/>
          <w:szCs w:val="22"/>
          <w:lang w:val="sr-Latn-ME"/>
        </w:rPr>
        <w:t>7</w:t>
      </w:r>
      <w:r w:rsidRPr="00F234A2">
        <w:rPr>
          <w:sz w:val="22"/>
          <w:szCs w:val="22"/>
          <w:lang w:val="sr-Latn-ME"/>
        </w:rPr>
        <w:t>,</w:t>
      </w:r>
      <w:r w:rsidR="00EB6ADF">
        <w:rPr>
          <w:sz w:val="22"/>
          <w:szCs w:val="22"/>
          <w:lang w:val="sr-Latn-ME"/>
        </w:rPr>
        <w:t>1</w:t>
      </w:r>
      <w:r w:rsidRPr="00F234A2">
        <w:rPr>
          <w:sz w:val="22"/>
          <w:szCs w:val="22"/>
          <w:lang w:val="sr-Latn-ME"/>
        </w:rPr>
        <w:t>% (gradus 3/4) od 156 pacijenata koji su primali asciminib u dozi od 40 mg dva puta na dan.</w:t>
      </w:r>
    </w:p>
    <w:p w14:paraId="21747138" w14:textId="77777777" w:rsidR="00A60A13" w:rsidRPr="00F234A2" w:rsidRDefault="00A60A13" w:rsidP="0095542C">
      <w:pPr>
        <w:tabs>
          <w:tab w:val="left" w:pos="540"/>
          <w:tab w:val="left" w:pos="569"/>
        </w:tabs>
        <w:jc w:val="both"/>
        <w:rPr>
          <w:b/>
          <w:bCs/>
          <w:sz w:val="22"/>
          <w:szCs w:val="22"/>
          <w:lang w:val="sr-Latn-ME"/>
        </w:rPr>
      </w:pPr>
    </w:p>
    <w:p w14:paraId="73CD60C3" w14:textId="77777777" w:rsidR="005A23D2" w:rsidRPr="00F234A2" w:rsidRDefault="005A23D2" w:rsidP="0095542C">
      <w:pPr>
        <w:spacing w:after="200" w:line="276" w:lineRule="auto"/>
        <w:jc w:val="both"/>
        <w:rPr>
          <w:rFonts w:eastAsia="Calibri"/>
          <w:sz w:val="22"/>
          <w:szCs w:val="22"/>
          <w:u w:val="single"/>
          <w:lang w:val="sr-Latn-ME"/>
        </w:rPr>
      </w:pPr>
      <w:r w:rsidRPr="00F234A2">
        <w:rPr>
          <w:rFonts w:eastAsia="Calibri"/>
          <w:sz w:val="22"/>
          <w:szCs w:val="22"/>
          <w:u w:val="single"/>
          <w:lang w:val="sr-Latn-ME"/>
        </w:rPr>
        <w:t>Prijavljivanje sumnji na neželjena dejstva</w:t>
      </w:r>
    </w:p>
    <w:p w14:paraId="2906196B" w14:textId="77777777" w:rsidR="005A23D2" w:rsidRPr="00F234A2" w:rsidRDefault="005A23D2" w:rsidP="00CF3336">
      <w:pPr>
        <w:spacing w:after="200"/>
        <w:jc w:val="both"/>
        <w:rPr>
          <w:rFonts w:eastAsia="Calibri"/>
          <w:sz w:val="22"/>
          <w:szCs w:val="22"/>
          <w:lang w:val="sr-Latn-ME"/>
        </w:rPr>
      </w:pPr>
      <w:r w:rsidRPr="00F234A2">
        <w:rPr>
          <w:rFonts w:eastAsia="Calibri"/>
          <w:sz w:val="22"/>
          <w:szCs w:val="22"/>
          <w:lang w:val="sr-Latn-ME"/>
        </w:rPr>
        <w:t>Prijavljivanje neželjenih dejstava nakon dobijanja dozvole je od velikog značaja jer obezbjeđuje kont</w:t>
      </w:r>
      <w:r w:rsidR="00EA5765" w:rsidRPr="00F234A2">
        <w:rPr>
          <w:rFonts w:eastAsia="Calibri"/>
          <w:sz w:val="22"/>
          <w:szCs w:val="22"/>
          <w:lang w:val="sr-Latn-ME"/>
        </w:rPr>
        <w:t>inuirano praćenje odnosa korist</w:t>
      </w:r>
      <w:r w:rsidRPr="00F234A2">
        <w:rPr>
          <w:rFonts w:eastAsia="Calibri"/>
          <w:sz w:val="22"/>
          <w:szCs w:val="22"/>
          <w:lang w:val="sr-Latn-ME"/>
        </w:rPr>
        <w:t>/rizik primjene lijeka. Zdravstveni radnici treba da prijave svaku sumnju na neželjeno</w:t>
      </w:r>
      <w:r w:rsidR="009B062A" w:rsidRPr="00F234A2">
        <w:rPr>
          <w:rFonts w:eastAsia="Calibri"/>
          <w:sz w:val="22"/>
          <w:szCs w:val="22"/>
          <w:lang w:val="sr-Latn-ME"/>
        </w:rPr>
        <w:t xml:space="preserve"> </w:t>
      </w:r>
      <w:r w:rsidRPr="00F234A2">
        <w:rPr>
          <w:rFonts w:eastAsia="Calibri"/>
          <w:sz w:val="22"/>
          <w:szCs w:val="22"/>
          <w:lang w:val="sr-Latn-ME"/>
        </w:rPr>
        <w:t xml:space="preserve">dejstvo ovog lijeka </w:t>
      </w:r>
      <w:r w:rsidR="004E70AD" w:rsidRPr="00F234A2">
        <w:rPr>
          <w:rFonts w:eastAsia="Calibri"/>
          <w:sz w:val="22"/>
          <w:szCs w:val="22"/>
          <w:lang w:val="sr-Latn-ME"/>
        </w:rPr>
        <w:t>Institutu</w:t>
      </w:r>
      <w:r w:rsidRPr="00F234A2">
        <w:rPr>
          <w:rFonts w:eastAsia="Calibri"/>
          <w:sz w:val="22"/>
          <w:szCs w:val="22"/>
          <w:lang w:val="sr-Latn-ME"/>
        </w:rPr>
        <w:t xml:space="preserve"> za ljekove i medicinska sredstva</w:t>
      </w:r>
      <w:r w:rsidR="004E70AD" w:rsidRPr="00F234A2">
        <w:rPr>
          <w:rFonts w:eastAsia="Calibri"/>
          <w:sz w:val="22"/>
          <w:szCs w:val="22"/>
          <w:lang w:val="sr-Latn-ME"/>
        </w:rPr>
        <w:t xml:space="preserve"> </w:t>
      </w:r>
      <w:r w:rsidRPr="00F234A2">
        <w:rPr>
          <w:rFonts w:eastAsia="Calibri"/>
          <w:sz w:val="22"/>
          <w:szCs w:val="22"/>
          <w:lang w:val="sr-Latn-ME"/>
        </w:rPr>
        <w:t>(</w:t>
      </w:r>
      <w:r w:rsidR="004E70AD" w:rsidRPr="00F234A2">
        <w:rPr>
          <w:rFonts w:eastAsia="Calibri"/>
          <w:sz w:val="22"/>
          <w:szCs w:val="22"/>
          <w:lang w:val="sr-Latn-ME"/>
        </w:rPr>
        <w:t>CInMED</w:t>
      </w:r>
      <w:r w:rsidRPr="00F234A2">
        <w:rPr>
          <w:rFonts w:eastAsia="Calibri"/>
          <w:sz w:val="22"/>
          <w:szCs w:val="22"/>
          <w:lang w:val="sr-Latn-ME"/>
        </w:rPr>
        <w:t>):</w:t>
      </w:r>
    </w:p>
    <w:p w14:paraId="6A09EC05" w14:textId="77777777" w:rsidR="005A23D2" w:rsidRPr="00F234A2" w:rsidRDefault="004E70AD" w:rsidP="00CF3336">
      <w:pPr>
        <w:pStyle w:val="NoSpacing"/>
        <w:jc w:val="both"/>
        <w:rPr>
          <w:rFonts w:eastAsia="Calibri"/>
          <w:sz w:val="22"/>
          <w:szCs w:val="22"/>
          <w:lang w:val="sr-Latn-ME"/>
        </w:rPr>
      </w:pPr>
      <w:r w:rsidRPr="00F234A2">
        <w:rPr>
          <w:rFonts w:eastAsia="Calibri"/>
          <w:sz w:val="22"/>
          <w:szCs w:val="22"/>
          <w:lang w:val="sr-Latn-ME"/>
        </w:rPr>
        <w:t xml:space="preserve">Institut </w:t>
      </w:r>
      <w:r w:rsidR="005A23D2" w:rsidRPr="00F234A2">
        <w:rPr>
          <w:rFonts w:eastAsia="Calibri"/>
          <w:sz w:val="22"/>
          <w:szCs w:val="22"/>
          <w:lang w:val="sr-Latn-ME"/>
        </w:rPr>
        <w:t xml:space="preserve">za ljekove i medicinska sredstva </w:t>
      </w:r>
    </w:p>
    <w:p w14:paraId="19B066F7" w14:textId="77777777" w:rsidR="005A23D2" w:rsidRPr="00F234A2" w:rsidRDefault="005A23D2" w:rsidP="00CF3336">
      <w:pPr>
        <w:pStyle w:val="NoSpacing"/>
        <w:jc w:val="both"/>
        <w:rPr>
          <w:rFonts w:eastAsia="Calibri"/>
          <w:sz w:val="22"/>
          <w:szCs w:val="22"/>
          <w:lang w:val="sr-Latn-ME"/>
        </w:rPr>
      </w:pPr>
      <w:r w:rsidRPr="00F234A2">
        <w:rPr>
          <w:rFonts w:eastAsia="Calibri"/>
          <w:sz w:val="22"/>
          <w:szCs w:val="22"/>
          <w:lang w:val="sr-Latn-ME"/>
        </w:rPr>
        <w:t>Odjeljenje za farmakovigilancu</w:t>
      </w:r>
    </w:p>
    <w:p w14:paraId="1F6AE1D5" w14:textId="77777777" w:rsidR="00EA5765" w:rsidRPr="00F234A2" w:rsidRDefault="005A23D2" w:rsidP="00CF3336">
      <w:pPr>
        <w:pStyle w:val="NoSpacing"/>
        <w:jc w:val="both"/>
        <w:rPr>
          <w:rFonts w:eastAsia="Calibri"/>
          <w:sz w:val="22"/>
          <w:szCs w:val="22"/>
          <w:lang w:val="sr-Latn-ME"/>
        </w:rPr>
      </w:pPr>
      <w:r w:rsidRPr="00F234A2">
        <w:rPr>
          <w:rFonts w:eastAsia="Calibri"/>
          <w:sz w:val="22"/>
          <w:szCs w:val="22"/>
          <w:lang w:val="sr-Latn-ME"/>
        </w:rPr>
        <w:t>Bulevar Ivana Crnojevića 64a, 81000 Podgorica</w:t>
      </w:r>
    </w:p>
    <w:p w14:paraId="62666286" w14:textId="77777777" w:rsidR="00EA5765" w:rsidRPr="00F234A2" w:rsidRDefault="00EA5765" w:rsidP="0095542C">
      <w:pPr>
        <w:pStyle w:val="NoSpacing"/>
        <w:jc w:val="both"/>
        <w:rPr>
          <w:rFonts w:eastAsia="Calibri"/>
          <w:sz w:val="22"/>
          <w:szCs w:val="22"/>
          <w:lang w:val="sr-Latn-ME"/>
        </w:rPr>
      </w:pPr>
    </w:p>
    <w:p w14:paraId="0CDE86B9" w14:textId="77777777" w:rsidR="005A23D2" w:rsidRPr="00F234A2" w:rsidRDefault="005A23D2" w:rsidP="00CF3336">
      <w:pPr>
        <w:pStyle w:val="NoSpacing"/>
        <w:jc w:val="both"/>
        <w:rPr>
          <w:rFonts w:eastAsia="Calibri"/>
          <w:sz w:val="22"/>
          <w:szCs w:val="22"/>
          <w:lang w:val="sr-Latn-ME"/>
        </w:rPr>
      </w:pPr>
      <w:r w:rsidRPr="00F234A2">
        <w:rPr>
          <w:rFonts w:eastAsia="Calibri"/>
          <w:sz w:val="22"/>
          <w:szCs w:val="22"/>
          <w:lang w:val="sr-Latn-ME"/>
        </w:rPr>
        <w:t>tel: +382 (0) 20 310 280</w:t>
      </w:r>
    </w:p>
    <w:p w14:paraId="4FE32B17" w14:textId="77777777" w:rsidR="00EA5765" w:rsidRPr="00F234A2" w:rsidRDefault="005A23D2" w:rsidP="00CF3336">
      <w:pPr>
        <w:pStyle w:val="NoSpacing"/>
        <w:jc w:val="both"/>
        <w:rPr>
          <w:rFonts w:eastAsia="Calibri"/>
          <w:sz w:val="22"/>
          <w:szCs w:val="22"/>
          <w:lang w:val="sr-Latn-ME"/>
        </w:rPr>
      </w:pPr>
      <w:r w:rsidRPr="00F234A2">
        <w:rPr>
          <w:rFonts w:eastAsia="Calibri"/>
          <w:sz w:val="22"/>
          <w:szCs w:val="22"/>
          <w:lang w:val="sr-Latn-ME"/>
        </w:rPr>
        <w:t>fax:</w:t>
      </w:r>
      <w:r w:rsidR="00EA5765" w:rsidRPr="00F234A2">
        <w:rPr>
          <w:rFonts w:eastAsia="Calibri"/>
          <w:sz w:val="22"/>
          <w:szCs w:val="22"/>
          <w:lang w:val="sr-Latn-ME"/>
        </w:rPr>
        <w:t xml:space="preserve"> </w:t>
      </w:r>
      <w:r w:rsidRPr="00F234A2">
        <w:rPr>
          <w:rFonts w:eastAsia="Calibri"/>
          <w:sz w:val="22"/>
          <w:szCs w:val="22"/>
          <w:lang w:val="sr-Latn-ME"/>
        </w:rPr>
        <w:t>+382 (0) 20 310 581</w:t>
      </w:r>
    </w:p>
    <w:p w14:paraId="58F900EC" w14:textId="77777777" w:rsidR="005A23D2" w:rsidRPr="00F234A2" w:rsidRDefault="00A549EB" w:rsidP="00CF3336">
      <w:pPr>
        <w:pStyle w:val="NoSpacing"/>
        <w:jc w:val="both"/>
        <w:rPr>
          <w:rFonts w:eastAsia="Calibri"/>
          <w:sz w:val="22"/>
          <w:szCs w:val="22"/>
          <w:lang w:val="sr-Latn-ME"/>
        </w:rPr>
      </w:pPr>
      <w:hyperlink r:id="rId9" w:history="1">
        <w:r w:rsidR="004E70AD" w:rsidRPr="00F234A2">
          <w:rPr>
            <w:rStyle w:val="Hyperlink"/>
            <w:rFonts w:eastAsia="Calibri"/>
            <w:sz w:val="22"/>
            <w:szCs w:val="22"/>
            <w:lang w:val="sr-Latn-ME"/>
          </w:rPr>
          <w:t>www.cinmed.me</w:t>
        </w:r>
      </w:hyperlink>
    </w:p>
    <w:p w14:paraId="63A54954" w14:textId="77777777" w:rsidR="00EA5765" w:rsidRPr="00F234A2" w:rsidRDefault="00A549EB" w:rsidP="00CF3336">
      <w:pPr>
        <w:pStyle w:val="NoSpacing"/>
        <w:jc w:val="both"/>
        <w:rPr>
          <w:rFonts w:eastAsia="Calibri"/>
          <w:color w:val="0000FF"/>
          <w:sz w:val="22"/>
          <w:szCs w:val="22"/>
          <w:u w:val="single"/>
          <w:lang w:val="sr-Latn-ME"/>
        </w:rPr>
      </w:pPr>
      <w:hyperlink r:id="rId10" w:history="1">
        <w:r w:rsidR="004E70AD" w:rsidRPr="00F234A2">
          <w:rPr>
            <w:rStyle w:val="Hyperlink"/>
            <w:rFonts w:eastAsia="Calibri"/>
            <w:sz w:val="22"/>
            <w:szCs w:val="22"/>
            <w:lang w:val="sr-Latn-ME"/>
          </w:rPr>
          <w:t>nezeljenadejstva@cinmed.me</w:t>
        </w:r>
      </w:hyperlink>
    </w:p>
    <w:p w14:paraId="56FB156C" w14:textId="77777777" w:rsidR="005A23D2" w:rsidRPr="00F234A2" w:rsidRDefault="005A23D2" w:rsidP="00CF3336">
      <w:pPr>
        <w:pStyle w:val="NoSpacing"/>
        <w:jc w:val="both"/>
        <w:rPr>
          <w:rFonts w:eastAsia="Calibri"/>
          <w:sz w:val="22"/>
          <w:szCs w:val="22"/>
          <w:lang w:val="sr-Latn-ME"/>
        </w:rPr>
      </w:pPr>
      <w:r w:rsidRPr="00F234A2">
        <w:rPr>
          <w:rFonts w:eastAsia="Calibri"/>
          <w:sz w:val="22"/>
          <w:szCs w:val="22"/>
          <w:lang w:val="sr-Latn-ME"/>
        </w:rPr>
        <w:t>putem IS zdravstvene zaštite</w:t>
      </w:r>
    </w:p>
    <w:p w14:paraId="0B3971E6" w14:textId="77777777" w:rsidR="000175F1" w:rsidRPr="00F234A2" w:rsidRDefault="000175F1" w:rsidP="00CF3336">
      <w:pPr>
        <w:pStyle w:val="NoSpacing"/>
        <w:jc w:val="both"/>
        <w:rPr>
          <w:rFonts w:eastAsia="Calibri"/>
          <w:sz w:val="22"/>
          <w:szCs w:val="22"/>
          <w:lang w:val="sr-Latn-ME"/>
        </w:rPr>
      </w:pPr>
      <w:r w:rsidRPr="00F234A2">
        <w:rPr>
          <w:rFonts w:eastAsia="Calibri"/>
          <w:sz w:val="22"/>
          <w:szCs w:val="22"/>
          <w:lang w:val="sr-Latn-ME"/>
        </w:rPr>
        <w:t>QR kod za online prijavu sumnje na neželjeno dejstvo lijeka:</w:t>
      </w:r>
    </w:p>
    <w:p w14:paraId="35D32A2B" w14:textId="77777777" w:rsidR="000175F1" w:rsidRPr="00F234A2" w:rsidRDefault="000175F1" w:rsidP="00CF3336">
      <w:pPr>
        <w:pStyle w:val="NoSpacing"/>
        <w:jc w:val="both"/>
        <w:rPr>
          <w:rFonts w:eastAsia="Calibri"/>
          <w:sz w:val="22"/>
          <w:szCs w:val="22"/>
          <w:lang w:val="sr-Latn-ME"/>
        </w:rPr>
      </w:pPr>
    </w:p>
    <w:p w14:paraId="01059482" w14:textId="0AFCD8F1" w:rsidR="000175F1" w:rsidRPr="00F234A2" w:rsidRDefault="00870748" w:rsidP="00CF3336">
      <w:pPr>
        <w:pStyle w:val="NoSpacing"/>
        <w:jc w:val="both"/>
        <w:rPr>
          <w:rFonts w:eastAsia="Calibri"/>
          <w:sz w:val="22"/>
          <w:szCs w:val="22"/>
          <w:lang w:val="sr-Latn-ME"/>
        </w:rPr>
      </w:pPr>
      <w:r w:rsidRPr="007F661E">
        <w:rPr>
          <w:b/>
          <w:bCs/>
          <w:noProof/>
          <w:sz w:val="22"/>
          <w:szCs w:val="22"/>
        </w:rPr>
        <w:drawing>
          <wp:inline distT="0" distB="0" distL="0" distR="0" wp14:anchorId="7F291C6D" wp14:editId="41D4E479">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971BE60" w14:textId="77777777" w:rsidR="00836B35" w:rsidRPr="00F234A2" w:rsidRDefault="00836B35" w:rsidP="0095542C">
      <w:pPr>
        <w:tabs>
          <w:tab w:val="left" w:pos="540"/>
          <w:tab w:val="left" w:pos="569"/>
        </w:tabs>
        <w:jc w:val="both"/>
        <w:rPr>
          <w:b/>
          <w:bCs/>
          <w:sz w:val="22"/>
          <w:szCs w:val="22"/>
          <w:lang w:val="sr-Latn-ME"/>
        </w:rPr>
      </w:pPr>
    </w:p>
    <w:p w14:paraId="1BA16988" w14:textId="77777777" w:rsidR="00CD6F02" w:rsidRPr="00F234A2" w:rsidRDefault="0072020E" w:rsidP="0095542C">
      <w:pPr>
        <w:tabs>
          <w:tab w:val="left" w:pos="540"/>
          <w:tab w:val="left" w:pos="569"/>
        </w:tabs>
        <w:jc w:val="both"/>
        <w:rPr>
          <w:b/>
          <w:bCs/>
          <w:sz w:val="22"/>
          <w:szCs w:val="22"/>
          <w:lang w:val="sr-Latn-ME"/>
        </w:rPr>
      </w:pPr>
      <w:r w:rsidRPr="00F234A2">
        <w:rPr>
          <w:b/>
          <w:bCs/>
          <w:sz w:val="22"/>
          <w:szCs w:val="22"/>
          <w:lang w:val="sr-Latn-ME"/>
        </w:rPr>
        <w:t xml:space="preserve">4.9. </w:t>
      </w:r>
      <w:r w:rsidR="00480FB1" w:rsidRPr="00F234A2">
        <w:rPr>
          <w:b/>
          <w:bCs/>
          <w:sz w:val="22"/>
          <w:szCs w:val="22"/>
          <w:lang w:val="sr-Latn-ME"/>
        </w:rPr>
        <w:tab/>
      </w:r>
      <w:r w:rsidRPr="00F234A2">
        <w:rPr>
          <w:b/>
          <w:bCs/>
          <w:sz w:val="22"/>
          <w:szCs w:val="22"/>
          <w:lang w:val="sr-Latn-ME"/>
        </w:rPr>
        <w:t>Predoziranje</w:t>
      </w:r>
      <w:r w:rsidR="002846DB" w:rsidRPr="00F234A2">
        <w:rPr>
          <w:b/>
          <w:bCs/>
          <w:sz w:val="22"/>
          <w:szCs w:val="22"/>
          <w:lang w:val="sr-Latn-ME"/>
        </w:rPr>
        <w:t xml:space="preserve"> </w:t>
      </w:r>
    </w:p>
    <w:p w14:paraId="1A5A353D" w14:textId="77777777" w:rsidR="00CD6F02" w:rsidRPr="00F234A2" w:rsidRDefault="00CD6F02" w:rsidP="0095542C">
      <w:pPr>
        <w:tabs>
          <w:tab w:val="left" w:pos="540"/>
          <w:tab w:val="left" w:pos="569"/>
        </w:tabs>
        <w:jc w:val="both"/>
        <w:rPr>
          <w:b/>
          <w:bCs/>
          <w:sz w:val="22"/>
          <w:szCs w:val="22"/>
          <w:lang w:val="sr-Latn-ME"/>
        </w:rPr>
      </w:pPr>
    </w:p>
    <w:p w14:paraId="11B92CCB" w14:textId="561125DF" w:rsidR="00227BDB" w:rsidRPr="00F234A2" w:rsidRDefault="00A60A13" w:rsidP="0095542C">
      <w:pPr>
        <w:tabs>
          <w:tab w:val="left" w:pos="540"/>
          <w:tab w:val="left" w:pos="569"/>
        </w:tabs>
        <w:jc w:val="both"/>
        <w:rPr>
          <w:sz w:val="22"/>
          <w:szCs w:val="22"/>
          <w:lang w:val="sr-Latn-ME"/>
        </w:rPr>
      </w:pPr>
      <w:r w:rsidRPr="00F234A2">
        <w:rPr>
          <w:sz w:val="22"/>
          <w:szCs w:val="22"/>
          <w:lang w:val="sr-Latn-ME"/>
        </w:rPr>
        <w:t xml:space="preserve">U kliničkim ispitivanjima asciminib se </w:t>
      </w:r>
      <w:r w:rsidR="0094593A" w:rsidRPr="00F234A2">
        <w:rPr>
          <w:sz w:val="22"/>
          <w:szCs w:val="22"/>
          <w:lang w:val="sr-Latn-ME"/>
        </w:rPr>
        <w:t>primjen</w:t>
      </w:r>
      <w:r w:rsidRPr="00F234A2">
        <w:rPr>
          <w:sz w:val="22"/>
          <w:szCs w:val="22"/>
          <w:lang w:val="sr-Latn-ME"/>
        </w:rPr>
        <w:t>jivao u dozama do 280 mg dva puta na dan bez dokaza povećane toksičnosti.</w:t>
      </w:r>
    </w:p>
    <w:p w14:paraId="56BB1DC1" w14:textId="6371565E" w:rsidR="00A60A13" w:rsidRPr="00F234A2" w:rsidRDefault="00A60A13" w:rsidP="0095542C">
      <w:pPr>
        <w:tabs>
          <w:tab w:val="left" w:pos="540"/>
          <w:tab w:val="left" w:pos="569"/>
        </w:tabs>
        <w:jc w:val="both"/>
        <w:rPr>
          <w:sz w:val="22"/>
          <w:szCs w:val="22"/>
          <w:lang w:val="sr-Latn-ME"/>
        </w:rPr>
      </w:pPr>
    </w:p>
    <w:p w14:paraId="0E0B4B83" w14:textId="063298C7" w:rsidR="00A60A13" w:rsidRPr="00F234A2" w:rsidRDefault="00A60A13" w:rsidP="0095542C">
      <w:pPr>
        <w:tabs>
          <w:tab w:val="left" w:pos="540"/>
          <w:tab w:val="left" w:pos="569"/>
        </w:tabs>
        <w:jc w:val="both"/>
        <w:rPr>
          <w:sz w:val="22"/>
          <w:szCs w:val="22"/>
          <w:lang w:val="sr-Latn-ME"/>
        </w:rPr>
      </w:pPr>
      <w:r w:rsidRPr="00F234A2">
        <w:rPr>
          <w:sz w:val="22"/>
          <w:szCs w:val="22"/>
          <w:lang w:val="sr-Latn-ME"/>
        </w:rPr>
        <w:t>U slučajevima sumnje na predoziranje potrebno je započeti opšte suportivne m</w:t>
      </w:r>
      <w:r w:rsidR="000B6873" w:rsidRPr="00F234A2">
        <w:rPr>
          <w:sz w:val="22"/>
          <w:szCs w:val="22"/>
          <w:lang w:val="sr-Latn-ME"/>
        </w:rPr>
        <w:t>j</w:t>
      </w:r>
      <w:r w:rsidRPr="00F234A2">
        <w:rPr>
          <w:sz w:val="22"/>
          <w:szCs w:val="22"/>
          <w:lang w:val="sr-Latn-ME"/>
        </w:rPr>
        <w:t xml:space="preserve">ere i simptomatsko </w:t>
      </w:r>
      <w:r w:rsidR="00472E1C" w:rsidRPr="00F234A2">
        <w:rPr>
          <w:sz w:val="22"/>
          <w:szCs w:val="22"/>
          <w:lang w:val="sr-Latn-ME"/>
        </w:rPr>
        <w:t>liječ</w:t>
      </w:r>
      <w:r w:rsidRPr="00F234A2">
        <w:rPr>
          <w:sz w:val="22"/>
          <w:szCs w:val="22"/>
          <w:lang w:val="sr-Latn-ME"/>
        </w:rPr>
        <w:t>enje.</w:t>
      </w:r>
    </w:p>
    <w:p w14:paraId="40BBC212" w14:textId="052A5B24" w:rsidR="00A60A13" w:rsidRPr="00F234A2" w:rsidRDefault="00A60A13" w:rsidP="0095542C">
      <w:pPr>
        <w:tabs>
          <w:tab w:val="left" w:pos="540"/>
          <w:tab w:val="left" w:pos="569"/>
        </w:tabs>
        <w:jc w:val="both"/>
        <w:rPr>
          <w:sz w:val="22"/>
          <w:szCs w:val="22"/>
          <w:lang w:val="sr-Latn-ME"/>
        </w:rPr>
      </w:pPr>
    </w:p>
    <w:p w14:paraId="44F735A4" w14:textId="77777777" w:rsidR="005251D5" w:rsidRPr="00F234A2" w:rsidRDefault="005251D5" w:rsidP="0095542C">
      <w:pPr>
        <w:tabs>
          <w:tab w:val="left" w:pos="540"/>
          <w:tab w:val="left" w:pos="569"/>
        </w:tabs>
        <w:jc w:val="both"/>
        <w:rPr>
          <w:sz w:val="22"/>
          <w:szCs w:val="22"/>
          <w:lang w:val="sr-Latn-ME"/>
        </w:rPr>
      </w:pPr>
    </w:p>
    <w:p w14:paraId="07F8341A" w14:textId="77777777" w:rsidR="0072020E" w:rsidRPr="00F234A2" w:rsidRDefault="0072020E" w:rsidP="0095542C">
      <w:pPr>
        <w:tabs>
          <w:tab w:val="left" w:pos="540"/>
          <w:tab w:val="left" w:pos="569"/>
        </w:tabs>
        <w:jc w:val="both"/>
        <w:rPr>
          <w:b/>
          <w:bCs/>
          <w:sz w:val="22"/>
          <w:szCs w:val="22"/>
          <w:lang w:val="sr-Latn-ME"/>
        </w:rPr>
      </w:pPr>
      <w:r w:rsidRPr="00F234A2">
        <w:rPr>
          <w:b/>
          <w:bCs/>
          <w:sz w:val="22"/>
          <w:szCs w:val="22"/>
          <w:lang w:val="sr-Latn-ME"/>
        </w:rPr>
        <w:t xml:space="preserve">5. </w:t>
      </w:r>
      <w:r w:rsidR="00480FB1" w:rsidRPr="00F234A2">
        <w:rPr>
          <w:b/>
          <w:bCs/>
          <w:sz w:val="22"/>
          <w:szCs w:val="22"/>
          <w:lang w:val="sr-Latn-ME"/>
        </w:rPr>
        <w:tab/>
      </w:r>
      <w:r w:rsidRPr="00F234A2">
        <w:rPr>
          <w:b/>
          <w:bCs/>
          <w:sz w:val="22"/>
          <w:szCs w:val="22"/>
          <w:lang w:val="sr-Latn-ME"/>
        </w:rPr>
        <w:t>FARMAKOLOŠK</w:t>
      </w:r>
      <w:r w:rsidR="000D425A" w:rsidRPr="00F234A2">
        <w:rPr>
          <w:b/>
          <w:bCs/>
          <w:sz w:val="22"/>
          <w:szCs w:val="22"/>
          <w:lang w:val="sr-Latn-ME"/>
        </w:rPr>
        <w:t>I</w:t>
      </w:r>
      <w:r w:rsidRPr="00F234A2">
        <w:rPr>
          <w:b/>
          <w:bCs/>
          <w:sz w:val="22"/>
          <w:szCs w:val="22"/>
          <w:lang w:val="sr-Latn-ME"/>
        </w:rPr>
        <w:t xml:space="preserve"> PODACI</w:t>
      </w:r>
    </w:p>
    <w:p w14:paraId="57F38071" w14:textId="77777777" w:rsidR="0072020E" w:rsidRPr="00F234A2" w:rsidRDefault="0072020E" w:rsidP="0095542C">
      <w:pPr>
        <w:tabs>
          <w:tab w:val="left" w:pos="540"/>
          <w:tab w:val="left" w:pos="569"/>
        </w:tabs>
        <w:jc w:val="both"/>
        <w:rPr>
          <w:b/>
          <w:bCs/>
          <w:sz w:val="22"/>
          <w:szCs w:val="22"/>
          <w:lang w:val="sr-Latn-ME"/>
        </w:rPr>
      </w:pPr>
    </w:p>
    <w:p w14:paraId="33935554" w14:textId="77777777" w:rsidR="0072020E" w:rsidRPr="00F234A2" w:rsidRDefault="0072020E" w:rsidP="0095542C">
      <w:pPr>
        <w:tabs>
          <w:tab w:val="left" w:pos="540"/>
          <w:tab w:val="left" w:pos="569"/>
        </w:tabs>
        <w:jc w:val="both"/>
        <w:rPr>
          <w:b/>
          <w:bCs/>
          <w:sz w:val="22"/>
          <w:szCs w:val="22"/>
          <w:lang w:val="sr-Latn-ME"/>
        </w:rPr>
      </w:pPr>
      <w:r w:rsidRPr="00F234A2">
        <w:rPr>
          <w:b/>
          <w:bCs/>
          <w:sz w:val="22"/>
          <w:szCs w:val="22"/>
          <w:lang w:val="sr-Latn-ME"/>
        </w:rPr>
        <w:t xml:space="preserve">5.1. </w:t>
      </w:r>
      <w:r w:rsidR="00480FB1" w:rsidRPr="00F234A2">
        <w:rPr>
          <w:b/>
          <w:bCs/>
          <w:sz w:val="22"/>
          <w:szCs w:val="22"/>
          <w:lang w:val="sr-Latn-ME"/>
        </w:rPr>
        <w:tab/>
      </w:r>
      <w:r w:rsidRPr="00F234A2">
        <w:rPr>
          <w:b/>
          <w:bCs/>
          <w:sz w:val="22"/>
          <w:szCs w:val="22"/>
          <w:lang w:val="sr-Latn-ME"/>
        </w:rPr>
        <w:t>Farmakodinamski podaci</w:t>
      </w:r>
      <w:r w:rsidR="003A7059" w:rsidRPr="00F234A2">
        <w:rPr>
          <w:b/>
          <w:bCs/>
          <w:sz w:val="22"/>
          <w:szCs w:val="22"/>
          <w:lang w:val="sr-Latn-ME"/>
        </w:rPr>
        <w:t xml:space="preserve"> </w:t>
      </w:r>
    </w:p>
    <w:p w14:paraId="363D4F08" w14:textId="77777777" w:rsidR="00F45F77" w:rsidRPr="00F234A2" w:rsidRDefault="00F45F77" w:rsidP="0095542C">
      <w:pPr>
        <w:tabs>
          <w:tab w:val="left" w:pos="540"/>
          <w:tab w:val="left" w:pos="569"/>
        </w:tabs>
        <w:jc w:val="both"/>
        <w:rPr>
          <w:b/>
          <w:bCs/>
          <w:sz w:val="22"/>
          <w:szCs w:val="22"/>
          <w:lang w:val="sr-Latn-ME"/>
        </w:rPr>
      </w:pPr>
    </w:p>
    <w:p w14:paraId="690DC5BD" w14:textId="5343C9EB" w:rsidR="0072020E" w:rsidRPr="00F234A2" w:rsidRDefault="0072020E" w:rsidP="0095542C">
      <w:pPr>
        <w:tabs>
          <w:tab w:val="left" w:pos="540"/>
          <w:tab w:val="left" w:pos="569"/>
        </w:tabs>
        <w:jc w:val="both"/>
        <w:rPr>
          <w:bCs/>
          <w:sz w:val="22"/>
          <w:szCs w:val="22"/>
          <w:lang w:val="sr-Latn-ME"/>
        </w:rPr>
      </w:pPr>
      <w:r w:rsidRPr="00F234A2">
        <w:rPr>
          <w:bCs/>
          <w:sz w:val="22"/>
          <w:szCs w:val="22"/>
          <w:lang w:val="sr-Latn-ME"/>
        </w:rPr>
        <w:t>Farmakoterapijska grupa:</w:t>
      </w:r>
      <w:r w:rsidR="00A60A13" w:rsidRPr="00F234A2">
        <w:rPr>
          <w:bCs/>
          <w:sz w:val="22"/>
          <w:szCs w:val="22"/>
          <w:lang w:val="sr-Latn-ME"/>
        </w:rPr>
        <w:t xml:space="preserve"> antineoplastici; inhibitori protein kinaze</w:t>
      </w:r>
    </w:p>
    <w:p w14:paraId="5067C9B6" w14:textId="77777777" w:rsidR="0072020E" w:rsidRPr="00F234A2" w:rsidRDefault="0072020E" w:rsidP="0095542C">
      <w:pPr>
        <w:tabs>
          <w:tab w:val="left" w:pos="540"/>
          <w:tab w:val="left" w:pos="569"/>
        </w:tabs>
        <w:jc w:val="both"/>
        <w:rPr>
          <w:bCs/>
          <w:sz w:val="22"/>
          <w:szCs w:val="22"/>
          <w:lang w:val="sr-Latn-ME"/>
        </w:rPr>
      </w:pPr>
    </w:p>
    <w:p w14:paraId="38B23418" w14:textId="34FAEB17" w:rsidR="0072020E" w:rsidRPr="00F234A2" w:rsidRDefault="0072020E" w:rsidP="0095542C">
      <w:pPr>
        <w:tabs>
          <w:tab w:val="left" w:pos="540"/>
          <w:tab w:val="left" w:pos="569"/>
        </w:tabs>
        <w:jc w:val="both"/>
        <w:rPr>
          <w:bCs/>
          <w:sz w:val="22"/>
          <w:szCs w:val="22"/>
          <w:lang w:val="sr-Latn-ME"/>
        </w:rPr>
      </w:pPr>
      <w:r w:rsidRPr="00F234A2">
        <w:rPr>
          <w:bCs/>
          <w:sz w:val="22"/>
          <w:szCs w:val="22"/>
          <w:lang w:val="sr-Latn-ME"/>
        </w:rPr>
        <w:t>ATC kod:</w:t>
      </w:r>
      <w:r w:rsidR="00A60A13" w:rsidRPr="00F234A2">
        <w:rPr>
          <w:bCs/>
          <w:sz w:val="22"/>
          <w:szCs w:val="22"/>
          <w:lang w:val="sr-Latn-ME"/>
        </w:rPr>
        <w:t xml:space="preserve"> L01EA06</w:t>
      </w:r>
    </w:p>
    <w:p w14:paraId="19199817" w14:textId="05EC6FD1" w:rsidR="00AF310E" w:rsidRPr="00F234A2" w:rsidRDefault="00AF310E" w:rsidP="0095542C">
      <w:pPr>
        <w:tabs>
          <w:tab w:val="left" w:pos="540"/>
          <w:tab w:val="left" w:pos="569"/>
        </w:tabs>
        <w:jc w:val="both"/>
        <w:rPr>
          <w:bCs/>
          <w:sz w:val="22"/>
          <w:szCs w:val="22"/>
          <w:lang w:val="sr-Latn-ME"/>
        </w:rPr>
      </w:pPr>
    </w:p>
    <w:p w14:paraId="72E6801A" w14:textId="77777777" w:rsidR="00AF310E" w:rsidRPr="00F234A2" w:rsidRDefault="00AF310E" w:rsidP="0095542C">
      <w:pPr>
        <w:tabs>
          <w:tab w:val="left" w:pos="540"/>
          <w:tab w:val="left" w:pos="569"/>
        </w:tabs>
        <w:jc w:val="both"/>
        <w:rPr>
          <w:bCs/>
          <w:sz w:val="22"/>
          <w:szCs w:val="22"/>
          <w:u w:val="single"/>
          <w:lang w:val="sr-Latn-ME"/>
        </w:rPr>
      </w:pPr>
      <w:r w:rsidRPr="00F234A2">
        <w:rPr>
          <w:bCs/>
          <w:sz w:val="22"/>
          <w:szCs w:val="22"/>
          <w:u w:val="single"/>
          <w:lang w:val="sr-Latn-ME"/>
        </w:rPr>
        <w:t>Mehanizam dejstva</w:t>
      </w:r>
    </w:p>
    <w:p w14:paraId="0FCD5E62" w14:textId="77777777" w:rsidR="00AF310E" w:rsidRPr="00F234A2" w:rsidRDefault="00AF310E" w:rsidP="0095542C">
      <w:pPr>
        <w:tabs>
          <w:tab w:val="left" w:pos="540"/>
          <w:tab w:val="left" w:pos="569"/>
        </w:tabs>
        <w:jc w:val="both"/>
        <w:rPr>
          <w:bCs/>
          <w:sz w:val="22"/>
          <w:szCs w:val="22"/>
          <w:lang w:val="sr-Latn-ME"/>
        </w:rPr>
      </w:pPr>
    </w:p>
    <w:p w14:paraId="5A8A6703" w14:textId="54AA8FAC" w:rsidR="00AF310E" w:rsidRPr="00F234A2" w:rsidRDefault="00AF310E" w:rsidP="0095542C">
      <w:pPr>
        <w:tabs>
          <w:tab w:val="left" w:pos="540"/>
          <w:tab w:val="left" w:pos="569"/>
        </w:tabs>
        <w:jc w:val="both"/>
        <w:rPr>
          <w:bCs/>
          <w:sz w:val="22"/>
          <w:szCs w:val="22"/>
          <w:lang w:val="sr-Latn-ME"/>
        </w:rPr>
      </w:pPr>
      <w:r w:rsidRPr="00F234A2">
        <w:rPr>
          <w:bCs/>
          <w:sz w:val="22"/>
          <w:szCs w:val="22"/>
          <w:lang w:val="sr-Latn-ME"/>
        </w:rPr>
        <w:t>Asciminib je snažan inhibitor ABL/BCR::ABL1 tirozin kinaze. Asciminib inhibira aktivnost kinaze ABL1 fuzijskog proteina BCR::ABL1 ciljajući miristoilni džep ABL-a.</w:t>
      </w:r>
    </w:p>
    <w:p w14:paraId="2785428E" w14:textId="2E568A8F" w:rsidR="002E37A5" w:rsidRPr="00F234A2" w:rsidRDefault="002E37A5" w:rsidP="0095542C">
      <w:pPr>
        <w:tabs>
          <w:tab w:val="left" w:pos="540"/>
          <w:tab w:val="left" w:pos="569"/>
        </w:tabs>
        <w:jc w:val="both"/>
        <w:rPr>
          <w:b/>
          <w:bCs/>
          <w:sz w:val="22"/>
          <w:szCs w:val="22"/>
          <w:lang w:val="sr-Latn-ME"/>
        </w:rPr>
      </w:pPr>
    </w:p>
    <w:p w14:paraId="43315046" w14:textId="77777777" w:rsidR="00AF310E" w:rsidRPr="00F234A2" w:rsidRDefault="00AF310E" w:rsidP="0095542C">
      <w:pPr>
        <w:tabs>
          <w:tab w:val="left" w:pos="540"/>
          <w:tab w:val="left" w:pos="569"/>
        </w:tabs>
        <w:jc w:val="both"/>
        <w:rPr>
          <w:sz w:val="22"/>
          <w:szCs w:val="22"/>
          <w:u w:val="single"/>
          <w:lang w:val="sr-Latn-ME"/>
        </w:rPr>
      </w:pPr>
      <w:r w:rsidRPr="00F234A2">
        <w:rPr>
          <w:sz w:val="22"/>
          <w:szCs w:val="22"/>
          <w:u w:val="single"/>
          <w:lang w:val="sr-Latn-ME"/>
        </w:rPr>
        <w:t>Farmakodinamski efekti</w:t>
      </w:r>
    </w:p>
    <w:p w14:paraId="490E57F5" w14:textId="51782555" w:rsidR="00AF310E" w:rsidRPr="00F234A2" w:rsidRDefault="00AF310E" w:rsidP="0095542C">
      <w:pPr>
        <w:tabs>
          <w:tab w:val="left" w:pos="540"/>
          <w:tab w:val="left" w:pos="569"/>
        </w:tabs>
        <w:jc w:val="both"/>
        <w:rPr>
          <w:sz w:val="22"/>
          <w:szCs w:val="22"/>
          <w:lang w:val="sr-Latn-ME"/>
        </w:rPr>
      </w:pPr>
      <w:r w:rsidRPr="00F234A2">
        <w:rPr>
          <w:i/>
          <w:iCs/>
          <w:sz w:val="22"/>
          <w:szCs w:val="22"/>
          <w:lang w:val="sr-Latn-ME"/>
        </w:rPr>
        <w:t>In vitro</w:t>
      </w:r>
      <w:r w:rsidRPr="00F234A2">
        <w:rPr>
          <w:sz w:val="22"/>
          <w:szCs w:val="22"/>
          <w:lang w:val="sr-Latn-ME"/>
        </w:rPr>
        <w:t xml:space="preserve">, asciminib inhibira aktivnost ABL1 tirozin kinaze pri srednjim </w:t>
      </w:r>
      <w:r w:rsidR="00472E1C" w:rsidRPr="00F234A2">
        <w:rPr>
          <w:sz w:val="22"/>
          <w:szCs w:val="22"/>
          <w:lang w:val="sr-Latn-ME"/>
        </w:rPr>
        <w:t>vrijedno</w:t>
      </w:r>
      <w:r w:rsidRPr="00F234A2">
        <w:rPr>
          <w:sz w:val="22"/>
          <w:szCs w:val="22"/>
          <w:lang w:val="sr-Latn-ME"/>
        </w:rPr>
        <w:t>stima IC</w:t>
      </w:r>
      <w:r w:rsidRPr="00F234A2">
        <w:rPr>
          <w:sz w:val="22"/>
          <w:szCs w:val="22"/>
          <w:vertAlign w:val="subscript"/>
          <w:lang w:val="sr-Latn-ME"/>
        </w:rPr>
        <w:t>50</w:t>
      </w:r>
      <w:r w:rsidRPr="00F234A2">
        <w:rPr>
          <w:sz w:val="22"/>
          <w:szCs w:val="22"/>
          <w:lang w:val="sr-Latn-ME"/>
        </w:rPr>
        <w:t xml:space="preserve"> ispod 3 nanomola/l. U ćelijama karcinoma dobijenim od </w:t>
      </w:r>
      <w:r w:rsidR="00FB25DC" w:rsidRPr="00F234A2">
        <w:rPr>
          <w:sz w:val="22"/>
          <w:szCs w:val="22"/>
          <w:lang w:val="sr-Latn-ME"/>
        </w:rPr>
        <w:t>pacijenata</w:t>
      </w:r>
      <w:r w:rsidRPr="00F234A2">
        <w:rPr>
          <w:sz w:val="22"/>
          <w:szCs w:val="22"/>
          <w:lang w:val="sr-Latn-ME"/>
        </w:rPr>
        <w:t xml:space="preserve">, asciminib specifično inhibiše proliferaciju ćelija koje nose BCR::ABL1 sa </w:t>
      </w:r>
      <w:r w:rsidR="00472E1C" w:rsidRPr="00F234A2">
        <w:rPr>
          <w:sz w:val="22"/>
          <w:szCs w:val="22"/>
          <w:lang w:val="sr-Latn-ME"/>
        </w:rPr>
        <w:t>vrijedno</w:t>
      </w:r>
      <w:r w:rsidRPr="00F234A2">
        <w:rPr>
          <w:sz w:val="22"/>
          <w:szCs w:val="22"/>
          <w:lang w:val="sr-Latn-ME"/>
        </w:rPr>
        <w:t>stima IC</w:t>
      </w:r>
      <w:r w:rsidRPr="00F234A2">
        <w:rPr>
          <w:sz w:val="22"/>
          <w:szCs w:val="22"/>
          <w:vertAlign w:val="subscript"/>
          <w:lang w:val="sr-Latn-ME"/>
        </w:rPr>
        <w:t>50</w:t>
      </w:r>
      <w:r w:rsidRPr="00F234A2">
        <w:rPr>
          <w:sz w:val="22"/>
          <w:szCs w:val="22"/>
          <w:lang w:val="sr-Latn-ME"/>
        </w:rPr>
        <w:t xml:space="preserve"> između 1 i 25 nanomola/l. U biotehnološki obrađenim ćelijama koje eksprimiraju ili divlji tip ili T315I mutirani oblik BCR::ABL1, asciminib inhibira rast ćelija sa srednjim </w:t>
      </w:r>
      <w:r w:rsidR="00472E1C" w:rsidRPr="00F234A2">
        <w:rPr>
          <w:sz w:val="22"/>
          <w:szCs w:val="22"/>
          <w:lang w:val="sr-Latn-ME"/>
        </w:rPr>
        <w:t>vrijedno</w:t>
      </w:r>
      <w:r w:rsidRPr="00F234A2">
        <w:rPr>
          <w:sz w:val="22"/>
          <w:szCs w:val="22"/>
          <w:lang w:val="sr-Latn-ME"/>
        </w:rPr>
        <w:t>stima IC</w:t>
      </w:r>
      <w:r w:rsidRPr="00F234A2">
        <w:rPr>
          <w:sz w:val="22"/>
          <w:szCs w:val="22"/>
          <w:vertAlign w:val="subscript"/>
          <w:lang w:val="sr-Latn-ME"/>
        </w:rPr>
        <w:t>50</w:t>
      </w:r>
      <w:r w:rsidRPr="00F234A2">
        <w:rPr>
          <w:sz w:val="22"/>
          <w:szCs w:val="22"/>
          <w:lang w:val="sr-Latn-ME"/>
        </w:rPr>
        <w:t xml:space="preserve"> od 0,61 ± 0,21, tj. 7,64 ± 3,22 nanomola/l.</w:t>
      </w:r>
    </w:p>
    <w:p w14:paraId="307F4C80" w14:textId="5F037A92" w:rsidR="00AF310E" w:rsidRPr="00F234A2" w:rsidRDefault="00AF310E" w:rsidP="0095542C">
      <w:pPr>
        <w:tabs>
          <w:tab w:val="left" w:pos="540"/>
          <w:tab w:val="left" w:pos="569"/>
        </w:tabs>
        <w:jc w:val="both"/>
        <w:rPr>
          <w:b/>
          <w:bCs/>
          <w:sz w:val="22"/>
          <w:szCs w:val="22"/>
          <w:lang w:val="sr-Latn-ME"/>
        </w:rPr>
      </w:pPr>
    </w:p>
    <w:p w14:paraId="23821A38" w14:textId="1FE950A7" w:rsidR="00AF310E" w:rsidRPr="00F234A2" w:rsidRDefault="00AF310E" w:rsidP="0095542C">
      <w:pPr>
        <w:tabs>
          <w:tab w:val="left" w:pos="540"/>
          <w:tab w:val="left" w:pos="569"/>
        </w:tabs>
        <w:jc w:val="both"/>
        <w:rPr>
          <w:sz w:val="22"/>
          <w:szCs w:val="22"/>
          <w:lang w:val="sr-Latn-ME"/>
        </w:rPr>
      </w:pPr>
      <w:r w:rsidRPr="00F234A2">
        <w:rPr>
          <w:sz w:val="22"/>
          <w:szCs w:val="22"/>
          <w:lang w:val="sr-Latn-ME"/>
        </w:rPr>
        <w:t>U mišjim modelima ksenografta CML</w:t>
      </w:r>
      <w:r w:rsidR="00F52A6A" w:rsidRPr="00F234A2">
        <w:rPr>
          <w:sz w:val="22"/>
          <w:szCs w:val="22"/>
          <w:lang w:val="sr-Latn-ME"/>
        </w:rPr>
        <w:t>-</w:t>
      </w:r>
      <w:r w:rsidRPr="00F234A2">
        <w:rPr>
          <w:sz w:val="22"/>
          <w:szCs w:val="22"/>
          <w:lang w:val="sr-Latn-ME"/>
        </w:rPr>
        <w:t>a, asciminib je zavisno od doze inhibirao rast tumora koji su nosili ili divlji tip ili T315I mutirani oblik BCR::ABL1, a regresija tumora prim</w:t>
      </w:r>
      <w:r w:rsidR="000B6873" w:rsidRPr="00F234A2">
        <w:rPr>
          <w:sz w:val="22"/>
          <w:szCs w:val="22"/>
          <w:lang w:val="sr-Latn-ME"/>
        </w:rPr>
        <w:t>ij</w:t>
      </w:r>
      <w:r w:rsidRPr="00F234A2">
        <w:rPr>
          <w:sz w:val="22"/>
          <w:szCs w:val="22"/>
          <w:lang w:val="sr-Latn-ME"/>
        </w:rPr>
        <w:t>ećena je pri dozama iznad 7,5 mg/kg, odnosno 30 mg/kg dva puta na dan.</w:t>
      </w:r>
    </w:p>
    <w:p w14:paraId="42E617F6" w14:textId="10321D26" w:rsidR="00AF310E" w:rsidRPr="00F234A2" w:rsidRDefault="00AF310E" w:rsidP="0095542C">
      <w:pPr>
        <w:tabs>
          <w:tab w:val="left" w:pos="540"/>
          <w:tab w:val="left" w:pos="569"/>
        </w:tabs>
        <w:jc w:val="both"/>
        <w:rPr>
          <w:sz w:val="22"/>
          <w:szCs w:val="22"/>
          <w:lang w:val="sr-Latn-ME"/>
        </w:rPr>
      </w:pPr>
    </w:p>
    <w:p w14:paraId="2C716136" w14:textId="77777777" w:rsidR="00AF310E" w:rsidRPr="00F234A2" w:rsidRDefault="00AF310E" w:rsidP="0095542C">
      <w:pPr>
        <w:tabs>
          <w:tab w:val="left" w:pos="540"/>
          <w:tab w:val="left" w:pos="569"/>
        </w:tabs>
        <w:jc w:val="both"/>
        <w:rPr>
          <w:i/>
          <w:iCs/>
          <w:sz w:val="22"/>
          <w:szCs w:val="22"/>
          <w:u w:val="single"/>
          <w:lang w:val="sr-Latn-ME"/>
        </w:rPr>
      </w:pPr>
      <w:r w:rsidRPr="00F234A2">
        <w:rPr>
          <w:i/>
          <w:iCs/>
          <w:sz w:val="22"/>
          <w:szCs w:val="22"/>
          <w:u w:val="single"/>
          <w:lang w:val="sr-Latn-ME"/>
        </w:rPr>
        <w:t>Elektrofiziologija srca</w:t>
      </w:r>
    </w:p>
    <w:p w14:paraId="14AB19C7" w14:textId="59E62D8E" w:rsidR="00AF310E" w:rsidRPr="00F234A2" w:rsidRDefault="00472E1C" w:rsidP="0095542C">
      <w:pPr>
        <w:tabs>
          <w:tab w:val="left" w:pos="540"/>
          <w:tab w:val="left" w:pos="569"/>
        </w:tabs>
        <w:jc w:val="both"/>
        <w:rPr>
          <w:sz w:val="22"/>
          <w:szCs w:val="22"/>
          <w:lang w:val="sr-Latn-ME"/>
        </w:rPr>
      </w:pPr>
      <w:r w:rsidRPr="00F234A2">
        <w:rPr>
          <w:sz w:val="22"/>
          <w:szCs w:val="22"/>
          <w:lang w:val="sr-Latn-ME"/>
        </w:rPr>
        <w:t>Liječ</w:t>
      </w:r>
      <w:r w:rsidR="00AF310E" w:rsidRPr="00F234A2">
        <w:rPr>
          <w:sz w:val="22"/>
          <w:szCs w:val="22"/>
          <w:lang w:val="sr-Latn-ME"/>
        </w:rPr>
        <w:t>enje asciminibom povezano je sa produženjem QT intervala povezanim s izloženošću l</w:t>
      </w:r>
      <w:r w:rsidR="000B6873" w:rsidRPr="00F234A2">
        <w:rPr>
          <w:sz w:val="22"/>
          <w:szCs w:val="22"/>
          <w:lang w:val="sr-Latn-ME"/>
        </w:rPr>
        <w:t>ij</w:t>
      </w:r>
      <w:r w:rsidR="00AF310E" w:rsidRPr="00F234A2">
        <w:rPr>
          <w:sz w:val="22"/>
          <w:szCs w:val="22"/>
          <w:lang w:val="sr-Latn-ME"/>
        </w:rPr>
        <w:t>eku.</w:t>
      </w:r>
    </w:p>
    <w:p w14:paraId="0308B3E0" w14:textId="77777777" w:rsidR="00AF310E" w:rsidRPr="00F234A2" w:rsidRDefault="00AF310E" w:rsidP="0095542C">
      <w:pPr>
        <w:tabs>
          <w:tab w:val="left" w:pos="540"/>
          <w:tab w:val="left" w:pos="569"/>
        </w:tabs>
        <w:jc w:val="both"/>
        <w:rPr>
          <w:sz w:val="22"/>
          <w:szCs w:val="22"/>
          <w:lang w:val="sr-Latn-ME"/>
        </w:rPr>
      </w:pPr>
    </w:p>
    <w:p w14:paraId="6D94FA0B" w14:textId="18CDCB31" w:rsidR="00AF310E" w:rsidRPr="00F234A2" w:rsidRDefault="00AF310E" w:rsidP="0095542C">
      <w:pPr>
        <w:tabs>
          <w:tab w:val="left" w:pos="540"/>
          <w:tab w:val="left" w:pos="569"/>
        </w:tabs>
        <w:jc w:val="both"/>
        <w:rPr>
          <w:sz w:val="22"/>
          <w:szCs w:val="22"/>
          <w:lang w:val="sr-Latn-ME"/>
        </w:rPr>
      </w:pPr>
      <w:r w:rsidRPr="00F234A2">
        <w:rPr>
          <w:sz w:val="22"/>
          <w:szCs w:val="22"/>
          <w:lang w:val="sr-Latn-ME"/>
        </w:rPr>
        <w:t>Korelacija između koncentracije asciminiba i proc</w:t>
      </w:r>
      <w:r w:rsidR="000B6873" w:rsidRPr="00F234A2">
        <w:rPr>
          <w:sz w:val="22"/>
          <w:szCs w:val="22"/>
          <w:lang w:val="sr-Latn-ME"/>
        </w:rPr>
        <w:t>ij</w:t>
      </w:r>
      <w:r w:rsidRPr="00F234A2">
        <w:rPr>
          <w:sz w:val="22"/>
          <w:szCs w:val="22"/>
          <w:lang w:val="sr-Latn-ME"/>
        </w:rPr>
        <w:t xml:space="preserve">enjene srednje </w:t>
      </w:r>
      <w:r w:rsidR="00472E1C" w:rsidRPr="00F234A2">
        <w:rPr>
          <w:sz w:val="22"/>
          <w:szCs w:val="22"/>
          <w:lang w:val="sr-Latn-ME"/>
        </w:rPr>
        <w:t>vrijedno</w:t>
      </w:r>
      <w:r w:rsidRPr="00F234A2">
        <w:rPr>
          <w:sz w:val="22"/>
          <w:szCs w:val="22"/>
          <w:lang w:val="sr-Latn-ME"/>
        </w:rPr>
        <w:t>sti prom</w:t>
      </w:r>
      <w:r w:rsidR="000B6873" w:rsidRPr="00F234A2">
        <w:rPr>
          <w:sz w:val="22"/>
          <w:szCs w:val="22"/>
          <w:lang w:val="sr-Latn-ME"/>
        </w:rPr>
        <w:t>j</w:t>
      </w:r>
      <w:r w:rsidRPr="00F234A2">
        <w:rPr>
          <w:sz w:val="22"/>
          <w:szCs w:val="22"/>
          <w:lang w:val="sr-Latn-ME"/>
        </w:rPr>
        <w:t xml:space="preserve">ene u odnosu na početnu </w:t>
      </w:r>
      <w:r w:rsidR="00472E1C" w:rsidRPr="00F234A2">
        <w:rPr>
          <w:sz w:val="22"/>
          <w:szCs w:val="22"/>
          <w:lang w:val="sr-Latn-ME"/>
        </w:rPr>
        <w:t>vrijedno</w:t>
      </w:r>
      <w:r w:rsidRPr="00F234A2">
        <w:rPr>
          <w:sz w:val="22"/>
          <w:szCs w:val="22"/>
          <w:lang w:val="sr-Latn-ME"/>
        </w:rPr>
        <w:t>st za QT interval s</w:t>
      </w:r>
      <w:r w:rsidR="00F52A6A" w:rsidRPr="00F234A2">
        <w:rPr>
          <w:sz w:val="22"/>
          <w:szCs w:val="22"/>
          <w:lang w:val="sr-Latn-ME"/>
        </w:rPr>
        <w:t>a</w:t>
      </w:r>
      <w:r w:rsidRPr="00F234A2">
        <w:rPr>
          <w:sz w:val="22"/>
          <w:szCs w:val="22"/>
          <w:lang w:val="sr-Latn-ME"/>
        </w:rPr>
        <w:t xml:space="preserve"> Fridericijinom korekcijom (ΔQTcF) bila je oc</w:t>
      </w:r>
      <w:r w:rsidR="000B6873" w:rsidRPr="00F234A2">
        <w:rPr>
          <w:sz w:val="22"/>
          <w:szCs w:val="22"/>
          <w:lang w:val="sr-Latn-ME"/>
        </w:rPr>
        <w:t>ij</w:t>
      </w:r>
      <w:r w:rsidRPr="00F234A2">
        <w:rPr>
          <w:sz w:val="22"/>
          <w:szCs w:val="22"/>
          <w:lang w:val="sr-Latn-ME"/>
        </w:rPr>
        <w:t>enjena kod 239 pacijenata s Ph+ CML om ili Ph+ akutnom limfoblastičnom leukemijom (ALL) koji su primali asciminib u dozama koje su se kretale u rasponu od 10 do 280 mg dva puta na dan i 80 do 200 mg jednom dnevno. Proc</w:t>
      </w:r>
      <w:r w:rsidR="000B6873" w:rsidRPr="00F234A2">
        <w:rPr>
          <w:sz w:val="22"/>
          <w:szCs w:val="22"/>
          <w:lang w:val="sr-Latn-ME"/>
        </w:rPr>
        <w:t>ij</w:t>
      </w:r>
      <w:r w:rsidRPr="00F234A2">
        <w:rPr>
          <w:sz w:val="22"/>
          <w:szCs w:val="22"/>
          <w:lang w:val="sr-Latn-ME"/>
        </w:rPr>
        <w:t xml:space="preserve">enjena srednja </w:t>
      </w:r>
      <w:r w:rsidR="00472E1C" w:rsidRPr="00F234A2">
        <w:rPr>
          <w:sz w:val="22"/>
          <w:szCs w:val="22"/>
          <w:lang w:val="sr-Latn-ME"/>
        </w:rPr>
        <w:t>vrijedno</w:t>
      </w:r>
      <w:r w:rsidRPr="00F234A2">
        <w:rPr>
          <w:sz w:val="22"/>
          <w:szCs w:val="22"/>
          <w:lang w:val="sr-Latn-ME"/>
        </w:rPr>
        <w:t xml:space="preserve">st ΔQTcF bila je 3,35 ms (gornja granica 90% CI: 4,43 ms) za dozu asciminiba 40 mg dva puta na dan. </w:t>
      </w:r>
      <w:r w:rsidR="0094593A" w:rsidRPr="00F234A2">
        <w:rPr>
          <w:sz w:val="22"/>
          <w:szCs w:val="22"/>
          <w:lang w:val="sr-Latn-ME"/>
        </w:rPr>
        <w:t>Vidjet</w:t>
      </w:r>
      <w:r w:rsidRPr="00F234A2">
        <w:rPr>
          <w:sz w:val="22"/>
          <w:szCs w:val="22"/>
          <w:lang w:val="sr-Latn-ME"/>
        </w:rPr>
        <w:t>i d</w:t>
      </w:r>
      <w:r w:rsidR="000B6873" w:rsidRPr="00F234A2">
        <w:rPr>
          <w:sz w:val="22"/>
          <w:szCs w:val="22"/>
          <w:lang w:val="sr-Latn-ME"/>
        </w:rPr>
        <w:t>i</w:t>
      </w:r>
      <w:r w:rsidRPr="00F234A2">
        <w:rPr>
          <w:sz w:val="22"/>
          <w:szCs w:val="22"/>
          <w:lang w:val="sr-Latn-ME"/>
        </w:rPr>
        <w:t>o 4.4.</w:t>
      </w:r>
    </w:p>
    <w:p w14:paraId="3B7E3474" w14:textId="73AF194F" w:rsidR="00AF310E" w:rsidRPr="00F234A2" w:rsidRDefault="00AF310E" w:rsidP="0095542C">
      <w:pPr>
        <w:tabs>
          <w:tab w:val="left" w:pos="540"/>
          <w:tab w:val="left" w:pos="569"/>
        </w:tabs>
        <w:jc w:val="both"/>
        <w:rPr>
          <w:sz w:val="22"/>
          <w:szCs w:val="22"/>
          <w:lang w:val="sr-Latn-ME"/>
        </w:rPr>
      </w:pPr>
    </w:p>
    <w:p w14:paraId="1F6ADD5E" w14:textId="04D382AC" w:rsidR="00AF310E" w:rsidRPr="00F234A2" w:rsidRDefault="00AF310E" w:rsidP="0095542C">
      <w:pPr>
        <w:tabs>
          <w:tab w:val="left" w:pos="540"/>
          <w:tab w:val="left" w:pos="569"/>
        </w:tabs>
        <w:jc w:val="both"/>
        <w:rPr>
          <w:sz w:val="22"/>
          <w:szCs w:val="22"/>
          <w:u w:val="single"/>
          <w:lang w:val="sr-Latn-ME"/>
        </w:rPr>
      </w:pPr>
      <w:r w:rsidRPr="00F234A2">
        <w:rPr>
          <w:sz w:val="22"/>
          <w:szCs w:val="22"/>
          <w:u w:val="single"/>
          <w:lang w:val="sr-Latn-ME"/>
        </w:rPr>
        <w:t xml:space="preserve">Klinička efikasnost i </w:t>
      </w:r>
      <w:r w:rsidR="00472E1C" w:rsidRPr="00F234A2">
        <w:rPr>
          <w:sz w:val="22"/>
          <w:szCs w:val="22"/>
          <w:u w:val="single"/>
          <w:lang w:val="sr-Latn-ME"/>
        </w:rPr>
        <w:t>bezbje</w:t>
      </w:r>
      <w:r w:rsidRPr="00F234A2">
        <w:rPr>
          <w:sz w:val="22"/>
          <w:szCs w:val="22"/>
          <w:u w:val="single"/>
          <w:lang w:val="sr-Latn-ME"/>
        </w:rPr>
        <w:t>dnost</w:t>
      </w:r>
    </w:p>
    <w:p w14:paraId="68476712" w14:textId="56ACD817" w:rsidR="00AF310E" w:rsidRPr="00F234A2" w:rsidRDefault="00AF310E" w:rsidP="0095542C">
      <w:pPr>
        <w:tabs>
          <w:tab w:val="left" w:pos="540"/>
          <w:tab w:val="left" w:pos="569"/>
        </w:tabs>
        <w:jc w:val="both"/>
        <w:rPr>
          <w:b/>
          <w:bCs/>
          <w:sz w:val="22"/>
          <w:szCs w:val="22"/>
          <w:lang w:val="sr-Latn-ME"/>
        </w:rPr>
      </w:pPr>
    </w:p>
    <w:p w14:paraId="1724591E" w14:textId="77777777" w:rsidR="00AF310E" w:rsidRPr="00F234A2" w:rsidRDefault="00AF310E" w:rsidP="0095542C">
      <w:pPr>
        <w:tabs>
          <w:tab w:val="left" w:pos="540"/>
          <w:tab w:val="left" w:pos="569"/>
        </w:tabs>
        <w:jc w:val="both"/>
        <w:rPr>
          <w:i/>
          <w:iCs/>
          <w:sz w:val="22"/>
          <w:szCs w:val="22"/>
          <w:u w:val="single"/>
          <w:lang w:val="sr-Latn-ME"/>
        </w:rPr>
      </w:pPr>
      <w:r w:rsidRPr="00F234A2">
        <w:rPr>
          <w:i/>
          <w:iCs/>
          <w:sz w:val="22"/>
          <w:szCs w:val="22"/>
          <w:u w:val="single"/>
          <w:lang w:val="sr-Latn-ME"/>
        </w:rPr>
        <w:t>Ph+ CML-CP</w:t>
      </w:r>
    </w:p>
    <w:p w14:paraId="3FEADBDF" w14:textId="0F0CBC0C" w:rsidR="00AF310E" w:rsidRPr="00F234A2" w:rsidRDefault="00AF310E" w:rsidP="0095542C">
      <w:pPr>
        <w:tabs>
          <w:tab w:val="left" w:pos="540"/>
          <w:tab w:val="left" w:pos="569"/>
        </w:tabs>
        <w:jc w:val="both"/>
        <w:rPr>
          <w:sz w:val="22"/>
          <w:szCs w:val="22"/>
          <w:lang w:val="sr-Latn-ME"/>
        </w:rPr>
      </w:pPr>
      <w:r w:rsidRPr="00F234A2">
        <w:rPr>
          <w:sz w:val="22"/>
          <w:szCs w:val="22"/>
          <w:lang w:val="sr-Latn-ME"/>
        </w:rPr>
        <w:t xml:space="preserve">Klinička efikasnost i </w:t>
      </w:r>
      <w:r w:rsidR="00472E1C" w:rsidRPr="00F234A2">
        <w:rPr>
          <w:sz w:val="22"/>
          <w:szCs w:val="22"/>
          <w:lang w:val="sr-Latn-ME"/>
        </w:rPr>
        <w:t>bezbje</w:t>
      </w:r>
      <w:r w:rsidRPr="00F234A2">
        <w:rPr>
          <w:sz w:val="22"/>
          <w:szCs w:val="22"/>
          <w:lang w:val="sr-Latn-ME"/>
        </w:rPr>
        <w:t xml:space="preserve">dnost asciminiba u </w:t>
      </w:r>
      <w:r w:rsidR="00472E1C" w:rsidRPr="00F234A2">
        <w:rPr>
          <w:sz w:val="22"/>
          <w:szCs w:val="22"/>
          <w:lang w:val="sr-Latn-ME"/>
        </w:rPr>
        <w:t>liječ</w:t>
      </w:r>
      <w:r w:rsidRPr="00F234A2">
        <w:rPr>
          <w:sz w:val="22"/>
          <w:szCs w:val="22"/>
          <w:lang w:val="sr-Latn-ME"/>
        </w:rPr>
        <w:t xml:space="preserve">enju pacijenata sa </w:t>
      </w:r>
      <w:r w:rsidRPr="00F234A2">
        <w:rPr>
          <w:i/>
          <w:sz w:val="22"/>
          <w:szCs w:val="22"/>
          <w:lang w:val="sr-Latn-ME"/>
        </w:rPr>
        <w:t>Philadelphia</w:t>
      </w:r>
      <w:r w:rsidRPr="00F234A2">
        <w:rPr>
          <w:sz w:val="22"/>
          <w:szCs w:val="22"/>
          <w:lang w:val="sr-Latn-ME"/>
        </w:rPr>
        <w:t>-hromozom pozitivnom hroničnom mijeloidnom leukemijom u hroničnoj fazi (Ph+ CML-CP) sa neusp</w:t>
      </w:r>
      <w:r w:rsidR="000B6873" w:rsidRPr="00F234A2">
        <w:rPr>
          <w:sz w:val="22"/>
          <w:szCs w:val="22"/>
          <w:lang w:val="sr-Latn-ME"/>
        </w:rPr>
        <w:t>j</w:t>
      </w:r>
      <w:r w:rsidRPr="00F234A2">
        <w:rPr>
          <w:sz w:val="22"/>
          <w:szCs w:val="22"/>
          <w:lang w:val="sr-Latn-ME"/>
        </w:rPr>
        <w:t xml:space="preserve">ešnim </w:t>
      </w:r>
      <w:r w:rsidR="00472E1C" w:rsidRPr="00F234A2">
        <w:rPr>
          <w:sz w:val="22"/>
          <w:szCs w:val="22"/>
          <w:lang w:val="sr-Latn-ME"/>
        </w:rPr>
        <w:t>liječ</w:t>
      </w:r>
      <w:r w:rsidRPr="00F234A2">
        <w:rPr>
          <w:sz w:val="22"/>
          <w:szCs w:val="22"/>
          <w:lang w:val="sr-Latn-ME"/>
        </w:rPr>
        <w:t>enjem ili intolerancijom na dva ili više inhibitora tirozin kinaze bile su proc</w:t>
      </w:r>
      <w:r w:rsidR="000B6873" w:rsidRPr="00F234A2">
        <w:rPr>
          <w:sz w:val="22"/>
          <w:szCs w:val="22"/>
          <w:lang w:val="sr-Latn-ME"/>
        </w:rPr>
        <w:t>ij</w:t>
      </w:r>
      <w:r w:rsidRPr="00F234A2">
        <w:rPr>
          <w:sz w:val="22"/>
          <w:szCs w:val="22"/>
          <w:lang w:val="sr-Latn-ME"/>
        </w:rPr>
        <w:t>enjene u multicentričnom, randomizovanom, aktivno kontrolisanom otvorenom kliničkom ispitivanju faze III pod nazivom ASCEMBL. Rezistencija na poslednji TKI bila je definisana kao jedno od navedenog: neusp</w:t>
      </w:r>
      <w:r w:rsidR="00F52A6A" w:rsidRPr="00F234A2">
        <w:rPr>
          <w:sz w:val="22"/>
          <w:szCs w:val="22"/>
          <w:lang w:val="sr-Latn-ME"/>
        </w:rPr>
        <w:t>j</w:t>
      </w:r>
      <w:r w:rsidRPr="00F234A2">
        <w:rPr>
          <w:sz w:val="22"/>
          <w:szCs w:val="22"/>
          <w:lang w:val="sr-Latn-ME"/>
        </w:rPr>
        <w:t>elo postizanje bilo hematološkog ili citogenetskog odgovora nakon 3 m</w:t>
      </w:r>
      <w:r w:rsidR="000B6873" w:rsidRPr="00F234A2">
        <w:rPr>
          <w:sz w:val="22"/>
          <w:szCs w:val="22"/>
          <w:lang w:val="sr-Latn-ME"/>
        </w:rPr>
        <w:t>j</w:t>
      </w:r>
      <w:r w:rsidRPr="00F234A2">
        <w:rPr>
          <w:sz w:val="22"/>
          <w:szCs w:val="22"/>
          <w:lang w:val="sr-Latn-ME"/>
        </w:rPr>
        <w:t xml:space="preserve">eseca; BCR::ABL1 (po međunarodnoj skali; engl. </w:t>
      </w:r>
      <w:r w:rsidRPr="00F234A2">
        <w:rPr>
          <w:i/>
          <w:sz w:val="22"/>
          <w:szCs w:val="22"/>
          <w:lang w:val="sr-Latn-ME"/>
        </w:rPr>
        <w:t>International Scale</w:t>
      </w:r>
      <w:r w:rsidRPr="00F234A2">
        <w:rPr>
          <w:sz w:val="22"/>
          <w:szCs w:val="22"/>
          <w:lang w:val="sr-Latn-ME"/>
        </w:rPr>
        <w:t>, IS) &gt; 10% 6 m</w:t>
      </w:r>
      <w:r w:rsidR="000B6873" w:rsidRPr="00F234A2">
        <w:rPr>
          <w:sz w:val="22"/>
          <w:szCs w:val="22"/>
          <w:lang w:val="sr-Latn-ME"/>
        </w:rPr>
        <w:t>j</w:t>
      </w:r>
      <w:r w:rsidRPr="00F234A2">
        <w:rPr>
          <w:sz w:val="22"/>
          <w:szCs w:val="22"/>
          <w:lang w:val="sr-Latn-ME"/>
        </w:rPr>
        <w:t xml:space="preserve">eseci nakon početka terapije ili kasnije; &gt; 65% Ph+ metafaza 6 </w:t>
      </w:r>
      <w:r w:rsidR="000B6873" w:rsidRPr="00F234A2">
        <w:rPr>
          <w:sz w:val="22"/>
          <w:szCs w:val="22"/>
          <w:lang w:val="sr-Latn-ME"/>
        </w:rPr>
        <w:t>mjesec</w:t>
      </w:r>
      <w:r w:rsidRPr="00F234A2">
        <w:rPr>
          <w:sz w:val="22"/>
          <w:szCs w:val="22"/>
          <w:lang w:val="sr-Latn-ME"/>
        </w:rPr>
        <w:t xml:space="preserve">i nakon početka terapije ili &gt; 35% 12 </w:t>
      </w:r>
      <w:r w:rsidR="000B6873" w:rsidRPr="00F234A2">
        <w:rPr>
          <w:sz w:val="22"/>
          <w:szCs w:val="22"/>
          <w:lang w:val="sr-Latn-ME"/>
        </w:rPr>
        <w:t>mjesec</w:t>
      </w:r>
      <w:r w:rsidRPr="00F234A2">
        <w:rPr>
          <w:sz w:val="22"/>
          <w:szCs w:val="22"/>
          <w:lang w:val="sr-Latn-ME"/>
        </w:rPr>
        <w:t xml:space="preserve">i nakon početka terapije ili kasnije; gubitak potpunog hematološkog odgovora (engl. </w:t>
      </w:r>
      <w:r w:rsidRPr="00F234A2">
        <w:rPr>
          <w:i/>
          <w:sz w:val="22"/>
          <w:szCs w:val="22"/>
          <w:lang w:val="sr-Latn-ME"/>
        </w:rPr>
        <w:t>complete haematological response</w:t>
      </w:r>
      <w:r w:rsidRPr="00F234A2">
        <w:rPr>
          <w:sz w:val="22"/>
          <w:szCs w:val="22"/>
          <w:lang w:val="sr-Latn-ME"/>
        </w:rPr>
        <w:t>, CHR), d</w:t>
      </w:r>
      <w:r w:rsidR="000B6873" w:rsidRPr="00F234A2">
        <w:rPr>
          <w:sz w:val="22"/>
          <w:szCs w:val="22"/>
          <w:lang w:val="sr-Latn-ME"/>
        </w:rPr>
        <w:t>j</w:t>
      </w:r>
      <w:r w:rsidRPr="00F234A2">
        <w:rPr>
          <w:sz w:val="22"/>
          <w:szCs w:val="22"/>
          <w:lang w:val="sr-Latn-ME"/>
        </w:rPr>
        <w:t xml:space="preserve">elimičnog citogenetskog odgovora (engl. </w:t>
      </w:r>
      <w:r w:rsidRPr="00F234A2">
        <w:rPr>
          <w:i/>
          <w:sz w:val="22"/>
          <w:szCs w:val="22"/>
          <w:lang w:val="sr-Latn-ME"/>
        </w:rPr>
        <w:t>partial cytogenetic response</w:t>
      </w:r>
      <w:r w:rsidRPr="00F234A2">
        <w:rPr>
          <w:sz w:val="22"/>
          <w:szCs w:val="22"/>
          <w:lang w:val="sr-Latn-ME"/>
        </w:rPr>
        <w:t xml:space="preserve">, PCyR), potpunog citogenetskog odgovora (engl. </w:t>
      </w:r>
      <w:r w:rsidRPr="00F234A2">
        <w:rPr>
          <w:i/>
          <w:sz w:val="22"/>
          <w:szCs w:val="22"/>
          <w:lang w:val="sr-Latn-ME"/>
        </w:rPr>
        <w:t>complete cytogenetic response</w:t>
      </w:r>
      <w:r w:rsidRPr="00F234A2">
        <w:rPr>
          <w:sz w:val="22"/>
          <w:szCs w:val="22"/>
          <w:lang w:val="sr-Latn-ME"/>
        </w:rPr>
        <w:t xml:space="preserve">, CCyR) ili velikog molekularnog odgovora (engl. </w:t>
      </w:r>
      <w:r w:rsidRPr="00F234A2">
        <w:rPr>
          <w:i/>
          <w:sz w:val="22"/>
          <w:szCs w:val="22"/>
          <w:lang w:val="sr-Latn-ME"/>
        </w:rPr>
        <w:t>major molecular response</w:t>
      </w:r>
      <w:r w:rsidRPr="00F234A2">
        <w:rPr>
          <w:sz w:val="22"/>
          <w:szCs w:val="22"/>
          <w:lang w:val="sr-Latn-ME"/>
        </w:rPr>
        <w:t>, MMR) u bilo kom trenutku; nove mutacije u BCR::ABL1 koje bi potencijalno mogle uzrokovati rezistenciju na ispitivani l</w:t>
      </w:r>
      <w:r w:rsidR="000B6873" w:rsidRPr="00F234A2">
        <w:rPr>
          <w:sz w:val="22"/>
          <w:szCs w:val="22"/>
          <w:lang w:val="sr-Latn-ME"/>
        </w:rPr>
        <w:t>ij</w:t>
      </w:r>
      <w:r w:rsidRPr="00F234A2">
        <w:rPr>
          <w:sz w:val="22"/>
          <w:szCs w:val="22"/>
          <w:lang w:val="sr-Latn-ME"/>
        </w:rPr>
        <w:t>ek ili klonalnu evoluciju u Ph+ metafazama u bilo kom trenutku. Intolerancija na poslednji TKI bila je definisana kao nehematološke toksičnosti koje ne odgovaraju na optimalno zbrinjavanje, ili kao hematološke toksičnosti koje se ponovno javljaju nakon smanjenja doze na najnižu preporučenu dozu.</w:t>
      </w:r>
    </w:p>
    <w:p w14:paraId="523A3795" w14:textId="7E4AD10B" w:rsidR="00AF310E" w:rsidRPr="00F234A2" w:rsidRDefault="00AF310E" w:rsidP="0095542C">
      <w:pPr>
        <w:tabs>
          <w:tab w:val="left" w:pos="540"/>
          <w:tab w:val="left" w:pos="569"/>
        </w:tabs>
        <w:jc w:val="both"/>
        <w:rPr>
          <w:b/>
          <w:bCs/>
          <w:sz w:val="22"/>
          <w:szCs w:val="22"/>
          <w:lang w:val="sr-Latn-ME"/>
        </w:rPr>
      </w:pPr>
    </w:p>
    <w:p w14:paraId="1742942D" w14:textId="7B609901" w:rsidR="00AF310E" w:rsidRPr="00F234A2" w:rsidRDefault="00AF310E" w:rsidP="0095542C">
      <w:pPr>
        <w:tabs>
          <w:tab w:val="left" w:pos="540"/>
          <w:tab w:val="left" w:pos="569"/>
        </w:tabs>
        <w:jc w:val="both"/>
        <w:rPr>
          <w:sz w:val="22"/>
          <w:szCs w:val="22"/>
          <w:lang w:val="sr-Latn-ME"/>
        </w:rPr>
      </w:pPr>
      <w:r w:rsidRPr="00F234A2">
        <w:rPr>
          <w:sz w:val="22"/>
          <w:szCs w:val="22"/>
          <w:lang w:val="sr-Latn-ME"/>
        </w:rPr>
        <w:t xml:space="preserve">U ovom kliničkom ispitivanju ukupno 233 pacijenta su bila randomizovana u odnosu 2:1 i stratifikovano prema statusu velikog citogenetskog odgovora, MCyR, na početku </w:t>
      </w:r>
      <w:r w:rsidR="00472E1C" w:rsidRPr="00F234A2">
        <w:rPr>
          <w:sz w:val="22"/>
          <w:szCs w:val="22"/>
          <w:lang w:val="sr-Latn-ME"/>
        </w:rPr>
        <w:t>liječ</w:t>
      </w:r>
      <w:r w:rsidRPr="00F234A2">
        <w:rPr>
          <w:sz w:val="22"/>
          <w:szCs w:val="22"/>
          <w:lang w:val="sr-Latn-ME"/>
        </w:rPr>
        <w:t>enja za primanje ili asciminiba 40 mg dva puta na dan (N=157) ili bosutiniba 500 mg jednom na dan (N=76). Pacijenti za koje je poznato prisustvo mutacije T315I i/ili V299L u bilo kom trenutku pr</w:t>
      </w:r>
      <w:r w:rsidR="000B6873" w:rsidRPr="00F234A2">
        <w:rPr>
          <w:sz w:val="22"/>
          <w:szCs w:val="22"/>
          <w:lang w:val="sr-Latn-ME"/>
        </w:rPr>
        <w:t>ij</w:t>
      </w:r>
      <w:r w:rsidRPr="00F234A2">
        <w:rPr>
          <w:sz w:val="22"/>
          <w:szCs w:val="22"/>
          <w:lang w:val="sr-Latn-ME"/>
        </w:rPr>
        <w:t xml:space="preserve">e uključivanja u kliničko ispitivanje, nisu bili uključeni u ASCEMBL. Pacijenti su nastavili </w:t>
      </w:r>
      <w:r w:rsidR="00472E1C" w:rsidRPr="00F234A2">
        <w:rPr>
          <w:sz w:val="22"/>
          <w:szCs w:val="22"/>
          <w:lang w:val="sr-Latn-ME"/>
        </w:rPr>
        <w:t>liječ</w:t>
      </w:r>
      <w:r w:rsidRPr="00F234A2">
        <w:rPr>
          <w:sz w:val="22"/>
          <w:szCs w:val="22"/>
          <w:lang w:val="sr-Latn-ME"/>
        </w:rPr>
        <w:t>enje dok nije došlo do neprihvatljive toksičnosti ili neusp</w:t>
      </w:r>
      <w:r w:rsidR="00F52A6A" w:rsidRPr="00F234A2">
        <w:rPr>
          <w:sz w:val="22"/>
          <w:szCs w:val="22"/>
          <w:lang w:val="sr-Latn-ME"/>
        </w:rPr>
        <w:t>j</w:t>
      </w:r>
      <w:r w:rsidRPr="00F234A2">
        <w:rPr>
          <w:sz w:val="22"/>
          <w:szCs w:val="22"/>
          <w:lang w:val="sr-Latn-ME"/>
        </w:rPr>
        <w:t xml:space="preserve">eha </w:t>
      </w:r>
      <w:r w:rsidR="00472E1C" w:rsidRPr="00F234A2">
        <w:rPr>
          <w:sz w:val="22"/>
          <w:szCs w:val="22"/>
          <w:lang w:val="sr-Latn-ME"/>
        </w:rPr>
        <w:t>liječ</w:t>
      </w:r>
      <w:r w:rsidRPr="00F234A2">
        <w:rPr>
          <w:sz w:val="22"/>
          <w:szCs w:val="22"/>
          <w:lang w:val="sr-Latn-ME"/>
        </w:rPr>
        <w:t>enja.</w:t>
      </w:r>
    </w:p>
    <w:p w14:paraId="2B67277F" w14:textId="7887AD68" w:rsidR="00AF310E" w:rsidRPr="00F234A2" w:rsidRDefault="00AF310E" w:rsidP="0095542C">
      <w:pPr>
        <w:tabs>
          <w:tab w:val="left" w:pos="540"/>
          <w:tab w:val="left" w:pos="569"/>
        </w:tabs>
        <w:jc w:val="both"/>
        <w:rPr>
          <w:b/>
          <w:bCs/>
          <w:sz w:val="22"/>
          <w:szCs w:val="22"/>
          <w:lang w:val="sr-Latn-ME"/>
        </w:rPr>
      </w:pPr>
    </w:p>
    <w:p w14:paraId="001B3B6E" w14:textId="494913D5" w:rsidR="00AF310E" w:rsidRPr="00F234A2" w:rsidRDefault="00AF310E" w:rsidP="0095542C">
      <w:pPr>
        <w:tabs>
          <w:tab w:val="left" w:pos="540"/>
          <w:tab w:val="left" w:pos="569"/>
        </w:tabs>
        <w:jc w:val="both"/>
        <w:rPr>
          <w:sz w:val="22"/>
          <w:szCs w:val="22"/>
          <w:lang w:val="sr-Latn-ME"/>
        </w:rPr>
      </w:pPr>
      <w:r w:rsidRPr="00F234A2">
        <w:rPr>
          <w:sz w:val="22"/>
          <w:szCs w:val="22"/>
          <w:lang w:val="sr-Latn-ME"/>
        </w:rPr>
        <w:t>Pacijente koji su imali Ph+ CML-CP činilo je 51,5% žena i 48,5% muškaraca, sa medijanom starosti od 52 godine (raspon: 19 do 83 godine). Od 233 pacijenta, 18,9% imalo je 65 ili više godina, dok je 2,6% imalo 75 ili više godina. Pacijenti su bili b</w:t>
      </w:r>
      <w:r w:rsidR="000B6873" w:rsidRPr="00F234A2">
        <w:rPr>
          <w:sz w:val="22"/>
          <w:szCs w:val="22"/>
          <w:lang w:val="sr-Latn-ME"/>
        </w:rPr>
        <w:t>ij</w:t>
      </w:r>
      <w:r w:rsidRPr="00F234A2">
        <w:rPr>
          <w:sz w:val="22"/>
          <w:szCs w:val="22"/>
          <w:lang w:val="sr-Latn-ME"/>
        </w:rPr>
        <w:t xml:space="preserve">ele rase (74,7%), Azijati (14,2%) i crne rase (4,3%). Od 233 </w:t>
      </w:r>
      <w:r w:rsidRPr="00F234A2">
        <w:rPr>
          <w:sz w:val="22"/>
          <w:szCs w:val="22"/>
          <w:lang w:val="sr-Latn-ME"/>
        </w:rPr>
        <w:lastRenderedPageBreak/>
        <w:t>pacijenta, 80,7%, tj.18% imalo je funkcionalno stanje 0, odnosno 1 prema Istočnoj kooperativnoj onkološkoj grupi (engl.</w:t>
      </w:r>
      <w:r w:rsidRPr="00F234A2">
        <w:rPr>
          <w:i/>
          <w:iCs/>
          <w:sz w:val="22"/>
          <w:szCs w:val="22"/>
          <w:lang w:val="sr-Latn-ME"/>
        </w:rPr>
        <w:t xml:space="preserve"> Eastern Cooperative Oncology Group</w:t>
      </w:r>
      <w:r w:rsidRPr="00F234A2">
        <w:rPr>
          <w:sz w:val="22"/>
          <w:szCs w:val="22"/>
          <w:lang w:val="sr-Latn-ME"/>
        </w:rPr>
        <w:t>, ECOG). Pacijenata koji su prethodno primili 2, 3, 4, 5 ili više ranijih linija TKI bilo je, redom, 48,1%, 31,3%, 14,6% i 6%.</w:t>
      </w:r>
    </w:p>
    <w:p w14:paraId="2FC3AA94" w14:textId="77777777" w:rsidR="00AF310E" w:rsidRPr="00F234A2" w:rsidRDefault="00AF310E" w:rsidP="0095542C">
      <w:pPr>
        <w:tabs>
          <w:tab w:val="left" w:pos="540"/>
          <w:tab w:val="left" w:pos="569"/>
        </w:tabs>
        <w:jc w:val="both"/>
        <w:rPr>
          <w:sz w:val="22"/>
          <w:szCs w:val="22"/>
          <w:lang w:val="sr-Latn-ME"/>
        </w:rPr>
      </w:pPr>
    </w:p>
    <w:p w14:paraId="08146911" w14:textId="21C03345" w:rsidR="00AF310E" w:rsidRPr="00F234A2" w:rsidRDefault="00AF310E" w:rsidP="0095542C">
      <w:pPr>
        <w:tabs>
          <w:tab w:val="left" w:pos="540"/>
          <w:tab w:val="left" w:pos="569"/>
        </w:tabs>
        <w:jc w:val="both"/>
        <w:rPr>
          <w:sz w:val="22"/>
          <w:szCs w:val="22"/>
          <w:lang w:val="sr-Latn-ME"/>
        </w:rPr>
      </w:pPr>
      <w:r w:rsidRPr="00F234A2">
        <w:rPr>
          <w:sz w:val="22"/>
          <w:szCs w:val="22"/>
          <w:lang w:val="sr-Latn-ME"/>
        </w:rPr>
        <w:t xml:space="preserve">Medijana trajanja randomizovanog </w:t>
      </w:r>
      <w:r w:rsidR="00472E1C" w:rsidRPr="00F234A2">
        <w:rPr>
          <w:sz w:val="22"/>
          <w:szCs w:val="22"/>
          <w:lang w:val="sr-Latn-ME"/>
        </w:rPr>
        <w:t>liječ</w:t>
      </w:r>
      <w:r w:rsidRPr="00F234A2">
        <w:rPr>
          <w:sz w:val="22"/>
          <w:szCs w:val="22"/>
          <w:lang w:val="sr-Latn-ME"/>
        </w:rPr>
        <w:t xml:space="preserve">enja bila je </w:t>
      </w:r>
      <w:r w:rsidR="00EB6ADF" w:rsidRPr="00F234A2">
        <w:rPr>
          <w:sz w:val="22"/>
          <w:szCs w:val="22"/>
          <w:lang w:val="sr-Latn-ME"/>
        </w:rPr>
        <w:t>1</w:t>
      </w:r>
      <w:r w:rsidR="00EB6ADF">
        <w:rPr>
          <w:sz w:val="22"/>
          <w:szCs w:val="22"/>
          <w:lang w:val="sr-Latn-ME"/>
        </w:rPr>
        <w:t>56</w:t>
      </w:r>
      <w:r w:rsidR="00EB6ADF" w:rsidRPr="00F234A2">
        <w:rPr>
          <w:sz w:val="22"/>
          <w:szCs w:val="22"/>
          <w:lang w:val="sr-Latn-ME"/>
        </w:rPr>
        <w:t xml:space="preserve"> nedjelj</w:t>
      </w:r>
      <w:r w:rsidR="00EB6ADF">
        <w:rPr>
          <w:sz w:val="22"/>
          <w:szCs w:val="22"/>
          <w:lang w:val="sr-Latn-ME"/>
        </w:rPr>
        <w:t>a</w:t>
      </w:r>
      <w:r w:rsidR="00EB6ADF" w:rsidRPr="00F234A2">
        <w:rPr>
          <w:sz w:val="22"/>
          <w:szCs w:val="22"/>
          <w:lang w:val="sr-Latn-ME"/>
        </w:rPr>
        <w:t xml:space="preserve"> </w:t>
      </w:r>
      <w:r w:rsidRPr="00F234A2">
        <w:rPr>
          <w:sz w:val="22"/>
          <w:szCs w:val="22"/>
          <w:lang w:val="sr-Latn-ME"/>
        </w:rPr>
        <w:t xml:space="preserve">(raspon: 0,1 do </w:t>
      </w:r>
      <w:r w:rsidR="00EB6ADF">
        <w:rPr>
          <w:sz w:val="22"/>
          <w:szCs w:val="22"/>
          <w:lang w:val="sr-Latn-ME"/>
        </w:rPr>
        <w:t>256,3</w:t>
      </w:r>
      <w:r w:rsidR="00EB6ADF" w:rsidRPr="00F234A2">
        <w:rPr>
          <w:sz w:val="22"/>
          <w:szCs w:val="22"/>
          <w:lang w:val="sr-Latn-ME"/>
        </w:rPr>
        <w:t xml:space="preserve"> </w:t>
      </w:r>
      <w:r w:rsidR="0094593A" w:rsidRPr="00F234A2">
        <w:rPr>
          <w:sz w:val="22"/>
          <w:szCs w:val="22"/>
          <w:lang w:val="sr-Latn-ME"/>
        </w:rPr>
        <w:t>nedjelj</w:t>
      </w:r>
      <w:r w:rsidRPr="00F234A2">
        <w:rPr>
          <w:sz w:val="22"/>
          <w:szCs w:val="22"/>
          <w:lang w:val="sr-Latn-ME"/>
        </w:rPr>
        <w:t xml:space="preserve">a) za pacijente koji su primali asciminib i </w:t>
      </w:r>
      <w:r w:rsidR="00EB6ADF" w:rsidRPr="00F234A2">
        <w:rPr>
          <w:sz w:val="22"/>
          <w:szCs w:val="22"/>
          <w:lang w:val="sr-Latn-ME"/>
        </w:rPr>
        <w:t>3</w:t>
      </w:r>
      <w:r w:rsidR="00EB6ADF">
        <w:rPr>
          <w:sz w:val="22"/>
          <w:szCs w:val="22"/>
          <w:lang w:val="sr-Latn-ME"/>
        </w:rPr>
        <w:t>0,5</w:t>
      </w:r>
      <w:r w:rsidR="00EB6ADF" w:rsidRPr="00F234A2">
        <w:rPr>
          <w:sz w:val="22"/>
          <w:szCs w:val="22"/>
          <w:lang w:val="sr-Latn-ME"/>
        </w:rPr>
        <w:t xml:space="preserve"> </w:t>
      </w:r>
      <w:r w:rsidR="0094593A" w:rsidRPr="00F234A2">
        <w:rPr>
          <w:sz w:val="22"/>
          <w:szCs w:val="22"/>
          <w:lang w:val="sr-Latn-ME"/>
        </w:rPr>
        <w:t>nedjelj</w:t>
      </w:r>
      <w:r w:rsidRPr="00F234A2">
        <w:rPr>
          <w:sz w:val="22"/>
          <w:szCs w:val="22"/>
          <w:lang w:val="sr-Latn-ME"/>
        </w:rPr>
        <w:t xml:space="preserve">a (raspon: 1 do </w:t>
      </w:r>
      <w:r w:rsidR="00EB6ADF">
        <w:rPr>
          <w:sz w:val="22"/>
          <w:szCs w:val="22"/>
          <w:lang w:val="sr-Latn-ME"/>
        </w:rPr>
        <w:t>239,3</w:t>
      </w:r>
      <w:r w:rsidR="00EB6ADF" w:rsidRPr="00F234A2">
        <w:rPr>
          <w:sz w:val="22"/>
          <w:szCs w:val="22"/>
          <w:lang w:val="sr-Latn-ME"/>
        </w:rPr>
        <w:t xml:space="preserve"> </w:t>
      </w:r>
      <w:r w:rsidR="0094593A" w:rsidRPr="00F234A2">
        <w:rPr>
          <w:sz w:val="22"/>
          <w:szCs w:val="22"/>
          <w:lang w:val="sr-Latn-ME"/>
        </w:rPr>
        <w:t>nedjelj</w:t>
      </w:r>
      <w:r w:rsidRPr="00F234A2">
        <w:rPr>
          <w:sz w:val="22"/>
          <w:szCs w:val="22"/>
          <w:lang w:val="sr-Latn-ME"/>
        </w:rPr>
        <w:t>a) za pacijente koji su primali bosutinib.</w:t>
      </w:r>
    </w:p>
    <w:p w14:paraId="76190F5E" w14:textId="08F75438" w:rsidR="00AF310E" w:rsidRPr="00F234A2" w:rsidRDefault="00AF310E" w:rsidP="0095542C">
      <w:pPr>
        <w:tabs>
          <w:tab w:val="left" w:pos="540"/>
          <w:tab w:val="left" w:pos="569"/>
        </w:tabs>
        <w:jc w:val="both"/>
        <w:rPr>
          <w:b/>
          <w:bCs/>
          <w:sz w:val="22"/>
          <w:szCs w:val="22"/>
          <w:lang w:val="sr-Latn-ME"/>
        </w:rPr>
      </w:pPr>
    </w:p>
    <w:p w14:paraId="2D442CC9" w14:textId="77777777" w:rsidR="00AF310E" w:rsidRPr="00F234A2" w:rsidRDefault="00AF310E" w:rsidP="0095542C">
      <w:pPr>
        <w:tabs>
          <w:tab w:val="left" w:pos="540"/>
          <w:tab w:val="left" w:pos="569"/>
        </w:tabs>
        <w:jc w:val="both"/>
        <w:rPr>
          <w:i/>
          <w:iCs/>
          <w:sz w:val="22"/>
          <w:szCs w:val="22"/>
          <w:lang w:val="sr-Latn-ME"/>
        </w:rPr>
      </w:pPr>
      <w:r w:rsidRPr="00F234A2">
        <w:rPr>
          <w:i/>
          <w:iCs/>
          <w:sz w:val="22"/>
          <w:szCs w:val="22"/>
          <w:lang w:val="sr-Latn-ME"/>
        </w:rPr>
        <w:t>Rezultati</w:t>
      </w:r>
    </w:p>
    <w:p w14:paraId="2B76D9A9" w14:textId="69A10CEF" w:rsidR="00AF310E" w:rsidRPr="00F234A2" w:rsidRDefault="00AF310E" w:rsidP="0095542C">
      <w:pPr>
        <w:tabs>
          <w:tab w:val="left" w:pos="540"/>
          <w:tab w:val="left" w:pos="569"/>
        </w:tabs>
        <w:jc w:val="both"/>
        <w:rPr>
          <w:sz w:val="22"/>
          <w:szCs w:val="22"/>
          <w:lang w:val="sr-Latn-ME"/>
        </w:rPr>
      </w:pPr>
      <w:r w:rsidRPr="00F234A2">
        <w:rPr>
          <w:sz w:val="22"/>
          <w:szCs w:val="22"/>
          <w:lang w:val="sr-Latn-ME"/>
        </w:rPr>
        <w:t xml:space="preserve">Primarni parametar praćenja kliničkog ispitivanja bila je stopa MMR-a nakon 24 </w:t>
      </w:r>
      <w:r w:rsidR="0094593A" w:rsidRPr="00F234A2">
        <w:rPr>
          <w:sz w:val="22"/>
          <w:szCs w:val="22"/>
          <w:lang w:val="sr-Latn-ME"/>
        </w:rPr>
        <w:t>nedjelj</w:t>
      </w:r>
      <w:r w:rsidRPr="00F234A2">
        <w:rPr>
          <w:sz w:val="22"/>
          <w:szCs w:val="22"/>
          <w:lang w:val="sr-Latn-ME"/>
        </w:rPr>
        <w:t xml:space="preserve">e, a ključni sekundarni parametar praćenja bila je stopa MMR-a nakon 96 </w:t>
      </w:r>
      <w:r w:rsidR="0094593A" w:rsidRPr="00F234A2">
        <w:rPr>
          <w:sz w:val="22"/>
          <w:szCs w:val="22"/>
          <w:lang w:val="sr-Latn-ME"/>
        </w:rPr>
        <w:t>nedjelj</w:t>
      </w:r>
      <w:r w:rsidRPr="00F234A2">
        <w:rPr>
          <w:sz w:val="22"/>
          <w:szCs w:val="22"/>
          <w:lang w:val="sr-Latn-ME"/>
        </w:rPr>
        <w:t xml:space="preserve">a. MMR je definisan kao BCR::ABL1 IS odnos ≤0,1%. Drugi sekundarni parametri praćenja bili su stope CCyR-a nakon 24 i 96 </w:t>
      </w:r>
      <w:r w:rsidR="0094593A" w:rsidRPr="00F234A2">
        <w:rPr>
          <w:sz w:val="22"/>
          <w:szCs w:val="22"/>
          <w:lang w:val="sr-Latn-ME"/>
        </w:rPr>
        <w:t>nedjelj</w:t>
      </w:r>
      <w:r w:rsidRPr="00F234A2">
        <w:rPr>
          <w:sz w:val="22"/>
          <w:szCs w:val="22"/>
          <w:lang w:val="sr-Latn-ME"/>
        </w:rPr>
        <w:t>e, definisane kao nepostojanje Philadelphia pozitivnih metafaza u koštanoj srži za najmanje 20 pregledanih metafaza.</w:t>
      </w:r>
    </w:p>
    <w:p w14:paraId="0988FC8B" w14:textId="77777777" w:rsidR="00AF310E" w:rsidRPr="00F234A2" w:rsidRDefault="00AF310E" w:rsidP="0095542C">
      <w:pPr>
        <w:tabs>
          <w:tab w:val="left" w:pos="540"/>
          <w:tab w:val="left" w:pos="569"/>
        </w:tabs>
        <w:jc w:val="both"/>
        <w:rPr>
          <w:b/>
          <w:bCs/>
          <w:sz w:val="22"/>
          <w:szCs w:val="22"/>
          <w:lang w:val="sr-Latn-ME"/>
        </w:rPr>
      </w:pPr>
    </w:p>
    <w:p w14:paraId="13669767" w14:textId="674D134C" w:rsidR="00AF310E" w:rsidRPr="00F234A2" w:rsidRDefault="00AF310E" w:rsidP="0095542C">
      <w:pPr>
        <w:tabs>
          <w:tab w:val="left" w:pos="540"/>
          <w:tab w:val="left" w:pos="569"/>
        </w:tabs>
        <w:jc w:val="both"/>
        <w:rPr>
          <w:sz w:val="22"/>
          <w:szCs w:val="22"/>
          <w:lang w:val="sr-Latn-ME"/>
        </w:rPr>
      </w:pPr>
      <w:r w:rsidRPr="00F234A2">
        <w:rPr>
          <w:sz w:val="22"/>
          <w:szCs w:val="22"/>
          <w:lang w:val="sr-Latn-ME"/>
        </w:rPr>
        <w:t>Glavni ishodi efikasnosti kliničkog ispitivanja ASCEMBL sažeti su u Tabeli 3.</w:t>
      </w:r>
    </w:p>
    <w:p w14:paraId="43E28735" w14:textId="5F3FB5E9" w:rsidR="00AF310E" w:rsidRPr="00F234A2" w:rsidRDefault="00AF310E" w:rsidP="0095542C">
      <w:pPr>
        <w:tabs>
          <w:tab w:val="left" w:pos="540"/>
          <w:tab w:val="left" w:pos="569"/>
        </w:tabs>
        <w:jc w:val="both"/>
        <w:rPr>
          <w:b/>
          <w:bCs/>
          <w:sz w:val="22"/>
          <w:szCs w:val="22"/>
          <w:lang w:val="sr-Latn-ME"/>
        </w:rPr>
      </w:pPr>
    </w:p>
    <w:p w14:paraId="478FE73C" w14:textId="6A74F934" w:rsidR="00AF310E" w:rsidRPr="00F234A2" w:rsidRDefault="00AF310E" w:rsidP="0095542C">
      <w:pPr>
        <w:tabs>
          <w:tab w:val="left" w:pos="540"/>
          <w:tab w:val="left" w:pos="569"/>
        </w:tabs>
        <w:jc w:val="both"/>
        <w:rPr>
          <w:b/>
          <w:bCs/>
          <w:sz w:val="22"/>
          <w:szCs w:val="22"/>
          <w:lang w:val="sr-Latn-ME"/>
        </w:rPr>
      </w:pPr>
      <w:r w:rsidRPr="00F234A2">
        <w:rPr>
          <w:b/>
          <w:bCs/>
          <w:sz w:val="22"/>
          <w:szCs w:val="22"/>
          <w:lang w:val="sr-Latn-ME"/>
        </w:rPr>
        <w:t>Tabela 3</w:t>
      </w:r>
      <w:r w:rsidR="00B24281">
        <w:rPr>
          <w:b/>
          <w:bCs/>
          <w:sz w:val="22"/>
          <w:szCs w:val="22"/>
          <w:lang w:val="sr-Latn-ME"/>
        </w:rPr>
        <w:t xml:space="preserve"> </w:t>
      </w:r>
      <w:r w:rsidRPr="00F234A2">
        <w:rPr>
          <w:b/>
          <w:bCs/>
          <w:sz w:val="22"/>
          <w:szCs w:val="22"/>
          <w:lang w:val="sr-Latn-ME"/>
        </w:rPr>
        <w:t xml:space="preserve">Rezultati efikasnosti kod pacijenata </w:t>
      </w:r>
      <w:r w:rsidR="00472E1C" w:rsidRPr="00F234A2">
        <w:rPr>
          <w:b/>
          <w:bCs/>
          <w:sz w:val="22"/>
          <w:szCs w:val="22"/>
          <w:lang w:val="sr-Latn-ME"/>
        </w:rPr>
        <w:t>liječ</w:t>
      </w:r>
      <w:r w:rsidRPr="00F234A2">
        <w:rPr>
          <w:b/>
          <w:bCs/>
          <w:sz w:val="22"/>
          <w:szCs w:val="22"/>
          <w:lang w:val="sr-Latn-ME"/>
        </w:rPr>
        <w:t>enih sa dva ili više inhibitora tirozin kinaze (ASCEMBL)</w:t>
      </w:r>
    </w:p>
    <w:tbl>
      <w:tblPr>
        <w:tblW w:w="9133" w:type="dxa"/>
        <w:tblBorders>
          <w:top w:val="single" w:sz="4" w:space="0" w:color="auto"/>
          <w:bottom w:val="single" w:sz="4" w:space="0" w:color="auto"/>
        </w:tblBorders>
        <w:tblLayout w:type="fixed"/>
        <w:tblLook w:val="04A0" w:firstRow="1" w:lastRow="0" w:firstColumn="1" w:lastColumn="0" w:noHBand="0" w:noVBand="1"/>
      </w:tblPr>
      <w:tblGrid>
        <w:gridCol w:w="2376"/>
        <w:gridCol w:w="1800"/>
        <w:gridCol w:w="1710"/>
        <w:gridCol w:w="1620"/>
        <w:gridCol w:w="1627"/>
      </w:tblGrid>
      <w:tr w:rsidR="00AF310E" w:rsidRPr="00F234A2" w14:paraId="1B9EF24D" w14:textId="77777777" w:rsidTr="00304249">
        <w:trPr>
          <w:cantSplit/>
        </w:trPr>
        <w:tc>
          <w:tcPr>
            <w:tcW w:w="2376" w:type="dxa"/>
            <w:tcBorders>
              <w:top w:val="single" w:sz="4" w:space="0" w:color="auto"/>
              <w:left w:val="nil"/>
              <w:bottom w:val="single" w:sz="4" w:space="0" w:color="auto"/>
              <w:right w:val="nil"/>
            </w:tcBorders>
            <w:vAlign w:val="center"/>
          </w:tcPr>
          <w:p w14:paraId="372CD86F" w14:textId="77777777" w:rsidR="00AF310E" w:rsidRPr="00F234A2" w:rsidRDefault="00AF310E" w:rsidP="00304249">
            <w:pPr>
              <w:pStyle w:val="Table"/>
              <w:keepNext/>
              <w:spacing w:before="0" w:after="0"/>
              <w:jc w:val="center"/>
              <w:rPr>
                <w:rFonts w:ascii="Times New Roman" w:hAnsi="Times New Roman" w:cs="Times New Roman"/>
                <w:sz w:val="22"/>
                <w:szCs w:val="22"/>
                <w:lang w:val="sr-Latn-ME"/>
              </w:rPr>
            </w:pPr>
          </w:p>
        </w:tc>
        <w:tc>
          <w:tcPr>
            <w:tcW w:w="1800" w:type="dxa"/>
            <w:tcBorders>
              <w:top w:val="single" w:sz="4" w:space="0" w:color="auto"/>
              <w:left w:val="nil"/>
              <w:bottom w:val="single" w:sz="4" w:space="0" w:color="auto"/>
              <w:right w:val="nil"/>
            </w:tcBorders>
            <w:vAlign w:val="center"/>
            <w:hideMark/>
          </w:tcPr>
          <w:p w14:paraId="4E77F24A" w14:textId="77777777" w:rsidR="00AF310E" w:rsidRPr="00F234A2" w:rsidRDefault="00AF310E" w:rsidP="00304249">
            <w:pPr>
              <w:pStyle w:val="Table"/>
              <w:keepNext/>
              <w:spacing w:before="0" w:after="0"/>
              <w:jc w:val="center"/>
              <w:rPr>
                <w:rFonts w:ascii="Times New Roman" w:eastAsia="MS Gothic" w:hAnsi="Times New Roman" w:cs="Times New Roman"/>
                <w:b/>
                <w:sz w:val="22"/>
                <w:szCs w:val="22"/>
                <w:lang w:val="sr-Latn-ME"/>
              </w:rPr>
            </w:pPr>
            <w:r w:rsidRPr="00F234A2">
              <w:rPr>
                <w:rFonts w:ascii="Times New Roman" w:eastAsia="MS Gothic" w:hAnsi="Times New Roman" w:cs="Times New Roman"/>
                <w:b/>
                <w:sz w:val="22"/>
                <w:szCs w:val="22"/>
                <w:lang w:val="sr-Latn-ME"/>
              </w:rPr>
              <w:t>Asciminib</w:t>
            </w:r>
          </w:p>
          <w:p w14:paraId="6A96E429" w14:textId="77777777" w:rsidR="00AF310E" w:rsidRPr="00F234A2" w:rsidRDefault="00AF310E" w:rsidP="00304249">
            <w:pPr>
              <w:pStyle w:val="Table"/>
              <w:keepNext/>
              <w:spacing w:before="0" w:after="0"/>
              <w:jc w:val="center"/>
              <w:rPr>
                <w:rFonts w:ascii="Times New Roman" w:eastAsia="MS Gothic" w:hAnsi="Times New Roman" w:cs="Times New Roman"/>
                <w:b/>
                <w:sz w:val="22"/>
                <w:szCs w:val="22"/>
                <w:lang w:val="sr-Latn-ME"/>
              </w:rPr>
            </w:pPr>
            <w:r w:rsidRPr="00F234A2">
              <w:rPr>
                <w:rFonts w:ascii="Times New Roman" w:eastAsia="MS Gothic" w:hAnsi="Times New Roman" w:cs="Times New Roman"/>
                <w:b/>
                <w:sz w:val="22"/>
                <w:szCs w:val="22"/>
                <w:lang w:val="sr-Latn-ME"/>
              </w:rPr>
              <w:t>40 mg</w:t>
            </w:r>
          </w:p>
          <w:p w14:paraId="39BBEC96" w14:textId="77777777" w:rsidR="00AF310E" w:rsidRPr="00F234A2" w:rsidRDefault="00AF310E" w:rsidP="00304249">
            <w:pPr>
              <w:pStyle w:val="Table"/>
              <w:keepNext/>
              <w:spacing w:before="0" w:after="0"/>
              <w:jc w:val="center"/>
              <w:rPr>
                <w:rFonts w:ascii="Times New Roman" w:eastAsia="MS Gothic" w:hAnsi="Times New Roman" w:cs="Times New Roman"/>
                <w:b/>
                <w:sz w:val="22"/>
                <w:szCs w:val="22"/>
                <w:lang w:val="sr-Latn-ME"/>
              </w:rPr>
            </w:pPr>
            <w:r w:rsidRPr="00F234A2">
              <w:rPr>
                <w:rFonts w:ascii="Times New Roman" w:eastAsia="MS Gothic" w:hAnsi="Times New Roman" w:cs="Times New Roman"/>
                <w:b/>
                <w:sz w:val="22"/>
                <w:szCs w:val="22"/>
                <w:lang w:val="sr-Latn-ME"/>
              </w:rPr>
              <w:t>dva puta na dan</w:t>
            </w:r>
          </w:p>
        </w:tc>
        <w:tc>
          <w:tcPr>
            <w:tcW w:w="1710" w:type="dxa"/>
            <w:tcBorders>
              <w:top w:val="single" w:sz="4" w:space="0" w:color="auto"/>
              <w:left w:val="nil"/>
              <w:bottom w:val="single" w:sz="4" w:space="0" w:color="auto"/>
              <w:right w:val="nil"/>
            </w:tcBorders>
            <w:vAlign w:val="center"/>
            <w:hideMark/>
          </w:tcPr>
          <w:p w14:paraId="796FFB59" w14:textId="77777777" w:rsidR="00AF310E" w:rsidRPr="00F234A2" w:rsidRDefault="00AF310E" w:rsidP="00304249">
            <w:pPr>
              <w:pStyle w:val="Table"/>
              <w:keepNext/>
              <w:spacing w:before="0" w:after="0"/>
              <w:jc w:val="center"/>
              <w:rPr>
                <w:rFonts w:ascii="Times New Roman" w:eastAsia="MS Gothic" w:hAnsi="Times New Roman" w:cs="Times New Roman"/>
                <w:b/>
                <w:sz w:val="22"/>
                <w:szCs w:val="22"/>
                <w:lang w:val="sr-Latn-ME"/>
              </w:rPr>
            </w:pPr>
            <w:r w:rsidRPr="00F234A2">
              <w:rPr>
                <w:rFonts w:ascii="Times New Roman" w:eastAsia="MS Gothic" w:hAnsi="Times New Roman" w:cs="Times New Roman"/>
                <w:b/>
                <w:sz w:val="22"/>
                <w:szCs w:val="22"/>
                <w:lang w:val="sr-Latn-ME"/>
              </w:rPr>
              <w:t>Bosutinib</w:t>
            </w:r>
          </w:p>
          <w:p w14:paraId="580A82C3" w14:textId="77777777" w:rsidR="00AF310E" w:rsidRPr="00F234A2" w:rsidRDefault="00AF310E" w:rsidP="00304249">
            <w:pPr>
              <w:pStyle w:val="Table"/>
              <w:keepNext/>
              <w:spacing w:before="0" w:after="0"/>
              <w:jc w:val="center"/>
              <w:rPr>
                <w:rFonts w:ascii="Times New Roman" w:eastAsia="MS Gothic" w:hAnsi="Times New Roman" w:cs="Times New Roman"/>
                <w:b/>
                <w:sz w:val="22"/>
                <w:szCs w:val="22"/>
                <w:lang w:val="sr-Latn-ME"/>
              </w:rPr>
            </w:pPr>
            <w:r w:rsidRPr="00F234A2">
              <w:rPr>
                <w:rFonts w:ascii="Times New Roman" w:eastAsia="MS Gothic" w:hAnsi="Times New Roman" w:cs="Times New Roman"/>
                <w:b/>
                <w:sz w:val="22"/>
                <w:szCs w:val="22"/>
                <w:lang w:val="sr-Latn-ME"/>
              </w:rPr>
              <w:t>500 mg</w:t>
            </w:r>
          </w:p>
          <w:p w14:paraId="26474F61" w14:textId="77777777" w:rsidR="00AF310E" w:rsidRPr="00F234A2" w:rsidRDefault="00AF310E" w:rsidP="00304249">
            <w:pPr>
              <w:pStyle w:val="Table"/>
              <w:keepNext/>
              <w:spacing w:before="0" w:after="0"/>
              <w:jc w:val="center"/>
              <w:rPr>
                <w:rFonts w:ascii="Times New Roman" w:eastAsia="MS Gothic" w:hAnsi="Times New Roman" w:cs="Times New Roman"/>
                <w:b/>
                <w:sz w:val="22"/>
                <w:szCs w:val="22"/>
                <w:lang w:val="sr-Latn-ME"/>
              </w:rPr>
            </w:pPr>
            <w:r w:rsidRPr="00F234A2">
              <w:rPr>
                <w:rFonts w:ascii="Times New Roman" w:eastAsia="MS Gothic" w:hAnsi="Times New Roman" w:cs="Times New Roman"/>
                <w:b/>
                <w:sz w:val="22"/>
                <w:szCs w:val="22"/>
                <w:lang w:val="sr-Latn-ME"/>
              </w:rPr>
              <w:t>jednom na dan</w:t>
            </w:r>
          </w:p>
        </w:tc>
        <w:tc>
          <w:tcPr>
            <w:tcW w:w="1620" w:type="dxa"/>
            <w:tcBorders>
              <w:top w:val="single" w:sz="4" w:space="0" w:color="auto"/>
              <w:left w:val="nil"/>
              <w:bottom w:val="single" w:sz="4" w:space="0" w:color="auto"/>
              <w:right w:val="nil"/>
            </w:tcBorders>
            <w:vAlign w:val="center"/>
            <w:hideMark/>
          </w:tcPr>
          <w:p w14:paraId="18BCFC3B" w14:textId="77777777" w:rsidR="00AF310E" w:rsidRPr="00F234A2" w:rsidRDefault="00AF310E" w:rsidP="00304249">
            <w:pPr>
              <w:pStyle w:val="Table"/>
              <w:keepNext/>
              <w:spacing w:before="0" w:after="0"/>
              <w:jc w:val="center"/>
              <w:rPr>
                <w:rFonts w:ascii="Times New Roman" w:eastAsia="MS Gothic" w:hAnsi="Times New Roman" w:cs="Times New Roman"/>
                <w:b/>
                <w:sz w:val="22"/>
                <w:szCs w:val="22"/>
                <w:lang w:val="sr-Latn-ME"/>
              </w:rPr>
            </w:pPr>
            <w:r w:rsidRPr="00F234A2">
              <w:rPr>
                <w:rFonts w:ascii="Times New Roman" w:eastAsia="MS Gothic" w:hAnsi="Times New Roman" w:cs="Times New Roman"/>
                <w:b/>
                <w:sz w:val="22"/>
                <w:szCs w:val="22"/>
                <w:lang w:val="sr-Latn-ME"/>
              </w:rPr>
              <w:t>Razlika (95% CI)</w:t>
            </w:r>
            <w:r w:rsidRPr="00F234A2">
              <w:rPr>
                <w:rFonts w:ascii="Times New Roman" w:eastAsia="MS Gothic" w:hAnsi="Times New Roman" w:cs="Times New Roman"/>
                <w:b/>
                <w:sz w:val="22"/>
                <w:szCs w:val="22"/>
                <w:vertAlign w:val="superscript"/>
                <w:lang w:val="sr-Latn-ME"/>
              </w:rPr>
              <w:t>1</w:t>
            </w:r>
          </w:p>
        </w:tc>
        <w:tc>
          <w:tcPr>
            <w:tcW w:w="1627" w:type="dxa"/>
            <w:tcBorders>
              <w:top w:val="single" w:sz="4" w:space="0" w:color="auto"/>
              <w:left w:val="nil"/>
              <w:bottom w:val="single" w:sz="4" w:space="0" w:color="auto"/>
              <w:right w:val="nil"/>
            </w:tcBorders>
            <w:vAlign w:val="center"/>
            <w:hideMark/>
          </w:tcPr>
          <w:p w14:paraId="25251B8F" w14:textId="61A7A781" w:rsidR="00AF310E" w:rsidRPr="00F234A2" w:rsidRDefault="00AF310E" w:rsidP="00304249">
            <w:pPr>
              <w:pStyle w:val="Table"/>
              <w:keepNext/>
              <w:spacing w:before="0" w:after="0"/>
              <w:jc w:val="center"/>
              <w:rPr>
                <w:rFonts w:ascii="Times New Roman" w:eastAsia="MS Gothic" w:hAnsi="Times New Roman" w:cs="Times New Roman"/>
                <w:b/>
                <w:sz w:val="22"/>
                <w:szCs w:val="22"/>
                <w:lang w:val="sr-Latn-ME"/>
              </w:rPr>
            </w:pPr>
            <w:r w:rsidRPr="00F234A2">
              <w:rPr>
                <w:rFonts w:ascii="Times New Roman" w:eastAsia="MS Gothic" w:hAnsi="Times New Roman" w:cs="Times New Roman"/>
                <w:b/>
                <w:sz w:val="22"/>
                <w:szCs w:val="22"/>
                <w:lang w:val="sr-Latn-ME"/>
              </w:rPr>
              <w:t>p</w:t>
            </w:r>
            <w:r w:rsidRPr="00F234A2">
              <w:rPr>
                <w:rFonts w:ascii="Times New Roman" w:eastAsia="MS Gothic" w:hAnsi="Times New Roman" w:cs="Times New Roman"/>
                <w:b/>
                <w:sz w:val="22"/>
                <w:szCs w:val="22"/>
                <w:lang w:val="sr-Latn-ME"/>
              </w:rPr>
              <w:noBreakHyphen/>
            </w:r>
            <w:r w:rsidR="00472E1C" w:rsidRPr="00F234A2">
              <w:rPr>
                <w:rFonts w:ascii="Times New Roman" w:eastAsia="MS Gothic" w:hAnsi="Times New Roman" w:cs="Times New Roman"/>
                <w:b/>
                <w:sz w:val="22"/>
                <w:szCs w:val="22"/>
                <w:lang w:val="sr-Latn-ME"/>
              </w:rPr>
              <w:t>vrijedno</w:t>
            </w:r>
            <w:r w:rsidRPr="00F234A2">
              <w:rPr>
                <w:rFonts w:ascii="Times New Roman" w:eastAsia="MS Gothic" w:hAnsi="Times New Roman" w:cs="Times New Roman"/>
                <w:b/>
                <w:sz w:val="22"/>
                <w:szCs w:val="22"/>
                <w:lang w:val="sr-Latn-ME"/>
              </w:rPr>
              <w:t>st</w:t>
            </w:r>
          </w:p>
        </w:tc>
      </w:tr>
      <w:tr w:rsidR="00AF310E" w:rsidRPr="00F234A2" w14:paraId="1A63FD04" w14:textId="77777777" w:rsidTr="00304249">
        <w:trPr>
          <w:cantSplit/>
        </w:trPr>
        <w:tc>
          <w:tcPr>
            <w:tcW w:w="2376" w:type="dxa"/>
            <w:tcBorders>
              <w:top w:val="single" w:sz="4" w:space="0" w:color="auto"/>
              <w:left w:val="nil"/>
              <w:bottom w:val="single" w:sz="4" w:space="0" w:color="auto"/>
              <w:right w:val="nil"/>
            </w:tcBorders>
          </w:tcPr>
          <w:p w14:paraId="3BC23409" w14:textId="77777777" w:rsidR="00AF310E" w:rsidRPr="00F234A2" w:rsidRDefault="00AF310E" w:rsidP="00304249">
            <w:pPr>
              <w:pStyle w:val="Table"/>
              <w:keepNext/>
              <w:spacing w:before="0" w:after="0"/>
              <w:rPr>
                <w:rFonts w:ascii="Times New Roman" w:eastAsia="MS Gothic" w:hAnsi="Times New Roman" w:cs="Times New Roman"/>
                <w:sz w:val="22"/>
                <w:szCs w:val="22"/>
                <w:lang w:val="sr-Latn-ME"/>
              </w:rPr>
            </w:pPr>
          </w:p>
          <w:p w14:paraId="245322B9" w14:textId="03C23B5B" w:rsidR="00AF310E" w:rsidRPr="00F234A2" w:rsidRDefault="00AF310E" w:rsidP="00304249">
            <w:pPr>
              <w:pStyle w:val="Table"/>
              <w:keepNext/>
              <w:spacing w:before="0" w:after="0"/>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Stopa MMR</w:t>
            </w:r>
            <w:r w:rsidRPr="00F234A2">
              <w:rPr>
                <w:rFonts w:ascii="Times New Roman" w:eastAsia="MS Gothic" w:hAnsi="Times New Roman" w:cs="Times New Roman"/>
                <w:sz w:val="22"/>
                <w:szCs w:val="22"/>
                <w:lang w:val="sr-Latn-ME"/>
              </w:rPr>
              <w:noBreakHyphen/>
              <w:t>a,% (95% CI) nakon 24 </w:t>
            </w:r>
            <w:r w:rsidR="0094593A" w:rsidRPr="00F234A2">
              <w:rPr>
                <w:rFonts w:ascii="Times New Roman" w:eastAsia="MS Gothic" w:hAnsi="Times New Roman" w:cs="Times New Roman"/>
                <w:sz w:val="22"/>
                <w:szCs w:val="22"/>
                <w:lang w:val="sr-Latn-ME"/>
              </w:rPr>
              <w:t>nedjelj</w:t>
            </w:r>
            <w:r w:rsidRPr="00F234A2">
              <w:rPr>
                <w:rFonts w:ascii="Times New Roman" w:eastAsia="MS Gothic" w:hAnsi="Times New Roman" w:cs="Times New Roman"/>
                <w:sz w:val="22"/>
                <w:szCs w:val="22"/>
                <w:lang w:val="sr-Latn-ME"/>
              </w:rPr>
              <w:t>e</w:t>
            </w:r>
          </w:p>
        </w:tc>
        <w:tc>
          <w:tcPr>
            <w:tcW w:w="1800" w:type="dxa"/>
            <w:tcBorders>
              <w:top w:val="single" w:sz="4" w:space="0" w:color="auto"/>
              <w:left w:val="nil"/>
              <w:bottom w:val="single" w:sz="4" w:space="0" w:color="auto"/>
              <w:right w:val="nil"/>
            </w:tcBorders>
            <w:hideMark/>
          </w:tcPr>
          <w:p w14:paraId="2467EACD"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b/>
                <w:sz w:val="22"/>
                <w:szCs w:val="22"/>
                <w:lang w:val="sr-Latn-ME"/>
              </w:rPr>
              <w:t>N=157</w:t>
            </w:r>
          </w:p>
          <w:p w14:paraId="41A77AE9"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25,48</w:t>
            </w:r>
          </w:p>
          <w:p w14:paraId="51231E93"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(18,87; 33,04)</w:t>
            </w:r>
          </w:p>
        </w:tc>
        <w:tc>
          <w:tcPr>
            <w:tcW w:w="1710" w:type="dxa"/>
            <w:tcBorders>
              <w:top w:val="single" w:sz="4" w:space="0" w:color="auto"/>
              <w:left w:val="nil"/>
              <w:bottom w:val="single" w:sz="4" w:space="0" w:color="auto"/>
              <w:right w:val="nil"/>
            </w:tcBorders>
            <w:hideMark/>
          </w:tcPr>
          <w:p w14:paraId="4B58D6C0"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b/>
                <w:sz w:val="22"/>
                <w:szCs w:val="22"/>
                <w:lang w:val="sr-Latn-ME"/>
              </w:rPr>
              <w:t>N=76</w:t>
            </w:r>
          </w:p>
          <w:p w14:paraId="2A336C6D"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13,16</w:t>
            </w:r>
          </w:p>
          <w:p w14:paraId="11D361ED"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(6,49; 22,87)</w:t>
            </w:r>
          </w:p>
        </w:tc>
        <w:tc>
          <w:tcPr>
            <w:tcW w:w="1620" w:type="dxa"/>
            <w:tcBorders>
              <w:top w:val="single" w:sz="4" w:space="0" w:color="auto"/>
              <w:left w:val="nil"/>
              <w:bottom w:val="single" w:sz="4" w:space="0" w:color="auto"/>
              <w:right w:val="nil"/>
            </w:tcBorders>
            <w:vAlign w:val="center"/>
            <w:hideMark/>
          </w:tcPr>
          <w:p w14:paraId="756069C8"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12,24</w:t>
            </w:r>
          </w:p>
          <w:p w14:paraId="0EC70FB3"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(2,19; 22,30)</w:t>
            </w:r>
          </w:p>
        </w:tc>
        <w:tc>
          <w:tcPr>
            <w:tcW w:w="1627" w:type="dxa"/>
            <w:tcBorders>
              <w:top w:val="single" w:sz="4" w:space="0" w:color="auto"/>
              <w:left w:val="nil"/>
              <w:bottom w:val="single" w:sz="4" w:space="0" w:color="auto"/>
              <w:right w:val="nil"/>
            </w:tcBorders>
            <w:vAlign w:val="center"/>
            <w:hideMark/>
          </w:tcPr>
          <w:p w14:paraId="05B20B31"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0,029</w:t>
            </w:r>
            <w:r w:rsidRPr="00F234A2">
              <w:rPr>
                <w:rFonts w:ascii="Times New Roman" w:eastAsia="MS Gothic" w:hAnsi="Times New Roman" w:cs="Times New Roman"/>
                <w:sz w:val="22"/>
                <w:szCs w:val="22"/>
                <w:vertAlign w:val="superscript"/>
                <w:lang w:val="sr-Latn-ME"/>
              </w:rPr>
              <w:t>2</w:t>
            </w:r>
          </w:p>
        </w:tc>
      </w:tr>
      <w:tr w:rsidR="00AF310E" w:rsidRPr="00F234A2" w14:paraId="24B2717A" w14:textId="77777777" w:rsidTr="00304249">
        <w:trPr>
          <w:cantSplit/>
        </w:trPr>
        <w:tc>
          <w:tcPr>
            <w:tcW w:w="2376" w:type="dxa"/>
            <w:tcBorders>
              <w:top w:val="single" w:sz="4" w:space="0" w:color="auto"/>
              <w:left w:val="nil"/>
              <w:bottom w:val="single" w:sz="4" w:space="0" w:color="auto"/>
              <w:right w:val="nil"/>
            </w:tcBorders>
            <w:hideMark/>
          </w:tcPr>
          <w:p w14:paraId="08EE4E5C" w14:textId="3CF88E40" w:rsidR="00AF310E" w:rsidRPr="00F234A2" w:rsidRDefault="00AF310E" w:rsidP="00304249">
            <w:pPr>
              <w:pStyle w:val="Table"/>
              <w:keepNext/>
              <w:spacing w:before="0" w:after="0"/>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Stopa MMR</w:t>
            </w:r>
            <w:r w:rsidRPr="00F234A2">
              <w:rPr>
                <w:rFonts w:ascii="Times New Roman" w:eastAsia="MS Gothic" w:hAnsi="Times New Roman" w:cs="Times New Roman"/>
                <w:sz w:val="22"/>
                <w:szCs w:val="22"/>
                <w:lang w:val="sr-Latn-ME"/>
              </w:rPr>
              <w:noBreakHyphen/>
              <w:t>a,% (95% CI) nakon 96 </w:t>
            </w:r>
            <w:r w:rsidR="0094593A" w:rsidRPr="00F234A2">
              <w:rPr>
                <w:rFonts w:ascii="Times New Roman" w:eastAsia="MS Gothic" w:hAnsi="Times New Roman" w:cs="Times New Roman"/>
                <w:sz w:val="22"/>
                <w:szCs w:val="22"/>
                <w:lang w:val="sr-Latn-ME"/>
              </w:rPr>
              <w:t>nedjelj</w:t>
            </w:r>
            <w:r w:rsidRPr="00F234A2">
              <w:rPr>
                <w:rFonts w:ascii="Times New Roman" w:eastAsia="MS Gothic" w:hAnsi="Times New Roman" w:cs="Times New Roman"/>
                <w:sz w:val="22"/>
                <w:szCs w:val="22"/>
                <w:lang w:val="sr-Latn-ME"/>
              </w:rPr>
              <w:t>a</w:t>
            </w:r>
          </w:p>
        </w:tc>
        <w:tc>
          <w:tcPr>
            <w:tcW w:w="1800" w:type="dxa"/>
            <w:tcBorders>
              <w:top w:val="single" w:sz="4" w:space="0" w:color="auto"/>
              <w:left w:val="nil"/>
              <w:bottom w:val="single" w:sz="4" w:space="0" w:color="auto"/>
              <w:right w:val="nil"/>
            </w:tcBorders>
            <w:vAlign w:val="center"/>
            <w:hideMark/>
          </w:tcPr>
          <w:p w14:paraId="3940D2F9"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37,58</w:t>
            </w:r>
          </w:p>
          <w:p w14:paraId="06EA731A"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(29,99; 45,65)</w:t>
            </w:r>
          </w:p>
        </w:tc>
        <w:tc>
          <w:tcPr>
            <w:tcW w:w="1710" w:type="dxa"/>
            <w:tcBorders>
              <w:top w:val="single" w:sz="4" w:space="0" w:color="auto"/>
              <w:left w:val="nil"/>
              <w:bottom w:val="single" w:sz="4" w:space="0" w:color="auto"/>
              <w:right w:val="nil"/>
            </w:tcBorders>
            <w:vAlign w:val="center"/>
            <w:hideMark/>
          </w:tcPr>
          <w:p w14:paraId="6B4E5B59"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15,79</w:t>
            </w:r>
          </w:p>
          <w:p w14:paraId="38135A4C"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(8,43; 25,96)</w:t>
            </w:r>
          </w:p>
        </w:tc>
        <w:tc>
          <w:tcPr>
            <w:tcW w:w="1620" w:type="dxa"/>
            <w:tcBorders>
              <w:top w:val="single" w:sz="4" w:space="0" w:color="auto"/>
              <w:left w:val="nil"/>
              <w:bottom w:val="single" w:sz="4" w:space="0" w:color="auto"/>
              <w:right w:val="nil"/>
            </w:tcBorders>
            <w:vAlign w:val="center"/>
            <w:hideMark/>
          </w:tcPr>
          <w:p w14:paraId="597BDDEA"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21,74</w:t>
            </w:r>
          </w:p>
          <w:p w14:paraId="7FFD3EB5"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(10,53; 32,95)</w:t>
            </w:r>
          </w:p>
        </w:tc>
        <w:tc>
          <w:tcPr>
            <w:tcW w:w="1627" w:type="dxa"/>
            <w:tcBorders>
              <w:top w:val="single" w:sz="4" w:space="0" w:color="auto"/>
              <w:left w:val="nil"/>
              <w:bottom w:val="single" w:sz="4" w:space="0" w:color="auto"/>
              <w:right w:val="nil"/>
            </w:tcBorders>
            <w:vAlign w:val="center"/>
            <w:hideMark/>
          </w:tcPr>
          <w:p w14:paraId="315BAAC1"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0,001</w:t>
            </w:r>
            <w:r w:rsidRPr="00F234A2">
              <w:rPr>
                <w:rFonts w:ascii="Times New Roman" w:eastAsia="MS Gothic" w:hAnsi="Times New Roman" w:cs="Times New Roman"/>
                <w:sz w:val="22"/>
                <w:szCs w:val="22"/>
                <w:vertAlign w:val="superscript"/>
                <w:lang w:val="sr-Latn-ME"/>
              </w:rPr>
              <w:t>2</w:t>
            </w:r>
          </w:p>
        </w:tc>
      </w:tr>
      <w:tr w:rsidR="00AF310E" w:rsidRPr="00F234A2" w14:paraId="46F2C5E3" w14:textId="77777777" w:rsidTr="00304249">
        <w:trPr>
          <w:cantSplit/>
        </w:trPr>
        <w:tc>
          <w:tcPr>
            <w:tcW w:w="2376" w:type="dxa"/>
            <w:tcBorders>
              <w:top w:val="single" w:sz="4" w:space="0" w:color="auto"/>
              <w:left w:val="nil"/>
              <w:bottom w:val="single" w:sz="4" w:space="0" w:color="auto"/>
              <w:right w:val="nil"/>
            </w:tcBorders>
          </w:tcPr>
          <w:p w14:paraId="6CB8141C" w14:textId="77777777" w:rsidR="00AF310E" w:rsidRPr="00F234A2" w:rsidRDefault="00AF310E" w:rsidP="00304249">
            <w:pPr>
              <w:pStyle w:val="Table"/>
              <w:keepNext/>
              <w:spacing w:before="0" w:after="0"/>
              <w:rPr>
                <w:rFonts w:ascii="Times New Roman" w:eastAsia="MS Gothic" w:hAnsi="Times New Roman" w:cs="Times New Roman"/>
                <w:sz w:val="22"/>
                <w:szCs w:val="22"/>
                <w:lang w:val="sr-Latn-ME"/>
              </w:rPr>
            </w:pPr>
          </w:p>
          <w:p w14:paraId="6CE85840" w14:textId="16826B7B" w:rsidR="00AF310E" w:rsidRPr="00F234A2" w:rsidRDefault="00AF310E" w:rsidP="00304249">
            <w:pPr>
              <w:pStyle w:val="Table"/>
              <w:keepNext/>
              <w:spacing w:before="0" w:after="0"/>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Stopa CCyR</w:t>
            </w:r>
            <w:r w:rsidRPr="00F234A2">
              <w:rPr>
                <w:rFonts w:ascii="Times New Roman" w:eastAsia="MS Gothic" w:hAnsi="Times New Roman" w:cs="Times New Roman"/>
                <w:sz w:val="22"/>
                <w:szCs w:val="22"/>
                <w:lang w:val="sr-Latn-ME"/>
              </w:rPr>
              <w:noBreakHyphen/>
              <w:t>a,% (95% CI) nakon 24 </w:t>
            </w:r>
            <w:r w:rsidR="0094593A" w:rsidRPr="00F234A2">
              <w:rPr>
                <w:rFonts w:ascii="Times New Roman" w:eastAsia="MS Gothic" w:hAnsi="Times New Roman" w:cs="Times New Roman"/>
                <w:sz w:val="22"/>
                <w:szCs w:val="22"/>
                <w:lang w:val="sr-Latn-ME"/>
              </w:rPr>
              <w:t>nedjelj</w:t>
            </w:r>
            <w:r w:rsidRPr="00F234A2">
              <w:rPr>
                <w:rFonts w:ascii="Times New Roman" w:eastAsia="MS Gothic" w:hAnsi="Times New Roman" w:cs="Times New Roman"/>
                <w:sz w:val="22"/>
                <w:szCs w:val="22"/>
                <w:lang w:val="sr-Latn-ME"/>
              </w:rPr>
              <w:t>e</w:t>
            </w:r>
          </w:p>
        </w:tc>
        <w:tc>
          <w:tcPr>
            <w:tcW w:w="1800" w:type="dxa"/>
            <w:tcBorders>
              <w:top w:val="single" w:sz="4" w:space="0" w:color="auto"/>
              <w:left w:val="nil"/>
              <w:bottom w:val="single" w:sz="4" w:space="0" w:color="auto"/>
              <w:right w:val="nil"/>
            </w:tcBorders>
            <w:hideMark/>
          </w:tcPr>
          <w:p w14:paraId="288E869D"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b/>
                <w:sz w:val="22"/>
                <w:szCs w:val="22"/>
                <w:lang w:val="sr-Latn-ME"/>
              </w:rPr>
              <w:t>N=103</w:t>
            </w:r>
            <w:r w:rsidRPr="00F234A2">
              <w:rPr>
                <w:rFonts w:ascii="Times New Roman" w:eastAsia="MS Gothic" w:hAnsi="Times New Roman" w:cs="Times New Roman"/>
                <w:b/>
                <w:sz w:val="22"/>
                <w:szCs w:val="22"/>
                <w:vertAlign w:val="superscript"/>
                <w:lang w:val="sr-Latn-ME"/>
              </w:rPr>
              <w:t>3</w:t>
            </w:r>
          </w:p>
          <w:p w14:paraId="7ECEF625"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40,78</w:t>
            </w:r>
          </w:p>
          <w:p w14:paraId="64C5E3B9"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(31,20; 50,90)</w:t>
            </w:r>
          </w:p>
        </w:tc>
        <w:tc>
          <w:tcPr>
            <w:tcW w:w="1710" w:type="dxa"/>
            <w:tcBorders>
              <w:top w:val="single" w:sz="4" w:space="0" w:color="auto"/>
              <w:left w:val="nil"/>
              <w:bottom w:val="single" w:sz="4" w:space="0" w:color="auto"/>
              <w:right w:val="nil"/>
            </w:tcBorders>
            <w:hideMark/>
          </w:tcPr>
          <w:p w14:paraId="16BE1AD5"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b/>
                <w:sz w:val="22"/>
                <w:szCs w:val="22"/>
                <w:lang w:val="sr-Latn-ME"/>
              </w:rPr>
              <w:t>N=62</w:t>
            </w:r>
            <w:r w:rsidRPr="00F234A2">
              <w:rPr>
                <w:rFonts w:ascii="Times New Roman" w:eastAsia="MS Gothic" w:hAnsi="Times New Roman" w:cs="Times New Roman"/>
                <w:b/>
                <w:sz w:val="22"/>
                <w:szCs w:val="22"/>
                <w:vertAlign w:val="superscript"/>
                <w:lang w:val="sr-Latn-ME"/>
              </w:rPr>
              <w:t>3</w:t>
            </w:r>
          </w:p>
          <w:p w14:paraId="16182311"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24,19</w:t>
            </w:r>
          </w:p>
          <w:p w14:paraId="3705F3CE"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(14,22; 36,74)</w:t>
            </w:r>
          </w:p>
        </w:tc>
        <w:tc>
          <w:tcPr>
            <w:tcW w:w="1620" w:type="dxa"/>
            <w:tcBorders>
              <w:top w:val="single" w:sz="4" w:space="0" w:color="auto"/>
              <w:left w:val="nil"/>
              <w:bottom w:val="single" w:sz="4" w:space="0" w:color="auto"/>
              <w:right w:val="nil"/>
            </w:tcBorders>
            <w:vAlign w:val="center"/>
            <w:hideMark/>
          </w:tcPr>
          <w:p w14:paraId="7A66FB40"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17,30</w:t>
            </w:r>
          </w:p>
          <w:p w14:paraId="5BC1C926"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(3,62; 30,99)</w:t>
            </w:r>
          </w:p>
        </w:tc>
        <w:tc>
          <w:tcPr>
            <w:tcW w:w="1627" w:type="dxa"/>
            <w:tcBorders>
              <w:top w:val="single" w:sz="4" w:space="0" w:color="auto"/>
              <w:left w:val="nil"/>
              <w:bottom w:val="single" w:sz="4" w:space="0" w:color="auto"/>
              <w:right w:val="nil"/>
            </w:tcBorders>
            <w:vAlign w:val="center"/>
            <w:hideMark/>
          </w:tcPr>
          <w:p w14:paraId="344E9D3C"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Nije formalno ispitivano</w:t>
            </w:r>
          </w:p>
        </w:tc>
      </w:tr>
      <w:tr w:rsidR="00AF310E" w:rsidRPr="00F234A2" w14:paraId="72D3A68B" w14:textId="77777777" w:rsidTr="00304249">
        <w:trPr>
          <w:cantSplit/>
        </w:trPr>
        <w:tc>
          <w:tcPr>
            <w:tcW w:w="2376" w:type="dxa"/>
            <w:tcBorders>
              <w:top w:val="single" w:sz="4" w:space="0" w:color="auto"/>
              <w:left w:val="nil"/>
              <w:bottom w:val="single" w:sz="4" w:space="0" w:color="auto"/>
              <w:right w:val="nil"/>
            </w:tcBorders>
            <w:hideMark/>
          </w:tcPr>
          <w:p w14:paraId="6A9E6D0E" w14:textId="62656A70" w:rsidR="00AF310E" w:rsidRPr="00F234A2" w:rsidRDefault="00AF310E" w:rsidP="00304249">
            <w:pPr>
              <w:pStyle w:val="Table"/>
              <w:keepNext/>
              <w:spacing w:before="0" w:after="0"/>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Stopa CCyR</w:t>
            </w:r>
            <w:r w:rsidRPr="00F234A2">
              <w:rPr>
                <w:rFonts w:ascii="Times New Roman" w:eastAsia="MS Gothic" w:hAnsi="Times New Roman" w:cs="Times New Roman"/>
                <w:sz w:val="22"/>
                <w:szCs w:val="22"/>
                <w:lang w:val="sr-Latn-ME"/>
              </w:rPr>
              <w:noBreakHyphen/>
              <w:t>a,% (95% CI) nakon 96 </w:t>
            </w:r>
            <w:r w:rsidR="0094593A" w:rsidRPr="00F234A2">
              <w:rPr>
                <w:rFonts w:ascii="Times New Roman" w:eastAsia="MS Gothic" w:hAnsi="Times New Roman" w:cs="Times New Roman"/>
                <w:sz w:val="22"/>
                <w:szCs w:val="22"/>
                <w:lang w:val="sr-Latn-ME"/>
              </w:rPr>
              <w:t>nedjelj</w:t>
            </w:r>
            <w:r w:rsidRPr="00F234A2">
              <w:rPr>
                <w:rFonts w:ascii="Times New Roman" w:eastAsia="MS Gothic" w:hAnsi="Times New Roman" w:cs="Times New Roman"/>
                <w:sz w:val="22"/>
                <w:szCs w:val="22"/>
                <w:lang w:val="sr-Latn-ME"/>
              </w:rPr>
              <w:t>a</w:t>
            </w:r>
          </w:p>
        </w:tc>
        <w:tc>
          <w:tcPr>
            <w:tcW w:w="1800" w:type="dxa"/>
            <w:tcBorders>
              <w:top w:val="single" w:sz="4" w:space="0" w:color="auto"/>
              <w:left w:val="nil"/>
              <w:bottom w:val="single" w:sz="4" w:space="0" w:color="auto"/>
              <w:right w:val="nil"/>
            </w:tcBorders>
            <w:vAlign w:val="center"/>
            <w:hideMark/>
          </w:tcPr>
          <w:p w14:paraId="5ACA98E3"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39,81</w:t>
            </w:r>
          </w:p>
          <w:p w14:paraId="29581E66"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(30,29; 49,92)</w:t>
            </w:r>
          </w:p>
        </w:tc>
        <w:tc>
          <w:tcPr>
            <w:tcW w:w="1710" w:type="dxa"/>
            <w:tcBorders>
              <w:top w:val="single" w:sz="4" w:space="0" w:color="auto"/>
              <w:left w:val="nil"/>
              <w:bottom w:val="single" w:sz="4" w:space="0" w:color="auto"/>
              <w:right w:val="nil"/>
            </w:tcBorders>
            <w:vAlign w:val="center"/>
            <w:hideMark/>
          </w:tcPr>
          <w:p w14:paraId="3492F20B"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16,13</w:t>
            </w:r>
          </w:p>
          <w:p w14:paraId="045C5250"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(8,02; 27,67)</w:t>
            </w:r>
          </w:p>
        </w:tc>
        <w:tc>
          <w:tcPr>
            <w:tcW w:w="1620" w:type="dxa"/>
            <w:tcBorders>
              <w:top w:val="single" w:sz="4" w:space="0" w:color="auto"/>
              <w:left w:val="nil"/>
              <w:bottom w:val="single" w:sz="4" w:space="0" w:color="auto"/>
              <w:right w:val="nil"/>
            </w:tcBorders>
            <w:vAlign w:val="center"/>
            <w:hideMark/>
          </w:tcPr>
          <w:p w14:paraId="64CE7105"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28,37</w:t>
            </w:r>
          </w:p>
          <w:p w14:paraId="5ED2C23A"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(10,3; 37,43)</w:t>
            </w:r>
          </w:p>
        </w:tc>
        <w:tc>
          <w:tcPr>
            <w:tcW w:w="1627" w:type="dxa"/>
            <w:tcBorders>
              <w:top w:val="single" w:sz="4" w:space="0" w:color="auto"/>
              <w:left w:val="nil"/>
              <w:bottom w:val="single" w:sz="4" w:space="0" w:color="auto"/>
              <w:right w:val="nil"/>
            </w:tcBorders>
            <w:vAlign w:val="center"/>
            <w:hideMark/>
          </w:tcPr>
          <w:p w14:paraId="56721D1C" w14:textId="77777777" w:rsidR="00AF310E" w:rsidRPr="00F234A2" w:rsidRDefault="00AF310E" w:rsidP="00304249">
            <w:pPr>
              <w:pStyle w:val="Table"/>
              <w:keepNext/>
              <w:spacing w:before="0" w:after="0"/>
              <w:jc w:val="center"/>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lang w:val="sr-Latn-ME"/>
              </w:rPr>
              <w:t>Nije formalno ispitivano</w:t>
            </w:r>
          </w:p>
        </w:tc>
      </w:tr>
      <w:tr w:rsidR="00AF310E" w:rsidRPr="00F234A2" w14:paraId="78EA077D" w14:textId="77777777" w:rsidTr="00304249">
        <w:trPr>
          <w:cantSplit/>
          <w:trHeight w:val="304"/>
        </w:trPr>
        <w:tc>
          <w:tcPr>
            <w:tcW w:w="9133" w:type="dxa"/>
            <w:gridSpan w:val="5"/>
            <w:tcBorders>
              <w:top w:val="single" w:sz="4" w:space="0" w:color="auto"/>
              <w:left w:val="nil"/>
              <w:bottom w:val="single" w:sz="4" w:space="0" w:color="auto"/>
              <w:right w:val="nil"/>
            </w:tcBorders>
            <w:hideMark/>
          </w:tcPr>
          <w:p w14:paraId="3CA90780" w14:textId="77777777" w:rsidR="00AF310E" w:rsidRPr="00F234A2" w:rsidRDefault="00AF310E" w:rsidP="00304249">
            <w:pPr>
              <w:pStyle w:val="Table"/>
              <w:keepLines w:val="0"/>
              <w:spacing w:before="0" w:after="0"/>
              <w:ind w:left="319" w:hanging="319"/>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vertAlign w:val="superscript"/>
                <w:lang w:val="sr-Latn-ME"/>
              </w:rPr>
              <w:t>1</w:t>
            </w:r>
            <w:r w:rsidRPr="00F234A2">
              <w:rPr>
                <w:rFonts w:ascii="Times New Roman" w:eastAsia="MS Gothic" w:hAnsi="Times New Roman" w:cs="Times New Roman"/>
                <w:sz w:val="22"/>
                <w:szCs w:val="22"/>
                <w:lang w:val="sr-Latn-ME"/>
              </w:rPr>
              <w:tab/>
              <w:t>Nakon prilagođavanja za početni status velikog citogenetskog odgovora</w:t>
            </w:r>
          </w:p>
          <w:p w14:paraId="3B918DA5" w14:textId="77777777" w:rsidR="00AF310E" w:rsidRPr="00F234A2" w:rsidRDefault="00AF310E" w:rsidP="00304249">
            <w:pPr>
              <w:pStyle w:val="Table"/>
              <w:keepLines w:val="0"/>
              <w:spacing w:before="0" w:after="0"/>
              <w:ind w:left="319" w:hanging="319"/>
              <w:rPr>
                <w:rFonts w:ascii="Times New Roman" w:eastAsia="MS Gothic" w:hAnsi="Times New Roman" w:cs="Times New Roman"/>
                <w:sz w:val="22"/>
                <w:szCs w:val="22"/>
                <w:lang w:val="sr-Latn-ME"/>
              </w:rPr>
            </w:pPr>
            <w:r w:rsidRPr="00F234A2">
              <w:rPr>
                <w:rFonts w:ascii="Times New Roman" w:eastAsia="MS Gothic" w:hAnsi="Times New Roman" w:cs="Times New Roman"/>
                <w:sz w:val="22"/>
                <w:szCs w:val="22"/>
                <w:vertAlign w:val="superscript"/>
                <w:lang w:val="sr-Latn-ME"/>
              </w:rPr>
              <w:t>2</w:t>
            </w:r>
            <w:r w:rsidRPr="00F234A2">
              <w:rPr>
                <w:rFonts w:ascii="Times New Roman" w:eastAsia="MS Gothic" w:hAnsi="Times New Roman" w:cs="Times New Roman"/>
                <w:sz w:val="22"/>
                <w:szCs w:val="22"/>
                <w:lang w:val="sr-Latn-ME"/>
              </w:rPr>
              <w:tab/>
            </w:r>
            <w:r w:rsidRPr="00F234A2">
              <w:rPr>
                <w:rFonts w:ascii="Times New Roman" w:eastAsia="MS Gothic" w:hAnsi="Times New Roman" w:cs="Times New Roman"/>
                <w:i/>
                <w:sz w:val="22"/>
                <w:szCs w:val="22"/>
                <w:lang w:val="sr-Latn-ME"/>
              </w:rPr>
              <w:t>Cochran</w:t>
            </w:r>
            <w:r w:rsidRPr="00F234A2">
              <w:rPr>
                <w:rFonts w:ascii="Times New Roman" w:eastAsia="MS Gothic" w:hAnsi="Times New Roman" w:cs="Times New Roman"/>
                <w:i/>
                <w:sz w:val="22"/>
                <w:szCs w:val="22"/>
                <w:lang w:val="sr-Latn-ME"/>
              </w:rPr>
              <w:noBreakHyphen/>
              <w:t>Mantel</w:t>
            </w:r>
            <w:r w:rsidRPr="00F234A2">
              <w:rPr>
                <w:rFonts w:ascii="Times New Roman" w:eastAsia="MS Gothic" w:hAnsi="Times New Roman" w:cs="Times New Roman"/>
                <w:i/>
                <w:sz w:val="22"/>
                <w:szCs w:val="22"/>
                <w:lang w:val="sr-Latn-ME"/>
              </w:rPr>
              <w:noBreakHyphen/>
              <w:t>Haenszel-ov</w:t>
            </w:r>
            <w:r w:rsidRPr="00F234A2">
              <w:rPr>
                <w:rFonts w:ascii="Times New Roman" w:eastAsia="MS Gothic" w:hAnsi="Times New Roman" w:cs="Times New Roman"/>
                <w:sz w:val="22"/>
                <w:szCs w:val="22"/>
                <w:lang w:val="sr-Latn-ME"/>
              </w:rPr>
              <w:t xml:space="preserve"> dvostrani test stratifikovan prema početnom statusu velikog citogenetskog odgovora</w:t>
            </w:r>
          </w:p>
          <w:p w14:paraId="59F3CC1B" w14:textId="77777777" w:rsidR="00AF310E" w:rsidRPr="00F234A2" w:rsidRDefault="00AF310E" w:rsidP="00304249">
            <w:pPr>
              <w:pStyle w:val="Table"/>
              <w:keepLines w:val="0"/>
              <w:spacing w:before="0" w:after="0"/>
              <w:rPr>
                <w:rFonts w:ascii="Times New Roman" w:hAnsi="Times New Roman" w:cs="Times New Roman"/>
                <w:sz w:val="22"/>
                <w:szCs w:val="22"/>
                <w:vertAlign w:val="superscript"/>
                <w:lang w:val="sr-Latn-ME"/>
              </w:rPr>
            </w:pPr>
            <w:r w:rsidRPr="00F234A2">
              <w:rPr>
                <w:rFonts w:ascii="Times New Roman" w:eastAsia="MS Gothic" w:hAnsi="Times New Roman" w:cs="Times New Roman"/>
                <w:sz w:val="22"/>
                <w:szCs w:val="22"/>
                <w:vertAlign w:val="superscript"/>
                <w:lang w:val="sr-Latn-ME"/>
              </w:rPr>
              <w:t>3</w:t>
            </w:r>
            <w:r w:rsidRPr="00F234A2">
              <w:rPr>
                <w:rFonts w:ascii="Times New Roman" w:eastAsia="MS Gothic" w:hAnsi="Times New Roman" w:cs="Times New Roman"/>
                <w:sz w:val="22"/>
                <w:szCs w:val="22"/>
                <w:lang w:val="sr-Latn-ME"/>
              </w:rPr>
              <w:tab/>
              <w:t>Analiza CCyR</w:t>
            </w:r>
            <w:r w:rsidRPr="00F234A2">
              <w:rPr>
                <w:rFonts w:ascii="Times New Roman" w:eastAsia="MS Gothic" w:hAnsi="Times New Roman" w:cs="Times New Roman"/>
                <w:sz w:val="22"/>
                <w:szCs w:val="22"/>
                <w:lang w:val="sr-Latn-ME"/>
              </w:rPr>
              <w:noBreakHyphen/>
              <w:t>a zasnovana na pacijentima koji nisu bili u CCyR</w:t>
            </w:r>
            <w:r w:rsidRPr="00F234A2">
              <w:rPr>
                <w:rFonts w:ascii="Times New Roman" w:eastAsia="MS Gothic" w:hAnsi="Times New Roman" w:cs="Times New Roman"/>
                <w:sz w:val="22"/>
                <w:szCs w:val="22"/>
                <w:lang w:val="sr-Latn-ME"/>
              </w:rPr>
              <w:noBreakHyphen/>
              <w:t>u na početku</w:t>
            </w:r>
          </w:p>
        </w:tc>
      </w:tr>
    </w:tbl>
    <w:p w14:paraId="274E87AB" w14:textId="77777777" w:rsidR="00AF310E" w:rsidRPr="00F234A2" w:rsidRDefault="00AF310E" w:rsidP="00480FB1">
      <w:pPr>
        <w:tabs>
          <w:tab w:val="left" w:pos="540"/>
          <w:tab w:val="left" w:pos="569"/>
        </w:tabs>
        <w:rPr>
          <w:b/>
          <w:bCs/>
          <w:sz w:val="22"/>
          <w:szCs w:val="22"/>
          <w:lang w:val="sr-Latn-ME"/>
        </w:rPr>
      </w:pPr>
    </w:p>
    <w:p w14:paraId="7327F4DC" w14:textId="77777777" w:rsidR="00AF310E" w:rsidRPr="00F234A2" w:rsidRDefault="00AF310E" w:rsidP="0095542C">
      <w:pPr>
        <w:tabs>
          <w:tab w:val="left" w:pos="540"/>
          <w:tab w:val="left" w:pos="569"/>
        </w:tabs>
        <w:jc w:val="both"/>
        <w:rPr>
          <w:sz w:val="22"/>
          <w:szCs w:val="22"/>
          <w:lang w:val="sr-Latn-ME"/>
        </w:rPr>
      </w:pPr>
      <w:r w:rsidRPr="00F234A2">
        <w:rPr>
          <w:sz w:val="22"/>
          <w:szCs w:val="22"/>
          <w:lang w:val="sr-Latn-ME"/>
        </w:rPr>
        <w:t>Jedino su primarni i ključni sekundarni parametar praćenja formalno ispitivani za statističku značajnost prema protokolu.</w:t>
      </w:r>
    </w:p>
    <w:p w14:paraId="5EE99DB2" w14:textId="77777777" w:rsidR="00AF310E" w:rsidRPr="00F234A2" w:rsidRDefault="00AF310E" w:rsidP="0095542C">
      <w:pPr>
        <w:tabs>
          <w:tab w:val="left" w:pos="540"/>
          <w:tab w:val="left" w:pos="569"/>
        </w:tabs>
        <w:jc w:val="both"/>
        <w:rPr>
          <w:sz w:val="22"/>
          <w:szCs w:val="22"/>
          <w:lang w:val="sr-Latn-ME"/>
        </w:rPr>
      </w:pPr>
    </w:p>
    <w:p w14:paraId="12F7CF3A" w14:textId="54C7D9CE" w:rsidR="00AF310E" w:rsidRPr="00F234A2" w:rsidRDefault="00AF310E" w:rsidP="0095542C">
      <w:pPr>
        <w:tabs>
          <w:tab w:val="left" w:pos="540"/>
          <w:tab w:val="left" w:pos="569"/>
        </w:tabs>
        <w:jc w:val="both"/>
        <w:rPr>
          <w:sz w:val="22"/>
          <w:szCs w:val="22"/>
          <w:lang w:val="sr-Latn-ME"/>
        </w:rPr>
      </w:pPr>
      <w:r w:rsidRPr="00F234A2">
        <w:rPr>
          <w:sz w:val="22"/>
          <w:szCs w:val="22"/>
          <w:lang w:val="sr-Latn-ME"/>
        </w:rPr>
        <w:t xml:space="preserve">U kliničkom ispitivanju ASCEMBL, 12,7% pacijenata </w:t>
      </w:r>
      <w:r w:rsidR="00472E1C" w:rsidRPr="00F234A2">
        <w:rPr>
          <w:sz w:val="22"/>
          <w:szCs w:val="22"/>
          <w:lang w:val="sr-Latn-ME"/>
        </w:rPr>
        <w:t>liječ</w:t>
      </w:r>
      <w:r w:rsidRPr="00F234A2">
        <w:rPr>
          <w:sz w:val="22"/>
          <w:szCs w:val="22"/>
          <w:lang w:val="sr-Latn-ME"/>
        </w:rPr>
        <w:t>enih asciminibom i 13,2% pacijenata koji su primali bosutinib imalo je jednu ili više mutacija u BCR::ABL1 detektovanih na početku. Kod pacijenata koji su primali asciminib, bio je prim</w:t>
      </w:r>
      <w:r w:rsidR="000B6873" w:rsidRPr="00F234A2">
        <w:rPr>
          <w:sz w:val="22"/>
          <w:szCs w:val="22"/>
          <w:lang w:val="sr-Latn-ME"/>
        </w:rPr>
        <w:t>ij</w:t>
      </w:r>
      <w:r w:rsidRPr="00F234A2">
        <w:rPr>
          <w:sz w:val="22"/>
          <w:szCs w:val="22"/>
          <w:lang w:val="sr-Latn-ME"/>
        </w:rPr>
        <w:t xml:space="preserve">ećen MMR nakon 24 </w:t>
      </w:r>
      <w:r w:rsidR="0094593A" w:rsidRPr="00F234A2">
        <w:rPr>
          <w:sz w:val="22"/>
          <w:szCs w:val="22"/>
          <w:lang w:val="sr-Latn-ME"/>
        </w:rPr>
        <w:t>nedjelj</w:t>
      </w:r>
      <w:r w:rsidRPr="00F234A2">
        <w:rPr>
          <w:sz w:val="22"/>
          <w:szCs w:val="22"/>
          <w:lang w:val="sr-Latn-ME"/>
        </w:rPr>
        <w:t xml:space="preserve">e kod 35,3% pacijenata sa bilo kojom mutacijom u BCR::ABL1, odnosno 24,8% pacijenata bez ikakve mutacije u BCR::ABL1 na početku. Kod pacijenata koji su primali bosutinib, MMR nakon 24 </w:t>
      </w:r>
      <w:r w:rsidR="0094593A" w:rsidRPr="00F234A2">
        <w:rPr>
          <w:sz w:val="22"/>
          <w:szCs w:val="22"/>
          <w:lang w:val="sr-Latn-ME"/>
        </w:rPr>
        <w:t>nedjelj</w:t>
      </w:r>
      <w:r w:rsidRPr="00F234A2">
        <w:rPr>
          <w:sz w:val="22"/>
          <w:szCs w:val="22"/>
          <w:lang w:val="sr-Latn-ME"/>
        </w:rPr>
        <w:t xml:space="preserve">e bio je primećen kod 25% pacijenata sa bilo kojom mutacijom, odnosno 11,1% pacijenata bez ikakve mutacije na početku. Stopa MMR-a nakon 24 </w:t>
      </w:r>
      <w:r w:rsidR="0094593A" w:rsidRPr="00F234A2">
        <w:rPr>
          <w:sz w:val="22"/>
          <w:szCs w:val="22"/>
          <w:lang w:val="sr-Latn-ME"/>
        </w:rPr>
        <w:t>nedjelj</w:t>
      </w:r>
      <w:r w:rsidRPr="00F234A2">
        <w:rPr>
          <w:sz w:val="22"/>
          <w:szCs w:val="22"/>
          <w:lang w:val="sr-Latn-ME"/>
        </w:rPr>
        <w:t xml:space="preserve">e kod pacijenata kod kojih je randomizovano </w:t>
      </w:r>
      <w:r w:rsidR="00472E1C" w:rsidRPr="00F234A2">
        <w:rPr>
          <w:sz w:val="22"/>
          <w:szCs w:val="22"/>
          <w:lang w:val="sr-Latn-ME"/>
        </w:rPr>
        <w:t>liječ</w:t>
      </w:r>
      <w:r w:rsidRPr="00F234A2">
        <w:rPr>
          <w:sz w:val="22"/>
          <w:szCs w:val="22"/>
          <w:lang w:val="sr-Latn-ME"/>
        </w:rPr>
        <w:t xml:space="preserve">enje predstavljalo treću, četvrtu, ili petu ili daljnju liniju TKI bila je, redom, 29,3%, 25% i 16,1% kod pacijenata </w:t>
      </w:r>
      <w:r w:rsidR="00472E1C" w:rsidRPr="00F234A2">
        <w:rPr>
          <w:sz w:val="22"/>
          <w:szCs w:val="22"/>
          <w:lang w:val="sr-Latn-ME"/>
        </w:rPr>
        <w:t>liječ</w:t>
      </w:r>
      <w:r w:rsidRPr="00F234A2">
        <w:rPr>
          <w:sz w:val="22"/>
          <w:szCs w:val="22"/>
          <w:lang w:val="sr-Latn-ME"/>
        </w:rPr>
        <w:t>enih asciminibom i 20%, 13,8% i 0% kod pacijenata koji su primali bosutinib.</w:t>
      </w:r>
    </w:p>
    <w:p w14:paraId="47D594A0" w14:textId="77777777" w:rsidR="00AF310E" w:rsidRPr="00F234A2" w:rsidRDefault="00AF310E" w:rsidP="0095542C">
      <w:pPr>
        <w:tabs>
          <w:tab w:val="left" w:pos="540"/>
          <w:tab w:val="left" w:pos="569"/>
        </w:tabs>
        <w:jc w:val="both"/>
        <w:rPr>
          <w:sz w:val="22"/>
          <w:szCs w:val="22"/>
          <w:lang w:val="sr-Latn-ME"/>
        </w:rPr>
      </w:pPr>
    </w:p>
    <w:p w14:paraId="67B38C93" w14:textId="40075BEC" w:rsidR="00AF310E" w:rsidRPr="00F234A2" w:rsidRDefault="00AF310E" w:rsidP="0095542C">
      <w:pPr>
        <w:tabs>
          <w:tab w:val="left" w:pos="540"/>
          <w:tab w:val="left" w:pos="569"/>
        </w:tabs>
        <w:jc w:val="both"/>
        <w:rPr>
          <w:sz w:val="22"/>
          <w:szCs w:val="22"/>
          <w:lang w:val="sr-Latn-ME"/>
        </w:rPr>
      </w:pPr>
      <w:r w:rsidRPr="00F234A2">
        <w:rPr>
          <w:sz w:val="22"/>
          <w:szCs w:val="22"/>
          <w:lang w:val="sr-Latn-ME"/>
        </w:rPr>
        <w:t>Ud</w:t>
      </w:r>
      <w:r w:rsidR="000B6873" w:rsidRPr="00F234A2">
        <w:rPr>
          <w:sz w:val="22"/>
          <w:szCs w:val="22"/>
          <w:lang w:val="sr-Latn-ME"/>
        </w:rPr>
        <w:t>i</w:t>
      </w:r>
      <w:r w:rsidRPr="00F234A2">
        <w:rPr>
          <w:sz w:val="22"/>
          <w:szCs w:val="22"/>
          <w:lang w:val="sr-Latn-ME"/>
        </w:rPr>
        <w:t xml:space="preserve">o pacijenata koji su primali asciminib i održali MMR najmanje </w:t>
      </w:r>
      <w:r w:rsidR="00EB6ADF">
        <w:rPr>
          <w:sz w:val="22"/>
          <w:szCs w:val="22"/>
          <w:lang w:val="sr-Latn-ME"/>
        </w:rPr>
        <w:t>120</w:t>
      </w:r>
      <w:r w:rsidR="00EB6ADF" w:rsidRPr="00F234A2">
        <w:rPr>
          <w:sz w:val="22"/>
          <w:szCs w:val="22"/>
          <w:lang w:val="sr-Latn-ME"/>
        </w:rPr>
        <w:t xml:space="preserve"> nedjelj</w:t>
      </w:r>
      <w:r w:rsidR="00EB6ADF">
        <w:rPr>
          <w:sz w:val="22"/>
          <w:szCs w:val="22"/>
          <w:lang w:val="sr-Latn-ME"/>
        </w:rPr>
        <w:t>a</w:t>
      </w:r>
      <w:r w:rsidRPr="00F234A2">
        <w:rPr>
          <w:sz w:val="22"/>
          <w:szCs w:val="22"/>
          <w:lang w:val="sr-Latn-ME"/>
        </w:rPr>
        <w:t>, prema Kaplan Meier-ovoj proc</w:t>
      </w:r>
      <w:r w:rsidR="000B6873" w:rsidRPr="00F234A2">
        <w:rPr>
          <w:sz w:val="22"/>
          <w:szCs w:val="22"/>
          <w:lang w:val="sr-Latn-ME"/>
        </w:rPr>
        <w:t>j</w:t>
      </w:r>
      <w:r w:rsidRPr="00F234A2">
        <w:rPr>
          <w:sz w:val="22"/>
          <w:szCs w:val="22"/>
          <w:lang w:val="sr-Latn-ME"/>
        </w:rPr>
        <w:t xml:space="preserve">eni bio je </w:t>
      </w:r>
      <w:r w:rsidR="00EB6ADF" w:rsidRPr="00F234A2">
        <w:rPr>
          <w:sz w:val="22"/>
          <w:szCs w:val="22"/>
          <w:lang w:val="sr-Latn-ME"/>
        </w:rPr>
        <w:t>9</w:t>
      </w:r>
      <w:r w:rsidR="00EB6ADF">
        <w:rPr>
          <w:sz w:val="22"/>
          <w:szCs w:val="22"/>
          <w:lang w:val="sr-Latn-ME"/>
        </w:rPr>
        <w:t>7</w:t>
      </w:r>
      <w:r w:rsidRPr="00F234A2">
        <w:rPr>
          <w:sz w:val="22"/>
          <w:szCs w:val="22"/>
          <w:lang w:val="sr-Latn-ME"/>
        </w:rPr>
        <w:t xml:space="preserve">% (95% CI: </w:t>
      </w:r>
      <w:r w:rsidR="00EB6ADF" w:rsidRPr="00F234A2">
        <w:rPr>
          <w:sz w:val="22"/>
          <w:szCs w:val="22"/>
          <w:lang w:val="sr-Latn-ME"/>
        </w:rPr>
        <w:t>8</w:t>
      </w:r>
      <w:r w:rsidR="00EB6ADF">
        <w:rPr>
          <w:sz w:val="22"/>
          <w:szCs w:val="22"/>
          <w:lang w:val="sr-Latn-ME"/>
        </w:rPr>
        <w:t>8</w:t>
      </w:r>
      <w:r w:rsidRPr="00F234A2">
        <w:rPr>
          <w:sz w:val="22"/>
          <w:szCs w:val="22"/>
          <w:lang w:val="sr-Latn-ME"/>
        </w:rPr>
        <w:t>,</w:t>
      </w:r>
      <w:r w:rsidR="00EB6ADF">
        <w:rPr>
          <w:sz w:val="22"/>
          <w:szCs w:val="22"/>
          <w:lang w:val="sr-Latn-ME"/>
        </w:rPr>
        <w:t>6</w:t>
      </w:r>
      <w:r w:rsidRPr="00F234A2">
        <w:rPr>
          <w:sz w:val="22"/>
          <w:szCs w:val="22"/>
          <w:lang w:val="sr-Latn-ME"/>
        </w:rPr>
        <w:t>; 99,2).</w:t>
      </w:r>
    </w:p>
    <w:p w14:paraId="6E24C40F" w14:textId="77777777" w:rsidR="00AF310E" w:rsidRPr="00F234A2" w:rsidRDefault="00AF310E" w:rsidP="0095542C">
      <w:pPr>
        <w:tabs>
          <w:tab w:val="left" w:pos="540"/>
          <w:tab w:val="left" w:pos="569"/>
        </w:tabs>
        <w:jc w:val="both"/>
        <w:rPr>
          <w:sz w:val="22"/>
          <w:szCs w:val="22"/>
          <w:lang w:val="sr-Latn-ME"/>
        </w:rPr>
      </w:pPr>
    </w:p>
    <w:p w14:paraId="1382596E" w14:textId="77777777" w:rsidR="00AF310E" w:rsidRPr="00F234A2" w:rsidRDefault="00AF310E" w:rsidP="0095542C">
      <w:pPr>
        <w:tabs>
          <w:tab w:val="left" w:pos="540"/>
          <w:tab w:val="left" w:pos="569"/>
        </w:tabs>
        <w:jc w:val="both"/>
        <w:rPr>
          <w:sz w:val="22"/>
          <w:szCs w:val="22"/>
          <w:u w:val="single"/>
          <w:lang w:val="sr-Latn-ME"/>
        </w:rPr>
      </w:pPr>
      <w:r w:rsidRPr="00F234A2">
        <w:rPr>
          <w:sz w:val="22"/>
          <w:szCs w:val="22"/>
          <w:u w:val="single"/>
          <w:lang w:val="sr-Latn-ME"/>
        </w:rPr>
        <w:t>Pedijatrijska populacija</w:t>
      </w:r>
    </w:p>
    <w:p w14:paraId="0AAD8CAF" w14:textId="77777777" w:rsidR="00AF310E" w:rsidRPr="00F234A2" w:rsidRDefault="00AF310E" w:rsidP="0095542C">
      <w:pPr>
        <w:tabs>
          <w:tab w:val="left" w:pos="540"/>
          <w:tab w:val="left" w:pos="569"/>
        </w:tabs>
        <w:jc w:val="both"/>
        <w:rPr>
          <w:sz w:val="22"/>
          <w:szCs w:val="22"/>
          <w:lang w:val="sr-Latn-ME"/>
        </w:rPr>
      </w:pPr>
    </w:p>
    <w:p w14:paraId="03EF21A3" w14:textId="45955383" w:rsidR="00AF310E" w:rsidRPr="00F234A2" w:rsidRDefault="00AF310E" w:rsidP="0095542C">
      <w:pPr>
        <w:tabs>
          <w:tab w:val="left" w:pos="540"/>
          <w:tab w:val="left" w:pos="569"/>
        </w:tabs>
        <w:jc w:val="both"/>
        <w:rPr>
          <w:sz w:val="22"/>
          <w:szCs w:val="22"/>
          <w:lang w:val="sr-Latn-ME"/>
        </w:rPr>
      </w:pPr>
      <w:r w:rsidRPr="00F234A2">
        <w:rPr>
          <w:sz w:val="22"/>
          <w:szCs w:val="22"/>
          <w:lang w:val="sr-Latn-ME"/>
        </w:rPr>
        <w:lastRenderedPageBreak/>
        <w:t>Evropska agencija za l</w:t>
      </w:r>
      <w:r w:rsidR="000B6873" w:rsidRPr="00F234A2">
        <w:rPr>
          <w:sz w:val="22"/>
          <w:szCs w:val="22"/>
          <w:lang w:val="sr-Latn-ME"/>
        </w:rPr>
        <w:t>j</w:t>
      </w:r>
      <w:r w:rsidRPr="00F234A2">
        <w:rPr>
          <w:sz w:val="22"/>
          <w:szCs w:val="22"/>
          <w:lang w:val="sr-Latn-ME"/>
        </w:rPr>
        <w:t xml:space="preserve">ekove je </w:t>
      </w:r>
      <w:r w:rsidR="00EB6ADF">
        <w:rPr>
          <w:sz w:val="22"/>
          <w:szCs w:val="22"/>
          <w:lang w:val="sr-Latn-ME"/>
        </w:rPr>
        <w:t xml:space="preserve">odložila </w:t>
      </w:r>
      <w:r w:rsidRPr="00F234A2">
        <w:rPr>
          <w:sz w:val="22"/>
          <w:szCs w:val="22"/>
          <w:lang w:val="sr-Latn-ME"/>
        </w:rPr>
        <w:t>obavez</w:t>
      </w:r>
      <w:r w:rsidR="00EB6ADF">
        <w:rPr>
          <w:sz w:val="22"/>
          <w:szCs w:val="22"/>
          <w:lang w:val="sr-Latn-ME"/>
        </w:rPr>
        <w:t>u</w:t>
      </w:r>
      <w:r w:rsidRPr="00F234A2">
        <w:rPr>
          <w:sz w:val="22"/>
          <w:szCs w:val="22"/>
          <w:lang w:val="sr-Latn-ME"/>
        </w:rPr>
        <w:t xml:space="preserve"> podnošenj</w:t>
      </w:r>
      <w:r w:rsidR="00F71BB0">
        <w:rPr>
          <w:sz w:val="22"/>
          <w:szCs w:val="22"/>
          <w:lang w:val="sr-Latn-ME"/>
        </w:rPr>
        <w:t>a</w:t>
      </w:r>
      <w:r w:rsidRPr="00F234A2">
        <w:rPr>
          <w:sz w:val="22"/>
          <w:szCs w:val="22"/>
          <w:lang w:val="sr-Latn-ME"/>
        </w:rPr>
        <w:t xml:space="preserve"> rezultata ispitivanja l</w:t>
      </w:r>
      <w:r w:rsidR="000B6873" w:rsidRPr="00F234A2">
        <w:rPr>
          <w:sz w:val="22"/>
          <w:szCs w:val="22"/>
          <w:lang w:val="sr-Latn-ME"/>
        </w:rPr>
        <w:t>ij</w:t>
      </w:r>
      <w:r w:rsidRPr="00F234A2">
        <w:rPr>
          <w:sz w:val="22"/>
          <w:szCs w:val="22"/>
          <w:lang w:val="sr-Latn-ME"/>
        </w:rPr>
        <w:t xml:space="preserve">eka Scemblix u jednoj ili više podgrupa pedijatrijske populacije za </w:t>
      </w:r>
      <w:r w:rsidR="00472E1C" w:rsidRPr="00F234A2">
        <w:rPr>
          <w:sz w:val="22"/>
          <w:szCs w:val="22"/>
          <w:lang w:val="sr-Latn-ME"/>
        </w:rPr>
        <w:t>liječ</w:t>
      </w:r>
      <w:r w:rsidRPr="00F234A2">
        <w:rPr>
          <w:sz w:val="22"/>
          <w:szCs w:val="22"/>
          <w:lang w:val="sr-Latn-ME"/>
        </w:rPr>
        <w:t>enje CML-a (</w:t>
      </w:r>
      <w:r w:rsidR="0094593A" w:rsidRPr="00F234A2">
        <w:rPr>
          <w:sz w:val="22"/>
          <w:szCs w:val="22"/>
          <w:lang w:val="sr-Latn-ME"/>
        </w:rPr>
        <w:t>vidjet</w:t>
      </w:r>
      <w:r w:rsidRPr="00F234A2">
        <w:rPr>
          <w:sz w:val="22"/>
          <w:szCs w:val="22"/>
          <w:lang w:val="sr-Latn-ME"/>
        </w:rPr>
        <w:t xml:space="preserve">i </w:t>
      </w:r>
      <w:r w:rsidR="00654F19" w:rsidRPr="00F234A2">
        <w:rPr>
          <w:sz w:val="22"/>
          <w:szCs w:val="22"/>
          <w:lang w:val="sr-Latn-ME"/>
        </w:rPr>
        <w:t xml:space="preserve">dio </w:t>
      </w:r>
      <w:r w:rsidRPr="00F234A2">
        <w:rPr>
          <w:sz w:val="22"/>
          <w:szCs w:val="22"/>
          <w:lang w:val="sr-Latn-ME"/>
        </w:rPr>
        <w:t>4.2 za informacije o upotrebi u pedijatrijskoj populaciji).</w:t>
      </w:r>
    </w:p>
    <w:p w14:paraId="6E22C817" w14:textId="77777777" w:rsidR="00AF310E" w:rsidRPr="00F234A2" w:rsidRDefault="00AF310E" w:rsidP="0095542C">
      <w:pPr>
        <w:tabs>
          <w:tab w:val="left" w:pos="540"/>
          <w:tab w:val="left" w:pos="569"/>
        </w:tabs>
        <w:jc w:val="both"/>
        <w:rPr>
          <w:sz w:val="22"/>
          <w:szCs w:val="22"/>
          <w:lang w:val="sr-Latn-ME"/>
        </w:rPr>
      </w:pPr>
    </w:p>
    <w:p w14:paraId="3E570027" w14:textId="77777777" w:rsidR="0072020E" w:rsidRPr="00F234A2" w:rsidRDefault="0072020E" w:rsidP="0095542C">
      <w:pPr>
        <w:tabs>
          <w:tab w:val="left" w:pos="540"/>
          <w:tab w:val="left" w:pos="569"/>
        </w:tabs>
        <w:jc w:val="both"/>
        <w:rPr>
          <w:b/>
          <w:bCs/>
          <w:sz w:val="22"/>
          <w:szCs w:val="22"/>
          <w:lang w:val="sr-Latn-ME"/>
        </w:rPr>
      </w:pPr>
      <w:r w:rsidRPr="00F234A2">
        <w:rPr>
          <w:b/>
          <w:bCs/>
          <w:sz w:val="22"/>
          <w:szCs w:val="22"/>
          <w:lang w:val="sr-Latn-ME"/>
        </w:rPr>
        <w:t xml:space="preserve">5.2. </w:t>
      </w:r>
      <w:r w:rsidR="00480FB1" w:rsidRPr="00F234A2">
        <w:rPr>
          <w:b/>
          <w:bCs/>
          <w:sz w:val="22"/>
          <w:szCs w:val="22"/>
          <w:lang w:val="sr-Latn-ME"/>
        </w:rPr>
        <w:tab/>
      </w:r>
      <w:r w:rsidRPr="00F234A2">
        <w:rPr>
          <w:b/>
          <w:bCs/>
          <w:sz w:val="22"/>
          <w:szCs w:val="22"/>
          <w:lang w:val="sr-Latn-ME"/>
        </w:rPr>
        <w:t>Farmakokinetički podaci</w:t>
      </w:r>
      <w:r w:rsidR="003A7059" w:rsidRPr="00F234A2">
        <w:rPr>
          <w:b/>
          <w:bCs/>
          <w:sz w:val="22"/>
          <w:szCs w:val="22"/>
          <w:lang w:val="sr-Latn-ME"/>
        </w:rPr>
        <w:t xml:space="preserve"> </w:t>
      </w:r>
    </w:p>
    <w:p w14:paraId="2AADA559" w14:textId="23302966" w:rsidR="0072020E" w:rsidRPr="00F234A2" w:rsidRDefault="0072020E" w:rsidP="0095542C">
      <w:pPr>
        <w:tabs>
          <w:tab w:val="left" w:pos="540"/>
          <w:tab w:val="left" w:pos="569"/>
        </w:tabs>
        <w:jc w:val="both"/>
        <w:rPr>
          <w:bCs/>
          <w:sz w:val="22"/>
          <w:szCs w:val="22"/>
          <w:lang w:val="sr-Latn-ME"/>
        </w:rPr>
      </w:pPr>
    </w:p>
    <w:p w14:paraId="63A07B7B" w14:textId="43EEA066" w:rsidR="00AF310E" w:rsidRPr="00F234A2" w:rsidRDefault="00AF310E" w:rsidP="0095542C">
      <w:pPr>
        <w:tabs>
          <w:tab w:val="left" w:pos="540"/>
          <w:tab w:val="left" w:pos="569"/>
        </w:tabs>
        <w:jc w:val="both"/>
        <w:rPr>
          <w:bCs/>
          <w:sz w:val="22"/>
          <w:szCs w:val="22"/>
          <w:u w:val="single"/>
          <w:lang w:val="sr-Latn-ME"/>
        </w:rPr>
      </w:pPr>
      <w:r w:rsidRPr="00F234A2">
        <w:rPr>
          <w:bCs/>
          <w:sz w:val="22"/>
          <w:szCs w:val="22"/>
          <w:u w:val="single"/>
          <w:lang w:val="sr-Latn-ME"/>
        </w:rPr>
        <w:t>Resorpcija</w:t>
      </w:r>
    </w:p>
    <w:p w14:paraId="1EAE1019" w14:textId="77777777" w:rsidR="00AF310E" w:rsidRPr="00F234A2" w:rsidRDefault="00AF310E" w:rsidP="0095542C">
      <w:pPr>
        <w:tabs>
          <w:tab w:val="left" w:pos="540"/>
          <w:tab w:val="left" w:pos="569"/>
        </w:tabs>
        <w:jc w:val="both"/>
        <w:rPr>
          <w:bCs/>
          <w:sz w:val="22"/>
          <w:szCs w:val="22"/>
          <w:lang w:val="sr-Latn-ME"/>
        </w:rPr>
      </w:pPr>
      <w:r w:rsidRPr="00F234A2">
        <w:rPr>
          <w:bCs/>
          <w:sz w:val="22"/>
          <w:szCs w:val="22"/>
          <w:lang w:val="sr-Latn-ME"/>
        </w:rPr>
        <w:tab/>
      </w:r>
    </w:p>
    <w:p w14:paraId="16AC4050" w14:textId="65CCE2D9" w:rsidR="00AF310E" w:rsidRPr="00F234A2" w:rsidRDefault="00AF310E" w:rsidP="0095542C">
      <w:pPr>
        <w:tabs>
          <w:tab w:val="left" w:pos="540"/>
          <w:tab w:val="left" w:pos="569"/>
        </w:tabs>
        <w:jc w:val="both"/>
        <w:rPr>
          <w:bCs/>
          <w:sz w:val="22"/>
          <w:szCs w:val="22"/>
          <w:lang w:val="sr-Latn-ME"/>
        </w:rPr>
      </w:pPr>
      <w:r w:rsidRPr="00F234A2">
        <w:rPr>
          <w:bCs/>
          <w:sz w:val="22"/>
          <w:szCs w:val="22"/>
          <w:lang w:val="sr-Latn-ME"/>
        </w:rPr>
        <w:t>Asciminib se brzo apsorbuje, pri čemu se medijana najviše koncentracije u plazmi (T</w:t>
      </w:r>
      <w:r w:rsidRPr="00F234A2">
        <w:rPr>
          <w:bCs/>
          <w:sz w:val="22"/>
          <w:szCs w:val="22"/>
          <w:vertAlign w:val="subscript"/>
          <w:lang w:val="sr-Latn-ME"/>
        </w:rPr>
        <w:t>max</w:t>
      </w:r>
      <w:r w:rsidRPr="00F234A2">
        <w:rPr>
          <w:bCs/>
          <w:sz w:val="22"/>
          <w:szCs w:val="22"/>
          <w:lang w:val="sr-Latn-ME"/>
        </w:rPr>
        <w:t xml:space="preserve">) postiže 2 do 3 sata nakon oralne </w:t>
      </w:r>
      <w:r w:rsidR="0094593A" w:rsidRPr="00F234A2">
        <w:rPr>
          <w:bCs/>
          <w:sz w:val="22"/>
          <w:szCs w:val="22"/>
          <w:lang w:val="sr-Latn-ME"/>
        </w:rPr>
        <w:t>primjen</w:t>
      </w:r>
      <w:r w:rsidRPr="00F234A2">
        <w:rPr>
          <w:bCs/>
          <w:sz w:val="22"/>
          <w:szCs w:val="22"/>
          <w:lang w:val="sr-Latn-ME"/>
        </w:rPr>
        <w:t>e, neovisno o dozi. Geometrijska sredin</w:t>
      </w:r>
      <w:r w:rsidR="00FB25DC" w:rsidRPr="00F234A2">
        <w:rPr>
          <w:bCs/>
          <w:sz w:val="22"/>
          <w:szCs w:val="22"/>
          <w:lang w:val="sr-Latn-ME"/>
        </w:rPr>
        <w:t>a</w:t>
      </w:r>
      <w:r w:rsidRPr="00F234A2">
        <w:rPr>
          <w:bCs/>
          <w:sz w:val="22"/>
          <w:szCs w:val="22"/>
          <w:lang w:val="sr-Latn-ME"/>
        </w:rPr>
        <w:t xml:space="preserve"> (geoCV%) Cmax i PIK</w:t>
      </w:r>
      <w:r w:rsidRPr="00F234A2">
        <w:rPr>
          <w:bCs/>
          <w:sz w:val="22"/>
          <w:szCs w:val="22"/>
          <w:vertAlign w:val="subscript"/>
          <w:lang w:val="sr-Latn-ME"/>
        </w:rPr>
        <w:t>tau</w:t>
      </w:r>
      <w:r w:rsidRPr="00F234A2">
        <w:rPr>
          <w:bCs/>
          <w:sz w:val="22"/>
          <w:szCs w:val="22"/>
          <w:lang w:val="sr-Latn-ME"/>
        </w:rPr>
        <w:t xml:space="preserve"> u stanju ravnoteže je 793 ng/ml (49%), odnosno 5262 ng*h/ml (48%) nakon </w:t>
      </w:r>
      <w:r w:rsidR="0094593A" w:rsidRPr="00F234A2">
        <w:rPr>
          <w:bCs/>
          <w:sz w:val="22"/>
          <w:szCs w:val="22"/>
          <w:lang w:val="sr-Latn-ME"/>
        </w:rPr>
        <w:t>primjen</w:t>
      </w:r>
      <w:r w:rsidRPr="00F234A2">
        <w:rPr>
          <w:bCs/>
          <w:sz w:val="22"/>
          <w:szCs w:val="22"/>
          <w:lang w:val="sr-Latn-ME"/>
        </w:rPr>
        <w:t>e asciminiba u dozi od 40 mg dva puta na dan. PBPK modeli predviđaju da je apsorpcija asciminiba približno 100%, dok je bioraspoloživost približno 73%.</w:t>
      </w:r>
    </w:p>
    <w:p w14:paraId="692BFD80" w14:textId="77777777" w:rsidR="00AF310E" w:rsidRPr="00F234A2" w:rsidRDefault="00AF310E" w:rsidP="0095542C">
      <w:pPr>
        <w:tabs>
          <w:tab w:val="left" w:pos="540"/>
          <w:tab w:val="left" w:pos="569"/>
        </w:tabs>
        <w:jc w:val="both"/>
        <w:rPr>
          <w:bCs/>
          <w:sz w:val="22"/>
          <w:szCs w:val="22"/>
          <w:lang w:val="sr-Latn-ME"/>
        </w:rPr>
      </w:pPr>
      <w:r w:rsidRPr="00F234A2">
        <w:rPr>
          <w:bCs/>
          <w:sz w:val="22"/>
          <w:szCs w:val="22"/>
          <w:lang w:val="sr-Latn-ME"/>
        </w:rPr>
        <w:tab/>
      </w:r>
    </w:p>
    <w:p w14:paraId="57A8F96E" w14:textId="69AFE21D" w:rsidR="00AF310E" w:rsidRPr="00F234A2" w:rsidRDefault="00AF310E" w:rsidP="0095542C">
      <w:pPr>
        <w:tabs>
          <w:tab w:val="left" w:pos="540"/>
          <w:tab w:val="left" w:pos="569"/>
        </w:tabs>
        <w:jc w:val="both"/>
        <w:rPr>
          <w:bCs/>
          <w:sz w:val="22"/>
          <w:szCs w:val="22"/>
          <w:lang w:val="sr-Latn-ME"/>
        </w:rPr>
      </w:pPr>
      <w:r w:rsidRPr="00F234A2">
        <w:rPr>
          <w:bCs/>
          <w:sz w:val="22"/>
          <w:szCs w:val="22"/>
          <w:lang w:val="sr-Latn-ME"/>
        </w:rPr>
        <w:t xml:space="preserve">Bioraspoloživost asciminiba može se smanjiti istovremenom </w:t>
      </w:r>
      <w:r w:rsidR="0094593A" w:rsidRPr="00F234A2">
        <w:rPr>
          <w:bCs/>
          <w:sz w:val="22"/>
          <w:szCs w:val="22"/>
          <w:lang w:val="sr-Latn-ME"/>
        </w:rPr>
        <w:t>primjen</w:t>
      </w:r>
      <w:r w:rsidRPr="00F234A2">
        <w:rPr>
          <w:bCs/>
          <w:sz w:val="22"/>
          <w:szCs w:val="22"/>
          <w:lang w:val="sr-Latn-ME"/>
        </w:rPr>
        <w:t>om oralnih l</w:t>
      </w:r>
      <w:r w:rsidR="009930F3" w:rsidRPr="00F234A2">
        <w:rPr>
          <w:bCs/>
          <w:sz w:val="22"/>
          <w:szCs w:val="22"/>
          <w:lang w:val="sr-Latn-ME"/>
        </w:rPr>
        <w:t>j</w:t>
      </w:r>
      <w:r w:rsidRPr="00F234A2">
        <w:rPr>
          <w:bCs/>
          <w:sz w:val="22"/>
          <w:szCs w:val="22"/>
          <w:lang w:val="sr-Latn-ME"/>
        </w:rPr>
        <w:t xml:space="preserve">ekova koji sadrže hidroksipropil-β ciklodekstrin kao pomoćnu supstancu. Istovremena </w:t>
      </w:r>
      <w:r w:rsidR="0094593A" w:rsidRPr="00F234A2">
        <w:rPr>
          <w:bCs/>
          <w:sz w:val="22"/>
          <w:szCs w:val="22"/>
          <w:lang w:val="sr-Latn-ME"/>
        </w:rPr>
        <w:t>primjen</w:t>
      </w:r>
      <w:r w:rsidRPr="00F234A2">
        <w:rPr>
          <w:bCs/>
          <w:sz w:val="22"/>
          <w:szCs w:val="22"/>
          <w:lang w:val="sr-Latn-ME"/>
        </w:rPr>
        <w:t xml:space="preserve">a više doza oralnog rastvora itrakonazola koji sadrži hidroksipropil-β ciklodekstrin od ukupno 8 g po dozi sa dozom asciminiba od 40 mg smanjila je </w:t>
      </w:r>
      <w:r w:rsidR="00472E1C" w:rsidRPr="00F234A2">
        <w:rPr>
          <w:bCs/>
          <w:sz w:val="22"/>
          <w:szCs w:val="22"/>
          <w:lang w:val="sr-Latn-ME"/>
        </w:rPr>
        <w:t>vrijedno</w:t>
      </w:r>
      <w:r w:rsidRPr="00F234A2">
        <w:rPr>
          <w:bCs/>
          <w:sz w:val="22"/>
          <w:szCs w:val="22"/>
          <w:lang w:val="sr-Latn-ME"/>
        </w:rPr>
        <w:t>st PIK</w:t>
      </w:r>
      <w:r w:rsidRPr="00F234A2">
        <w:rPr>
          <w:bCs/>
          <w:sz w:val="22"/>
          <w:szCs w:val="22"/>
          <w:vertAlign w:val="subscript"/>
          <w:lang w:val="sr-Latn-ME"/>
        </w:rPr>
        <w:t>inf</w:t>
      </w:r>
      <w:r w:rsidRPr="00F234A2">
        <w:rPr>
          <w:bCs/>
          <w:sz w:val="22"/>
          <w:szCs w:val="22"/>
          <w:lang w:val="sr-Latn-ME"/>
        </w:rPr>
        <w:t xml:space="preserve"> asciminiba za 40,2% kod zdravih ispitanika. </w:t>
      </w:r>
    </w:p>
    <w:p w14:paraId="0875DA50" w14:textId="77777777" w:rsidR="00AF310E" w:rsidRPr="00F234A2" w:rsidRDefault="00AF310E" w:rsidP="0095542C">
      <w:pPr>
        <w:tabs>
          <w:tab w:val="left" w:pos="540"/>
          <w:tab w:val="left" w:pos="569"/>
        </w:tabs>
        <w:jc w:val="both"/>
        <w:rPr>
          <w:bCs/>
          <w:sz w:val="22"/>
          <w:szCs w:val="22"/>
          <w:lang w:val="sr-Latn-ME"/>
        </w:rPr>
      </w:pPr>
      <w:r w:rsidRPr="00F234A2">
        <w:rPr>
          <w:bCs/>
          <w:sz w:val="22"/>
          <w:szCs w:val="22"/>
          <w:lang w:val="sr-Latn-ME"/>
        </w:rPr>
        <w:tab/>
      </w:r>
    </w:p>
    <w:p w14:paraId="2C44F160" w14:textId="60AC0FFF" w:rsidR="00AF310E" w:rsidRPr="00F234A2" w:rsidRDefault="00AF310E" w:rsidP="0095542C">
      <w:pPr>
        <w:tabs>
          <w:tab w:val="left" w:pos="540"/>
          <w:tab w:val="left" w:pos="569"/>
        </w:tabs>
        <w:jc w:val="both"/>
        <w:rPr>
          <w:bCs/>
          <w:i/>
          <w:iCs/>
          <w:sz w:val="22"/>
          <w:szCs w:val="22"/>
          <w:u w:val="single"/>
          <w:lang w:val="sr-Latn-ME"/>
        </w:rPr>
      </w:pPr>
      <w:r w:rsidRPr="00F234A2">
        <w:rPr>
          <w:bCs/>
          <w:i/>
          <w:iCs/>
          <w:sz w:val="22"/>
          <w:szCs w:val="22"/>
          <w:u w:val="single"/>
          <w:lang w:val="sr-Latn-ME"/>
        </w:rPr>
        <w:t>Efekat hrane</w:t>
      </w:r>
    </w:p>
    <w:p w14:paraId="09B10127" w14:textId="14FFB344" w:rsidR="00AF310E" w:rsidRPr="00F234A2" w:rsidRDefault="00AF310E" w:rsidP="0095542C">
      <w:pPr>
        <w:tabs>
          <w:tab w:val="left" w:pos="540"/>
          <w:tab w:val="left" w:pos="569"/>
        </w:tabs>
        <w:jc w:val="both"/>
        <w:rPr>
          <w:bCs/>
          <w:sz w:val="22"/>
          <w:szCs w:val="22"/>
          <w:lang w:val="sr-Latn-ME"/>
        </w:rPr>
      </w:pPr>
      <w:r w:rsidRPr="00F234A2">
        <w:rPr>
          <w:bCs/>
          <w:sz w:val="22"/>
          <w:szCs w:val="22"/>
          <w:lang w:val="sr-Latn-ME"/>
        </w:rPr>
        <w:t>Uzimanje hrane smanjuje bioraspoloživost asciminiba, pri čemu obrok sa visokim ud</w:t>
      </w:r>
      <w:r w:rsidR="000B6873" w:rsidRPr="00F234A2">
        <w:rPr>
          <w:bCs/>
          <w:sz w:val="22"/>
          <w:szCs w:val="22"/>
          <w:lang w:val="sr-Latn-ME"/>
        </w:rPr>
        <w:t>j</w:t>
      </w:r>
      <w:r w:rsidRPr="00F234A2">
        <w:rPr>
          <w:bCs/>
          <w:sz w:val="22"/>
          <w:szCs w:val="22"/>
          <w:lang w:val="sr-Latn-ME"/>
        </w:rPr>
        <w:t>elom masti ima veći uticaj na farmakokinetiku asciminiba od nemasnog obroka. PIK asciminiba se smanjuje za 62,3% uz obrok s</w:t>
      </w:r>
      <w:r w:rsidR="00F52A6A" w:rsidRPr="00F234A2">
        <w:rPr>
          <w:bCs/>
          <w:sz w:val="22"/>
          <w:szCs w:val="22"/>
          <w:lang w:val="sr-Latn-ME"/>
        </w:rPr>
        <w:t>a</w:t>
      </w:r>
      <w:r w:rsidRPr="00F234A2">
        <w:rPr>
          <w:bCs/>
          <w:sz w:val="22"/>
          <w:szCs w:val="22"/>
          <w:lang w:val="sr-Latn-ME"/>
        </w:rPr>
        <w:t xml:space="preserve"> visokim ud</w:t>
      </w:r>
      <w:r w:rsidR="000B6873" w:rsidRPr="00F234A2">
        <w:rPr>
          <w:bCs/>
          <w:sz w:val="22"/>
          <w:szCs w:val="22"/>
          <w:lang w:val="sr-Latn-ME"/>
        </w:rPr>
        <w:t>j</w:t>
      </w:r>
      <w:r w:rsidRPr="00F234A2">
        <w:rPr>
          <w:bCs/>
          <w:sz w:val="22"/>
          <w:szCs w:val="22"/>
          <w:lang w:val="sr-Latn-ME"/>
        </w:rPr>
        <w:t>elom masti i za 30% uz nemasni obrok u poređenju sa gladovanjem (</w:t>
      </w:r>
      <w:r w:rsidR="0094593A" w:rsidRPr="00F234A2">
        <w:rPr>
          <w:bCs/>
          <w:sz w:val="22"/>
          <w:szCs w:val="22"/>
          <w:lang w:val="sr-Latn-ME"/>
        </w:rPr>
        <w:t>vidjet</w:t>
      </w:r>
      <w:r w:rsidRPr="00F234A2">
        <w:rPr>
          <w:bCs/>
          <w:sz w:val="22"/>
          <w:szCs w:val="22"/>
          <w:lang w:val="sr-Latn-ME"/>
        </w:rPr>
        <w:t>i d</w:t>
      </w:r>
      <w:r w:rsidR="000B6873" w:rsidRPr="00F234A2">
        <w:rPr>
          <w:bCs/>
          <w:sz w:val="22"/>
          <w:szCs w:val="22"/>
          <w:lang w:val="sr-Latn-ME"/>
        </w:rPr>
        <w:t>i</w:t>
      </w:r>
      <w:r w:rsidRPr="00F234A2">
        <w:rPr>
          <w:bCs/>
          <w:sz w:val="22"/>
          <w:szCs w:val="22"/>
          <w:lang w:val="sr-Latn-ME"/>
        </w:rPr>
        <w:t>o 4.2).</w:t>
      </w:r>
    </w:p>
    <w:p w14:paraId="3686B8E2" w14:textId="77777777" w:rsidR="00AF310E" w:rsidRPr="00F234A2" w:rsidRDefault="00AF310E" w:rsidP="0095542C">
      <w:pPr>
        <w:tabs>
          <w:tab w:val="left" w:pos="540"/>
          <w:tab w:val="left" w:pos="569"/>
        </w:tabs>
        <w:jc w:val="both"/>
        <w:rPr>
          <w:bCs/>
          <w:sz w:val="22"/>
          <w:szCs w:val="22"/>
          <w:lang w:val="sr-Latn-ME"/>
        </w:rPr>
      </w:pPr>
    </w:p>
    <w:p w14:paraId="0FC235CF" w14:textId="11FB8416" w:rsidR="00AF310E" w:rsidRPr="00F234A2" w:rsidRDefault="00F52A6A" w:rsidP="0095542C">
      <w:pPr>
        <w:tabs>
          <w:tab w:val="left" w:pos="540"/>
          <w:tab w:val="left" w:pos="569"/>
        </w:tabs>
        <w:jc w:val="both"/>
        <w:rPr>
          <w:bCs/>
          <w:sz w:val="22"/>
          <w:szCs w:val="22"/>
          <w:u w:val="single"/>
          <w:lang w:val="sr-Latn-ME"/>
        </w:rPr>
      </w:pPr>
      <w:r w:rsidRPr="00F234A2">
        <w:rPr>
          <w:bCs/>
          <w:sz w:val="22"/>
          <w:szCs w:val="22"/>
          <w:u w:val="single"/>
          <w:lang w:val="sr-Latn-ME"/>
        </w:rPr>
        <w:t>Distribucija</w:t>
      </w:r>
    </w:p>
    <w:p w14:paraId="289703CB" w14:textId="77777777" w:rsidR="00AF310E" w:rsidRPr="00F234A2" w:rsidRDefault="00AF310E" w:rsidP="0095542C">
      <w:pPr>
        <w:tabs>
          <w:tab w:val="left" w:pos="540"/>
          <w:tab w:val="left" w:pos="569"/>
        </w:tabs>
        <w:jc w:val="both"/>
        <w:rPr>
          <w:bCs/>
          <w:sz w:val="22"/>
          <w:szCs w:val="22"/>
          <w:lang w:val="sr-Latn-ME"/>
        </w:rPr>
      </w:pPr>
      <w:r w:rsidRPr="00F234A2">
        <w:rPr>
          <w:bCs/>
          <w:sz w:val="22"/>
          <w:szCs w:val="22"/>
          <w:lang w:val="sr-Latn-ME"/>
        </w:rPr>
        <w:tab/>
      </w:r>
    </w:p>
    <w:p w14:paraId="7BB658CE" w14:textId="75A3D7E6" w:rsidR="00AF310E" w:rsidRPr="00F234A2" w:rsidRDefault="00AF310E" w:rsidP="0095542C">
      <w:pPr>
        <w:tabs>
          <w:tab w:val="left" w:pos="540"/>
          <w:tab w:val="left" w:pos="569"/>
        </w:tabs>
        <w:jc w:val="both"/>
        <w:rPr>
          <w:bCs/>
          <w:sz w:val="22"/>
          <w:szCs w:val="22"/>
          <w:lang w:val="sr-Latn-ME"/>
        </w:rPr>
      </w:pPr>
      <w:r w:rsidRPr="00F234A2">
        <w:rPr>
          <w:bCs/>
          <w:sz w:val="22"/>
          <w:szCs w:val="22"/>
          <w:lang w:val="sr-Latn-ME"/>
        </w:rPr>
        <w:t xml:space="preserve">Prividni volumen distribucije asciminiba u stanju dinamičke ravnoteže iznosi 111 litara prema analizi populacione farmakokinetike. Asciminib se uglavnom distribuira u plazmu, sa srednjom </w:t>
      </w:r>
      <w:r w:rsidR="00472E1C" w:rsidRPr="00F234A2">
        <w:rPr>
          <w:bCs/>
          <w:sz w:val="22"/>
          <w:szCs w:val="22"/>
          <w:lang w:val="sr-Latn-ME"/>
        </w:rPr>
        <w:t>vrijedno</w:t>
      </w:r>
      <w:r w:rsidRPr="00F234A2">
        <w:rPr>
          <w:bCs/>
          <w:sz w:val="22"/>
          <w:szCs w:val="22"/>
          <w:lang w:val="sr-Latn-ME"/>
        </w:rPr>
        <w:t>šću odnosa koncentracije l</w:t>
      </w:r>
      <w:r w:rsidR="009930F3" w:rsidRPr="00F234A2">
        <w:rPr>
          <w:bCs/>
          <w:sz w:val="22"/>
          <w:szCs w:val="22"/>
          <w:lang w:val="sr-Latn-ME"/>
        </w:rPr>
        <w:t>ij</w:t>
      </w:r>
      <w:r w:rsidRPr="00F234A2">
        <w:rPr>
          <w:bCs/>
          <w:sz w:val="22"/>
          <w:szCs w:val="22"/>
          <w:lang w:val="sr-Latn-ME"/>
        </w:rPr>
        <w:t xml:space="preserve">eka u krvi i plazmi od 0,58, nezavisno od doze na osnovu </w:t>
      </w:r>
      <w:r w:rsidRPr="00F234A2">
        <w:rPr>
          <w:bCs/>
          <w:i/>
          <w:sz w:val="22"/>
          <w:szCs w:val="22"/>
          <w:lang w:val="sr-Latn-ME"/>
        </w:rPr>
        <w:t>in vitro</w:t>
      </w:r>
      <w:r w:rsidRPr="00F234A2">
        <w:rPr>
          <w:bCs/>
          <w:sz w:val="22"/>
          <w:szCs w:val="22"/>
          <w:lang w:val="sr-Latn-ME"/>
        </w:rPr>
        <w:t xml:space="preserve"> podataka. Asciminib se 97,3% veže za proteine ljudske plazme, nezavisno od doze.</w:t>
      </w:r>
    </w:p>
    <w:p w14:paraId="7FEDBE4B" w14:textId="5EAA4000" w:rsidR="00AF310E" w:rsidRPr="00F234A2" w:rsidRDefault="00AF310E" w:rsidP="0095542C">
      <w:pPr>
        <w:tabs>
          <w:tab w:val="left" w:pos="540"/>
          <w:tab w:val="left" w:pos="569"/>
        </w:tabs>
        <w:jc w:val="both"/>
        <w:rPr>
          <w:bCs/>
          <w:sz w:val="22"/>
          <w:szCs w:val="22"/>
          <w:lang w:val="sr-Latn-ME"/>
        </w:rPr>
      </w:pPr>
    </w:p>
    <w:p w14:paraId="3E2C18DC" w14:textId="77777777" w:rsidR="00AF310E" w:rsidRPr="00F234A2" w:rsidRDefault="00AF310E" w:rsidP="0095542C">
      <w:pPr>
        <w:tabs>
          <w:tab w:val="left" w:pos="540"/>
          <w:tab w:val="left" w:pos="569"/>
        </w:tabs>
        <w:jc w:val="both"/>
        <w:rPr>
          <w:bCs/>
          <w:sz w:val="22"/>
          <w:szCs w:val="22"/>
          <w:u w:val="single"/>
          <w:lang w:val="sr-Latn-ME"/>
        </w:rPr>
      </w:pPr>
      <w:r w:rsidRPr="00F234A2">
        <w:rPr>
          <w:bCs/>
          <w:sz w:val="22"/>
          <w:szCs w:val="22"/>
          <w:u w:val="single"/>
          <w:lang w:val="sr-Latn-ME"/>
        </w:rPr>
        <w:t>Biotransformacija</w:t>
      </w:r>
    </w:p>
    <w:p w14:paraId="3CC280EB" w14:textId="77777777" w:rsidR="00AF310E" w:rsidRPr="00F234A2" w:rsidRDefault="00AF310E" w:rsidP="0095542C">
      <w:pPr>
        <w:tabs>
          <w:tab w:val="left" w:pos="540"/>
          <w:tab w:val="left" w:pos="569"/>
        </w:tabs>
        <w:jc w:val="both"/>
        <w:rPr>
          <w:bCs/>
          <w:sz w:val="22"/>
          <w:szCs w:val="22"/>
          <w:lang w:val="sr-Latn-ME"/>
        </w:rPr>
      </w:pPr>
    </w:p>
    <w:p w14:paraId="44662A79" w14:textId="1BC005D6" w:rsidR="00AF310E" w:rsidRPr="00F234A2" w:rsidRDefault="00AF310E" w:rsidP="0095542C">
      <w:pPr>
        <w:tabs>
          <w:tab w:val="left" w:pos="540"/>
          <w:tab w:val="left" w:pos="569"/>
        </w:tabs>
        <w:jc w:val="both"/>
        <w:rPr>
          <w:bCs/>
          <w:sz w:val="22"/>
          <w:szCs w:val="22"/>
          <w:lang w:val="sr-Latn-ME"/>
        </w:rPr>
      </w:pPr>
      <w:r w:rsidRPr="00F234A2">
        <w:rPr>
          <w:bCs/>
          <w:sz w:val="22"/>
          <w:szCs w:val="22"/>
          <w:lang w:val="sr-Latn-ME"/>
        </w:rPr>
        <w:t xml:space="preserve">Asciminib se prvenstveno metaboliše putem oksidacije posredovane enzimom CYP3A4 i putem glukuronidacije posredovane enzimima UGT2B7 i UGT2B17. Asciminib je glavna cirkulišuća komponenta u plazmi (92,7% </w:t>
      </w:r>
      <w:r w:rsidR="0094593A" w:rsidRPr="00F234A2">
        <w:rPr>
          <w:bCs/>
          <w:sz w:val="22"/>
          <w:szCs w:val="22"/>
          <w:lang w:val="sr-Latn-ME"/>
        </w:rPr>
        <w:t>primijen</w:t>
      </w:r>
      <w:r w:rsidRPr="00F234A2">
        <w:rPr>
          <w:bCs/>
          <w:sz w:val="22"/>
          <w:szCs w:val="22"/>
          <w:lang w:val="sr-Latn-ME"/>
        </w:rPr>
        <w:t>jene doze).</w:t>
      </w:r>
    </w:p>
    <w:p w14:paraId="2C264C7C" w14:textId="5450F681" w:rsidR="00AF310E" w:rsidRPr="00F234A2" w:rsidRDefault="00AF310E" w:rsidP="0095542C">
      <w:pPr>
        <w:tabs>
          <w:tab w:val="left" w:pos="540"/>
          <w:tab w:val="left" w:pos="569"/>
        </w:tabs>
        <w:jc w:val="both"/>
        <w:rPr>
          <w:bCs/>
          <w:sz w:val="22"/>
          <w:szCs w:val="22"/>
          <w:lang w:val="sr-Latn-ME"/>
        </w:rPr>
      </w:pPr>
    </w:p>
    <w:p w14:paraId="15028C52" w14:textId="77777777" w:rsidR="00AF310E" w:rsidRPr="00F234A2" w:rsidRDefault="00AF310E" w:rsidP="0095542C">
      <w:pPr>
        <w:tabs>
          <w:tab w:val="left" w:pos="540"/>
          <w:tab w:val="left" w:pos="569"/>
        </w:tabs>
        <w:jc w:val="both"/>
        <w:rPr>
          <w:bCs/>
          <w:sz w:val="22"/>
          <w:szCs w:val="22"/>
          <w:u w:val="single"/>
          <w:lang w:val="sr-Latn-ME"/>
        </w:rPr>
      </w:pPr>
      <w:r w:rsidRPr="00F234A2">
        <w:rPr>
          <w:bCs/>
          <w:sz w:val="22"/>
          <w:szCs w:val="22"/>
          <w:u w:val="single"/>
          <w:lang w:val="sr-Latn-ME"/>
        </w:rPr>
        <w:t>Eliminacija</w:t>
      </w:r>
    </w:p>
    <w:p w14:paraId="1DCDEA5A" w14:textId="77777777" w:rsidR="00AF310E" w:rsidRPr="00F234A2" w:rsidRDefault="00AF310E" w:rsidP="0095542C">
      <w:pPr>
        <w:tabs>
          <w:tab w:val="left" w:pos="540"/>
          <w:tab w:val="left" w:pos="569"/>
        </w:tabs>
        <w:jc w:val="both"/>
        <w:rPr>
          <w:bCs/>
          <w:sz w:val="22"/>
          <w:szCs w:val="22"/>
          <w:lang w:val="sr-Latn-ME"/>
        </w:rPr>
      </w:pPr>
    </w:p>
    <w:p w14:paraId="410D9B50" w14:textId="3BA4BF77" w:rsidR="00AF310E" w:rsidRPr="00F234A2" w:rsidRDefault="00AF310E" w:rsidP="0095542C">
      <w:pPr>
        <w:tabs>
          <w:tab w:val="left" w:pos="540"/>
          <w:tab w:val="left" w:pos="569"/>
        </w:tabs>
        <w:jc w:val="both"/>
        <w:rPr>
          <w:bCs/>
          <w:sz w:val="22"/>
          <w:szCs w:val="22"/>
          <w:lang w:val="sr-Latn-ME"/>
        </w:rPr>
      </w:pPr>
      <w:r w:rsidRPr="00F234A2">
        <w:rPr>
          <w:bCs/>
          <w:sz w:val="22"/>
          <w:szCs w:val="22"/>
          <w:lang w:val="sr-Latn-ME"/>
        </w:rPr>
        <w:t xml:space="preserve">Asciminib se uglavnom eliminše putem fecesa, uz manji doprinos eliminacije putem bubrega. Osamdeset, tj. 11% doze asciminiba pronađeno je u fecesu, odnosno urinu zdravih ispitanika nakon oralne </w:t>
      </w:r>
      <w:r w:rsidR="0094593A" w:rsidRPr="00F234A2">
        <w:rPr>
          <w:bCs/>
          <w:sz w:val="22"/>
          <w:szCs w:val="22"/>
          <w:lang w:val="sr-Latn-ME"/>
        </w:rPr>
        <w:t>primjen</w:t>
      </w:r>
      <w:r w:rsidRPr="00F234A2">
        <w:rPr>
          <w:bCs/>
          <w:sz w:val="22"/>
          <w:szCs w:val="22"/>
          <w:lang w:val="sr-Latn-ME"/>
        </w:rPr>
        <w:t>e pojedinačne doze od 80 mg [</w:t>
      </w:r>
      <w:r w:rsidRPr="00F234A2">
        <w:rPr>
          <w:bCs/>
          <w:sz w:val="22"/>
          <w:szCs w:val="22"/>
          <w:vertAlign w:val="superscript"/>
          <w:lang w:val="sr-Latn-ME"/>
        </w:rPr>
        <w:t>14</w:t>
      </w:r>
      <w:r w:rsidRPr="00F234A2">
        <w:rPr>
          <w:bCs/>
          <w:sz w:val="22"/>
          <w:szCs w:val="22"/>
          <w:lang w:val="sr-Latn-ME"/>
        </w:rPr>
        <w:t xml:space="preserve">C] označenog asciminiba. Eliminacija nepromenjenog asciminiba putem fecesa predstavlja 56,7% </w:t>
      </w:r>
      <w:r w:rsidR="0094593A" w:rsidRPr="00F234A2">
        <w:rPr>
          <w:bCs/>
          <w:sz w:val="22"/>
          <w:szCs w:val="22"/>
          <w:lang w:val="sr-Latn-ME"/>
        </w:rPr>
        <w:t>primijen</w:t>
      </w:r>
      <w:r w:rsidRPr="00F234A2">
        <w:rPr>
          <w:bCs/>
          <w:sz w:val="22"/>
          <w:szCs w:val="22"/>
          <w:lang w:val="sr-Latn-ME"/>
        </w:rPr>
        <w:t>jene doze.</w:t>
      </w:r>
    </w:p>
    <w:p w14:paraId="6FF3083B" w14:textId="598FBB37" w:rsidR="00AF310E" w:rsidRPr="00F234A2" w:rsidRDefault="00AF310E" w:rsidP="0095542C">
      <w:pPr>
        <w:tabs>
          <w:tab w:val="left" w:pos="540"/>
          <w:tab w:val="left" w:pos="569"/>
        </w:tabs>
        <w:jc w:val="both"/>
        <w:rPr>
          <w:bCs/>
          <w:sz w:val="22"/>
          <w:szCs w:val="22"/>
          <w:lang w:val="sr-Latn-ME"/>
        </w:rPr>
      </w:pPr>
    </w:p>
    <w:p w14:paraId="4B5AFCD6" w14:textId="77777777" w:rsidR="00AF310E" w:rsidRPr="00F234A2" w:rsidRDefault="00AF310E" w:rsidP="0095542C">
      <w:pPr>
        <w:tabs>
          <w:tab w:val="left" w:pos="540"/>
          <w:tab w:val="left" w:pos="569"/>
        </w:tabs>
        <w:jc w:val="both"/>
        <w:rPr>
          <w:bCs/>
          <w:sz w:val="22"/>
          <w:szCs w:val="22"/>
          <w:lang w:val="sr-Latn-ME"/>
        </w:rPr>
      </w:pPr>
      <w:r w:rsidRPr="00F234A2">
        <w:rPr>
          <w:bCs/>
          <w:sz w:val="22"/>
          <w:szCs w:val="22"/>
          <w:lang w:val="sr-Latn-ME"/>
        </w:rPr>
        <w:t xml:space="preserve">Asciminib se eliminiše izlučivanjem žuči putem proteina rezistencije raka dojke (engl. </w:t>
      </w:r>
      <w:r w:rsidRPr="00F234A2">
        <w:rPr>
          <w:bCs/>
          <w:i/>
          <w:iCs/>
          <w:sz w:val="22"/>
          <w:szCs w:val="22"/>
          <w:lang w:val="sr-Latn-ME"/>
        </w:rPr>
        <w:t>breast cancer resistance protein</w:t>
      </w:r>
      <w:r w:rsidRPr="00F234A2">
        <w:rPr>
          <w:bCs/>
          <w:sz w:val="22"/>
          <w:szCs w:val="22"/>
          <w:lang w:val="sr-Latn-ME"/>
        </w:rPr>
        <w:t>, BCRP).</w:t>
      </w:r>
    </w:p>
    <w:p w14:paraId="7CA284B1" w14:textId="77777777" w:rsidR="00AF310E" w:rsidRPr="00F234A2" w:rsidRDefault="00AF310E" w:rsidP="0095542C">
      <w:pPr>
        <w:tabs>
          <w:tab w:val="left" w:pos="540"/>
          <w:tab w:val="left" w:pos="569"/>
        </w:tabs>
        <w:jc w:val="both"/>
        <w:rPr>
          <w:bCs/>
          <w:sz w:val="22"/>
          <w:szCs w:val="22"/>
          <w:lang w:val="sr-Latn-ME"/>
        </w:rPr>
      </w:pPr>
    </w:p>
    <w:p w14:paraId="7A0E0984" w14:textId="151143A7" w:rsidR="00AF310E" w:rsidRPr="00F234A2" w:rsidRDefault="00AF310E" w:rsidP="0095542C">
      <w:pPr>
        <w:tabs>
          <w:tab w:val="left" w:pos="540"/>
          <w:tab w:val="left" w:pos="569"/>
        </w:tabs>
        <w:jc w:val="both"/>
        <w:rPr>
          <w:bCs/>
          <w:sz w:val="22"/>
          <w:szCs w:val="22"/>
          <w:lang w:val="sr-Latn-ME"/>
        </w:rPr>
      </w:pPr>
      <w:r w:rsidRPr="00F234A2">
        <w:rPr>
          <w:bCs/>
          <w:sz w:val="22"/>
          <w:szCs w:val="22"/>
          <w:lang w:val="sr-Latn-ME"/>
        </w:rPr>
        <w:t xml:space="preserve">Ukupni klirens nakon oralne </w:t>
      </w:r>
      <w:r w:rsidR="0094593A" w:rsidRPr="00F234A2">
        <w:rPr>
          <w:bCs/>
          <w:sz w:val="22"/>
          <w:szCs w:val="22"/>
          <w:lang w:val="sr-Latn-ME"/>
        </w:rPr>
        <w:t>primjen</w:t>
      </w:r>
      <w:r w:rsidRPr="00F234A2">
        <w:rPr>
          <w:bCs/>
          <w:sz w:val="22"/>
          <w:szCs w:val="22"/>
          <w:lang w:val="sr-Latn-ME"/>
        </w:rPr>
        <w:t>e (CL/F) asciminiba je 6,31 l/sat</w:t>
      </w:r>
      <w:r w:rsidR="00C52EE0">
        <w:rPr>
          <w:bCs/>
          <w:sz w:val="22"/>
          <w:szCs w:val="22"/>
          <w:lang w:val="sr-Latn-ME"/>
        </w:rPr>
        <w:t xml:space="preserve"> </w:t>
      </w:r>
      <w:r w:rsidR="00C52EE0" w:rsidRPr="00C52EE0">
        <w:rPr>
          <w:iCs/>
          <w:sz w:val="22"/>
          <w:szCs w:val="22"/>
          <w:lang w:val="hr-HR"/>
        </w:rPr>
        <w:t>nakon doze od 40 mg dva puta dnevno</w:t>
      </w:r>
      <w:r w:rsidRPr="00F234A2">
        <w:rPr>
          <w:bCs/>
          <w:sz w:val="22"/>
          <w:szCs w:val="22"/>
          <w:lang w:val="sr-Latn-ME"/>
        </w:rPr>
        <w:t>, na osnovu analize populacione farmakokinetike. Poluvr</w:t>
      </w:r>
      <w:r w:rsidR="000B6873" w:rsidRPr="00F234A2">
        <w:rPr>
          <w:bCs/>
          <w:sz w:val="22"/>
          <w:szCs w:val="22"/>
          <w:lang w:val="sr-Latn-ME"/>
        </w:rPr>
        <w:t>ij</w:t>
      </w:r>
      <w:r w:rsidRPr="00F234A2">
        <w:rPr>
          <w:bCs/>
          <w:sz w:val="22"/>
          <w:szCs w:val="22"/>
          <w:lang w:val="sr-Latn-ME"/>
        </w:rPr>
        <w:t xml:space="preserve">eme eliminacije asciminiba je </w:t>
      </w:r>
      <w:r w:rsidR="00C52EE0" w:rsidRPr="00C52EE0">
        <w:rPr>
          <w:sz w:val="22"/>
          <w:lang w:val="hr-HR"/>
        </w:rPr>
        <w:t>između 7 i 1</w:t>
      </w:r>
      <w:r w:rsidRPr="00F234A2">
        <w:rPr>
          <w:bCs/>
          <w:sz w:val="22"/>
          <w:szCs w:val="22"/>
          <w:lang w:val="sr-Latn-ME"/>
        </w:rPr>
        <w:t>5 sat</w:t>
      </w:r>
      <w:r w:rsidR="00C52EE0">
        <w:rPr>
          <w:bCs/>
          <w:sz w:val="22"/>
          <w:szCs w:val="22"/>
          <w:lang w:val="sr-Latn-ME"/>
        </w:rPr>
        <w:t>i</w:t>
      </w:r>
      <w:r w:rsidRPr="00F234A2">
        <w:rPr>
          <w:bCs/>
          <w:sz w:val="22"/>
          <w:szCs w:val="22"/>
          <w:lang w:val="sr-Latn-ME"/>
        </w:rPr>
        <w:t xml:space="preserve"> pri dozi od 40 mg dva puta </w:t>
      </w:r>
      <w:r w:rsidR="00AF77BF">
        <w:rPr>
          <w:bCs/>
          <w:sz w:val="22"/>
          <w:szCs w:val="22"/>
          <w:lang w:val="sr-Latn-ME"/>
        </w:rPr>
        <w:t>dnevno</w:t>
      </w:r>
      <w:r w:rsidRPr="00F234A2">
        <w:rPr>
          <w:bCs/>
          <w:sz w:val="22"/>
          <w:szCs w:val="22"/>
          <w:lang w:val="sr-Latn-ME"/>
        </w:rPr>
        <w:t>.</w:t>
      </w:r>
    </w:p>
    <w:p w14:paraId="3CC19684" w14:textId="26FAD4CE" w:rsidR="00AF310E" w:rsidRPr="00F234A2" w:rsidRDefault="00AF310E" w:rsidP="0095542C">
      <w:pPr>
        <w:tabs>
          <w:tab w:val="left" w:pos="540"/>
          <w:tab w:val="left" w:pos="569"/>
        </w:tabs>
        <w:jc w:val="both"/>
        <w:rPr>
          <w:bCs/>
          <w:sz w:val="22"/>
          <w:szCs w:val="22"/>
          <w:lang w:val="sr-Latn-ME"/>
        </w:rPr>
      </w:pPr>
    </w:p>
    <w:p w14:paraId="58C6F1E0" w14:textId="77777777" w:rsidR="00AF310E" w:rsidRPr="00F234A2" w:rsidRDefault="00AF310E" w:rsidP="0095542C">
      <w:pPr>
        <w:tabs>
          <w:tab w:val="left" w:pos="540"/>
          <w:tab w:val="left" w:pos="569"/>
        </w:tabs>
        <w:jc w:val="both"/>
        <w:rPr>
          <w:bCs/>
          <w:sz w:val="22"/>
          <w:szCs w:val="22"/>
          <w:u w:val="single"/>
          <w:lang w:val="sr-Latn-ME"/>
        </w:rPr>
      </w:pPr>
      <w:r w:rsidRPr="00F234A2">
        <w:rPr>
          <w:bCs/>
          <w:sz w:val="22"/>
          <w:szCs w:val="22"/>
          <w:u w:val="single"/>
          <w:lang w:val="sr-Latn-ME"/>
        </w:rPr>
        <w:t>Linearnost/nelinearnost</w:t>
      </w:r>
    </w:p>
    <w:p w14:paraId="6339F969" w14:textId="77777777" w:rsidR="00AF310E" w:rsidRPr="00F234A2" w:rsidRDefault="00AF310E" w:rsidP="0095542C">
      <w:pPr>
        <w:tabs>
          <w:tab w:val="left" w:pos="540"/>
          <w:tab w:val="left" w:pos="569"/>
        </w:tabs>
        <w:jc w:val="both"/>
        <w:rPr>
          <w:bCs/>
          <w:sz w:val="22"/>
          <w:szCs w:val="22"/>
          <w:lang w:val="sr-Latn-ME"/>
        </w:rPr>
      </w:pPr>
    </w:p>
    <w:p w14:paraId="42222595" w14:textId="79070812" w:rsidR="00AF310E" w:rsidRPr="00F234A2" w:rsidRDefault="00AF310E" w:rsidP="0095542C">
      <w:pPr>
        <w:tabs>
          <w:tab w:val="left" w:pos="540"/>
          <w:tab w:val="left" w:pos="569"/>
        </w:tabs>
        <w:jc w:val="both"/>
        <w:rPr>
          <w:bCs/>
          <w:sz w:val="22"/>
          <w:szCs w:val="22"/>
          <w:lang w:val="sr-Latn-ME"/>
        </w:rPr>
      </w:pPr>
      <w:r w:rsidRPr="00F234A2">
        <w:rPr>
          <w:bCs/>
          <w:sz w:val="22"/>
          <w:szCs w:val="22"/>
          <w:lang w:val="sr-Latn-ME"/>
        </w:rPr>
        <w:t>Asciminib u stanju dinamičke ravnoteže pokazuje neznatno veće povećanje izloženosti (PIK i C</w:t>
      </w:r>
      <w:r w:rsidRPr="00F234A2">
        <w:rPr>
          <w:bCs/>
          <w:sz w:val="22"/>
          <w:szCs w:val="22"/>
          <w:vertAlign w:val="subscript"/>
          <w:lang w:val="sr-Latn-ME"/>
        </w:rPr>
        <w:t>max</w:t>
      </w:r>
      <w:r w:rsidRPr="00F234A2">
        <w:rPr>
          <w:bCs/>
          <w:sz w:val="22"/>
          <w:szCs w:val="22"/>
          <w:lang w:val="sr-Latn-ME"/>
        </w:rPr>
        <w:t>) od povećanja proporcionalnog povećanju doze, za c</w:t>
      </w:r>
      <w:r w:rsidR="00F52A6A" w:rsidRPr="00F234A2">
        <w:rPr>
          <w:bCs/>
          <w:sz w:val="22"/>
          <w:szCs w:val="22"/>
          <w:lang w:val="sr-Latn-ME"/>
        </w:rPr>
        <w:t>ijeli</w:t>
      </w:r>
      <w:r w:rsidRPr="00F234A2">
        <w:rPr>
          <w:bCs/>
          <w:sz w:val="22"/>
          <w:szCs w:val="22"/>
          <w:lang w:val="sr-Latn-ME"/>
        </w:rPr>
        <w:t xml:space="preserve"> raspon doza od 10 do 200 mg prim</w:t>
      </w:r>
      <w:r w:rsidR="0094593A" w:rsidRPr="00F234A2">
        <w:rPr>
          <w:bCs/>
          <w:sz w:val="22"/>
          <w:szCs w:val="22"/>
          <w:lang w:val="sr-Latn-ME"/>
        </w:rPr>
        <w:t>ij</w:t>
      </w:r>
      <w:r w:rsidRPr="00F234A2">
        <w:rPr>
          <w:bCs/>
          <w:sz w:val="22"/>
          <w:szCs w:val="22"/>
          <w:lang w:val="sr-Latn-ME"/>
        </w:rPr>
        <w:t>enjenih jednom ili dva puta na dan.</w:t>
      </w:r>
    </w:p>
    <w:p w14:paraId="3308A94F" w14:textId="77777777" w:rsidR="00AF310E" w:rsidRPr="00F234A2" w:rsidRDefault="00AF310E" w:rsidP="0095542C">
      <w:pPr>
        <w:tabs>
          <w:tab w:val="left" w:pos="540"/>
          <w:tab w:val="left" w:pos="569"/>
        </w:tabs>
        <w:jc w:val="both"/>
        <w:rPr>
          <w:bCs/>
          <w:sz w:val="22"/>
          <w:szCs w:val="22"/>
          <w:lang w:val="sr-Latn-ME"/>
        </w:rPr>
      </w:pPr>
    </w:p>
    <w:p w14:paraId="7FC2ACDD" w14:textId="29F38A81" w:rsidR="00AF310E" w:rsidRPr="00F234A2" w:rsidRDefault="00AF310E" w:rsidP="0095542C">
      <w:pPr>
        <w:tabs>
          <w:tab w:val="left" w:pos="540"/>
          <w:tab w:val="left" w:pos="569"/>
        </w:tabs>
        <w:jc w:val="both"/>
        <w:rPr>
          <w:bCs/>
          <w:sz w:val="22"/>
          <w:szCs w:val="22"/>
          <w:lang w:val="sr-Latn-ME"/>
        </w:rPr>
      </w:pPr>
      <w:r w:rsidRPr="00F234A2">
        <w:rPr>
          <w:bCs/>
          <w:sz w:val="22"/>
          <w:szCs w:val="22"/>
          <w:lang w:val="sr-Latn-ME"/>
        </w:rPr>
        <w:t>Geometrijska sredina odnosa akumulacije je približno dvostruka. Uslovi dinamičke ravnoteže postižu se u roku od 3 dana pri dozi od 40 mg dva puta na dan.</w:t>
      </w:r>
    </w:p>
    <w:p w14:paraId="7F15527F" w14:textId="700AD7F5" w:rsidR="00AF310E" w:rsidRPr="00F234A2" w:rsidRDefault="00AF310E" w:rsidP="0095542C">
      <w:pPr>
        <w:tabs>
          <w:tab w:val="left" w:pos="540"/>
          <w:tab w:val="left" w:pos="569"/>
        </w:tabs>
        <w:jc w:val="both"/>
        <w:rPr>
          <w:bCs/>
          <w:sz w:val="22"/>
          <w:szCs w:val="22"/>
          <w:lang w:val="sr-Latn-ME"/>
        </w:rPr>
      </w:pPr>
    </w:p>
    <w:p w14:paraId="1F9BF2D1" w14:textId="4314F25D" w:rsidR="00AF310E" w:rsidRDefault="00AF310E" w:rsidP="0095542C">
      <w:pPr>
        <w:tabs>
          <w:tab w:val="left" w:pos="540"/>
          <w:tab w:val="left" w:pos="569"/>
        </w:tabs>
        <w:jc w:val="both"/>
        <w:rPr>
          <w:bCs/>
          <w:sz w:val="22"/>
          <w:szCs w:val="22"/>
          <w:u w:val="single"/>
          <w:lang w:val="sr-Latn-ME"/>
        </w:rPr>
      </w:pPr>
      <w:r w:rsidRPr="00F234A2">
        <w:rPr>
          <w:bCs/>
          <w:i/>
          <w:iCs/>
          <w:sz w:val="22"/>
          <w:szCs w:val="22"/>
          <w:u w:val="single"/>
          <w:lang w:val="sr-Latn-ME"/>
        </w:rPr>
        <w:t>In vitro</w:t>
      </w:r>
      <w:r w:rsidRPr="00F234A2">
        <w:rPr>
          <w:bCs/>
          <w:sz w:val="22"/>
          <w:szCs w:val="22"/>
          <w:u w:val="single"/>
          <w:lang w:val="sr-Latn-ME"/>
        </w:rPr>
        <w:t xml:space="preserve"> evaluacija potencijala interakcije sa </w:t>
      </w:r>
      <w:r w:rsidR="009930F3" w:rsidRPr="00F234A2">
        <w:rPr>
          <w:bCs/>
          <w:sz w:val="22"/>
          <w:szCs w:val="22"/>
          <w:u w:val="single"/>
          <w:lang w:val="sr-Latn-ME"/>
        </w:rPr>
        <w:t>ljek</w:t>
      </w:r>
      <w:r w:rsidRPr="00F234A2">
        <w:rPr>
          <w:bCs/>
          <w:sz w:val="22"/>
          <w:szCs w:val="22"/>
          <w:u w:val="single"/>
          <w:lang w:val="sr-Latn-ME"/>
        </w:rPr>
        <w:t>ovima</w:t>
      </w:r>
    </w:p>
    <w:p w14:paraId="0B89452E" w14:textId="77777777" w:rsidR="00C52EE0" w:rsidRDefault="00C52EE0" w:rsidP="0095542C">
      <w:pPr>
        <w:tabs>
          <w:tab w:val="left" w:pos="540"/>
          <w:tab w:val="left" w:pos="569"/>
        </w:tabs>
        <w:jc w:val="both"/>
        <w:rPr>
          <w:bCs/>
          <w:sz w:val="22"/>
          <w:szCs w:val="22"/>
          <w:u w:val="single"/>
          <w:lang w:val="sr-Latn-ME"/>
        </w:rPr>
      </w:pPr>
    </w:p>
    <w:p w14:paraId="2C3F4CEE" w14:textId="237C2FFF" w:rsidR="00C52EE0" w:rsidRPr="0061372B" w:rsidRDefault="00C52EE0" w:rsidP="0061372B">
      <w:pPr>
        <w:jc w:val="both"/>
        <w:rPr>
          <w:rFonts w:eastAsia="MS Mincho"/>
          <w:iCs/>
          <w:sz w:val="22"/>
          <w:szCs w:val="22"/>
          <w:lang w:val="hr-HR" w:eastAsia="zh-CN"/>
        </w:rPr>
      </w:pPr>
      <w:r w:rsidRPr="00C52EE0">
        <w:rPr>
          <w:rFonts w:eastAsia="MS Mincho"/>
          <w:iCs/>
          <w:sz w:val="22"/>
          <w:szCs w:val="22"/>
          <w:lang w:val="hr-HR" w:eastAsia="zh-CN"/>
        </w:rPr>
        <w:t>Postoji nekoliko puteva metabolizma asciminiba, uključujući enzime CYP3A4, UGT2B7 i UGT2B17, a izlučuje se putem žuči pomoću BCRP transpotrera. L</w:t>
      </w:r>
      <w:r w:rsidR="0036308F">
        <w:rPr>
          <w:rFonts w:eastAsia="MS Mincho"/>
          <w:iCs/>
          <w:sz w:val="22"/>
          <w:szCs w:val="22"/>
          <w:lang w:val="hr-HR" w:eastAsia="zh-CN"/>
        </w:rPr>
        <w:t>j</w:t>
      </w:r>
      <w:r w:rsidRPr="00C52EE0">
        <w:rPr>
          <w:rFonts w:eastAsia="MS Mincho"/>
          <w:iCs/>
          <w:sz w:val="22"/>
          <w:szCs w:val="22"/>
          <w:lang w:val="hr-HR" w:eastAsia="zh-CN"/>
        </w:rPr>
        <w:t>ekovi koji inhibiraju ili indukuju CYP3A4, UGT i/ili BCRP puteve bi mogli prom</w:t>
      </w:r>
      <w:r w:rsidR="0036308F">
        <w:rPr>
          <w:rFonts w:eastAsia="MS Mincho"/>
          <w:iCs/>
          <w:sz w:val="22"/>
          <w:szCs w:val="22"/>
          <w:lang w:val="hr-HR" w:eastAsia="zh-CN"/>
        </w:rPr>
        <w:t>ij</w:t>
      </w:r>
      <w:r w:rsidRPr="00C52EE0">
        <w:rPr>
          <w:rFonts w:eastAsia="MS Mincho"/>
          <w:iCs/>
          <w:sz w:val="22"/>
          <w:szCs w:val="22"/>
          <w:lang w:val="hr-HR" w:eastAsia="zh-CN"/>
        </w:rPr>
        <w:t>eniti izloženost asciminibu.</w:t>
      </w:r>
    </w:p>
    <w:p w14:paraId="3CBEEEBA" w14:textId="77777777" w:rsidR="00AF310E" w:rsidRPr="00F234A2" w:rsidRDefault="00AF310E" w:rsidP="00C52EE0">
      <w:pPr>
        <w:tabs>
          <w:tab w:val="left" w:pos="540"/>
          <w:tab w:val="left" w:pos="569"/>
        </w:tabs>
        <w:jc w:val="both"/>
        <w:rPr>
          <w:bCs/>
          <w:sz w:val="22"/>
          <w:szCs w:val="22"/>
          <w:lang w:val="sr-Latn-ME"/>
        </w:rPr>
      </w:pPr>
    </w:p>
    <w:p w14:paraId="03D93542" w14:textId="77777777" w:rsidR="00AF310E" w:rsidRPr="00F234A2" w:rsidRDefault="00AF310E" w:rsidP="00C52EE0">
      <w:pPr>
        <w:tabs>
          <w:tab w:val="left" w:pos="540"/>
          <w:tab w:val="left" w:pos="569"/>
        </w:tabs>
        <w:jc w:val="both"/>
        <w:rPr>
          <w:bCs/>
          <w:i/>
          <w:iCs/>
          <w:sz w:val="22"/>
          <w:szCs w:val="22"/>
          <w:u w:val="single"/>
          <w:lang w:val="sr-Latn-ME"/>
        </w:rPr>
      </w:pPr>
      <w:r w:rsidRPr="00F234A2">
        <w:rPr>
          <w:bCs/>
          <w:i/>
          <w:iCs/>
          <w:sz w:val="22"/>
          <w:szCs w:val="22"/>
          <w:u w:val="single"/>
          <w:lang w:val="sr-Latn-ME"/>
        </w:rPr>
        <w:t>CYP450 i UGT enzimi</w:t>
      </w:r>
    </w:p>
    <w:p w14:paraId="3EDCD6BB" w14:textId="220162FC" w:rsidR="00AF310E" w:rsidRPr="0061372B" w:rsidRDefault="00AF310E" w:rsidP="0061372B">
      <w:pPr>
        <w:pStyle w:val="Text"/>
        <w:spacing w:before="0"/>
        <w:rPr>
          <w:iCs/>
          <w:sz w:val="22"/>
          <w:szCs w:val="22"/>
          <w:lang w:val="hr-HR"/>
        </w:rPr>
      </w:pPr>
      <w:r w:rsidRPr="00F234A2">
        <w:rPr>
          <w:bCs/>
          <w:i/>
          <w:iCs/>
          <w:sz w:val="22"/>
          <w:szCs w:val="22"/>
          <w:lang w:val="sr-Latn-ME"/>
        </w:rPr>
        <w:t>In vitro</w:t>
      </w:r>
      <w:r w:rsidRPr="00F234A2">
        <w:rPr>
          <w:bCs/>
          <w:sz w:val="22"/>
          <w:szCs w:val="22"/>
          <w:lang w:val="sr-Latn-ME"/>
        </w:rPr>
        <w:t>, asciminib reverzibilno inhibiše CYP3A4/5, CYP2C9 i UGT1A1 pri koncentracijama u plazmi koje se postižu dozom od 40 mg dva puta na dan.</w:t>
      </w:r>
      <w:r w:rsidR="00C52EE0" w:rsidRPr="00C52EE0">
        <w:rPr>
          <w:iCs/>
          <w:sz w:val="22"/>
          <w:szCs w:val="22"/>
          <w:lang w:val="hr-HR"/>
        </w:rPr>
        <w:t xml:space="preserve"> Asciminib može da poveća izloženost l</w:t>
      </w:r>
      <w:r w:rsidR="0036308F">
        <w:rPr>
          <w:iCs/>
          <w:sz w:val="22"/>
          <w:szCs w:val="22"/>
          <w:lang w:val="hr-HR"/>
        </w:rPr>
        <w:t>j</w:t>
      </w:r>
      <w:r w:rsidR="00C52EE0" w:rsidRPr="00C52EE0">
        <w:rPr>
          <w:iCs/>
          <w:sz w:val="22"/>
          <w:szCs w:val="22"/>
          <w:lang w:val="hr-HR"/>
        </w:rPr>
        <w:t>ekovima koji su supstrati CYP3A4/5 i CYP2C9 (vid</w:t>
      </w:r>
      <w:r w:rsidR="0036308F">
        <w:rPr>
          <w:iCs/>
          <w:sz w:val="22"/>
          <w:szCs w:val="22"/>
          <w:lang w:val="hr-HR"/>
        </w:rPr>
        <w:t>j</w:t>
      </w:r>
      <w:r w:rsidR="00C52EE0" w:rsidRPr="00C52EE0">
        <w:rPr>
          <w:iCs/>
          <w:sz w:val="22"/>
          <w:szCs w:val="22"/>
          <w:lang w:val="hr-HR"/>
        </w:rPr>
        <w:t xml:space="preserve">eti </w:t>
      </w:r>
      <w:r w:rsidR="00E0425D">
        <w:rPr>
          <w:iCs/>
          <w:sz w:val="22"/>
          <w:szCs w:val="22"/>
          <w:lang w:val="hr-HR"/>
        </w:rPr>
        <w:t>dio</w:t>
      </w:r>
      <w:r w:rsidR="00E0425D" w:rsidRPr="00C52EE0">
        <w:rPr>
          <w:iCs/>
          <w:sz w:val="22"/>
          <w:szCs w:val="22"/>
          <w:lang w:val="hr-HR"/>
        </w:rPr>
        <w:t> </w:t>
      </w:r>
      <w:r w:rsidR="00C52EE0" w:rsidRPr="00C52EE0">
        <w:rPr>
          <w:iCs/>
          <w:sz w:val="22"/>
          <w:szCs w:val="22"/>
          <w:lang w:val="hr-HR"/>
        </w:rPr>
        <w:t>4.5).</w:t>
      </w:r>
    </w:p>
    <w:p w14:paraId="39268ECA" w14:textId="77777777" w:rsidR="00AF310E" w:rsidRPr="00F234A2" w:rsidRDefault="00AF310E" w:rsidP="00C52EE0">
      <w:pPr>
        <w:tabs>
          <w:tab w:val="left" w:pos="540"/>
          <w:tab w:val="left" w:pos="569"/>
        </w:tabs>
        <w:jc w:val="both"/>
        <w:rPr>
          <w:bCs/>
          <w:sz w:val="22"/>
          <w:szCs w:val="22"/>
          <w:lang w:val="sr-Latn-ME"/>
        </w:rPr>
      </w:pPr>
    </w:p>
    <w:p w14:paraId="1740A078" w14:textId="77777777" w:rsidR="00AF310E" w:rsidRPr="00F234A2" w:rsidRDefault="00AF310E" w:rsidP="0095542C">
      <w:pPr>
        <w:tabs>
          <w:tab w:val="left" w:pos="540"/>
          <w:tab w:val="left" w:pos="569"/>
        </w:tabs>
        <w:jc w:val="both"/>
        <w:rPr>
          <w:bCs/>
          <w:i/>
          <w:iCs/>
          <w:sz w:val="22"/>
          <w:szCs w:val="22"/>
          <w:u w:val="single"/>
          <w:lang w:val="sr-Latn-ME"/>
        </w:rPr>
      </w:pPr>
      <w:r w:rsidRPr="00F234A2">
        <w:rPr>
          <w:bCs/>
          <w:i/>
          <w:iCs/>
          <w:sz w:val="22"/>
          <w:szCs w:val="22"/>
          <w:u w:val="single"/>
          <w:lang w:val="sr-Latn-ME"/>
        </w:rPr>
        <w:t>Transporteri</w:t>
      </w:r>
    </w:p>
    <w:p w14:paraId="2558E134" w14:textId="2A3F22B5" w:rsidR="00AF310E" w:rsidRPr="00F234A2" w:rsidRDefault="00AF310E" w:rsidP="0095542C">
      <w:pPr>
        <w:tabs>
          <w:tab w:val="left" w:pos="540"/>
          <w:tab w:val="left" w:pos="569"/>
        </w:tabs>
        <w:jc w:val="both"/>
        <w:rPr>
          <w:bCs/>
          <w:sz w:val="22"/>
          <w:szCs w:val="22"/>
          <w:lang w:val="sr-Latn-ME"/>
        </w:rPr>
      </w:pPr>
      <w:r w:rsidRPr="00F234A2">
        <w:rPr>
          <w:bCs/>
          <w:sz w:val="22"/>
          <w:szCs w:val="22"/>
          <w:lang w:val="sr-Latn-ME"/>
        </w:rPr>
        <w:t>Asciminib je supstrat BCRP-a i P</w:t>
      </w:r>
      <w:r w:rsidR="00E0425D">
        <w:rPr>
          <w:bCs/>
          <w:sz w:val="22"/>
          <w:szCs w:val="22"/>
          <w:lang w:val="sr-Latn-ME"/>
        </w:rPr>
        <w:t>-</w:t>
      </w:r>
      <w:r w:rsidRPr="00F234A2">
        <w:rPr>
          <w:bCs/>
          <w:sz w:val="22"/>
          <w:szCs w:val="22"/>
          <w:lang w:val="sr-Latn-ME"/>
        </w:rPr>
        <w:t>glikoproteina.</w:t>
      </w:r>
    </w:p>
    <w:p w14:paraId="5DC457EA" w14:textId="77777777" w:rsidR="00AF310E" w:rsidRPr="00F234A2" w:rsidRDefault="00AF310E" w:rsidP="0095542C">
      <w:pPr>
        <w:tabs>
          <w:tab w:val="left" w:pos="540"/>
          <w:tab w:val="left" w:pos="569"/>
        </w:tabs>
        <w:jc w:val="both"/>
        <w:rPr>
          <w:bCs/>
          <w:sz w:val="22"/>
          <w:szCs w:val="22"/>
          <w:lang w:val="sr-Latn-ME"/>
        </w:rPr>
      </w:pPr>
    </w:p>
    <w:p w14:paraId="020C9EEE" w14:textId="44C7D8CC" w:rsidR="00C52EE0" w:rsidRPr="00C52EE0" w:rsidRDefault="00AF310E" w:rsidP="00EE19E6">
      <w:pPr>
        <w:pStyle w:val="Text"/>
        <w:spacing w:before="0"/>
        <w:rPr>
          <w:iCs/>
          <w:szCs w:val="22"/>
          <w:lang w:val="hr-HR"/>
        </w:rPr>
      </w:pPr>
      <w:r w:rsidRPr="00F234A2">
        <w:rPr>
          <w:bCs/>
          <w:sz w:val="22"/>
          <w:szCs w:val="22"/>
          <w:lang w:val="sr-Latn-ME"/>
        </w:rPr>
        <w:t>Asciminib inhibira BCRP</w:t>
      </w:r>
      <w:r w:rsidR="00C52EE0">
        <w:rPr>
          <w:bCs/>
          <w:sz w:val="22"/>
          <w:szCs w:val="22"/>
          <w:lang w:val="sr-Latn-ME"/>
        </w:rPr>
        <w:t>,</w:t>
      </w:r>
      <w:r w:rsidRPr="00F234A2">
        <w:rPr>
          <w:bCs/>
          <w:sz w:val="22"/>
          <w:szCs w:val="22"/>
          <w:lang w:val="sr-Latn-ME"/>
        </w:rPr>
        <w:t xml:space="preserve"> P</w:t>
      </w:r>
      <w:r w:rsidR="00E0425D">
        <w:rPr>
          <w:bCs/>
          <w:sz w:val="22"/>
          <w:szCs w:val="22"/>
          <w:lang w:val="sr-Latn-ME"/>
        </w:rPr>
        <w:t>-</w:t>
      </w:r>
      <w:r w:rsidRPr="00F234A2">
        <w:rPr>
          <w:bCs/>
          <w:sz w:val="22"/>
          <w:szCs w:val="22"/>
          <w:lang w:val="sr-Latn-ME"/>
        </w:rPr>
        <w:t xml:space="preserve">glikoprotein </w:t>
      </w:r>
      <w:r w:rsidR="00C52EE0" w:rsidRPr="00722D51">
        <w:rPr>
          <w:iCs/>
          <w:szCs w:val="22"/>
          <w:lang w:val="hr-HR"/>
        </w:rPr>
        <w:t>i OATP1B</w:t>
      </w:r>
      <w:r w:rsidR="00C52EE0" w:rsidRPr="00F234A2">
        <w:rPr>
          <w:bCs/>
          <w:sz w:val="22"/>
          <w:szCs w:val="22"/>
          <w:lang w:val="sr-Latn-ME"/>
        </w:rPr>
        <w:t xml:space="preserve"> </w:t>
      </w:r>
      <w:r w:rsidRPr="00F234A2">
        <w:rPr>
          <w:bCs/>
          <w:sz w:val="22"/>
          <w:szCs w:val="22"/>
          <w:lang w:val="sr-Latn-ME"/>
        </w:rPr>
        <w:t xml:space="preserve">sa Ki </w:t>
      </w:r>
      <w:r w:rsidR="00472E1C" w:rsidRPr="00F234A2">
        <w:rPr>
          <w:bCs/>
          <w:sz w:val="22"/>
          <w:szCs w:val="22"/>
          <w:lang w:val="sr-Latn-ME"/>
        </w:rPr>
        <w:t>vrijedno</w:t>
      </w:r>
      <w:r w:rsidRPr="00F234A2">
        <w:rPr>
          <w:bCs/>
          <w:sz w:val="22"/>
          <w:szCs w:val="22"/>
          <w:lang w:val="sr-Latn-ME"/>
        </w:rPr>
        <w:t>stima od 24,</w:t>
      </w:r>
      <w:r w:rsidR="00C52EE0">
        <w:rPr>
          <w:bCs/>
          <w:sz w:val="22"/>
          <w:szCs w:val="22"/>
          <w:lang w:val="sr-Latn-ME"/>
        </w:rPr>
        <w:t xml:space="preserve"> 22</w:t>
      </w:r>
      <w:r w:rsidRPr="00F234A2">
        <w:rPr>
          <w:bCs/>
          <w:sz w:val="22"/>
          <w:szCs w:val="22"/>
          <w:lang w:val="sr-Latn-ME"/>
        </w:rPr>
        <w:t xml:space="preserve"> odnosno 2 mikromola/l.</w:t>
      </w:r>
      <w:r w:rsidR="00C52EE0" w:rsidRPr="00C52EE0">
        <w:rPr>
          <w:iCs/>
          <w:sz w:val="22"/>
          <w:szCs w:val="22"/>
          <w:lang w:val="hr-HR"/>
        </w:rPr>
        <w:t xml:space="preserve"> Na osnovu PBPK modela, asciminib može da poveća izloženost l</w:t>
      </w:r>
      <w:r w:rsidR="0036308F">
        <w:rPr>
          <w:iCs/>
          <w:sz w:val="22"/>
          <w:szCs w:val="22"/>
          <w:lang w:val="hr-HR"/>
        </w:rPr>
        <w:t>j</w:t>
      </w:r>
      <w:r w:rsidR="00C52EE0" w:rsidRPr="00C52EE0">
        <w:rPr>
          <w:iCs/>
          <w:sz w:val="22"/>
          <w:szCs w:val="22"/>
          <w:lang w:val="hr-HR"/>
        </w:rPr>
        <w:t xml:space="preserve">ekovima koji su supstrati </w:t>
      </w:r>
      <w:r w:rsidR="009F1D15" w:rsidRPr="009F1D15">
        <w:rPr>
          <w:iCs/>
          <w:sz w:val="22"/>
          <w:szCs w:val="22"/>
          <w:lang w:val="hr-HR"/>
        </w:rPr>
        <w:t>P</w:t>
      </w:r>
      <w:r w:rsidR="009F1D15" w:rsidRPr="009F1D15">
        <w:rPr>
          <w:iCs/>
          <w:sz w:val="22"/>
          <w:szCs w:val="22"/>
          <w:lang w:val="hr-HR"/>
        </w:rPr>
        <w:noBreakHyphen/>
        <w:t>gp i BCRP</w:t>
      </w:r>
      <w:r w:rsidR="00C52EE0" w:rsidRPr="00C52EE0">
        <w:rPr>
          <w:iCs/>
          <w:sz w:val="22"/>
          <w:szCs w:val="22"/>
          <w:lang w:val="hr-HR"/>
        </w:rPr>
        <w:t xml:space="preserve"> transportera.</w:t>
      </w:r>
    </w:p>
    <w:p w14:paraId="6B0BBBBA" w14:textId="3939BC12" w:rsidR="00AF310E" w:rsidRPr="00F234A2" w:rsidRDefault="00AF310E" w:rsidP="0095542C">
      <w:pPr>
        <w:tabs>
          <w:tab w:val="left" w:pos="540"/>
          <w:tab w:val="left" w:pos="569"/>
        </w:tabs>
        <w:jc w:val="both"/>
        <w:rPr>
          <w:bCs/>
          <w:sz w:val="22"/>
          <w:szCs w:val="22"/>
          <w:lang w:val="sr-Latn-ME"/>
        </w:rPr>
      </w:pPr>
    </w:p>
    <w:p w14:paraId="5364C3E6" w14:textId="22E779FE" w:rsidR="00AF310E" w:rsidRPr="00F234A2" w:rsidRDefault="00AF310E" w:rsidP="0095542C">
      <w:pPr>
        <w:tabs>
          <w:tab w:val="left" w:pos="540"/>
          <w:tab w:val="left" w:pos="569"/>
        </w:tabs>
        <w:jc w:val="both"/>
        <w:rPr>
          <w:bCs/>
          <w:sz w:val="22"/>
          <w:szCs w:val="22"/>
          <w:u w:val="single"/>
          <w:lang w:val="sr-Latn-ME"/>
        </w:rPr>
      </w:pPr>
      <w:r w:rsidRPr="00F234A2">
        <w:rPr>
          <w:bCs/>
          <w:sz w:val="22"/>
          <w:szCs w:val="22"/>
          <w:u w:val="single"/>
          <w:lang w:val="sr-Latn-ME"/>
        </w:rPr>
        <w:t>Posebne populacije</w:t>
      </w:r>
    </w:p>
    <w:p w14:paraId="3FB58662" w14:textId="254C5117" w:rsidR="00AF310E" w:rsidRPr="00F234A2" w:rsidRDefault="00AF310E" w:rsidP="0095542C">
      <w:pPr>
        <w:tabs>
          <w:tab w:val="left" w:pos="540"/>
          <w:tab w:val="left" w:pos="569"/>
        </w:tabs>
        <w:jc w:val="both"/>
        <w:rPr>
          <w:bCs/>
          <w:sz w:val="22"/>
          <w:szCs w:val="22"/>
          <w:lang w:val="sr-Latn-ME"/>
        </w:rPr>
      </w:pPr>
    </w:p>
    <w:p w14:paraId="49D2CEE9" w14:textId="4A121EDC" w:rsidR="00AF310E" w:rsidRPr="00F234A2" w:rsidRDefault="00AF310E" w:rsidP="0095542C">
      <w:pPr>
        <w:tabs>
          <w:tab w:val="left" w:pos="540"/>
          <w:tab w:val="left" w:pos="569"/>
        </w:tabs>
        <w:jc w:val="both"/>
        <w:rPr>
          <w:bCs/>
          <w:i/>
          <w:iCs/>
          <w:sz w:val="22"/>
          <w:szCs w:val="22"/>
          <w:u w:val="single"/>
          <w:lang w:val="sr-Latn-ME"/>
        </w:rPr>
      </w:pPr>
      <w:r w:rsidRPr="00F234A2">
        <w:rPr>
          <w:bCs/>
          <w:i/>
          <w:iCs/>
          <w:sz w:val="22"/>
          <w:szCs w:val="22"/>
          <w:u w:val="single"/>
          <w:lang w:val="sr-Latn-ME"/>
        </w:rPr>
        <w:t xml:space="preserve">Uticaj godina, pola, rase i </w:t>
      </w:r>
      <w:r w:rsidR="000B6873" w:rsidRPr="00F234A2">
        <w:rPr>
          <w:bCs/>
          <w:i/>
          <w:iCs/>
          <w:sz w:val="22"/>
          <w:szCs w:val="22"/>
          <w:u w:val="single"/>
          <w:lang w:val="sr-Latn-ME"/>
        </w:rPr>
        <w:t>tj</w:t>
      </w:r>
      <w:r w:rsidRPr="00F234A2">
        <w:rPr>
          <w:bCs/>
          <w:i/>
          <w:iCs/>
          <w:sz w:val="22"/>
          <w:szCs w:val="22"/>
          <w:u w:val="single"/>
          <w:lang w:val="sr-Latn-ME"/>
        </w:rPr>
        <w:t xml:space="preserve">elesne mase </w:t>
      </w:r>
    </w:p>
    <w:p w14:paraId="7BCF9C45" w14:textId="21FBFDA5" w:rsidR="00AF310E" w:rsidRPr="00F234A2" w:rsidRDefault="00AF310E" w:rsidP="0095542C">
      <w:pPr>
        <w:tabs>
          <w:tab w:val="left" w:pos="540"/>
          <w:tab w:val="left" w:pos="569"/>
        </w:tabs>
        <w:jc w:val="both"/>
        <w:rPr>
          <w:bCs/>
          <w:sz w:val="22"/>
          <w:szCs w:val="22"/>
          <w:lang w:val="sr-Latn-ME"/>
        </w:rPr>
      </w:pPr>
      <w:r w:rsidRPr="00F234A2">
        <w:rPr>
          <w:bCs/>
          <w:sz w:val="22"/>
          <w:szCs w:val="22"/>
          <w:lang w:val="sr-Latn-ME"/>
        </w:rPr>
        <w:t>Na sistemsku izloženost asciminibu ne utiču pol, rasa ili t</w:t>
      </w:r>
      <w:r w:rsidR="000B6873" w:rsidRPr="00F234A2">
        <w:rPr>
          <w:bCs/>
          <w:sz w:val="22"/>
          <w:szCs w:val="22"/>
          <w:lang w:val="sr-Latn-ME"/>
        </w:rPr>
        <w:t>j</w:t>
      </w:r>
      <w:r w:rsidRPr="00F234A2">
        <w:rPr>
          <w:bCs/>
          <w:sz w:val="22"/>
          <w:szCs w:val="22"/>
          <w:lang w:val="sr-Latn-ME"/>
        </w:rPr>
        <w:t>elesna masa u bilo kojoj klinički značajnoj m</w:t>
      </w:r>
      <w:r w:rsidR="00F52A6A" w:rsidRPr="00F234A2">
        <w:rPr>
          <w:bCs/>
          <w:sz w:val="22"/>
          <w:szCs w:val="22"/>
          <w:lang w:val="sr-Latn-ME"/>
        </w:rPr>
        <w:t>j</w:t>
      </w:r>
      <w:r w:rsidRPr="00F234A2">
        <w:rPr>
          <w:bCs/>
          <w:sz w:val="22"/>
          <w:szCs w:val="22"/>
          <w:lang w:val="sr-Latn-ME"/>
        </w:rPr>
        <w:t>eri.</w:t>
      </w:r>
    </w:p>
    <w:p w14:paraId="47C93556" w14:textId="4C59E00A" w:rsidR="00AF310E" w:rsidRPr="00F234A2" w:rsidRDefault="00AF310E" w:rsidP="0095542C">
      <w:pPr>
        <w:tabs>
          <w:tab w:val="left" w:pos="540"/>
          <w:tab w:val="left" w:pos="569"/>
        </w:tabs>
        <w:jc w:val="both"/>
        <w:rPr>
          <w:bCs/>
          <w:sz w:val="22"/>
          <w:szCs w:val="22"/>
          <w:lang w:val="sr-Latn-ME"/>
        </w:rPr>
      </w:pPr>
    </w:p>
    <w:p w14:paraId="7BE092B5" w14:textId="77777777" w:rsidR="00AF310E" w:rsidRPr="00F234A2" w:rsidRDefault="00AF310E" w:rsidP="0095542C">
      <w:pPr>
        <w:tabs>
          <w:tab w:val="left" w:pos="540"/>
          <w:tab w:val="left" w:pos="569"/>
        </w:tabs>
        <w:jc w:val="both"/>
        <w:rPr>
          <w:bCs/>
          <w:i/>
          <w:iCs/>
          <w:sz w:val="22"/>
          <w:szCs w:val="22"/>
          <w:u w:val="single"/>
          <w:lang w:val="sr-Latn-ME"/>
        </w:rPr>
      </w:pPr>
      <w:r w:rsidRPr="00F234A2">
        <w:rPr>
          <w:bCs/>
          <w:i/>
          <w:iCs/>
          <w:sz w:val="22"/>
          <w:szCs w:val="22"/>
          <w:u w:val="single"/>
          <w:lang w:val="sr-Latn-ME"/>
        </w:rPr>
        <w:t>Oštećenje funkcije bubrega</w:t>
      </w:r>
    </w:p>
    <w:p w14:paraId="2EF4C816" w14:textId="1CA6886C" w:rsidR="00AF310E" w:rsidRPr="00F234A2" w:rsidRDefault="00AF310E" w:rsidP="0095542C">
      <w:pPr>
        <w:tabs>
          <w:tab w:val="left" w:pos="540"/>
          <w:tab w:val="left" w:pos="569"/>
        </w:tabs>
        <w:jc w:val="both"/>
        <w:rPr>
          <w:bCs/>
          <w:sz w:val="22"/>
          <w:szCs w:val="22"/>
          <w:lang w:val="sr-Latn-ME"/>
        </w:rPr>
      </w:pPr>
      <w:r w:rsidRPr="00F234A2">
        <w:rPr>
          <w:bCs/>
          <w:sz w:val="22"/>
          <w:szCs w:val="22"/>
          <w:lang w:val="sr-Latn-ME"/>
        </w:rPr>
        <w:t xml:space="preserve">Sprovedeno je posebno ispitivanje za oštećenje funkcije bubrega u koje je bilo uključeno 6 ispitanika sa normalnom funkcijom bubrega (apsolutna brzina glomerularne filtracije [aGFR] ≥ 90 ml/min) i 8 ispitanika sa teškim oštećenjem funkcije bubrega kojima nije bila potrebna dijaliza (aGFR 15 to &lt; 30 ml/min). </w:t>
      </w:r>
      <w:r w:rsidR="00472E1C" w:rsidRPr="00F234A2">
        <w:rPr>
          <w:bCs/>
          <w:sz w:val="22"/>
          <w:szCs w:val="22"/>
          <w:lang w:val="sr-Latn-ME"/>
        </w:rPr>
        <w:t>Vrijedno</w:t>
      </w:r>
      <w:r w:rsidRPr="00F234A2">
        <w:rPr>
          <w:bCs/>
          <w:sz w:val="22"/>
          <w:szCs w:val="22"/>
          <w:lang w:val="sr-Latn-ME"/>
        </w:rPr>
        <w:t>sti PIK</w:t>
      </w:r>
      <w:r w:rsidRPr="00F234A2">
        <w:rPr>
          <w:bCs/>
          <w:sz w:val="22"/>
          <w:szCs w:val="22"/>
          <w:vertAlign w:val="subscript"/>
          <w:lang w:val="sr-Latn-ME"/>
        </w:rPr>
        <w:t>inf</w:t>
      </w:r>
      <w:r w:rsidRPr="00F234A2">
        <w:rPr>
          <w:bCs/>
          <w:sz w:val="22"/>
          <w:szCs w:val="22"/>
          <w:lang w:val="sr-Latn-ME"/>
        </w:rPr>
        <w:t xml:space="preserve"> i C</w:t>
      </w:r>
      <w:r w:rsidRPr="00F234A2">
        <w:rPr>
          <w:bCs/>
          <w:sz w:val="22"/>
          <w:szCs w:val="22"/>
          <w:vertAlign w:val="subscript"/>
          <w:lang w:val="sr-Latn-ME"/>
        </w:rPr>
        <w:t>max</w:t>
      </w:r>
      <w:r w:rsidRPr="00F234A2">
        <w:rPr>
          <w:bCs/>
          <w:sz w:val="22"/>
          <w:szCs w:val="22"/>
          <w:lang w:val="sr-Latn-ME"/>
        </w:rPr>
        <w:t xml:space="preserve"> asciminiba su povećane za 56%, odnosno 8% u ispitanika sa teškim oštećenjem funkcije bubrega u poređenju sa pacijentima koji imaju normalnu funkciju bubrega, nakon oralne </w:t>
      </w:r>
      <w:r w:rsidR="0094593A" w:rsidRPr="00F234A2">
        <w:rPr>
          <w:bCs/>
          <w:sz w:val="22"/>
          <w:szCs w:val="22"/>
          <w:lang w:val="sr-Latn-ME"/>
        </w:rPr>
        <w:t>primjen</w:t>
      </w:r>
      <w:r w:rsidRPr="00F234A2">
        <w:rPr>
          <w:bCs/>
          <w:sz w:val="22"/>
          <w:szCs w:val="22"/>
          <w:lang w:val="sr-Latn-ME"/>
        </w:rPr>
        <w:t>e pojedinačne doze od 40 mg asciminiba (</w:t>
      </w:r>
      <w:r w:rsidR="0094593A" w:rsidRPr="00F234A2">
        <w:rPr>
          <w:bCs/>
          <w:sz w:val="22"/>
          <w:szCs w:val="22"/>
          <w:lang w:val="sr-Latn-ME"/>
        </w:rPr>
        <w:t>vidjet</w:t>
      </w:r>
      <w:r w:rsidRPr="00F234A2">
        <w:rPr>
          <w:bCs/>
          <w:sz w:val="22"/>
          <w:szCs w:val="22"/>
          <w:lang w:val="sr-Latn-ME"/>
        </w:rPr>
        <w:t>i d</w:t>
      </w:r>
      <w:r w:rsidR="000B6873" w:rsidRPr="00F234A2">
        <w:rPr>
          <w:bCs/>
          <w:sz w:val="22"/>
          <w:szCs w:val="22"/>
          <w:lang w:val="sr-Latn-ME"/>
        </w:rPr>
        <w:t>i</w:t>
      </w:r>
      <w:r w:rsidRPr="00F234A2">
        <w:rPr>
          <w:bCs/>
          <w:sz w:val="22"/>
          <w:szCs w:val="22"/>
          <w:lang w:val="sr-Latn-ME"/>
        </w:rPr>
        <w:t>o 4.2). Modeli populacione farmakokinetike ukazuju na povećanje medijane PIK</w:t>
      </w:r>
      <w:r w:rsidRPr="00F234A2">
        <w:rPr>
          <w:bCs/>
          <w:sz w:val="22"/>
          <w:szCs w:val="22"/>
          <w:vertAlign w:val="subscript"/>
          <w:lang w:val="sr-Latn-ME"/>
        </w:rPr>
        <w:t>0-24h</w:t>
      </w:r>
      <w:r w:rsidRPr="00F234A2">
        <w:rPr>
          <w:bCs/>
          <w:sz w:val="22"/>
          <w:szCs w:val="22"/>
          <w:lang w:val="sr-Latn-ME"/>
        </w:rPr>
        <w:t xml:space="preserve"> asciminiba u stanju dinamičke ravnoteže za 11,5% kod ispitanika sa blagim do um</w:t>
      </w:r>
      <w:r w:rsidR="000B6873" w:rsidRPr="00F234A2">
        <w:rPr>
          <w:bCs/>
          <w:sz w:val="22"/>
          <w:szCs w:val="22"/>
          <w:lang w:val="sr-Latn-ME"/>
        </w:rPr>
        <w:t>j</w:t>
      </w:r>
      <w:r w:rsidRPr="00F234A2">
        <w:rPr>
          <w:bCs/>
          <w:sz w:val="22"/>
          <w:szCs w:val="22"/>
          <w:lang w:val="sr-Latn-ME"/>
        </w:rPr>
        <w:t>erenim oštećenjem funkcije bubrega, u poređenju sa pacijentima koji imaju normalnu funkciju bubrega.</w:t>
      </w:r>
    </w:p>
    <w:p w14:paraId="32E86371" w14:textId="183BBE8B" w:rsidR="00AF310E" w:rsidRPr="00F234A2" w:rsidRDefault="00AF310E" w:rsidP="0095542C">
      <w:pPr>
        <w:tabs>
          <w:tab w:val="left" w:pos="540"/>
          <w:tab w:val="left" w:pos="569"/>
        </w:tabs>
        <w:jc w:val="both"/>
        <w:rPr>
          <w:bCs/>
          <w:sz w:val="22"/>
          <w:szCs w:val="22"/>
          <w:lang w:val="sr-Latn-ME"/>
        </w:rPr>
      </w:pPr>
    </w:p>
    <w:p w14:paraId="7C18373C" w14:textId="77777777" w:rsidR="00AF310E" w:rsidRPr="00F234A2" w:rsidRDefault="00AF310E" w:rsidP="0095542C">
      <w:pPr>
        <w:tabs>
          <w:tab w:val="left" w:pos="540"/>
          <w:tab w:val="left" w:pos="569"/>
        </w:tabs>
        <w:jc w:val="both"/>
        <w:rPr>
          <w:bCs/>
          <w:i/>
          <w:iCs/>
          <w:sz w:val="22"/>
          <w:szCs w:val="22"/>
          <w:u w:val="single"/>
          <w:lang w:val="sr-Latn-ME"/>
        </w:rPr>
      </w:pPr>
      <w:r w:rsidRPr="00F234A2">
        <w:rPr>
          <w:bCs/>
          <w:i/>
          <w:iCs/>
          <w:sz w:val="22"/>
          <w:szCs w:val="22"/>
          <w:u w:val="single"/>
          <w:lang w:val="sr-Latn-ME"/>
        </w:rPr>
        <w:t>Oštećenje funkcije jetre</w:t>
      </w:r>
    </w:p>
    <w:p w14:paraId="4709A1D4" w14:textId="13CECA36" w:rsidR="00AF310E" w:rsidRPr="00F234A2" w:rsidRDefault="00AF310E" w:rsidP="0095542C">
      <w:pPr>
        <w:tabs>
          <w:tab w:val="left" w:pos="540"/>
          <w:tab w:val="left" w:pos="569"/>
        </w:tabs>
        <w:jc w:val="both"/>
        <w:rPr>
          <w:bCs/>
          <w:sz w:val="22"/>
          <w:szCs w:val="22"/>
          <w:lang w:val="sr-Latn-ME"/>
        </w:rPr>
      </w:pPr>
      <w:r w:rsidRPr="00F234A2">
        <w:rPr>
          <w:bCs/>
          <w:sz w:val="22"/>
          <w:szCs w:val="22"/>
          <w:lang w:val="sr-Latn-ME"/>
        </w:rPr>
        <w:t xml:space="preserve">Sprovedeno je posebno ispitivanje za oštećenje funkcije jetre u koje je bilo uključeno 8 ispitanika sa normalnom funkcijom jetre, blagim oštećenjem funkcije jetre (Child-Pugh A </w:t>
      </w:r>
      <w:r w:rsidR="00472E1C" w:rsidRPr="00F234A2">
        <w:rPr>
          <w:bCs/>
          <w:sz w:val="22"/>
          <w:szCs w:val="22"/>
          <w:lang w:val="sr-Latn-ME"/>
        </w:rPr>
        <w:t>vrijedno</w:t>
      </w:r>
      <w:r w:rsidRPr="00F234A2">
        <w:rPr>
          <w:bCs/>
          <w:sz w:val="22"/>
          <w:szCs w:val="22"/>
          <w:lang w:val="sr-Latn-ME"/>
        </w:rPr>
        <w:t>st 5-6), um</w:t>
      </w:r>
      <w:r w:rsidR="00F52A6A" w:rsidRPr="00F234A2">
        <w:rPr>
          <w:bCs/>
          <w:sz w:val="22"/>
          <w:szCs w:val="22"/>
          <w:lang w:val="sr-Latn-ME"/>
        </w:rPr>
        <w:t>j</w:t>
      </w:r>
      <w:r w:rsidRPr="00F234A2">
        <w:rPr>
          <w:bCs/>
          <w:sz w:val="22"/>
          <w:szCs w:val="22"/>
          <w:lang w:val="sr-Latn-ME"/>
        </w:rPr>
        <w:t xml:space="preserve">erenim oštećenjem jetre (Child-Pugh B </w:t>
      </w:r>
      <w:r w:rsidR="00472E1C" w:rsidRPr="00F234A2">
        <w:rPr>
          <w:bCs/>
          <w:sz w:val="22"/>
          <w:szCs w:val="22"/>
          <w:lang w:val="sr-Latn-ME"/>
        </w:rPr>
        <w:t>vrijedno</w:t>
      </w:r>
      <w:r w:rsidRPr="00F234A2">
        <w:rPr>
          <w:bCs/>
          <w:sz w:val="22"/>
          <w:szCs w:val="22"/>
          <w:lang w:val="sr-Latn-ME"/>
        </w:rPr>
        <w:t xml:space="preserve">st 7-9) ili teškim oštećenjem funkcije jetre (Child-Pugh C </w:t>
      </w:r>
      <w:r w:rsidR="00472E1C" w:rsidRPr="00F234A2">
        <w:rPr>
          <w:bCs/>
          <w:sz w:val="22"/>
          <w:szCs w:val="22"/>
          <w:lang w:val="sr-Latn-ME"/>
        </w:rPr>
        <w:t>vrijedno</w:t>
      </w:r>
      <w:r w:rsidRPr="00F234A2">
        <w:rPr>
          <w:bCs/>
          <w:sz w:val="22"/>
          <w:szCs w:val="22"/>
          <w:lang w:val="sr-Latn-ME"/>
        </w:rPr>
        <w:t xml:space="preserve">st 10-15). </w:t>
      </w:r>
      <w:r w:rsidR="00472E1C" w:rsidRPr="00F234A2">
        <w:rPr>
          <w:bCs/>
          <w:sz w:val="22"/>
          <w:szCs w:val="22"/>
          <w:lang w:val="sr-Latn-ME"/>
        </w:rPr>
        <w:t>Vrijedno</w:t>
      </w:r>
      <w:r w:rsidRPr="00F234A2">
        <w:rPr>
          <w:bCs/>
          <w:sz w:val="22"/>
          <w:szCs w:val="22"/>
          <w:lang w:val="sr-Latn-ME"/>
        </w:rPr>
        <w:t>st PIK</w:t>
      </w:r>
      <w:r w:rsidRPr="00F234A2">
        <w:rPr>
          <w:bCs/>
          <w:sz w:val="22"/>
          <w:szCs w:val="22"/>
          <w:vertAlign w:val="subscript"/>
          <w:lang w:val="sr-Latn-ME"/>
        </w:rPr>
        <w:t>inf</w:t>
      </w:r>
      <w:r w:rsidRPr="00F234A2">
        <w:rPr>
          <w:bCs/>
          <w:sz w:val="22"/>
          <w:szCs w:val="22"/>
          <w:lang w:val="sr-Latn-ME"/>
        </w:rPr>
        <w:t xml:space="preserve"> asciminiba povećana je za 22%, 3%, odnosno 66% u ispitanika sa blagim, um</w:t>
      </w:r>
      <w:r w:rsidR="000B6873" w:rsidRPr="00F234A2">
        <w:rPr>
          <w:bCs/>
          <w:sz w:val="22"/>
          <w:szCs w:val="22"/>
          <w:lang w:val="sr-Latn-ME"/>
        </w:rPr>
        <w:t>j</w:t>
      </w:r>
      <w:r w:rsidRPr="00F234A2">
        <w:rPr>
          <w:bCs/>
          <w:sz w:val="22"/>
          <w:szCs w:val="22"/>
          <w:lang w:val="sr-Latn-ME"/>
        </w:rPr>
        <w:t xml:space="preserve">erenim, odnosno teškim oštećenjem funkcije jetre, u poređenju sa pacijentima koji imaju normalnu funkciju jetre, nakon oralne </w:t>
      </w:r>
      <w:r w:rsidR="0094593A" w:rsidRPr="00F234A2">
        <w:rPr>
          <w:bCs/>
          <w:sz w:val="22"/>
          <w:szCs w:val="22"/>
          <w:lang w:val="sr-Latn-ME"/>
        </w:rPr>
        <w:t>primjen</w:t>
      </w:r>
      <w:r w:rsidRPr="00F234A2">
        <w:rPr>
          <w:bCs/>
          <w:sz w:val="22"/>
          <w:szCs w:val="22"/>
          <w:lang w:val="sr-Latn-ME"/>
        </w:rPr>
        <w:t>e pojedinačne doze od 40 mg asciminiba (</w:t>
      </w:r>
      <w:r w:rsidR="0094593A" w:rsidRPr="00F234A2">
        <w:rPr>
          <w:bCs/>
          <w:sz w:val="22"/>
          <w:szCs w:val="22"/>
          <w:lang w:val="sr-Latn-ME"/>
        </w:rPr>
        <w:t>vidjet</w:t>
      </w:r>
      <w:r w:rsidRPr="00F234A2">
        <w:rPr>
          <w:bCs/>
          <w:sz w:val="22"/>
          <w:szCs w:val="22"/>
          <w:lang w:val="sr-Latn-ME"/>
        </w:rPr>
        <w:t>i d</w:t>
      </w:r>
      <w:r w:rsidR="000B6873" w:rsidRPr="00F234A2">
        <w:rPr>
          <w:bCs/>
          <w:sz w:val="22"/>
          <w:szCs w:val="22"/>
          <w:lang w:val="sr-Latn-ME"/>
        </w:rPr>
        <w:t>i</w:t>
      </w:r>
      <w:r w:rsidRPr="00F234A2">
        <w:rPr>
          <w:bCs/>
          <w:sz w:val="22"/>
          <w:szCs w:val="22"/>
          <w:lang w:val="sr-Latn-ME"/>
        </w:rPr>
        <w:t>o 4.2).</w:t>
      </w:r>
    </w:p>
    <w:p w14:paraId="1ED22A8F" w14:textId="77777777" w:rsidR="00AF310E" w:rsidRPr="00F234A2" w:rsidRDefault="00AF310E" w:rsidP="0095542C">
      <w:pPr>
        <w:tabs>
          <w:tab w:val="left" w:pos="540"/>
          <w:tab w:val="left" w:pos="569"/>
        </w:tabs>
        <w:jc w:val="both"/>
        <w:rPr>
          <w:bCs/>
          <w:sz w:val="22"/>
          <w:szCs w:val="22"/>
          <w:lang w:val="sr-Latn-ME"/>
        </w:rPr>
      </w:pPr>
    </w:p>
    <w:p w14:paraId="7D9118CE" w14:textId="77777777" w:rsidR="00F234A2" w:rsidRDefault="00F234A2" w:rsidP="0095542C">
      <w:pPr>
        <w:tabs>
          <w:tab w:val="left" w:pos="540"/>
          <w:tab w:val="left" w:pos="569"/>
        </w:tabs>
        <w:jc w:val="both"/>
        <w:rPr>
          <w:b/>
          <w:bCs/>
          <w:sz w:val="22"/>
          <w:szCs w:val="22"/>
          <w:lang w:val="sr-Latn-ME"/>
        </w:rPr>
      </w:pPr>
    </w:p>
    <w:p w14:paraId="62ACFE41" w14:textId="5E47A4FB" w:rsidR="0072020E" w:rsidRPr="00F234A2" w:rsidRDefault="0072020E" w:rsidP="0095542C">
      <w:pPr>
        <w:tabs>
          <w:tab w:val="left" w:pos="540"/>
          <w:tab w:val="left" w:pos="569"/>
        </w:tabs>
        <w:jc w:val="both"/>
        <w:rPr>
          <w:b/>
          <w:bCs/>
          <w:sz w:val="22"/>
          <w:szCs w:val="22"/>
          <w:lang w:val="sr-Latn-ME"/>
        </w:rPr>
      </w:pPr>
      <w:r w:rsidRPr="00F234A2">
        <w:rPr>
          <w:b/>
          <w:bCs/>
          <w:sz w:val="22"/>
          <w:szCs w:val="22"/>
          <w:lang w:val="sr-Latn-ME"/>
        </w:rPr>
        <w:t xml:space="preserve">5.3. </w:t>
      </w:r>
      <w:r w:rsidR="00480FB1" w:rsidRPr="00F234A2">
        <w:rPr>
          <w:b/>
          <w:bCs/>
          <w:sz w:val="22"/>
          <w:szCs w:val="22"/>
          <w:lang w:val="sr-Latn-ME"/>
        </w:rPr>
        <w:tab/>
      </w:r>
      <w:r w:rsidRPr="00F234A2">
        <w:rPr>
          <w:b/>
          <w:bCs/>
          <w:sz w:val="22"/>
          <w:szCs w:val="22"/>
          <w:lang w:val="sr-Latn-ME"/>
        </w:rPr>
        <w:t xml:space="preserve">Pretklinički podaci o bezbjednosti </w:t>
      </w:r>
    </w:p>
    <w:p w14:paraId="21A2E2ED" w14:textId="77777777" w:rsidR="00836B35" w:rsidRPr="00F234A2" w:rsidRDefault="00836B35" w:rsidP="0095542C">
      <w:pPr>
        <w:tabs>
          <w:tab w:val="left" w:pos="540"/>
          <w:tab w:val="left" w:pos="569"/>
        </w:tabs>
        <w:jc w:val="both"/>
        <w:rPr>
          <w:bCs/>
          <w:sz w:val="22"/>
          <w:szCs w:val="22"/>
          <w:lang w:val="sr-Latn-ME"/>
        </w:rPr>
      </w:pPr>
    </w:p>
    <w:p w14:paraId="22792767" w14:textId="401E8D13" w:rsidR="00AF310E" w:rsidRPr="00F234A2" w:rsidRDefault="00472E1C" w:rsidP="0095542C">
      <w:pPr>
        <w:tabs>
          <w:tab w:val="left" w:pos="540"/>
          <w:tab w:val="left" w:pos="569"/>
        </w:tabs>
        <w:jc w:val="both"/>
        <w:rPr>
          <w:sz w:val="22"/>
          <w:szCs w:val="22"/>
          <w:u w:val="single"/>
          <w:lang w:val="sr-Latn-ME"/>
        </w:rPr>
      </w:pPr>
      <w:r w:rsidRPr="00F234A2">
        <w:rPr>
          <w:sz w:val="22"/>
          <w:szCs w:val="22"/>
          <w:u w:val="single"/>
          <w:lang w:val="sr-Latn-ME"/>
        </w:rPr>
        <w:t>Bezbje</w:t>
      </w:r>
      <w:r w:rsidR="00AF310E" w:rsidRPr="00F234A2">
        <w:rPr>
          <w:sz w:val="22"/>
          <w:szCs w:val="22"/>
          <w:u w:val="single"/>
          <w:lang w:val="sr-Latn-ME"/>
        </w:rPr>
        <w:t>dnosna farmakologija</w:t>
      </w:r>
    </w:p>
    <w:p w14:paraId="1CE95251" w14:textId="77777777" w:rsidR="00AF310E" w:rsidRPr="00F234A2" w:rsidRDefault="00AF310E" w:rsidP="0095542C">
      <w:pPr>
        <w:tabs>
          <w:tab w:val="left" w:pos="540"/>
          <w:tab w:val="left" w:pos="569"/>
        </w:tabs>
        <w:jc w:val="both"/>
        <w:rPr>
          <w:sz w:val="22"/>
          <w:szCs w:val="22"/>
          <w:lang w:val="sr-Latn-ME"/>
        </w:rPr>
      </w:pPr>
    </w:p>
    <w:p w14:paraId="00E85360" w14:textId="5DAF8084" w:rsidR="00396DFD" w:rsidRPr="00F234A2" w:rsidRDefault="00AF310E" w:rsidP="0095542C">
      <w:pPr>
        <w:tabs>
          <w:tab w:val="left" w:pos="540"/>
          <w:tab w:val="left" w:pos="569"/>
        </w:tabs>
        <w:jc w:val="both"/>
        <w:rPr>
          <w:sz w:val="22"/>
          <w:szCs w:val="22"/>
          <w:lang w:val="sr-Latn-ME"/>
        </w:rPr>
      </w:pPr>
      <w:r w:rsidRPr="00F234A2">
        <w:rPr>
          <w:sz w:val="22"/>
          <w:szCs w:val="22"/>
          <w:lang w:val="sr-Latn-ME"/>
        </w:rPr>
        <w:t>Um</w:t>
      </w:r>
      <w:r w:rsidR="00F52A6A" w:rsidRPr="00F234A2">
        <w:rPr>
          <w:sz w:val="22"/>
          <w:szCs w:val="22"/>
          <w:lang w:val="sr-Latn-ME"/>
        </w:rPr>
        <w:t>j</w:t>
      </w:r>
      <w:r w:rsidRPr="00F234A2">
        <w:rPr>
          <w:sz w:val="22"/>
          <w:szCs w:val="22"/>
          <w:lang w:val="sr-Latn-ME"/>
        </w:rPr>
        <w:t>ereni kardiovaskularni efekti (povećana srčana frekvencija, snižen sistolni pritisak, sniženi srednji arterijski pritisak i sniženi arterijski pulsni pritisak) prim</w:t>
      </w:r>
      <w:r w:rsidR="000B6873" w:rsidRPr="00F234A2">
        <w:rPr>
          <w:sz w:val="22"/>
          <w:szCs w:val="22"/>
          <w:lang w:val="sr-Latn-ME"/>
        </w:rPr>
        <w:t>ij</w:t>
      </w:r>
      <w:r w:rsidRPr="00F234A2">
        <w:rPr>
          <w:sz w:val="22"/>
          <w:szCs w:val="22"/>
          <w:lang w:val="sr-Latn-ME"/>
        </w:rPr>
        <w:t xml:space="preserve">ećeni su u </w:t>
      </w:r>
      <w:r w:rsidRPr="00F234A2">
        <w:rPr>
          <w:i/>
          <w:sz w:val="22"/>
          <w:szCs w:val="22"/>
          <w:lang w:val="sr-Latn-ME"/>
        </w:rPr>
        <w:t>in vivo</w:t>
      </w:r>
      <w:r w:rsidRPr="00F234A2">
        <w:rPr>
          <w:sz w:val="22"/>
          <w:szCs w:val="22"/>
          <w:lang w:val="sr-Latn-ME"/>
        </w:rPr>
        <w:t xml:space="preserve"> ispitivanjima kardiološke </w:t>
      </w:r>
      <w:r w:rsidR="00472E1C" w:rsidRPr="00F234A2">
        <w:rPr>
          <w:sz w:val="22"/>
          <w:szCs w:val="22"/>
          <w:lang w:val="sr-Latn-ME"/>
        </w:rPr>
        <w:t>bezbje</w:t>
      </w:r>
      <w:r w:rsidRPr="00F234A2">
        <w:rPr>
          <w:sz w:val="22"/>
          <w:szCs w:val="22"/>
          <w:lang w:val="sr-Latn-ME"/>
        </w:rPr>
        <w:t xml:space="preserve">dnosne </w:t>
      </w:r>
      <w:r w:rsidR="0094593A" w:rsidRPr="00F234A2">
        <w:rPr>
          <w:sz w:val="22"/>
          <w:szCs w:val="22"/>
          <w:lang w:val="sr-Latn-ME"/>
        </w:rPr>
        <w:t>primjen</w:t>
      </w:r>
      <w:r w:rsidRPr="00F234A2">
        <w:rPr>
          <w:sz w:val="22"/>
          <w:szCs w:val="22"/>
          <w:lang w:val="sr-Latn-ME"/>
        </w:rPr>
        <w:t>e kod pasa, v</w:t>
      </w:r>
      <w:r w:rsidR="00F52A6A" w:rsidRPr="00F234A2">
        <w:rPr>
          <w:sz w:val="22"/>
          <w:szCs w:val="22"/>
          <w:lang w:val="sr-Latn-ME"/>
        </w:rPr>
        <w:t>j</w:t>
      </w:r>
      <w:r w:rsidRPr="00F234A2">
        <w:rPr>
          <w:sz w:val="22"/>
          <w:szCs w:val="22"/>
          <w:lang w:val="sr-Latn-ME"/>
        </w:rPr>
        <w:t xml:space="preserve">erovatno pri izloženostima (PIK) koje su 12 puta veće od onih postignutih kod pacijenata pri preporučenoj dozi (engl. </w:t>
      </w:r>
      <w:r w:rsidRPr="00F234A2">
        <w:rPr>
          <w:i/>
          <w:iCs/>
          <w:sz w:val="22"/>
          <w:szCs w:val="22"/>
          <w:lang w:val="sr-Latn-ME"/>
        </w:rPr>
        <w:t>recommended dose</w:t>
      </w:r>
      <w:r w:rsidRPr="00F234A2">
        <w:rPr>
          <w:sz w:val="22"/>
          <w:szCs w:val="22"/>
          <w:lang w:val="sr-Latn-ME"/>
        </w:rPr>
        <w:t>, RD) od 40 mg dva puta na dan.</w:t>
      </w:r>
    </w:p>
    <w:p w14:paraId="3CC4A97D" w14:textId="5FA6FCB8" w:rsidR="00AF310E" w:rsidRPr="00F234A2" w:rsidRDefault="00AF310E" w:rsidP="0095542C">
      <w:pPr>
        <w:tabs>
          <w:tab w:val="left" w:pos="540"/>
          <w:tab w:val="left" w:pos="569"/>
        </w:tabs>
        <w:jc w:val="both"/>
        <w:rPr>
          <w:sz w:val="22"/>
          <w:szCs w:val="22"/>
          <w:lang w:val="sr-Latn-ME"/>
        </w:rPr>
      </w:pPr>
    </w:p>
    <w:p w14:paraId="569D21E3" w14:textId="77777777" w:rsidR="00AF310E" w:rsidRPr="00F234A2" w:rsidRDefault="00AF310E" w:rsidP="0095542C">
      <w:pPr>
        <w:tabs>
          <w:tab w:val="left" w:pos="540"/>
          <w:tab w:val="left" w:pos="569"/>
        </w:tabs>
        <w:jc w:val="both"/>
        <w:rPr>
          <w:sz w:val="22"/>
          <w:szCs w:val="22"/>
          <w:u w:val="single"/>
          <w:lang w:val="sr-Latn-ME"/>
        </w:rPr>
      </w:pPr>
      <w:r w:rsidRPr="00F234A2">
        <w:rPr>
          <w:sz w:val="22"/>
          <w:szCs w:val="22"/>
          <w:u w:val="single"/>
          <w:lang w:val="sr-Latn-ME"/>
        </w:rPr>
        <w:t>Toksičnost ponovljenih doza</w:t>
      </w:r>
    </w:p>
    <w:p w14:paraId="6529EA96" w14:textId="77777777" w:rsidR="00AF310E" w:rsidRPr="00F234A2" w:rsidRDefault="00AF310E" w:rsidP="0095542C">
      <w:pPr>
        <w:tabs>
          <w:tab w:val="left" w:pos="540"/>
          <w:tab w:val="left" w:pos="569"/>
        </w:tabs>
        <w:jc w:val="both"/>
        <w:rPr>
          <w:sz w:val="22"/>
          <w:szCs w:val="22"/>
          <w:lang w:val="sr-Latn-ME"/>
        </w:rPr>
      </w:pPr>
    </w:p>
    <w:p w14:paraId="141976A1" w14:textId="77777777" w:rsidR="00AF310E" w:rsidRPr="00F234A2" w:rsidRDefault="00AF310E" w:rsidP="0095542C">
      <w:pPr>
        <w:tabs>
          <w:tab w:val="left" w:pos="540"/>
          <w:tab w:val="left" w:pos="569"/>
        </w:tabs>
        <w:jc w:val="both"/>
        <w:rPr>
          <w:sz w:val="22"/>
          <w:szCs w:val="22"/>
          <w:lang w:val="sr-Latn-ME"/>
        </w:rPr>
      </w:pPr>
      <w:r w:rsidRPr="00F234A2">
        <w:rPr>
          <w:sz w:val="22"/>
          <w:szCs w:val="22"/>
          <w:lang w:val="sr-Latn-ME"/>
        </w:rPr>
        <w:t>Efekti na pankreas (povećanje serumske amilaze i lipaze, lezije acinarnih ćelija) pojavili su se kod pasa pri izloženostima (PIK) koje su ispod onih postignutih kod pacijenata pri RD-u od 40 mg dva puta na dan. Uočen je trend oporavka.</w:t>
      </w:r>
    </w:p>
    <w:p w14:paraId="2FE8B4D0" w14:textId="77777777" w:rsidR="00AF310E" w:rsidRPr="00F234A2" w:rsidRDefault="00AF310E" w:rsidP="0095542C">
      <w:pPr>
        <w:tabs>
          <w:tab w:val="left" w:pos="540"/>
          <w:tab w:val="left" w:pos="569"/>
        </w:tabs>
        <w:jc w:val="both"/>
        <w:rPr>
          <w:sz w:val="22"/>
          <w:szCs w:val="22"/>
          <w:lang w:val="sr-Latn-ME"/>
        </w:rPr>
      </w:pPr>
    </w:p>
    <w:p w14:paraId="243A16A8" w14:textId="4E280AF4" w:rsidR="00AF310E" w:rsidRPr="00F234A2" w:rsidRDefault="00AF310E" w:rsidP="0095542C">
      <w:pPr>
        <w:tabs>
          <w:tab w:val="left" w:pos="540"/>
          <w:tab w:val="left" w:pos="569"/>
        </w:tabs>
        <w:jc w:val="both"/>
        <w:rPr>
          <w:sz w:val="22"/>
          <w:szCs w:val="22"/>
          <w:lang w:val="sr-Latn-ME"/>
        </w:rPr>
      </w:pPr>
      <w:r w:rsidRPr="00F234A2">
        <w:rPr>
          <w:sz w:val="22"/>
          <w:szCs w:val="22"/>
          <w:lang w:val="sr-Latn-ME"/>
        </w:rPr>
        <w:t>Povećanje enzima jetre i/ili bilirubina uočene su kod pacova, pasa i majmuna. Histopatološke prom</w:t>
      </w:r>
      <w:r w:rsidR="000B6873" w:rsidRPr="00F234A2">
        <w:rPr>
          <w:sz w:val="22"/>
          <w:szCs w:val="22"/>
          <w:lang w:val="sr-Latn-ME"/>
        </w:rPr>
        <w:t>j</w:t>
      </w:r>
      <w:r w:rsidRPr="00F234A2">
        <w:rPr>
          <w:sz w:val="22"/>
          <w:szCs w:val="22"/>
          <w:lang w:val="sr-Latn-ME"/>
        </w:rPr>
        <w:t>ene jetre (centrilobularna hepatocitna hipertrofija, blaga hiperplazija žučnih kanala, povećana nekroza individualnih hepatocita i difuzna hepatocelularna hipertrofija) prim</w:t>
      </w:r>
      <w:r w:rsidR="000B6873" w:rsidRPr="00F234A2">
        <w:rPr>
          <w:sz w:val="22"/>
          <w:szCs w:val="22"/>
          <w:lang w:val="sr-Latn-ME"/>
        </w:rPr>
        <w:t>ij</w:t>
      </w:r>
      <w:r w:rsidRPr="00F234A2">
        <w:rPr>
          <w:sz w:val="22"/>
          <w:szCs w:val="22"/>
          <w:lang w:val="sr-Latn-ME"/>
        </w:rPr>
        <w:t>ećene su kod pacova i majmuna. Ove prom</w:t>
      </w:r>
      <w:r w:rsidR="000B6873" w:rsidRPr="00F234A2">
        <w:rPr>
          <w:sz w:val="22"/>
          <w:szCs w:val="22"/>
          <w:lang w:val="sr-Latn-ME"/>
        </w:rPr>
        <w:t>j</w:t>
      </w:r>
      <w:r w:rsidRPr="00F234A2">
        <w:rPr>
          <w:sz w:val="22"/>
          <w:szCs w:val="22"/>
          <w:lang w:val="sr-Latn-ME"/>
        </w:rPr>
        <w:t>ene su se javile pri izloženostima (PIK) koje su ili bile ekvivalentne (pacovi) ili 12 do 18 puta (psi, odnosno majmuni) veće od onih postignutih kod pacijenata koji primaju RD od 40 mg dva puta na dan. Ove prom</w:t>
      </w:r>
      <w:r w:rsidR="000B6873" w:rsidRPr="00F234A2">
        <w:rPr>
          <w:sz w:val="22"/>
          <w:szCs w:val="22"/>
          <w:lang w:val="sr-Latn-ME"/>
        </w:rPr>
        <w:t>j</w:t>
      </w:r>
      <w:r w:rsidRPr="00F234A2">
        <w:rPr>
          <w:sz w:val="22"/>
          <w:szCs w:val="22"/>
          <w:lang w:val="sr-Latn-ME"/>
        </w:rPr>
        <w:t>ene su u potpunosti bile reverzibilne.</w:t>
      </w:r>
    </w:p>
    <w:p w14:paraId="5788758A" w14:textId="37A85AA7" w:rsidR="00AF310E" w:rsidRPr="00F234A2" w:rsidRDefault="00AF310E" w:rsidP="0095542C">
      <w:pPr>
        <w:tabs>
          <w:tab w:val="left" w:pos="540"/>
          <w:tab w:val="left" w:pos="569"/>
        </w:tabs>
        <w:jc w:val="both"/>
        <w:rPr>
          <w:sz w:val="22"/>
          <w:szCs w:val="22"/>
          <w:lang w:val="sr-Latn-ME"/>
        </w:rPr>
      </w:pPr>
    </w:p>
    <w:p w14:paraId="50AA9521" w14:textId="34336145" w:rsidR="00AF310E" w:rsidRPr="00F234A2" w:rsidRDefault="00AF310E" w:rsidP="0095542C">
      <w:pPr>
        <w:tabs>
          <w:tab w:val="left" w:pos="540"/>
          <w:tab w:val="left" w:pos="569"/>
        </w:tabs>
        <w:jc w:val="both"/>
        <w:rPr>
          <w:sz w:val="22"/>
          <w:szCs w:val="22"/>
          <w:lang w:val="sr-Latn-ME"/>
        </w:rPr>
      </w:pPr>
      <w:r w:rsidRPr="00F234A2">
        <w:rPr>
          <w:sz w:val="22"/>
          <w:szCs w:val="22"/>
          <w:lang w:val="sr-Latn-ME"/>
        </w:rPr>
        <w:t>Efekti na hematopoetski sistem (smanjenje mase crvenih krvnih ćelija, povećanje nivoa pigmenta slezine ili koštane srži i povećanje nivoa retikulocita) bili su u skladu sa blagom i regenerativnom, ekstravaskularnom hemolitičkom anemijom kod svih vrsta. Ove prom</w:t>
      </w:r>
      <w:r w:rsidR="000B6873" w:rsidRPr="00F234A2">
        <w:rPr>
          <w:sz w:val="22"/>
          <w:szCs w:val="22"/>
          <w:lang w:val="sr-Latn-ME"/>
        </w:rPr>
        <w:t>j</w:t>
      </w:r>
      <w:r w:rsidRPr="00F234A2">
        <w:rPr>
          <w:sz w:val="22"/>
          <w:szCs w:val="22"/>
          <w:lang w:val="sr-Latn-ME"/>
        </w:rPr>
        <w:t>ene su se javile pri izloženostima (PIK) ili ekvivalentim (pacovi) ili 12 do 14 puta (psi, odnosno majmuni) većim od onih postignutih kod pacijenata pri RD-u od 40 mg dva puta na dan. Ove prom</w:t>
      </w:r>
      <w:r w:rsidR="000B6873" w:rsidRPr="00F234A2">
        <w:rPr>
          <w:sz w:val="22"/>
          <w:szCs w:val="22"/>
          <w:lang w:val="sr-Latn-ME"/>
        </w:rPr>
        <w:t>j</w:t>
      </w:r>
      <w:r w:rsidRPr="00F234A2">
        <w:rPr>
          <w:sz w:val="22"/>
          <w:szCs w:val="22"/>
          <w:lang w:val="sr-Latn-ME"/>
        </w:rPr>
        <w:t>ene su bile u potpunosti reverzibilne.</w:t>
      </w:r>
    </w:p>
    <w:p w14:paraId="068A091F" w14:textId="5734CD92" w:rsidR="00AF310E" w:rsidRPr="00F234A2" w:rsidRDefault="00AF310E" w:rsidP="0095542C">
      <w:pPr>
        <w:tabs>
          <w:tab w:val="left" w:pos="540"/>
          <w:tab w:val="left" w:pos="569"/>
        </w:tabs>
        <w:jc w:val="both"/>
        <w:rPr>
          <w:sz w:val="22"/>
          <w:szCs w:val="22"/>
          <w:lang w:val="sr-Latn-ME"/>
        </w:rPr>
      </w:pPr>
    </w:p>
    <w:p w14:paraId="2F47A201" w14:textId="3227709B" w:rsidR="00AF310E" w:rsidRPr="00F234A2" w:rsidRDefault="00AF310E" w:rsidP="0095542C">
      <w:pPr>
        <w:tabs>
          <w:tab w:val="left" w:pos="540"/>
          <w:tab w:val="left" w:pos="569"/>
        </w:tabs>
        <w:jc w:val="both"/>
        <w:rPr>
          <w:sz w:val="22"/>
          <w:szCs w:val="22"/>
          <w:lang w:val="sr-Latn-ME"/>
        </w:rPr>
      </w:pPr>
      <w:r w:rsidRPr="00F234A2">
        <w:rPr>
          <w:sz w:val="22"/>
          <w:szCs w:val="22"/>
          <w:lang w:val="sr-Latn-ME"/>
        </w:rPr>
        <w:t>Minimalna hipertrofija/hiperplazija sluzokože (povećanje debljine sluzokože s učestalim produženjem resa) bila je prisutna u duodenumu pacova pri izloženostima (PIK) koje su bile 30 puta veće od onih koje se postižu kod pacijenata koji primaju preporučenu dozu od 40 mg dva puta na dan. Ova prom</w:t>
      </w:r>
      <w:r w:rsidR="000B6873" w:rsidRPr="00F234A2">
        <w:rPr>
          <w:sz w:val="22"/>
          <w:szCs w:val="22"/>
          <w:lang w:val="sr-Latn-ME"/>
        </w:rPr>
        <w:t>j</w:t>
      </w:r>
      <w:r w:rsidRPr="00F234A2">
        <w:rPr>
          <w:sz w:val="22"/>
          <w:szCs w:val="22"/>
          <w:lang w:val="sr-Latn-ME"/>
        </w:rPr>
        <w:t>ena je bila u potpunosti reverzibilna.</w:t>
      </w:r>
    </w:p>
    <w:p w14:paraId="6A1EBFD3" w14:textId="77777777" w:rsidR="00AF310E" w:rsidRPr="00F234A2" w:rsidRDefault="00AF310E" w:rsidP="0095542C">
      <w:pPr>
        <w:tabs>
          <w:tab w:val="left" w:pos="540"/>
          <w:tab w:val="left" w:pos="569"/>
        </w:tabs>
        <w:jc w:val="both"/>
        <w:rPr>
          <w:sz w:val="22"/>
          <w:szCs w:val="22"/>
          <w:lang w:val="sr-Latn-ME"/>
        </w:rPr>
      </w:pPr>
    </w:p>
    <w:p w14:paraId="1FBF3514" w14:textId="5CED0418" w:rsidR="00AF310E" w:rsidRPr="00F234A2" w:rsidRDefault="00AF310E" w:rsidP="0095542C">
      <w:pPr>
        <w:tabs>
          <w:tab w:val="left" w:pos="540"/>
          <w:tab w:val="left" w:pos="569"/>
        </w:tabs>
        <w:jc w:val="both"/>
        <w:rPr>
          <w:sz w:val="22"/>
          <w:szCs w:val="22"/>
          <w:lang w:val="sr-Latn-ME"/>
        </w:rPr>
      </w:pPr>
      <w:r w:rsidRPr="00F234A2">
        <w:rPr>
          <w:sz w:val="22"/>
          <w:szCs w:val="22"/>
          <w:lang w:val="sr-Latn-ME"/>
        </w:rPr>
        <w:t>Minimalna ili blaga hipertrofija nadbubrežne žlezde i blaga do um</w:t>
      </w:r>
      <w:r w:rsidR="000B6873" w:rsidRPr="00F234A2">
        <w:rPr>
          <w:sz w:val="22"/>
          <w:szCs w:val="22"/>
          <w:lang w:val="sr-Latn-ME"/>
        </w:rPr>
        <w:t>j</w:t>
      </w:r>
      <w:r w:rsidRPr="00F234A2">
        <w:rPr>
          <w:sz w:val="22"/>
          <w:szCs w:val="22"/>
          <w:lang w:val="sr-Latn-ME"/>
        </w:rPr>
        <w:t>erena smanjena vakuolacija u fascikulatnoj zoni javile su se pri izloženostima (PIK) koje su bile ili ekvivalentne (u majmuna) ili 19 puta (pacovi) veće od onih postignutih kod pacijenata koji primaju RD od 40 mg dva puta na dan. Ove prom</w:t>
      </w:r>
      <w:r w:rsidR="000B6873" w:rsidRPr="00F234A2">
        <w:rPr>
          <w:sz w:val="22"/>
          <w:szCs w:val="22"/>
          <w:lang w:val="sr-Latn-ME"/>
        </w:rPr>
        <w:t>j</w:t>
      </w:r>
      <w:r w:rsidRPr="00F234A2">
        <w:rPr>
          <w:sz w:val="22"/>
          <w:szCs w:val="22"/>
          <w:lang w:val="sr-Latn-ME"/>
        </w:rPr>
        <w:t>ene su bile u potpunosti reverzibilne.</w:t>
      </w:r>
    </w:p>
    <w:p w14:paraId="4C405ABD" w14:textId="5BE5E64A" w:rsidR="00AF310E" w:rsidRPr="00F234A2" w:rsidRDefault="00AF310E" w:rsidP="0095542C">
      <w:pPr>
        <w:tabs>
          <w:tab w:val="left" w:pos="540"/>
          <w:tab w:val="left" w:pos="569"/>
        </w:tabs>
        <w:jc w:val="both"/>
        <w:rPr>
          <w:sz w:val="22"/>
          <w:szCs w:val="22"/>
          <w:lang w:val="sr-Latn-ME"/>
        </w:rPr>
      </w:pPr>
    </w:p>
    <w:p w14:paraId="21836528" w14:textId="77777777" w:rsidR="00AF310E" w:rsidRPr="00F234A2" w:rsidRDefault="00AF310E" w:rsidP="0095542C">
      <w:pPr>
        <w:tabs>
          <w:tab w:val="left" w:pos="540"/>
          <w:tab w:val="left" w:pos="569"/>
        </w:tabs>
        <w:jc w:val="both"/>
        <w:rPr>
          <w:sz w:val="22"/>
          <w:szCs w:val="22"/>
          <w:lang w:val="sr-Latn-ME"/>
        </w:rPr>
      </w:pPr>
      <w:r w:rsidRPr="00F234A2">
        <w:rPr>
          <w:sz w:val="22"/>
          <w:szCs w:val="22"/>
          <w:u w:val="single"/>
          <w:lang w:val="sr-Latn-ME"/>
        </w:rPr>
        <w:t>Karcinogenost i mutagenos</w:t>
      </w:r>
      <w:r w:rsidRPr="00F234A2">
        <w:rPr>
          <w:sz w:val="22"/>
          <w:szCs w:val="22"/>
          <w:lang w:val="sr-Latn-ME"/>
        </w:rPr>
        <w:t xml:space="preserve">t </w:t>
      </w:r>
    </w:p>
    <w:p w14:paraId="48CC6734" w14:textId="77777777" w:rsidR="00AF310E" w:rsidRPr="00F234A2" w:rsidRDefault="00AF310E" w:rsidP="0095542C">
      <w:pPr>
        <w:tabs>
          <w:tab w:val="left" w:pos="540"/>
          <w:tab w:val="left" w:pos="569"/>
        </w:tabs>
        <w:jc w:val="both"/>
        <w:rPr>
          <w:sz w:val="22"/>
          <w:szCs w:val="22"/>
          <w:lang w:val="sr-Latn-ME"/>
        </w:rPr>
      </w:pPr>
    </w:p>
    <w:p w14:paraId="5C70BC74" w14:textId="77777777" w:rsidR="00CC5384" w:rsidRDefault="00AF310E" w:rsidP="0095542C">
      <w:pPr>
        <w:tabs>
          <w:tab w:val="left" w:pos="540"/>
          <w:tab w:val="left" w:pos="569"/>
        </w:tabs>
        <w:jc w:val="both"/>
        <w:rPr>
          <w:sz w:val="22"/>
          <w:szCs w:val="22"/>
          <w:lang w:val="sr-Latn-ME"/>
        </w:rPr>
      </w:pPr>
      <w:r w:rsidRPr="00F234A2">
        <w:rPr>
          <w:sz w:val="22"/>
          <w:szCs w:val="22"/>
          <w:lang w:val="sr-Latn-ME"/>
        </w:rPr>
        <w:t xml:space="preserve">Asciminib nije imao mutageni, klastogeni ili aneugeni potencijal </w:t>
      </w:r>
      <w:r w:rsidRPr="00F234A2">
        <w:rPr>
          <w:i/>
          <w:sz w:val="22"/>
          <w:szCs w:val="22"/>
          <w:lang w:val="sr-Latn-ME"/>
        </w:rPr>
        <w:t>in vitro</w:t>
      </w:r>
      <w:r w:rsidRPr="00F234A2">
        <w:rPr>
          <w:sz w:val="22"/>
          <w:szCs w:val="22"/>
          <w:lang w:val="sr-Latn-ME"/>
        </w:rPr>
        <w:t xml:space="preserve"> ni </w:t>
      </w:r>
      <w:r w:rsidRPr="00F234A2">
        <w:rPr>
          <w:i/>
          <w:sz w:val="22"/>
          <w:szCs w:val="22"/>
          <w:lang w:val="sr-Latn-ME"/>
        </w:rPr>
        <w:t>in vivo</w:t>
      </w:r>
      <w:r w:rsidRPr="00F234A2">
        <w:rPr>
          <w:sz w:val="22"/>
          <w:szCs w:val="22"/>
          <w:lang w:val="sr-Latn-ME"/>
        </w:rPr>
        <w:t xml:space="preserve">. </w:t>
      </w:r>
    </w:p>
    <w:p w14:paraId="31526C4E" w14:textId="77777777" w:rsidR="00CC5384" w:rsidRPr="00F71BB0" w:rsidRDefault="00CC5384" w:rsidP="0095542C">
      <w:pPr>
        <w:tabs>
          <w:tab w:val="left" w:pos="540"/>
          <w:tab w:val="left" w:pos="569"/>
        </w:tabs>
        <w:jc w:val="both"/>
        <w:rPr>
          <w:sz w:val="22"/>
          <w:szCs w:val="22"/>
          <w:lang w:val="sr-Latn-ME"/>
        </w:rPr>
      </w:pPr>
    </w:p>
    <w:p w14:paraId="4B020697" w14:textId="05850E1D" w:rsidR="00CC5384" w:rsidRPr="00DD77A4" w:rsidRDefault="00CC5384" w:rsidP="00CC5384">
      <w:pPr>
        <w:rPr>
          <w:rFonts w:eastAsia="Calibri"/>
          <w:kern w:val="2"/>
          <w:sz w:val="22"/>
          <w:szCs w:val="22"/>
          <w:lang w:val="hr-HR"/>
        </w:rPr>
      </w:pPr>
      <w:r w:rsidRPr="00DD77A4">
        <w:rPr>
          <w:rFonts w:eastAsia="Calibri"/>
          <w:kern w:val="2"/>
          <w:sz w:val="22"/>
          <w:szCs w:val="22"/>
          <w:lang w:val="hr-HR"/>
        </w:rPr>
        <w:t>U dvogodišnjem ispitivanju karcinogenosti sprovedenom na pacovima, ne</w:t>
      </w:r>
      <w:r w:rsidRPr="00DD77A4">
        <w:rPr>
          <w:rFonts w:eastAsia="Calibri"/>
          <w:kern w:val="2"/>
          <w:sz w:val="22"/>
          <w:szCs w:val="22"/>
          <w:lang w:val="hr-HR"/>
        </w:rPr>
        <w:noBreakHyphen/>
        <w:t>neoplastične proliferativne prom</w:t>
      </w:r>
      <w:r w:rsidR="00DF354D" w:rsidRPr="00DD77A4">
        <w:rPr>
          <w:rFonts w:eastAsia="Calibri"/>
          <w:kern w:val="2"/>
          <w:sz w:val="22"/>
          <w:szCs w:val="22"/>
          <w:lang w:val="hr-HR"/>
        </w:rPr>
        <w:t>j</w:t>
      </w:r>
      <w:r w:rsidRPr="00DD77A4">
        <w:rPr>
          <w:rFonts w:eastAsia="Calibri"/>
          <w:kern w:val="2"/>
          <w:sz w:val="22"/>
          <w:szCs w:val="22"/>
          <w:lang w:val="hr-HR"/>
        </w:rPr>
        <w:t>ene koje se sastoje od hiperplazije Sertolijevih ćelija u jajnicima, su uočene kod ženki pri dozama jednakim ili višim od 30 mg/kg/dan. Benigni tumori Sertolijevih ćelija u jajnicima su uočeni kod ženki pacova pri najvišoj dozi od 66 mg/kg/dan. Izloženosti asciminibu prema PIK</w:t>
      </w:r>
      <w:r w:rsidRPr="00DD77A4">
        <w:rPr>
          <w:rFonts w:eastAsia="Calibri"/>
          <w:kern w:val="2"/>
          <w:sz w:val="22"/>
          <w:szCs w:val="22"/>
          <w:lang w:val="hr-HR"/>
        </w:rPr>
        <w:noBreakHyphen/>
        <w:t>u kod ženki pacova pri dozi od 66 mg/kg/dan su bile 8 puta više od onih postignutih kod pacijenata koji su primali dozu od 40 mg dvaput dnevno.</w:t>
      </w:r>
    </w:p>
    <w:p w14:paraId="27C3BDAD" w14:textId="77777777" w:rsidR="00CC5384" w:rsidRPr="00DD77A4" w:rsidRDefault="00CC5384" w:rsidP="00CC5384">
      <w:pPr>
        <w:rPr>
          <w:rFonts w:eastAsia="Calibri"/>
          <w:kern w:val="2"/>
          <w:sz w:val="22"/>
          <w:szCs w:val="22"/>
          <w:lang w:val="hr-HR"/>
        </w:rPr>
      </w:pPr>
    </w:p>
    <w:p w14:paraId="1B506221" w14:textId="77777777" w:rsidR="00CC5384" w:rsidRPr="00F71BB0" w:rsidRDefault="00CC5384" w:rsidP="00CC5384">
      <w:pPr>
        <w:pStyle w:val="Text"/>
        <w:spacing w:before="0"/>
        <w:jc w:val="left"/>
        <w:rPr>
          <w:rFonts w:eastAsia="Calibri"/>
          <w:kern w:val="2"/>
          <w:sz w:val="22"/>
          <w:szCs w:val="22"/>
          <w:lang w:val="hr-HR"/>
        </w:rPr>
      </w:pPr>
      <w:r w:rsidRPr="00F71BB0">
        <w:rPr>
          <w:rFonts w:eastAsia="Calibri"/>
          <w:kern w:val="2"/>
          <w:sz w:val="22"/>
          <w:szCs w:val="22"/>
          <w:lang w:val="hr-HR"/>
        </w:rPr>
        <w:t>Klinički značaj ovih nalaza trenutno nije poznat.</w:t>
      </w:r>
    </w:p>
    <w:p w14:paraId="2A5B9746" w14:textId="77777777" w:rsidR="00CC5384" w:rsidRPr="00F71BB0" w:rsidRDefault="00CC5384" w:rsidP="0095542C">
      <w:pPr>
        <w:tabs>
          <w:tab w:val="left" w:pos="540"/>
          <w:tab w:val="left" w:pos="569"/>
        </w:tabs>
        <w:jc w:val="both"/>
        <w:rPr>
          <w:sz w:val="22"/>
          <w:szCs w:val="22"/>
          <w:lang w:val="sr-Latn-ME"/>
        </w:rPr>
      </w:pPr>
    </w:p>
    <w:p w14:paraId="6A8703C8" w14:textId="161C49CF" w:rsidR="00AF310E" w:rsidRPr="00F234A2" w:rsidRDefault="00AF310E" w:rsidP="0095542C">
      <w:pPr>
        <w:tabs>
          <w:tab w:val="left" w:pos="540"/>
          <w:tab w:val="left" w:pos="569"/>
        </w:tabs>
        <w:jc w:val="both"/>
        <w:rPr>
          <w:sz w:val="22"/>
          <w:szCs w:val="22"/>
          <w:lang w:val="sr-Latn-ME"/>
        </w:rPr>
      </w:pPr>
    </w:p>
    <w:p w14:paraId="3250E9EE" w14:textId="77777777" w:rsidR="009375CA" w:rsidRPr="00F234A2" w:rsidRDefault="009375CA" w:rsidP="0095542C">
      <w:pPr>
        <w:tabs>
          <w:tab w:val="left" w:pos="540"/>
          <w:tab w:val="left" w:pos="569"/>
        </w:tabs>
        <w:jc w:val="both"/>
        <w:rPr>
          <w:sz w:val="22"/>
          <w:szCs w:val="22"/>
          <w:u w:val="single"/>
          <w:lang w:val="sr-Latn-ME"/>
        </w:rPr>
      </w:pPr>
      <w:r w:rsidRPr="00F234A2">
        <w:rPr>
          <w:sz w:val="22"/>
          <w:szCs w:val="22"/>
          <w:u w:val="single"/>
          <w:lang w:val="sr-Latn-ME"/>
        </w:rPr>
        <w:t>Reproduktivna toksičnost</w:t>
      </w:r>
    </w:p>
    <w:p w14:paraId="652B1884" w14:textId="77777777" w:rsidR="009375CA" w:rsidRPr="00F234A2" w:rsidRDefault="009375CA" w:rsidP="0095542C">
      <w:pPr>
        <w:tabs>
          <w:tab w:val="left" w:pos="540"/>
          <w:tab w:val="left" w:pos="569"/>
        </w:tabs>
        <w:jc w:val="both"/>
        <w:rPr>
          <w:sz w:val="22"/>
          <w:szCs w:val="22"/>
          <w:lang w:val="sr-Latn-ME"/>
        </w:rPr>
      </w:pPr>
    </w:p>
    <w:p w14:paraId="5648519B" w14:textId="1CBC619A" w:rsidR="009375CA" w:rsidRPr="00F234A2" w:rsidRDefault="009375CA" w:rsidP="0095542C">
      <w:pPr>
        <w:tabs>
          <w:tab w:val="left" w:pos="540"/>
          <w:tab w:val="left" w:pos="569"/>
        </w:tabs>
        <w:jc w:val="both"/>
        <w:rPr>
          <w:sz w:val="22"/>
          <w:szCs w:val="22"/>
          <w:lang w:val="sr-Latn-ME"/>
        </w:rPr>
      </w:pPr>
      <w:r w:rsidRPr="00F234A2">
        <w:rPr>
          <w:sz w:val="22"/>
          <w:szCs w:val="22"/>
          <w:lang w:val="sr-Latn-ME"/>
        </w:rPr>
        <w:t xml:space="preserve">Studije reproduktivne toksičnosti kod životinja na skotnim pacovima i kunićima pokazala su da je oralna </w:t>
      </w:r>
      <w:r w:rsidR="0094593A" w:rsidRPr="00F234A2">
        <w:rPr>
          <w:sz w:val="22"/>
          <w:szCs w:val="22"/>
          <w:lang w:val="sr-Latn-ME"/>
        </w:rPr>
        <w:t>primjen</w:t>
      </w:r>
      <w:r w:rsidRPr="00F234A2">
        <w:rPr>
          <w:sz w:val="22"/>
          <w:szCs w:val="22"/>
          <w:lang w:val="sr-Latn-ME"/>
        </w:rPr>
        <w:t>a asciminiba tokom organogeneze indukovala embriotoksičnost, fetotoksičnost i teratogenost.</w:t>
      </w:r>
    </w:p>
    <w:p w14:paraId="1AF42139" w14:textId="77777777" w:rsidR="009375CA" w:rsidRPr="00F234A2" w:rsidRDefault="009375CA" w:rsidP="0095542C">
      <w:pPr>
        <w:tabs>
          <w:tab w:val="left" w:pos="540"/>
          <w:tab w:val="left" w:pos="569"/>
        </w:tabs>
        <w:jc w:val="both"/>
        <w:rPr>
          <w:sz w:val="22"/>
          <w:szCs w:val="22"/>
          <w:lang w:val="sr-Latn-ME"/>
        </w:rPr>
      </w:pPr>
    </w:p>
    <w:p w14:paraId="7E81323E" w14:textId="0CB1A7FA" w:rsidR="009375CA" w:rsidRPr="00F234A2" w:rsidRDefault="009375CA" w:rsidP="0095542C">
      <w:pPr>
        <w:tabs>
          <w:tab w:val="left" w:pos="540"/>
          <w:tab w:val="left" w:pos="569"/>
        </w:tabs>
        <w:jc w:val="both"/>
        <w:rPr>
          <w:sz w:val="22"/>
          <w:szCs w:val="22"/>
          <w:lang w:val="sr-Latn-ME"/>
        </w:rPr>
      </w:pPr>
      <w:r w:rsidRPr="00F234A2">
        <w:rPr>
          <w:sz w:val="22"/>
          <w:szCs w:val="22"/>
          <w:lang w:val="sr-Latn-ME"/>
        </w:rPr>
        <w:t>U ispitivanjima embriofetalne razvojne toksičnosti prim</w:t>
      </w:r>
      <w:r w:rsidR="000B6873" w:rsidRPr="00F234A2">
        <w:rPr>
          <w:sz w:val="22"/>
          <w:szCs w:val="22"/>
          <w:lang w:val="sr-Latn-ME"/>
        </w:rPr>
        <w:t>ij</w:t>
      </w:r>
      <w:r w:rsidRPr="00F234A2">
        <w:rPr>
          <w:sz w:val="22"/>
          <w:szCs w:val="22"/>
          <w:lang w:val="sr-Latn-ME"/>
        </w:rPr>
        <w:t>ećeno je blago povećanje malformacija fetusa (anasarka i srčane malformacije) kao i povećane visceralne i skeletne varijante kod pacova. Povećana incidenca resorpcije koja ukazuje na embriofetalni mortalitet i niska incidenca srčanih malformacija koja ukazuje na teratogenost prim</w:t>
      </w:r>
      <w:r w:rsidR="000F63F6" w:rsidRPr="00F234A2">
        <w:rPr>
          <w:sz w:val="22"/>
          <w:szCs w:val="22"/>
          <w:lang w:val="sr-Latn-ME"/>
        </w:rPr>
        <w:t>ij</w:t>
      </w:r>
      <w:r w:rsidRPr="00F234A2">
        <w:rPr>
          <w:sz w:val="22"/>
          <w:szCs w:val="22"/>
          <w:lang w:val="sr-Latn-ME"/>
        </w:rPr>
        <w:t xml:space="preserve">ećene su kod kunića. Kod pacova, pri </w:t>
      </w:r>
      <w:r w:rsidR="00F71BB0" w:rsidRPr="00F71BB0">
        <w:rPr>
          <w:sz w:val="22"/>
          <w:szCs w:val="22"/>
          <w:lang w:val="sr-Latn-ME"/>
        </w:rPr>
        <w:t>fetalnom nivou izloženosti pri kojoj nije prim</w:t>
      </w:r>
      <w:r w:rsidR="00C36E67">
        <w:rPr>
          <w:sz w:val="22"/>
          <w:szCs w:val="22"/>
          <w:lang w:val="sr-Latn-ME"/>
        </w:rPr>
        <w:t>ij</w:t>
      </w:r>
      <w:r w:rsidR="00F71BB0" w:rsidRPr="00F71BB0">
        <w:rPr>
          <w:sz w:val="22"/>
          <w:szCs w:val="22"/>
          <w:lang w:val="sr-Latn-ME"/>
        </w:rPr>
        <w:t xml:space="preserve">ećen štetan uticaj </w:t>
      </w:r>
      <w:r w:rsidRPr="00F234A2">
        <w:rPr>
          <w:sz w:val="22"/>
          <w:szCs w:val="22"/>
          <w:lang w:val="sr-Latn-ME"/>
        </w:rPr>
        <w:t xml:space="preserve">(engl. </w:t>
      </w:r>
      <w:r w:rsidRPr="00F234A2">
        <w:rPr>
          <w:i/>
          <w:iCs/>
          <w:sz w:val="22"/>
          <w:szCs w:val="22"/>
          <w:lang w:val="sr-Latn-ME"/>
        </w:rPr>
        <w:t>no observed adverse effect level</w:t>
      </w:r>
      <w:r w:rsidRPr="00F234A2">
        <w:rPr>
          <w:sz w:val="22"/>
          <w:szCs w:val="22"/>
          <w:lang w:val="sr-Latn-ME"/>
        </w:rPr>
        <w:t>, NOAEL) od 25 mg/kg/dan, izloženosti (PIK) su bile ekvivalentne onima postignutim kod pacijenata pri RD od 40 mg dva puta na dan. Kod kunića, uz fetalni NOAEL od 15 mg/kg/dan, izloženosti (PIK) su bile ekvivalentne onima postignutim kod pacijenata pri RD od 40 mg dva puta na dan.</w:t>
      </w:r>
    </w:p>
    <w:p w14:paraId="5A94675E" w14:textId="25656510" w:rsidR="009375CA" w:rsidRPr="00F234A2" w:rsidRDefault="009375CA" w:rsidP="0095542C">
      <w:pPr>
        <w:tabs>
          <w:tab w:val="left" w:pos="540"/>
          <w:tab w:val="left" w:pos="569"/>
        </w:tabs>
        <w:jc w:val="both"/>
        <w:rPr>
          <w:sz w:val="22"/>
          <w:szCs w:val="22"/>
          <w:lang w:val="sr-Latn-ME"/>
        </w:rPr>
      </w:pPr>
      <w:r w:rsidRPr="00F234A2">
        <w:rPr>
          <w:sz w:val="22"/>
          <w:szCs w:val="22"/>
          <w:lang w:val="sr-Latn-ME"/>
        </w:rPr>
        <w:lastRenderedPageBreak/>
        <w:t>U studiji plodnosti kod pacova, asciminib nije uticao na reproduktivnu funkciju mužjaka i ženki pacova. Blagi efekat na motilitet sperme i broj spermatozoida mužjaka bio je prim</w:t>
      </w:r>
      <w:r w:rsidR="003B553E" w:rsidRPr="00F234A2">
        <w:rPr>
          <w:sz w:val="22"/>
          <w:szCs w:val="22"/>
          <w:lang w:val="sr-Latn-ME"/>
        </w:rPr>
        <w:t>ij</w:t>
      </w:r>
      <w:r w:rsidRPr="00F234A2">
        <w:rPr>
          <w:sz w:val="22"/>
          <w:szCs w:val="22"/>
          <w:lang w:val="sr-Latn-ME"/>
        </w:rPr>
        <w:t>ećen pri dozama od 200 mg/kg/dan, v</w:t>
      </w:r>
      <w:r w:rsidR="000F63F6" w:rsidRPr="00F234A2">
        <w:rPr>
          <w:sz w:val="22"/>
          <w:szCs w:val="22"/>
          <w:lang w:val="sr-Latn-ME"/>
        </w:rPr>
        <w:t>j</w:t>
      </w:r>
      <w:r w:rsidRPr="00F234A2">
        <w:rPr>
          <w:sz w:val="22"/>
          <w:szCs w:val="22"/>
          <w:lang w:val="sr-Latn-ME"/>
        </w:rPr>
        <w:t>erovatno pri izloženostima (PIK) koje su 19 puta veće od onih postignutih kod pacijenata pri RD od 40 mg dva puta na dan.</w:t>
      </w:r>
    </w:p>
    <w:p w14:paraId="315A7AB3" w14:textId="77777777" w:rsidR="00B6300D" w:rsidRPr="00F234A2" w:rsidRDefault="00B6300D" w:rsidP="0095542C">
      <w:pPr>
        <w:tabs>
          <w:tab w:val="left" w:pos="540"/>
          <w:tab w:val="left" w:pos="569"/>
        </w:tabs>
        <w:jc w:val="both"/>
        <w:rPr>
          <w:sz w:val="22"/>
          <w:szCs w:val="22"/>
          <w:lang w:val="sr-Latn-ME"/>
        </w:rPr>
      </w:pPr>
    </w:p>
    <w:p w14:paraId="0ACE669D" w14:textId="16EA2F2F" w:rsidR="00B6300D" w:rsidRPr="00F234A2" w:rsidRDefault="00B6300D" w:rsidP="0095542C">
      <w:pPr>
        <w:tabs>
          <w:tab w:val="left" w:pos="540"/>
          <w:tab w:val="left" w:pos="569"/>
        </w:tabs>
        <w:jc w:val="both"/>
        <w:rPr>
          <w:sz w:val="22"/>
          <w:szCs w:val="22"/>
          <w:lang w:val="sr-Latn-ME"/>
        </w:rPr>
      </w:pPr>
      <w:r w:rsidRPr="00F234A2">
        <w:rPr>
          <w:sz w:val="22"/>
          <w:szCs w:val="22"/>
          <w:lang w:val="sr-Latn-ME"/>
        </w:rPr>
        <w:t>Studija pre- i postnatalne razvojne toksičnosti nije sprovedena.</w:t>
      </w:r>
    </w:p>
    <w:p w14:paraId="63E07EC3" w14:textId="366BE591" w:rsidR="009375CA" w:rsidRPr="00F234A2" w:rsidRDefault="009375CA" w:rsidP="0095542C">
      <w:pPr>
        <w:tabs>
          <w:tab w:val="left" w:pos="540"/>
          <w:tab w:val="left" w:pos="569"/>
        </w:tabs>
        <w:jc w:val="both"/>
        <w:rPr>
          <w:sz w:val="22"/>
          <w:szCs w:val="22"/>
          <w:lang w:val="sr-Latn-ME"/>
        </w:rPr>
      </w:pPr>
    </w:p>
    <w:p w14:paraId="331522EA" w14:textId="77777777" w:rsidR="009375CA" w:rsidRPr="00F234A2" w:rsidRDefault="009375CA" w:rsidP="0095542C">
      <w:pPr>
        <w:tabs>
          <w:tab w:val="left" w:pos="540"/>
          <w:tab w:val="left" w:pos="569"/>
        </w:tabs>
        <w:jc w:val="both"/>
        <w:rPr>
          <w:sz w:val="22"/>
          <w:szCs w:val="22"/>
          <w:u w:val="single"/>
          <w:lang w:val="sr-Latn-ME"/>
        </w:rPr>
      </w:pPr>
      <w:r w:rsidRPr="00F234A2">
        <w:rPr>
          <w:sz w:val="22"/>
          <w:szCs w:val="22"/>
          <w:u w:val="single"/>
          <w:lang w:val="sr-Latn-ME"/>
        </w:rPr>
        <w:t xml:space="preserve">Fototoksičnost </w:t>
      </w:r>
    </w:p>
    <w:p w14:paraId="4CE94BAB" w14:textId="77777777" w:rsidR="009375CA" w:rsidRPr="00F234A2" w:rsidRDefault="009375CA" w:rsidP="0095542C">
      <w:pPr>
        <w:tabs>
          <w:tab w:val="left" w:pos="540"/>
          <w:tab w:val="left" w:pos="569"/>
        </w:tabs>
        <w:jc w:val="both"/>
        <w:rPr>
          <w:sz w:val="22"/>
          <w:szCs w:val="22"/>
          <w:lang w:val="sr-Latn-ME"/>
        </w:rPr>
      </w:pPr>
    </w:p>
    <w:p w14:paraId="6452C6A3" w14:textId="4919DB91" w:rsidR="009375CA" w:rsidRPr="00F234A2" w:rsidRDefault="00FB25DC" w:rsidP="0095542C">
      <w:pPr>
        <w:tabs>
          <w:tab w:val="left" w:pos="540"/>
          <w:tab w:val="left" w:pos="569"/>
        </w:tabs>
        <w:jc w:val="both"/>
        <w:rPr>
          <w:sz w:val="22"/>
          <w:szCs w:val="22"/>
          <w:lang w:val="sr-Latn-ME"/>
        </w:rPr>
      </w:pPr>
      <w:r w:rsidRPr="00F234A2">
        <w:rPr>
          <w:sz w:val="22"/>
          <w:szCs w:val="22"/>
          <w:lang w:val="sr-Latn-ME"/>
        </w:rPr>
        <w:t>Kod</w:t>
      </w:r>
      <w:r w:rsidR="009375CA" w:rsidRPr="00F234A2">
        <w:rPr>
          <w:sz w:val="22"/>
          <w:szCs w:val="22"/>
          <w:lang w:val="sr-Latn-ME"/>
        </w:rPr>
        <w:t xml:space="preserve"> miševa je asciminib pokazao fototoksične efekte zavisne od dozi počev od 200 mg/kg/dan. Pri NOAEL od 60 mg/kg/dan, izloženost prema C</w:t>
      </w:r>
      <w:r w:rsidR="009375CA" w:rsidRPr="00F234A2">
        <w:rPr>
          <w:sz w:val="22"/>
          <w:szCs w:val="22"/>
          <w:vertAlign w:val="subscript"/>
          <w:lang w:val="sr-Latn-ME"/>
        </w:rPr>
        <w:t>max</w:t>
      </w:r>
      <w:r w:rsidR="009375CA" w:rsidRPr="00F234A2">
        <w:rPr>
          <w:sz w:val="22"/>
          <w:szCs w:val="22"/>
          <w:lang w:val="sr-Latn-ME"/>
        </w:rPr>
        <w:t xml:space="preserve"> u plazmi bila je 15 puta veća od izloženosti kod pacijenata koji su primali RD od 40 mg dva puta na dan.</w:t>
      </w:r>
    </w:p>
    <w:p w14:paraId="000921DF" w14:textId="77777777" w:rsidR="000F63F6" w:rsidRPr="00F234A2" w:rsidRDefault="000F63F6" w:rsidP="0095542C">
      <w:pPr>
        <w:tabs>
          <w:tab w:val="left" w:pos="540"/>
          <w:tab w:val="left" w:pos="569"/>
        </w:tabs>
        <w:jc w:val="both"/>
        <w:rPr>
          <w:sz w:val="22"/>
          <w:szCs w:val="22"/>
          <w:lang w:val="sr-Latn-ME"/>
        </w:rPr>
      </w:pPr>
    </w:p>
    <w:p w14:paraId="6452B99F" w14:textId="77777777" w:rsidR="009375CA" w:rsidRPr="00F234A2" w:rsidRDefault="009375CA" w:rsidP="0095542C">
      <w:pPr>
        <w:tabs>
          <w:tab w:val="left" w:pos="540"/>
          <w:tab w:val="left" w:pos="569"/>
        </w:tabs>
        <w:jc w:val="both"/>
        <w:rPr>
          <w:sz w:val="22"/>
          <w:szCs w:val="22"/>
          <w:lang w:val="sr-Latn-ME"/>
        </w:rPr>
      </w:pPr>
    </w:p>
    <w:p w14:paraId="6BD342F8" w14:textId="77777777" w:rsidR="0072020E" w:rsidRPr="00F234A2" w:rsidRDefault="0072020E" w:rsidP="00480FB1">
      <w:pPr>
        <w:tabs>
          <w:tab w:val="left" w:pos="540"/>
          <w:tab w:val="left" w:pos="569"/>
        </w:tabs>
        <w:rPr>
          <w:b/>
          <w:bCs/>
          <w:sz w:val="22"/>
          <w:szCs w:val="22"/>
          <w:lang w:val="sr-Latn-ME"/>
        </w:rPr>
      </w:pPr>
      <w:r w:rsidRPr="00F234A2">
        <w:rPr>
          <w:b/>
          <w:bCs/>
          <w:sz w:val="22"/>
          <w:szCs w:val="22"/>
          <w:lang w:val="sr-Latn-ME"/>
        </w:rPr>
        <w:t xml:space="preserve">6. </w:t>
      </w:r>
      <w:r w:rsidR="00480FB1" w:rsidRPr="00F234A2">
        <w:rPr>
          <w:b/>
          <w:bCs/>
          <w:sz w:val="22"/>
          <w:szCs w:val="22"/>
          <w:lang w:val="sr-Latn-ME"/>
        </w:rPr>
        <w:tab/>
      </w:r>
      <w:r w:rsidRPr="00F234A2">
        <w:rPr>
          <w:b/>
          <w:bCs/>
          <w:sz w:val="22"/>
          <w:szCs w:val="22"/>
          <w:lang w:val="sr-Latn-ME"/>
        </w:rPr>
        <w:t>FARMACEUTSKI PODACI</w:t>
      </w:r>
    </w:p>
    <w:p w14:paraId="22BD0DAC" w14:textId="77777777" w:rsidR="00836B35" w:rsidRPr="00F234A2" w:rsidRDefault="00836B35" w:rsidP="00480FB1">
      <w:pPr>
        <w:tabs>
          <w:tab w:val="left" w:pos="540"/>
          <w:tab w:val="left" w:pos="569"/>
        </w:tabs>
        <w:rPr>
          <w:bCs/>
          <w:sz w:val="22"/>
          <w:szCs w:val="22"/>
          <w:lang w:val="sr-Latn-ME"/>
        </w:rPr>
      </w:pPr>
    </w:p>
    <w:p w14:paraId="49C23BF4" w14:textId="77777777" w:rsidR="0072020E" w:rsidRPr="00F234A2" w:rsidRDefault="0072020E" w:rsidP="00480FB1">
      <w:pPr>
        <w:tabs>
          <w:tab w:val="left" w:pos="540"/>
          <w:tab w:val="left" w:pos="569"/>
        </w:tabs>
        <w:rPr>
          <w:b/>
          <w:bCs/>
          <w:sz w:val="22"/>
          <w:szCs w:val="22"/>
          <w:lang w:val="sr-Latn-ME"/>
        </w:rPr>
      </w:pPr>
      <w:r w:rsidRPr="00F234A2">
        <w:rPr>
          <w:b/>
          <w:bCs/>
          <w:sz w:val="22"/>
          <w:szCs w:val="22"/>
          <w:lang w:val="sr-Latn-ME"/>
        </w:rPr>
        <w:t xml:space="preserve">6.1. </w:t>
      </w:r>
      <w:r w:rsidR="00480FB1" w:rsidRPr="00F234A2">
        <w:rPr>
          <w:b/>
          <w:bCs/>
          <w:sz w:val="22"/>
          <w:szCs w:val="22"/>
          <w:lang w:val="sr-Latn-ME"/>
        </w:rPr>
        <w:tab/>
      </w:r>
      <w:r w:rsidRPr="00F234A2">
        <w:rPr>
          <w:b/>
          <w:bCs/>
          <w:sz w:val="22"/>
          <w:szCs w:val="22"/>
          <w:lang w:val="sr-Latn-ME"/>
        </w:rPr>
        <w:t>Lista pomoćnih supstanci</w:t>
      </w:r>
      <w:r w:rsidR="002E0135" w:rsidRPr="00F234A2">
        <w:rPr>
          <w:b/>
          <w:bCs/>
          <w:sz w:val="22"/>
          <w:szCs w:val="22"/>
          <w:lang w:val="sr-Latn-ME"/>
        </w:rPr>
        <w:t xml:space="preserve"> (ekscipijenasa)</w:t>
      </w:r>
    </w:p>
    <w:p w14:paraId="3B82C985" w14:textId="32B084A2" w:rsidR="0072020E" w:rsidRPr="00F234A2" w:rsidRDefault="0072020E" w:rsidP="00480FB1">
      <w:pPr>
        <w:tabs>
          <w:tab w:val="left" w:pos="540"/>
          <w:tab w:val="left" w:pos="569"/>
        </w:tabs>
        <w:rPr>
          <w:bCs/>
          <w:sz w:val="22"/>
          <w:szCs w:val="22"/>
          <w:lang w:val="sr-Latn-ME"/>
        </w:rPr>
      </w:pPr>
    </w:p>
    <w:p w14:paraId="77AA8985" w14:textId="77777777" w:rsidR="009375CA" w:rsidRPr="00F234A2" w:rsidRDefault="009375CA" w:rsidP="002D49AB">
      <w:pPr>
        <w:tabs>
          <w:tab w:val="left" w:pos="540"/>
          <w:tab w:val="left" w:pos="569"/>
        </w:tabs>
        <w:jc w:val="both"/>
        <w:rPr>
          <w:bCs/>
          <w:i/>
          <w:iCs/>
          <w:sz w:val="22"/>
          <w:szCs w:val="22"/>
          <w:lang w:val="sr-Latn-ME"/>
        </w:rPr>
      </w:pPr>
      <w:r w:rsidRPr="00F234A2">
        <w:rPr>
          <w:bCs/>
          <w:i/>
          <w:iCs/>
          <w:sz w:val="22"/>
          <w:szCs w:val="22"/>
          <w:lang w:val="sr-Latn-ME"/>
        </w:rPr>
        <w:t>Scemblix, 20 mg, film tablete i Scemblix, 40 mg, film tablete</w:t>
      </w:r>
    </w:p>
    <w:p w14:paraId="646AA52B" w14:textId="77777777" w:rsidR="009375CA" w:rsidRPr="00F234A2" w:rsidRDefault="009375CA" w:rsidP="002D49AB">
      <w:pPr>
        <w:tabs>
          <w:tab w:val="left" w:pos="540"/>
          <w:tab w:val="left" w:pos="569"/>
        </w:tabs>
        <w:jc w:val="both"/>
        <w:rPr>
          <w:bCs/>
          <w:sz w:val="22"/>
          <w:szCs w:val="22"/>
          <w:lang w:val="sr-Latn-ME"/>
        </w:rPr>
      </w:pPr>
    </w:p>
    <w:p w14:paraId="7FB4EB2B" w14:textId="77777777" w:rsidR="009375CA" w:rsidRPr="00F234A2" w:rsidRDefault="009375CA" w:rsidP="002D49AB">
      <w:pPr>
        <w:tabs>
          <w:tab w:val="left" w:pos="540"/>
          <w:tab w:val="left" w:pos="569"/>
        </w:tabs>
        <w:jc w:val="both"/>
        <w:rPr>
          <w:bCs/>
          <w:sz w:val="22"/>
          <w:szCs w:val="22"/>
          <w:lang w:val="sr-Latn-ME"/>
        </w:rPr>
      </w:pPr>
      <w:r w:rsidRPr="00F234A2">
        <w:rPr>
          <w:bCs/>
          <w:sz w:val="22"/>
          <w:szCs w:val="22"/>
          <w:lang w:val="sr-Latn-ME"/>
        </w:rPr>
        <w:t>laktoza, monohidrat;</w:t>
      </w:r>
    </w:p>
    <w:p w14:paraId="5AAEDB50" w14:textId="77777777" w:rsidR="009375CA" w:rsidRPr="00F234A2" w:rsidRDefault="009375CA" w:rsidP="002D49AB">
      <w:pPr>
        <w:tabs>
          <w:tab w:val="left" w:pos="540"/>
          <w:tab w:val="left" w:pos="569"/>
        </w:tabs>
        <w:jc w:val="both"/>
        <w:rPr>
          <w:bCs/>
          <w:sz w:val="22"/>
          <w:szCs w:val="22"/>
          <w:lang w:val="sr-Latn-ME"/>
        </w:rPr>
      </w:pPr>
      <w:r w:rsidRPr="00F234A2">
        <w:rPr>
          <w:bCs/>
          <w:sz w:val="22"/>
          <w:szCs w:val="22"/>
          <w:lang w:val="sr-Latn-ME"/>
        </w:rPr>
        <w:t>celuloza, mikrokristalna;</w:t>
      </w:r>
    </w:p>
    <w:p w14:paraId="01206E4C" w14:textId="77777777" w:rsidR="009375CA" w:rsidRPr="00F234A2" w:rsidRDefault="009375CA" w:rsidP="002D49AB">
      <w:pPr>
        <w:tabs>
          <w:tab w:val="left" w:pos="540"/>
          <w:tab w:val="left" w:pos="569"/>
        </w:tabs>
        <w:jc w:val="both"/>
        <w:rPr>
          <w:bCs/>
          <w:sz w:val="22"/>
          <w:szCs w:val="22"/>
          <w:lang w:val="sr-Latn-ME"/>
        </w:rPr>
      </w:pPr>
      <w:r w:rsidRPr="00F234A2">
        <w:rPr>
          <w:bCs/>
          <w:sz w:val="22"/>
          <w:szCs w:val="22"/>
          <w:lang w:val="sr-Latn-ME"/>
        </w:rPr>
        <w:t>hidroksipropil celuloza;</w:t>
      </w:r>
    </w:p>
    <w:p w14:paraId="5434121B" w14:textId="72350E19" w:rsidR="009375CA" w:rsidRPr="00F234A2" w:rsidRDefault="009375CA" w:rsidP="002D49AB">
      <w:pPr>
        <w:tabs>
          <w:tab w:val="left" w:pos="540"/>
          <w:tab w:val="left" w:pos="569"/>
        </w:tabs>
        <w:jc w:val="both"/>
        <w:rPr>
          <w:bCs/>
          <w:sz w:val="22"/>
          <w:szCs w:val="22"/>
          <w:lang w:val="sr-Latn-ME"/>
        </w:rPr>
      </w:pPr>
      <w:r w:rsidRPr="00F234A2">
        <w:rPr>
          <w:bCs/>
          <w:sz w:val="22"/>
          <w:szCs w:val="22"/>
          <w:lang w:val="sr-Latn-ME"/>
        </w:rPr>
        <w:t>kroskarmeloza</w:t>
      </w:r>
      <w:r w:rsidR="008213D0" w:rsidRPr="00F234A2">
        <w:rPr>
          <w:bCs/>
          <w:sz w:val="22"/>
          <w:szCs w:val="22"/>
          <w:lang w:val="sr-Latn-ME"/>
        </w:rPr>
        <w:t xml:space="preserve"> </w:t>
      </w:r>
      <w:r w:rsidRPr="00F234A2">
        <w:rPr>
          <w:bCs/>
          <w:sz w:val="22"/>
          <w:szCs w:val="22"/>
          <w:lang w:val="sr-Latn-ME"/>
        </w:rPr>
        <w:t>natrijum (E468);</w:t>
      </w:r>
    </w:p>
    <w:p w14:paraId="6CA76DFF" w14:textId="77777777" w:rsidR="009375CA" w:rsidRPr="00F234A2" w:rsidRDefault="009375CA" w:rsidP="002D49AB">
      <w:pPr>
        <w:tabs>
          <w:tab w:val="left" w:pos="540"/>
          <w:tab w:val="left" w:pos="569"/>
        </w:tabs>
        <w:jc w:val="both"/>
        <w:rPr>
          <w:bCs/>
          <w:sz w:val="22"/>
          <w:szCs w:val="22"/>
          <w:lang w:val="sr-Latn-ME"/>
        </w:rPr>
      </w:pPr>
      <w:r w:rsidRPr="00F234A2">
        <w:rPr>
          <w:bCs/>
          <w:sz w:val="22"/>
          <w:szCs w:val="22"/>
          <w:lang w:val="sr-Latn-ME"/>
        </w:rPr>
        <w:t>polivinil alkohol (E1203);</w:t>
      </w:r>
    </w:p>
    <w:p w14:paraId="6E33D349" w14:textId="786AC492" w:rsidR="009375CA" w:rsidRPr="00F234A2" w:rsidRDefault="009375CA" w:rsidP="002D49AB">
      <w:pPr>
        <w:tabs>
          <w:tab w:val="left" w:pos="540"/>
          <w:tab w:val="left" w:pos="569"/>
        </w:tabs>
        <w:jc w:val="both"/>
        <w:rPr>
          <w:bCs/>
          <w:sz w:val="22"/>
          <w:szCs w:val="22"/>
          <w:lang w:val="sr-Latn-ME"/>
        </w:rPr>
      </w:pPr>
      <w:r w:rsidRPr="00F234A2">
        <w:rPr>
          <w:bCs/>
          <w:sz w:val="22"/>
          <w:szCs w:val="22"/>
          <w:lang w:val="sr-Latn-ME"/>
        </w:rPr>
        <w:t>titan</w:t>
      </w:r>
      <w:r w:rsidR="008213D0" w:rsidRPr="00F234A2">
        <w:rPr>
          <w:bCs/>
          <w:sz w:val="22"/>
          <w:szCs w:val="22"/>
          <w:lang w:val="sr-Latn-ME"/>
        </w:rPr>
        <w:t xml:space="preserve"> </w:t>
      </w:r>
      <w:r w:rsidRPr="00F234A2">
        <w:rPr>
          <w:bCs/>
          <w:sz w:val="22"/>
          <w:szCs w:val="22"/>
          <w:lang w:val="sr-Latn-ME"/>
        </w:rPr>
        <w:t>dioksid (E171);</w:t>
      </w:r>
    </w:p>
    <w:p w14:paraId="553D76E7" w14:textId="33042008" w:rsidR="009375CA" w:rsidRPr="00F234A2" w:rsidRDefault="009375CA" w:rsidP="002D49AB">
      <w:pPr>
        <w:tabs>
          <w:tab w:val="left" w:pos="540"/>
          <w:tab w:val="left" w:pos="569"/>
        </w:tabs>
        <w:jc w:val="both"/>
        <w:rPr>
          <w:bCs/>
          <w:sz w:val="22"/>
          <w:szCs w:val="22"/>
          <w:lang w:val="sr-Latn-ME"/>
        </w:rPr>
      </w:pPr>
      <w:r w:rsidRPr="00F234A2">
        <w:rPr>
          <w:bCs/>
          <w:sz w:val="22"/>
          <w:szCs w:val="22"/>
          <w:lang w:val="sr-Latn-ME"/>
        </w:rPr>
        <w:t>magnezijum</w:t>
      </w:r>
      <w:r w:rsidR="008213D0" w:rsidRPr="00F234A2">
        <w:rPr>
          <w:bCs/>
          <w:sz w:val="22"/>
          <w:szCs w:val="22"/>
          <w:lang w:val="sr-Latn-ME"/>
        </w:rPr>
        <w:t xml:space="preserve"> </w:t>
      </w:r>
      <w:r w:rsidRPr="00F234A2">
        <w:rPr>
          <w:bCs/>
          <w:sz w:val="22"/>
          <w:szCs w:val="22"/>
          <w:lang w:val="sr-Latn-ME"/>
        </w:rPr>
        <w:t>stearat;</w:t>
      </w:r>
    </w:p>
    <w:p w14:paraId="32075E9A" w14:textId="77777777" w:rsidR="009375CA" w:rsidRPr="00F234A2" w:rsidRDefault="009375CA" w:rsidP="002D49AB">
      <w:pPr>
        <w:tabs>
          <w:tab w:val="left" w:pos="540"/>
          <w:tab w:val="left" w:pos="569"/>
        </w:tabs>
        <w:jc w:val="both"/>
        <w:rPr>
          <w:bCs/>
          <w:sz w:val="22"/>
          <w:szCs w:val="22"/>
          <w:lang w:val="sr-Latn-ME"/>
        </w:rPr>
      </w:pPr>
      <w:r w:rsidRPr="00F234A2">
        <w:rPr>
          <w:bCs/>
          <w:sz w:val="22"/>
          <w:szCs w:val="22"/>
          <w:lang w:val="sr-Latn-ME"/>
        </w:rPr>
        <w:t>talk (E533b);</w:t>
      </w:r>
    </w:p>
    <w:p w14:paraId="5FC4F5E3" w14:textId="77777777" w:rsidR="009375CA" w:rsidRPr="00F234A2" w:rsidRDefault="009375CA" w:rsidP="002D49AB">
      <w:pPr>
        <w:tabs>
          <w:tab w:val="left" w:pos="540"/>
          <w:tab w:val="left" w:pos="569"/>
        </w:tabs>
        <w:jc w:val="both"/>
        <w:rPr>
          <w:bCs/>
          <w:sz w:val="22"/>
          <w:szCs w:val="22"/>
          <w:lang w:val="sr-Latn-ME"/>
        </w:rPr>
      </w:pPr>
      <w:r w:rsidRPr="00F234A2">
        <w:rPr>
          <w:bCs/>
          <w:sz w:val="22"/>
          <w:szCs w:val="22"/>
          <w:lang w:val="sr-Latn-ME"/>
        </w:rPr>
        <w:t>silicijum dioksid, koloidni, anhidrovani;</w:t>
      </w:r>
    </w:p>
    <w:p w14:paraId="2219EB4B" w14:textId="77777777" w:rsidR="009375CA" w:rsidRPr="00F234A2" w:rsidRDefault="009375CA" w:rsidP="002D49AB">
      <w:pPr>
        <w:tabs>
          <w:tab w:val="left" w:pos="540"/>
          <w:tab w:val="left" w:pos="569"/>
        </w:tabs>
        <w:jc w:val="both"/>
        <w:rPr>
          <w:bCs/>
          <w:sz w:val="22"/>
          <w:szCs w:val="22"/>
          <w:lang w:val="sr-Latn-ME"/>
        </w:rPr>
      </w:pPr>
      <w:r w:rsidRPr="00F234A2">
        <w:rPr>
          <w:bCs/>
          <w:sz w:val="22"/>
          <w:szCs w:val="22"/>
          <w:lang w:val="sr-Latn-ME"/>
        </w:rPr>
        <w:t>lecitin (E322);</w:t>
      </w:r>
    </w:p>
    <w:p w14:paraId="57647051" w14:textId="77777777" w:rsidR="009375CA" w:rsidRPr="00F234A2" w:rsidRDefault="009375CA" w:rsidP="002D49AB">
      <w:pPr>
        <w:tabs>
          <w:tab w:val="left" w:pos="540"/>
          <w:tab w:val="left" w:pos="569"/>
        </w:tabs>
        <w:jc w:val="both"/>
        <w:rPr>
          <w:bCs/>
          <w:sz w:val="22"/>
          <w:szCs w:val="22"/>
          <w:lang w:val="sr-Latn-ME"/>
        </w:rPr>
      </w:pPr>
      <w:r w:rsidRPr="00F234A2">
        <w:rPr>
          <w:bCs/>
          <w:sz w:val="22"/>
          <w:szCs w:val="22"/>
          <w:lang w:val="sr-Latn-ME"/>
        </w:rPr>
        <w:t>ksantan guma (E415);</w:t>
      </w:r>
    </w:p>
    <w:p w14:paraId="4335A59F" w14:textId="404DAAA6" w:rsidR="009375CA" w:rsidRPr="00F234A2" w:rsidRDefault="009375CA" w:rsidP="002D49AB">
      <w:pPr>
        <w:tabs>
          <w:tab w:val="left" w:pos="540"/>
          <w:tab w:val="left" w:pos="569"/>
        </w:tabs>
        <w:jc w:val="both"/>
        <w:rPr>
          <w:bCs/>
          <w:sz w:val="22"/>
          <w:szCs w:val="22"/>
          <w:lang w:val="sr-Latn-ME"/>
        </w:rPr>
      </w:pPr>
      <w:r w:rsidRPr="00F234A2">
        <w:rPr>
          <w:bCs/>
          <w:sz w:val="22"/>
          <w:szCs w:val="22"/>
          <w:lang w:val="sr-Latn-ME"/>
        </w:rPr>
        <w:t>gvožđe</w:t>
      </w:r>
      <w:r w:rsidR="008213D0" w:rsidRPr="00F234A2">
        <w:rPr>
          <w:bCs/>
          <w:sz w:val="22"/>
          <w:szCs w:val="22"/>
          <w:lang w:val="sr-Latn-ME"/>
        </w:rPr>
        <w:t xml:space="preserve"> </w:t>
      </w:r>
      <w:r w:rsidRPr="00F234A2">
        <w:rPr>
          <w:bCs/>
          <w:sz w:val="22"/>
          <w:szCs w:val="22"/>
          <w:lang w:val="sr-Latn-ME"/>
        </w:rPr>
        <w:t>oksid, crveni (E172);</w:t>
      </w:r>
    </w:p>
    <w:p w14:paraId="7C1FA890" w14:textId="77777777" w:rsidR="009375CA" w:rsidRPr="00F234A2" w:rsidRDefault="009375CA" w:rsidP="002D49AB">
      <w:pPr>
        <w:tabs>
          <w:tab w:val="left" w:pos="540"/>
          <w:tab w:val="left" w:pos="569"/>
        </w:tabs>
        <w:jc w:val="both"/>
        <w:rPr>
          <w:bCs/>
          <w:sz w:val="22"/>
          <w:szCs w:val="22"/>
          <w:lang w:val="sr-Latn-ME"/>
        </w:rPr>
      </w:pPr>
    </w:p>
    <w:p w14:paraId="65929A6A" w14:textId="7CFD043D" w:rsidR="009375CA" w:rsidRPr="00F234A2" w:rsidRDefault="008213D0" w:rsidP="002D49AB">
      <w:pPr>
        <w:tabs>
          <w:tab w:val="left" w:pos="540"/>
          <w:tab w:val="left" w:pos="569"/>
        </w:tabs>
        <w:jc w:val="both"/>
        <w:rPr>
          <w:bCs/>
          <w:i/>
          <w:iCs/>
          <w:sz w:val="22"/>
          <w:szCs w:val="22"/>
          <w:lang w:val="sr-Latn-ME"/>
        </w:rPr>
      </w:pPr>
      <w:r w:rsidRPr="00F234A2">
        <w:rPr>
          <w:bCs/>
          <w:i/>
          <w:iCs/>
          <w:sz w:val="22"/>
          <w:szCs w:val="22"/>
          <w:lang w:val="sr-Latn-ME"/>
        </w:rPr>
        <w:t xml:space="preserve">Samo </w:t>
      </w:r>
      <w:r w:rsidR="009375CA" w:rsidRPr="00F234A2">
        <w:rPr>
          <w:bCs/>
          <w:i/>
          <w:iCs/>
          <w:sz w:val="22"/>
          <w:szCs w:val="22"/>
          <w:lang w:val="sr-Latn-ME"/>
        </w:rPr>
        <w:t>Scemblix, 20 mg, film tablete</w:t>
      </w:r>
    </w:p>
    <w:p w14:paraId="1E4A2F73" w14:textId="39279CE7" w:rsidR="009375CA" w:rsidRPr="00F234A2" w:rsidRDefault="009375CA" w:rsidP="002D49AB">
      <w:pPr>
        <w:tabs>
          <w:tab w:val="left" w:pos="540"/>
          <w:tab w:val="left" w:pos="569"/>
        </w:tabs>
        <w:jc w:val="both"/>
        <w:rPr>
          <w:bCs/>
          <w:sz w:val="22"/>
          <w:szCs w:val="22"/>
          <w:lang w:val="sr-Latn-ME"/>
        </w:rPr>
      </w:pPr>
      <w:r w:rsidRPr="00F234A2">
        <w:rPr>
          <w:bCs/>
          <w:sz w:val="22"/>
          <w:szCs w:val="22"/>
          <w:lang w:val="sr-Latn-ME"/>
        </w:rPr>
        <w:t>gvožđe</w:t>
      </w:r>
      <w:r w:rsidR="008213D0" w:rsidRPr="00F234A2">
        <w:rPr>
          <w:bCs/>
          <w:sz w:val="22"/>
          <w:szCs w:val="22"/>
          <w:lang w:val="sr-Latn-ME"/>
        </w:rPr>
        <w:t xml:space="preserve"> </w:t>
      </w:r>
      <w:r w:rsidRPr="00F234A2">
        <w:rPr>
          <w:bCs/>
          <w:sz w:val="22"/>
          <w:szCs w:val="22"/>
          <w:lang w:val="sr-Latn-ME"/>
        </w:rPr>
        <w:t>oksid, žuti (E172);</w:t>
      </w:r>
    </w:p>
    <w:p w14:paraId="1F0B0E65" w14:textId="77777777" w:rsidR="009375CA" w:rsidRPr="00F234A2" w:rsidRDefault="009375CA" w:rsidP="002D49AB">
      <w:pPr>
        <w:tabs>
          <w:tab w:val="left" w:pos="540"/>
          <w:tab w:val="left" w:pos="569"/>
        </w:tabs>
        <w:jc w:val="both"/>
        <w:rPr>
          <w:bCs/>
          <w:sz w:val="22"/>
          <w:szCs w:val="22"/>
          <w:lang w:val="sr-Latn-ME"/>
        </w:rPr>
      </w:pPr>
    </w:p>
    <w:p w14:paraId="0633F457" w14:textId="3FBB0DBA" w:rsidR="009375CA" w:rsidRPr="00F234A2" w:rsidRDefault="008213D0" w:rsidP="002D49AB">
      <w:pPr>
        <w:tabs>
          <w:tab w:val="left" w:pos="540"/>
          <w:tab w:val="left" w:pos="569"/>
        </w:tabs>
        <w:jc w:val="both"/>
        <w:rPr>
          <w:bCs/>
          <w:i/>
          <w:iCs/>
          <w:sz w:val="22"/>
          <w:szCs w:val="22"/>
          <w:lang w:val="sr-Latn-ME"/>
        </w:rPr>
      </w:pPr>
      <w:r w:rsidRPr="00F234A2">
        <w:rPr>
          <w:bCs/>
          <w:i/>
          <w:iCs/>
          <w:sz w:val="22"/>
          <w:szCs w:val="22"/>
          <w:lang w:val="sr-Latn-ME"/>
        </w:rPr>
        <w:t xml:space="preserve">Samo </w:t>
      </w:r>
      <w:r w:rsidR="009375CA" w:rsidRPr="00F234A2">
        <w:rPr>
          <w:bCs/>
          <w:i/>
          <w:iCs/>
          <w:sz w:val="22"/>
          <w:szCs w:val="22"/>
          <w:lang w:val="sr-Latn-ME"/>
        </w:rPr>
        <w:t xml:space="preserve">Scemblix, </w:t>
      </w:r>
      <w:r w:rsidRPr="00F234A2">
        <w:rPr>
          <w:bCs/>
          <w:i/>
          <w:iCs/>
          <w:sz w:val="22"/>
          <w:szCs w:val="22"/>
          <w:lang w:val="sr-Latn-ME"/>
        </w:rPr>
        <w:t>4</w:t>
      </w:r>
      <w:r w:rsidR="009375CA" w:rsidRPr="00F234A2">
        <w:rPr>
          <w:bCs/>
          <w:i/>
          <w:iCs/>
          <w:sz w:val="22"/>
          <w:szCs w:val="22"/>
          <w:lang w:val="sr-Latn-ME"/>
        </w:rPr>
        <w:t>0 mg, film tablete</w:t>
      </w:r>
    </w:p>
    <w:p w14:paraId="38DD0ACD" w14:textId="5C0A3E56" w:rsidR="009375CA" w:rsidRPr="00F234A2" w:rsidRDefault="009375CA" w:rsidP="002D49AB">
      <w:pPr>
        <w:tabs>
          <w:tab w:val="left" w:pos="540"/>
          <w:tab w:val="left" w:pos="569"/>
        </w:tabs>
        <w:jc w:val="both"/>
        <w:rPr>
          <w:bCs/>
          <w:sz w:val="22"/>
          <w:szCs w:val="22"/>
          <w:lang w:val="sr-Latn-ME"/>
        </w:rPr>
      </w:pPr>
      <w:r w:rsidRPr="00F234A2">
        <w:rPr>
          <w:bCs/>
          <w:sz w:val="22"/>
          <w:szCs w:val="22"/>
          <w:lang w:val="sr-Latn-ME"/>
        </w:rPr>
        <w:t>gvožđe</w:t>
      </w:r>
      <w:r w:rsidR="008213D0" w:rsidRPr="00F234A2">
        <w:rPr>
          <w:bCs/>
          <w:sz w:val="22"/>
          <w:szCs w:val="22"/>
          <w:lang w:val="sr-Latn-ME"/>
        </w:rPr>
        <w:t xml:space="preserve"> </w:t>
      </w:r>
      <w:r w:rsidRPr="00F234A2">
        <w:rPr>
          <w:bCs/>
          <w:sz w:val="22"/>
          <w:szCs w:val="22"/>
          <w:lang w:val="sr-Latn-ME"/>
        </w:rPr>
        <w:t>oksid, crni (E172).</w:t>
      </w:r>
    </w:p>
    <w:p w14:paraId="3C70DF48" w14:textId="77777777" w:rsidR="009375CA" w:rsidRPr="00F234A2" w:rsidRDefault="009375CA" w:rsidP="002D49AB">
      <w:pPr>
        <w:tabs>
          <w:tab w:val="left" w:pos="540"/>
          <w:tab w:val="left" w:pos="569"/>
        </w:tabs>
        <w:jc w:val="both"/>
        <w:rPr>
          <w:bCs/>
          <w:sz w:val="22"/>
          <w:szCs w:val="22"/>
          <w:lang w:val="sr-Latn-ME"/>
        </w:rPr>
      </w:pPr>
    </w:p>
    <w:p w14:paraId="2379D0E7" w14:textId="77777777" w:rsidR="0072020E" w:rsidRPr="00F234A2" w:rsidRDefault="0072020E" w:rsidP="002D49AB">
      <w:pPr>
        <w:tabs>
          <w:tab w:val="left" w:pos="540"/>
          <w:tab w:val="left" w:pos="569"/>
        </w:tabs>
        <w:jc w:val="both"/>
        <w:rPr>
          <w:b/>
          <w:bCs/>
          <w:sz w:val="22"/>
          <w:szCs w:val="22"/>
          <w:lang w:val="sr-Latn-ME"/>
        </w:rPr>
      </w:pPr>
      <w:r w:rsidRPr="00F234A2">
        <w:rPr>
          <w:b/>
          <w:bCs/>
          <w:sz w:val="22"/>
          <w:szCs w:val="22"/>
          <w:lang w:val="sr-Latn-ME"/>
        </w:rPr>
        <w:t xml:space="preserve">6.2. </w:t>
      </w:r>
      <w:r w:rsidR="00480FB1" w:rsidRPr="00F234A2">
        <w:rPr>
          <w:b/>
          <w:bCs/>
          <w:sz w:val="22"/>
          <w:szCs w:val="22"/>
          <w:lang w:val="sr-Latn-ME"/>
        </w:rPr>
        <w:tab/>
      </w:r>
      <w:r w:rsidRPr="00F234A2">
        <w:rPr>
          <w:b/>
          <w:bCs/>
          <w:sz w:val="22"/>
          <w:szCs w:val="22"/>
          <w:lang w:val="sr-Latn-ME"/>
        </w:rPr>
        <w:t>Inkompatibilnost</w:t>
      </w:r>
      <w:r w:rsidR="002846DB" w:rsidRPr="00F234A2">
        <w:rPr>
          <w:b/>
          <w:bCs/>
          <w:sz w:val="22"/>
          <w:szCs w:val="22"/>
          <w:lang w:val="sr-Latn-ME"/>
        </w:rPr>
        <w:t>i</w:t>
      </w:r>
    </w:p>
    <w:p w14:paraId="135002BD" w14:textId="0A191E07" w:rsidR="0072020E" w:rsidRPr="00F234A2" w:rsidRDefault="0072020E" w:rsidP="002D49AB">
      <w:pPr>
        <w:tabs>
          <w:tab w:val="left" w:pos="540"/>
          <w:tab w:val="left" w:pos="569"/>
        </w:tabs>
        <w:jc w:val="both"/>
        <w:rPr>
          <w:bCs/>
          <w:sz w:val="22"/>
          <w:szCs w:val="22"/>
          <w:lang w:val="sr-Latn-ME"/>
        </w:rPr>
      </w:pPr>
    </w:p>
    <w:p w14:paraId="00A1A99F" w14:textId="71671386" w:rsidR="009375CA" w:rsidRPr="00F234A2" w:rsidRDefault="009375CA" w:rsidP="002D49AB">
      <w:pPr>
        <w:tabs>
          <w:tab w:val="left" w:pos="540"/>
          <w:tab w:val="left" w:pos="569"/>
        </w:tabs>
        <w:jc w:val="both"/>
        <w:rPr>
          <w:bCs/>
          <w:sz w:val="22"/>
          <w:szCs w:val="22"/>
          <w:lang w:val="sr-Latn-ME"/>
        </w:rPr>
      </w:pPr>
      <w:r w:rsidRPr="00F234A2">
        <w:rPr>
          <w:bCs/>
          <w:sz w:val="22"/>
          <w:szCs w:val="22"/>
          <w:lang w:val="sr-Latn-ME"/>
        </w:rPr>
        <w:t xml:space="preserve">Nije </w:t>
      </w:r>
      <w:r w:rsidR="0094593A" w:rsidRPr="00F234A2">
        <w:rPr>
          <w:bCs/>
          <w:sz w:val="22"/>
          <w:szCs w:val="22"/>
          <w:lang w:val="sr-Latn-ME"/>
        </w:rPr>
        <w:t>primjen</w:t>
      </w:r>
      <w:r w:rsidR="008213D0" w:rsidRPr="00F234A2">
        <w:rPr>
          <w:bCs/>
          <w:sz w:val="22"/>
          <w:szCs w:val="22"/>
          <w:lang w:val="sr-Latn-ME"/>
        </w:rPr>
        <w:t>l</w:t>
      </w:r>
      <w:r w:rsidRPr="00F234A2">
        <w:rPr>
          <w:bCs/>
          <w:sz w:val="22"/>
          <w:szCs w:val="22"/>
          <w:lang w:val="sr-Latn-ME"/>
        </w:rPr>
        <w:t>jivo.</w:t>
      </w:r>
    </w:p>
    <w:p w14:paraId="5040728D" w14:textId="77777777" w:rsidR="009375CA" w:rsidRPr="00F234A2" w:rsidRDefault="009375CA" w:rsidP="002D49AB">
      <w:pPr>
        <w:tabs>
          <w:tab w:val="left" w:pos="540"/>
          <w:tab w:val="left" w:pos="569"/>
        </w:tabs>
        <w:jc w:val="both"/>
        <w:rPr>
          <w:bCs/>
          <w:sz w:val="22"/>
          <w:szCs w:val="22"/>
          <w:lang w:val="sr-Latn-ME"/>
        </w:rPr>
      </w:pPr>
    </w:p>
    <w:p w14:paraId="7F85D7CF" w14:textId="77777777" w:rsidR="0072020E" w:rsidRPr="00F234A2" w:rsidRDefault="0072020E" w:rsidP="002D49AB">
      <w:pPr>
        <w:tabs>
          <w:tab w:val="left" w:pos="540"/>
          <w:tab w:val="left" w:pos="569"/>
        </w:tabs>
        <w:jc w:val="both"/>
        <w:rPr>
          <w:b/>
          <w:bCs/>
          <w:sz w:val="22"/>
          <w:szCs w:val="22"/>
          <w:lang w:val="sr-Latn-ME"/>
        </w:rPr>
      </w:pPr>
      <w:r w:rsidRPr="00F234A2">
        <w:rPr>
          <w:b/>
          <w:bCs/>
          <w:sz w:val="22"/>
          <w:szCs w:val="22"/>
          <w:lang w:val="sr-Latn-ME"/>
        </w:rPr>
        <w:t>6.3.</w:t>
      </w:r>
      <w:r w:rsidR="00C05DF8" w:rsidRPr="00F234A2">
        <w:rPr>
          <w:b/>
          <w:bCs/>
          <w:sz w:val="22"/>
          <w:szCs w:val="22"/>
          <w:lang w:val="sr-Latn-ME"/>
        </w:rPr>
        <w:t xml:space="preserve"> </w:t>
      </w:r>
      <w:r w:rsidR="00480FB1" w:rsidRPr="00F234A2">
        <w:rPr>
          <w:b/>
          <w:bCs/>
          <w:sz w:val="22"/>
          <w:szCs w:val="22"/>
          <w:lang w:val="sr-Latn-ME"/>
        </w:rPr>
        <w:tab/>
      </w:r>
      <w:r w:rsidRPr="00F234A2">
        <w:rPr>
          <w:b/>
          <w:bCs/>
          <w:sz w:val="22"/>
          <w:szCs w:val="22"/>
          <w:lang w:val="sr-Latn-ME"/>
        </w:rPr>
        <w:t>Rok upotrebe</w:t>
      </w:r>
    </w:p>
    <w:p w14:paraId="4CB52785" w14:textId="5D745DA3" w:rsidR="0072020E" w:rsidRPr="00F234A2" w:rsidRDefault="0072020E" w:rsidP="002D49AB">
      <w:pPr>
        <w:tabs>
          <w:tab w:val="left" w:pos="540"/>
          <w:tab w:val="left" w:pos="569"/>
        </w:tabs>
        <w:jc w:val="both"/>
        <w:rPr>
          <w:bCs/>
          <w:sz w:val="22"/>
          <w:szCs w:val="22"/>
          <w:lang w:val="sr-Latn-ME"/>
        </w:rPr>
      </w:pPr>
    </w:p>
    <w:p w14:paraId="54392628" w14:textId="20DB965A" w:rsidR="009375CA" w:rsidRPr="00F234A2" w:rsidRDefault="00DA1165" w:rsidP="002D49AB">
      <w:pPr>
        <w:tabs>
          <w:tab w:val="left" w:pos="540"/>
          <w:tab w:val="left" w:pos="569"/>
        </w:tabs>
        <w:jc w:val="both"/>
        <w:rPr>
          <w:bCs/>
          <w:sz w:val="22"/>
          <w:szCs w:val="22"/>
          <w:lang w:val="sr-Latn-ME"/>
        </w:rPr>
      </w:pPr>
      <w:r w:rsidRPr="00F234A2">
        <w:rPr>
          <w:bCs/>
          <w:sz w:val="22"/>
          <w:szCs w:val="22"/>
          <w:lang w:val="sr-Latn-ME"/>
        </w:rPr>
        <w:t>3</w:t>
      </w:r>
      <w:r w:rsidR="009375CA" w:rsidRPr="00F234A2">
        <w:rPr>
          <w:bCs/>
          <w:sz w:val="22"/>
          <w:szCs w:val="22"/>
          <w:lang w:val="sr-Latn-ME"/>
        </w:rPr>
        <w:t xml:space="preserve"> godine.</w:t>
      </w:r>
    </w:p>
    <w:p w14:paraId="6B12839C" w14:textId="77777777" w:rsidR="009375CA" w:rsidRPr="00F234A2" w:rsidRDefault="009375CA" w:rsidP="002D49AB">
      <w:pPr>
        <w:tabs>
          <w:tab w:val="left" w:pos="540"/>
          <w:tab w:val="left" w:pos="569"/>
        </w:tabs>
        <w:jc w:val="both"/>
        <w:rPr>
          <w:bCs/>
          <w:sz w:val="22"/>
          <w:szCs w:val="22"/>
          <w:lang w:val="sr-Latn-ME"/>
        </w:rPr>
      </w:pPr>
    </w:p>
    <w:p w14:paraId="5CB9F4F4" w14:textId="77777777" w:rsidR="0072020E" w:rsidRPr="00F234A2" w:rsidRDefault="0072020E" w:rsidP="002D49AB">
      <w:pPr>
        <w:tabs>
          <w:tab w:val="left" w:pos="540"/>
          <w:tab w:val="left" w:pos="569"/>
        </w:tabs>
        <w:jc w:val="both"/>
        <w:rPr>
          <w:b/>
          <w:bCs/>
          <w:sz w:val="22"/>
          <w:szCs w:val="22"/>
          <w:lang w:val="sr-Latn-ME"/>
        </w:rPr>
      </w:pPr>
      <w:r w:rsidRPr="00F234A2">
        <w:rPr>
          <w:b/>
          <w:bCs/>
          <w:sz w:val="22"/>
          <w:szCs w:val="22"/>
          <w:lang w:val="sr-Latn-ME"/>
        </w:rPr>
        <w:t xml:space="preserve">6.4. </w:t>
      </w:r>
      <w:r w:rsidR="00480FB1" w:rsidRPr="00F234A2">
        <w:rPr>
          <w:b/>
          <w:bCs/>
          <w:sz w:val="22"/>
          <w:szCs w:val="22"/>
          <w:lang w:val="sr-Latn-ME"/>
        </w:rPr>
        <w:tab/>
      </w:r>
      <w:r w:rsidRPr="00F234A2">
        <w:rPr>
          <w:b/>
          <w:bCs/>
          <w:sz w:val="22"/>
          <w:szCs w:val="22"/>
          <w:lang w:val="sr-Latn-ME"/>
        </w:rPr>
        <w:t>Posebne mjere upozorenja pri čuvanju</w:t>
      </w:r>
      <w:r w:rsidR="00F8570A" w:rsidRPr="00F234A2">
        <w:rPr>
          <w:b/>
          <w:bCs/>
          <w:sz w:val="22"/>
          <w:szCs w:val="22"/>
          <w:lang w:val="sr-Latn-ME"/>
        </w:rPr>
        <w:t xml:space="preserve"> lijeka</w:t>
      </w:r>
    </w:p>
    <w:p w14:paraId="64F71419" w14:textId="09DAE945" w:rsidR="00EC2532" w:rsidRPr="00F234A2" w:rsidRDefault="00EC2532" w:rsidP="002D49AB">
      <w:pPr>
        <w:tabs>
          <w:tab w:val="left" w:pos="540"/>
          <w:tab w:val="left" w:pos="569"/>
        </w:tabs>
        <w:jc w:val="both"/>
        <w:rPr>
          <w:bCs/>
          <w:sz w:val="22"/>
          <w:szCs w:val="22"/>
          <w:lang w:val="sr-Latn-ME"/>
        </w:rPr>
      </w:pPr>
    </w:p>
    <w:p w14:paraId="51360B71" w14:textId="77777777" w:rsidR="009375CA" w:rsidRPr="00F234A2" w:rsidRDefault="009375CA">
      <w:pPr>
        <w:tabs>
          <w:tab w:val="left" w:pos="540"/>
          <w:tab w:val="left" w:pos="569"/>
        </w:tabs>
        <w:jc w:val="both"/>
        <w:rPr>
          <w:bCs/>
          <w:sz w:val="22"/>
          <w:szCs w:val="22"/>
          <w:lang w:val="sr-Latn-ME"/>
        </w:rPr>
      </w:pPr>
      <w:r w:rsidRPr="00F234A2">
        <w:rPr>
          <w:bCs/>
          <w:sz w:val="22"/>
          <w:szCs w:val="22"/>
          <w:lang w:val="sr-Latn-ME"/>
        </w:rPr>
        <w:t>Čuvati na temperaturi do 25°C.</w:t>
      </w:r>
    </w:p>
    <w:p w14:paraId="2E33B1F1" w14:textId="2161C798" w:rsidR="009375CA" w:rsidRPr="00F234A2" w:rsidRDefault="009375CA">
      <w:pPr>
        <w:tabs>
          <w:tab w:val="left" w:pos="540"/>
          <w:tab w:val="left" w:pos="569"/>
        </w:tabs>
        <w:jc w:val="both"/>
        <w:rPr>
          <w:bCs/>
          <w:sz w:val="22"/>
          <w:szCs w:val="22"/>
          <w:lang w:val="sr-Latn-ME"/>
        </w:rPr>
      </w:pPr>
      <w:r w:rsidRPr="00F234A2">
        <w:rPr>
          <w:bCs/>
          <w:sz w:val="22"/>
          <w:szCs w:val="22"/>
          <w:lang w:val="sr-Latn-ME"/>
        </w:rPr>
        <w:t>Čuvati u originalnom pakovanju radi zaštite od vlage.</w:t>
      </w:r>
    </w:p>
    <w:p w14:paraId="3D853C83" w14:textId="77777777" w:rsidR="009375CA" w:rsidRPr="00F234A2" w:rsidRDefault="009375CA">
      <w:pPr>
        <w:tabs>
          <w:tab w:val="left" w:pos="540"/>
          <w:tab w:val="left" w:pos="569"/>
        </w:tabs>
        <w:jc w:val="both"/>
        <w:rPr>
          <w:bCs/>
          <w:sz w:val="22"/>
          <w:szCs w:val="22"/>
          <w:lang w:val="sr-Latn-ME"/>
        </w:rPr>
      </w:pPr>
    </w:p>
    <w:p w14:paraId="75CAECA7" w14:textId="77777777" w:rsidR="0072020E" w:rsidRPr="00F234A2" w:rsidRDefault="0072020E">
      <w:pPr>
        <w:tabs>
          <w:tab w:val="left" w:pos="540"/>
          <w:tab w:val="left" w:pos="569"/>
        </w:tabs>
        <w:jc w:val="both"/>
        <w:rPr>
          <w:b/>
          <w:bCs/>
          <w:sz w:val="22"/>
          <w:szCs w:val="22"/>
          <w:lang w:val="sr-Latn-ME"/>
        </w:rPr>
      </w:pPr>
      <w:r w:rsidRPr="00F234A2">
        <w:rPr>
          <w:b/>
          <w:bCs/>
          <w:sz w:val="22"/>
          <w:szCs w:val="22"/>
          <w:lang w:val="sr-Latn-ME"/>
        </w:rPr>
        <w:t xml:space="preserve">6.5. </w:t>
      </w:r>
      <w:r w:rsidR="00480FB1" w:rsidRPr="00F234A2">
        <w:rPr>
          <w:b/>
          <w:bCs/>
          <w:sz w:val="22"/>
          <w:szCs w:val="22"/>
          <w:lang w:val="sr-Latn-ME"/>
        </w:rPr>
        <w:tab/>
      </w:r>
      <w:r w:rsidR="002846DB" w:rsidRPr="00F234A2">
        <w:rPr>
          <w:b/>
          <w:bCs/>
          <w:sz w:val="22"/>
          <w:szCs w:val="22"/>
          <w:lang w:val="sr-Latn-ME"/>
        </w:rPr>
        <w:t xml:space="preserve">Vrsta i sadržaj </w:t>
      </w:r>
      <w:r w:rsidR="00F8570A" w:rsidRPr="00F234A2">
        <w:rPr>
          <w:b/>
          <w:bCs/>
          <w:sz w:val="22"/>
          <w:szCs w:val="22"/>
          <w:lang w:val="sr-Latn-ME"/>
        </w:rPr>
        <w:t>pakovanja</w:t>
      </w:r>
      <w:r w:rsidR="00C06864" w:rsidRPr="00F234A2">
        <w:rPr>
          <w:b/>
          <w:bCs/>
          <w:sz w:val="22"/>
          <w:szCs w:val="22"/>
          <w:lang w:val="sr-Latn-ME"/>
        </w:rPr>
        <w:t xml:space="preserve"> </w:t>
      </w:r>
    </w:p>
    <w:p w14:paraId="04E5C040" w14:textId="6C91DE5C" w:rsidR="0072020E" w:rsidRPr="00F234A2" w:rsidRDefault="0072020E">
      <w:pPr>
        <w:tabs>
          <w:tab w:val="left" w:pos="540"/>
          <w:tab w:val="left" w:pos="569"/>
        </w:tabs>
        <w:jc w:val="both"/>
        <w:rPr>
          <w:bCs/>
          <w:sz w:val="22"/>
          <w:szCs w:val="22"/>
          <w:lang w:val="sr-Latn-ME"/>
        </w:rPr>
      </w:pPr>
    </w:p>
    <w:p w14:paraId="0CE6E63A" w14:textId="77777777" w:rsidR="009375CA" w:rsidRPr="00F234A2" w:rsidRDefault="009375CA">
      <w:pPr>
        <w:tabs>
          <w:tab w:val="left" w:pos="540"/>
          <w:tab w:val="left" w:pos="569"/>
        </w:tabs>
        <w:jc w:val="both"/>
        <w:rPr>
          <w:bCs/>
          <w:sz w:val="22"/>
          <w:szCs w:val="22"/>
          <w:lang w:val="sr-Latn-ME"/>
        </w:rPr>
      </w:pPr>
      <w:r w:rsidRPr="00F234A2">
        <w:rPr>
          <w:bCs/>
          <w:sz w:val="22"/>
          <w:szCs w:val="22"/>
          <w:lang w:val="sr-Latn-ME"/>
        </w:rPr>
        <w:t xml:space="preserve">Unutrašnje pakovanje je PCTFE/PVC-aluminijumski blister sa 10 film tableta. </w:t>
      </w:r>
    </w:p>
    <w:p w14:paraId="111B020F" w14:textId="77777777" w:rsidR="009375CA" w:rsidRPr="00F234A2" w:rsidRDefault="009375CA">
      <w:pPr>
        <w:tabs>
          <w:tab w:val="left" w:pos="540"/>
          <w:tab w:val="left" w:pos="569"/>
        </w:tabs>
        <w:jc w:val="both"/>
        <w:rPr>
          <w:bCs/>
          <w:sz w:val="22"/>
          <w:szCs w:val="22"/>
          <w:lang w:val="sr-Latn-ME"/>
        </w:rPr>
      </w:pPr>
    </w:p>
    <w:p w14:paraId="30D84DB9" w14:textId="77777777" w:rsidR="00697DB4" w:rsidRDefault="009375CA">
      <w:pPr>
        <w:tabs>
          <w:tab w:val="left" w:pos="540"/>
          <w:tab w:val="left" w:pos="569"/>
        </w:tabs>
        <w:jc w:val="both"/>
        <w:rPr>
          <w:bCs/>
          <w:sz w:val="22"/>
          <w:szCs w:val="22"/>
          <w:lang w:val="sr-Latn-ME"/>
        </w:rPr>
      </w:pPr>
      <w:r w:rsidRPr="00F234A2">
        <w:rPr>
          <w:bCs/>
          <w:sz w:val="22"/>
          <w:szCs w:val="22"/>
          <w:lang w:val="sr-Latn-ME"/>
        </w:rPr>
        <w:t>Spolj</w:t>
      </w:r>
      <w:r w:rsidR="008213D0" w:rsidRPr="00F234A2">
        <w:rPr>
          <w:bCs/>
          <w:sz w:val="22"/>
          <w:szCs w:val="22"/>
          <w:lang w:val="sr-Latn-ME"/>
        </w:rPr>
        <w:t>aš</w:t>
      </w:r>
      <w:r w:rsidRPr="00F234A2">
        <w:rPr>
          <w:bCs/>
          <w:sz w:val="22"/>
          <w:szCs w:val="22"/>
          <w:lang w:val="sr-Latn-ME"/>
        </w:rPr>
        <w:t>nje pakovanje l</w:t>
      </w:r>
      <w:r w:rsidR="003B553E" w:rsidRPr="00F234A2">
        <w:rPr>
          <w:bCs/>
          <w:sz w:val="22"/>
          <w:szCs w:val="22"/>
          <w:lang w:val="sr-Latn-ME"/>
        </w:rPr>
        <w:t>ij</w:t>
      </w:r>
      <w:r w:rsidRPr="00F234A2">
        <w:rPr>
          <w:bCs/>
          <w:sz w:val="22"/>
          <w:szCs w:val="22"/>
          <w:lang w:val="sr-Latn-ME"/>
        </w:rPr>
        <w:t>eka je složiva kartonska kutija u kojoj se nalazi 6 blistera i Uputstvo za l</w:t>
      </w:r>
      <w:r w:rsidR="003B553E" w:rsidRPr="00F234A2">
        <w:rPr>
          <w:bCs/>
          <w:sz w:val="22"/>
          <w:szCs w:val="22"/>
          <w:lang w:val="sr-Latn-ME"/>
        </w:rPr>
        <w:t>ij</w:t>
      </w:r>
      <w:r w:rsidRPr="00F234A2">
        <w:rPr>
          <w:bCs/>
          <w:sz w:val="22"/>
          <w:szCs w:val="22"/>
          <w:lang w:val="sr-Latn-ME"/>
        </w:rPr>
        <w:t>ek</w:t>
      </w:r>
      <w:r w:rsidR="00697DB4">
        <w:rPr>
          <w:bCs/>
          <w:sz w:val="22"/>
          <w:szCs w:val="22"/>
          <w:lang w:val="sr-Latn-ME"/>
        </w:rPr>
        <w:t>.</w:t>
      </w:r>
    </w:p>
    <w:p w14:paraId="330C6775" w14:textId="0B4DF6C9" w:rsidR="009375CA" w:rsidRPr="00F234A2" w:rsidRDefault="009375CA">
      <w:pPr>
        <w:tabs>
          <w:tab w:val="left" w:pos="540"/>
          <w:tab w:val="left" w:pos="569"/>
        </w:tabs>
        <w:jc w:val="both"/>
        <w:rPr>
          <w:bCs/>
          <w:sz w:val="22"/>
          <w:szCs w:val="22"/>
          <w:lang w:val="sr-Latn-ME"/>
        </w:rPr>
      </w:pPr>
    </w:p>
    <w:p w14:paraId="7D0D1B35" w14:textId="77777777" w:rsidR="002846DB" w:rsidRPr="00F234A2" w:rsidRDefault="0072020E">
      <w:pPr>
        <w:tabs>
          <w:tab w:val="left" w:pos="540"/>
          <w:tab w:val="left" w:pos="569"/>
        </w:tabs>
        <w:jc w:val="both"/>
        <w:rPr>
          <w:b/>
          <w:bCs/>
          <w:sz w:val="22"/>
          <w:szCs w:val="22"/>
          <w:lang w:val="sr-Latn-ME"/>
        </w:rPr>
      </w:pPr>
      <w:r w:rsidRPr="00F234A2">
        <w:rPr>
          <w:b/>
          <w:bCs/>
          <w:sz w:val="22"/>
          <w:szCs w:val="22"/>
          <w:lang w:val="sr-Latn-ME"/>
        </w:rPr>
        <w:t xml:space="preserve">6.6. </w:t>
      </w:r>
      <w:r w:rsidR="00480FB1" w:rsidRPr="00F234A2">
        <w:rPr>
          <w:b/>
          <w:bCs/>
          <w:sz w:val="22"/>
          <w:szCs w:val="22"/>
          <w:lang w:val="sr-Latn-ME"/>
        </w:rPr>
        <w:tab/>
      </w:r>
      <w:r w:rsidRPr="00F234A2">
        <w:rPr>
          <w:b/>
          <w:bCs/>
          <w:color w:val="000000"/>
          <w:sz w:val="22"/>
          <w:szCs w:val="22"/>
          <w:lang w:val="sr-Latn-ME"/>
        </w:rPr>
        <w:t>Posebne mjere opreza pri odlaganju materijala koji treba odbaciti nakon primjene lijeka</w:t>
      </w:r>
      <w:r w:rsidRPr="00F234A2">
        <w:rPr>
          <w:b/>
          <w:bCs/>
          <w:sz w:val="22"/>
          <w:szCs w:val="22"/>
          <w:lang w:val="sr-Latn-ME"/>
        </w:rPr>
        <w:t xml:space="preserve"> </w:t>
      </w:r>
      <w:r w:rsidR="00310F03" w:rsidRPr="00F234A2">
        <w:rPr>
          <w:b/>
          <w:bCs/>
          <w:sz w:val="22"/>
          <w:szCs w:val="22"/>
          <w:lang w:val="sr-Latn-ME"/>
        </w:rPr>
        <w:t>(i druga uputs</w:t>
      </w:r>
      <w:r w:rsidR="004109FA" w:rsidRPr="00F234A2">
        <w:rPr>
          <w:b/>
          <w:bCs/>
          <w:sz w:val="22"/>
          <w:szCs w:val="22"/>
          <w:lang w:val="sr-Latn-ME"/>
        </w:rPr>
        <w:t>t</w:t>
      </w:r>
      <w:r w:rsidR="00310F03" w:rsidRPr="00F234A2">
        <w:rPr>
          <w:b/>
          <w:bCs/>
          <w:sz w:val="22"/>
          <w:szCs w:val="22"/>
          <w:lang w:val="sr-Latn-ME"/>
        </w:rPr>
        <w:t xml:space="preserve">va za rukovanje lijekom) </w:t>
      </w:r>
    </w:p>
    <w:p w14:paraId="7AD9B6CA" w14:textId="5D4A324E" w:rsidR="00B66A70" w:rsidRPr="00F234A2" w:rsidRDefault="00B66A70">
      <w:pPr>
        <w:tabs>
          <w:tab w:val="left" w:pos="540"/>
          <w:tab w:val="left" w:pos="569"/>
        </w:tabs>
        <w:jc w:val="both"/>
        <w:rPr>
          <w:b/>
          <w:bCs/>
          <w:sz w:val="22"/>
          <w:szCs w:val="22"/>
          <w:lang w:val="sr-Latn-ME"/>
        </w:rPr>
      </w:pPr>
    </w:p>
    <w:p w14:paraId="0278CC62" w14:textId="3DA43DCF" w:rsidR="009375CA" w:rsidRPr="00F234A2" w:rsidRDefault="009375CA">
      <w:pPr>
        <w:tabs>
          <w:tab w:val="left" w:pos="540"/>
          <w:tab w:val="left" w:pos="569"/>
        </w:tabs>
        <w:jc w:val="both"/>
        <w:rPr>
          <w:sz w:val="22"/>
          <w:szCs w:val="22"/>
          <w:lang w:val="sr-Latn-ME"/>
        </w:rPr>
      </w:pPr>
      <w:r w:rsidRPr="00F234A2">
        <w:rPr>
          <w:sz w:val="22"/>
          <w:szCs w:val="22"/>
          <w:lang w:val="sr-Latn-ME"/>
        </w:rPr>
        <w:t>Svu neiskorišćenu količinu l</w:t>
      </w:r>
      <w:r w:rsidR="009930F3" w:rsidRPr="00F234A2">
        <w:rPr>
          <w:sz w:val="22"/>
          <w:szCs w:val="22"/>
          <w:lang w:val="sr-Latn-ME"/>
        </w:rPr>
        <w:t>ij</w:t>
      </w:r>
      <w:r w:rsidRPr="00F234A2">
        <w:rPr>
          <w:sz w:val="22"/>
          <w:szCs w:val="22"/>
          <w:lang w:val="sr-Latn-ME"/>
        </w:rPr>
        <w:t>eka ili otpadnog materijala nakon njegove upotrebe treba ukloniti, u skladu sa važećim propisima.</w:t>
      </w:r>
    </w:p>
    <w:p w14:paraId="0D464B03" w14:textId="572756C7" w:rsidR="0072020E" w:rsidRPr="00F234A2" w:rsidRDefault="0072020E">
      <w:pPr>
        <w:tabs>
          <w:tab w:val="left" w:pos="540"/>
          <w:tab w:val="left" w:pos="569"/>
        </w:tabs>
        <w:jc w:val="both"/>
        <w:rPr>
          <w:bCs/>
          <w:sz w:val="22"/>
          <w:szCs w:val="22"/>
          <w:lang w:val="sr-Latn-ME"/>
        </w:rPr>
      </w:pPr>
    </w:p>
    <w:p w14:paraId="1B38E869" w14:textId="77777777" w:rsidR="008213D0" w:rsidRPr="00F234A2" w:rsidRDefault="008213D0" w:rsidP="0095542C">
      <w:pPr>
        <w:tabs>
          <w:tab w:val="left" w:pos="540"/>
          <w:tab w:val="left" w:pos="569"/>
        </w:tabs>
        <w:jc w:val="both"/>
        <w:rPr>
          <w:bCs/>
          <w:sz w:val="22"/>
          <w:szCs w:val="22"/>
          <w:lang w:val="sr-Latn-ME"/>
        </w:rPr>
      </w:pPr>
    </w:p>
    <w:p w14:paraId="5CB86DA8" w14:textId="77777777" w:rsidR="00F8570A" w:rsidRPr="00F234A2" w:rsidRDefault="0072020E" w:rsidP="0095542C">
      <w:pPr>
        <w:tabs>
          <w:tab w:val="left" w:pos="540"/>
          <w:tab w:val="left" w:pos="569"/>
        </w:tabs>
        <w:jc w:val="both"/>
        <w:rPr>
          <w:b/>
          <w:bCs/>
          <w:sz w:val="22"/>
          <w:szCs w:val="22"/>
          <w:lang w:val="sr-Latn-ME"/>
        </w:rPr>
      </w:pPr>
      <w:r w:rsidRPr="00F234A2">
        <w:rPr>
          <w:b/>
          <w:bCs/>
          <w:sz w:val="22"/>
          <w:szCs w:val="22"/>
          <w:lang w:val="sr-Latn-ME"/>
        </w:rPr>
        <w:t xml:space="preserve">7. </w:t>
      </w:r>
      <w:r w:rsidR="00480FB1" w:rsidRPr="00F234A2">
        <w:rPr>
          <w:b/>
          <w:bCs/>
          <w:sz w:val="22"/>
          <w:szCs w:val="22"/>
          <w:lang w:val="sr-Latn-ME"/>
        </w:rPr>
        <w:tab/>
      </w:r>
      <w:r w:rsidRPr="00F234A2">
        <w:rPr>
          <w:b/>
          <w:bCs/>
          <w:sz w:val="22"/>
          <w:szCs w:val="22"/>
          <w:lang w:val="sr-Latn-ME"/>
        </w:rPr>
        <w:t>NOSILAC DOZVOLE</w:t>
      </w:r>
      <w:r w:rsidR="00483928" w:rsidRPr="00F234A2">
        <w:rPr>
          <w:b/>
          <w:bCs/>
          <w:sz w:val="22"/>
          <w:szCs w:val="22"/>
          <w:lang w:val="sr-Latn-ME"/>
        </w:rPr>
        <w:t xml:space="preserve"> </w:t>
      </w:r>
    </w:p>
    <w:p w14:paraId="2A53AF62" w14:textId="678F5DA7" w:rsidR="00C61BE0" w:rsidRPr="00F234A2" w:rsidRDefault="00C61BE0" w:rsidP="0095542C">
      <w:pPr>
        <w:tabs>
          <w:tab w:val="left" w:pos="540"/>
          <w:tab w:val="left" w:pos="569"/>
        </w:tabs>
        <w:jc w:val="both"/>
        <w:rPr>
          <w:bCs/>
          <w:sz w:val="22"/>
          <w:szCs w:val="22"/>
          <w:lang w:val="sr-Latn-ME"/>
        </w:rPr>
      </w:pPr>
    </w:p>
    <w:p w14:paraId="405878B3" w14:textId="77777777" w:rsidR="00BD183D" w:rsidRPr="00F234A2" w:rsidRDefault="00BD183D" w:rsidP="0095542C">
      <w:pPr>
        <w:tabs>
          <w:tab w:val="left" w:pos="540"/>
          <w:tab w:val="left" w:pos="569"/>
        </w:tabs>
        <w:jc w:val="both"/>
        <w:rPr>
          <w:bCs/>
          <w:sz w:val="22"/>
          <w:szCs w:val="22"/>
          <w:lang w:val="sr-Latn-ME"/>
        </w:rPr>
      </w:pPr>
      <w:r w:rsidRPr="00F234A2">
        <w:rPr>
          <w:bCs/>
          <w:sz w:val="22"/>
          <w:szCs w:val="22"/>
          <w:lang w:val="sr-Latn-ME"/>
        </w:rPr>
        <w:t xml:space="preserve">“Novartis Pharma Services AG” dio stranog društva Podgorica </w:t>
      </w:r>
    </w:p>
    <w:p w14:paraId="0208BABF" w14:textId="234699BF" w:rsidR="009375CA" w:rsidRPr="00F234A2" w:rsidRDefault="00BD183D" w:rsidP="0095542C">
      <w:pPr>
        <w:tabs>
          <w:tab w:val="left" w:pos="540"/>
          <w:tab w:val="left" w:pos="569"/>
        </w:tabs>
        <w:jc w:val="both"/>
        <w:rPr>
          <w:bCs/>
          <w:sz w:val="22"/>
          <w:szCs w:val="22"/>
          <w:lang w:val="sr-Latn-ME"/>
        </w:rPr>
      </w:pPr>
      <w:r w:rsidRPr="00F234A2">
        <w:rPr>
          <w:bCs/>
          <w:sz w:val="22"/>
          <w:szCs w:val="22"/>
          <w:lang w:val="sr-Latn-ME"/>
        </w:rPr>
        <w:t>Ul. Svetlane Kane Radević 3, Podgorica</w:t>
      </w:r>
      <w:r w:rsidR="008213D0" w:rsidRPr="00F234A2">
        <w:rPr>
          <w:bCs/>
          <w:sz w:val="22"/>
          <w:szCs w:val="22"/>
          <w:lang w:val="sr-Latn-ME"/>
        </w:rPr>
        <w:t>, Crna Gora</w:t>
      </w:r>
    </w:p>
    <w:p w14:paraId="677C04E9" w14:textId="4A1982E6" w:rsidR="00C37FD7" w:rsidRPr="00F234A2" w:rsidRDefault="00C37FD7" w:rsidP="0095542C">
      <w:pPr>
        <w:tabs>
          <w:tab w:val="left" w:pos="540"/>
          <w:tab w:val="left" w:pos="569"/>
        </w:tabs>
        <w:jc w:val="both"/>
        <w:rPr>
          <w:bCs/>
          <w:sz w:val="22"/>
          <w:szCs w:val="22"/>
          <w:lang w:val="sr-Latn-ME"/>
        </w:rPr>
      </w:pPr>
    </w:p>
    <w:p w14:paraId="4FBF9C7A" w14:textId="77777777" w:rsidR="008213D0" w:rsidRPr="00F234A2" w:rsidRDefault="008213D0" w:rsidP="0095542C">
      <w:pPr>
        <w:tabs>
          <w:tab w:val="left" w:pos="540"/>
          <w:tab w:val="left" w:pos="569"/>
        </w:tabs>
        <w:jc w:val="both"/>
        <w:rPr>
          <w:bCs/>
          <w:sz w:val="22"/>
          <w:szCs w:val="22"/>
          <w:lang w:val="sr-Latn-ME"/>
        </w:rPr>
      </w:pPr>
    </w:p>
    <w:p w14:paraId="1BD55555" w14:textId="392E2252" w:rsidR="0072020E" w:rsidRPr="00F234A2" w:rsidRDefault="0072020E" w:rsidP="0095542C">
      <w:pPr>
        <w:tabs>
          <w:tab w:val="left" w:pos="540"/>
          <w:tab w:val="left" w:pos="569"/>
        </w:tabs>
        <w:jc w:val="both"/>
        <w:rPr>
          <w:b/>
          <w:bCs/>
          <w:sz w:val="22"/>
          <w:szCs w:val="22"/>
          <w:lang w:val="sr-Latn-ME"/>
        </w:rPr>
      </w:pPr>
      <w:r w:rsidRPr="00F234A2">
        <w:rPr>
          <w:b/>
          <w:bCs/>
          <w:sz w:val="22"/>
          <w:szCs w:val="22"/>
          <w:lang w:val="sr-Latn-ME"/>
        </w:rPr>
        <w:t xml:space="preserve">8. </w:t>
      </w:r>
      <w:r w:rsidR="00480FB1" w:rsidRPr="00F234A2">
        <w:rPr>
          <w:b/>
          <w:bCs/>
          <w:sz w:val="22"/>
          <w:szCs w:val="22"/>
          <w:lang w:val="sr-Latn-ME"/>
        </w:rPr>
        <w:tab/>
      </w:r>
      <w:r w:rsidRPr="00F234A2">
        <w:rPr>
          <w:b/>
          <w:bCs/>
          <w:sz w:val="22"/>
          <w:szCs w:val="22"/>
          <w:lang w:val="sr-Latn-ME"/>
        </w:rPr>
        <w:t>BROJ DOZVOLE</w:t>
      </w:r>
      <w:r w:rsidR="008A6D43" w:rsidRPr="00F234A2">
        <w:rPr>
          <w:b/>
          <w:bCs/>
          <w:sz w:val="22"/>
          <w:szCs w:val="22"/>
          <w:lang w:val="sr-Latn-ME"/>
        </w:rPr>
        <w:t xml:space="preserve"> ZA STAVLJANJE LIJEKA U PROMET</w:t>
      </w:r>
    </w:p>
    <w:p w14:paraId="39E78618" w14:textId="77777777" w:rsidR="009375CA" w:rsidRPr="00F234A2" w:rsidRDefault="009375CA" w:rsidP="0095542C">
      <w:pPr>
        <w:tabs>
          <w:tab w:val="left" w:pos="540"/>
          <w:tab w:val="left" w:pos="569"/>
        </w:tabs>
        <w:jc w:val="both"/>
        <w:rPr>
          <w:b/>
          <w:bCs/>
          <w:sz w:val="22"/>
          <w:szCs w:val="22"/>
          <w:lang w:val="sr-Latn-ME"/>
        </w:rPr>
      </w:pPr>
    </w:p>
    <w:p w14:paraId="5EE8D2A9" w14:textId="79D5B027" w:rsidR="009375CA" w:rsidRPr="00E60C51" w:rsidRDefault="009375CA" w:rsidP="0095542C">
      <w:pPr>
        <w:tabs>
          <w:tab w:val="left" w:pos="540"/>
          <w:tab w:val="left" w:pos="569"/>
        </w:tabs>
        <w:jc w:val="both"/>
        <w:rPr>
          <w:bCs/>
          <w:iCs/>
          <w:sz w:val="22"/>
          <w:szCs w:val="22"/>
          <w:lang w:val="sr-Latn-ME"/>
        </w:rPr>
      </w:pPr>
      <w:r w:rsidRPr="00F234A2">
        <w:rPr>
          <w:bCs/>
          <w:iCs/>
          <w:sz w:val="22"/>
          <w:szCs w:val="22"/>
          <w:lang w:val="sr-Latn-ME"/>
        </w:rPr>
        <w:t>Scemblix</w:t>
      </w:r>
      <w:r w:rsidR="008213D0" w:rsidRPr="00F234A2">
        <w:rPr>
          <w:bCs/>
          <w:iCs/>
          <w:sz w:val="22"/>
          <w:szCs w:val="22"/>
          <w:lang w:val="sr-Latn-ME"/>
        </w:rPr>
        <w:t>,</w:t>
      </w:r>
      <w:r w:rsidRPr="00F234A2">
        <w:rPr>
          <w:bCs/>
          <w:iCs/>
          <w:sz w:val="22"/>
          <w:szCs w:val="22"/>
          <w:lang w:val="sr-Latn-ME"/>
        </w:rPr>
        <w:t xml:space="preserve"> film tableta, 60</w:t>
      </w:r>
      <w:r w:rsidR="00B6300D" w:rsidRPr="00F234A2">
        <w:rPr>
          <w:bCs/>
          <w:iCs/>
          <w:sz w:val="22"/>
          <w:szCs w:val="22"/>
          <w:lang w:val="sr-Latn-ME"/>
        </w:rPr>
        <w:t xml:space="preserve"> </w:t>
      </w:r>
      <w:r w:rsidRPr="00F234A2">
        <w:rPr>
          <w:bCs/>
          <w:iCs/>
          <w:sz w:val="22"/>
          <w:szCs w:val="22"/>
          <w:lang w:val="sr-Latn-ME"/>
        </w:rPr>
        <w:t>x</w:t>
      </w:r>
      <w:r w:rsidR="00B6300D" w:rsidRPr="00F234A2">
        <w:rPr>
          <w:bCs/>
          <w:iCs/>
          <w:sz w:val="22"/>
          <w:szCs w:val="22"/>
          <w:lang w:val="sr-Latn-ME"/>
        </w:rPr>
        <w:t xml:space="preserve"> </w:t>
      </w:r>
      <w:r w:rsidRPr="00F234A2">
        <w:rPr>
          <w:bCs/>
          <w:iCs/>
          <w:sz w:val="22"/>
          <w:szCs w:val="22"/>
          <w:lang w:val="sr-Latn-ME"/>
        </w:rPr>
        <w:t>20 mg:</w:t>
      </w:r>
      <w:r w:rsidR="00F234A2" w:rsidRPr="00E60C51">
        <w:rPr>
          <w:bCs/>
          <w:iCs/>
          <w:sz w:val="22"/>
          <w:szCs w:val="22"/>
          <w:lang w:val="sr-Latn-ME"/>
        </w:rPr>
        <w:t xml:space="preserve"> </w:t>
      </w:r>
      <w:r w:rsidR="00F234A2" w:rsidRPr="00E60C51">
        <w:rPr>
          <w:sz w:val="22"/>
          <w:szCs w:val="22"/>
          <w:lang w:val="sr-Latn-ME" w:eastAsia="sr-Latn-ME"/>
        </w:rPr>
        <w:t>2030/23/4122 - 7881</w:t>
      </w:r>
    </w:p>
    <w:p w14:paraId="62376CED" w14:textId="71F97D5F" w:rsidR="0072020E" w:rsidRPr="00E60C51" w:rsidRDefault="009375CA" w:rsidP="0095542C">
      <w:pPr>
        <w:tabs>
          <w:tab w:val="left" w:pos="540"/>
          <w:tab w:val="left" w:pos="569"/>
        </w:tabs>
        <w:jc w:val="both"/>
        <w:rPr>
          <w:bCs/>
          <w:iCs/>
          <w:sz w:val="22"/>
          <w:szCs w:val="22"/>
          <w:lang w:val="sr-Latn-ME"/>
        </w:rPr>
      </w:pPr>
      <w:r w:rsidRPr="00E60C51">
        <w:rPr>
          <w:bCs/>
          <w:iCs/>
          <w:sz w:val="22"/>
          <w:szCs w:val="22"/>
          <w:lang w:val="sr-Latn-ME"/>
        </w:rPr>
        <w:t>Scemblix</w:t>
      </w:r>
      <w:r w:rsidR="008213D0" w:rsidRPr="00E60C51">
        <w:rPr>
          <w:bCs/>
          <w:iCs/>
          <w:sz w:val="22"/>
          <w:szCs w:val="22"/>
          <w:lang w:val="sr-Latn-ME"/>
        </w:rPr>
        <w:t>,</w:t>
      </w:r>
      <w:r w:rsidRPr="00E60C51">
        <w:rPr>
          <w:bCs/>
          <w:iCs/>
          <w:sz w:val="22"/>
          <w:szCs w:val="22"/>
          <w:lang w:val="sr-Latn-ME"/>
        </w:rPr>
        <w:t xml:space="preserve"> film tableta, 60</w:t>
      </w:r>
      <w:r w:rsidR="00B6300D" w:rsidRPr="00E60C51">
        <w:rPr>
          <w:bCs/>
          <w:iCs/>
          <w:sz w:val="22"/>
          <w:szCs w:val="22"/>
          <w:lang w:val="sr-Latn-ME"/>
        </w:rPr>
        <w:t xml:space="preserve"> </w:t>
      </w:r>
      <w:r w:rsidRPr="00E60C51">
        <w:rPr>
          <w:bCs/>
          <w:iCs/>
          <w:sz w:val="22"/>
          <w:szCs w:val="22"/>
          <w:lang w:val="sr-Latn-ME"/>
        </w:rPr>
        <w:t>x</w:t>
      </w:r>
      <w:r w:rsidR="00B6300D" w:rsidRPr="00E60C51">
        <w:rPr>
          <w:bCs/>
          <w:iCs/>
          <w:sz w:val="22"/>
          <w:szCs w:val="22"/>
          <w:lang w:val="sr-Latn-ME"/>
        </w:rPr>
        <w:t xml:space="preserve"> </w:t>
      </w:r>
      <w:r w:rsidRPr="00E60C51">
        <w:rPr>
          <w:bCs/>
          <w:iCs/>
          <w:sz w:val="22"/>
          <w:szCs w:val="22"/>
          <w:lang w:val="sr-Latn-ME"/>
        </w:rPr>
        <w:t>40 mg:</w:t>
      </w:r>
      <w:r w:rsidR="00F234A2" w:rsidRPr="00E60C51">
        <w:rPr>
          <w:sz w:val="22"/>
          <w:szCs w:val="22"/>
          <w:lang w:val="sr-Latn-ME" w:eastAsia="sr-Latn-ME"/>
        </w:rPr>
        <w:t xml:space="preserve"> 2030/23/4123 - 7882</w:t>
      </w:r>
    </w:p>
    <w:p w14:paraId="035AB224" w14:textId="45B6552E" w:rsidR="00F45F77" w:rsidRDefault="00F45F77" w:rsidP="0095542C">
      <w:pPr>
        <w:tabs>
          <w:tab w:val="left" w:pos="540"/>
          <w:tab w:val="left" w:pos="569"/>
        </w:tabs>
        <w:jc w:val="both"/>
        <w:rPr>
          <w:bCs/>
          <w:sz w:val="22"/>
          <w:szCs w:val="22"/>
          <w:lang w:val="sr-Latn-ME"/>
        </w:rPr>
      </w:pPr>
    </w:p>
    <w:p w14:paraId="7EEE9DD3" w14:textId="77777777" w:rsidR="00F234A2" w:rsidRPr="00F234A2" w:rsidRDefault="00F234A2" w:rsidP="0095542C">
      <w:pPr>
        <w:tabs>
          <w:tab w:val="left" w:pos="540"/>
          <w:tab w:val="left" w:pos="569"/>
        </w:tabs>
        <w:jc w:val="both"/>
        <w:rPr>
          <w:bCs/>
          <w:sz w:val="22"/>
          <w:szCs w:val="22"/>
          <w:lang w:val="sr-Latn-ME"/>
        </w:rPr>
      </w:pPr>
    </w:p>
    <w:p w14:paraId="4970D416" w14:textId="77777777" w:rsidR="0072020E" w:rsidRPr="00F234A2" w:rsidRDefault="0072020E" w:rsidP="0095542C">
      <w:pPr>
        <w:tabs>
          <w:tab w:val="left" w:pos="540"/>
          <w:tab w:val="left" w:pos="569"/>
        </w:tabs>
        <w:jc w:val="both"/>
        <w:rPr>
          <w:b/>
          <w:bCs/>
          <w:sz w:val="22"/>
          <w:szCs w:val="22"/>
          <w:lang w:val="sr-Latn-ME"/>
        </w:rPr>
      </w:pPr>
      <w:r w:rsidRPr="00F234A2">
        <w:rPr>
          <w:b/>
          <w:bCs/>
          <w:sz w:val="22"/>
          <w:szCs w:val="22"/>
          <w:lang w:val="sr-Latn-ME"/>
        </w:rPr>
        <w:t xml:space="preserve">9. </w:t>
      </w:r>
      <w:r w:rsidR="00480FB1" w:rsidRPr="00F234A2">
        <w:rPr>
          <w:b/>
          <w:bCs/>
          <w:sz w:val="22"/>
          <w:szCs w:val="22"/>
          <w:lang w:val="sr-Latn-ME"/>
        </w:rPr>
        <w:tab/>
      </w:r>
      <w:r w:rsidRPr="00F234A2">
        <w:rPr>
          <w:b/>
          <w:bCs/>
          <w:sz w:val="22"/>
          <w:szCs w:val="22"/>
          <w:lang w:val="sr-Latn-ME"/>
        </w:rPr>
        <w:t xml:space="preserve">DATUM </w:t>
      </w:r>
      <w:r w:rsidR="00C05DF8" w:rsidRPr="00F234A2">
        <w:rPr>
          <w:b/>
          <w:bCs/>
          <w:sz w:val="22"/>
          <w:szCs w:val="22"/>
          <w:lang w:val="sr-Latn-ME"/>
        </w:rPr>
        <w:t xml:space="preserve">PRVE </w:t>
      </w:r>
      <w:r w:rsidR="008A6D43" w:rsidRPr="00F234A2">
        <w:rPr>
          <w:b/>
          <w:bCs/>
          <w:sz w:val="22"/>
          <w:szCs w:val="22"/>
          <w:lang w:val="sr-Latn-ME"/>
        </w:rPr>
        <w:t>DOZVOLE</w:t>
      </w:r>
      <w:r w:rsidR="00C05DF8" w:rsidRPr="00F234A2">
        <w:rPr>
          <w:b/>
          <w:bCs/>
          <w:sz w:val="22"/>
          <w:szCs w:val="22"/>
          <w:lang w:val="sr-Latn-ME"/>
        </w:rPr>
        <w:t>/OBNOVE DOZVOLE</w:t>
      </w:r>
      <w:r w:rsidR="008A6D43" w:rsidRPr="00F234A2">
        <w:rPr>
          <w:b/>
          <w:bCs/>
          <w:sz w:val="22"/>
          <w:szCs w:val="22"/>
          <w:lang w:val="sr-Latn-ME"/>
        </w:rPr>
        <w:t xml:space="preserve"> ZA STAVLJANJE LIJEKA U PROMET</w:t>
      </w:r>
    </w:p>
    <w:p w14:paraId="08853500" w14:textId="02102C8D" w:rsidR="0072020E" w:rsidRPr="00F234A2" w:rsidRDefault="0072020E" w:rsidP="0095542C">
      <w:pPr>
        <w:tabs>
          <w:tab w:val="left" w:pos="540"/>
          <w:tab w:val="left" w:pos="569"/>
        </w:tabs>
        <w:jc w:val="both"/>
        <w:rPr>
          <w:bCs/>
          <w:sz w:val="22"/>
          <w:szCs w:val="22"/>
          <w:lang w:val="sr-Latn-ME"/>
        </w:rPr>
      </w:pPr>
    </w:p>
    <w:p w14:paraId="4189CAEE" w14:textId="4DB129AE" w:rsidR="009375CA" w:rsidRDefault="00F234A2" w:rsidP="0095542C">
      <w:pPr>
        <w:tabs>
          <w:tab w:val="left" w:pos="540"/>
          <w:tab w:val="left" w:pos="569"/>
        </w:tabs>
        <w:jc w:val="both"/>
        <w:rPr>
          <w:bCs/>
          <w:sz w:val="22"/>
          <w:szCs w:val="22"/>
          <w:lang w:val="sr-Latn-ME"/>
        </w:rPr>
      </w:pPr>
      <w:r>
        <w:rPr>
          <w:bCs/>
          <w:sz w:val="22"/>
          <w:szCs w:val="22"/>
          <w:lang w:val="sr-Latn-ME"/>
        </w:rPr>
        <w:t>06.11.2023. godine</w:t>
      </w:r>
    </w:p>
    <w:p w14:paraId="7BED08D2" w14:textId="77777777" w:rsidR="00F234A2" w:rsidRPr="00F234A2" w:rsidRDefault="00F234A2" w:rsidP="0095542C">
      <w:pPr>
        <w:tabs>
          <w:tab w:val="left" w:pos="540"/>
          <w:tab w:val="left" w:pos="569"/>
        </w:tabs>
        <w:jc w:val="both"/>
        <w:rPr>
          <w:bCs/>
          <w:sz w:val="22"/>
          <w:szCs w:val="22"/>
          <w:lang w:val="sr-Latn-ME"/>
        </w:rPr>
      </w:pPr>
    </w:p>
    <w:p w14:paraId="794EEEC7" w14:textId="77777777" w:rsidR="00836B35" w:rsidRPr="00F234A2" w:rsidRDefault="00836B35" w:rsidP="0095542C">
      <w:pPr>
        <w:tabs>
          <w:tab w:val="left" w:pos="540"/>
          <w:tab w:val="left" w:pos="569"/>
        </w:tabs>
        <w:jc w:val="both"/>
        <w:rPr>
          <w:bCs/>
          <w:sz w:val="22"/>
          <w:szCs w:val="22"/>
          <w:lang w:val="sr-Latn-ME"/>
        </w:rPr>
      </w:pPr>
    </w:p>
    <w:p w14:paraId="642B47D2" w14:textId="0940FEB1" w:rsidR="003F6A59" w:rsidRDefault="0072020E" w:rsidP="0095542C">
      <w:pPr>
        <w:tabs>
          <w:tab w:val="left" w:pos="540"/>
          <w:tab w:val="left" w:pos="569"/>
        </w:tabs>
        <w:ind w:left="540" w:hanging="540"/>
        <w:jc w:val="both"/>
        <w:rPr>
          <w:b/>
          <w:bCs/>
          <w:sz w:val="22"/>
          <w:szCs w:val="22"/>
          <w:lang w:val="sr-Latn-ME"/>
        </w:rPr>
      </w:pPr>
      <w:r w:rsidRPr="00F234A2">
        <w:rPr>
          <w:b/>
          <w:bCs/>
          <w:sz w:val="22"/>
          <w:szCs w:val="22"/>
          <w:lang w:val="sr-Latn-ME"/>
        </w:rPr>
        <w:t xml:space="preserve">10. </w:t>
      </w:r>
      <w:r w:rsidR="00480FB1" w:rsidRPr="00F234A2">
        <w:rPr>
          <w:b/>
          <w:bCs/>
          <w:sz w:val="22"/>
          <w:szCs w:val="22"/>
          <w:lang w:val="sr-Latn-ME"/>
        </w:rPr>
        <w:tab/>
      </w:r>
      <w:r w:rsidR="002846DB" w:rsidRPr="00F234A2">
        <w:rPr>
          <w:b/>
          <w:bCs/>
          <w:sz w:val="22"/>
          <w:szCs w:val="22"/>
          <w:lang w:val="sr-Latn-ME"/>
        </w:rPr>
        <w:t>D</w:t>
      </w:r>
      <w:r w:rsidR="00EC2532" w:rsidRPr="00F234A2">
        <w:rPr>
          <w:b/>
          <w:bCs/>
          <w:sz w:val="22"/>
          <w:szCs w:val="22"/>
          <w:lang w:val="sr-Latn-ME"/>
        </w:rPr>
        <w:t xml:space="preserve">ATUM REVIZIJE TEKSTA </w:t>
      </w:r>
    </w:p>
    <w:p w14:paraId="1D7780E7" w14:textId="77777777" w:rsidR="00697DB4" w:rsidRDefault="00697DB4" w:rsidP="0095542C">
      <w:pPr>
        <w:tabs>
          <w:tab w:val="left" w:pos="540"/>
          <w:tab w:val="left" w:pos="569"/>
        </w:tabs>
        <w:ind w:left="540" w:hanging="540"/>
        <w:jc w:val="both"/>
        <w:rPr>
          <w:b/>
          <w:bCs/>
          <w:sz w:val="22"/>
          <w:szCs w:val="22"/>
          <w:lang w:val="sr-Latn-ME"/>
        </w:rPr>
      </w:pPr>
    </w:p>
    <w:p w14:paraId="6B6F231F" w14:textId="0ADF9BA7" w:rsidR="003F6A59" w:rsidRPr="00F234A2" w:rsidRDefault="00EC2382" w:rsidP="0095542C">
      <w:pPr>
        <w:tabs>
          <w:tab w:val="left" w:pos="540"/>
          <w:tab w:val="left" w:pos="569"/>
        </w:tabs>
        <w:jc w:val="both"/>
        <w:rPr>
          <w:bCs/>
          <w:sz w:val="22"/>
          <w:szCs w:val="22"/>
          <w:lang w:val="sr-Latn-ME"/>
        </w:rPr>
      </w:pPr>
      <w:r>
        <w:rPr>
          <w:bCs/>
          <w:sz w:val="22"/>
          <w:szCs w:val="22"/>
          <w:lang w:val="sr-Latn-ME"/>
        </w:rPr>
        <w:t>Avgust, 2025. godine</w:t>
      </w:r>
      <w:bookmarkStart w:id="0" w:name="_GoBack"/>
      <w:bookmarkEnd w:id="0"/>
    </w:p>
    <w:p w14:paraId="722A3E50" w14:textId="75715C81" w:rsidR="003F6A59" w:rsidRPr="00F234A2" w:rsidRDefault="003F6A59" w:rsidP="00DE3F5C">
      <w:pPr>
        <w:rPr>
          <w:sz w:val="22"/>
          <w:szCs w:val="22"/>
          <w:lang w:val="sr-Latn-ME"/>
        </w:rPr>
      </w:pPr>
    </w:p>
    <w:sectPr w:rsidR="003F6A59" w:rsidRPr="00F234A2"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102BD" w14:textId="77777777" w:rsidR="00A549EB" w:rsidRDefault="00A549EB">
      <w:r>
        <w:separator/>
      </w:r>
    </w:p>
  </w:endnote>
  <w:endnote w:type="continuationSeparator" w:id="0">
    <w:p w14:paraId="0C319454" w14:textId="77777777" w:rsidR="00A549EB" w:rsidRDefault="00A5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5584D" w14:textId="1D5896A4" w:rsidR="009A70BE" w:rsidRPr="00B23F69" w:rsidRDefault="009A70B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EC2382">
      <w:rPr>
        <w:noProof/>
        <w:sz w:val="22"/>
        <w:szCs w:val="22"/>
      </w:rPr>
      <w:t>15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EC2382">
      <w:rPr>
        <w:noProof/>
        <w:sz w:val="22"/>
        <w:szCs w:val="22"/>
      </w:rPr>
      <w:t>16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2F0E3" w14:textId="77777777" w:rsidR="00A549EB" w:rsidRDefault="00A549EB">
      <w:r>
        <w:separator/>
      </w:r>
    </w:p>
  </w:footnote>
  <w:footnote w:type="continuationSeparator" w:id="0">
    <w:p w14:paraId="317456C6" w14:textId="77777777" w:rsidR="00A549EB" w:rsidRDefault="00A54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BBE6D14"/>
    <w:multiLevelType w:val="hybridMultilevel"/>
    <w:tmpl w:val="F7DEA020"/>
    <w:lvl w:ilvl="0" w:tplc="525C2EDE">
      <w:start w:val="1"/>
      <w:numFmt w:val="bullet"/>
      <w:lvlText w:val=""/>
      <w:lvlJc w:val="left"/>
      <w:pPr>
        <w:tabs>
          <w:tab w:val="num" w:pos="357"/>
        </w:tabs>
        <w:ind w:left="357" w:hanging="357"/>
      </w:pPr>
      <w:rPr>
        <w:rFonts w:ascii="Symbol" w:hAnsi="Symbol" w:hint="default"/>
      </w:rPr>
    </w:lvl>
    <w:lvl w:ilvl="1" w:tplc="43905760">
      <w:numFmt w:val="decimal"/>
      <w:lvlText w:val=""/>
      <w:lvlJc w:val="left"/>
      <w:pPr>
        <w:ind w:left="0" w:firstLine="0"/>
      </w:pPr>
    </w:lvl>
    <w:lvl w:ilvl="2" w:tplc="56AA4E5A">
      <w:numFmt w:val="decimal"/>
      <w:lvlText w:val=""/>
      <w:lvlJc w:val="left"/>
      <w:pPr>
        <w:ind w:left="0" w:firstLine="0"/>
      </w:pPr>
    </w:lvl>
    <w:lvl w:ilvl="3" w:tplc="57468490">
      <w:numFmt w:val="decimal"/>
      <w:lvlText w:val=""/>
      <w:lvlJc w:val="left"/>
      <w:pPr>
        <w:ind w:left="0" w:firstLine="0"/>
      </w:pPr>
    </w:lvl>
    <w:lvl w:ilvl="4" w:tplc="E6A4AC02">
      <w:numFmt w:val="decimal"/>
      <w:lvlText w:val=""/>
      <w:lvlJc w:val="left"/>
      <w:pPr>
        <w:ind w:left="0" w:firstLine="0"/>
      </w:pPr>
    </w:lvl>
    <w:lvl w:ilvl="5" w:tplc="509A80D2">
      <w:numFmt w:val="decimal"/>
      <w:lvlText w:val=""/>
      <w:lvlJc w:val="left"/>
      <w:pPr>
        <w:ind w:left="0" w:firstLine="0"/>
      </w:pPr>
    </w:lvl>
    <w:lvl w:ilvl="6" w:tplc="67BE5A06">
      <w:numFmt w:val="decimal"/>
      <w:lvlText w:val=""/>
      <w:lvlJc w:val="left"/>
      <w:pPr>
        <w:ind w:left="0" w:firstLine="0"/>
      </w:pPr>
    </w:lvl>
    <w:lvl w:ilvl="7" w:tplc="EC7CF1FC">
      <w:numFmt w:val="decimal"/>
      <w:lvlText w:val=""/>
      <w:lvlJc w:val="left"/>
      <w:pPr>
        <w:ind w:left="0" w:firstLine="0"/>
      </w:pPr>
    </w:lvl>
    <w:lvl w:ilvl="8" w:tplc="D4401E96">
      <w:numFmt w:val="decimal"/>
      <w:lvlText w:val=""/>
      <w:lvlJc w:val="left"/>
      <w:pPr>
        <w:ind w:left="0" w:firstLine="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32F"/>
    <w:rsid w:val="000175F1"/>
    <w:rsid w:val="000176CA"/>
    <w:rsid w:val="00036FA0"/>
    <w:rsid w:val="0003793F"/>
    <w:rsid w:val="00057E35"/>
    <w:rsid w:val="00076726"/>
    <w:rsid w:val="00080303"/>
    <w:rsid w:val="000A3F58"/>
    <w:rsid w:val="000B6873"/>
    <w:rsid w:val="000D2343"/>
    <w:rsid w:val="000D3449"/>
    <w:rsid w:val="000D425A"/>
    <w:rsid w:val="000D60CC"/>
    <w:rsid w:val="000E2084"/>
    <w:rsid w:val="000E6F55"/>
    <w:rsid w:val="000F63F6"/>
    <w:rsid w:val="000F77FA"/>
    <w:rsid w:val="00107BF7"/>
    <w:rsid w:val="00126F53"/>
    <w:rsid w:val="0014766D"/>
    <w:rsid w:val="001536CC"/>
    <w:rsid w:val="00184814"/>
    <w:rsid w:val="001A3FBA"/>
    <w:rsid w:val="001A5518"/>
    <w:rsid w:val="001B1C6A"/>
    <w:rsid w:val="001C1263"/>
    <w:rsid w:val="001C1417"/>
    <w:rsid w:val="001D1755"/>
    <w:rsid w:val="001D342F"/>
    <w:rsid w:val="001E390B"/>
    <w:rsid w:val="001F42FB"/>
    <w:rsid w:val="001F719A"/>
    <w:rsid w:val="002031B3"/>
    <w:rsid w:val="00215931"/>
    <w:rsid w:val="00224C91"/>
    <w:rsid w:val="00227BDB"/>
    <w:rsid w:val="00234CB1"/>
    <w:rsid w:val="002352F8"/>
    <w:rsid w:val="002510A5"/>
    <w:rsid w:val="00254A0A"/>
    <w:rsid w:val="00266046"/>
    <w:rsid w:val="0028082B"/>
    <w:rsid w:val="002846DB"/>
    <w:rsid w:val="00284CCD"/>
    <w:rsid w:val="00296E17"/>
    <w:rsid w:val="002C6545"/>
    <w:rsid w:val="002C6637"/>
    <w:rsid w:val="002C6F73"/>
    <w:rsid w:val="002D49AB"/>
    <w:rsid w:val="002E0135"/>
    <w:rsid w:val="002E37A5"/>
    <w:rsid w:val="0030114B"/>
    <w:rsid w:val="00304249"/>
    <w:rsid w:val="00310F03"/>
    <w:rsid w:val="003247D2"/>
    <w:rsid w:val="003445C1"/>
    <w:rsid w:val="00355B61"/>
    <w:rsid w:val="00362686"/>
    <w:rsid w:val="0036308F"/>
    <w:rsid w:val="00371510"/>
    <w:rsid w:val="00396DFD"/>
    <w:rsid w:val="003A5532"/>
    <w:rsid w:val="003A7059"/>
    <w:rsid w:val="003B0371"/>
    <w:rsid w:val="003B553E"/>
    <w:rsid w:val="003B7A36"/>
    <w:rsid w:val="003C17AB"/>
    <w:rsid w:val="003C7823"/>
    <w:rsid w:val="003E00EE"/>
    <w:rsid w:val="003E046E"/>
    <w:rsid w:val="003E04B8"/>
    <w:rsid w:val="003E1DCC"/>
    <w:rsid w:val="003F11A1"/>
    <w:rsid w:val="003F6A59"/>
    <w:rsid w:val="003F7FA2"/>
    <w:rsid w:val="004065C8"/>
    <w:rsid w:val="004109FA"/>
    <w:rsid w:val="00411B4B"/>
    <w:rsid w:val="00415BEE"/>
    <w:rsid w:val="00427F85"/>
    <w:rsid w:val="00427FDB"/>
    <w:rsid w:val="00436F42"/>
    <w:rsid w:val="004378B4"/>
    <w:rsid w:val="00441313"/>
    <w:rsid w:val="00451314"/>
    <w:rsid w:val="00452E9D"/>
    <w:rsid w:val="004534C7"/>
    <w:rsid w:val="004671AA"/>
    <w:rsid w:val="00472E1C"/>
    <w:rsid w:val="00480FB1"/>
    <w:rsid w:val="00483928"/>
    <w:rsid w:val="0048424F"/>
    <w:rsid w:val="004C331F"/>
    <w:rsid w:val="004D1898"/>
    <w:rsid w:val="004D6103"/>
    <w:rsid w:val="004E3BCE"/>
    <w:rsid w:val="004E70AD"/>
    <w:rsid w:val="004F0E97"/>
    <w:rsid w:val="00501DD1"/>
    <w:rsid w:val="00513F35"/>
    <w:rsid w:val="00515C21"/>
    <w:rsid w:val="005251D5"/>
    <w:rsid w:val="00530BD7"/>
    <w:rsid w:val="0053694B"/>
    <w:rsid w:val="00545CD2"/>
    <w:rsid w:val="005476F3"/>
    <w:rsid w:val="00572527"/>
    <w:rsid w:val="00573E40"/>
    <w:rsid w:val="00576348"/>
    <w:rsid w:val="005A0B2E"/>
    <w:rsid w:val="005A23D2"/>
    <w:rsid w:val="005A36CB"/>
    <w:rsid w:val="005B49B8"/>
    <w:rsid w:val="005C0741"/>
    <w:rsid w:val="005C0B73"/>
    <w:rsid w:val="005C5EF4"/>
    <w:rsid w:val="005E2E0B"/>
    <w:rsid w:val="005E7A7D"/>
    <w:rsid w:val="005F1F78"/>
    <w:rsid w:val="005F2C6C"/>
    <w:rsid w:val="005F7766"/>
    <w:rsid w:val="00602457"/>
    <w:rsid w:val="0060271F"/>
    <w:rsid w:val="0061372B"/>
    <w:rsid w:val="00644FC3"/>
    <w:rsid w:val="00646BD1"/>
    <w:rsid w:val="00654F19"/>
    <w:rsid w:val="006561C2"/>
    <w:rsid w:val="00671CB3"/>
    <w:rsid w:val="00674BAF"/>
    <w:rsid w:val="00682200"/>
    <w:rsid w:val="00692BF6"/>
    <w:rsid w:val="00697DB4"/>
    <w:rsid w:val="006A1497"/>
    <w:rsid w:val="006B0BD1"/>
    <w:rsid w:val="006B5404"/>
    <w:rsid w:val="006B7D65"/>
    <w:rsid w:val="006D20A5"/>
    <w:rsid w:val="006D37BF"/>
    <w:rsid w:val="00702E22"/>
    <w:rsid w:val="0071216E"/>
    <w:rsid w:val="0072020E"/>
    <w:rsid w:val="007328BF"/>
    <w:rsid w:val="00742541"/>
    <w:rsid w:val="00786071"/>
    <w:rsid w:val="007862F6"/>
    <w:rsid w:val="007A3ECB"/>
    <w:rsid w:val="007A5EA4"/>
    <w:rsid w:val="007B4BBB"/>
    <w:rsid w:val="007B7165"/>
    <w:rsid w:val="007D7BB3"/>
    <w:rsid w:val="007E7954"/>
    <w:rsid w:val="00810C37"/>
    <w:rsid w:val="00814007"/>
    <w:rsid w:val="008213D0"/>
    <w:rsid w:val="00824AB9"/>
    <w:rsid w:val="00836B35"/>
    <w:rsid w:val="00843BDE"/>
    <w:rsid w:val="00870748"/>
    <w:rsid w:val="0087588C"/>
    <w:rsid w:val="0089705C"/>
    <w:rsid w:val="008A6D43"/>
    <w:rsid w:val="008B491E"/>
    <w:rsid w:val="008C1A28"/>
    <w:rsid w:val="008C2E98"/>
    <w:rsid w:val="008E49BD"/>
    <w:rsid w:val="008E53E9"/>
    <w:rsid w:val="008E5771"/>
    <w:rsid w:val="008E5D96"/>
    <w:rsid w:val="008F4ACF"/>
    <w:rsid w:val="00915B32"/>
    <w:rsid w:val="00924166"/>
    <w:rsid w:val="009375CA"/>
    <w:rsid w:val="00940B9B"/>
    <w:rsid w:val="0094593A"/>
    <w:rsid w:val="00945E1A"/>
    <w:rsid w:val="0095542C"/>
    <w:rsid w:val="0095676E"/>
    <w:rsid w:val="00956983"/>
    <w:rsid w:val="00963CF0"/>
    <w:rsid w:val="00964BB1"/>
    <w:rsid w:val="009775D9"/>
    <w:rsid w:val="009930F3"/>
    <w:rsid w:val="00997175"/>
    <w:rsid w:val="009A1847"/>
    <w:rsid w:val="009A70BE"/>
    <w:rsid w:val="009B062A"/>
    <w:rsid w:val="009E7C6F"/>
    <w:rsid w:val="009F1793"/>
    <w:rsid w:val="009F1D15"/>
    <w:rsid w:val="009F2D23"/>
    <w:rsid w:val="00A01D69"/>
    <w:rsid w:val="00A02335"/>
    <w:rsid w:val="00A213FA"/>
    <w:rsid w:val="00A32FDF"/>
    <w:rsid w:val="00A46C9A"/>
    <w:rsid w:val="00A5419C"/>
    <w:rsid w:val="00A549EB"/>
    <w:rsid w:val="00A60A13"/>
    <w:rsid w:val="00A619F3"/>
    <w:rsid w:val="00A62A73"/>
    <w:rsid w:val="00A62FFA"/>
    <w:rsid w:val="00A87FF6"/>
    <w:rsid w:val="00AA0A3B"/>
    <w:rsid w:val="00AA2763"/>
    <w:rsid w:val="00AA33B6"/>
    <w:rsid w:val="00AB50CA"/>
    <w:rsid w:val="00AB6D64"/>
    <w:rsid w:val="00AC53CE"/>
    <w:rsid w:val="00AD2193"/>
    <w:rsid w:val="00AF2AC7"/>
    <w:rsid w:val="00AF310E"/>
    <w:rsid w:val="00AF316E"/>
    <w:rsid w:val="00AF74CE"/>
    <w:rsid w:val="00AF77BF"/>
    <w:rsid w:val="00B208DB"/>
    <w:rsid w:val="00B23F69"/>
    <w:rsid w:val="00B24281"/>
    <w:rsid w:val="00B60619"/>
    <w:rsid w:val="00B6300D"/>
    <w:rsid w:val="00B66A70"/>
    <w:rsid w:val="00B67366"/>
    <w:rsid w:val="00B71191"/>
    <w:rsid w:val="00B80EE1"/>
    <w:rsid w:val="00B84135"/>
    <w:rsid w:val="00B97589"/>
    <w:rsid w:val="00BD183D"/>
    <w:rsid w:val="00C04D34"/>
    <w:rsid w:val="00C05DF8"/>
    <w:rsid w:val="00C06864"/>
    <w:rsid w:val="00C10F54"/>
    <w:rsid w:val="00C12E11"/>
    <w:rsid w:val="00C23D8D"/>
    <w:rsid w:val="00C36E67"/>
    <w:rsid w:val="00C37AA3"/>
    <w:rsid w:val="00C37FD7"/>
    <w:rsid w:val="00C43419"/>
    <w:rsid w:val="00C44CF3"/>
    <w:rsid w:val="00C52EE0"/>
    <w:rsid w:val="00C61BE0"/>
    <w:rsid w:val="00C6707E"/>
    <w:rsid w:val="00C70B0E"/>
    <w:rsid w:val="00C71FD4"/>
    <w:rsid w:val="00C773CA"/>
    <w:rsid w:val="00C83785"/>
    <w:rsid w:val="00C94C0D"/>
    <w:rsid w:val="00CA1FEB"/>
    <w:rsid w:val="00CC5384"/>
    <w:rsid w:val="00CD4F85"/>
    <w:rsid w:val="00CD690A"/>
    <w:rsid w:val="00CD6F02"/>
    <w:rsid w:val="00CE246D"/>
    <w:rsid w:val="00CF07A0"/>
    <w:rsid w:val="00CF3336"/>
    <w:rsid w:val="00CF3E03"/>
    <w:rsid w:val="00D0082A"/>
    <w:rsid w:val="00D02C0F"/>
    <w:rsid w:val="00D21455"/>
    <w:rsid w:val="00D44B85"/>
    <w:rsid w:val="00D47634"/>
    <w:rsid w:val="00D554F5"/>
    <w:rsid w:val="00D709B3"/>
    <w:rsid w:val="00DA1165"/>
    <w:rsid w:val="00DA2ED6"/>
    <w:rsid w:val="00DB76B8"/>
    <w:rsid w:val="00DC2EA1"/>
    <w:rsid w:val="00DD6AAF"/>
    <w:rsid w:val="00DD77A4"/>
    <w:rsid w:val="00DE3F5C"/>
    <w:rsid w:val="00DF1D20"/>
    <w:rsid w:val="00DF354D"/>
    <w:rsid w:val="00E0425D"/>
    <w:rsid w:val="00E21324"/>
    <w:rsid w:val="00E22235"/>
    <w:rsid w:val="00E246B9"/>
    <w:rsid w:val="00E26FA9"/>
    <w:rsid w:val="00E31FEA"/>
    <w:rsid w:val="00E45169"/>
    <w:rsid w:val="00E47787"/>
    <w:rsid w:val="00E51C30"/>
    <w:rsid w:val="00E60C51"/>
    <w:rsid w:val="00E614CD"/>
    <w:rsid w:val="00E64180"/>
    <w:rsid w:val="00E724B8"/>
    <w:rsid w:val="00E74AEE"/>
    <w:rsid w:val="00E868E5"/>
    <w:rsid w:val="00E9237A"/>
    <w:rsid w:val="00E939FA"/>
    <w:rsid w:val="00E976DF"/>
    <w:rsid w:val="00EA5765"/>
    <w:rsid w:val="00EB6ADF"/>
    <w:rsid w:val="00EC2382"/>
    <w:rsid w:val="00EC2532"/>
    <w:rsid w:val="00ED7812"/>
    <w:rsid w:val="00EE19E6"/>
    <w:rsid w:val="00EF3B86"/>
    <w:rsid w:val="00F04FA6"/>
    <w:rsid w:val="00F10338"/>
    <w:rsid w:val="00F234A2"/>
    <w:rsid w:val="00F317E9"/>
    <w:rsid w:val="00F34554"/>
    <w:rsid w:val="00F42A1A"/>
    <w:rsid w:val="00F45F77"/>
    <w:rsid w:val="00F5167F"/>
    <w:rsid w:val="00F52258"/>
    <w:rsid w:val="00F52A6A"/>
    <w:rsid w:val="00F71BB0"/>
    <w:rsid w:val="00F8570A"/>
    <w:rsid w:val="00F91C7B"/>
    <w:rsid w:val="00FB25DC"/>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F719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Text">
    <w:name w:val="Text"/>
    <w:aliases w:val="Graphic,Graphic Char Char,Graphic Char Char Char Char Char,Graphic Char Char Char Char Char Char Char C,notic,Text_10394,non tochic,Italic,graphics,本文,JP Body Text,Body Text1,Body Text11,Body Text111,Body Text1111,??,Body Text11111,本文1,Body Text2"/>
    <w:basedOn w:val="Normal"/>
    <w:link w:val="TextChar"/>
    <w:qFormat/>
    <w:rsid w:val="0048424F"/>
    <w:pPr>
      <w:spacing w:before="120"/>
      <w:jc w:val="both"/>
    </w:pPr>
    <w:rPr>
      <w:rFonts w:eastAsia="MS Mincho"/>
      <w:szCs w:val="20"/>
      <w:lang w:eastAsia="zh-CN"/>
    </w:rPr>
  </w:style>
  <w:style w:type="character" w:customStyle="1" w:styleId="TextChar">
    <w:name w:val="Text Char"/>
    <w:aliases w:val="Graphic Char,Body Text Char1,本文 Char1,JP Body Text Char1,Body Text1 Char1,本文1 Char1,?? Char1,Body Text2 Char1,Body Text21 Char1,Body Text11 Char1,Body Text111 Char1,本文2 Char1,Body Text1111 Char1,Body Text11111 Char1,Body Text111111 Char1"/>
    <w:link w:val="Text"/>
    <w:rsid w:val="0048424F"/>
    <w:rPr>
      <w:rFonts w:eastAsia="MS Mincho"/>
      <w:sz w:val="24"/>
      <w:lang w:val="en-US" w:eastAsia="zh-CN"/>
    </w:rPr>
  </w:style>
  <w:style w:type="paragraph" w:customStyle="1" w:styleId="Table">
    <w:name w:val="Table"/>
    <w:aliases w:val="10 pt  Bold,9 pt,10 pt,9pt,Table + (Latin) Courier New,Before:  0 pt,After:  0 pt,Comment + (Latin) Courier New,Not Italic,Auto,Table pt,table text 10 pt + Arial,Bold,Normal + (Latin) Arial,(Complex) Arial,legendpt,Normal + Courier New,Courier New"/>
    <w:basedOn w:val="Normal"/>
    <w:link w:val="TableChar"/>
    <w:qFormat/>
    <w:rsid w:val="0048424F"/>
    <w:pPr>
      <w:keepLines/>
      <w:tabs>
        <w:tab w:val="left" w:pos="284"/>
      </w:tabs>
      <w:spacing w:before="40" w:after="20"/>
    </w:pPr>
    <w:rPr>
      <w:rFonts w:ascii="Arial" w:eastAsia="MS Mincho" w:hAnsi="Arial" w:cs="Arial"/>
      <w:sz w:val="20"/>
      <w:lang w:eastAsia="zh-CN"/>
    </w:rPr>
  </w:style>
  <w:style w:type="character" w:customStyle="1" w:styleId="TableChar">
    <w:name w:val="Table Char"/>
    <w:aliases w:val="10 pt  Bold Char,9 pt Char,10 pt Char,Normal + Courier New Char,Italic Char,Justified Char,Left:  0&quot; Char,Hanging:  0.67&quot; Char,Be... Char,Table pt Char,table text 10 pt + Arial Char,Bold Char,Normal + (Latin) Arial Char,9 Char,8 pt Char"/>
    <w:link w:val="Table"/>
    <w:rsid w:val="0048424F"/>
    <w:rPr>
      <w:rFonts w:ascii="Arial" w:eastAsia="MS Mincho" w:hAnsi="Arial" w:cs="Arial"/>
      <w:szCs w:val="24"/>
      <w:lang w:val="en-US" w:eastAsia="zh-CN"/>
    </w:rPr>
  </w:style>
  <w:style w:type="paragraph" w:customStyle="1" w:styleId="Listlevel1">
    <w:name w:val="List level 1"/>
    <w:basedOn w:val="Normal"/>
    <w:link w:val="Listlevel1Char"/>
    <w:rsid w:val="0048424F"/>
    <w:pPr>
      <w:spacing w:before="40"/>
      <w:ind w:left="425" w:hanging="425"/>
    </w:pPr>
    <w:rPr>
      <w:rFonts w:eastAsia="MS Mincho"/>
      <w:szCs w:val="20"/>
      <w:lang w:eastAsia="zh-CN"/>
    </w:rPr>
  </w:style>
  <w:style w:type="character" w:customStyle="1" w:styleId="Listlevel1Char">
    <w:name w:val="List level 1 Char"/>
    <w:link w:val="Listlevel1"/>
    <w:rsid w:val="0048424F"/>
    <w:rPr>
      <w:rFonts w:eastAsia="MS Mincho"/>
      <w:sz w:val="24"/>
      <w:lang w:val="en-US" w:eastAsia="zh-CN"/>
    </w:rPr>
  </w:style>
  <w:style w:type="paragraph" w:styleId="Revision">
    <w:name w:val="Revision"/>
    <w:hidden/>
    <w:uiPriority w:val="99"/>
    <w:semiHidden/>
    <w:rsid w:val="000175F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711DB-56F3-4D56-AB43-0C6EFA3F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6462</Words>
  <Characters>36837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43213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Dedejić</cp:lastModifiedBy>
  <cp:revision>2</cp:revision>
  <dcterms:created xsi:type="dcterms:W3CDTF">2025-08-18T06:40:00Z</dcterms:created>
  <dcterms:modified xsi:type="dcterms:W3CDTF">2025-08-18T06:40:00Z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2021-08-23T13:43:22Z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1272e837-6bbf-4989-8eec-b5c09af9c89f</vt:lpwstr>
  </property>
  <property fmtid="{D5CDD505-2E9C-101B-9397-08002B2CF9AE}" pid="9" name="MSIP_Label_4929bff8-5b33-42aa-95d2-28f72e792cb0_ContentBits">
    <vt:lpwstr>0</vt:lpwstr>
  </property>
</Properties>
</file>