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D516C" w14:textId="77777777" w:rsidR="00877C76" w:rsidRPr="00137084" w:rsidRDefault="00877C76">
      <w:pPr>
        <w:widowControl w:val="0"/>
        <w:rPr>
          <w:b/>
          <w:szCs w:val="24"/>
          <w:lang w:val="sr-Latn-ME"/>
        </w:rPr>
      </w:pPr>
    </w:p>
    <w:p w14:paraId="61996417" w14:textId="77777777" w:rsidR="00877C76" w:rsidRPr="00137084" w:rsidRDefault="00877C76">
      <w:pPr>
        <w:widowControl w:val="0"/>
        <w:jc w:val="center"/>
        <w:rPr>
          <w:b/>
          <w:szCs w:val="24"/>
          <w:lang w:val="sr-Latn-ME"/>
        </w:rPr>
      </w:pPr>
    </w:p>
    <w:p w14:paraId="54A1A79D" w14:textId="77777777" w:rsidR="00877C76" w:rsidRPr="0080626B" w:rsidRDefault="00E90AF4">
      <w:pPr>
        <w:widowControl w:val="0"/>
        <w:jc w:val="center"/>
        <w:rPr>
          <w:b/>
          <w:szCs w:val="22"/>
          <w:lang w:val="sr-Latn-RS"/>
        </w:rPr>
      </w:pPr>
      <w:r w:rsidRPr="0080626B">
        <w:rPr>
          <w:b/>
          <w:bCs/>
          <w:iCs/>
          <w:szCs w:val="22"/>
          <w:u w:val="single"/>
          <w:lang w:val="sr-Latn-RS"/>
        </w:rPr>
        <w:t>SAŽETAK KARAKTERISTIKA LIJEKA</w:t>
      </w:r>
    </w:p>
    <w:p w14:paraId="58A80308" w14:textId="77777777" w:rsidR="00877C76" w:rsidRPr="0080626B" w:rsidRDefault="00877C76">
      <w:pPr>
        <w:widowControl w:val="0"/>
        <w:jc w:val="center"/>
        <w:rPr>
          <w:b/>
          <w:szCs w:val="22"/>
          <w:lang w:val="sr-Latn-RS"/>
        </w:rPr>
      </w:pPr>
    </w:p>
    <w:p w14:paraId="4089314F" w14:textId="77777777" w:rsidR="00877C76" w:rsidRPr="0080626B" w:rsidRDefault="00877C76">
      <w:pPr>
        <w:widowControl w:val="0"/>
        <w:jc w:val="center"/>
        <w:rPr>
          <w:b/>
          <w:szCs w:val="22"/>
          <w:lang w:val="sr-Latn-RS"/>
        </w:rPr>
      </w:pPr>
    </w:p>
    <w:p w14:paraId="6A3570A6" w14:textId="77777777" w:rsidR="00877C76" w:rsidRPr="0080626B" w:rsidRDefault="00E90AF4">
      <w:pPr>
        <w:widowControl w:val="0"/>
        <w:rPr>
          <w:b/>
          <w:szCs w:val="22"/>
          <w:lang w:val="sr-Latn-RS"/>
        </w:rPr>
      </w:pPr>
      <w:r w:rsidRPr="0080626B">
        <w:rPr>
          <w:b/>
          <w:bCs/>
          <w:iCs/>
          <w:szCs w:val="22"/>
          <w:lang w:val="sr-Latn-RS"/>
        </w:rPr>
        <w:t>1.</w:t>
      </w:r>
      <w:r w:rsidRPr="0080626B">
        <w:rPr>
          <w:b/>
          <w:bCs/>
          <w:iCs/>
          <w:szCs w:val="22"/>
          <w:lang w:val="sr-Latn-RS"/>
        </w:rPr>
        <w:tab/>
      </w:r>
      <w:r w:rsidRPr="0080626B">
        <w:rPr>
          <w:b/>
          <w:szCs w:val="22"/>
          <w:lang w:val="sr-Latn-RS"/>
        </w:rPr>
        <w:t>NAZIV LIJEKA</w:t>
      </w:r>
    </w:p>
    <w:p w14:paraId="1F2F7F0D" w14:textId="77777777" w:rsidR="00877C76" w:rsidRPr="0080626B" w:rsidRDefault="00877C76">
      <w:pPr>
        <w:widowControl w:val="0"/>
        <w:ind w:left="567" w:hanging="567"/>
        <w:rPr>
          <w:iCs/>
          <w:szCs w:val="22"/>
          <w:lang w:val="sr-Latn-RS"/>
        </w:rPr>
      </w:pPr>
    </w:p>
    <w:p w14:paraId="7C29DB07" w14:textId="77777777" w:rsidR="00877C76" w:rsidRPr="0080626B" w:rsidRDefault="00E90AF4">
      <w:pPr>
        <w:widowControl w:val="0"/>
        <w:rPr>
          <w:szCs w:val="22"/>
          <w:lang w:val="sr-Latn-RS"/>
        </w:rPr>
      </w:pPr>
      <w:r w:rsidRPr="0080626B">
        <w:rPr>
          <w:szCs w:val="22"/>
          <w:lang w:val="sr-Latn-RS"/>
        </w:rPr>
        <w:t>Furocef</w:t>
      </w:r>
      <w:r w:rsidRPr="0080626B">
        <w:rPr>
          <w:b/>
          <w:szCs w:val="22"/>
          <w:vertAlign w:val="superscript"/>
          <w:lang w:val="sr-Latn-RS"/>
        </w:rPr>
        <w:t xml:space="preserve"> </w:t>
      </w:r>
      <w:r w:rsidRPr="0080626B">
        <w:rPr>
          <w:szCs w:val="22"/>
          <w:lang w:val="sr-Latn-RS"/>
        </w:rPr>
        <w:t>, 250 mg, film tableta</w:t>
      </w:r>
    </w:p>
    <w:p w14:paraId="6CC49C6B" w14:textId="77777777" w:rsidR="00877C76" w:rsidRPr="0080626B" w:rsidRDefault="00E90AF4">
      <w:pPr>
        <w:widowControl w:val="0"/>
        <w:rPr>
          <w:szCs w:val="22"/>
          <w:lang w:val="sr-Latn-RS"/>
        </w:rPr>
      </w:pPr>
      <w:r w:rsidRPr="0080626B">
        <w:rPr>
          <w:szCs w:val="22"/>
          <w:lang w:val="sr-Latn-RS"/>
        </w:rPr>
        <w:t>Furocef</w:t>
      </w:r>
      <w:r w:rsidRPr="0080626B">
        <w:rPr>
          <w:b/>
          <w:szCs w:val="22"/>
          <w:vertAlign w:val="superscript"/>
          <w:lang w:val="sr-Latn-RS"/>
        </w:rPr>
        <w:t xml:space="preserve"> </w:t>
      </w:r>
      <w:r w:rsidRPr="0080626B">
        <w:rPr>
          <w:szCs w:val="22"/>
          <w:lang w:val="sr-Latn-RS"/>
        </w:rPr>
        <w:t>, 500 mg, film tableta</w:t>
      </w:r>
    </w:p>
    <w:p w14:paraId="4DB19EE5" w14:textId="77777777" w:rsidR="00877C76" w:rsidRPr="0080626B" w:rsidRDefault="00877C76">
      <w:pPr>
        <w:widowControl w:val="0"/>
        <w:rPr>
          <w:szCs w:val="22"/>
          <w:lang w:val="sr-Latn-RS"/>
        </w:rPr>
      </w:pPr>
    </w:p>
    <w:p w14:paraId="322991EE" w14:textId="77777777" w:rsidR="00877C76" w:rsidRPr="0080626B" w:rsidRDefault="00E90AF4">
      <w:pPr>
        <w:widowControl w:val="0"/>
        <w:rPr>
          <w:szCs w:val="22"/>
          <w:lang w:val="sr-Latn-RS"/>
        </w:rPr>
      </w:pPr>
      <w:r w:rsidRPr="0080626B">
        <w:rPr>
          <w:szCs w:val="22"/>
          <w:lang w:val="sr-Latn-RS"/>
        </w:rPr>
        <w:t>INN: cefuroksim</w:t>
      </w:r>
    </w:p>
    <w:p w14:paraId="7FD03006" w14:textId="77777777" w:rsidR="00877C76" w:rsidRPr="0080626B" w:rsidRDefault="00877C76">
      <w:pPr>
        <w:widowControl w:val="0"/>
        <w:rPr>
          <w:szCs w:val="22"/>
          <w:lang w:val="sr-Latn-RS"/>
        </w:rPr>
      </w:pPr>
    </w:p>
    <w:p w14:paraId="70CF4AD7" w14:textId="77777777" w:rsidR="00877C76" w:rsidRPr="0080626B" w:rsidRDefault="00877C76">
      <w:pPr>
        <w:widowControl w:val="0"/>
        <w:rPr>
          <w:szCs w:val="22"/>
          <w:lang w:val="sr-Latn-RS"/>
        </w:rPr>
      </w:pPr>
    </w:p>
    <w:p w14:paraId="5B771343" w14:textId="77777777" w:rsidR="00877C76" w:rsidRPr="0080626B" w:rsidRDefault="00E90AF4">
      <w:pPr>
        <w:widowControl w:val="0"/>
        <w:rPr>
          <w:szCs w:val="22"/>
          <w:lang w:val="sr-Latn-RS"/>
        </w:rPr>
      </w:pPr>
      <w:r w:rsidRPr="0080626B">
        <w:rPr>
          <w:b/>
          <w:szCs w:val="22"/>
          <w:lang w:val="sr-Latn-RS"/>
        </w:rPr>
        <w:t>2.</w:t>
      </w:r>
      <w:r w:rsidRPr="0080626B">
        <w:rPr>
          <w:b/>
          <w:szCs w:val="22"/>
          <w:lang w:val="sr-Latn-RS"/>
        </w:rPr>
        <w:tab/>
        <w:t xml:space="preserve">KVALITATIVNI I KVANTITATIVNI SASTAV    </w:t>
      </w:r>
    </w:p>
    <w:p w14:paraId="022AE69B" w14:textId="77777777" w:rsidR="00877C76" w:rsidRPr="0080626B" w:rsidRDefault="00877C76">
      <w:pPr>
        <w:widowControl w:val="0"/>
        <w:rPr>
          <w:szCs w:val="22"/>
          <w:lang w:val="sr-Latn-RS"/>
        </w:rPr>
      </w:pPr>
    </w:p>
    <w:p w14:paraId="42DD860D" w14:textId="50ED7277" w:rsidR="00877C76" w:rsidRPr="0080626B" w:rsidRDefault="00137084">
      <w:pPr>
        <w:widowControl w:val="0"/>
        <w:rPr>
          <w:szCs w:val="22"/>
          <w:lang w:val="sr-Latn-RS"/>
        </w:rPr>
      </w:pPr>
      <w:r w:rsidRPr="0080626B">
        <w:rPr>
          <w:szCs w:val="22"/>
          <w:lang w:val="sr-Latn-RS"/>
        </w:rPr>
        <w:t>Svaka</w:t>
      </w:r>
      <w:r w:rsidR="009737E3" w:rsidRPr="0080626B">
        <w:rPr>
          <w:szCs w:val="22"/>
          <w:lang w:val="sr-Latn-RS"/>
        </w:rPr>
        <w:t xml:space="preserve"> </w:t>
      </w:r>
      <w:r w:rsidR="00E90AF4" w:rsidRPr="0080626B">
        <w:rPr>
          <w:szCs w:val="22"/>
          <w:lang w:val="sr-Latn-RS"/>
        </w:rPr>
        <w:t>film tableta sadrži 250 mg cefuroksima</w:t>
      </w:r>
      <w:r w:rsidR="00E51A54" w:rsidRPr="0080626B">
        <w:rPr>
          <w:szCs w:val="22"/>
          <w:lang w:val="sr-Latn-RS"/>
        </w:rPr>
        <w:t xml:space="preserve">, što odgovara 300,715 mg </w:t>
      </w:r>
      <w:r w:rsidR="00E90AF4" w:rsidRPr="0080626B">
        <w:rPr>
          <w:szCs w:val="22"/>
          <w:lang w:val="sr-Latn-RS"/>
        </w:rPr>
        <w:t>cefuroksim aksetila.</w:t>
      </w:r>
    </w:p>
    <w:p w14:paraId="476C6DFA" w14:textId="7EFED9F6" w:rsidR="00877C76" w:rsidRPr="0080626B" w:rsidRDefault="00137084">
      <w:pPr>
        <w:widowControl w:val="0"/>
        <w:rPr>
          <w:szCs w:val="22"/>
          <w:lang w:val="sr-Latn-RS"/>
        </w:rPr>
      </w:pPr>
      <w:r w:rsidRPr="0080626B">
        <w:rPr>
          <w:szCs w:val="22"/>
          <w:lang w:val="sr-Latn-RS"/>
        </w:rPr>
        <w:t>Svaka</w:t>
      </w:r>
      <w:r w:rsidR="009737E3" w:rsidRPr="0080626B">
        <w:rPr>
          <w:szCs w:val="22"/>
          <w:lang w:val="sr-Latn-RS"/>
        </w:rPr>
        <w:t xml:space="preserve"> </w:t>
      </w:r>
      <w:r w:rsidR="00E90AF4" w:rsidRPr="0080626B">
        <w:rPr>
          <w:szCs w:val="22"/>
          <w:lang w:val="sr-Latn-RS"/>
        </w:rPr>
        <w:t>film tableta sadrži 500 mg cefuroksima</w:t>
      </w:r>
      <w:r w:rsidR="00E51A54" w:rsidRPr="0080626B">
        <w:rPr>
          <w:szCs w:val="22"/>
          <w:lang w:val="sr-Latn-RS"/>
        </w:rPr>
        <w:t>, što odgovara 601,43 mg</w:t>
      </w:r>
      <w:r w:rsidR="00E90AF4" w:rsidRPr="0080626B">
        <w:rPr>
          <w:szCs w:val="22"/>
          <w:lang w:val="sr-Latn-RS"/>
        </w:rPr>
        <w:t xml:space="preserve"> cefuroksim aksetila.</w:t>
      </w:r>
    </w:p>
    <w:p w14:paraId="25C3E4B7" w14:textId="77777777" w:rsidR="00877C76" w:rsidRPr="0080626B" w:rsidRDefault="00877C76">
      <w:pPr>
        <w:widowControl w:val="0"/>
        <w:autoSpaceDE w:val="0"/>
        <w:autoSpaceDN w:val="0"/>
        <w:adjustRightInd w:val="0"/>
        <w:rPr>
          <w:bCs/>
          <w:szCs w:val="22"/>
          <w:lang w:val="sr-Latn-RS"/>
        </w:rPr>
      </w:pPr>
    </w:p>
    <w:p w14:paraId="672A129A" w14:textId="77777777" w:rsidR="00877C76" w:rsidRPr="0080626B" w:rsidRDefault="00E90AF4">
      <w:pPr>
        <w:widowControl w:val="0"/>
        <w:autoSpaceDE w:val="0"/>
        <w:autoSpaceDN w:val="0"/>
        <w:adjustRightInd w:val="0"/>
        <w:jc w:val="both"/>
        <w:rPr>
          <w:szCs w:val="22"/>
          <w:lang w:val="sr-Latn-RS"/>
        </w:rPr>
      </w:pPr>
      <w:r w:rsidRPr="0080626B">
        <w:rPr>
          <w:szCs w:val="22"/>
          <w:lang w:val="sr-Latn-RS"/>
        </w:rPr>
        <w:t>Za spisak svih ekscipijenasa, pogledati dio 6.1.</w:t>
      </w:r>
    </w:p>
    <w:p w14:paraId="54187AC8" w14:textId="77777777" w:rsidR="00877C76" w:rsidRPr="0080626B" w:rsidRDefault="00877C76">
      <w:pPr>
        <w:widowControl w:val="0"/>
        <w:rPr>
          <w:szCs w:val="22"/>
          <w:lang w:val="sr-Latn-RS"/>
        </w:rPr>
      </w:pPr>
    </w:p>
    <w:p w14:paraId="4A2B2685" w14:textId="77777777" w:rsidR="00877C76" w:rsidRPr="0080626B" w:rsidRDefault="00877C76">
      <w:pPr>
        <w:widowControl w:val="0"/>
        <w:rPr>
          <w:szCs w:val="22"/>
          <w:lang w:val="sr-Latn-RS"/>
        </w:rPr>
      </w:pPr>
    </w:p>
    <w:p w14:paraId="74718A50" w14:textId="77777777" w:rsidR="00877C76" w:rsidRPr="0080626B" w:rsidRDefault="00E90AF4">
      <w:pPr>
        <w:widowControl w:val="0"/>
        <w:rPr>
          <w:b/>
          <w:caps/>
          <w:szCs w:val="22"/>
          <w:lang w:val="sr-Latn-RS"/>
        </w:rPr>
      </w:pPr>
      <w:r w:rsidRPr="0080626B">
        <w:rPr>
          <w:b/>
          <w:szCs w:val="22"/>
          <w:lang w:val="sr-Latn-RS"/>
        </w:rPr>
        <w:t>3.</w:t>
      </w:r>
      <w:r w:rsidRPr="0080626B">
        <w:rPr>
          <w:b/>
          <w:szCs w:val="22"/>
          <w:lang w:val="sr-Latn-RS"/>
        </w:rPr>
        <w:tab/>
        <w:t>FARMACEUTSKI OBLIK</w:t>
      </w:r>
    </w:p>
    <w:p w14:paraId="42D422A3" w14:textId="77777777" w:rsidR="00877C76" w:rsidRPr="0080626B" w:rsidRDefault="00877C76">
      <w:pPr>
        <w:widowControl w:val="0"/>
        <w:rPr>
          <w:szCs w:val="22"/>
          <w:lang w:val="sr-Latn-RS"/>
        </w:rPr>
      </w:pPr>
    </w:p>
    <w:p w14:paraId="5F419F8E" w14:textId="77777777" w:rsidR="00877C76" w:rsidRPr="0080626B" w:rsidRDefault="00E90AF4">
      <w:pPr>
        <w:widowControl w:val="0"/>
        <w:rPr>
          <w:szCs w:val="22"/>
          <w:lang w:val="sr-Latn-RS"/>
        </w:rPr>
      </w:pPr>
      <w:r w:rsidRPr="0080626B">
        <w:rPr>
          <w:szCs w:val="22"/>
          <w:lang w:val="sr-Latn-RS"/>
        </w:rPr>
        <w:t>Film tableta.</w:t>
      </w:r>
    </w:p>
    <w:p w14:paraId="7392EA57" w14:textId="77777777" w:rsidR="00877C76" w:rsidRPr="0080626B" w:rsidRDefault="00877C76">
      <w:pPr>
        <w:widowControl w:val="0"/>
        <w:rPr>
          <w:szCs w:val="22"/>
          <w:lang w:val="sr-Latn-RS"/>
        </w:rPr>
      </w:pPr>
    </w:p>
    <w:p w14:paraId="6635110D" w14:textId="77777777" w:rsidR="00877C76" w:rsidRPr="0080626B" w:rsidRDefault="00E90AF4">
      <w:pPr>
        <w:widowControl w:val="0"/>
        <w:rPr>
          <w:szCs w:val="22"/>
          <w:u w:val="single"/>
          <w:lang w:val="sr-Latn-RS"/>
        </w:rPr>
      </w:pPr>
      <w:r w:rsidRPr="0080626B">
        <w:rPr>
          <w:szCs w:val="22"/>
          <w:u w:val="single"/>
          <w:lang w:val="sr-Latn-RS"/>
        </w:rPr>
        <w:t>250 mg film tableta</w:t>
      </w:r>
    </w:p>
    <w:p w14:paraId="1CDC0CE5" w14:textId="77777777" w:rsidR="00877C76" w:rsidRPr="0080626B" w:rsidRDefault="00E90AF4">
      <w:pPr>
        <w:widowControl w:val="0"/>
        <w:jc w:val="both"/>
        <w:rPr>
          <w:szCs w:val="22"/>
          <w:lang w:val="sr-Latn-RS"/>
        </w:rPr>
      </w:pPr>
      <w:r w:rsidRPr="0080626B">
        <w:rPr>
          <w:szCs w:val="22"/>
          <w:lang w:val="sr-Latn-RS"/>
        </w:rPr>
        <w:t>Plave bikonveksne film tablete oblika kapsule sa utisnutom oznakom “204” na jednoj strani i bez oznake na drugoj strani, dimenzija 15,1 mm x 8,1 mm.</w:t>
      </w:r>
    </w:p>
    <w:p w14:paraId="40E7799E" w14:textId="77777777" w:rsidR="00877C76" w:rsidRPr="0080626B" w:rsidRDefault="00877C76">
      <w:pPr>
        <w:widowControl w:val="0"/>
        <w:jc w:val="both"/>
        <w:rPr>
          <w:szCs w:val="22"/>
          <w:lang w:val="sr-Latn-RS"/>
        </w:rPr>
      </w:pPr>
    </w:p>
    <w:p w14:paraId="0B3186BB" w14:textId="77777777" w:rsidR="00877C76" w:rsidRPr="0080626B" w:rsidRDefault="00E90AF4">
      <w:pPr>
        <w:widowControl w:val="0"/>
        <w:jc w:val="both"/>
        <w:rPr>
          <w:szCs w:val="22"/>
          <w:u w:val="single"/>
          <w:lang w:val="sr-Latn-RS"/>
        </w:rPr>
      </w:pPr>
      <w:r w:rsidRPr="0080626B">
        <w:rPr>
          <w:szCs w:val="22"/>
          <w:u w:val="single"/>
          <w:lang w:val="sr-Latn-RS"/>
        </w:rPr>
        <w:t>500 mg film tableta</w:t>
      </w:r>
    </w:p>
    <w:p w14:paraId="060A6FBB" w14:textId="77777777" w:rsidR="00877C76" w:rsidRPr="0080626B" w:rsidRDefault="00E90AF4">
      <w:pPr>
        <w:widowControl w:val="0"/>
        <w:jc w:val="both"/>
        <w:rPr>
          <w:szCs w:val="22"/>
          <w:lang w:val="sr-Latn-RS"/>
        </w:rPr>
      </w:pPr>
      <w:r w:rsidRPr="0080626B">
        <w:rPr>
          <w:szCs w:val="22"/>
          <w:lang w:val="sr-Latn-RS"/>
        </w:rPr>
        <w:t>Plave bikonveksne film tablete oblika kapsule sa utisnutom oznakom “203” na jednoj strani i bez oznake na drugoj strani, dimenzija 19,1 mm x 9,1 mm.</w:t>
      </w:r>
    </w:p>
    <w:p w14:paraId="596D0A76" w14:textId="77777777" w:rsidR="00877C76" w:rsidRPr="0080626B" w:rsidRDefault="00877C76">
      <w:pPr>
        <w:widowControl w:val="0"/>
        <w:jc w:val="both"/>
        <w:rPr>
          <w:szCs w:val="22"/>
          <w:lang w:val="sr-Latn-RS"/>
        </w:rPr>
      </w:pPr>
    </w:p>
    <w:p w14:paraId="47372D2E" w14:textId="77777777" w:rsidR="00877C76" w:rsidRPr="0080626B" w:rsidRDefault="00877C76">
      <w:pPr>
        <w:widowControl w:val="0"/>
        <w:rPr>
          <w:szCs w:val="22"/>
          <w:lang w:val="sr-Latn-RS"/>
        </w:rPr>
      </w:pPr>
    </w:p>
    <w:p w14:paraId="2ACD0F29" w14:textId="77777777" w:rsidR="00877C76" w:rsidRPr="0080626B" w:rsidRDefault="00E90AF4">
      <w:pPr>
        <w:widowControl w:val="0"/>
        <w:ind w:left="567" w:hanging="567"/>
        <w:jc w:val="both"/>
        <w:rPr>
          <w:caps/>
          <w:szCs w:val="22"/>
          <w:lang w:val="sr-Latn-RS"/>
        </w:rPr>
      </w:pPr>
      <w:r w:rsidRPr="0080626B">
        <w:rPr>
          <w:b/>
          <w:caps/>
          <w:szCs w:val="22"/>
          <w:lang w:val="sr-Latn-RS"/>
        </w:rPr>
        <w:t>4.</w:t>
      </w:r>
      <w:r w:rsidRPr="0080626B">
        <w:rPr>
          <w:b/>
          <w:caps/>
          <w:szCs w:val="22"/>
          <w:lang w:val="sr-Latn-RS"/>
        </w:rPr>
        <w:tab/>
        <w:t>KLINIČKI PODACI</w:t>
      </w:r>
    </w:p>
    <w:p w14:paraId="17CB5C62" w14:textId="77777777" w:rsidR="00877C76" w:rsidRPr="0080626B" w:rsidRDefault="00877C76">
      <w:pPr>
        <w:widowControl w:val="0"/>
        <w:jc w:val="both"/>
        <w:rPr>
          <w:szCs w:val="22"/>
          <w:lang w:val="sr-Latn-RS"/>
        </w:rPr>
      </w:pPr>
    </w:p>
    <w:p w14:paraId="6FA3CFD3" w14:textId="77777777" w:rsidR="00877C76" w:rsidRPr="0080626B" w:rsidRDefault="00E90AF4">
      <w:pPr>
        <w:widowControl w:val="0"/>
        <w:ind w:left="567" w:hanging="567"/>
        <w:jc w:val="both"/>
        <w:outlineLvl w:val="0"/>
        <w:rPr>
          <w:szCs w:val="22"/>
          <w:lang w:val="sr-Latn-RS"/>
        </w:rPr>
      </w:pPr>
      <w:r w:rsidRPr="0080626B">
        <w:rPr>
          <w:b/>
          <w:szCs w:val="22"/>
          <w:lang w:val="sr-Latn-RS"/>
        </w:rPr>
        <w:t>4.1</w:t>
      </w:r>
      <w:r w:rsidRPr="0080626B">
        <w:rPr>
          <w:b/>
          <w:szCs w:val="22"/>
          <w:lang w:val="sr-Latn-RS"/>
        </w:rPr>
        <w:tab/>
        <w:t>Terapijske indikacije</w:t>
      </w:r>
    </w:p>
    <w:p w14:paraId="7A68C2A4" w14:textId="77777777" w:rsidR="00877C76" w:rsidRPr="0080626B" w:rsidRDefault="00877C76" w:rsidP="000E3EC8">
      <w:pPr>
        <w:widowControl w:val="0"/>
        <w:jc w:val="both"/>
        <w:rPr>
          <w:szCs w:val="22"/>
          <w:lang w:val="sr-Latn-RS"/>
        </w:rPr>
      </w:pPr>
    </w:p>
    <w:p w14:paraId="20000A7C" w14:textId="57EBDDC6" w:rsidR="00877C76" w:rsidRPr="0080626B" w:rsidRDefault="00E90AF4" w:rsidP="00137084">
      <w:pPr>
        <w:widowControl w:val="0"/>
        <w:jc w:val="both"/>
        <w:rPr>
          <w:szCs w:val="22"/>
          <w:lang w:val="sr-Latn-RS"/>
        </w:rPr>
      </w:pPr>
      <w:r w:rsidRPr="0080626B">
        <w:rPr>
          <w:szCs w:val="22"/>
          <w:lang w:val="sr-Latn-RS"/>
        </w:rPr>
        <w:t>Lijek Furocef je indikovan u terapiji sljedećih infekcija kod odraslih</w:t>
      </w:r>
      <w:r w:rsidR="003F40F0" w:rsidRPr="0080626B">
        <w:rPr>
          <w:szCs w:val="22"/>
          <w:lang w:val="sr-Latn-RS"/>
        </w:rPr>
        <w:t>, adolescenata</w:t>
      </w:r>
      <w:r w:rsidRPr="0080626B">
        <w:rPr>
          <w:szCs w:val="22"/>
          <w:lang w:val="sr-Latn-RS"/>
        </w:rPr>
        <w:t xml:space="preserve"> i djece tjelesne mase veće od 40 kg</w:t>
      </w:r>
      <w:r w:rsidR="003F40F0" w:rsidRPr="0080626B">
        <w:rPr>
          <w:szCs w:val="22"/>
          <w:lang w:val="sr-Latn-RS"/>
        </w:rPr>
        <w:t>:</w:t>
      </w:r>
    </w:p>
    <w:p w14:paraId="3C9F0918" w14:textId="77777777" w:rsidR="00877C76" w:rsidRPr="0080626B" w:rsidRDefault="00877C76">
      <w:pPr>
        <w:widowControl w:val="0"/>
        <w:jc w:val="both"/>
        <w:rPr>
          <w:szCs w:val="22"/>
          <w:lang w:val="sr-Latn-RS"/>
        </w:rPr>
      </w:pPr>
    </w:p>
    <w:p w14:paraId="3C2CB396" w14:textId="0EA7E7CC" w:rsidR="00877C76" w:rsidRPr="0080626B" w:rsidRDefault="00E90AF4">
      <w:pPr>
        <w:widowControl w:val="0"/>
        <w:numPr>
          <w:ilvl w:val="0"/>
          <w:numId w:val="26"/>
        </w:numPr>
        <w:tabs>
          <w:tab w:val="clear" w:pos="567"/>
        </w:tabs>
        <w:spacing w:line="240" w:lineRule="auto"/>
        <w:ind w:left="567" w:hanging="567"/>
        <w:jc w:val="both"/>
        <w:rPr>
          <w:szCs w:val="22"/>
          <w:lang w:val="sr-Latn-RS"/>
        </w:rPr>
      </w:pPr>
      <w:r w:rsidRPr="0080626B">
        <w:rPr>
          <w:szCs w:val="22"/>
          <w:lang w:val="sr-Latn-RS"/>
        </w:rPr>
        <w:t>akutni streptokokni tonzilitis i faringitis</w:t>
      </w:r>
      <w:r w:rsidR="003F40F0" w:rsidRPr="0080626B">
        <w:rPr>
          <w:szCs w:val="22"/>
          <w:lang w:val="sr-Latn-RS"/>
        </w:rPr>
        <w:t>;</w:t>
      </w:r>
    </w:p>
    <w:p w14:paraId="19F2617A" w14:textId="39167E08" w:rsidR="00877C76" w:rsidRPr="0080626B" w:rsidRDefault="00E90AF4">
      <w:pPr>
        <w:widowControl w:val="0"/>
        <w:numPr>
          <w:ilvl w:val="0"/>
          <w:numId w:val="26"/>
        </w:numPr>
        <w:tabs>
          <w:tab w:val="clear" w:pos="567"/>
        </w:tabs>
        <w:spacing w:line="240" w:lineRule="auto"/>
        <w:ind w:left="567" w:hanging="567"/>
        <w:jc w:val="both"/>
        <w:rPr>
          <w:szCs w:val="22"/>
          <w:lang w:val="sr-Latn-RS"/>
        </w:rPr>
      </w:pPr>
      <w:r w:rsidRPr="0080626B">
        <w:rPr>
          <w:szCs w:val="22"/>
          <w:lang w:val="sr-Latn-RS"/>
        </w:rPr>
        <w:t>akutni bakterijski sinu</w:t>
      </w:r>
      <w:r w:rsidR="00AC7688" w:rsidRPr="0080626B">
        <w:rPr>
          <w:szCs w:val="22"/>
          <w:lang w:val="sr-Latn-RS"/>
        </w:rPr>
        <w:t>z</w:t>
      </w:r>
      <w:r w:rsidRPr="0080626B">
        <w:rPr>
          <w:szCs w:val="22"/>
          <w:lang w:val="sr-Latn-RS"/>
        </w:rPr>
        <w:t>itis</w:t>
      </w:r>
      <w:r w:rsidR="003F40F0" w:rsidRPr="0080626B">
        <w:rPr>
          <w:szCs w:val="22"/>
          <w:lang w:val="sr-Latn-RS"/>
        </w:rPr>
        <w:t>;</w:t>
      </w:r>
    </w:p>
    <w:p w14:paraId="029252F3" w14:textId="2EEDD12C" w:rsidR="00877C76" w:rsidRPr="0080626B" w:rsidRDefault="00E90AF4">
      <w:pPr>
        <w:widowControl w:val="0"/>
        <w:numPr>
          <w:ilvl w:val="0"/>
          <w:numId w:val="26"/>
        </w:numPr>
        <w:tabs>
          <w:tab w:val="clear" w:pos="567"/>
        </w:tabs>
        <w:spacing w:line="240" w:lineRule="auto"/>
        <w:ind w:left="567" w:hanging="567"/>
        <w:jc w:val="both"/>
        <w:rPr>
          <w:szCs w:val="22"/>
          <w:lang w:val="sr-Latn-RS"/>
        </w:rPr>
      </w:pPr>
      <w:r w:rsidRPr="0080626B">
        <w:rPr>
          <w:szCs w:val="22"/>
          <w:lang w:val="sr-Latn-RS"/>
        </w:rPr>
        <w:t>akutni otitis media</w:t>
      </w:r>
      <w:r w:rsidR="003F40F0" w:rsidRPr="0080626B">
        <w:rPr>
          <w:szCs w:val="22"/>
          <w:lang w:val="sr-Latn-RS"/>
        </w:rPr>
        <w:t>;</w:t>
      </w:r>
    </w:p>
    <w:p w14:paraId="4284EEA6" w14:textId="747E5DC6" w:rsidR="00877C76" w:rsidRPr="0080626B" w:rsidRDefault="00E90AF4">
      <w:pPr>
        <w:widowControl w:val="0"/>
        <w:numPr>
          <w:ilvl w:val="0"/>
          <w:numId w:val="26"/>
        </w:numPr>
        <w:tabs>
          <w:tab w:val="clear" w:pos="567"/>
        </w:tabs>
        <w:spacing w:line="240" w:lineRule="auto"/>
        <w:ind w:left="567" w:hanging="567"/>
        <w:jc w:val="both"/>
        <w:rPr>
          <w:szCs w:val="22"/>
          <w:lang w:val="sr-Latn-RS"/>
        </w:rPr>
      </w:pPr>
      <w:r w:rsidRPr="0080626B">
        <w:rPr>
          <w:szCs w:val="22"/>
          <w:lang w:val="sr-Latn-RS"/>
        </w:rPr>
        <w:t>akutne egzacerbacije hroničnog bronhitisa</w:t>
      </w:r>
      <w:r w:rsidR="003F40F0" w:rsidRPr="0080626B">
        <w:rPr>
          <w:szCs w:val="22"/>
          <w:lang w:val="sr-Latn-RS"/>
        </w:rPr>
        <w:t>;</w:t>
      </w:r>
    </w:p>
    <w:p w14:paraId="00C41CE5" w14:textId="2EE05823" w:rsidR="00877C76" w:rsidRPr="0080626B" w:rsidRDefault="00E90AF4">
      <w:pPr>
        <w:widowControl w:val="0"/>
        <w:numPr>
          <w:ilvl w:val="0"/>
          <w:numId w:val="26"/>
        </w:numPr>
        <w:tabs>
          <w:tab w:val="clear" w:pos="567"/>
        </w:tabs>
        <w:spacing w:line="240" w:lineRule="auto"/>
        <w:ind w:left="567" w:hanging="567"/>
        <w:jc w:val="both"/>
        <w:rPr>
          <w:szCs w:val="22"/>
          <w:lang w:val="sr-Latn-RS"/>
        </w:rPr>
      </w:pPr>
      <w:r w:rsidRPr="0080626B">
        <w:rPr>
          <w:szCs w:val="22"/>
          <w:lang w:val="sr-Latn-RS"/>
        </w:rPr>
        <w:t>cistitis</w:t>
      </w:r>
      <w:r w:rsidR="003F40F0" w:rsidRPr="0080626B">
        <w:rPr>
          <w:szCs w:val="22"/>
          <w:lang w:val="sr-Latn-RS"/>
        </w:rPr>
        <w:t>;</w:t>
      </w:r>
    </w:p>
    <w:p w14:paraId="7E952559" w14:textId="6FA1FD12" w:rsidR="00877C76" w:rsidRPr="0080626B" w:rsidRDefault="00E90AF4">
      <w:pPr>
        <w:widowControl w:val="0"/>
        <w:numPr>
          <w:ilvl w:val="0"/>
          <w:numId w:val="26"/>
        </w:numPr>
        <w:tabs>
          <w:tab w:val="clear" w:pos="567"/>
        </w:tabs>
        <w:spacing w:line="240" w:lineRule="auto"/>
        <w:ind w:left="567" w:hanging="567"/>
        <w:jc w:val="both"/>
        <w:rPr>
          <w:szCs w:val="22"/>
          <w:lang w:val="sr-Latn-RS"/>
        </w:rPr>
      </w:pPr>
      <w:r w:rsidRPr="0080626B">
        <w:rPr>
          <w:szCs w:val="22"/>
          <w:lang w:val="sr-Latn-RS"/>
        </w:rPr>
        <w:t>pijelonefritis</w:t>
      </w:r>
      <w:r w:rsidR="003F40F0" w:rsidRPr="0080626B">
        <w:rPr>
          <w:szCs w:val="22"/>
          <w:lang w:val="sr-Latn-RS"/>
        </w:rPr>
        <w:t>;</w:t>
      </w:r>
    </w:p>
    <w:p w14:paraId="3AC6D553" w14:textId="34768AE2" w:rsidR="00877C76" w:rsidRPr="0080626B" w:rsidRDefault="00E90AF4">
      <w:pPr>
        <w:widowControl w:val="0"/>
        <w:numPr>
          <w:ilvl w:val="0"/>
          <w:numId w:val="26"/>
        </w:numPr>
        <w:tabs>
          <w:tab w:val="clear" w:pos="567"/>
        </w:tabs>
        <w:spacing w:line="240" w:lineRule="auto"/>
        <w:ind w:left="567" w:hanging="567"/>
        <w:jc w:val="both"/>
        <w:rPr>
          <w:szCs w:val="22"/>
          <w:lang w:val="sr-Latn-RS"/>
        </w:rPr>
      </w:pPr>
      <w:r w:rsidRPr="0080626B">
        <w:rPr>
          <w:szCs w:val="22"/>
          <w:lang w:val="sr-Latn-RS"/>
        </w:rPr>
        <w:t>nekomplikovane infekcije kože i mekih tkiva</w:t>
      </w:r>
      <w:r w:rsidR="003F40F0" w:rsidRPr="0080626B">
        <w:rPr>
          <w:szCs w:val="22"/>
          <w:lang w:val="sr-Latn-RS"/>
        </w:rPr>
        <w:t>;</w:t>
      </w:r>
    </w:p>
    <w:p w14:paraId="78F29842" w14:textId="77777777" w:rsidR="00877C76" w:rsidRPr="0080626B" w:rsidRDefault="00E90AF4">
      <w:pPr>
        <w:widowControl w:val="0"/>
        <w:numPr>
          <w:ilvl w:val="0"/>
          <w:numId w:val="26"/>
        </w:numPr>
        <w:tabs>
          <w:tab w:val="clear" w:pos="567"/>
        </w:tabs>
        <w:spacing w:line="240" w:lineRule="auto"/>
        <w:ind w:left="567" w:hanging="567"/>
        <w:jc w:val="both"/>
        <w:rPr>
          <w:szCs w:val="22"/>
          <w:lang w:val="sr-Latn-RS"/>
        </w:rPr>
      </w:pPr>
      <w:r w:rsidRPr="0080626B">
        <w:rPr>
          <w:szCs w:val="22"/>
          <w:lang w:val="sr-Latn-RS"/>
        </w:rPr>
        <w:t>liječenje ranog stadijuma lajmske bolesti.</w:t>
      </w:r>
    </w:p>
    <w:p w14:paraId="0DC80448" w14:textId="77777777" w:rsidR="00877C76" w:rsidRPr="0080626B" w:rsidRDefault="00877C76">
      <w:pPr>
        <w:widowControl w:val="0"/>
        <w:jc w:val="both"/>
        <w:rPr>
          <w:szCs w:val="22"/>
          <w:lang w:val="sr-Latn-RS"/>
        </w:rPr>
      </w:pPr>
    </w:p>
    <w:p w14:paraId="4D58EBA3" w14:textId="77777777" w:rsidR="00877C76" w:rsidRPr="0080626B" w:rsidRDefault="00E90AF4">
      <w:pPr>
        <w:widowControl w:val="0"/>
        <w:jc w:val="both"/>
        <w:rPr>
          <w:szCs w:val="22"/>
          <w:lang w:val="sr-Latn-RS"/>
        </w:rPr>
      </w:pPr>
      <w:r w:rsidRPr="0080626B">
        <w:rPr>
          <w:szCs w:val="22"/>
          <w:lang w:val="sr-Latn-RS"/>
        </w:rPr>
        <w:t>Potrebno je uzeti u obzir zvanične smjernice o pravilnoj primjeni antibiotika.</w:t>
      </w:r>
    </w:p>
    <w:p w14:paraId="6754AFDE" w14:textId="77777777" w:rsidR="00877C76" w:rsidRPr="0080626B" w:rsidRDefault="00877C76">
      <w:pPr>
        <w:widowControl w:val="0"/>
        <w:jc w:val="both"/>
        <w:rPr>
          <w:szCs w:val="22"/>
          <w:lang w:val="sr-Latn-RS"/>
        </w:rPr>
      </w:pPr>
    </w:p>
    <w:p w14:paraId="36EBC7D1" w14:textId="77777777" w:rsidR="00877C76" w:rsidRPr="0080626B" w:rsidRDefault="00E90AF4">
      <w:pPr>
        <w:widowControl w:val="0"/>
        <w:numPr>
          <w:ilvl w:val="1"/>
          <w:numId w:val="13"/>
        </w:numPr>
        <w:tabs>
          <w:tab w:val="clear" w:pos="570"/>
          <w:tab w:val="left" w:pos="567"/>
          <w:tab w:val="num" w:pos="712"/>
        </w:tabs>
        <w:spacing w:line="240" w:lineRule="auto"/>
        <w:ind w:left="712" w:hanging="712"/>
        <w:jc w:val="both"/>
        <w:outlineLvl w:val="0"/>
        <w:rPr>
          <w:b/>
          <w:szCs w:val="22"/>
          <w:lang w:val="sr-Latn-RS"/>
        </w:rPr>
      </w:pPr>
      <w:r w:rsidRPr="0080626B">
        <w:rPr>
          <w:b/>
          <w:szCs w:val="22"/>
          <w:lang w:val="sr-Latn-RS"/>
        </w:rPr>
        <w:t>Doziranje i način primjene</w:t>
      </w:r>
    </w:p>
    <w:p w14:paraId="0E5D738C" w14:textId="77777777" w:rsidR="00877C76" w:rsidRPr="0080626B" w:rsidRDefault="00877C76">
      <w:pPr>
        <w:widowControl w:val="0"/>
        <w:jc w:val="both"/>
        <w:rPr>
          <w:szCs w:val="22"/>
          <w:lang w:val="sr-Latn-RS"/>
        </w:rPr>
      </w:pPr>
    </w:p>
    <w:p w14:paraId="32267470" w14:textId="77777777" w:rsidR="00877C76" w:rsidRPr="0080626B" w:rsidRDefault="00E90AF4">
      <w:pPr>
        <w:widowControl w:val="0"/>
        <w:jc w:val="both"/>
        <w:rPr>
          <w:iCs/>
          <w:szCs w:val="22"/>
          <w:u w:val="single"/>
          <w:lang w:val="sr-Latn-RS"/>
        </w:rPr>
      </w:pPr>
      <w:r w:rsidRPr="0080626B">
        <w:rPr>
          <w:iCs/>
          <w:szCs w:val="22"/>
          <w:u w:val="single"/>
          <w:lang w:val="sr-Latn-RS"/>
        </w:rPr>
        <w:t>Doziranje</w:t>
      </w:r>
    </w:p>
    <w:p w14:paraId="288434B6" w14:textId="77777777" w:rsidR="00877C76" w:rsidRPr="0080626B" w:rsidRDefault="00E90AF4">
      <w:pPr>
        <w:widowControl w:val="0"/>
        <w:jc w:val="both"/>
        <w:rPr>
          <w:iCs/>
          <w:szCs w:val="22"/>
          <w:lang w:val="sr-Latn-RS"/>
        </w:rPr>
      </w:pPr>
      <w:r w:rsidRPr="0080626B">
        <w:rPr>
          <w:szCs w:val="22"/>
          <w:lang w:val="sr-Latn-RS"/>
        </w:rPr>
        <w:t>Uobičajeno trajanje liječenja je 7 dana (trajanje terapije može varirati od 5 do 10 dana).</w:t>
      </w:r>
    </w:p>
    <w:p w14:paraId="21259B7C" w14:textId="406A7C27" w:rsidR="00877C76" w:rsidRPr="0080626B" w:rsidRDefault="00E90AF4">
      <w:pPr>
        <w:widowControl w:val="0"/>
        <w:jc w:val="both"/>
        <w:rPr>
          <w:i/>
          <w:iCs/>
          <w:szCs w:val="22"/>
          <w:lang w:val="sr-Latn-RS"/>
        </w:rPr>
      </w:pPr>
      <w:r w:rsidRPr="0080626B">
        <w:rPr>
          <w:i/>
          <w:iCs/>
          <w:szCs w:val="22"/>
          <w:lang w:val="sr-Latn-RS"/>
        </w:rPr>
        <w:lastRenderedPageBreak/>
        <w:t>Tabela 1. Odrasli</w:t>
      </w:r>
      <w:r w:rsidR="003F40F0" w:rsidRPr="0080626B">
        <w:rPr>
          <w:i/>
          <w:iCs/>
          <w:szCs w:val="22"/>
          <w:lang w:val="sr-Latn-RS"/>
        </w:rPr>
        <w:t>, adolescenti</w:t>
      </w:r>
      <w:r w:rsidRPr="0080626B">
        <w:rPr>
          <w:i/>
          <w:iCs/>
          <w:szCs w:val="22"/>
          <w:lang w:val="sr-Latn-RS"/>
        </w:rPr>
        <w:t xml:space="preserve"> i djeca (≥</w:t>
      </w:r>
      <w:r w:rsidR="00052C3E" w:rsidRPr="0080626B">
        <w:rPr>
          <w:i/>
          <w:iCs/>
          <w:szCs w:val="22"/>
          <w:lang w:val="sr-Latn-RS"/>
        </w:rPr>
        <w:t xml:space="preserve"> </w:t>
      </w:r>
      <w:r w:rsidRPr="0080626B">
        <w:rPr>
          <w:i/>
          <w:iCs/>
          <w:szCs w:val="22"/>
          <w:lang w:val="sr-Latn-RS"/>
        </w:rPr>
        <w:t>40 kg)</w:t>
      </w:r>
    </w:p>
    <w:p w14:paraId="3ACA9AD2" w14:textId="77777777" w:rsidR="00877C76" w:rsidRPr="0080626B" w:rsidRDefault="00877C76">
      <w:pPr>
        <w:widowControl w:val="0"/>
        <w:rPr>
          <w:i/>
          <w:iCs/>
          <w:szCs w:val="22"/>
          <w:lang w:val="sr-Latn-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5"/>
        <w:gridCol w:w="4475"/>
      </w:tblGrid>
      <w:tr w:rsidR="00877C76" w:rsidRPr="0080626B" w14:paraId="7F12AA23" w14:textId="77777777" w:rsidTr="00137084">
        <w:tc>
          <w:tcPr>
            <w:tcW w:w="4536" w:type="dxa"/>
            <w:shd w:val="clear" w:color="auto" w:fill="auto"/>
          </w:tcPr>
          <w:p w14:paraId="09A23BAA" w14:textId="77777777" w:rsidR="00877C76" w:rsidRPr="0080626B" w:rsidRDefault="00E90AF4" w:rsidP="00137084">
            <w:pPr>
              <w:widowControl w:val="0"/>
              <w:autoSpaceDE w:val="0"/>
              <w:autoSpaceDN w:val="0"/>
              <w:adjustRightInd w:val="0"/>
              <w:rPr>
                <w:color w:val="000000"/>
                <w:szCs w:val="22"/>
                <w:lang w:val="sr-Latn-RS"/>
              </w:rPr>
            </w:pPr>
            <w:r w:rsidRPr="0080626B">
              <w:rPr>
                <w:b/>
                <w:bCs/>
                <w:color w:val="000000"/>
                <w:szCs w:val="22"/>
                <w:lang w:val="sr-Latn-RS"/>
              </w:rPr>
              <w:t>Indikacija</w:t>
            </w:r>
          </w:p>
        </w:tc>
        <w:tc>
          <w:tcPr>
            <w:tcW w:w="4536" w:type="dxa"/>
            <w:shd w:val="clear" w:color="auto" w:fill="auto"/>
          </w:tcPr>
          <w:p w14:paraId="2FD7A646" w14:textId="77777777" w:rsidR="00877C76" w:rsidRPr="0080626B" w:rsidRDefault="00E90AF4" w:rsidP="00137084">
            <w:pPr>
              <w:widowControl w:val="0"/>
              <w:autoSpaceDE w:val="0"/>
              <w:autoSpaceDN w:val="0"/>
              <w:adjustRightInd w:val="0"/>
              <w:rPr>
                <w:color w:val="000000"/>
                <w:szCs w:val="22"/>
                <w:lang w:val="sr-Latn-RS"/>
              </w:rPr>
            </w:pPr>
            <w:r w:rsidRPr="0080626B">
              <w:rPr>
                <w:b/>
                <w:bCs/>
                <w:color w:val="000000"/>
                <w:szCs w:val="22"/>
                <w:lang w:val="sr-Latn-RS"/>
              </w:rPr>
              <w:t>Doziranje</w:t>
            </w:r>
          </w:p>
        </w:tc>
      </w:tr>
      <w:tr w:rsidR="00877C76" w:rsidRPr="0080626B" w14:paraId="2CEA9B00" w14:textId="77777777" w:rsidTr="00137084">
        <w:trPr>
          <w:trHeight w:val="272"/>
        </w:trPr>
        <w:tc>
          <w:tcPr>
            <w:tcW w:w="4536" w:type="dxa"/>
            <w:shd w:val="clear" w:color="auto" w:fill="auto"/>
          </w:tcPr>
          <w:p w14:paraId="0A15F156" w14:textId="77777777" w:rsidR="00877C76" w:rsidRPr="0080626B" w:rsidRDefault="00E90AF4">
            <w:pPr>
              <w:autoSpaceDE w:val="0"/>
              <w:autoSpaceDN w:val="0"/>
              <w:adjustRightInd w:val="0"/>
              <w:rPr>
                <w:color w:val="000000"/>
                <w:szCs w:val="22"/>
                <w:lang w:val="sr-Latn-RS"/>
              </w:rPr>
            </w:pPr>
            <w:r w:rsidRPr="0080626B">
              <w:rPr>
                <w:color w:val="000000"/>
                <w:szCs w:val="22"/>
                <w:lang w:val="sr-Latn-RS"/>
              </w:rPr>
              <w:t>Akutni tonzilitis i faringitis, akutni bakterijski sinusitis</w:t>
            </w:r>
          </w:p>
        </w:tc>
        <w:tc>
          <w:tcPr>
            <w:tcW w:w="4536" w:type="dxa"/>
            <w:shd w:val="clear" w:color="auto" w:fill="auto"/>
          </w:tcPr>
          <w:p w14:paraId="06D82405"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250 mg dva puta dnevno</w:t>
            </w:r>
          </w:p>
        </w:tc>
      </w:tr>
      <w:tr w:rsidR="00877C76" w:rsidRPr="0080626B" w14:paraId="5AABDD64" w14:textId="77777777" w:rsidTr="00137084">
        <w:trPr>
          <w:trHeight w:val="145"/>
        </w:trPr>
        <w:tc>
          <w:tcPr>
            <w:tcW w:w="4536" w:type="dxa"/>
            <w:shd w:val="clear" w:color="auto" w:fill="auto"/>
          </w:tcPr>
          <w:p w14:paraId="3F4917E8" w14:textId="77777777" w:rsidR="00877C76" w:rsidRPr="0080626B" w:rsidRDefault="00E90AF4">
            <w:pPr>
              <w:autoSpaceDE w:val="0"/>
              <w:autoSpaceDN w:val="0"/>
              <w:adjustRightInd w:val="0"/>
              <w:rPr>
                <w:color w:val="000000"/>
                <w:szCs w:val="22"/>
                <w:lang w:val="sr-Latn-RS"/>
              </w:rPr>
            </w:pPr>
            <w:r w:rsidRPr="0080626B">
              <w:rPr>
                <w:color w:val="000000"/>
                <w:szCs w:val="22"/>
                <w:lang w:val="sr-Latn-RS"/>
              </w:rPr>
              <w:t>Akutni otitis media</w:t>
            </w:r>
          </w:p>
        </w:tc>
        <w:tc>
          <w:tcPr>
            <w:tcW w:w="4536" w:type="dxa"/>
            <w:shd w:val="clear" w:color="auto" w:fill="auto"/>
          </w:tcPr>
          <w:p w14:paraId="7226EF01"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500 mg dva puta dnevno</w:t>
            </w:r>
          </w:p>
        </w:tc>
      </w:tr>
      <w:tr w:rsidR="00877C76" w:rsidRPr="0080626B" w14:paraId="0B360116" w14:textId="77777777" w:rsidTr="00137084">
        <w:trPr>
          <w:trHeight w:val="145"/>
        </w:trPr>
        <w:tc>
          <w:tcPr>
            <w:tcW w:w="4536" w:type="dxa"/>
            <w:shd w:val="clear" w:color="auto" w:fill="auto"/>
          </w:tcPr>
          <w:p w14:paraId="0E59320D" w14:textId="77777777" w:rsidR="00877C76" w:rsidRPr="0080626B" w:rsidRDefault="00E90AF4">
            <w:pPr>
              <w:autoSpaceDE w:val="0"/>
              <w:autoSpaceDN w:val="0"/>
              <w:adjustRightInd w:val="0"/>
              <w:rPr>
                <w:color w:val="000000"/>
                <w:szCs w:val="22"/>
                <w:lang w:val="sr-Latn-RS"/>
              </w:rPr>
            </w:pPr>
            <w:r w:rsidRPr="0080626B">
              <w:rPr>
                <w:color w:val="000000"/>
                <w:szCs w:val="22"/>
                <w:lang w:val="sr-Latn-RS"/>
              </w:rPr>
              <w:t>Akutne egzacerbacije hroničnog bronhitisa</w:t>
            </w:r>
          </w:p>
        </w:tc>
        <w:tc>
          <w:tcPr>
            <w:tcW w:w="4536" w:type="dxa"/>
            <w:shd w:val="clear" w:color="auto" w:fill="auto"/>
          </w:tcPr>
          <w:p w14:paraId="0EE1E5B5"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500 mg dva puta dnevno</w:t>
            </w:r>
          </w:p>
        </w:tc>
      </w:tr>
      <w:tr w:rsidR="00877C76" w:rsidRPr="0080626B" w14:paraId="77A5403C" w14:textId="77777777" w:rsidTr="00137084">
        <w:trPr>
          <w:trHeight w:val="145"/>
        </w:trPr>
        <w:tc>
          <w:tcPr>
            <w:tcW w:w="4536" w:type="dxa"/>
            <w:shd w:val="clear" w:color="auto" w:fill="auto"/>
          </w:tcPr>
          <w:p w14:paraId="31D4628A"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Cistitis</w:t>
            </w:r>
          </w:p>
        </w:tc>
        <w:tc>
          <w:tcPr>
            <w:tcW w:w="4536" w:type="dxa"/>
            <w:shd w:val="clear" w:color="auto" w:fill="auto"/>
          </w:tcPr>
          <w:p w14:paraId="3BD50ECA"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250 mg dva puta dnevno</w:t>
            </w:r>
          </w:p>
        </w:tc>
      </w:tr>
      <w:tr w:rsidR="00877C76" w:rsidRPr="0080626B" w14:paraId="2CCBBB64" w14:textId="77777777" w:rsidTr="00137084">
        <w:trPr>
          <w:trHeight w:val="145"/>
        </w:trPr>
        <w:tc>
          <w:tcPr>
            <w:tcW w:w="4536" w:type="dxa"/>
            <w:shd w:val="clear" w:color="auto" w:fill="auto"/>
          </w:tcPr>
          <w:p w14:paraId="199E2A5F"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Pijelonefritis</w:t>
            </w:r>
          </w:p>
        </w:tc>
        <w:tc>
          <w:tcPr>
            <w:tcW w:w="4536" w:type="dxa"/>
            <w:shd w:val="clear" w:color="auto" w:fill="auto"/>
          </w:tcPr>
          <w:p w14:paraId="63CC39A1"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250 mg dva puta dnevno</w:t>
            </w:r>
          </w:p>
        </w:tc>
      </w:tr>
      <w:tr w:rsidR="00877C76" w:rsidRPr="0080626B" w14:paraId="5C5BB8E2" w14:textId="77777777" w:rsidTr="00137084">
        <w:trPr>
          <w:trHeight w:val="145"/>
        </w:trPr>
        <w:tc>
          <w:tcPr>
            <w:tcW w:w="4536" w:type="dxa"/>
            <w:shd w:val="clear" w:color="auto" w:fill="auto"/>
          </w:tcPr>
          <w:p w14:paraId="1EE0C65E" w14:textId="77777777" w:rsidR="00877C76" w:rsidRPr="0080626B" w:rsidRDefault="00E90AF4">
            <w:pPr>
              <w:autoSpaceDE w:val="0"/>
              <w:autoSpaceDN w:val="0"/>
              <w:adjustRightInd w:val="0"/>
              <w:rPr>
                <w:color w:val="000000"/>
                <w:szCs w:val="22"/>
                <w:lang w:val="sr-Latn-RS"/>
              </w:rPr>
            </w:pPr>
            <w:r w:rsidRPr="0080626B">
              <w:rPr>
                <w:color w:val="000000"/>
                <w:szCs w:val="22"/>
                <w:lang w:val="sr-Latn-RS"/>
              </w:rPr>
              <w:t>Nekomplikovane infekcije kože i mekih tkiva</w:t>
            </w:r>
          </w:p>
        </w:tc>
        <w:tc>
          <w:tcPr>
            <w:tcW w:w="4536" w:type="dxa"/>
            <w:shd w:val="clear" w:color="auto" w:fill="auto"/>
          </w:tcPr>
          <w:p w14:paraId="3026D23A"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250 mg dva puta dnevno</w:t>
            </w:r>
          </w:p>
        </w:tc>
      </w:tr>
      <w:tr w:rsidR="00877C76" w:rsidRPr="0080626B" w14:paraId="78DC4050" w14:textId="77777777" w:rsidTr="00137084">
        <w:trPr>
          <w:trHeight w:val="271"/>
        </w:trPr>
        <w:tc>
          <w:tcPr>
            <w:tcW w:w="4536" w:type="dxa"/>
            <w:shd w:val="clear" w:color="auto" w:fill="auto"/>
          </w:tcPr>
          <w:p w14:paraId="45D0B0AF"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Lajmska bolest</w:t>
            </w:r>
          </w:p>
        </w:tc>
        <w:tc>
          <w:tcPr>
            <w:tcW w:w="4536" w:type="dxa"/>
            <w:shd w:val="clear" w:color="auto" w:fill="auto"/>
          </w:tcPr>
          <w:p w14:paraId="721709B4"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500 mg dva puta dnevno tokom 14 dana (može varirati od 10 do 21 dan)</w:t>
            </w:r>
          </w:p>
        </w:tc>
      </w:tr>
    </w:tbl>
    <w:p w14:paraId="349C3C11" w14:textId="77777777" w:rsidR="00877C76" w:rsidRPr="0080626B" w:rsidRDefault="00877C76">
      <w:pPr>
        <w:widowControl w:val="0"/>
        <w:rPr>
          <w:i/>
          <w:iCs/>
          <w:szCs w:val="22"/>
          <w:lang w:val="sr-Latn-RS"/>
        </w:rPr>
      </w:pPr>
    </w:p>
    <w:p w14:paraId="68B92D84" w14:textId="14E953A0" w:rsidR="00877C76" w:rsidRPr="0080626B" w:rsidRDefault="009A37AB">
      <w:pPr>
        <w:autoSpaceDE w:val="0"/>
        <w:autoSpaceDN w:val="0"/>
        <w:adjustRightInd w:val="0"/>
        <w:jc w:val="both"/>
        <w:rPr>
          <w:color w:val="000000"/>
          <w:szCs w:val="22"/>
          <w:lang w:val="sr-Latn-RS"/>
        </w:rPr>
      </w:pPr>
      <w:r w:rsidRPr="0080626B">
        <w:rPr>
          <w:i/>
          <w:iCs/>
          <w:color w:val="000000"/>
          <w:szCs w:val="22"/>
          <w:lang w:val="sr-Latn-RS"/>
        </w:rPr>
        <w:t xml:space="preserve">  </w:t>
      </w:r>
      <w:r w:rsidR="00E90AF4" w:rsidRPr="0080626B">
        <w:rPr>
          <w:i/>
          <w:iCs/>
          <w:color w:val="000000"/>
          <w:szCs w:val="22"/>
          <w:lang w:val="sr-Latn-RS"/>
        </w:rPr>
        <w:t>Pedijatrijska populacija</w:t>
      </w:r>
    </w:p>
    <w:p w14:paraId="23141CE3" w14:textId="77777777" w:rsidR="00877C76" w:rsidRPr="0080626B" w:rsidRDefault="00877C76">
      <w:pPr>
        <w:widowControl w:val="0"/>
        <w:jc w:val="both"/>
        <w:rPr>
          <w:i/>
          <w:iCs/>
          <w:szCs w:val="22"/>
          <w:lang w:val="sr-Latn-RS"/>
        </w:rPr>
      </w:pPr>
    </w:p>
    <w:p w14:paraId="55A4F493" w14:textId="75AF4FE9" w:rsidR="00877C76" w:rsidRPr="0080626B" w:rsidRDefault="009A37AB">
      <w:pPr>
        <w:widowControl w:val="0"/>
        <w:jc w:val="both"/>
        <w:rPr>
          <w:szCs w:val="22"/>
          <w:lang w:val="sr-Latn-RS"/>
        </w:rPr>
      </w:pPr>
      <w:r w:rsidRPr="0080626B">
        <w:rPr>
          <w:szCs w:val="22"/>
          <w:lang w:val="sr-Latn-RS"/>
        </w:rPr>
        <w:t xml:space="preserve">  </w:t>
      </w:r>
      <w:r w:rsidR="00E90AF4" w:rsidRPr="0080626B">
        <w:rPr>
          <w:szCs w:val="22"/>
          <w:lang w:val="sr-Latn-RS"/>
        </w:rPr>
        <w:t>Furocef 250 mg i 500 mg film tablete nijesu prikladne za liječenje djece tjelesne mase manje od 40 kg.</w:t>
      </w:r>
    </w:p>
    <w:p w14:paraId="34478983" w14:textId="77777777" w:rsidR="00877C76" w:rsidRPr="0080626B" w:rsidRDefault="00877C76">
      <w:pPr>
        <w:widowControl w:val="0"/>
        <w:jc w:val="both"/>
        <w:rPr>
          <w:iCs/>
          <w:szCs w:val="22"/>
          <w:lang w:val="sr-Latn-RS"/>
        </w:rPr>
      </w:pPr>
    </w:p>
    <w:p w14:paraId="377345D3" w14:textId="7A5FA1BE" w:rsidR="00877C76" w:rsidRPr="0080626B" w:rsidRDefault="009A37AB">
      <w:pPr>
        <w:widowControl w:val="0"/>
        <w:jc w:val="both"/>
        <w:rPr>
          <w:i/>
          <w:iCs/>
          <w:szCs w:val="22"/>
          <w:lang w:val="sr-Latn-RS"/>
        </w:rPr>
      </w:pPr>
      <w:r w:rsidRPr="0080626B">
        <w:rPr>
          <w:i/>
          <w:iCs/>
          <w:szCs w:val="22"/>
          <w:lang w:val="sr-Latn-RS"/>
        </w:rPr>
        <w:t xml:space="preserve">  </w:t>
      </w:r>
      <w:r w:rsidR="00E90AF4" w:rsidRPr="0080626B">
        <w:rPr>
          <w:i/>
          <w:iCs/>
          <w:szCs w:val="22"/>
          <w:lang w:val="sr-Latn-RS"/>
        </w:rPr>
        <w:t>Tabela 2. Djeca (&lt;</w:t>
      </w:r>
      <w:r w:rsidR="00052C3E" w:rsidRPr="0080626B">
        <w:rPr>
          <w:i/>
          <w:iCs/>
          <w:szCs w:val="22"/>
          <w:lang w:val="sr-Latn-RS"/>
        </w:rPr>
        <w:t xml:space="preserve"> </w:t>
      </w:r>
      <w:r w:rsidR="00E90AF4" w:rsidRPr="0080626B">
        <w:rPr>
          <w:i/>
          <w:iCs/>
          <w:szCs w:val="22"/>
          <w:lang w:val="sr-Latn-RS"/>
        </w:rPr>
        <w:t>40 kg)</w:t>
      </w:r>
    </w:p>
    <w:p w14:paraId="5C4A8452" w14:textId="77777777" w:rsidR="00877C76" w:rsidRPr="0080626B" w:rsidRDefault="00877C76">
      <w:pPr>
        <w:widowControl w:val="0"/>
        <w:rPr>
          <w:i/>
          <w:iCs/>
          <w:szCs w:val="22"/>
          <w:lang w:val="sr-Latn-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4476"/>
      </w:tblGrid>
      <w:tr w:rsidR="00877C76" w:rsidRPr="0080626B" w14:paraId="3654BD12" w14:textId="77777777" w:rsidTr="00137084">
        <w:tc>
          <w:tcPr>
            <w:tcW w:w="4536" w:type="dxa"/>
            <w:shd w:val="clear" w:color="auto" w:fill="auto"/>
          </w:tcPr>
          <w:p w14:paraId="31C3215F" w14:textId="77777777" w:rsidR="00877C76" w:rsidRPr="0080626B" w:rsidRDefault="00E90AF4">
            <w:pPr>
              <w:widowControl w:val="0"/>
              <w:autoSpaceDE w:val="0"/>
              <w:autoSpaceDN w:val="0"/>
              <w:adjustRightInd w:val="0"/>
              <w:rPr>
                <w:color w:val="000000"/>
                <w:szCs w:val="22"/>
                <w:lang w:val="sr-Latn-RS"/>
              </w:rPr>
            </w:pPr>
            <w:r w:rsidRPr="0080626B">
              <w:rPr>
                <w:b/>
                <w:bCs/>
                <w:color w:val="000000"/>
                <w:szCs w:val="22"/>
                <w:lang w:val="sr-Latn-RS"/>
              </w:rPr>
              <w:t>Indikacija</w:t>
            </w:r>
          </w:p>
        </w:tc>
        <w:tc>
          <w:tcPr>
            <w:tcW w:w="4536" w:type="dxa"/>
            <w:shd w:val="clear" w:color="auto" w:fill="auto"/>
          </w:tcPr>
          <w:p w14:paraId="25E3FC5A" w14:textId="77777777" w:rsidR="00877C76" w:rsidRPr="0080626B" w:rsidRDefault="00E90AF4">
            <w:pPr>
              <w:widowControl w:val="0"/>
              <w:autoSpaceDE w:val="0"/>
              <w:autoSpaceDN w:val="0"/>
              <w:adjustRightInd w:val="0"/>
              <w:rPr>
                <w:color w:val="000000"/>
                <w:szCs w:val="22"/>
                <w:lang w:val="sr-Latn-RS"/>
              </w:rPr>
            </w:pPr>
            <w:r w:rsidRPr="0080626B">
              <w:rPr>
                <w:b/>
                <w:bCs/>
                <w:color w:val="000000"/>
                <w:szCs w:val="22"/>
                <w:lang w:val="sr-Latn-RS"/>
              </w:rPr>
              <w:t>Doziranje</w:t>
            </w:r>
          </w:p>
        </w:tc>
      </w:tr>
      <w:tr w:rsidR="00877C76" w:rsidRPr="0080626B" w14:paraId="68AF0AF7" w14:textId="77777777" w:rsidTr="00137084">
        <w:trPr>
          <w:trHeight w:val="272"/>
        </w:trPr>
        <w:tc>
          <w:tcPr>
            <w:tcW w:w="4536" w:type="dxa"/>
            <w:shd w:val="clear" w:color="auto" w:fill="auto"/>
          </w:tcPr>
          <w:p w14:paraId="6BE6341A" w14:textId="77777777" w:rsidR="00877C76" w:rsidRPr="0080626B" w:rsidRDefault="00E90AF4">
            <w:pPr>
              <w:autoSpaceDE w:val="0"/>
              <w:autoSpaceDN w:val="0"/>
              <w:adjustRightInd w:val="0"/>
              <w:rPr>
                <w:color w:val="000000"/>
                <w:szCs w:val="22"/>
                <w:lang w:val="sr-Latn-RS"/>
              </w:rPr>
            </w:pPr>
            <w:r w:rsidRPr="0080626B">
              <w:rPr>
                <w:color w:val="000000"/>
                <w:szCs w:val="22"/>
                <w:lang w:val="sr-Latn-RS"/>
              </w:rPr>
              <w:t>Akutni tonzilitis i faringitis, akutni bakterijski sinusitis</w:t>
            </w:r>
          </w:p>
        </w:tc>
        <w:tc>
          <w:tcPr>
            <w:tcW w:w="4536" w:type="dxa"/>
            <w:shd w:val="clear" w:color="auto" w:fill="auto"/>
          </w:tcPr>
          <w:p w14:paraId="7969BE1B"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10 mg/kg dva puta dnevno do maksimalno 125 mg dva puta dnevno</w:t>
            </w:r>
          </w:p>
        </w:tc>
      </w:tr>
      <w:tr w:rsidR="00877C76" w:rsidRPr="0080626B" w14:paraId="5C64E47D" w14:textId="77777777" w:rsidTr="00137084">
        <w:trPr>
          <w:trHeight w:val="145"/>
        </w:trPr>
        <w:tc>
          <w:tcPr>
            <w:tcW w:w="4536" w:type="dxa"/>
            <w:shd w:val="clear" w:color="auto" w:fill="auto"/>
          </w:tcPr>
          <w:p w14:paraId="1E449AFF" w14:textId="77777777" w:rsidR="00877C76" w:rsidRPr="0080626B" w:rsidRDefault="00E90AF4">
            <w:pPr>
              <w:autoSpaceDE w:val="0"/>
              <w:autoSpaceDN w:val="0"/>
              <w:adjustRightInd w:val="0"/>
              <w:rPr>
                <w:color w:val="000000"/>
                <w:szCs w:val="22"/>
                <w:lang w:val="sr-Latn-RS"/>
              </w:rPr>
            </w:pPr>
            <w:r w:rsidRPr="0080626B">
              <w:rPr>
                <w:color w:val="000000"/>
                <w:szCs w:val="22"/>
                <w:lang w:val="sr-Latn-RS"/>
              </w:rPr>
              <w:t>Djeca starosti 2 godine ili starija sa otitis media ili, gdje je primjenjivo, sa težim infekcijama</w:t>
            </w:r>
          </w:p>
        </w:tc>
        <w:tc>
          <w:tcPr>
            <w:tcW w:w="4536" w:type="dxa"/>
            <w:shd w:val="clear" w:color="auto" w:fill="auto"/>
          </w:tcPr>
          <w:p w14:paraId="48FAE661"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15 mg/kg dva puta dnevno do maksimalno 250 mg dva puta dnevno</w:t>
            </w:r>
          </w:p>
        </w:tc>
      </w:tr>
      <w:tr w:rsidR="00877C76" w:rsidRPr="0080626B" w14:paraId="79E4EEEC" w14:textId="77777777" w:rsidTr="00137084">
        <w:trPr>
          <w:trHeight w:val="145"/>
        </w:trPr>
        <w:tc>
          <w:tcPr>
            <w:tcW w:w="4536" w:type="dxa"/>
            <w:shd w:val="clear" w:color="auto" w:fill="auto"/>
          </w:tcPr>
          <w:p w14:paraId="259E73AB"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Cistitis</w:t>
            </w:r>
          </w:p>
        </w:tc>
        <w:tc>
          <w:tcPr>
            <w:tcW w:w="4536" w:type="dxa"/>
            <w:shd w:val="clear" w:color="auto" w:fill="auto"/>
          </w:tcPr>
          <w:p w14:paraId="4AC81BF2"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15 mg/kg dva puta dnevno do maksimalno 250 mg dva puta dnevno</w:t>
            </w:r>
          </w:p>
        </w:tc>
      </w:tr>
      <w:tr w:rsidR="00877C76" w:rsidRPr="0080626B" w14:paraId="1F57991F" w14:textId="77777777" w:rsidTr="00137084">
        <w:trPr>
          <w:trHeight w:val="145"/>
        </w:trPr>
        <w:tc>
          <w:tcPr>
            <w:tcW w:w="4536" w:type="dxa"/>
            <w:shd w:val="clear" w:color="auto" w:fill="auto"/>
          </w:tcPr>
          <w:p w14:paraId="5EAED608"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Pijelonefritis</w:t>
            </w:r>
          </w:p>
        </w:tc>
        <w:tc>
          <w:tcPr>
            <w:tcW w:w="4536" w:type="dxa"/>
            <w:shd w:val="clear" w:color="auto" w:fill="auto"/>
          </w:tcPr>
          <w:p w14:paraId="7455EC4F"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15 mg/kg dva puta dnevno do maksimalno 250 mg dva puta dnevno kroz 10 do 14 dana</w:t>
            </w:r>
          </w:p>
        </w:tc>
      </w:tr>
      <w:tr w:rsidR="00877C76" w:rsidRPr="0080626B" w14:paraId="345766E0" w14:textId="77777777" w:rsidTr="00137084">
        <w:trPr>
          <w:trHeight w:val="145"/>
        </w:trPr>
        <w:tc>
          <w:tcPr>
            <w:tcW w:w="4536" w:type="dxa"/>
            <w:shd w:val="clear" w:color="auto" w:fill="auto"/>
          </w:tcPr>
          <w:p w14:paraId="7E9A0F01" w14:textId="77777777" w:rsidR="00877C76" w:rsidRPr="0080626B" w:rsidRDefault="00E90AF4">
            <w:pPr>
              <w:autoSpaceDE w:val="0"/>
              <w:autoSpaceDN w:val="0"/>
              <w:adjustRightInd w:val="0"/>
              <w:rPr>
                <w:color w:val="000000"/>
                <w:szCs w:val="22"/>
                <w:lang w:val="sr-Latn-RS"/>
              </w:rPr>
            </w:pPr>
            <w:r w:rsidRPr="0080626B">
              <w:rPr>
                <w:color w:val="000000"/>
                <w:szCs w:val="22"/>
                <w:lang w:val="sr-Latn-RS"/>
              </w:rPr>
              <w:t>Nekomplikovane infekcije kože i mekih tkiva</w:t>
            </w:r>
          </w:p>
        </w:tc>
        <w:tc>
          <w:tcPr>
            <w:tcW w:w="4536" w:type="dxa"/>
            <w:shd w:val="clear" w:color="auto" w:fill="auto"/>
          </w:tcPr>
          <w:p w14:paraId="773E83E9"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15 mg/kg dva puta dnevno do maksimalno 250 mg dva puta dnevno</w:t>
            </w:r>
          </w:p>
        </w:tc>
      </w:tr>
      <w:tr w:rsidR="00877C76" w:rsidRPr="0080626B" w14:paraId="3624EDBC" w14:textId="77777777" w:rsidTr="00137084">
        <w:trPr>
          <w:trHeight w:val="271"/>
        </w:trPr>
        <w:tc>
          <w:tcPr>
            <w:tcW w:w="4536" w:type="dxa"/>
            <w:shd w:val="clear" w:color="auto" w:fill="auto"/>
          </w:tcPr>
          <w:p w14:paraId="18126224"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Lajmska bolest</w:t>
            </w:r>
          </w:p>
        </w:tc>
        <w:tc>
          <w:tcPr>
            <w:tcW w:w="4536" w:type="dxa"/>
            <w:shd w:val="clear" w:color="auto" w:fill="auto"/>
          </w:tcPr>
          <w:p w14:paraId="144BAC7D"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15 mg/kg dva puta dnevno do maksimalno 250 mg dva puta dnevno kroz 14 dana (10 do 21 dan)</w:t>
            </w:r>
          </w:p>
        </w:tc>
      </w:tr>
    </w:tbl>
    <w:p w14:paraId="41C11339" w14:textId="77777777" w:rsidR="00877C76" w:rsidRPr="0080626B" w:rsidRDefault="00877C76">
      <w:pPr>
        <w:widowControl w:val="0"/>
        <w:rPr>
          <w:iCs/>
          <w:szCs w:val="22"/>
          <w:lang w:val="sr-Latn-RS"/>
        </w:rPr>
      </w:pPr>
    </w:p>
    <w:p w14:paraId="270B47F4" w14:textId="77777777" w:rsidR="00877C76" w:rsidRPr="0080626B" w:rsidRDefault="00E90AF4">
      <w:pPr>
        <w:widowControl w:val="0"/>
        <w:jc w:val="both"/>
        <w:rPr>
          <w:color w:val="212121"/>
          <w:szCs w:val="22"/>
          <w:shd w:val="clear" w:color="auto" w:fill="FFFFFF"/>
          <w:lang w:val="sr-Latn-RS"/>
        </w:rPr>
      </w:pPr>
      <w:r w:rsidRPr="0080626B">
        <w:rPr>
          <w:color w:val="212121"/>
          <w:szCs w:val="22"/>
          <w:shd w:val="clear" w:color="auto" w:fill="FFFFFF"/>
          <w:lang w:val="sr-Latn-RS"/>
        </w:rPr>
        <w:t>Nema iskustva sa primjenom cefuroksim aksetila kod djece mlađe od 3 mjeseca.</w:t>
      </w:r>
    </w:p>
    <w:p w14:paraId="76D411BC" w14:textId="77777777" w:rsidR="00877C76" w:rsidRPr="0080626B" w:rsidRDefault="00877C76">
      <w:pPr>
        <w:widowControl w:val="0"/>
        <w:jc w:val="both"/>
        <w:rPr>
          <w:iCs/>
          <w:szCs w:val="22"/>
          <w:lang w:val="sr-Latn-RS"/>
        </w:rPr>
      </w:pPr>
    </w:p>
    <w:p w14:paraId="40B95F0B" w14:textId="42BAD6F2" w:rsidR="00877C76" w:rsidRPr="0080626B" w:rsidRDefault="00E90AF4">
      <w:pPr>
        <w:widowControl w:val="0"/>
        <w:jc w:val="both"/>
        <w:rPr>
          <w:szCs w:val="22"/>
          <w:lang w:val="sr-Latn-RS"/>
        </w:rPr>
      </w:pPr>
      <w:r w:rsidRPr="0080626B">
        <w:rPr>
          <w:szCs w:val="22"/>
          <w:lang w:val="sr-Latn-RS"/>
        </w:rPr>
        <w:t xml:space="preserve">Cefuroksim aksetil tablete i cefuroksim aksetil granule za oralnu suspenziju nijesu bioekvivalentne i nijesu zamjenjive po principu miligram-za-miligram (vidjeti </w:t>
      </w:r>
      <w:r w:rsidR="000E3EC8" w:rsidRPr="0080626B">
        <w:rPr>
          <w:szCs w:val="22"/>
          <w:lang w:val="sr-Latn-RS"/>
        </w:rPr>
        <w:t xml:space="preserve">dio </w:t>
      </w:r>
      <w:r w:rsidRPr="0080626B">
        <w:rPr>
          <w:szCs w:val="22"/>
          <w:lang w:val="sr-Latn-RS"/>
        </w:rPr>
        <w:t>5.2).</w:t>
      </w:r>
    </w:p>
    <w:p w14:paraId="22800BAE" w14:textId="77777777" w:rsidR="00877C76" w:rsidRPr="0080626B" w:rsidRDefault="00877C76">
      <w:pPr>
        <w:widowControl w:val="0"/>
        <w:jc w:val="both"/>
        <w:rPr>
          <w:iCs/>
          <w:szCs w:val="22"/>
          <w:highlight w:val="yellow"/>
          <w:u w:val="single"/>
          <w:lang w:val="sr-Latn-RS"/>
        </w:rPr>
      </w:pPr>
    </w:p>
    <w:p w14:paraId="254CCE28" w14:textId="77777777" w:rsidR="00877C76" w:rsidRPr="0080626B" w:rsidRDefault="00E90AF4">
      <w:pPr>
        <w:widowControl w:val="0"/>
        <w:jc w:val="both"/>
        <w:rPr>
          <w:i/>
          <w:iCs/>
          <w:szCs w:val="22"/>
          <w:lang w:val="sr-Latn-RS"/>
        </w:rPr>
      </w:pPr>
      <w:r w:rsidRPr="0080626B">
        <w:rPr>
          <w:i/>
          <w:iCs/>
          <w:szCs w:val="22"/>
          <w:lang w:val="sr-Latn-RS"/>
        </w:rPr>
        <w:t>Pacijenti sa oštećenjem funkcije bubrega</w:t>
      </w:r>
    </w:p>
    <w:p w14:paraId="0E8D9400" w14:textId="14D4C966" w:rsidR="00877C76" w:rsidRPr="0080626B" w:rsidRDefault="00E90AF4">
      <w:pPr>
        <w:autoSpaceDE w:val="0"/>
        <w:autoSpaceDN w:val="0"/>
        <w:adjustRightInd w:val="0"/>
        <w:jc w:val="both"/>
        <w:rPr>
          <w:color w:val="000000"/>
          <w:szCs w:val="22"/>
          <w:lang w:val="sr-Latn-RS"/>
        </w:rPr>
      </w:pPr>
      <w:r w:rsidRPr="0080626B">
        <w:rPr>
          <w:color w:val="000000"/>
          <w:szCs w:val="22"/>
          <w:lang w:val="sr-Latn-RS"/>
        </w:rPr>
        <w:t>Bezbjednost i efikasnost cefuroksim aksetila kod pacijenata sa insuficijencijom bubrega nijesu ustanovljene.</w:t>
      </w:r>
    </w:p>
    <w:p w14:paraId="687371B4" w14:textId="77777777" w:rsidR="00877C76" w:rsidRPr="0080626B" w:rsidRDefault="00E90AF4">
      <w:pPr>
        <w:widowControl w:val="0"/>
        <w:autoSpaceDE w:val="0"/>
        <w:autoSpaceDN w:val="0"/>
        <w:adjustRightInd w:val="0"/>
        <w:jc w:val="both"/>
        <w:rPr>
          <w:color w:val="000000"/>
          <w:szCs w:val="22"/>
          <w:lang w:val="sr-Latn-RS"/>
        </w:rPr>
      </w:pPr>
      <w:r w:rsidRPr="0080626B">
        <w:rPr>
          <w:color w:val="000000"/>
          <w:szCs w:val="22"/>
          <w:lang w:val="sr-Latn-RS"/>
        </w:rPr>
        <w:t>Cefuroksim aksetil se primarno izlučuje putem bubrega. Kod pacijenata sa izrazitim oštećenjem funkcije bubrega preporučuje se smanjivanje doze cefuroksima kako bi se kompenzovalo njegovo sporije izlučivanje. Cefuroksim se uspješno uklanja dijalizom.</w:t>
      </w:r>
    </w:p>
    <w:p w14:paraId="2FDDFEF4" w14:textId="77777777" w:rsidR="00877C76" w:rsidRPr="0080626B" w:rsidRDefault="00877C76">
      <w:pPr>
        <w:widowControl w:val="0"/>
        <w:autoSpaceDE w:val="0"/>
        <w:autoSpaceDN w:val="0"/>
        <w:adjustRightInd w:val="0"/>
        <w:jc w:val="both"/>
        <w:rPr>
          <w:color w:val="000000"/>
          <w:szCs w:val="22"/>
          <w:lang w:val="sr-Latn-RS"/>
        </w:rPr>
      </w:pPr>
    </w:p>
    <w:p w14:paraId="728A9414" w14:textId="77777777" w:rsidR="00877C76" w:rsidRPr="0080626B" w:rsidRDefault="00E90AF4">
      <w:pPr>
        <w:widowControl w:val="0"/>
        <w:autoSpaceDE w:val="0"/>
        <w:autoSpaceDN w:val="0"/>
        <w:adjustRightInd w:val="0"/>
        <w:jc w:val="both"/>
        <w:rPr>
          <w:i/>
          <w:iCs/>
          <w:color w:val="000000"/>
          <w:szCs w:val="22"/>
          <w:lang w:val="sr-Latn-RS"/>
        </w:rPr>
      </w:pPr>
      <w:r w:rsidRPr="0080626B">
        <w:rPr>
          <w:i/>
          <w:iCs/>
          <w:color w:val="000000"/>
          <w:szCs w:val="22"/>
          <w:lang w:val="sr-Latn-RS"/>
        </w:rPr>
        <w:t xml:space="preserve">Tabela 3. Preporučene doze lijeka </w:t>
      </w:r>
      <w:r w:rsidRPr="0080626B">
        <w:rPr>
          <w:i/>
          <w:color w:val="000000"/>
          <w:szCs w:val="22"/>
          <w:lang w:val="sr-Latn-RS"/>
        </w:rPr>
        <w:t>Furocef</w:t>
      </w:r>
      <w:r w:rsidRPr="0080626B">
        <w:rPr>
          <w:i/>
          <w:iCs/>
          <w:color w:val="000000"/>
          <w:szCs w:val="22"/>
          <w:lang w:val="sr-Latn-RS"/>
        </w:rPr>
        <w:t xml:space="preserve"> kod oštećenja funkcije bubrega</w:t>
      </w:r>
    </w:p>
    <w:p w14:paraId="495FC15F" w14:textId="77777777" w:rsidR="00877C76" w:rsidRPr="0080626B" w:rsidRDefault="00877C76">
      <w:pPr>
        <w:widowControl w:val="0"/>
        <w:autoSpaceDE w:val="0"/>
        <w:autoSpaceDN w:val="0"/>
        <w:adjustRightInd w:val="0"/>
        <w:rPr>
          <w:i/>
          <w:iCs/>
          <w:color w:val="000000"/>
          <w:szCs w:val="22"/>
          <w:lang w:val="sr-Latn-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1261"/>
        <w:gridCol w:w="5441"/>
      </w:tblGrid>
      <w:tr w:rsidR="00877C76" w:rsidRPr="0080626B" w14:paraId="43E2AD47" w14:textId="77777777" w:rsidTr="00137084">
        <w:trPr>
          <w:trHeight w:val="236"/>
        </w:trPr>
        <w:tc>
          <w:tcPr>
            <w:tcW w:w="2268" w:type="dxa"/>
            <w:shd w:val="clear" w:color="auto" w:fill="auto"/>
          </w:tcPr>
          <w:p w14:paraId="798A27F5" w14:textId="77777777" w:rsidR="00877C76" w:rsidRPr="0080626B" w:rsidRDefault="00E90AF4">
            <w:pPr>
              <w:widowControl w:val="0"/>
              <w:autoSpaceDE w:val="0"/>
              <w:autoSpaceDN w:val="0"/>
              <w:adjustRightInd w:val="0"/>
              <w:jc w:val="center"/>
              <w:rPr>
                <w:color w:val="000000"/>
                <w:szCs w:val="22"/>
                <w:lang w:val="sr-Latn-RS"/>
              </w:rPr>
            </w:pPr>
            <w:r w:rsidRPr="0080626B">
              <w:rPr>
                <w:b/>
                <w:bCs/>
                <w:color w:val="000000"/>
                <w:szCs w:val="22"/>
                <w:lang w:val="sr-Latn-RS"/>
              </w:rPr>
              <w:t>Klirens kreatinina</w:t>
            </w:r>
          </w:p>
        </w:tc>
        <w:tc>
          <w:tcPr>
            <w:tcW w:w="1276" w:type="dxa"/>
            <w:shd w:val="clear" w:color="auto" w:fill="auto"/>
          </w:tcPr>
          <w:p w14:paraId="442BE906" w14:textId="77777777" w:rsidR="00877C76" w:rsidRPr="0080626B" w:rsidRDefault="00E90AF4">
            <w:pPr>
              <w:widowControl w:val="0"/>
              <w:autoSpaceDE w:val="0"/>
              <w:autoSpaceDN w:val="0"/>
              <w:adjustRightInd w:val="0"/>
              <w:jc w:val="center"/>
              <w:rPr>
                <w:b/>
                <w:bCs/>
                <w:color w:val="000000"/>
                <w:szCs w:val="22"/>
                <w:lang w:val="sr-Latn-RS"/>
              </w:rPr>
            </w:pPr>
            <w:r w:rsidRPr="0080626B">
              <w:rPr>
                <w:b/>
                <w:bCs/>
                <w:color w:val="000000"/>
                <w:szCs w:val="22"/>
                <w:lang w:val="sr-Latn-RS"/>
              </w:rPr>
              <w:t>T</w:t>
            </w:r>
            <w:r w:rsidRPr="0080626B">
              <w:rPr>
                <w:b/>
                <w:bCs/>
                <w:color w:val="000000"/>
                <w:szCs w:val="22"/>
                <w:vertAlign w:val="subscript"/>
                <w:lang w:val="sr-Latn-RS"/>
              </w:rPr>
              <w:t>1/2</w:t>
            </w:r>
            <w:r w:rsidRPr="0080626B">
              <w:rPr>
                <w:b/>
                <w:bCs/>
                <w:color w:val="000000"/>
                <w:szCs w:val="22"/>
                <w:lang w:val="sr-Latn-RS"/>
              </w:rPr>
              <w:t xml:space="preserve"> (sati)</w:t>
            </w:r>
          </w:p>
        </w:tc>
        <w:tc>
          <w:tcPr>
            <w:tcW w:w="5544" w:type="dxa"/>
            <w:shd w:val="clear" w:color="auto" w:fill="auto"/>
          </w:tcPr>
          <w:p w14:paraId="6397714E" w14:textId="77777777" w:rsidR="00877C76" w:rsidRPr="0080626B" w:rsidRDefault="00E90AF4">
            <w:pPr>
              <w:widowControl w:val="0"/>
              <w:autoSpaceDE w:val="0"/>
              <w:autoSpaceDN w:val="0"/>
              <w:adjustRightInd w:val="0"/>
              <w:jc w:val="center"/>
              <w:rPr>
                <w:color w:val="000000"/>
                <w:szCs w:val="22"/>
                <w:lang w:val="sr-Latn-RS"/>
              </w:rPr>
            </w:pPr>
            <w:r w:rsidRPr="0080626B">
              <w:rPr>
                <w:b/>
                <w:bCs/>
                <w:color w:val="000000"/>
                <w:szCs w:val="22"/>
                <w:lang w:val="sr-Latn-RS"/>
              </w:rPr>
              <w:t>Preporučeno doziranje</w:t>
            </w:r>
          </w:p>
        </w:tc>
      </w:tr>
      <w:tr w:rsidR="00877C76" w:rsidRPr="0080626B" w14:paraId="0E9D034B" w14:textId="77777777" w:rsidTr="00137084">
        <w:tc>
          <w:tcPr>
            <w:tcW w:w="2268" w:type="dxa"/>
            <w:shd w:val="clear" w:color="auto" w:fill="auto"/>
          </w:tcPr>
          <w:p w14:paraId="6A1E64DE" w14:textId="6311CCA4"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w:t>
            </w:r>
            <w:r w:rsidR="00052C3E" w:rsidRPr="0080626B">
              <w:rPr>
                <w:color w:val="000000"/>
                <w:szCs w:val="22"/>
                <w:lang w:val="sr-Latn-RS"/>
              </w:rPr>
              <w:t xml:space="preserve"> </w:t>
            </w:r>
            <w:r w:rsidRPr="0080626B">
              <w:rPr>
                <w:color w:val="000000"/>
                <w:szCs w:val="22"/>
                <w:lang w:val="sr-Latn-RS"/>
              </w:rPr>
              <w:t>30 ml/min/1,73 m</w:t>
            </w:r>
            <w:r w:rsidRPr="0080626B">
              <w:rPr>
                <w:color w:val="000000"/>
                <w:szCs w:val="22"/>
                <w:vertAlign w:val="superscript"/>
                <w:lang w:val="sr-Latn-RS"/>
              </w:rPr>
              <w:t>2</w:t>
            </w:r>
            <w:r w:rsidRPr="0080626B">
              <w:rPr>
                <w:color w:val="000000"/>
                <w:position w:val="8"/>
                <w:szCs w:val="22"/>
                <w:vertAlign w:val="superscript"/>
                <w:lang w:val="sr-Latn-RS"/>
              </w:rPr>
              <w:t xml:space="preserve"> </w:t>
            </w:r>
          </w:p>
        </w:tc>
        <w:tc>
          <w:tcPr>
            <w:tcW w:w="1276" w:type="dxa"/>
            <w:shd w:val="clear" w:color="auto" w:fill="auto"/>
          </w:tcPr>
          <w:p w14:paraId="2B107DF4"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 xml:space="preserve">1,4–2,4 </w:t>
            </w:r>
          </w:p>
        </w:tc>
        <w:tc>
          <w:tcPr>
            <w:tcW w:w="5544" w:type="dxa"/>
            <w:shd w:val="clear" w:color="auto" w:fill="auto"/>
          </w:tcPr>
          <w:p w14:paraId="32BCC34C" w14:textId="6828A2BC" w:rsidR="00877C76" w:rsidRPr="0080626B" w:rsidRDefault="00E90AF4">
            <w:pPr>
              <w:autoSpaceDE w:val="0"/>
              <w:autoSpaceDN w:val="0"/>
              <w:adjustRightInd w:val="0"/>
              <w:rPr>
                <w:color w:val="000000"/>
                <w:szCs w:val="22"/>
                <w:lang w:val="sr-Latn-RS"/>
              </w:rPr>
            </w:pPr>
            <w:r w:rsidRPr="0080626B">
              <w:rPr>
                <w:color w:val="000000"/>
                <w:szCs w:val="22"/>
                <w:lang w:val="sr-Latn-RS"/>
              </w:rPr>
              <w:t>nije potrebno prilagođavanje doze (standardna doza od 125 mg do 500 mg dva put</w:t>
            </w:r>
            <w:r w:rsidR="000E3EC8" w:rsidRPr="0080626B">
              <w:rPr>
                <w:color w:val="000000"/>
                <w:szCs w:val="22"/>
                <w:lang w:val="sr-Latn-RS"/>
              </w:rPr>
              <w:t>a</w:t>
            </w:r>
            <w:r w:rsidRPr="0080626B">
              <w:rPr>
                <w:color w:val="000000"/>
                <w:szCs w:val="22"/>
                <w:lang w:val="sr-Latn-RS"/>
              </w:rPr>
              <w:t xml:space="preserve"> dnevno)</w:t>
            </w:r>
          </w:p>
        </w:tc>
      </w:tr>
      <w:tr w:rsidR="00877C76" w:rsidRPr="0080626B" w14:paraId="63CB9E15" w14:textId="77777777" w:rsidTr="00137084">
        <w:tc>
          <w:tcPr>
            <w:tcW w:w="2268" w:type="dxa"/>
            <w:shd w:val="clear" w:color="auto" w:fill="auto"/>
          </w:tcPr>
          <w:p w14:paraId="38940F11"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10-29 ml/min/1,73 m</w:t>
            </w:r>
            <w:r w:rsidRPr="0080626B">
              <w:rPr>
                <w:color w:val="000000"/>
                <w:szCs w:val="22"/>
                <w:vertAlign w:val="superscript"/>
                <w:lang w:val="sr-Latn-RS"/>
              </w:rPr>
              <w:t>2</w:t>
            </w:r>
            <w:r w:rsidRPr="0080626B">
              <w:rPr>
                <w:color w:val="000000"/>
                <w:position w:val="8"/>
                <w:szCs w:val="22"/>
                <w:vertAlign w:val="superscript"/>
                <w:lang w:val="sr-Latn-RS"/>
              </w:rPr>
              <w:t xml:space="preserve"> </w:t>
            </w:r>
          </w:p>
        </w:tc>
        <w:tc>
          <w:tcPr>
            <w:tcW w:w="1276" w:type="dxa"/>
            <w:shd w:val="clear" w:color="auto" w:fill="auto"/>
          </w:tcPr>
          <w:p w14:paraId="2312C935"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 xml:space="preserve">4,6 </w:t>
            </w:r>
          </w:p>
        </w:tc>
        <w:tc>
          <w:tcPr>
            <w:tcW w:w="5544" w:type="dxa"/>
            <w:shd w:val="clear" w:color="auto" w:fill="auto"/>
          </w:tcPr>
          <w:p w14:paraId="22BDBB6A"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 xml:space="preserve">standardna individualna doza svakih 24 sata </w:t>
            </w:r>
          </w:p>
        </w:tc>
      </w:tr>
      <w:tr w:rsidR="00877C76" w:rsidRPr="0080626B" w14:paraId="65F7190B" w14:textId="77777777" w:rsidTr="00137084">
        <w:tc>
          <w:tcPr>
            <w:tcW w:w="2268" w:type="dxa"/>
            <w:shd w:val="clear" w:color="auto" w:fill="auto"/>
          </w:tcPr>
          <w:p w14:paraId="157C7DE6" w14:textId="06DAB009"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&lt;</w:t>
            </w:r>
            <w:r w:rsidR="00052C3E" w:rsidRPr="0080626B">
              <w:rPr>
                <w:color w:val="000000"/>
                <w:szCs w:val="22"/>
                <w:lang w:val="sr-Latn-RS"/>
              </w:rPr>
              <w:t xml:space="preserve"> </w:t>
            </w:r>
            <w:r w:rsidRPr="0080626B">
              <w:rPr>
                <w:color w:val="000000"/>
                <w:szCs w:val="22"/>
                <w:lang w:val="sr-Latn-RS"/>
              </w:rPr>
              <w:t>10 ml/min/1,73 m</w:t>
            </w:r>
            <w:r w:rsidRPr="0080626B">
              <w:rPr>
                <w:color w:val="000000"/>
                <w:szCs w:val="22"/>
                <w:vertAlign w:val="superscript"/>
                <w:lang w:val="sr-Latn-RS"/>
              </w:rPr>
              <w:t>2</w:t>
            </w:r>
            <w:r w:rsidRPr="0080626B">
              <w:rPr>
                <w:color w:val="000000"/>
                <w:position w:val="8"/>
                <w:szCs w:val="22"/>
                <w:vertAlign w:val="superscript"/>
                <w:lang w:val="sr-Latn-RS"/>
              </w:rPr>
              <w:t xml:space="preserve"> </w:t>
            </w:r>
          </w:p>
        </w:tc>
        <w:tc>
          <w:tcPr>
            <w:tcW w:w="1276" w:type="dxa"/>
            <w:shd w:val="clear" w:color="auto" w:fill="auto"/>
          </w:tcPr>
          <w:p w14:paraId="63F6941A"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16,8</w:t>
            </w:r>
          </w:p>
        </w:tc>
        <w:tc>
          <w:tcPr>
            <w:tcW w:w="5544" w:type="dxa"/>
            <w:shd w:val="clear" w:color="auto" w:fill="auto"/>
          </w:tcPr>
          <w:p w14:paraId="059CA874"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standardna individualna doza svakih 48 sati</w:t>
            </w:r>
          </w:p>
        </w:tc>
      </w:tr>
      <w:tr w:rsidR="00877C76" w:rsidRPr="0080626B" w14:paraId="0A6ABD2F" w14:textId="77777777" w:rsidTr="00137084">
        <w:trPr>
          <w:trHeight w:val="274"/>
        </w:trPr>
        <w:tc>
          <w:tcPr>
            <w:tcW w:w="2268" w:type="dxa"/>
            <w:shd w:val="clear" w:color="auto" w:fill="auto"/>
          </w:tcPr>
          <w:p w14:paraId="5388AFF5"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za vrijeme hemodijalize</w:t>
            </w:r>
          </w:p>
        </w:tc>
        <w:tc>
          <w:tcPr>
            <w:tcW w:w="1276" w:type="dxa"/>
            <w:shd w:val="clear" w:color="auto" w:fill="auto"/>
          </w:tcPr>
          <w:p w14:paraId="3DD33899"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2–4</w:t>
            </w:r>
          </w:p>
        </w:tc>
        <w:tc>
          <w:tcPr>
            <w:tcW w:w="5544" w:type="dxa"/>
            <w:shd w:val="clear" w:color="auto" w:fill="auto"/>
          </w:tcPr>
          <w:p w14:paraId="6B2F2351" w14:textId="77777777" w:rsidR="00877C76" w:rsidRPr="0080626B" w:rsidRDefault="00E90AF4">
            <w:pPr>
              <w:autoSpaceDE w:val="0"/>
              <w:autoSpaceDN w:val="0"/>
              <w:adjustRightInd w:val="0"/>
              <w:rPr>
                <w:color w:val="000000"/>
                <w:szCs w:val="22"/>
                <w:lang w:val="sr-Latn-RS"/>
              </w:rPr>
            </w:pPr>
            <w:r w:rsidRPr="0080626B">
              <w:rPr>
                <w:color w:val="000000"/>
                <w:szCs w:val="22"/>
                <w:lang w:val="sr-Latn-RS"/>
              </w:rPr>
              <w:t>potrebno je dati dodatnu, standardnu, individualnu dozu na kraju svake dijalize</w:t>
            </w:r>
          </w:p>
        </w:tc>
      </w:tr>
    </w:tbl>
    <w:p w14:paraId="602F42FE" w14:textId="77777777" w:rsidR="00877C76" w:rsidRPr="0080626B" w:rsidRDefault="00E90AF4">
      <w:pPr>
        <w:autoSpaceDE w:val="0"/>
        <w:autoSpaceDN w:val="0"/>
        <w:adjustRightInd w:val="0"/>
        <w:jc w:val="both"/>
        <w:rPr>
          <w:color w:val="000000"/>
          <w:szCs w:val="22"/>
          <w:lang w:val="sr-Latn-RS"/>
        </w:rPr>
      </w:pPr>
      <w:r w:rsidRPr="0080626B">
        <w:rPr>
          <w:i/>
          <w:iCs/>
          <w:color w:val="000000"/>
          <w:szCs w:val="22"/>
          <w:lang w:val="sr-Latn-RS"/>
        </w:rPr>
        <w:lastRenderedPageBreak/>
        <w:t>Pacijenti sa oštećenjem funkcije jetre</w:t>
      </w:r>
    </w:p>
    <w:p w14:paraId="1029FCD8" w14:textId="632BB971" w:rsidR="00877C76" w:rsidRPr="0080626B" w:rsidRDefault="00E90AF4">
      <w:pPr>
        <w:widowControl w:val="0"/>
        <w:autoSpaceDE w:val="0"/>
        <w:autoSpaceDN w:val="0"/>
        <w:adjustRightInd w:val="0"/>
        <w:jc w:val="both"/>
        <w:rPr>
          <w:color w:val="000000"/>
          <w:szCs w:val="22"/>
          <w:lang w:val="sr-Latn-RS"/>
        </w:rPr>
      </w:pPr>
      <w:r w:rsidRPr="0080626B">
        <w:rPr>
          <w:color w:val="000000"/>
          <w:szCs w:val="22"/>
          <w:lang w:val="sr-Latn-RS"/>
        </w:rPr>
        <w:t xml:space="preserve">Ne postoje dostupni podaci o primjeni cefuroksim aksetila kod pacijenata sa oštećenjem </w:t>
      </w:r>
      <w:r w:rsidR="000E3EC8" w:rsidRPr="0080626B">
        <w:rPr>
          <w:color w:val="000000"/>
          <w:szCs w:val="22"/>
          <w:lang w:val="sr-Latn-RS"/>
        </w:rPr>
        <w:t xml:space="preserve">funkcije </w:t>
      </w:r>
      <w:r w:rsidRPr="0080626B">
        <w:rPr>
          <w:color w:val="000000"/>
          <w:szCs w:val="22"/>
          <w:lang w:val="sr-Latn-RS"/>
        </w:rPr>
        <w:t xml:space="preserve">jetre. S obzirom </w:t>
      </w:r>
      <w:r w:rsidR="000E3EC8" w:rsidRPr="0080626B">
        <w:rPr>
          <w:color w:val="000000"/>
          <w:szCs w:val="22"/>
          <w:lang w:val="sr-Latn-RS"/>
        </w:rPr>
        <w:t xml:space="preserve">na to </w:t>
      </w:r>
      <w:r w:rsidRPr="0080626B">
        <w:rPr>
          <w:color w:val="000000"/>
          <w:szCs w:val="22"/>
          <w:lang w:val="sr-Latn-RS"/>
        </w:rPr>
        <w:t>da se cefuroksim primarno eliminiše putem bubrega, očekuje se da poremećaj funkcije jetre nema uticaja na farmakokinetiku cefuroksima.</w:t>
      </w:r>
    </w:p>
    <w:p w14:paraId="35D59388" w14:textId="77777777" w:rsidR="00877C76" w:rsidRPr="0080626B" w:rsidRDefault="00877C76">
      <w:pPr>
        <w:widowControl w:val="0"/>
        <w:autoSpaceDE w:val="0"/>
        <w:autoSpaceDN w:val="0"/>
        <w:adjustRightInd w:val="0"/>
        <w:jc w:val="both"/>
        <w:rPr>
          <w:i/>
          <w:iCs/>
          <w:color w:val="000000"/>
          <w:szCs w:val="22"/>
          <w:lang w:val="sr-Latn-RS"/>
        </w:rPr>
      </w:pPr>
    </w:p>
    <w:p w14:paraId="5D899090" w14:textId="77777777" w:rsidR="00877C76" w:rsidRPr="0080626B" w:rsidRDefault="00E90AF4">
      <w:pPr>
        <w:autoSpaceDE w:val="0"/>
        <w:autoSpaceDN w:val="0"/>
        <w:adjustRightInd w:val="0"/>
        <w:jc w:val="both"/>
        <w:rPr>
          <w:color w:val="000000"/>
          <w:szCs w:val="22"/>
          <w:u w:val="single"/>
          <w:lang w:val="sr-Latn-RS"/>
        </w:rPr>
      </w:pPr>
      <w:r w:rsidRPr="0080626B">
        <w:rPr>
          <w:color w:val="000000"/>
          <w:szCs w:val="22"/>
          <w:u w:val="single"/>
          <w:lang w:val="sr-Latn-RS"/>
        </w:rPr>
        <w:t>Način primjene</w:t>
      </w:r>
    </w:p>
    <w:p w14:paraId="017BBB15" w14:textId="77777777" w:rsidR="00877C76" w:rsidRPr="0080626B" w:rsidRDefault="00E90AF4">
      <w:pPr>
        <w:widowControl w:val="0"/>
        <w:autoSpaceDE w:val="0"/>
        <w:autoSpaceDN w:val="0"/>
        <w:adjustRightInd w:val="0"/>
        <w:jc w:val="both"/>
        <w:rPr>
          <w:color w:val="000000"/>
          <w:szCs w:val="22"/>
          <w:lang w:val="sr-Latn-RS"/>
        </w:rPr>
      </w:pPr>
      <w:r w:rsidRPr="0080626B">
        <w:rPr>
          <w:color w:val="000000"/>
          <w:szCs w:val="22"/>
          <w:lang w:val="sr-Latn-RS"/>
        </w:rPr>
        <w:t>Za oralnu upotrebu.</w:t>
      </w:r>
    </w:p>
    <w:p w14:paraId="02C4D525" w14:textId="77777777" w:rsidR="00877C76" w:rsidRPr="0080626B" w:rsidRDefault="00877C76">
      <w:pPr>
        <w:widowControl w:val="0"/>
        <w:autoSpaceDE w:val="0"/>
        <w:autoSpaceDN w:val="0"/>
        <w:adjustRightInd w:val="0"/>
        <w:jc w:val="both"/>
        <w:rPr>
          <w:color w:val="000000"/>
          <w:szCs w:val="22"/>
          <w:lang w:val="sr-Latn-RS"/>
        </w:rPr>
      </w:pPr>
    </w:p>
    <w:p w14:paraId="5431AEFA" w14:textId="77777777" w:rsidR="00877C76" w:rsidRPr="0080626B" w:rsidRDefault="00E90AF4">
      <w:pPr>
        <w:widowControl w:val="0"/>
        <w:autoSpaceDE w:val="0"/>
        <w:autoSpaceDN w:val="0"/>
        <w:adjustRightInd w:val="0"/>
        <w:jc w:val="both"/>
        <w:rPr>
          <w:color w:val="000000"/>
          <w:szCs w:val="22"/>
          <w:lang w:val="sr-Latn-RS"/>
        </w:rPr>
      </w:pPr>
      <w:r w:rsidRPr="0080626B">
        <w:rPr>
          <w:color w:val="000000"/>
          <w:szCs w:val="22"/>
          <w:lang w:val="sr-Latn-RS"/>
        </w:rPr>
        <w:t>Lijek Furocef film tablete treba uzeti nakon obroka zbog optimalne resorpcije.</w:t>
      </w:r>
    </w:p>
    <w:p w14:paraId="11129D8D" w14:textId="77777777" w:rsidR="00877C76" w:rsidRPr="0080626B" w:rsidRDefault="00877C76">
      <w:pPr>
        <w:widowControl w:val="0"/>
        <w:autoSpaceDE w:val="0"/>
        <w:autoSpaceDN w:val="0"/>
        <w:adjustRightInd w:val="0"/>
        <w:jc w:val="both"/>
        <w:rPr>
          <w:color w:val="000000"/>
          <w:szCs w:val="22"/>
          <w:lang w:val="sr-Latn-RS"/>
        </w:rPr>
      </w:pPr>
    </w:p>
    <w:p w14:paraId="1232E498" w14:textId="423F0C78" w:rsidR="00877C76" w:rsidRPr="0080626B" w:rsidRDefault="00E90AF4" w:rsidP="00137084">
      <w:pPr>
        <w:widowControl w:val="0"/>
        <w:autoSpaceDE w:val="0"/>
        <w:autoSpaceDN w:val="0"/>
        <w:adjustRightInd w:val="0"/>
        <w:jc w:val="both"/>
        <w:rPr>
          <w:color w:val="000000"/>
          <w:szCs w:val="22"/>
          <w:lang w:val="sr-Latn-RS"/>
        </w:rPr>
      </w:pPr>
      <w:r w:rsidRPr="0080626B">
        <w:rPr>
          <w:color w:val="000000"/>
          <w:szCs w:val="22"/>
          <w:lang w:val="sr-Latn-RS"/>
        </w:rPr>
        <w:t>Furocef film tablete se ne smiju drobiti (lomiti) i zbog toga nijesu prikladne za liječenje pacijenata koji ne mogu progutati tablete. Za djecu se može koristiti oralna suspenzija cefuroksima.</w:t>
      </w:r>
    </w:p>
    <w:p w14:paraId="457861CD" w14:textId="77777777" w:rsidR="00877C76" w:rsidRPr="0080626B" w:rsidRDefault="00877C76">
      <w:pPr>
        <w:widowControl w:val="0"/>
        <w:jc w:val="both"/>
        <w:rPr>
          <w:szCs w:val="22"/>
          <w:lang w:val="sr-Latn-RS"/>
        </w:rPr>
      </w:pPr>
    </w:p>
    <w:p w14:paraId="364CD35C" w14:textId="77777777" w:rsidR="00877C76" w:rsidRPr="0080626B" w:rsidRDefault="00E90AF4">
      <w:pPr>
        <w:widowControl w:val="0"/>
        <w:ind w:left="567" w:hanging="567"/>
        <w:jc w:val="both"/>
        <w:rPr>
          <w:szCs w:val="22"/>
          <w:lang w:val="sr-Latn-RS"/>
        </w:rPr>
      </w:pPr>
      <w:r w:rsidRPr="0080626B">
        <w:rPr>
          <w:b/>
          <w:szCs w:val="22"/>
          <w:lang w:val="sr-Latn-RS"/>
        </w:rPr>
        <w:t>4.3</w:t>
      </w:r>
      <w:r w:rsidRPr="0080626B">
        <w:rPr>
          <w:b/>
          <w:szCs w:val="22"/>
          <w:lang w:val="sr-Latn-RS"/>
        </w:rPr>
        <w:tab/>
        <w:t>Kontraindikacije</w:t>
      </w:r>
    </w:p>
    <w:p w14:paraId="3C553AC0" w14:textId="77777777" w:rsidR="00877C76" w:rsidRPr="0080626B" w:rsidRDefault="00877C76">
      <w:pPr>
        <w:widowControl w:val="0"/>
        <w:jc w:val="both"/>
        <w:rPr>
          <w:szCs w:val="22"/>
          <w:lang w:val="sr-Latn-RS"/>
        </w:rPr>
      </w:pPr>
    </w:p>
    <w:p w14:paraId="2CBBB8C9" w14:textId="77777777" w:rsidR="00877C76" w:rsidRPr="0080626B" w:rsidRDefault="00E90AF4">
      <w:pPr>
        <w:widowControl w:val="0"/>
        <w:jc w:val="both"/>
        <w:rPr>
          <w:color w:val="000000"/>
          <w:szCs w:val="22"/>
          <w:lang w:val="sr-Latn-RS"/>
        </w:rPr>
      </w:pPr>
      <w:r w:rsidRPr="0080626B">
        <w:rPr>
          <w:color w:val="000000"/>
          <w:szCs w:val="22"/>
          <w:lang w:val="sr-Latn-RS"/>
        </w:rPr>
        <w:t>Preosjetljivost na cefuroksim ili na bilo koju pomoćnu supstancu lijeka, navedenu u dijelu 6.1.</w:t>
      </w:r>
    </w:p>
    <w:p w14:paraId="38ACB31D" w14:textId="77777777" w:rsidR="00877C76" w:rsidRPr="0080626B" w:rsidRDefault="00877C76">
      <w:pPr>
        <w:widowControl w:val="0"/>
        <w:jc w:val="both"/>
        <w:rPr>
          <w:color w:val="000000"/>
          <w:szCs w:val="22"/>
          <w:lang w:val="sr-Latn-RS"/>
        </w:rPr>
      </w:pPr>
    </w:p>
    <w:p w14:paraId="54602CEF" w14:textId="77777777" w:rsidR="00877C76" w:rsidRPr="0080626B" w:rsidRDefault="00E90AF4">
      <w:pPr>
        <w:widowControl w:val="0"/>
        <w:jc w:val="both"/>
        <w:rPr>
          <w:color w:val="000000"/>
          <w:szCs w:val="22"/>
          <w:lang w:val="sr-Latn-RS"/>
        </w:rPr>
      </w:pPr>
      <w:r w:rsidRPr="0080626B">
        <w:rPr>
          <w:color w:val="000000"/>
          <w:szCs w:val="22"/>
          <w:lang w:val="sr-Latn-RS"/>
        </w:rPr>
        <w:t>Pacijenti kod kojih je utvrđena preosjetljivost na cefalosporinske antibiotike.</w:t>
      </w:r>
    </w:p>
    <w:p w14:paraId="08A8BF05" w14:textId="77777777" w:rsidR="00877C76" w:rsidRPr="0080626B" w:rsidRDefault="00877C76">
      <w:pPr>
        <w:widowControl w:val="0"/>
        <w:jc w:val="both"/>
        <w:rPr>
          <w:color w:val="000000"/>
          <w:szCs w:val="22"/>
          <w:lang w:val="sr-Latn-RS"/>
        </w:rPr>
      </w:pPr>
    </w:p>
    <w:p w14:paraId="4CB4CF66" w14:textId="77777777" w:rsidR="00877C76" w:rsidRPr="0080626B" w:rsidRDefault="00E90AF4">
      <w:pPr>
        <w:widowControl w:val="0"/>
        <w:jc w:val="both"/>
        <w:rPr>
          <w:color w:val="000000"/>
          <w:szCs w:val="22"/>
          <w:lang w:val="sr-Latn-RS"/>
        </w:rPr>
      </w:pPr>
      <w:r w:rsidRPr="0080626B">
        <w:rPr>
          <w:color w:val="000000"/>
          <w:szCs w:val="22"/>
          <w:lang w:val="sr-Latn-RS"/>
        </w:rPr>
        <w:t>Anamneza teške preosjetljivosti (npr. anafilaktička reakcija) na bilo koji oblik beta-laktamskih antibiotika (penicilini, monobaktami i karbapenemi).</w:t>
      </w:r>
    </w:p>
    <w:p w14:paraId="4F8558D1" w14:textId="77777777" w:rsidR="00877C76" w:rsidRPr="0080626B" w:rsidRDefault="00877C76">
      <w:pPr>
        <w:widowControl w:val="0"/>
        <w:jc w:val="both"/>
        <w:rPr>
          <w:szCs w:val="22"/>
          <w:lang w:val="sr-Latn-RS"/>
        </w:rPr>
      </w:pPr>
    </w:p>
    <w:p w14:paraId="49AD1ED2" w14:textId="77777777" w:rsidR="00877C76" w:rsidRPr="0080626B" w:rsidRDefault="00E90AF4">
      <w:pPr>
        <w:widowControl w:val="0"/>
        <w:ind w:left="567" w:hanging="567"/>
        <w:jc w:val="both"/>
        <w:rPr>
          <w:b/>
          <w:szCs w:val="22"/>
          <w:lang w:val="sr-Latn-RS"/>
        </w:rPr>
      </w:pPr>
      <w:r w:rsidRPr="0080626B">
        <w:rPr>
          <w:b/>
          <w:szCs w:val="22"/>
          <w:lang w:val="sr-Latn-RS"/>
        </w:rPr>
        <w:t>4.4</w:t>
      </w:r>
      <w:r w:rsidRPr="0080626B">
        <w:rPr>
          <w:b/>
          <w:szCs w:val="22"/>
          <w:lang w:val="sr-Latn-RS"/>
        </w:rPr>
        <w:tab/>
        <w:t>Posebna upozorenja i mjere opreza pri upotrebi lijeka</w:t>
      </w:r>
    </w:p>
    <w:p w14:paraId="1184306A" w14:textId="77777777" w:rsidR="00877C76" w:rsidRPr="0080626B" w:rsidRDefault="00877C76">
      <w:pPr>
        <w:widowControl w:val="0"/>
        <w:jc w:val="both"/>
        <w:rPr>
          <w:szCs w:val="22"/>
          <w:u w:val="single"/>
          <w:lang w:val="sr-Latn-RS"/>
        </w:rPr>
      </w:pPr>
    </w:p>
    <w:p w14:paraId="174208FC" w14:textId="77777777" w:rsidR="00877C76" w:rsidRPr="0080626B" w:rsidRDefault="00E90AF4">
      <w:pPr>
        <w:widowControl w:val="0"/>
        <w:jc w:val="both"/>
        <w:rPr>
          <w:szCs w:val="22"/>
          <w:u w:val="single"/>
          <w:lang w:val="sr-Latn-RS"/>
        </w:rPr>
      </w:pPr>
      <w:r w:rsidRPr="0080626B">
        <w:rPr>
          <w:szCs w:val="22"/>
          <w:u w:val="single"/>
          <w:lang w:val="sr-Latn-RS"/>
        </w:rPr>
        <w:t>Reakcije preosjetljivosti</w:t>
      </w:r>
    </w:p>
    <w:p w14:paraId="5B5F610B" w14:textId="77777777" w:rsidR="00877C76" w:rsidRPr="0080626B" w:rsidRDefault="00E90AF4">
      <w:pPr>
        <w:jc w:val="both"/>
        <w:rPr>
          <w:szCs w:val="22"/>
          <w:lang w:val="sr-Latn-RS"/>
        </w:rPr>
      </w:pPr>
      <w:r w:rsidRPr="0080626B">
        <w:rPr>
          <w:szCs w:val="22"/>
          <w:lang w:val="sr-Latn-RS"/>
        </w:rPr>
        <w:t>Zbog rizika od ukrštene osjetljivosti, potreban je poseban oprez kod pacijenata koji su imali alergijske reakcije na penicilinske ili druge beta-laktamske antibiotike. Kao i kod drugih beta-laktamskih antibiotika, zabilježene su ozbiljne i ponekad fatalne reakcije preosjetljivosti. Prijavljene su reakcije preosjetljivosti koje su uznapredovale do Kounisovog sindroma (akutnog alergijskog spazma koronarnih arterija koji može uzrokovati infarkt miokarda, vidjeti dio 4.8). U slučaju pojave ozbiljnih reakcija preosjetljivosti, terapija cefuroksimom mora biti odmah prekinuta, i moraju se preduzeti odgovarajuće hitne medicinske mjere.</w:t>
      </w:r>
    </w:p>
    <w:p w14:paraId="751AD75B" w14:textId="77777777" w:rsidR="00877C76" w:rsidRPr="0080626B" w:rsidRDefault="00877C76">
      <w:pPr>
        <w:jc w:val="both"/>
        <w:rPr>
          <w:szCs w:val="22"/>
          <w:lang w:val="sr-Latn-RS"/>
        </w:rPr>
      </w:pPr>
    </w:p>
    <w:p w14:paraId="21C4C1A3" w14:textId="77777777" w:rsidR="00877C76" w:rsidRPr="0080626B" w:rsidRDefault="00E90AF4">
      <w:pPr>
        <w:jc w:val="both"/>
        <w:rPr>
          <w:szCs w:val="22"/>
          <w:lang w:val="sr-Latn-RS"/>
        </w:rPr>
      </w:pPr>
      <w:r w:rsidRPr="0080626B">
        <w:rPr>
          <w:szCs w:val="22"/>
          <w:lang w:val="sr-Latn-RS"/>
        </w:rPr>
        <w:t>Prije početka terapije, potrebno je utvrditi da li je pacijent imao ranije zabilježene teške oblike reakcija preosjetljivosti na cefuroksim, na druge cefalosporine ili na bilo koji beta-laktamski antibiotik. Potreban je oprez ukoliko se cefuroksim propisuje pacijentima koji su imali reakciju preosjetljivosti na beta-laktamske antibiotike, a koja nije bila ispoljena u teškom stepenu.</w:t>
      </w:r>
    </w:p>
    <w:p w14:paraId="14453C32" w14:textId="77777777" w:rsidR="00877C76" w:rsidRPr="0080626B" w:rsidRDefault="00877C76">
      <w:pPr>
        <w:jc w:val="both"/>
        <w:rPr>
          <w:szCs w:val="22"/>
          <w:lang w:val="sr-Latn-RS"/>
        </w:rPr>
      </w:pPr>
    </w:p>
    <w:p w14:paraId="3F23038F" w14:textId="77777777" w:rsidR="00877C76" w:rsidRPr="0080626B" w:rsidRDefault="00E90AF4">
      <w:pPr>
        <w:jc w:val="both"/>
        <w:rPr>
          <w:szCs w:val="22"/>
          <w:u w:val="single"/>
          <w:lang w:val="sr-Latn-RS"/>
        </w:rPr>
      </w:pPr>
      <w:r w:rsidRPr="0080626B">
        <w:rPr>
          <w:szCs w:val="22"/>
          <w:u w:val="single"/>
          <w:lang w:val="sr-Latn-RS"/>
        </w:rPr>
        <w:t>Ozbiljne kožne neželjene reakcije (SCARS)</w:t>
      </w:r>
    </w:p>
    <w:p w14:paraId="3D4C6409" w14:textId="43A02177" w:rsidR="00877C76" w:rsidRPr="0080626B" w:rsidRDefault="00E90AF4">
      <w:pPr>
        <w:jc w:val="both"/>
        <w:rPr>
          <w:szCs w:val="22"/>
          <w:lang w:val="sr-Latn-RS"/>
        </w:rPr>
      </w:pPr>
      <w:r w:rsidRPr="0080626B">
        <w:rPr>
          <w:szCs w:val="22"/>
          <w:lang w:val="sr-Latn-RS"/>
        </w:rPr>
        <w:t>Kod primjene cefuroksima prijavljene su teške kožne neželjene reakcije (</w:t>
      </w:r>
      <w:r w:rsidRPr="0080626B">
        <w:rPr>
          <w:iCs/>
          <w:szCs w:val="22"/>
          <w:lang w:val="sr-Latn-RS"/>
        </w:rPr>
        <w:t>engl.</w:t>
      </w:r>
      <w:r w:rsidRPr="0080626B">
        <w:rPr>
          <w:i/>
          <w:iCs/>
          <w:szCs w:val="22"/>
          <w:lang w:val="sr-Latn-RS"/>
        </w:rPr>
        <w:t xml:space="preserve"> severe cutaneous adverse reactions</w:t>
      </w:r>
      <w:r w:rsidRPr="0080626B">
        <w:rPr>
          <w:szCs w:val="22"/>
          <w:lang w:val="sr-Latn-RS"/>
        </w:rPr>
        <w:t>, SCARS), uključujući Stevens-Johnson</w:t>
      </w:r>
      <w:r w:rsidR="00592350" w:rsidRPr="0080626B">
        <w:rPr>
          <w:szCs w:val="22"/>
          <w:lang w:val="sr-Latn-RS"/>
        </w:rPr>
        <w:t>-</w:t>
      </w:r>
      <w:r w:rsidRPr="0080626B">
        <w:rPr>
          <w:szCs w:val="22"/>
          <w:lang w:val="sr-Latn-RS"/>
        </w:rPr>
        <w:t xml:space="preserve">ov sindrom (SJS), toksičnu epidermalnu nekrolizu (TEN) i reakciju na lijek praćenu eozinofilijom i sistemskim simptomima (engl. </w:t>
      </w:r>
      <w:r w:rsidRPr="0080626B">
        <w:rPr>
          <w:i/>
          <w:szCs w:val="22"/>
          <w:lang w:val="sr-Latn-RS"/>
        </w:rPr>
        <w:t>drug reaction with eosinophilia and systemic symptoms</w:t>
      </w:r>
      <w:r w:rsidRPr="0080626B">
        <w:rPr>
          <w:szCs w:val="22"/>
          <w:lang w:val="sr-Latn-RS"/>
        </w:rPr>
        <w:t>, DRESS), koje mogu biti opasne po život ili fatalne (vidjeti dio 4.8).</w:t>
      </w:r>
    </w:p>
    <w:p w14:paraId="36A67401" w14:textId="77777777" w:rsidR="00877C76" w:rsidRPr="0080626B" w:rsidRDefault="00E90AF4">
      <w:pPr>
        <w:jc w:val="both"/>
        <w:rPr>
          <w:szCs w:val="22"/>
          <w:lang w:val="sr-Latn-RS"/>
        </w:rPr>
      </w:pPr>
      <w:r w:rsidRPr="0080626B">
        <w:rPr>
          <w:szCs w:val="22"/>
          <w:lang w:val="sr-Latn-RS"/>
        </w:rPr>
        <w:t xml:space="preserve">Prilikom propisivanja lijeka cefuroksim, pacijente treba upozoriti na znakove i simptome, a zatim ih pažljivo pratiti zbog moguće pojave kožnih reakcija. Ako se pojave znakovi i simptomi koji ukazuju na te reakcije, potrebno je odmah prekinuti primjenu lijeka cefuroksim i razmotriti zamjensku terapiju. Ako pacijent tokom liječenja cefuroksimom razvije ozbiljnu reakciju, npr. SJS, TEN ili DRESS, taj se pacijent više nikada ne smije ponovo liječiti ovim lijekom. </w:t>
      </w:r>
    </w:p>
    <w:p w14:paraId="2ABD0FD3" w14:textId="77777777" w:rsidR="00877C76" w:rsidRPr="0080626B" w:rsidRDefault="00877C76">
      <w:pPr>
        <w:jc w:val="both"/>
        <w:rPr>
          <w:szCs w:val="22"/>
          <w:lang w:val="sr-Latn-RS"/>
        </w:rPr>
      </w:pPr>
    </w:p>
    <w:p w14:paraId="3214D3BE" w14:textId="77777777" w:rsidR="00877C76" w:rsidRPr="0080626B" w:rsidRDefault="00E90AF4">
      <w:pPr>
        <w:jc w:val="both"/>
        <w:rPr>
          <w:szCs w:val="22"/>
          <w:u w:val="single"/>
          <w:lang w:val="sr-Latn-RS"/>
        </w:rPr>
      </w:pPr>
      <w:r w:rsidRPr="0080626B">
        <w:rPr>
          <w:szCs w:val="22"/>
          <w:u w:val="single"/>
          <w:lang w:val="sr-Latn-RS"/>
        </w:rPr>
        <w:t>Jarisch-Herxheimer reakcija</w:t>
      </w:r>
    </w:p>
    <w:p w14:paraId="640BDB71" w14:textId="5F3840DC" w:rsidR="00877C76" w:rsidRPr="0080626B" w:rsidRDefault="00E90AF4">
      <w:pPr>
        <w:jc w:val="both"/>
        <w:rPr>
          <w:szCs w:val="22"/>
          <w:lang w:val="sr-Latn-RS"/>
        </w:rPr>
      </w:pPr>
      <w:r w:rsidRPr="0080626B">
        <w:rPr>
          <w:szCs w:val="22"/>
          <w:lang w:val="sr-Latn-RS"/>
        </w:rPr>
        <w:t>Nakon terapije lajmske bolesti cefuroksim aksetilom, zabilježena je pojava Jarisch-Herxheimer reakcije. Navedena reakcija nastaje kao rezultat baktericidne aktivnosti cefuroksim aksetila na bakterijskog uzročnika lajmske bolesti</w:t>
      </w:r>
      <w:r w:rsidR="00592350" w:rsidRPr="0080626B">
        <w:rPr>
          <w:szCs w:val="22"/>
          <w:lang w:val="sr-Latn-RS"/>
        </w:rPr>
        <w:t xml:space="preserve"> – </w:t>
      </w:r>
      <w:r w:rsidRPr="0080626B">
        <w:rPr>
          <w:szCs w:val="22"/>
          <w:lang w:val="sr-Latn-RS"/>
        </w:rPr>
        <w:t xml:space="preserve">spirohetu </w:t>
      </w:r>
      <w:r w:rsidRPr="0080626B">
        <w:rPr>
          <w:i/>
          <w:szCs w:val="22"/>
          <w:lang w:val="sr-Latn-RS"/>
        </w:rPr>
        <w:t>Borrelia burgdorferi</w:t>
      </w:r>
      <w:r w:rsidRPr="0080626B">
        <w:rPr>
          <w:szCs w:val="22"/>
          <w:lang w:val="sr-Latn-RS"/>
        </w:rPr>
        <w:t xml:space="preserve">. Pacijentima bi trebalo objasniti da je ovo uobičajena i samoograničavajuća posljedica antibiotskog liječenja lajmske bolesti (vidjeti </w:t>
      </w:r>
      <w:r w:rsidR="00592350" w:rsidRPr="0080626B">
        <w:rPr>
          <w:szCs w:val="22"/>
          <w:lang w:val="sr-Latn-RS"/>
        </w:rPr>
        <w:t xml:space="preserve">dio </w:t>
      </w:r>
      <w:r w:rsidRPr="0080626B">
        <w:rPr>
          <w:szCs w:val="22"/>
          <w:lang w:val="sr-Latn-RS"/>
        </w:rPr>
        <w:t>4.8).</w:t>
      </w:r>
    </w:p>
    <w:p w14:paraId="35EE5977" w14:textId="77777777" w:rsidR="00877C76" w:rsidRPr="0080626B" w:rsidRDefault="00877C76">
      <w:pPr>
        <w:jc w:val="both"/>
        <w:rPr>
          <w:szCs w:val="22"/>
          <w:lang w:val="sr-Latn-RS"/>
        </w:rPr>
      </w:pPr>
    </w:p>
    <w:p w14:paraId="13EAF4CA" w14:textId="0C1D1A9B" w:rsidR="00877C76" w:rsidRPr="0080626B" w:rsidRDefault="00E90AF4">
      <w:pPr>
        <w:jc w:val="both"/>
        <w:rPr>
          <w:szCs w:val="22"/>
          <w:u w:val="single"/>
          <w:lang w:val="sr-Latn-RS"/>
        </w:rPr>
      </w:pPr>
      <w:r w:rsidRPr="0080626B">
        <w:rPr>
          <w:szCs w:val="22"/>
          <w:u w:val="single"/>
          <w:lang w:val="sr-Latn-RS"/>
        </w:rPr>
        <w:lastRenderedPageBreak/>
        <w:t xml:space="preserve">Prekomjeran rast </w:t>
      </w:r>
      <w:r w:rsidR="009853E8" w:rsidRPr="0080626B">
        <w:rPr>
          <w:szCs w:val="22"/>
          <w:u w:val="single"/>
          <w:lang w:val="sr-Latn-RS"/>
        </w:rPr>
        <w:t xml:space="preserve">neosjetljivih </w:t>
      </w:r>
      <w:r w:rsidRPr="0080626B">
        <w:rPr>
          <w:szCs w:val="22"/>
          <w:u w:val="single"/>
          <w:lang w:val="sr-Latn-RS"/>
        </w:rPr>
        <w:t>mikroorganzama</w:t>
      </w:r>
    </w:p>
    <w:p w14:paraId="37BD9298" w14:textId="61FD717E" w:rsidR="00877C76" w:rsidRPr="0080626B" w:rsidRDefault="00E90AF4">
      <w:pPr>
        <w:jc w:val="both"/>
        <w:rPr>
          <w:szCs w:val="22"/>
          <w:lang w:val="sr-Latn-RS"/>
        </w:rPr>
      </w:pPr>
      <w:r w:rsidRPr="0080626B">
        <w:rPr>
          <w:szCs w:val="22"/>
          <w:lang w:val="sr-Latn-RS"/>
        </w:rPr>
        <w:t xml:space="preserve">Kao i prilikom primjene drugih antibiotika, upotreba cefuroksim aksetila može uzrokovati prekomjerni rast gljivice </w:t>
      </w:r>
      <w:r w:rsidRPr="0080626B">
        <w:rPr>
          <w:i/>
          <w:szCs w:val="22"/>
          <w:lang w:val="sr-Latn-RS"/>
        </w:rPr>
        <w:t>Candida albicans</w:t>
      </w:r>
      <w:r w:rsidRPr="0080626B">
        <w:rPr>
          <w:szCs w:val="22"/>
          <w:lang w:val="sr-Latn-RS"/>
        </w:rPr>
        <w:t xml:space="preserve">. Produžena upotreba može dovesti do prekomjernog rasta drugih </w:t>
      </w:r>
      <w:r w:rsidR="009853E8" w:rsidRPr="0080626B">
        <w:rPr>
          <w:szCs w:val="22"/>
          <w:lang w:val="sr-Latn-RS"/>
        </w:rPr>
        <w:t>neosjetljivih</w:t>
      </w:r>
      <w:r w:rsidRPr="0080626B">
        <w:rPr>
          <w:szCs w:val="22"/>
          <w:lang w:val="sr-Latn-RS"/>
        </w:rPr>
        <w:t xml:space="preserve"> mikrooorganizama (npr. </w:t>
      </w:r>
      <w:r w:rsidRPr="0080626B">
        <w:rPr>
          <w:i/>
          <w:szCs w:val="22"/>
          <w:lang w:val="sr-Latn-RS"/>
        </w:rPr>
        <w:t>Enterococci</w:t>
      </w:r>
      <w:r w:rsidRPr="0080626B">
        <w:rPr>
          <w:szCs w:val="22"/>
          <w:lang w:val="sr-Latn-RS"/>
        </w:rPr>
        <w:t xml:space="preserve"> i </w:t>
      </w:r>
      <w:r w:rsidRPr="0080626B">
        <w:rPr>
          <w:i/>
          <w:szCs w:val="22"/>
          <w:lang w:val="sr-Latn-RS"/>
        </w:rPr>
        <w:t>Clostridium difficile</w:t>
      </w:r>
      <w:r w:rsidRPr="0080626B">
        <w:rPr>
          <w:szCs w:val="22"/>
          <w:lang w:val="sr-Latn-RS"/>
        </w:rPr>
        <w:t xml:space="preserve">), </w:t>
      </w:r>
      <w:r w:rsidR="0094770F" w:rsidRPr="0080626B">
        <w:rPr>
          <w:szCs w:val="22"/>
          <w:lang w:val="sr-Latn-RS"/>
        </w:rPr>
        <w:t>što može zahtijevati</w:t>
      </w:r>
      <w:r w:rsidRPr="0080626B">
        <w:rPr>
          <w:szCs w:val="22"/>
          <w:lang w:val="sr-Latn-RS"/>
        </w:rPr>
        <w:t xml:space="preserve"> </w:t>
      </w:r>
      <w:r w:rsidR="0094770F" w:rsidRPr="0080626B">
        <w:rPr>
          <w:szCs w:val="22"/>
          <w:lang w:val="sr-Latn-RS"/>
        </w:rPr>
        <w:t>prekid</w:t>
      </w:r>
      <w:r w:rsidRPr="0080626B">
        <w:rPr>
          <w:szCs w:val="22"/>
          <w:lang w:val="sr-Latn-RS"/>
        </w:rPr>
        <w:t xml:space="preserve"> terapij</w:t>
      </w:r>
      <w:r w:rsidR="0094770F" w:rsidRPr="0080626B">
        <w:rPr>
          <w:szCs w:val="22"/>
          <w:lang w:val="sr-Latn-RS"/>
        </w:rPr>
        <w:t>e</w:t>
      </w:r>
      <w:r w:rsidRPr="0080626B">
        <w:rPr>
          <w:szCs w:val="22"/>
          <w:lang w:val="sr-Latn-RS"/>
        </w:rPr>
        <w:t xml:space="preserve"> (vidjeti </w:t>
      </w:r>
      <w:r w:rsidR="0094770F" w:rsidRPr="0080626B">
        <w:rPr>
          <w:szCs w:val="22"/>
          <w:lang w:val="sr-Latn-RS"/>
        </w:rPr>
        <w:t xml:space="preserve">dio </w:t>
      </w:r>
      <w:r w:rsidRPr="0080626B">
        <w:rPr>
          <w:szCs w:val="22"/>
          <w:lang w:val="sr-Latn-RS"/>
        </w:rPr>
        <w:t>4.8).</w:t>
      </w:r>
    </w:p>
    <w:p w14:paraId="7EADA74F" w14:textId="77777777" w:rsidR="00877C76" w:rsidRPr="0080626B" w:rsidRDefault="00877C76">
      <w:pPr>
        <w:jc w:val="both"/>
        <w:rPr>
          <w:szCs w:val="22"/>
          <w:lang w:val="sr-Latn-RS"/>
        </w:rPr>
      </w:pPr>
    </w:p>
    <w:p w14:paraId="66F87696" w14:textId="628F0E31" w:rsidR="00877C76" w:rsidRPr="0080626B" w:rsidRDefault="00E90AF4">
      <w:pPr>
        <w:jc w:val="both"/>
        <w:rPr>
          <w:szCs w:val="22"/>
          <w:lang w:val="sr-Latn-RS"/>
        </w:rPr>
      </w:pPr>
      <w:r w:rsidRPr="0080626B">
        <w:rPr>
          <w:szCs w:val="22"/>
          <w:lang w:val="sr-Latn-RS"/>
        </w:rPr>
        <w:t>Pseudomembranozni kolitis povezan sa primjenom antibiotika, uklju</w:t>
      </w:r>
      <w:r w:rsidR="0094770F" w:rsidRPr="0080626B">
        <w:rPr>
          <w:szCs w:val="22"/>
          <w:lang w:val="sr-Latn-RS"/>
        </w:rPr>
        <w:t>č</w:t>
      </w:r>
      <w:r w:rsidRPr="0080626B">
        <w:rPr>
          <w:szCs w:val="22"/>
          <w:lang w:val="sr-Latn-RS"/>
        </w:rPr>
        <w:t xml:space="preserve">ujući i cefuroksim, može varirati u težini od umjerenog do opasnog po život. Ovu dijagnozu treba razmotriti kod pacijenata koji su tokom ili nakon primjene cefuroksima dobili dijareju (vidjeti </w:t>
      </w:r>
      <w:r w:rsidR="0094770F" w:rsidRPr="0080626B">
        <w:rPr>
          <w:szCs w:val="22"/>
          <w:lang w:val="sr-Latn-RS"/>
        </w:rPr>
        <w:t xml:space="preserve">dio </w:t>
      </w:r>
      <w:r w:rsidRPr="0080626B">
        <w:rPr>
          <w:szCs w:val="22"/>
          <w:lang w:val="sr-Latn-RS"/>
        </w:rPr>
        <w:t xml:space="preserve">4.8). U ovakvim slučajevima treba </w:t>
      </w:r>
      <w:r w:rsidR="0094770F" w:rsidRPr="0080626B">
        <w:rPr>
          <w:szCs w:val="22"/>
          <w:lang w:val="sr-Latn-RS"/>
        </w:rPr>
        <w:t xml:space="preserve">razmotriti </w:t>
      </w:r>
      <w:r w:rsidRPr="0080626B">
        <w:rPr>
          <w:szCs w:val="22"/>
          <w:lang w:val="sr-Latn-RS"/>
        </w:rPr>
        <w:t>preki</w:t>
      </w:r>
      <w:r w:rsidR="0094770F" w:rsidRPr="0080626B">
        <w:rPr>
          <w:szCs w:val="22"/>
          <w:lang w:val="sr-Latn-RS"/>
        </w:rPr>
        <w:t>d</w:t>
      </w:r>
      <w:r w:rsidRPr="0080626B">
        <w:rPr>
          <w:szCs w:val="22"/>
          <w:lang w:val="sr-Latn-RS"/>
        </w:rPr>
        <w:t xml:space="preserve"> terapij</w:t>
      </w:r>
      <w:r w:rsidR="0094770F" w:rsidRPr="0080626B">
        <w:rPr>
          <w:szCs w:val="22"/>
          <w:lang w:val="sr-Latn-RS"/>
        </w:rPr>
        <w:t>e</w:t>
      </w:r>
      <w:r w:rsidRPr="0080626B">
        <w:rPr>
          <w:szCs w:val="22"/>
          <w:lang w:val="sr-Latn-RS"/>
        </w:rPr>
        <w:t xml:space="preserve"> cefuroksimom i primjen</w:t>
      </w:r>
      <w:r w:rsidR="0094770F" w:rsidRPr="0080626B">
        <w:rPr>
          <w:szCs w:val="22"/>
          <w:lang w:val="sr-Latn-RS"/>
        </w:rPr>
        <w:t>u</w:t>
      </w:r>
      <w:r w:rsidRPr="0080626B">
        <w:rPr>
          <w:szCs w:val="22"/>
          <w:lang w:val="sr-Latn-RS"/>
        </w:rPr>
        <w:t xml:space="preserve"> terapij</w:t>
      </w:r>
      <w:r w:rsidR="0094770F" w:rsidRPr="0080626B">
        <w:rPr>
          <w:szCs w:val="22"/>
          <w:lang w:val="sr-Latn-RS"/>
        </w:rPr>
        <w:t>e</w:t>
      </w:r>
      <w:r w:rsidRPr="0080626B">
        <w:rPr>
          <w:szCs w:val="22"/>
          <w:lang w:val="sr-Latn-RS"/>
        </w:rPr>
        <w:t xml:space="preserve"> specifičn</w:t>
      </w:r>
      <w:r w:rsidR="0094770F" w:rsidRPr="0080626B">
        <w:rPr>
          <w:szCs w:val="22"/>
          <w:lang w:val="sr-Latn-RS"/>
        </w:rPr>
        <w:t>e</w:t>
      </w:r>
      <w:r w:rsidRPr="0080626B">
        <w:rPr>
          <w:szCs w:val="22"/>
          <w:lang w:val="sr-Latn-RS"/>
        </w:rPr>
        <w:t xml:space="preserve"> za </w:t>
      </w:r>
      <w:r w:rsidRPr="0080626B">
        <w:rPr>
          <w:i/>
          <w:szCs w:val="22"/>
          <w:lang w:val="sr-Latn-RS"/>
        </w:rPr>
        <w:t>Clostridium difficile</w:t>
      </w:r>
      <w:r w:rsidRPr="0080626B">
        <w:rPr>
          <w:szCs w:val="22"/>
          <w:lang w:val="sr-Latn-RS"/>
        </w:rPr>
        <w:t xml:space="preserve">. Ne smiju se primjenjivati ljekovi koji inhibiraju peristaltiku (vidjeti </w:t>
      </w:r>
      <w:r w:rsidR="0094770F" w:rsidRPr="0080626B">
        <w:rPr>
          <w:szCs w:val="22"/>
          <w:lang w:val="sr-Latn-RS"/>
        </w:rPr>
        <w:t xml:space="preserve">dio </w:t>
      </w:r>
      <w:r w:rsidRPr="0080626B">
        <w:rPr>
          <w:szCs w:val="22"/>
          <w:lang w:val="sr-Latn-RS"/>
        </w:rPr>
        <w:t>4.8).</w:t>
      </w:r>
    </w:p>
    <w:p w14:paraId="64EA401E" w14:textId="77777777" w:rsidR="00877C76" w:rsidRPr="0080626B" w:rsidRDefault="00877C76">
      <w:pPr>
        <w:jc w:val="both"/>
        <w:rPr>
          <w:szCs w:val="22"/>
          <w:lang w:val="sr-Latn-RS"/>
        </w:rPr>
      </w:pPr>
    </w:p>
    <w:p w14:paraId="09AAA0C2" w14:textId="77777777" w:rsidR="00877C76" w:rsidRPr="0080626B" w:rsidRDefault="00E90AF4">
      <w:pPr>
        <w:widowControl w:val="0"/>
        <w:jc w:val="both"/>
        <w:rPr>
          <w:szCs w:val="22"/>
          <w:u w:val="single"/>
          <w:lang w:val="sr-Latn-RS"/>
        </w:rPr>
      </w:pPr>
      <w:r w:rsidRPr="0080626B">
        <w:rPr>
          <w:szCs w:val="22"/>
          <w:u w:val="single"/>
          <w:lang w:val="sr-Latn-RS"/>
        </w:rPr>
        <w:t>Interferencija sa diagnostičkim testovima</w:t>
      </w:r>
    </w:p>
    <w:p w14:paraId="71E5EE7E" w14:textId="252046E4" w:rsidR="00877C76" w:rsidRPr="0080626B" w:rsidRDefault="00E90AF4">
      <w:pPr>
        <w:widowControl w:val="0"/>
        <w:jc w:val="both"/>
        <w:rPr>
          <w:color w:val="000000"/>
          <w:szCs w:val="22"/>
          <w:lang w:val="sr-Latn-RS"/>
        </w:rPr>
      </w:pPr>
      <w:r w:rsidRPr="0080626B">
        <w:rPr>
          <w:color w:val="000000"/>
          <w:szCs w:val="22"/>
          <w:lang w:val="sr-Latn-RS"/>
        </w:rPr>
        <w:t xml:space="preserve">Razvoj pozitivnog Coombs-ovog testa povezanog sa primjenom cefuroksim aksetila može interferirati sa izvođenjem unakrsnih analiza krvi (vidjeti </w:t>
      </w:r>
      <w:r w:rsidR="0094770F" w:rsidRPr="0080626B">
        <w:rPr>
          <w:color w:val="000000"/>
          <w:szCs w:val="22"/>
          <w:lang w:val="sr-Latn-RS"/>
        </w:rPr>
        <w:t xml:space="preserve">dio </w:t>
      </w:r>
      <w:r w:rsidRPr="0080626B">
        <w:rPr>
          <w:color w:val="000000"/>
          <w:szCs w:val="22"/>
          <w:lang w:val="sr-Latn-RS"/>
        </w:rPr>
        <w:t>4.8).</w:t>
      </w:r>
    </w:p>
    <w:p w14:paraId="1CFB4492" w14:textId="77777777" w:rsidR="00877C76" w:rsidRPr="0080626B" w:rsidRDefault="00877C76">
      <w:pPr>
        <w:widowControl w:val="0"/>
        <w:jc w:val="both"/>
        <w:rPr>
          <w:color w:val="000000"/>
          <w:szCs w:val="22"/>
          <w:lang w:val="sr-Latn-RS"/>
        </w:rPr>
      </w:pPr>
    </w:p>
    <w:p w14:paraId="6E8264FC" w14:textId="77777777" w:rsidR="00877C76" w:rsidRPr="0080626B" w:rsidRDefault="00E90AF4">
      <w:pPr>
        <w:widowControl w:val="0"/>
        <w:jc w:val="both"/>
        <w:rPr>
          <w:szCs w:val="22"/>
          <w:lang w:val="sr-Latn-RS"/>
        </w:rPr>
      </w:pPr>
      <w:r w:rsidRPr="0080626B">
        <w:rPr>
          <w:szCs w:val="22"/>
          <w:lang w:val="sr-Latn-RS"/>
        </w:rPr>
        <w:t>Kako se kod pacijenata koji primaju cefuroksim aksetil može javiti lažno negativan rezultat fericijanidnog testa, preporučuje se da se kod određivanja koncentracije glukoze u krvi/plazmi koriste metode glukoza oksidaze ili glukoza heksokinaze.</w:t>
      </w:r>
    </w:p>
    <w:p w14:paraId="1B69107C" w14:textId="56EFF548" w:rsidR="00877C76" w:rsidRPr="0080626B" w:rsidRDefault="00877C76">
      <w:pPr>
        <w:widowControl w:val="0"/>
        <w:rPr>
          <w:szCs w:val="22"/>
          <w:lang w:val="sr-Latn-RS"/>
        </w:rPr>
      </w:pPr>
    </w:p>
    <w:p w14:paraId="4EA1B39B" w14:textId="441ECB4E" w:rsidR="00647FCA" w:rsidRPr="0080626B" w:rsidRDefault="00647FCA">
      <w:pPr>
        <w:widowControl w:val="0"/>
        <w:rPr>
          <w:szCs w:val="22"/>
          <w:u w:val="single"/>
          <w:lang w:val="sr-Latn-RS"/>
        </w:rPr>
      </w:pPr>
      <w:r w:rsidRPr="0080626B">
        <w:rPr>
          <w:szCs w:val="22"/>
          <w:u w:val="single"/>
          <w:lang w:val="sr-Latn-RS"/>
        </w:rPr>
        <w:t>Natrijum</w:t>
      </w:r>
    </w:p>
    <w:p w14:paraId="6C6A5756" w14:textId="579F51BA" w:rsidR="00647FCA" w:rsidRPr="0080626B" w:rsidRDefault="00647FCA">
      <w:pPr>
        <w:widowControl w:val="0"/>
        <w:rPr>
          <w:szCs w:val="22"/>
          <w:lang w:val="sr-Latn-RS"/>
        </w:rPr>
      </w:pPr>
      <w:r w:rsidRPr="0080626B">
        <w:rPr>
          <w:szCs w:val="22"/>
          <w:lang w:val="sr-Latn-RS"/>
        </w:rPr>
        <w:t xml:space="preserve">Ovaj lijek sadrži manje od </w:t>
      </w:r>
      <w:r w:rsidR="0094770F" w:rsidRPr="0080626B">
        <w:rPr>
          <w:szCs w:val="22"/>
          <w:lang w:val="sr-Latn-RS"/>
        </w:rPr>
        <w:t>1</w:t>
      </w:r>
      <w:r w:rsidRPr="0080626B">
        <w:rPr>
          <w:szCs w:val="22"/>
          <w:lang w:val="sr-Latn-RS"/>
        </w:rPr>
        <w:t xml:space="preserve"> mmol (23 mg) natrijuma po tableti, odnosno suštinski je „bez natrijuma“.</w:t>
      </w:r>
    </w:p>
    <w:p w14:paraId="57C719D0" w14:textId="77777777" w:rsidR="00647FCA" w:rsidRPr="0080626B" w:rsidRDefault="00647FCA">
      <w:pPr>
        <w:widowControl w:val="0"/>
        <w:rPr>
          <w:szCs w:val="22"/>
          <w:lang w:val="sr-Latn-RS"/>
        </w:rPr>
      </w:pPr>
    </w:p>
    <w:p w14:paraId="28AA1F1E" w14:textId="77777777" w:rsidR="00877C76" w:rsidRPr="0080626B" w:rsidRDefault="00E90AF4">
      <w:pPr>
        <w:widowControl w:val="0"/>
        <w:ind w:left="567" w:hanging="567"/>
        <w:jc w:val="both"/>
        <w:outlineLvl w:val="0"/>
        <w:rPr>
          <w:szCs w:val="22"/>
          <w:lang w:val="sr-Latn-RS"/>
        </w:rPr>
      </w:pPr>
      <w:r w:rsidRPr="0080626B">
        <w:rPr>
          <w:b/>
          <w:szCs w:val="22"/>
          <w:lang w:val="sr-Latn-RS"/>
        </w:rPr>
        <w:t>4.5</w:t>
      </w:r>
      <w:r w:rsidRPr="0080626B">
        <w:rPr>
          <w:b/>
          <w:szCs w:val="22"/>
          <w:lang w:val="sr-Latn-RS"/>
        </w:rPr>
        <w:tab/>
        <w:t>Interakcije sa drugim ljekovima i druge vrste interakcija</w:t>
      </w:r>
    </w:p>
    <w:p w14:paraId="217892F9" w14:textId="77777777" w:rsidR="00877C76" w:rsidRPr="0080626B" w:rsidRDefault="00877C76">
      <w:pPr>
        <w:widowControl w:val="0"/>
        <w:jc w:val="both"/>
        <w:rPr>
          <w:szCs w:val="22"/>
          <w:lang w:val="sr-Latn-RS"/>
        </w:rPr>
      </w:pPr>
    </w:p>
    <w:p w14:paraId="29AB2277" w14:textId="29ACBDBC" w:rsidR="00877C76" w:rsidRPr="0080626B" w:rsidRDefault="00E90AF4">
      <w:pPr>
        <w:widowControl w:val="0"/>
        <w:jc w:val="both"/>
        <w:rPr>
          <w:szCs w:val="22"/>
          <w:lang w:val="sr-Latn-RS"/>
        </w:rPr>
      </w:pPr>
      <w:r w:rsidRPr="0080626B">
        <w:rPr>
          <w:szCs w:val="22"/>
          <w:lang w:val="sr-Latn-RS"/>
        </w:rPr>
        <w:t>Ljekovi koji smanjuju kiselost želudačnog soka mogu dovesti do smanjenja bioraspoloživosti cefuroksim aksetila u poređenju sa on</w:t>
      </w:r>
      <w:r w:rsidR="0094770F" w:rsidRPr="0080626B">
        <w:rPr>
          <w:szCs w:val="22"/>
          <w:lang w:val="sr-Latn-RS"/>
        </w:rPr>
        <w:t>o</w:t>
      </w:r>
      <w:r w:rsidRPr="0080626B">
        <w:rPr>
          <w:szCs w:val="22"/>
          <w:lang w:val="sr-Latn-RS"/>
        </w:rPr>
        <w:t xml:space="preserve">m </w:t>
      </w:r>
      <w:r w:rsidR="0094770F" w:rsidRPr="0080626B">
        <w:rPr>
          <w:szCs w:val="22"/>
          <w:lang w:val="sr-Latn-RS"/>
        </w:rPr>
        <w:t>kod primjene</w:t>
      </w:r>
      <w:r w:rsidRPr="0080626B">
        <w:rPr>
          <w:szCs w:val="22"/>
          <w:lang w:val="sr-Latn-RS"/>
        </w:rPr>
        <w:t xml:space="preserve"> na prazan želudac i sk</w:t>
      </w:r>
      <w:r w:rsidR="0094770F" w:rsidRPr="0080626B">
        <w:rPr>
          <w:szCs w:val="22"/>
          <w:lang w:val="sr-Latn-RS"/>
        </w:rPr>
        <w:t>l</w:t>
      </w:r>
      <w:r w:rsidRPr="0080626B">
        <w:rPr>
          <w:szCs w:val="22"/>
          <w:lang w:val="sr-Latn-RS"/>
        </w:rPr>
        <w:t>oni su da ponište uticaj poboljšane resorpcije nakon obroka.</w:t>
      </w:r>
    </w:p>
    <w:p w14:paraId="2555F810" w14:textId="77777777" w:rsidR="00877C76" w:rsidRPr="0080626B" w:rsidRDefault="00877C76">
      <w:pPr>
        <w:widowControl w:val="0"/>
        <w:jc w:val="both"/>
        <w:rPr>
          <w:szCs w:val="22"/>
          <w:lang w:val="sr-Latn-RS"/>
        </w:rPr>
      </w:pPr>
    </w:p>
    <w:p w14:paraId="6E1A4691" w14:textId="62F79FC6" w:rsidR="00877C76" w:rsidRPr="0080626B" w:rsidRDefault="00E90AF4">
      <w:pPr>
        <w:widowControl w:val="0"/>
        <w:jc w:val="both"/>
        <w:rPr>
          <w:szCs w:val="22"/>
          <w:lang w:val="sr-Latn-RS"/>
        </w:rPr>
      </w:pPr>
      <w:r w:rsidRPr="0080626B">
        <w:rPr>
          <w:szCs w:val="22"/>
          <w:lang w:val="sr-Latn-RS"/>
        </w:rPr>
        <w:t>Cefuroksim aksetil može djelovati na crijevnu floru, što može uzrokovati smanjenu resorpciju estrogena i smanjenu efikasnost kombinovanih oralnih kontraceptiva.</w:t>
      </w:r>
      <w:r w:rsidR="00597EA1" w:rsidRPr="0080626B">
        <w:rPr>
          <w:szCs w:val="22"/>
          <w:lang w:val="sr-Latn-RS"/>
        </w:rPr>
        <w:t xml:space="preserve"> Preporučuje se upotreba dodatnih mjera kontracepcije (npr. kondom).</w:t>
      </w:r>
    </w:p>
    <w:p w14:paraId="011210D5" w14:textId="77777777" w:rsidR="00877C76" w:rsidRPr="0080626B" w:rsidRDefault="00877C76">
      <w:pPr>
        <w:widowControl w:val="0"/>
        <w:jc w:val="both"/>
        <w:rPr>
          <w:szCs w:val="22"/>
          <w:lang w:val="sr-Latn-RS"/>
        </w:rPr>
      </w:pPr>
    </w:p>
    <w:p w14:paraId="2D1C5B13" w14:textId="6CE3E390" w:rsidR="00877C76" w:rsidRPr="0080626B" w:rsidRDefault="00E90AF4">
      <w:pPr>
        <w:widowControl w:val="0"/>
        <w:jc w:val="both"/>
        <w:rPr>
          <w:szCs w:val="22"/>
          <w:lang w:val="sr-Latn-RS"/>
        </w:rPr>
      </w:pPr>
      <w:r w:rsidRPr="0080626B">
        <w:rPr>
          <w:szCs w:val="22"/>
          <w:lang w:val="sr-Latn-RS"/>
        </w:rPr>
        <w:t xml:space="preserve">Cefuroksim se izlučuje glomerularnom filtracijom i tubularnom sekrecijom. Ne preporučuje se istovremena primjena cefuroksima i probenecida. Istovremena primjena probenecida značajno povećava vrijednost maksimalne koncentracije cefuroksima u plazmi, vrijednost površine ispod krive </w:t>
      </w:r>
      <w:r w:rsidR="00F2250E" w:rsidRPr="0080626B">
        <w:rPr>
          <w:szCs w:val="22"/>
          <w:lang w:val="sr-Latn-RS"/>
        </w:rPr>
        <w:t>(</w:t>
      </w:r>
      <w:r w:rsidRPr="0080626B">
        <w:rPr>
          <w:szCs w:val="22"/>
          <w:lang w:val="sr-Latn-RS"/>
        </w:rPr>
        <w:t>PIK-a</w:t>
      </w:r>
      <w:r w:rsidR="00F2250E" w:rsidRPr="0080626B">
        <w:rPr>
          <w:szCs w:val="22"/>
          <w:lang w:val="sr-Latn-RS"/>
        </w:rPr>
        <w:t>)</w:t>
      </w:r>
      <w:r w:rsidRPr="0080626B">
        <w:rPr>
          <w:szCs w:val="22"/>
          <w:lang w:val="sr-Latn-RS"/>
        </w:rPr>
        <w:t xml:space="preserve"> i produžava poluvrijeme eliminacije cefuroksima.</w:t>
      </w:r>
    </w:p>
    <w:p w14:paraId="33DEBB60" w14:textId="77777777" w:rsidR="00877C76" w:rsidRPr="0080626B" w:rsidRDefault="00877C76">
      <w:pPr>
        <w:widowControl w:val="0"/>
        <w:jc w:val="both"/>
        <w:rPr>
          <w:szCs w:val="22"/>
          <w:lang w:val="sr-Latn-RS"/>
        </w:rPr>
      </w:pPr>
    </w:p>
    <w:p w14:paraId="02C71E32" w14:textId="77777777" w:rsidR="00877C76" w:rsidRPr="0080626B" w:rsidRDefault="00E90AF4">
      <w:pPr>
        <w:widowControl w:val="0"/>
        <w:jc w:val="both"/>
        <w:rPr>
          <w:szCs w:val="22"/>
          <w:lang w:val="sr-Latn-RS"/>
        </w:rPr>
      </w:pPr>
      <w:r w:rsidRPr="0080626B">
        <w:rPr>
          <w:szCs w:val="22"/>
          <w:lang w:val="sr-Latn-RS"/>
        </w:rPr>
        <w:t xml:space="preserve">Istovremena primjena sa oralnim antikoagulansima može dovesti do povećanja INR-a (eng. </w:t>
      </w:r>
      <w:r w:rsidRPr="0080626B">
        <w:rPr>
          <w:i/>
          <w:szCs w:val="22"/>
          <w:lang w:val="sr-Latn-RS"/>
        </w:rPr>
        <w:t>International normalized ratio test</w:t>
      </w:r>
      <w:r w:rsidRPr="0080626B">
        <w:rPr>
          <w:szCs w:val="22"/>
          <w:lang w:val="sr-Latn-RS"/>
        </w:rPr>
        <w:t>).</w:t>
      </w:r>
    </w:p>
    <w:p w14:paraId="2BDE047F" w14:textId="77777777" w:rsidR="00877C76" w:rsidRPr="0080626B" w:rsidRDefault="00877C76">
      <w:pPr>
        <w:widowControl w:val="0"/>
        <w:jc w:val="both"/>
        <w:rPr>
          <w:szCs w:val="22"/>
          <w:lang w:val="sr-Latn-RS"/>
        </w:rPr>
      </w:pPr>
    </w:p>
    <w:p w14:paraId="7F5F514B" w14:textId="77777777" w:rsidR="00877C76" w:rsidRPr="0080626B" w:rsidRDefault="00E90AF4">
      <w:pPr>
        <w:widowControl w:val="0"/>
        <w:ind w:left="567" w:hanging="567"/>
        <w:jc w:val="both"/>
        <w:outlineLvl w:val="0"/>
        <w:rPr>
          <w:b/>
          <w:szCs w:val="22"/>
          <w:lang w:val="sr-Latn-RS"/>
        </w:rPr>
      </w:pPr>
      <w:r w:rsidRPr="0080626B">
        <w:rPr>
          <w:b/>
          <w:szCs w:val="22"/>
          <w:lang w:val="sr-Latn-RS"/>
        </w:rPr>
        <w:t>4.6</w:t>
      </w:r>
      <w:r w:rsidRPr="0080626B">
        <w:rPr>
          <w:b/>
          <w:szCs w:val="22"/>
          <w:lang w:val="sr-Latn-RS"/>
        </w:rPr>
        <w:tab/>
        <w:t>Plodnost, trudnoća i dojenje</w:t>
      </w:r>
    </w:p>
    <w:p w14:paraId="06BE9895" w14:textId="77777777" w:rsidR="00877C76" w:rsidRPr="0080626B" w:rsidRDefault="00877C76">
      <w:pPr>
        <w:widowControl w:val="0"/>
        <w:ind w:left="567" w:hanging="567"/>
        <w:jc w:val="both"/>
        <w:outlineLvl w:val="0"/>
        <w:rPr>
          <w:b/>
          <w:szCs w:val="22"/>
          <w:lang w:val="sr-Latn-RS"/>
        </w:rPr>
      </w:pPr>
    </w:p>
    <w:p w14:paraId="58F03E68" w14:textId="77777777" w:rsidR="00877C76" w:rsidRPr="0080626B" w:rsidRDefault="00E90AF4">
      <w:pPr>
        <w:widowControl w:val="0"/>
        <w:jc w:val="both"/>
        <w:rPr>
          <w:szCs w:val="22"/>
          <w:u w:val="single"/>
          <w:lang w:val="sr-Latn-RS"/>
        </w:rPr>
      </w:pPr>
      <w:r w:rsidRPr="0080626B">
        <w:rPr>
          <w:szCs w:val="22"/>
          <w:u w:val="single"/>
          <w:lang w:val="sr-Latn-RS"/>
        </w:rPr>
        <w:t>Plodnost</w:t>
      </w:r>
    </w:p>
    <w:p w14:paraId="1396F10D" w14:textId="77777777" w:rsidR="00877C76" w:rsidRPr="0080626B" w:rsidRDefault="00E90AF4">
      <w:pPr>
        <w:widowControl w:val="0"/>
        <w:jc w:val="both"/>
        <w:outlineLvl w:val="0"/>
        <w:rPr>
          <w:szCs w:val="22"/>
          <w:lang w:val="sr-Latn-RS"/>
        </w:rPr>
      </w:pPr>
      <w:r w:rsidRPr="0080626B">
        <w:rPr>
          <w:szCs w:val="22"/>
          <w:lang w:val="sr-Latn-RS"/>
        </w:rPr>
        <w:t>Ne postoje podaci o uticaju cefuroksim aksetila na plodnost kod ljudi. Rezultati reproduktivnih ispitivanja na životinjama nijesu pokazali uticaj cefuroksima na plodnost.</w:t>
      </w:r>
    </w:p>
    <w:p w14:paraId="20AA4E53" w14:textId="77777777" w:rsidR="00877C76" w:rsidRPr="0080626B" w:rsidRDefault="00877C76">
      <w:pPr>
        <w:widowControl w:val="0"/>
        <w:jc w:val="both"/>
        <w:rPr>
          <w:szCs w:val="22"/>
          <w:lang w:val="sr-Latn-RS"/>
        </w:rPr>
      </w:pPr>
    </w:p>
    <w:p w14:paraId="408B8E62" w14:textId="77777777" w:rsidR="00877C76" w:rsidRPr="0080626B" w:rsidRDefault="00E90AF4">
      <w:pPr>
        <w:widowControl w:val="0"/>
        <w:jc w:val="both"/>
        <w:rPr>
          <w:szCs w:val="22"/>
          <w:u w:val="single"/>
          <w:lang w:val="sr-Latn-RS"/>
        </w:rPr>
      </w:pPr>
      <w:r w:rsidRPr="0080626B">
        <w:rPr>
          <w:szCs w:val="22"/>
          <w:u w:val="single"/>
          <w:lang w:val="sr-Latn-RS"/>
        </w:rPr>
        <w:t>Trudnoća</w:t>
      </w:r>
    </w:p>
    <w:p w14:paraId="44E22356" w14:textId="77777777" w:rsidR="00877C76" w:rsidRPr="0080626B" w:rsidRDefault="00E90AF4">
      <w:pPr>
        <w:widowControl w:val="0"/>
        <w:jc w:val="both"/>
        <w:rPr>
          <w:szCs w:val="22"/>
          <w:lang w:val="sr-Latn-RS"/>
        </w:rPr>
      </w:pPr>
      <w:r w:rsidRPr="0080626B">
        <w:rPr>
          <w:szCs w:val="22"/>
          <w:lang w:val="sr-Latn-RS"/>
        </w:rPr>
        <w:t>Postoje ograničeni podaci o upotrebi cefuroksima kod trudnica. Ispitivanja na životinjama nijesu pokazala štetan uticaj na trudnoću, embrionalni ili fetalni razvoj, na sam tok porođaja ili postnatalni razvoj. Lijek Furocef treba propisati trudnicama samo ukoliko korist prevazilazi rizik.</w:t>
      </w:r>
    </w:p>
    <w:p w14:paraId="32727D00" w14:textId="77777777" w:rsidR="00877C76" w:rsidRPr="0080626B" w:rsidRDefault="00877C76">
      <w:pPr>
        <w:widowControl w:val="0"/>
        <w:jc w:val="both"/>
        <w:rPr>
          <w:szCs w:val="22"/>
          <w:lang w:val="sr-Latn-RS"/>
        </w:rPr>
      </w:pPr>
    </w:p>
    <w:p w14:paraId="6D322BE9" w14:textId="77777777" w:rsidR="00877C76" w:rsidRPr="0080626B" w:rsidRDefault="00E90AF4">
      <w:pPr>
        <w:widowControl w:val="0"/>
        <w:jc w:val="both"/>
        <w:rPr>
          <w:szCs w:val="22"/>
          <w:u w:val="single"/>
          <w:lang w:val="sr-Latn-RS"/>
        </w:rPr>
      </w:pPr>
      <w:r w:rsidRPr="0080626B">
        <w:rPr>
          <w:szCs w:val="22"/>
          <w:u w:val="single"/>
          <w:lang w:val="sr-Latn-RS"/>
        </w:rPr>
        <w:t>Dojenje</w:t>
      </w:r>
    </w:p>
    <w:p w14:paraId="38CB6B5A" w14:textId="77777777" w:rsidR="00877C76" w:rsidRPr="0080626B" w:rsidRDefault="00E90AF4">
      <w:pPr>
        <w:widowControl w:val="0"/>
        <w:jc w:val="both"/>
        <w:rPr>
          <w:szCs w:val="22"/>
          <w:lang w:val="sr-Latn-RS"/>
        </w:rPr>
      </w:pPr>
      <w:r w:rsidRPr="0080626B">
        <w:rPr>
          <w:szCs w:val="22"/>
          <w:lang w:val="sr-Latn-RS"/>
        </w:rPr>
        <w:t xml:space="preserve">Cefuroksim se izlučuje u majčino mlijeko u malim količinama. Ne očekuje se pojava neželjenih dejstava prilikom primjene terapijskih doza, mada se ne može isključiti rizik od razvoja dijareje i gljivične infekcije sluznica. Zbog tih pojava dojenje će možda biti potrebno prekinuti. Takođe, treba uzeti u obzir </w:t>
      </w:r>
      <w:r w:rsidRPr="0080626B">
        <w:rPr>
          <w:szCs w:val="22"/>
          <w:lang w:val="sr-Latn-RS"/>
        </w:rPr>
        <w:lastRenderedPageBreak/>
        <w:t>i moguću pojavu preosjetljivosti. Cefuroksim treba primjenjivati u toku dojenja samo nakon procjene odnosa koristi i rizika od strane nadležnog ljekara.</w:t>
      </w:r>
    </w:p>
    <w:p w14:paraId="6EE23023" w14:textId="77777777" w:rsidR="00877C76" w:rsidRPr="0080626B" w:rsidRDefault="00877C76">
      <w:pPr>
        <w:widowControl w:val="0"/>
        <w:jc w:val="both"/>
        <w:outlineLvl w:val="0"/>
        <w:rPr>
          <w:szCs w:val="22"/>
          <w:lang w:val="sr-Latn-RS"/>
        </w:rPr>
      </w:pPr>
    </w:p>
    <w:p w14:paraId="765DA3C0" w14:textId="77777777" w:rsidR="00877C76" w:rsidRPr="0080626B" w:rsidRDefault="00E90AF4">
      <w:pPr>
        <w:widowControl w:val="0"/>
        <w:jc w:val="both"/>
        <w:outlineLvl w:val="0"/>
        <w:rPr>
          <w:szCs w:val="22"/>
          <w:lang w:val="sr-Latn-RS"/>
        </w:rPr>
      </w:pPr>
      <w:r w:rsidRPr="0080626B">
        <w:rPr>
          <w:b/>
          <w:szCs w:val="22"/>
          <w:lang w:val="sr-Latn-RS"/>
        </w:rPr>
        <w:t>4.7  Uticaj na sposobnost upravljanja vozilima i rukovanje mašinama</w:t>
      </w:r>
    </w:p>
    <w:p w14:paraId="015FF277" w14:textId="77777777" w:rsidR="00877C76" w:rsidRPr="0080626B" w:rsidRDefault="00877C76">
      <w:pPr>
        <w:widowControl w:val="0"/>
        <w:jc w:val="both"/>
        <w:rPr>
          <w:szCs w:val="22"/>
          <w:lang w:val="sr-Latn-RS"/>
        </w:rPr>
      </w:pPr>
    </w:p>
    <w:p w14:paraId="58E5807E" w14:textId="50B95DE6" w:rsidR="00877C76" w:rsidRPr="0080626B" w:rsidRDefault="00E90AF4">
      <w:pPr>
        <w:widowControl w:val="0"/>
        <w:jc w:val="both"/>
        <w:rPr>
          <w:szCs w:val="22"/>
          <w:lang w:val="sr-Latn-RS"/>
        </w:rPr>
      </w:pPr>
      <w:r w:rsidRPr="0080626B">
        <w:rPr>
          <w:szCs w:val="22"/>
          <w:lang w:val="sr-Latn-RS"/>
        </w:rPr>
        <w:t xml:space="preserve">Nijesu sprovedene studije o uticaju lijeka na sposobnost upravljanja vozilom ili rukovanja mašinama. Međutim, kako lijek Furocef može dovesti do pojave </w:t>
      </w:r>
      <w:r w:rsidR="00BA18F6" w:rsidRPr="0080626B">
        <w:rPr>
          <w:szCs w:val="22"/>
          <w:lang w:val="sr-Latn-RS"/>
        </w:rPr>
        <w:t>omaglice</w:t>
      </w:r>
      <w:r w:rsidRPr="0080626B">
        <w:rPr>
          <w:szCs w:val="22"/>
          <w:lang w:val="sr-Latn-RS"/>
        </w:rPr>
        <w:t>, pacijente koji upravljaju vozilom ili rukuju mašinama treba upozoriti na oprez prilikom primjene lijeka.</w:t>
      </w:r>
    </w:p>
    <w:p w14:paraId="777F43A1" w14:textId="77777777" w:rsidR="00877C76" w:rsidRPr="0080626B" w:rsidRDefault="00877C76">
      <w:pPr>
        <w:widowControl w:val="0"/>
        <w:jc w:val="both"/>
        <w:rPr>
          <w:szCs w:val="22"/>
          <w:lang w:val="sr-Latn-RS"/>
        </w:rPr>
      </w:pPr>
    </w:p>
    <w:p w14:paraId="68526555" w14:textId="77777777" w:rsidR="00877C76" w:rsidRPr="0080626B" w:rsidRDefault="00E90AF4">
      <w:pPr>
        <w:widowControl w:val="0"/>
        <w:numPr>
          <w:ilvl w:val="1"/>
          <w:numId w:val="11"/>
        </w:numPr>
        <w:spacing w:line="240" w:lineRule="auto"/>
        <w:outlineLvl w:val="0"/>
        <w:rPr>
          <w:b/>
          <w:szCs w:val="22"/>
          <w:lang w:val="sr-Latn-RS"/>
        </w:rPr>
      </w:pPr>
      <w:r w:rsidRPr="0080626B">
        <w:rPr>
          <w:b/>
          <w:bCs/>
          <w:szCs w:val="22"/>
          <w:lang w:val="sr-Latn-RS"/>
        </w:rPr>
        <w:t>Neželjena dejstva</w:t>
      </w:r>
      <w:r w:rsidRPr="0080626B">
        <w:rPr>
          <w:b/>
          <w:szCs w:val="22"/>
          <w:lang w:val="sr-Latn-RS"/>
        </w:rPr>
        <w:t xml:space="preserve"> </w:t>
      </w:r>
    </w:p>
    <w:p w14:paraId="3C0652CF" w14:textId="77777777" w:rsidR="00877C76" w:rsidRPr="0080626B" w:rsidRDefault="00877C76">
      <w:pPr>
        <w:widowControl w:val="0"/>
        <w:rPr>
          <w:szCs w:val="22"/>
          <w:lang w:val="sr-Latn-RS"/>
        </w:rPr>
      </w:pPr>
    </w:p>
    <w:p w14:paraId="59A39C60" w14:textId="54301875" w:rsidR="00877C76" w:rsidRPr="0080626B" w:rsidRDefault="00E90AF4">
      <w:pPr>
        <w:jc w:val="both"/>
        <w:rPr>
          <w:szCs w:val="22"/>
          <w:lang w:val="sr-Latn-RS"/>
        </w:rPr>
      </w:pPr>
      <w:r w:rsidRPr="0080626B">
        <w:rPr>
          <w:szCs w:val="22"/>
          <w:lang w:val="sr-Latn-RS"/>
        </w:rPr>
        <w:t>Najčešć</w:t>
      </w:r>
      <w:r w:rsidR="00F2250E" w:rsidRPr="0080626B">
        <w:rPr>
          <w:szCs w:val="22"/>
          <w:lang w:val="sr-Latn-RS"/>
        </w:rPr>
        <w:t>a</w:t>
      </w:r>
      <w:r w:rsidRPr="0080626B">
        <w:rPr>
          <w:szCs w:val="22"/>
          <w:lang w:val="sr-Latn-RS"/>
        </w:rPr>
        <w:t xml:space="preserve"> neželjen</w:t>
      </w:r>
      <w:r w:rsidR="00F2250E" w:rsidRPr="0080626B">
        <w:rPr>
          <w:szCs w:val="22"/>
          <w:lang w:val="sr-Latn-RS"/>
        </w:rPr>
        <w:t>a</w:t>
      </w:r>
      <w:r w:rsidRPr="0080626B">
        <w:rPr>
          <w:szCs w:val="22"/>
          <w:lang w:val="sr-Latn-RS"/>
        </w:rPr>
        <w:t xml:space="preserve"> </w:t>
      </w:r>
      <w:r w:rsidR="00F2250E" w:rsidRPr="0080626B">
        <w:rPr>
          <w:szCs w:val="22"/>
          <w:lang w:val="sr-Latn-RS"/>
        </w:rPr>
        <w:t xml:space="preserve">dejstva </w:t>
      </w:r>
      <w:r w:rsidRPr="0080626B">
        <w:rPr>
          <w:szCs w:val="22"/>
          <w:lang w:val="sr-Latn-RS"/>
        </w:rPr>
        <w:t xml:space="preserve">su povećan rast gljivice Candida, eozinofilija, glavobolja, </w:t>
      </w:r>
      <w:r w:rsidR="00BA18F6" w:rsidRPr="0080626B">
        <w:rPr>
          <w:szCs w:val="22"/>
          <w:lang w:val="sr-Latn-RS"/>
        </w:rPr>
        <w:t>omaglica</w:t>
      </w:r>
      <w:r w:rsidRPr="0080626B">
        <w:rPr>
          <w:szCs w:val="22"/>
          <w:lang w:val="sr-Latn-RS"/>
        </w:rPr>
        <w:t>, gastointestinalni poremećaji i prolazno povišenje enzima jetre.</w:t>
      </w:r>
    </w:p>
    <w:p w14:paraId="74B2EC28" w14:textId="77777777" w:rsidR="00877C76" w:rsidRPr="0080626B" w:rsidRDefault="00877C76">
      <w:pPr>
        <w:jc w:val="both"/>
        <w:rPr>
          <w:szCs w:val="22"/>
          <w:lang w:val="sr-Latn-RS"/>
        </w:rPr>
      </w:pPr>
    </w:p>
    <w:p w14:paraId="0F1AC035" w14:textId="4F6FBC8C" w:rsidR="00877C76" w:rsidRPr="0080626B" w:rsidRDefault="00E90AF4">
      <w:pPr>
        <w:jc w:val="both"/>
        <w:rPr>
          <w:szCs w:val="22"/>
          <w:lang w:val="sr-Latn-RS"/>
        </w:rPr>
      </w:pPr>
      <w:r w:rsidRPr="0080626B">
        <w:rPr>
          <w:szCs w:val="22"/>
          <w:lang w:val="sr-Latn-RS"/>
        </w:rPr>
        <w:t xml:space="preserve">Učestalost pojave dolje navedenih neželjenih </w:t>
      </w:r>
      <w:r w:rsidR="006A4DA0" w:rsidRPr="0080626B">
        <w:rPr>
          <w:szCs w:val="22"/>
          <w:lang w:val="sr-Latn-RS"/>
        </w:rPr>
        <w:t xml:space="preserve">dejstava </w:t>
      </w:r>
      <w:r w:rsidRPr="0080626B">
        <w:rPr>
          <w:szCs w:val="22"/>
          <w:lang w:val="sr-Latn-RS"/>
        </w:rPr>
        <w:t xml:space="preserve">je procijenjena, s obzirom </w:t>
      </w:r>
      <w:r w:rsidR="00F2250E" w:rsidRPr="0080626B">
        <w:rPr>
          <w:szCs w:val="22"/>
          <w:lang w:val="sr-Latn-RS"/>
        </w:rPr>
        <w:t xml:space="preserve">na to </w:t>
      </w:r>
      <w:r w:rsidRPr="0080626B">
        <w:rPr>
          <w:szCs w:val="22"/>
          <w:lang w:val="sr-Latn-RS"/>
        </w:rPr>
        <w:t>da odgovarajući podaci za većinu reakcija (na primjer rezultati placebo</w:t>
      </w:r>
      <w:r w:rsidR="00F2250E" w:rsidRPr="0080626B">
        <w:rPr>
          <w:szCs w:val="22"/>
          <w:lang w:val="sr-Latn-RS"/>
        </w:rPr>
        <w:t>m</w:t>
      </w:r>
      <w:r w:rsidRPr="0080626B">
        <w:rPr>
          <w:szCs w:val="22"/>
          <w:lang w:val="sr-Latn-RS"/>
        </w:rPr>
        <w:t xml:space="preserve"> kontrolisanih ispitivanja) nijesu dostupni. Dodatno, učestalost pojave neželjenih </w:t>
      </w:r>
      <w:r w:rsidR="00052C3E" w:rsidRPr="0080626B">
        <w:rPr>
          <w:szCs w:val="22"/>
          <w:lang w:val="sr-Latn-RS"/>
        </w:rPr>
        <w:t xml:space="preserve">dejstava </w:t>
      </w:r>
      <w:r w:rsidRPr="0080626B">
        <w:rPr>
          <w:szCs w:val="22"/>
          <w:lang w:val="sr-Latn-RS"/>
        </w:rPr>
        <w:t>povezanih sa primjenom cefuroksim aksetila varira u zavisnosti od indikacije u kojoj se lijek primjenjuje.</w:t>
      </w:r>
    </w:p>
    <w:p w14:paraId="104C6688" w14:textId="77777777" w:rsidR="00877C76" w:rsidRPr="0080626B" w:rsidRDefault="00877C76">
      <w:pPr>
        <w:jc w:val="both"/>
        <w:rPr>
          <w:szCs w:val="22"/>
          <w:lang w:val="sr-Latn-RS"/>
        </w:rPr>
      </w:pPr>
    </w:p>
    <w:p w14:paraId="5E062880" w14:textId="29BBF55B" w:rsidR="00877C76" w:rsidRPr="0080626B" w:rsidRDefault="00E90AF4">
      <w:pPr>
        <w:jc w:val="both"/>
        <w:rPr>
          <w:szCs w:val="22"/>
          <w:lang w:val="sr-Latn-RS"/>
        </w:rPr>
      </w:pPr>
      <w:r w:rsidRPr="0080626B">
        <w:rPr>
          <w:szCs w:val="22"/>
          <w:lang w:val="sr-Latn-RS"/>
        </w:rPr>
        <w:t xml:space="preserve">Podaci dobijeni u okviru velikih kliničkih ispitivanja korišćeni su u cilju određivanja učestalosti u opsegu od veoma čestih do rijetkih neželjenih dejstava. Učestalost svih ostalih neželjenih dejstava (npr. ona koja se javljaju </w:t>
      </w:r>
      <w:r w:rsidR="00052C3E" w:rsidRPr="0080626B">
        <w:rPr>
          <w:szCs w:val="22"/>
          <w:lang w:val="sr-Latn-RS"/>
        </w:rPr>
        <w:t xml:space="preserve">kod </w:t>
      </w:r>
      <w:r w:rsidRPr="0080626B">
        <w:rPr>
          <w:szCs w:val="22"/>
          <w:lang w:val="sr-Latn-RS"/>
        </w:rPr>
        <w:t>&lt;</w:t>
      </w:r>
      <w:r w:rsidR="00052C3E" w:rsidRPr="0080626B">
        <w:rPr>
          <w:szCs w:val="22"/>
          <w:lang w:val="sr-Latn-RS"/>
        </w:rPr>
        <w:t xml:space="preserve"> </w:t>
      </w:r>
      <w:r w:rsidRPr="0080626B">
        <w:rPr>
          <w:szCs w:val="22"/>
          <w:lang w:val="sr-Latn-RS"/>
        </w:rPr>
        <w:t>1/10000) uglavnom je definisana na osnovu podataka iz postmarketinškog praćenja i zasniva se više na spontanom prijavljivanju nego na stvarnoj učestalosti. Podaci iz placebo</w:t>
      </w:r>
      <w:r w:rsidR="00052C3E" w:rsidRPr="0080626B">
        <w:rPr>
          <w:szCs w:val="22"/>
          <w:lang w:val="sr-Latn-RS"/>
        </w:rPr>
        <w:t>m</w:t>
      </w:r>
      <w:r w:rsidRPr="0080626B">
        <w:rPr>
          <w:szCs w:val="22"/>
          <w:lang w:val="sr-Latn-RS"/>
        </w:rPr>
        <w:t xml:space="preserve"> kontrolisanih ispitivanja nijesu bili dostupni. Incidenca procijenjena na osnovu podataka iz kliničkih ispitivanja zasniva se na podacima </w:t>
      </w:r>
      <w:r w:rsidR="00052C3E" w:rsidRPr="0080626B">
        <w:rPr>
          <w:szCs w:val="22"/>
          <w:lang w:val="sr-Latn-RS"/>
        </w:rPr>
        <w:t>po</w:t>
      </w:r>
      <w:r w:rsidRPr="0080626B">
        <w:rPr>
          <w:szCs w:val="22"/>
          <w:lang w:val="sr-Latn-RS"/>
        </w:rPr>
        <w:t xml:space="preserve">vezanim </w:t>
      </w:r>
      <w:r w:rsidR="00052C3E" w:rsidRPr="0080626B">
        <w:rPr>
          <w:szCs w:val="22"/>
          <w:lang w:val="sr-Latn-RS"/>
        </w:rPr>
        <w:t>s</w:t>
      </w:r>
      <w:r w:rsidRPr="0080626B">
        <w:rPr>
          <w:szCs w:val="22"/>
          <w:lang w:val="sr-Latn-RS"/>
        </w:rPr>
        <w:t>a lijek</w:t>
      </w:r>
      <w:r w:rsidR="00052C3E" w:rsidRPr="0080626B">
        <w:rPr>
          <w:szCs w:val="22"/>
          <w:lang w:val="sr-Latn-RS"/>
        </w:rPr>
        <w:t>om</w:t>
      </w:r>
      <w:r w:rsidRPr="0080626B">
        <w:rPr>
          <w:szCs w:val="22"/>
          <w:lang w:val="sr-Latn-RS"/>
        </w:rPr>
        <w:t xml:space="preserve">, na osnovu procjene </w:t>
      </w:r>
      <w:r w:rsidR="00052C3E" w:rsidRPr="0080626B">
        <w:rPr>
          <w:szCs w:val="22"/>
          <w:lang w:val="sr-Latn-RS"/>
        </w:rPr>
        <w:t>ispitivača</w:t>
      </w:r>
      <w:r w:rsidRPr="0080626B">
        <w:rPr>
          <w:szCs w:val="22"/>
          <w:lang w:val="sr-Latn-RS"/>
        </w:rPr>
        <w:t xml:space="preserve">. U okviru svake grupe, neželjena dejstva su prikazana u skladu sa opadajućim stepenom ozbiljnosti (od najozbiljnijih do najblažih). </w:t>
      </w:r>
    </w:p>
    <w:p w14:paraId="2D4CA013" w14:textId="77777777" w:rsidR="00877C76" w:rsidRPr="0080626B" w:rsidRDefault="00877C76">
      <w:pPr>
        <w:widowControl w:val="0"/>
        <w:rPr>
          <w:szCs w:val="22"/>
          <w:lang w:val="sr-Latn-RS"/>
        </w:rPr>
      </w:pPr>
    </w:p>
    <w:p w14:paraId="6FA5D01E" w14:textId="357F942B" w:rsidR="00877C76" w:rsidRPr="0080626B" w:rsidRDefault="00E90AF4" w:rsidP="00137084">
      <w:pPr>
        <w:widowControl w:val="0"/>
        <w:jc w:val="both"/>
        <w:rPr>
          <w:szCs w:val="22"/>
          <w:lang w:val="sr-Latn-RS"/>
        </w:rPr>
      </w:pPr>
      <w:r w:rsidRPr="0080626B">
        <w:rPr>
          <w:szCs w:val="22"/>
          <w:lang w:val="sr-Latn-RS"/>
        </w:rPr>
        <w:t>Neželjena dejstva nastala u toku terapije navedena su prema MedDRA sistemu klasifikacije organa, učestalosti pojavljivanja i stepenu ozbiljnosti. Neželjena dejstva su klasifikovana prema učestalosti javljanja na sljedeći način:</w:t>
      </w:r>
    </w:p>
    <w:p w14:paraId="472DF939" w14:textId="77777777" w:rsidR="00877C76" w:rsidRPr="0080626B" w:rsidRDefault="00E90AF4">
      <w:pPr>
        <w:widowControl w:val="0"/>
        <w:numPr>
          <w:ilvl w:val="0"/>
          <w:numId w:val="26"/>
        </w:numPr>
        <w:spacing w:line="240" w:lineRule="auto"/>
        <w:rPr>
          <w:szCs w:val="22"/>
          <w:lang w:val="sr-Latn-RS"/>
        </w:rPr>
      </w:pPr>
      <w:r w:rsidRPr="0080626B">
        <w:rPr>
          <w:szCs w:val="22"/>
          <w:lang w:val="sr-Latn-RS"/>
        </w:rPr>
        <w:t xml:space="preserve">veoma česta (≥ 1/10), </w:t>
      </w:r>
    </w:p>
    <w:p w14:paraId="49BECFF4" w14:textId="77777777" w:rsidR="00877C76" w:rsidRPr="0080626B" w:rsidRDefault="00E90AF4">
      <w:pPr>
        <w:widowControl w:val="0"/>
        <w:numPr>
          <w:ilvl w:val="0"/>
          <w:numId w:val="26"/>
        </w:numPr>
        <w:spacing w:line="240" w:lineRule="auto"/>
        <w:rPr>
          <w:szCs w:val="22"/>
          <w:lang w:val="sr-Latn-RS"/>
        </w:rPr>
      </w:pPr>
      <w:r w:rsidRPr="0080626B">
        <w:rPr>
          <w:szCs w:val="22"/>
          <w:lang w:val="sr-Latn-RS"/>
        </w:rPr>
        <w:t xml:space="preserve">česta (od ≥ 1/100 do &lt;1/10), </w:t>
      </w:r>
    </w:p>
    <w:p w14:paraId="383CB216" w14:textId="77777777" w:rsidR="00877C76" w:rsidRPr="0080626B" w:rsidRDefault="00E90AF4">
      <w:pPr>
        <w:widowControl w:val="0"/>
        <w:numPr>
          <w:ilvl w:val="0"/>
          <w:numId w:val="26"/>
        </w:numPr>
        <w:spacing w:line="240" w:lineRule="auto"/>
        <w:rPr>
          <w:szCs w:val="22"/>
          <w:lang w:val="sr-Latn-RS"/>
        </w:rPr>
      </w:pPr>
      <w:r w:rsidRPr="0080626B">
        <w:rPr>
          <w:szCs w:val="22"/>
          <w:lang w:val="sr-Latn-RS"/>
        </w:rPr>
        <w:t xml:space="preserve">povremena (od ≥ 1/1000 do &lt; 1/100), </w:t>
      </w:r>
    </w:p>
    <w:p w14:paraId="0B88C5CB" w14:textId="7A640019" w:rsidR="00877C76" w:rsidRPr="0080626B" w:rsidRDefault="00E90AF4">
      <w:pPr>
        <w:widowControl w:val="0"/>
        <w:numPr>
          <w:ilvl w:val="0"/>
          <w:numId w:val="26"/>
        </w:numPr>
        <w:spacing w:line="240" w:lineRule="auto"/>
        <w:rPr>
          <w:szCs w:val="22"/>
          <w:lang w:val="sr-Latn-RS"/>
        </w:rPr>
      </w:pPr>
      <w:r w:rsidRPr="0080626B">
        <w:rPr>
          <w:szCs w:val="22"/>
          <w:lang w:val="sr-Latn-RS"/>
        </w:rPr>
        <w:t xml:space="preserve">rijetka (od ≥ 1/10000 do &lt;1/1000), </w:t>
      </w:r>
    </w:p>
    <w:p w14:paraId="1918C162" w14:textId="6964AE0C" w:rsidR="00877C76" w:rsidRPr="0080626B" w:rsidRDefault="00E90AF4">
      <w:pPr>
        <w:widowControl w:val="0"/>
        <w:numPr>
          <w:ilvl w:val="0"/>
          <w:numId w:val="26"/>
        </w:numPr>
        <w:spacing w:line="240" w:lineRule="auto"/>
        <w:rPr>
          <w:szCs w:val="22"/>
          <w:lang w:val="sr-Latn-RS"/>
        </w:rPr>
      </w:pPr>
      <w:r w:rsidRPr="0080626B">
        <w:rPr>
          <w:szCs w:val="22"/>
          <w:lang w:val="sr-Latn-RS"/>
        </w:rPr>
        <w:t xml:space="preserve">veoma rijetka (&lt; 1/10000) i </w:t>
      </w:r>
    </w:p>
    <w:p w14:paraId="65BF8EC3" w14:textId="77777777" w:rsidR="00877C76" w:rsidRPr="0080626B" w:rsidRDefault="00E90AF4">
      <w:pPr>
        <w:widowControl w:val="0"/>
        <w:numPr>
          <w:ilvl w:val="0"/>
          <w:numId w:val="26"/>
        </w:numPr>
        <w:spacing w:line="240" w:lineRule="auto"/>
        <w:rPr>
          <w:szCs w:val="22"/>
          <w:lang w:val="sr-Latn-RS"/>
        </w:rPr>
      </w:pPr>
      <w:r w:rsidRPr="0080626B">
        <w:rPr>
          <w:szCs w:val="22"/>
          <w:lang w:val="sr-Latn-RS"/>
        </w:rPr>
        <w:t>nepoznata (učestalost se ne može procijeniti na osnovu raspoloživih podataka).</w:t>
      </w:r>
    </w:p>
    <w:p w14:paraId="00D4B798" w14:textId="77777777" w:rsidR="00877C76" w:rsidRPr="0080626B" w:rsidRDefault="00E90AF4">
      <w:pPr>
        <w:widowControl w:val="0"/>
        <w:rPr>
          <w:iCs/>
          <w:szCs w:val="22"/>
          <w:lang w:val="sr-Latn-RS"/>
        </w:rPr>
      </w:pPr>
      <w:r w:rsidRPr="0080626B">
        <w:rPr>
          <w:szCs w:val="22"/>
          <w:lang w:val="sr-Latn-R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1896"/>
        <w:gridCol w:w="2162"/>
        <w:gridCol w:w="2690"/>
      </w:tblGrid>
      <w:tr w:rsidR="00877C76" w:rsidRPr="0080626B" w14:paraId="403C7B81" w14:textId="77777777">
        <w:tc>
          <w:tcPr>
            <w:tcW w:w="2163" w:type="dxa"/>
          </w:tcPr>
          <w:p w14:paraId="7B93F325" w14:textId="77777777" w:rsidR="00877C76" w:rsidRPr="0080626B" w:rsidRDefault="00E90AF4">
            <w:pPr>
              <w:widowControl w:val="0"/>
              <w:rPr>
                <w:b/>
                <w:szCs w:val="22"/>
                <w:lang w:val="sr-Latn-RS"/>
              </w:rPr>
            </w:pPr>
            <w:r w:rsidRPr="0080626B">
              <w:rPr>
                <w:b/>
                <w:szCs w:val="22"/>
                <w:lang w:val="sr-Latn-RS"/>
              </w:rPr>
              <w:t>Klasifikacija organskih sistema</w:t>
            </w:r>
          </w:p>
        </w:tc>
        <w:tc>
          <w:tcPr>
            <w:tcW w:w="2206" w:type="dxa"/>
          </w:tcPr>
          <w:p w14:paraId="75E3C3BB" w14:textId="77777777" w:rsidR="00877C76" w:rsidRPr="0080626B" w:rsidRDefault="00E90AF4">
            <w:pPr>
              <w:widowControl w:val="0"/>
              <w:rPr>
                <w:b/>
                <w:szCs w:val="22"/>
                <w:lang w:val="sr-Latn-RS"/>
              </w:rPr>
            </w:pPr>
            <w:r w:rsidRPr="0080626B">
              <w:rPr>
                <w:b/>
                <w:szCs w:val="22"/>
                <w:lang w:val="sr-Latn-RS"/>
              </w:rPr>
              <w:t>Često</w:t>
            </w:r>
          </w:p>
        </w:tc>
        <w:tc>
          <w:tcPr>
            <w:tcW w:w="1976" w:type="dxa"/>
          </w:tcPr>
          <w:p w14:paraId="3DD8DAE3" w14:textId="77777777" w:rsidR="00877C76" w:rsidRPr="0080626B" w:rsidRDefault="00E90AF4">
            <w:pPr>
              <w:widowControl w:val="0"/>
              <w:rPr>
                <w:b/>
                <w:szCs w:val="22"/>
                <w:lang w:val="sr-Latn-RS"/>
              </w:rPr>
            </w:pPr>
            <w:r w:rsidRPr="0080626B">
              <w:rPr>
                <w:b/>
                <w:szCs w:val="22"/>
                <w:lang w:val="sr-Latn-RS"/>
              </w:rPr>
              <w:t>Povremeno</w:t>
            </w:r>
          </w:p>
        </w:tc>
        <w:tc>
          <w:tcPr>
            <w:tcW w:w="2942" w:type="dxa"/>
          </w:tcPr>
          <w:p w14:paraId="43521D57" w14:textId="77777777" w:rsidR="00877C76" w:rsidRPr="0080626B" w:rsidRDefault="00E90AF4">
            <w:pPr>
              <w:widowControl w:val="0"/>
              <w:rPr>
                <w:b/>
                <w:szCs w:val="22"/>
                <w:lang w:val="sr-Latn-RS"/>
              </w:rPr>
            </w:pPr>
            <w:r w:rsidRPr="0080626B">
              <w:rPr>
                <w:b/>
                <w:szCs w:val="22"/>
                <w:lang w:val="sr-Latn-RS"/>
              </w:rPr>
              <w:t>Nepoznato</w:t>
            </w:r>
          </w:p>
        </w:tc>
      </w:tr>
      <w:tr w:rsidR="00877C76" w:rsidRPr="0080626B" w14:paraId="11436E86" w14:textId="77777777">
        <w:tc>
          <w:tcPr>
            <w:tcW w:w="2163" w:type="dxa"/>
          </w:tcPr>
          <w:p w14:paraId="6B5AE917" w14:textId="77777777" w:rsidR="00877C76" w:rsidRPr="0080626B" w:rsidRDefault="00E90AF4">
            <w:pPr>
              <w:widowControl w:val="0"/>
              <w:tabs>
                <w:tab w:val="center" w:pos="4536"/>
                <w:tab w:val="right" w:pos="9072"/>
              </w:tabs>
              <w:rPr>
                <w:szCs w:val="22"/>
                <w:lang w:val="sr-Latn-RS"/>
              </w:rPr>
            </w:pPr>
            <w:r w:rsidRPr="0080626B">
              <w:rPr>
                <w:szCs w:val="22"/>
                <w:lang w:val="sr-Latn-RS"/>
              </w:rPr>
              <w:t>Infekcije i infestacije</w:t>
            </w:r>
          </w:p>
        </w:tc>
        <w:tc>
          <w:tcPr>
            <w:tcW w:w="2206" w:type="dxa"/>
          </w:tcPr>
          <w:p w14:paraId="19AD0068" w14:textId="77777777" w:rsidR="00877C76" w:rsidRPr="0080626B" w:rsidRDefault="00E90AF4">
            <w:pPr>
              <w:autoSpaceDE w:val="0"/>
              <w:autoSpaceDN w:val="0"/>
              <w:adjustRightInd w:val="0"/>
              <w:rPr>
                <w:color w:val="000000"/>
                <w:szCs w:val="22"/>
                <w:lang w:val="sr-Latn-RS"/>
              </w:rPr>
            </w:pPr>
            <w:r w:rsidRPr="0080626B">
              <w:rPr>
                <w:color w:val="000000"/>
                <w:szCs w:val="22"/>
                <w:lang w:val="sr-Latn-RS"/>
              </w:rPr>
              <w:t xml:space="preserve">prekomjeran rast </w:t>
            </w:r>
            <w:r w:rsidRPr="0080626B">
              <w:rPr>
                <w:i/>
                <w:iCs/>
                <w:color w:val="000000"/>
                <w:szCs w:val="22"/>
                <w:lang w:val="sr-Latn-RS"/>
              </w:rPr>
              <w:t>Candide</w:t>
            </w:r>
          </w:p>
        </w:tc>
        <w:tc>
          <w:tcPr>
            <w:tcW w:w="1976" w:type="dxa"/>
          </w:tcPr>
          <w:p w14:paraId="1CF562BC" w14:textId="77777777" w:rsidR="00877C76" w:rsidRPr="0080626B" w:rsidRDefault="00877C76">
            <w:pPr>
              <w:widowControl w:val="0"/>
              <w:rPr>
                <w:szCs w:val="22"/>
                <w:lang w:val="sr-Latn-RS"/>
              </w:rPr>
            </w:pPr>
          </w:p>
        </w:tc>
        <w:tc>
          <w:tcPr>
            <w:tcW w:w="2942" w:type="dxa"/>
          </w:tcPr>
          <w:p w14:paraId="0CD98EAE" w14:textId="77777777" w:rsidR="00877C76" w:rsidRPr="0080626B" w:rsidRDefault="00E90AF4">
            <w:pPr>
              <w:widowControl w:val="0"/>
              <w:autoSpaceDE w:val="0"/>
              <w:autoSpaceDN w:val="0"/>
              <w:adjustRightInd w:val="0"/>
              <w:rPr>
                <w:color w:val="000000"/>
                <w:szCs w:val="22"/>
                <w:lang w:val="sr-Latn-RS"/>
              </w:rPr>
            </w:pPr>
            <w:r w:rsidRPr="0080626B">
              <w:rPr>
                <w:iCs/>
                <w:color w:val="000000"/>
                <w:szCs w:val="22"/>
                <w:lang w:val="sr-Latn-RS"/>
              </w:rPr>
              <w:t xml:space="preserve">prekomjeran rast </w:t>
            </w:r>
            <w:r w:rsidRPr="0080626B">
              <w:rPr>
                <w:i/>
                <w:iCs/>
                <w:color w:val="000000"/>
                <w:szCs w:val="22"/>
                <w:lang w:val="sr-Latn-RS"/>
              </w:rPr>
              <w:t>Clostridium difficile</w:t>
            </w:r>
          </w:p>
        </w:tc>
      </w:tr>
      <w:tr w:rsidR="00877C76" w:rsidRPr="0080626B" w14:paraId="4F7C37AD" w14:textId="77777777">
        <w:tc>
          <w:tcPr>
            <w:tcW w:w="2163" w:type="dxa"/>
          </w:tcPr>
          <w:p w14:paraId="62F3BED4" w14:textId="77777777" w:rsidR="00877C76" w:rsidRPr="0080626B" w:rsidRDefault="00E90AF4">
            <w:pPr>
              <w:widowControl w:val="0"/>
              <w:rPr>
                <w:szCs w:val="22"/>
                <w:lang w:val="sr-Latn-RS"/>
              </w:rPr>
            </w:pPr>
            <w:r w:rsidRPr="0080626B">
              <w:rPr>
                <w:szCs w:val="22"/>
                <w:lang w:val="sr-Latn-RS"/>
              </w:rPr>
              <w:t>Poremećaji krvi i limfnog sistema</w:t>
            </w:r>
          </w:p>
        </w:tc>
        <w:tc>
          <w:tcPr>
            <w:tcW w:w="2206" w:type="dxa"/>
          </w:tcPr>
          <w:p w14:paraId="3BECB50A"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eozinofilija</w:t>
            </w:r>
          </w:p>
        </w:tc>
        <w:tc>
          <w:tcPr>
            <w:tcW w:w="1976" w:type="dxa"/>
          </w:tcPr>
          <w:p w14:paraId="02EA1B4D" w14:textId="69FD6F69" w:rsidR="00877C76" w:rsidRPr="0080626B" w:rsidRDefault="00E90AF4">
            <w:pPr>
              <w:autoSpaceDE w:val="0"/>
              <w:autoSpaceDN w:val="0"/>
              <w:adjustRightInd w:val="0"/>
              <w:rPr>
                <w:color w:val="000000"/>
                <w:szCs w:val="22"/>
                <w:lang w:val="sr-Latn-RS"/>
              </w:rPr>
            </w:pPr>
            <w:r w:rsidRPr="0080626B">
              <w:rPr>
                <w:color w:val="000000"/>
                <w:szCs w:val="22"/>
                <w:lang w:val="sr-Latn-RS"/>
              </w:rPr>
              <w:t>pozitivan Coombs</w:t>
            </w:r>
            <w:r w:rsidR="001A7D06" w:rsidRPr="0080626B">
              <w:rPr>
                <w:color w:val="000000"/>
                <w:szCs w:val="22"/>
                <w:lang w:val="sr-Latn-RS"/>
              </w:rPr>
              <w:t>-</w:t>
            </w:r>
            <w:r w:rsidRPr="0080626B">
              <w:rPr>
                <w:color w:val="000000"/>
                <w:szCs w:val="22"/>
                <w:lang w:val="sr-Latn-RS"/>
              </w:rPr>
              <w:t>ov test, trombocitopenija, leukopenija (ponekad teška)</w:t>
            </w:r>
          </w:p>
        </w:tc>
        <w:tc>
          <w:tcPr>
            <w:tcW w:w="2942" w:type="dxa"/>
          </w:tcPr>
          <w:p w14:paraId="6A260434"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hemolitička anemija</w:t>
            </w:r>
          </w:p>
        </w:tc>
      </w:tr>
      <w:tr w:rsidR="00877C76" w:rsidRPr="0080626B" w14:paraId="0DA4CEA9" w14:textId="77777777">
        <w:tc>
          <w:tcPr>
            <w:tcW w:w="2163" w:type="dxa"/>
          </w:tcPr>
          <w:p w14:paraId="6B70D132" w14:textId="77777777" w:rsidR="00877C76" w:rsidRPr="0080626B" w:rsidRDefault="00E90AF4">
            <w:pPr>
              <w:widowControl w:val="0"/>
              <w:rPr>
                <w:szCs w:val="22"/>
                <w:lang w:val="sr-Latn-RS"/>
              </w:rPr>
            </w:pPr>
            <w:r w:rsidRPr="0080626B">
              <w:rPr>
                <w:szCs w:val="22"/>
                <w:lang w:val="sr-Latn-RS"/>
              </w:rPr>
              <w:t>Poremećaji imunološkog sistema</w:t>
            </w:r>
          </w:p>
        </w:tc>
        <w:tc>
          <w:tcPr>
            <w:tcW w:w="2206" w:type="dxa"/>
          </w:tcPr>
          <w:p w14:paraId="621653D6" w14:textId="77777777" w:rsidR="00877C76" w:rsidRPr="0080626B" w:rsidRDefault="00877C76">
            <w:pPr>
              <w:widowControl w:val="0"/>
              <w:rPr>
                <w:szCs w:val="22"/>
                <w:lang w:val="sr-Latn-RS"/>
              </w:rPr>
            </w:pPr>
          </w:p>
        </w:tc>
        <w:tc>
          <w:tcPr>
            <w:tcW w:w="1976" w:type="dxa"/>
          </w:tcPr>
          <w:p w14:paraId="0D9B2F82" w14:textId="77777777" w:rsidR="00877C76" w:rsidRPr="0080626B" w:rsidRDefault="00877C76">
            <w:pPr>
              <w:widowControl w:val="0"/>
              <w:rPr>
                <w:szCs w:val="22"/>
                <w:lang w:val="sr-Latn-RS"/>
              </w:rPr>
            </w:pPr>
          </w:p>
        </w:tc>
        <w:tc>
          <w:tcPr>
            <w:tcW w:w="2942" w:type="dxa"/>
          </w:tcPr>
          <w:p w14:paraId="6C4ED229" w14:textId="77777777" w:rsidR="00CF030D" w:rsidRPr="0080626B" w:rsidRDefault="00E90AF4">
            <w:pPr>
              <w:autoSpaceDE w:val="0"/>
              <w:autoSpaceDN w:val="0"/>
              <w:adjustRightInd w:val="0"/>
              <w:rPr>
                <w:color w:val="000000"/>
                <w:szCs w:val="22"/>
                <w:lang w:val="sr-Latn-RS"/>
              </w:rPr>
            </w:pPr>
            <w:r w:rsidRPr="0080626B">
              <w:rPr>
                <w:color w:val="000000"/>
                <w:szCs w:val="22"/>
                <w:lang w:val="sr-Latn-RS"/>
              </w:rPr>
              <w:t>groznica izazvana lijekom, serumska bolest, anafilaksija, Jarisch-</w:t>
            </w:r>
          </w:p>
          <w:p w14:paraId="157A3DE2" w14:textId="56760303" w:rsidR="00877C76" w:rsidRPr="0080626B" w:rsidRDefault="00CF030D">
            <w:pPr>
              <w:autoSpaceDE w:val="0"/>
              <w:autoSpaceDN w:val="0"/>
              <w:adjustRightInd w:val="0"/>
              <w:rPr>
                <w:color w:val="000000"/>
                <w:szCs w:val="22"/>
                <w:lang w:val="sr-Latn-RS"/>
              </w:rPr>
            </w:pPr>
            <w:r w:rsidRPr="0080626B">
              <w:rPr>
                <w:color w:val="000000"/>
                <w:szCs w:val="22"/>
                <w:lang w:val="sr-Latn-RS"/>
              </w:rPr>
              <w:t>-</w:t>
            </w:r>
            <w:r w:rsidR="00E90AF4" w:rsidRPr="0080626B">
              <w:rPr>
                <w:color w:val="000000"/>
                <w:szCs w:val="22"/>
                <w:lang w:val="sr-Latn-RS"/>
              </w:rPr>
              <w:t>Herxheimer reakcija</w:t>
            </w:r>
          </w:p>
        </w:tc>
      </w:tr>
      <w:tr w:rsidR="00877C76" w:rsidRPr="0080626B" w14:paraId="11218A0B" w14:textId="77777777">
        <w:tc>
          <w:tcPr>
            <w:tcW w:w="2163" w:type="dxa"/>
          </w:tcPr>
          <w:p w14:paraId="0698EEC8" w14:textId="77777777" w:rsidR="00877C76" w:rsidRPr="0080626B" w:rsidRDefault="00E90AF4">
            <w:pPr>
              <w:widowControl w:val="0"/>
              <w:rPr>
                <w:szCs w:val="22"/>
                <w:lang w:val="sr-Latn-RS"/>
              </w:rPr>
            </w:pPr>
            <w:r w:rsidRPr="0080626B">
              <w:rPr>
                <w:szCs w:val="22"/>
                <w:lang w:val="sr-Latn-RS"/>
              </w:rPr>
              <w:t>Poremećaji nervnog sistema</w:t>
            </w:r>
          </w:p>
        </w:tc>
        <w:tc>
          <w:tcPr>
            <w:tcW w:w="2206" w:type="dxa"/>
          </w:tcPr>
          <w:p w14:paraId="340D29C7"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 xml:space="preserve">glavobolja, </w:t>
            </w:r>
          </w:p>
          <w:p w14:paraId="780876D4" w14:textId="085E5F36" w:rsidR="00877C76" w:rsidRPr="0080626B" w:rsidRDefault="00BA18F6">
            <w:pPr>
              <w:widowControl w:val="0"/>
              <w:autoSpaceDE w:val="0"/>
              <w:autoSpaceDN w:val="0"/>
              <w:adjustRightInd w:val="0"/>
              <w:rPr>
                <w:color w:val="000000"/>
                <w:szCs w:val="22"/>
                <w:lang w:val="sr-Latn-RS"/>
              </w:rPr>
            </w:pPr>
            <w:r w:rsidRPr="0080626B">
              <w:rPr>
                <w:color w:val="000000"/>
                <w:szCs w:val="22"/>
                <w:lang w:val="sr-Latn-RS"/>
              </w:rPr>
              <w:t>omaglica</w:t>
            </w:r>
          </w:p>
        </w:tc>
        <w:tc>
          <w:tcPr>
            <w:tcW w:w="1976" w:type="dxa"/>
          </w:tcPr>
          <w:p w14:paraId="77C3A46A" w14:textId="77777777" w:rsidR="00877C76" w:rsidRPr="0080626B" w:rsidRDefault="00877C76">
            <w:pPr>
              <w:widowControl w:val="0"/>
              <w:rPr>
                <w:szCs w:val="22"/>
                <w:lang w:val="sr-Latn-RS"/>
              </w:rPr>
            </w:pPr>
          </w:p>
        </w:tc>
        <w:tc>
          <w:tcPr>
            <w:tcW w:w="2942" w:type="dxa"/>
          </w:tcPr>
          <w:p w14:paraId="27876B06" w14:textId="77777777" w:rsidR="00877C76" w:rsidRPr="0080626B" w:rsidRDefault="00877C76">
            <w:pPr>
              <w:widowControl w:val="0"/>
              <w:rPr>
                <w:szCs w:val="22"/>
                <w:lang w:val="sr-Latn-RS"/>
              </w:rPr>
            </w:pPr>
          </w:p>
        </w:tc>
      </w:tr>
      <w:tr w:rsidR="00877C76" w:rsidRPr="0080626B" w14:paraId="14D0AAD5" w14:textId="77777777">
        <w:tc>
          <w:tcPr>
            <w:tcW w:w="2163" w:type="dxa"/>
          </w:tcPr>
          <w:p w14:paraId="4EB978B3" w14:textId="77777777" w:rsidR="00877C76" w:rsidRPr="0080626B" w:rsidRDefault="00E90AF4">
            <w:pPr>
              <w:widowControl w:val="0"/>
              <w:rPr>
                <w:szCs w:val="22"/>
                <w:lang w:val="sr-Latn-RS"/>
              </w:rPr>
            </w:pPr>
            <w:r w:rsidRPr="0080626B">
              <w:rPr>
                <w:szCs w:val="22"/>
                <w:lang w:val="sr-Latn-RS"/>
              </w:rPr>
              <w:t>Poremećaji srca</w:t>
            </w:r>
          </w:p>
        </w:tc>
        <w:tc>
          <w:tcPr>
            <w:tcW w:w="2206" w:type="dxa"/>
          </w:tcPr>
          <w:p w14:paraId="3C58476A" w14:textId="77777777" w:rsidR="00877C76" w:rsidRPr="0080626B" w:rsidRDefault="00877C76">
            <w:pPr>
              <w:widowControl w:val="0"/>
              <w:autoSpaceDE w:val="0"/>
              <w:autoSpaceDN w:val="0"/>
              <w:adjustRightInd w:val="0"/>
              <w:rPr>
                <w:color w:val="000000"/>
                <w:szCs w:val="22"/>
                <w:lang w:val="sr-Latn-RS"/>
              </w:rPr>
            </w:pPr>
          </w:p>
        </w:tc>
        <w:tc>
          <w:tcPr>
            <w:tcW w:w="1976" w:type="dxa"/>
          </w:tcPr>
          <w:p w14:paraId="21B885ED" w14:textId="77777777" w:rsidR="00877C76" w:rsidRPr="0080626B" w:rsidRDefault="00877C76">
            <w:pPr>
              <w:widowControl w:val="0"/>
              <w:rPr>
                <w:szCs w:val="22"/>
                <w:lang w:val="sr-Latn-RS"/>
              </w:rPr>
            </w:pPr>
          </w:p>
        </w:tc>
        <w:tc>
          <w:tcPr>
            <w:tcW w:w="2942" w:type="dxa"/>
          </w:tcPr>
          <w:p w14:paraId="3EF69576" w14:textId="77777777" w:rsidR="00877C76" w:rsidRPr="0080626B" w:rsidRDefault="00E90AF4">
            <w:pPr>
              <w:widowControl w:val="0"/>
              <w:rPr>
                <w:szCs w:val="22"/>
                <w:lang w:val="sr-Latn-RS"/>
              </w:rPr>
            </w:pPr>
            <w:r w:rsidRPr="0080626B">
              <w:rPr>
                <w:szCs w:val="22"/>
                <w:lang w:val="sr-Latn-RS"/>
              </w:rPr>
              <w:t>Kounisov sindrom</w:t>
            </w:r>
          </w:p>
        </w:tc>
      </w:tr>
      <w:tr w:rsidR="00877C76" w:rsidRPr="0080626B" w14:paraId="6B2DE92A" w14:textId="77777777">
        <w:tc>
          <w:tcPr>
            <w:tcW w:w="2163" w:type="dxa"/>
          </w:tcPr>
          <w:p w14:paraId="2436747D" w14:textId="77777777" w:rsidR="00877C76" w:rsidRPr="0080626B" w:rsidRDefault="00E90AF4">
            <w:pPr>
              <w:widowControl w:val="0"/>
              <w:tabs>
                <w:tab w:val="center" w:pos="4536"/>
                <w:tab w:val="right" w:pos="9072"/>
              </w:tabs>
              <w:rPr>
                <w:szCs w:val="22"/>
                <w:lang w:val="sr-Latn-RS"/>
              </w:rPr>
            </w:pPr>
            <w:r w:rsidRPr="0080626B">
              <w:rPr>
                <w:szCs w:val="22"/>
                <w:lang w:val="sr-Latn-RS"/>
              </w:rPr>
              <w:lastRenderedPageBreak/>
              <w:t>Poremećaji gastrointestinalnog sistema</w:t>
            </w:r>
          </w:p>
        </w:tc>
        <w:tc>
          <w:tcPr>
            <w:tcW w:w="2206" w:type="dxa"/>
          </w:tcPr>
          <w:p w14:paraId="581FA159" w14:textId="77777777" w:rsidR="00877C76" w:rsidRPr="0080626B" w:rsidRDefault="00E90AF4">
            <w:pPr>
              <w:autoSpaceDE w:val="0"/>
              <w:autoSpaceDN w:val="0"/>
              <w:adjustRightInd w:val="0"/>
              <w:rPr>
                <w:color w:val="000000"/>
                <w:szCs w:val="22"/>
                <w:lang w:val="sr-Latn-RS"/>
              </w:rPr>
            </w:pPr>
            <w:r w:rsidRPr="0080626B">
              <w:rPr>
                <w:color w:val="000000"/>
                <w:szCs w:val="22"/>
                <w:lang w:val="sr-Latn-RS"/>
              </w:rPr>
              <w:t>proliv, mučnina, bolovi u abdomenu</w:t>
            </w:r>
          </w:p>
        </w:tc>
        <w:tc>
          <w:tcPr>
            <w:tcW w:w="1976" w:type="dxa"/>
          </w:tcPr>
          <w:p w14:paraId="507DA72D"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povraćanje</w:t>
            </w:r>
          </w:p>
        </w:tc>
        <w:tc>
          <w:tcPr>
            <w:tcW w:w="2942" w:type="dxa"/>
          </w:tcPr>
          <w:p w14:paraId="7F834D00"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pseudomembranozni kolitis (vidjeti dio 4.4)</w:t>
            </w:r>
          </w:p>
        </w:tc>
      </w:tr>
      <w:tr w:rsidR="00877C76" w:rsidRPr="0080626B" w14:paraId="73B713BC" w14:textId="77777777">
        <w:tc>
          <w:tcPr>
            <w:tcW w:w="2163" w:type="dxa"/>
          </w:tcPr>
          <w:p w14:paraId="5B56ED50" w14:textId="77777777" w:rsidR="00877C76" w:rsidRPr="0080626B" w:rsidRDefault="00E90AF4">
            <w:pPr>
              <w:widowControl w:val="0"/>
              <w:tabs>
                <w:tab w:val="center" w:pos="4536"/>
                <w:tab w:val="right" w:pos="9072"/>
              </w:tabs>
              <w:rPr>
                <w:szCs w:val="22"/>
                <w:lang w:val="sr-Latn-RS"/>
              </w:rPr>
            </w:pPr>
            <w:r w:rsidRPr="0080626B">
              <w:rPr>
                <w:szCs w:val="22"/>
                <w:lang w:val="sr-Latn-RS"/>
              </w:rPr>
              <w:t>Poremećaji jetre i žuči</w:t>
            </w:r>
          </w:p>
        </w:tc>
        <w:tc>
          <w:tcPr>
            <w:tcW w:w="2206" w:type="dxa"/>
          </w:tcPr>
          <w:p w14:paraId="30DAF60C" w14:textId="77777777" w:rsidR="00877C76" w:rsidRPr="0080626B" w:rsidRDefault="00E90AF4">
            <w:pPr>
              <w:autoSpaceDE w:val="0"/>
              <w:autoSpaceDN w:val="0"/>
              <w:adjustRightInd w:val="0"/>
              <w:rPr>
                <w:color w:val="000000"/>
                <w:szCs w:val="22"/>
                <w:lang w:val="sr-Latn-RS"/>
              </w:rPr>
            </w:pPr>
            <w:r w:rsidRPr="0080626B">
              <w:rPr>
                <w:color w:val="000000"/>
                <w:szCs w:val="22"/>
                <w:lang w:val="sr-Latn-RS"/>
              </w:rPr>
              <w:t>prolazni porast koncentracije enzima jetre</w:t>
            </w:r>
          </w:p>
        </w:tc>
        <w:tc>
          <w:tcPr>
            <w:tcW w:w="1976" w:type="dxa"/>
          </w:tcPr>
          <w:p w14:paraId="5B1DF7FC" w14:textId="77777777" w:rsidR="00877C76" w:rsidRPr="0080626B" w:rsidRDefault="00877C76">
            <w:pPr>
              <w:widowControl w:val="0"/>
              <w:rPr>
                <w:szCs w:val="22"/>
                <w:lang w:val="sr-Latn-RS"/>
              </w:rPr>
            </w:pPr>
          </w:p>
        </w:tc>
        <w:tc>
          <w:tcPr>
            <w:tcW w:w="2942" w:type="dxa"/>
          </w:tcPr>
          <w:p w14:paraId="27BF5F48" w14:textId="77777777" w:rsidR="00877C76" w:rsidRPr="0080626B" w:rsidRDefault="00E90AF4">
            <w:pPr>
              <w:autoSpaceDE w:val="0"/>
              <w:autoSpaceDN w:val="0"/>
              <w:adjustRightInd w:val="0"/>
              <w:rPr>
                <w:color w:val="000000"/>
                <w:szCs w:val="22"/>
                <w:lang w:val="sr-Latn-RS"/>
              </w:rPr>
            </w:pPr>
            <w:r w:rsidRPr="0080626B">
              <w:rPr>
                <w:color w:val="000000"/>
                <w:szCs w:val="22"/>
                <w:lang w:val="sr-Latn-RS"/>
              </w:rPr>
              <w:t>žutica (pretežno holestatska), hepatitis</w:t>
            </w:r>
          </w:p>
        </w:tc>
      </w:tr>
      <w:tr w:rsidR="00877C76" w:rsidRPr="0080626B" w14:paraId="35AED6B1" w14:textId="77777777">
        <w:tc>
          <w:tcPr>
            <w:tcW w:w="2163" w:type="dxa"/>
          </w:tcPr>
          <w:p w14:paraId="517D178B" w14:textId="77777777" w:rsidR="00877C76" w:rsidRPr="0080626B" w:rsidRDefault="00E90AF4">
            <w:pPr>
              <w:autoSpaceDE w:val="0"/>
              <w:autoSpaceDN w:val="0"/>
              <w:adjustRightInd w:val="0"/>
              <w:rPr>
                <w:color w:val="000000"/>
                <w:szCs w:val="22"/>
                <w:lang w:val="sr-Latn-RS"/>
              </w:rPr>
            </w:pPr>
            <w:r w:rsidRPr="0080626B">
              <w:rPr>
                <w:color w:val="000000"/>
                <w:szCs w:val="22"/>
                <w:lang w:val="sr-Latn-RS"/>
              </w:rPr>
              <w:t>Poremećaji kože i potkožnog tkiva</w:t>
            </w:r>
          </w:p>
        </w:tc>
        <w:tc>
          <w:tcPr>
            <w:tcW w:w="2206" w:type="dxa"/>
          </w:tcPr>
          <w:p w14:paraId="46FD2043" w14:textId="77777777" w:rsidR="00877C76" w:rsidRPr="0080626B" w:rsidRDefault="00877C76">
            <w:pPr>
              <w:widowControl w:val="0"/>
              <w:rPr>
                <w:szCs w:val="22"/>
                <w:lang w:val="sr-Latn-RS"/>
              </w:rPr>
            </w:pPr>
          </w:p>
        </w:tc>
        <w:tc>
          <w:tcPr>
            <w:tcW w:w="1976" w:type="dxa"/>
          </w:tcPr>
          <w:p w14:paraId="77CB9256"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osip kože</w:t>
            </w:r>
          </w:p>
        </w:tc>
        <w:tc>
          <w:tcPr>
            <w:tcW w:w="2942" w:type="dxa"/>
          </w:tcPr>
          <w:p w14:paraId="57B9F1F0" w14:textId="43DA05EE" w:rsidR="00877C76" w:rsidRPr="0080626B" w:rsidRDefault="00E90AF4">
            <w:pPr>
              <w:autoSpaceDE w:val="0"/>
              <w:autoSpaceDN w:val="0"/>
              <w:adjustRightInd w:val="0"/>
              <w:rPr>
                <w:color w:val="000000"/>
                <w:szCs w:val="22"/>
                <w:lang w:val="sr-Latn-RS"/>
              </w:rPr>
            </w:pPr>
            <w:r w:rsidRPr="0080626B">
              <w:rPr>
                <w:color w:val="000000"/>
                <w:szCs w:val="22"/>
                <w:lang w:val="sr-Latn-RS"/>
              </w:rPr>
              <w:t>urtikarija, svrab, erythema multiforme, Stevens-Johnson</w:t>
            </w:r>
            <w:r w:rsidR="00CF030D" w:rsidRPr="0080626B">
              <w:rPr>
                <w:color w:val="000000"/>
                <w:szCs w:val="22"/>
                <w:lang w:val="sr-Latn-RS"/>
              </w:rPr>
              <w:t>-</w:t>
            </w:r>
            <w:r w:rsidRPr="0080626B">
              <w:rPr>
                <w:color w:val="000000"/>
                <w:szCs w:val="22"/>
                <w:lang w:val="sr-Latn-RS"/>
              </w:rPr>
              <w:t>ov sindrom, toksična epidermalna nekroliza (egzantemska nekroliza)</w:t>
            </w:r>
          </w:p>
          <w:p w14:paraId="13837868"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w:t>
            </w:r>
            <w:r w:rsidRPr="0080626B">
              <w:rPr>
                <w:i/>
                <w:iCs/>
                <w:color w:val="000000"/>
                <w:szCs w:val="22"/>
                <w:lang w:val="sr-Latn-RS"/>
              </w:rPr>
              <w:t>vidjeti poremećaje imunološkog sistema</w:t>
            </w:r>
            <w:r w:rsidRPr="0080626B">
              <w:rPr>
                <w:color w:val="000000"/>
                <w:szCs w:val="22"/>
                <w:lang w:val="sr-Latn-RS"/>
              </w:rPr>
              <w:t>), angioneurotski edem, reakcija na lijek praćena eozinofilijom i sistemskim simptomima (DRESS)</w:t>
            </w:r>
          </w:p>
        </w:tc>
      </w:tr>
      <w:tr w:rsidR="00877C76" w:rsidRPr="0080626B" w14:paraId="7A381D72" w14:textId="77777777">
        <w:tc>
          <w:tcPr>
            <w:tcW w:w="0" w:type="auto"/>
            <w:gridSpan w:val="4"/>
          </w:tcPr>
          <w:p w14:paraId="0F6F24E3" w14:textId="77777777" w:rsidR="00877C76" w:rsidRPr="0080626B" w:rsidRDefault="00E90AF4" w:rsidP="00137084">
            <w:pPr>
              <w:autoSpaceDE w:val="0"/>
              <w:autoSpaceDN w:val="0"/>
              <w:adjustRightInd w:val="0"/>
              <w:jc w:val="both"/>
              <w:rPr>
                <w:color w:val="000000"/>
                <w:szCs w:val="22"/>
                <w:lang w:val="sr-Latn-RS"/>
              </w:rPr>
            </w:pPr>
            <w:r w:rsidRPr="0080626B">
              <w:rPr>
                <w:i/>
                <w:iCs/>
                <w:color w:val="000000"/>
                <w:szCs w:val="22"/>
                <w:lang w:val="sr-Latn-RS"/>
              </w:rPr>
              <w:t>Opis određenih neželjenih dejstava</w:t>
            </w:r>
          </w:p>
          <w:p w14:paraId="35E6D11D" w14:textId="27775B48" w:rsidR="00877C76" w:rsidRPr="0080626B" w:rsidRDefault="00E90AF4" w:rsidP="00137084">
            <w:pPr>
              <w:autoSpaceDE w:val="0"/>
              <w:autoSpaceDN w:val="0"/>
              <w:adjustRightInd w:val="0"/>
              <w:jc w:val="both"/>
              <w:rPr>
                <w:color w:val="000000"/>
                <w:szCs w:val="22"/>
                <w:lang w:val="sr-Latn-RS"/>
              </w:rPr>
            </w:pPr>
            <w:r w:rsidRPr="0080626B">
              <w:rPr>
                <w:color w:val="000000"/>
                <w:szCs w:val="22"/>
                <w:lang w:val="sr-Latn-RS"/>
              </w:rPr>
              <w:t>Cefalosporini se, kao klasa ljekova, mogu vezati na površinu membrane eritrocita i reagovati sa antitijelima usmjerenim protiv lijeka, što može dovesti do pozitivnih rezultata Coombs</w:t>
            </w:r>
            <w:r w:rsidR="00CF030D" w:rsidRPr="0080626B">
              <w:rPr>
                <w:color w:val="000000"/>
                <w:szCs w:val="22"/>
                <w:lang w:val="sr-Latn-RS"/>
              </w:rPr>
              <w:t>-</w:t>
            </w:r>
            <w:r w:rsidRPr="0080626B">
              <w:rPr>
                <w:color w:val="000000"/>
                <w:szCs w:val="22"/>
                <w:lang w:val="sr-Latn-RS"/>
              </w:rPr>
              <w:t xml:space="preserve">ovog testa (što može interferirati sa unakrsnom </w:t>
            </w:r>
            <w:r w:rsidR="00CF030D" w:rsidRPr="0080626B">
              <w:rPr>
                <w:color w:val="000000"/>
                <w:szCs w:val="22"/>
                <w:lang w:val="sr-Latn-RS"/>
              </w:rPr>
              <w:t xml:space="preserve">analizom </w:t>
            </w:r>
            <w:r w:rsidRPr="0080626B">
              <w:rPr>
                <w:color w:val="000000"/>
                <w:szCs w:val="22"/>
                <w:lang w:val="sr-Latn-RS"/>
              </w:rPr>
              <w:t>krvi) i veoma rijetko do hemolitičke anemije.</w:t>
            </w:r>
          </w:p>
          <w:p w14:paraId="72F1054C" w14:textId="77777777" w:rsidR="00877C76" w:rsidRPr="0080626B" w:rsidRDefault="00877C76" w:rsidP="00137084">
            <w:pPr>
              <w:autoSpaceDE w:val="0"/>
              <w:autoSpaceDN w:val="0"/>
              <w:adjustRightInd w:val="0"/>
              <w:jc w:val="both"/>
              <w:rPr>
                <w:color w:val="000000"/>
                <w:szCs w:val="22"/>
                <w:lang w:val="sr-Latn-RS"/>
              </w:rPr>
            </w:pPr>
          </w:p>
          <w:p w14:paraId="2365248E" w14:textId="77777777" w:rsidR="00877C76" w:rsidRPr="0080626B" w:rsidRDefault="00E90AF4" w:rsidP="00137084">
            <w:pPr>
              <w:widowControl w:val="0"/>
              <w:jc w:val="both"/>
              <w:rPr>
                <w:szCs w:val="22"/>
                <w:lang w:val="sr-Latn-RS"/>
              </w:rPr>
            </w:pPr>
            <w:r w:rsidRPr="0080626B">
              <w:rPr>
                <w:szCs w:val="22"/>
                <w:lang w:val="sr-Latn-RS"/>
              </w:rPr>
              <w:t>Bila su uočena prolazna povišenja koncentracije enzima jetre u serumu, što je obično reverzibilno.</w:t>
            </w:r>
          </w:p>
        </w:tc>
      </w:tr>
    </w:tbl>
    <w:p w14:paraId="55CE91A7" w14:textId="77777777" w:rsidR="00877C76" w:rsidRPr="0080626B" w:rsidRDefault="00877C76">
      <w:pPr>
        <w:widowControl w:val="0"/>
        <w:rPr>
          <w:iCs/>
          <w:szCs w:val="22"/>
          <w:highlight w:val="yellow"/>
          <w:u w:val="single"/>
          <w:lang w:val="sr-Latn-RS"/>
        </w:rPr>
      </w:pPr>
    </w:p>
    <w:p w14:paraId="70B69B97" w14:textId="77777777" w:rsidR="00877C76" w:rsidRPr="0080626B" w:rsidRDefault="00E90AF4">
      <w:pPr>
        <w:widowControl w:val="0"/>
        <w:rPr>
          <w:iCs/>
          <w:szCs w:val="22"/>
          <w:u w:val="single"/>
          <w:lang w:val="sr-Latn-RS"/>
        </w:rPr>
      </w:pPr>
      <w:r w:rsidRPr="0080626B">
        <w:rPr>
          <w:iCs/>
          <w:szCs w:val="22"/>
          <w:u w:val="single"/>
          <w:lang w:val="sr-Latn-RS"/>
        </w:rPr>
        <w:t>Pedijatrijska populacija</w:t>
      </w:r>
    </w:p>
    <w:p w14:paraId="287BED96" w14:textId="77777777" w:rsidR="00877C76" w:rsidRPr="0080626B" w:rsidRDefault="00E90AF4">
      <w:pPr>
        <w:widowControl w:val="0"/>
        <w:autoSpaceDE w:val="0"/>
        <w:autoSpaceDN w:val="0"/>
        <w:adjustRightInd w:val="0"/>
        <w:jc w:val="both"/>
        <w:rPr>
          <w:szCs w:val="22"/>
          <w:lang w:val="sr-Latn-RS"/>
        </w:rPr>
      </w:pPr>
      <w:r w:rsidRPr="0080626B">
        <w:rPr>
          <w:szCs w:val="22"/>
          <w:lang w:val="sr-Latn-RS"/>
        </w:rPr>
        <w:t xml:space="preserve">Bezbjednosni profil cefuroksim aksetila kod djece je u skladu sa bezbjednosnim profilom kod odraslih. </w:t>
      </w:r>
    </w:p>
    <w:p w14:paraId="3556658A" w14:textId="77777777" w:rsidR="00877C76" w:rsidRPr="0080626B" w:rsidRDefault="00877C76">
      <w:pPr>
        <w:widowControl w:val="0"/>
        <w:autoSpaceDE w:val="0"/>
        <w:autoSpaceDN w:val="0"/>
        <w:adjustRightInd w:val="0"/>
        <w:rPr>
          <w:szCs w:val="22"/>
          <w:lang w:val="sr-Latn-RS"/>
        </w:rPr>
      </w:pPr>
    </w:p>
    <w:p w14:paraId="4E823500" w14:textId="77777777" w:rsidR="00877C76" w:rsidRPr="0080626B" w:rsidRDefault="00E90AF4">
      <w:pPr>
        <w:spacing w:after="200" w:line="276" w:lineRule="auto"/>
        <w:rPr>
          <w:rFonts w:eastAsia="Calibri"/>
          <w:szCs w:val="22"/>
          <w:u w:val="single"/>
          <w:lang w:val="sr-Latn-RS"/>
        </w:rPr>
      </w:pPr>
      <w:r w:rsidRPr="0080626B">
        <w:rPr>
          <w:rFonts w:eastAsia="Calibri"/>
          <w:szCs w:val="22"/>
          <w:u w:val="single"/>
          <w:lang w:val="sr-Latn-RS"/>
        </w:rPr>
        <w:t>Prijavljivanje sumnji na neželjena dejstva</w:t>
      </w:r>
    </w:p>
    <w:p w14:paraId="743820FB" w14:textId="77777777" w:rsidR="00877C76" w:rsidRPr="0080626B" w:rsidRDefault="00E90AF4">
      <w:pPr>
        <w:spacing w:after="200"/>
        <w:jc w:val="both"/>
        <w:rPr>
          <w:rFonts w:eastAsia="Calibri"/>
          <w:szCs w:val="22"/>
          <w:lang w:val="sr-Latn-RS"/>
        </w:rPr>
      </w:pPr>
      <w:r w:rsidRPr="0080626B">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856312D" w14:textId="77777777" w:rsidR="00877C76" w:rsidRPr="0080626B" w:rsidRDefault="00E90AF4">
      <w:pPr>
        <w:pStyle w:val="NoSpacing"/>
        <w:jc w:val="both"/>
        <w:rPr>
          <w:rFonts w:eastAsia="Calibri"/>
          <w:sz w:val="22"/>
          <w:szCs w:val="22"/>
          <w:lang w:val="sr-Latn-RS"/>
        </w:rPr>
      </w:pPr>
      <w:r w:rsidRPr="0080626B">
        <w:rPr>
          <w:rFonts w:eastAsia="Calibri"/>
          <w:sz w:val="22"/>
          <w:szCs w:val="22"/>
          <w:lang w:val="sr-Latn-RS"/>
        </w:rPr>
        <w:t xml:space="preserve">Institut za ljekove i medicinska sredstva </w:t>
      </w:r>
    </w:p>
    <w:p w14:paraId="0DA945B8" w14:textId="77777777" w:rsidR="00877C76" w:rsidRPr="0080626B" w:rsidRDefault="00E90AF4">
      <w:pPr>
        <w:pStyle w:val="NoSpacing"/>
        <w:jc w:val="both"/>
        <w:rPr>
          <w:rFonts w:eastAsia="Calibri"/>
          <w:sz w:val="22"/>
          <w:szCs w:val="22"/>
          <w:lang w:val="sr-Latn-RS"/>
        </w:rPr>
      </w:pPr>
      <w:r w:rsidRPr="0080626B">
        <w:rPr>
          <w:rFonts w:eastAsia="Calibri"/>
          <w:sz w:val="22"/>
          <w:szCs w:val="22"/>
          <w:lang w:val="sr-Latn-RS"/>
        </w:rPr>
        <w:t>Odjeljenje za farmakovigilancu</w:t>
      </w:r>
    </w:p>
    <w:p w14:paraId="31E46A6D" w14:textId="77777777" w:rsidR="00877C76" w:rsidRPr="0080626B" w:rsidRDefault="00E90AF4">
      <w:pPr>
        <w:pStyle w:val="NoSpacing"/>
        <w:jc w:val="both"/>
        <w:rPr>
          <w:rFonts w:eastAsia="Calibri"/>
          <w:sz w:val="22"/>
          <w:szCs w:val="22"/>
          <w:lang w:val="sr-Latn-RS"/>
        </w:rPr>
      </w:pPr>
      <w:r w:rsidRPr="0080626B">
        <w:rPr>
          <w:rFonts w:eastAsia="Calibri"/>
          <w:sz w:val="22"/>
          <w:szCs w:val="22"/>
          <w:lang w:val="sr-Latn-RS"/>
        </w:rPr>
        <w:t>Bulevar Ivana Crnojevića 64a, 81000 Podgorica</w:t>
      </w:r>
    </w:p>
    <w:p w14:paraId="22D3B57C" w14:textId="77777777" w:rsidR="00877C76" w:rsidRPr="0080626B" w:rsidRDefault="00877C76">
      <w:pPr>
        <w:pStyle w:val="NoSpacing"/>
        <w:rPr>
          <w:rFonts w:eastAsia="Calibri"/>
          <w:sz w:val="22"/>
          <w:szCs w:val="22"/>
          <w:lang w:val="sr-Latn-RS"/>
        </w:rPr>
      </w:pPr>
    </w:p>
    <w:p w14:paraId="2EE62061" w14:textId="77777777" w:rsidR="00877C76" w:rsidRPr="0080626B" w:rsidRDefault="00E90AF4">
      <w:pPr>
        <w:pStyle w:val="NoSpacing"/>
        <w:jc w:val="both"/>
        <w:rPr>
          <w:rFonts w:eastAsia="Calibri"/>
          <w:sz w:val="22"/>
          <w:szCs w:val="22"/>
          <w:lang w:val="sr-Latn-RS"/>
        </w:rPr>
      </w:pPr>
      <w:r w:rsidRPr="0080626B">
        <w:rPr>
          <w:rFonts w:eastAsia="Calibri"/>
          <w:sz w:val="22"/>
          <w:szCs w:val="22"/>
          <w:lang w:val="sr-Latn-RS"/>
        </w:rPr>
        <w:t>tel: +382 (0) 20 310 280</w:t>
      </w:r>
    </w:p>
    <w:p w14:paraId="4D74E3E8" w14:textId="77777777" w:rsidR="00877C76" w:rsidRPr="0080626B" w:rsidRDefault="00E90AF4">
      <w:pPr>
        <w:pStyle w:val="NoSpacing"/>
        <w:tabs>
          <w:tab w:val="left" w:pos="6720"/>
        </w:tabs>
        <w:jc w:val="both"/>
        <w:rPr>
          <w:rFonts w:eastAsia="Calibri"/>
          <w:sz w:val="22"/>
          <w:szCs w:val="22"/>
          <w:lang w:val="sr-Latn-RS"/>
        </w:rPr>
      </w:pPr>
      <w:r w:rsidRPr="0080626B">
        <w:rPr>
          <w:rFonts w:eastAsia="Calibri"/>
          <w:sz w:val="22"/>
          <w:szCs w:val="22"/>
          <w:lang w:val="sr-Latn-RS"/>
        </w:rPr>
        <w:t>fax: +382 (0) 20 310 581</w:t>
      </w:r>
      <w:r w:rsidRPr="0080626B">
        <w:rPr>
          <w:rFonts w:eastAsia="Calibri"/>
          <w:sz w:val="22"/>
          <w:szCs w:val="22"/>
          <w:lang w:val="sr-Latn-RS"/>
        </w:rPr>
        <w:tab/>
      </w:r>
    </w:p>
    <w:p w14:paraId="18581DBD" w14:textId="77777777" w:rsidR="00877C76" w:rsidRPr="0080626B" w:rsidRDefault="002D70B6">
      <w:pPr>
        <w:pStyle w:val="NoSpacing"/>
        <w:jc w:val="both"/>
        <w:rPr>
          <w:rFonts w:eastAsia="Calibri"/>
          <w:sz w:val="22"/>
          <w:szCs w:val="22"/>
          <w:lang w:val="sr-Latn-RS"/>
        </w:rPr>
      </w:pPr>
      <w:hyperlink r:id="rId7" w:history="1">
        <w:r w:rsidR="00E90AF4" w:rsidRPr="0080626B">
          <w:rPr>
            <w:rStyle w:val="Hyperlink"/>
            <w:rFonts w:eastAsia="Calibri"/>
            <w:sz w:val="22"/>
            <w:szCs w:val="22"/>
            <w:lang w:val="sr-Latn-RS"/>
          </w:rPr>
          <w:t>www.cinmed.me</w:t>
        </w:r>
      </w:hyperlink>
    </w:p>
    <w:p w14:paraId="0779A911" w14:textId="77777777" w:rsidR="00877C76" w:rsidRPr="0080626B" w:rsidRDefault="002D70B6">
      <w:pPr>
        <w:pStyle w:val="NoSpacing"/>
        <w:jc w:val="both"/>
        <w:rPr>
          <w:rFonts w:eastAsia="Calibri"/>
          <w:color w:val="0000FF"/>
          <w:sz w:val="22"/>
          <w:szCs w:val="22"/>
          <w:u w:val="single"/>
          <w:lang w:val="sr-Latn-RS"/>
        </w:rPr>
      </w:pPr>
      <w:hyperlink r:id="rId8" w:history="1">
        <w:r w:rsidR="00E90AF4" w:rsidRPr="0080626B">
          <w:rPr>
            <w:rStyle w:val="Hyperlink"/>
            <w:rFonts w:eastAsia="Calibri"/>
            <w:sz w:val="22"/>
            <w:szCs w:val="22"/>
            <w:lang w:val="sr-Latn-RS"/>
          </w:rPr>
          <w:t>nezeljenadejstva@cinmed.me</w:t>
        </w:r>
      </w:hyperlink>
    </w:p>
    <w:p w14:paraId="615796A3" w14:textId="77777777" w:rsidR="00877C76" w:rsidRPr="0080626B" w:rsidRDefault="00E90AF4">
      <w:pPr>
        <w:pStyle w:val="NoSpacing"/>
        <w:jc w:val="both"/>
        <w:rPr>
          <w:rFonts w:eastAsia="Calibri"/>
          <w:sz w:val="22"/>
          <w:szCs w:val="22"/>
          <w:lang w:val="sr-Latn-RS"/>
        </w:rPr>
      </w:pPr>
      <w:r w:rsidRPr="0080626B">
        <w:rPr>
          <w:rFonts w:eastAsia="Calibri"/>
          <w:sz w:val="22"/>
          <w:szCs w:val="22"/>
          <w:lang w:val="sr-Latn-RS"/>
        </w:rPr>
        <w:t>putem IS zdravstvene zaštite</w:t>
      </w:r>
    </w:p>
    <w:p w14:paraId="24D5D206" w14:textId="28F5A9A2" w:rsidR="00CF030D" w:rsidRPr="0080626B" w:rsidRDefault="00E90AF4">
      <w:pPr>
        <w:pStyle w:val="NoSpacing"/>
        <w:jc w:val="both"/>
        <w:rPr>
          <w:rFonts w:eastAsia="Calibri"/>
          <w:sz w:val="22"/>
          <w:szCs w:val="22"/>
          <w:lang w:val="sr-Latn-RS"/>
        </w:rPr>
      </w:pPr>
      <w:r w:rsidRPr="0080626B">
        <w:rPr>
          <w:rFonts w:eastAsia="Calibri"/>
          <w:sz w:val="22"/>
          <w:szCs w:val="22"/>
          <w:lang w:val="sr-Latn-RS"/>
        </w:rPr>
        <w:t>QR kod za online prijavu sumnje na neželjeno dejstvo lijeka:</w:t>
      </w:r>
    </w:p>
    <w:p w14:paraId="5861DF25" w14:textId="200D4661" w:rsidR="00CF030D" w:rsidRPr="0080626B" w:rsidRDefault="00CF030D">
      <w:pPr>
        <w:pStyle w:val="NoSpacing"/>
        <w:jc w:val="both"/>
        <w:rPr>
          <w:rFonts w:eastAsia="Calibri"/>
          <w:sz w:val="22"/>
          <w:szCs w:val="22"/>
          <w:lang w:val="sr-Latn-RS"/>
        </w:rPr>
      </w:pPr>
    </w:p>
    <w:p w14:paraId="3851C683" w14:textId="2087C6C1" w:rsidR="00CF030D" w:rsidRPr="0080626B" w:rsidRDefault="00327F32">
      <w:pPr>
        <w:pStyle w:val="NoSpacing"/>
        <w:jc w:val="both"/>
        <w:rPr>
          <w:rFonts w:eastAsia="Calibri"/>
          <w:sz w:val="22"/>
          <w:szCs w:val="22"/>
          <w:lang w:val="sr-Latn-RS"/>
        </w:rPr>
      </w:pPr>
      <w:r w:rsidRPr="0080626B">
        <w:rPr>
          <w:b/>
          <w:noProof/>
          <w:sz w:val="22"/>
          <w:szCs w:val="22"/>
          <w:lang w:val="sr-Latn-RS"/>
        </w:rPr>
        <w:drawing>
          <wp:inline distT="0" distB="0" distL="0" distR="0" wp14:anchorId="3D6158D5" wp14:editId="4AB518DE">
            <wp:extent cx="981075" cy="971550"/>
            <wp:effectExtent l="0" t="0" r="0" b="0"/>
            <wp:docPr id="1"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l="10118" t="9756" r="9299" b="10384"/>
                    <a:stretch>
                      <a:fillRect/>
                    </a:stretch>
                  </pic:blipFill>
                  <pic:spPr bwMode="auto">
                    <a:xfrm>
                      <a:off x="0" y="0"/>
                      <a:ext cx="981075" cy="971550"/>
                    </a:xfrm>
                    <a:prstGeom prst="rect">
                      <a:avLst/>
                    </a:prstGeom>
                    <a:noFill/>
                    <a:ln>
                      <a:noFill/>
                    </a:ln>
                  </pic:spPr>
                </pic:pic>
              </a:graphicData>
            </a:graphic>
          </wp:inline>
        </w:drawing>
      </w:r>
    </w:p>
    <w:p w14:paraId="53DDC39D" w14:textId="77777777" w:rsidR="00CF030D" w:rsidRPr="0080626B" w:rsidRDefault="00CF030D" w:rsidP="00137084">
      <w:pPr>
        <w:pStyle w:val="NoSpacing"/>
        <w:jc w:val="both"/>
        <w:rPr>
          <w:rFonts w:eastAsia="Calibri"/>
          <w:sz w:val="22"/>
          <w:szCs w:val="22"/>
          <w:lang w:val="sr-Latn-RS"/>
        </w:rPr>
      </w:pPr>
    </w:p>
    <w:p w14:paraId="12A5AE09" w14:textId="6F3EB61F" w:rsidR="00877C76" w:rsidRPr="0080626B" w:rsidRDefault="00E90AF4">
      <w:pPr>
        <w:widowControl w:val="0"/>
        <w:ind w:left="567" w:hanging="567"/>
        <w:jc w:val="both"/>
        <w:outlineLvl w:val="0"/>
        <w:rPr>
          <w:b/>
          <w:szCs w:val="22"/>
          <w:lang w:val="sr-Latn-RS"/>
        </w:rPr>
      </w:pPr>
      <w:r w:rsidRPr="0080626B">
        <w:rPr>
          <w:b/>
          <w:szCs w:val="22"/>
          <w:lang w:val="sr-Latn-RS"/>
        </w:rPr>
        <w:t>4.9</w:t>
      </w:r>
      <w:r w:rsidRPr="0080626B">
        <w:rPr>
          <w:b/>
          <w:szCs w:val="22"/>
          <w:lang w:val="sr-Latn-RS"/>
        </w:rPr>
        <w:tab/>
        <w:t xml:space="preserve">Predoziranje </w:t>
      </w:r>
    </w:p>
    <w:p w14:paraId="4B3E7A94" w14:textId="77777777" w:rsidR="00877C76" w:rsidRPr="0080626B" w:rsidRDefault="00877C76">
      <w:pPr>
        <w:widowControl w:val="0"/>
        <w:jc w:val="both"/>
        <w:rPr>
          <w:iCs/>
          <w:szCs w:val="22"/>
          <w:u w:val="single"/>
          <w:lang w:val="sr-Latn-RS"/>
        </w:rPr>
      </w:pPr>
    </w:p>
    <w:p w14:paraId="36F1551C" w14:textId="77777777" w:rsidR="00877C76" w:rsidRPr="0080626B" w:rsidRDefault="00E90AF4">
      <w:pPr>
        <w:widowControl w:val="0"/>
        <w:jc w:val="both"/>
        <w:rPr>
          <w:iCs/>
          <w:szCs w:val="22"/>
          <w:u w:val="single"/>
          <w:lang w:val="sr-Latn-RS"/>
        </w:rPr>
      </w:pPr>
      <w:r w:rsidRPr="0080626B">
        <w:rPr>
          <w:iCs/>
          <w:szCs w:val="22"/>
          <w:u w:val="single"/>
          <w:lang w:val="sr-Latn-RS"/>
        </w:rPr>
        <w:t>Simptomi</w:t>
      </w:r>
    </w:p>
    <w:p w14:paraId="635AE8BD" w14:textId="46A943EC" w:rsidR="00877C76" w:rsidRPr="0080626B" w:rsidRDefault="00E90AF4">
      <w:pPr>
        <w:widowControl w:val="0"/>
        <w:jc w:val="both"/>
        <w:rPr>
          <w:szCs w:val="22"/>
          <w:lang w:val="sr-Latn-RS"/>
        </w:rPr>
      </w:pPr>
      <w:r w:rsidRPr="0080626B">
        <w:rPr>
          <w:szCs w:val="22"/>
          <w:lang w:val="sr-Latn-RS"/>
        </w:rPr>
        <w:t xml:space="preserve">Predoziranje može dovesti do neuroloških posljedica, uključujući encefalopatiju, konvulzije i komu. </w:t>
      </w:r>
      <w:r w:rsidRPr="0080626B">
        <w:rPr>
          <w:szCs w:val="22"/>
          <w:lang w:val="sr-Latn-RS"/>
        </w:rPr>
        <w:lastRenderedPageBreak/>
        <w:t xml:space="preserve">Simptomi predoziranja </w:t>
      </w:r>
      <w:r w:rsidR="00CF030D" w:rsidRPr="0080626B">
        <w:rPr>
          <w:szCs w:val="22"/>
          <w:lang w:val="sr-Latn-RS"/>
        </w:rPr>
        <w:t xml:space="preserve">mogu </w:t>
      </w:r>
      <w:r w:rsidRPr="0080626B">
        <w:rPr>
          <w:szCs w:val="22"/>
          <w:lang w:val="sr-Latn-RS"/>
        </w:rPr>
        <w:t>nasta</w:t>
      </w:r>
      <w:r w:rsidR="00CF030D" w:rsidRPr="0080626B">
        <w:rPr>
          <w:szCs w:val="22"/>
          <w:lang w:val="sr-Latn-RS"/>
        </w:rPr>
        <w:t>ti</w:t>
      </w:r>
      <w:r w:rsidRPr="0080626B">
        <w:rPr>
          <w:szCs w:val="22"/>
          <w:lang w:val="sr-Latn-RS"/>
        </w:rPr>
        <w:t xml:space="preserve"> ukoliko doza lijeka nije adekvatno smanjena kod pacijenata sa oštećenjem funkcije bubrega (vidjeti </w:t>
      </w:r>
      <w:r w:rsidR="0083508F" w:rsidRPr="0080626B">
        <w:rPr>
          <w:szCs w:val="22"/>
          <w:lang w:val="sr-Latn-RS"/>
        </w:rPr>
        <w:t xml:space="preserve">djelove </w:t>
      </w:r>
      <w:r w:rsidRPr="0080626B">
        <w:rPr>
          <w:szCs w:val="22"/>
          <w:lang w:val="sr-Latn-RS"/>
        </w:rPr>
        <w:t>4.2 i 4.4).</w:t>
      </w:r>
    </w:p>
    <w:p w14:paraId="319F8522" w14:textId="77777777" w:rsidR="00877C76" w:rsidRPr="0080626B" w:rsidRDefault="00877C76">
      <w:pPr>
        <w:widowControl w:val="0"/>
        <w:jc w:val="both"/>
        <w:rPr>
          <w:szCs w:val="22"/>
          <w:lang w:val="sr-Latn-RS"/>
        </w:rPr>
      </w:pPr>
    </w:p>
    <w:p w14:paraId="4FC34776" w14:textId="77777777" w:rsidR="00877C76" w:rsidRPr="0080626B" w:rsidRDefault="00E90AF4">
      <w:pPr>
        <w:widowControl w:val="0"/>
        <w:jc w:val="both"/>
        <w:rPr>
          <w:iCs/>
          <w:szCs w:val="22"/>
          <w:u w:val="single"/>
          <w:lang w:val="sr-Latn-RS"/>
        </w:rPr>
      </w:pPr>
      <w:r w:rsidRPr="0080626B">
        <w:rPr>
          <w:iCs/>
          <w:szCs w:val="22"/>
          <w:u w:val="single"/>
          <w:lang w:val="sr-Latn-RS"/>
        </w:rPr>
        <w:t>Liječenje</w:t>
      </w:r>
    </w:p>
    <w:p w14:paraId="1199591B" w14:textId="77777777" w:rsidR="00877C76" w:rsidRPr="0080626B" w:rsidRDefault="00E90AF4">
      <w:pPr>
        <w:widowControl w:val="0"/>
        <w:jc w:val="both"/>
        <w:rPr>
          <w:szCs w:val="22"/>
          <w:lang w:val="sr-Latn-RS"/>
        </w:rPr>
      </w:pPr>
      <w:r w:rsidRPr="0080626B">
        <w:rPr>
          <w:szCs w:val="22"/>
          <w:lang w:val="sr-Latn-RS"/>
        </w:rPr>
        <w:t>Koncentracija cefuroksima u serumu može se sniziti hemodijalizom ili peritonealnom dijalizom.</w:t>
      </w:r>
    </w:p>
    <w:p w14:paraId="42FC0F1D" w14:textId="77777777" w:rsidR="00877C76" w:rsidRPr="0080626B" w:rsidRDefault="00877C76">
      <w:pPr>
        <w:widowControl w:val="0"/>
        <w:jc w:val="both"/>
        <w:rPr>
          <w:szCs w:val="22"/>
          <w:lang w:val="sr-Latn-RS"/>
        </w:rPr>
      </w:pPr>
    </w:p>
    <w:p w14:paraId="5ADCAF1D" w14:textId="77777777" w:rsidR="00877C76" w:rsidRPr="0080626B" w:rsidRDefault="00877C76">
      <w:pPr>
        <w:widowControl w:val="0"/>
        <w:jc w:val="both"/>
        <w:rPr>
          <w:szCs w:val="22"/>
          <w:lang w:val="sr-Latn-RS"/>
        </w:rPr>
      </w:pPr>
    </w:p>
    <w:p w14:paraId="5F36D4BC" w14:textId="77777777" w:rsidR="00877C76" w:rsidRPr="0080626B" w:rsidRDefault="00E90AF4">
      <w:pPr>
        <w:widowControl w:val="0"/>
        <w:ind w:left="567" w:hanging="567"/>
        <w:jc w:val="both"/>
        <w:rPr>
          <w:szCs w:val="22"/>
          <w:lang w:val="sr-Latn-RS"/>
        </w:rPr>
      </w:pPr>
      <w:r w:rsidRPr="0080626B">
        <w:rPr>
          <w:b/>
          <w:szCs w:val="22"/>
          <w:lang w:val="sr-Latn-RS"/>
        </w:rPr>
        <w:t>5.</w:t>
      </w:r>
      <w:r w:rsidRPr="0080626B">
        <w:rPr>
          <w:b/>
          <w:szCs w:val="22"/>
          <w:lang w:val="sr-Latn-RS"/>
        </w:rPr>
        <w:tab/>
      </w:r>
      <w:r w:rsidRPr="0080626B">
        <w:rPr>
          <w:b/>
          <w:bCs/>
          <w:szCs w:val="22"/>
          <w:lang w:val="sr-Latn-RS"/>
        </w:rPr>
        <w:t>FARMAKOLOŠKI PODACI</w:t>
      </w:r>
    </w:p>
    <w:p w14:paraId="558C0B09" w14:textId="77777777" w:rsidR="00877C76" w:rsidRPr="0080626B" w:rsidRDefault="00877C76">
      <w:pPr>
        <w:widowControl w:val="0"/>
        <w:jc w:val="both"/>
        <w:rPr>
          <w:szCs w:val="22"/>
          <w:lang w:val="sr-Latn-RS"/>
        </w:rPr>
      </w:pPr>
    </w:p>
    <w:p w14:paraId="789030D5" w14:textId="77777777" w:rsidR="00877C76" w:rsidRPr="0080626B" w:rsidRDefault="00E90AF4">
      <w:pPr>
        <w:widowControl w:val="0"/>
        <w:ind w:left="567" w:hanging="567"/>
        <w:jc w:val="both"/>
        <w:outlineLvl w:val="0"/>
        <w:rPr>
          <w:szCs w:val="22"/>
          <w:lang w:val="sr-Latn-RS"/>
        </w:rPr>
      </w:pPr>
      <w:r w:rsidRPr="0080626B">
        <w:rPr>
          <w:b/>
          <w:szCs w:val="22"/>
          <w:lang w:val="sr-Latn-RS"/>
        </w:rPr>
        <w:t>5.1</w:t>
      </w:r>
      <w:r w:rsidRPr="0080626B">
        <w:rPr>
          <w:b/>
          <w:szCs w:val="22"/>
          <w:lang w:val="sr-Latn-RS"/>
        </w:rPr>
        <w:tab/>
      </w:r>
      <w:r w:rsidRPr="0080626B">
        <w:rPr>
          <w:b/>
          <w:bCs/>
          <w:szCs w:val="22"/>
          <w:lang w:val="sr-Latn-RS"/>
        </w:rPr>
        <w:t>Farmakodinamski podaci</w:t>
      </w:r>
    </w:p>
    <w:p w14:paraId="4EAE500B" w14:textId="77777777" w:rsidR="00877C76" w:rsidRPr="0080626B" w:rsidRDefault="00877C76">
      <w:pPr>
        <w:widowControl w:val="0"/>
        <w:jc w:val="both"/>
        <w:rPr>
          <w:szCs w:val="22"/>
          <w:lang w:val="sr-Latn-RS"/>
        </w:rPr>
      </w:pPr>
    </w:p>
    <w:p w14:paraId="104188CC" w14:textId="77777777" w:rsidR="00877C76" w:rsidRPr="0080626B" w:rsidRDefault="00E90AF4">
      <w:pPr>
        <w:widowControl w:val="0"/>
        <w:jc w:val="both"/>
        <w:rPr>
          <w:szCs w:val="22"/>
          <w:lang w:val="sr-Latn-RS"/>
        </w:rPr>
      </w:pPr>
      <w:r w:rsidRPr="0080626B">
        <w:rPr>
          <w:szCs w:val="22"/>
          <w:lang w:val="sr-Latn-RS"/>
        </w:rPr>
        <w:t>Farmakoterapijska grupa: Antibakterijski ljekovi za sistemsku primjenu; cefalosporini II generacije</w:t>
      </w:r>
    </w:p>
    <w:p w14:paraId="3D29A292" w14:textId="77777777" w:rsidR="00877C76" w:rsidRPr="0080626B" w:rsidRDefault="00877C76">
      <w:pPr>
        <w:widowControl w:val="0"/>
        <w:jc w:val="both"/>
        <w:rPr>
          <w:szCs w:val="22"/>
          <w:lang w:val="sr-Latn-RS"/>
        </w:rPr>
      </w:pPr>
    </w:p>
    <w:p w14:paraId="014E982E" w14:textId="341D69C6" w:rsidR="00877C76" w:rsidRPr="0080626B" w:rsidRDefault="009A37AB">
      <w:pPr>
        <w:widowControl w:val="0"/>
        <w:jc w:val="both"/>
        <w:rPr>
          <w:szCs w:val="22"/>
          <w:lang w:val="sr-Latn-RS"/>
        </w:rPr>
      </w:pPr>
      <w:r w:rsidRPr="0080626B">
        <w:rPr>
          <w:szCs w:val="22"/>
          <w:lang w:val="sr-Latn-RS"/>
        </w:rPr>
        <w:t>ATC kod: J01DC02</w:t>
      </w:r>
    </w:p>
    <w:p w14:paraId="3F30C7B8" w14:textId="77777777" w:rsidR="00877C76" w:rsidRPr="0080626B" w:rsidRDefault="00877C76">
      <w:pPr>
        <w:widowControl w:val="0"/>
        <w:jc w:val="both"/>
        <w:rPr>
          <w:szCs w:val="22"/>
          <w:lang w:val="sr-Latn-RS"/>
        </w:rPr>
      </w:pPr>
    </w:p>
    <w:p w14:paraId="4D6AC1B9" w14:textId="77777777" w:rsidR="00877C76" w:rsidRPr="0080626B" w:rsidRDefault="00E90AF4">
      <w:pPr>
        <w:widowControl w:val="0"/>
        <w:jc w:val="both"/>
        <w:rPr>
          <w:szCs w:val="22"/>
          <w:u w:val="single"/>
          <w:lang w:val="sr-Latn-RS"/>
        </w:rPr>
      </w:pPr>
      <w:r w:rsidRPr="0080626B">
        <w:rPr>
          <w:szCs w:val="22"/>
          <w:u w:val="single"/>
          <w:lang w:val="sr-Latn-RS"/>
        </w:rPr>
        <w:t>Mehanizam djelovanja</w:t>
      </w:r>
    </w:p>
    <w:p w14:paraId="1396C062" w14:textId="14BCD197" w:rsidR="00877C76" w:rsidRPr="0080626B" w:rsidRDefault="00E90AF4">
      <w:pPr>
        <w:widowControl w:val="0"/>
        <w:jc w:val="both"/>
        <w:rPr>
          <w:color w:val="000000"/>
          <w:szCs w:val="22"/>
          <w:lang w:val="sr-Latn-RS"/>
        </w:rPr>
      </w:pPr>
      <w:r w:rsidRPr="0080626B">
        <w:rPr>
          <w:color w:val="000000"/>
          <w:szCs w:val="22"/>
          <w:lang w:val="sr-Latn-RS"/>
        </w:rPr>
        <w:t xml:space="preserve">Cefuroksim aksetil se hidrolizuje dejstvom enzima esteraze do aktivnog antibiotika, cefuroksima. Nakon vezivanja za penicilin-vezujuće proteine (eng. </w:t>
      </w:r>
      <w:r w:rsidRPr="0080626B">
        <w:rPr>
          <w:i/>
          <w:color w:val="000000"/>
          <w:szCs w:val="22"/>
          <w:lang w:val="sr-Latn-RS"/>
        </w:rPr>
        <w:t>penicillin binding proteins</w:t>
      </w:r>
      <w:r w:rsidR="0083508F" w:rsidRPr="0080626B">
        <w:rPr>
          <w:color w:val="000000"/>
          <w:szCs w:val="22"/>
          <w:lang w:val="sr-Latn-RS"/>
        </w:rPr>
        <w:t>,</w:t>
      </w:r>
      <w:r w:rsidRPr="0080626B">
        <w:rPr>
          <w:color w:val="000000"/>
          <w:szCs w:val="22"/>
          <w:lang w:val="sr-Latn-RS"/>
        </w:rPr>
        <w:t xml:space="preserve"> PBPs)</w:t>
      </w:r>
      <w:r w:rsidR="0083508F" w:rsidRPr="0080626B">
        <w:rPr>
          <w:color w:val="000000"/>
          <w:szCs w:val="22"/>
          <w:lang w:val="sr-Latn-RS"/>
        </w:rPr>
        <w:t>,</w:t>
      </w:r>
      <w:r w:rsidRPr="0080626B">
        <w:rPr>
          <w:color w:val="000000"/>
          <w:szCs w:val="22"/>
          <w:lang w:val="sr-Latn-RS"/>
        </w:rPr>
        <w:t xml:space="preserve"> cefuroksim aksetil inhibira sintezu bakterijskog ćelijskog zida. To dovodi do prekida biosinteze ćelijskog zida</w:t>
      </w:r>
      <w:r w:rsidR="00C1098B" w:rsidRPr="0080626B">
        <w:rPr>
          <w:color w:val="000000"/>
          <w:szCs w:val="22"/>
          <w:lang w:val="sr-Latn-RS"/>
        </w:rPr>
        <w:t xml:space="preserve"> (peptidoglikan)</w:t>
      </w:r>
      <w:r w:rsidRPr="0080626B">
        <w:rPr>
          <w:color w:val="000000"/>
          <w:szCs w:val="22"/>
          <w:lang w:val="sr-Latn-RS"/>
        </w:rPr>
        <w:t>, nakon čega obično slijedi liza i smrt bakterijske ćelije.</w:t>
      </w:r>
    </w:p>
    <w:p w14:paraId="195F31D7" w14:textId="77777777" w:rsidR="00877C76" w:rsidRPr="0080626B" w:rsidRDefault="00877C76">
      <w:pPr>
        <w:widowControl w:val="0"/>
        <w:jc w:val="both"/>
        <w:rPr>
          <w:szCs w:val="22"/>
          <w:lang w:val="sr-Latn-RS"/>
        </w:rPr>
      </w:pPr>
    </w:p>
    <w:p w14:paraId="7407CE75" w14:textId="77777777" w:rsidR="00877C76" w:rsidRPr="0080626B" w:rsidRDefault="00E90AF4">
      <w:pPr>
        <w:widowControl w:val="0"/>
        <w:jc w:val="both"/>
        <w:rPr>
          <w:szCs w:val="22"/>
          <w:u w:val="single"/>
          <w:lang w:val="sr-Latn-RS"/>
        </w:rPr>
      </w:pPr>
      <w:r w:rsidRPr="0080626B">
        <w:rPr>
          <w:szCs w:val="22"/>
          <w:u w:val="single"/>
          <w:lang w:val="sr-Latn-RS"/>
        </w:rPr>
        <w:t>Mehanizam rezistencije</w:t>
      </w:r>
    </w:p>
    <w:p w14:paraId="6A885809" w14:textId="2AC1545D" w:rsidR="00877C76" w:rsidRPr="0080626B" w:rsidRDefault="00E90AF4">
      <w:pPr>
        <w:widowControl w:val="0"/>
        <w:jc w:val="both"/>
        <w:rPr>
          <w:color w:val="000000"/>
          <w:szCs w:val="22"/>
          <w:lang w:val="sr-Latn-RS"/>
        </w:rPr>
      </w:pPr>
      <w:r w:rsidRPr="0080626B">
        <w:rPr>
          <w:color w:val="000000"/>
          <w:szCs w:val="22"/>
          <w:lang w:val="sr-Latn-RS"/>
        </w:rPr>
        <w:t>Bakterijska rezistencija na cefuroksim može nastati zbog jednog ili više sljedećih mehanizama:</w:t>
      </w:r>
    </w:p>
    <w:p w14:paraId="0BA64317" w14:textId="38519F29" w:rsidR="00877C76" w:rsidRPr="0080626B" w:rsidRDefault="00E90AF4" w:rsidP="00C1098B">
      <w:pPr>
        <w:widowControl w:val="0"/>
        <w:numPr>
          <w:ilvl w:val="0"/>
          <w:numId w:val="27"/>
        </w:numPr>
        <w:tabs>
          <w:tab w:val="clear" w:pos="567"/>
        </w:tabs>
        <w:spacing w:line="240" w:lineRule="auto"/>
        <w:jc w:val="both"/>
        <w:rPr>
          <w:color w:val="000000"/>
          <w:szCs w:val="22"/>
          <w:lang w:val="sr-Latn-RS"/>
        </w:rPr>
      </w:pPr>
      <w:r w:rsidRPr="0080626B">
        <w:rPr>
          <w:color w:val="000000"/>
          <w:szCs w:val="22"/>
          <w:lang w:val="sr-Latn-RS"/>
        </w:rPr>
        <w:t>hidrolize beta-laktamazama; uključujući (ali ne ograničavajući se na) beta-laktamaze proširenog spektra djelovanja (</w:t>
      </w:r>
      <w:r w:rsidR="00C1098B" w:rsidRPr="0080626B">
        <w:rPr>
          <w:color w:val="000000"/>
          <w:szCs w:val="22"/>
          <w:lang w:val="sr-Latn-RS"/>
        </w:rPr>
        <w:t xml:space="preserve">engl. </w:t>
      </w:r>
      <w:r w:rsidR="00C1098B" w:rsidRPr="0080626B">
        <w:rPr>
          <w:i/>
          <w:color w:val="000000"/>
          <w:szCs w:val="22"/>
          <w:lang w:val="sr-Latn-RS"/>
        </w:rPr>
        <w:t>extended-spectrum beta-lactamase</w:t>
      </w:r>
      <w:r w:rsidR="00C1098B" w:rsidRPr="0080626B">
        <w:rPr>
          <w:color w:val="000000"/>
          <w:szCs w:val="22"/>
          <w:lang w:val="sr-Latn-RS"/>
        </w:rPr>
        <w:t xml:space="preserve">, </w:t>
      </w:r>
      <w:r w:rsidRPr="0080626B">
        <w:rPr>
          <w:color w:val="000000"/>
          <w:szCs w:val="22"/>
          <w:lang w:val="sr-Latn-RS"/>
        </w:rPr>
        <w:t>ESBLs) i AmpC enzime čija se indukcija ili stabilna inhibicija može pojaviti u nekim Gram-negativnim bakterijskim vrstama;</w:t>
      </w:r>
    </w:p>
    <w:p w14:paraId="04687977" w14:textId="77777777" w:rsidR="00877C76" w:rsidRPr="0080626B" w:rsidRDefault="00E90AF4">
      <w:pPr>
        <w:widowControl w:val="0"/>
        <w:numPr>
          <w:ilvl w:val="0"/>
          <w:numId w:val="27"/>
        </w:numPr>
        <w:tabs>
          <w:tab w:val="clear" w:pos="567"/>
        </w:tabs>
        <w:spacing w:line="240" w:lineRule="auto"/>
        <w:jc w:val="both"/>
        <w:rPr>
          <w:color w:val="000000"/>
          <w:szCs w:val="22"/>
          <w:lang w:val="sr-Latn-RS"/>
        </w:rPr>
      </w:pPr>
      <w:r w:rsidRPr="0080626B">
        <w:rPr>
          <w:color w:val="000000"/>
          <w:szCs w:val="22"/>
          <w:lang w:val="sr-Latn-RS"/>
        </w:rPr>
        <w:t>smanjenje afiniteta penicilin-vezujućih proteina za cefuroksim;</w:t>
      </w:r>
    </w:p>
    <w:p w14:paraId="37086EDF" w14:textId="77777777" w:rsidR="00877C76" w:rsidRPr="0080626B" w:rsidRDefault="00E90AF4">
      <w:pPr>
        <w:widowControl w:val="0"/>
        <w:numPr>
          <w:ilvl w:val="0"/>
          <w:numId w:val="27"/>
        </w:numPr>
        <w:tabs>
          <w:tab w:val="clear" w:pos="567"/>
        </w:tabs>
        <w:spacing w:line="240" w:lineRule="auto"/>
        <w:jc w:val="both"/>
        <w:rPr>
          <w:color w:val="000000"/>
          <w:szCs w:val="22"/>
          <w:lang w:val="sr-Latn-RS"/>
        </w:rPr>
      </w:pPr>
      <w:r w:rsidRPr="0080626B">
        <w:rPr>
          <w:color w:val="000000"/>
          <w:szCs w:val="22"/>
          <w:lang w:val="sr-Latn-RS"/>
        </w:rPr>
        <w:t>nepropustljivosti spoljašnje membrane, koja smanjuje dostupnost cefuroksima proteinima koji vežu penicilini Gram-negativnih bakterija;</w:t>
      </w:r>
    </w:p>
    <w:p w14:paraId="59923408" w14:textId="77777777" w:rsidR="00877C76" w:rsidRPr="0080626B" w:rsidRDefault="00E90AF4">
      <w:pPr>
        <w:widowControl w:val="0"/>
        <w:numPr>
          <w:ilvl w:val="0"/>
          <w:numId w:val="27"/>
        </w:numPr>
        <w:tabs>
          <w:tab w:val="clear" w:pos="567"/>
        </w:tabs>
        <w:spacing w:line="240" w:lineRule="auto"/>
        <w:jc w:val="both"/>
        <w:rPr>
          <w:szCs w:val="22"/>
          <w:lang w:val="sr-Latn-RS"/>
        </w:rPr>
      </w:pPr>
      <w:r w:rsidRPr="0080626B">
        <w:rPr>
          <w:color w:val="000000"/>
          <w:szCs w:val="22"/>
          <w:lang w:val="sr-Latn-RS"/>
        </w:rPr>
        <w:t>pumpe koje izbacuju bakterije.</w:t>
      </w:r>
    </w:p>
    <w:p w14:paraId="58E2FAA2" w14:textId="77777777" w:rsidR="00877C76" w:rsidRPr="0080626B" w:rsidRDefault="00877C76">
      <w:pPr>
        <w:widowControl w:val="0"/>
        <w:ind w:left="720"/>
        <w:jc w:val="both"/>
        <w:rPr>
          <w:szCs w:val="22"/>
          <w:lang w:val="sr-Latn-RS"/>
        </w:rPr>
      </w:pPr>
    </w:p>
    <w:p w14:paraId="16B60FFE" w14:textId="55CE4AB3" w:rsidR="00877C76" w:rsidRPr="0080626B" w:rsidRDefault="00E90AF4">
      <w:pPr>
        <w:widowControl w:val="0"/>
        <w:jc w:val="both"/>
        <w:rPr>
          <w:color w:val="000000"/>
          <w:szCs w:val="22"/>
          <w:lang w:val="sr-Latn-RS"/>
        </w:rPr>
      </w:pPr>
      <w:r w:rsidRPr="0080626B">
        <w:rPr>
          <w:color w:val="000000"/>
          <w:szCs w:val="22"/>
          <w:lang w:val="sr-Latn-RS"/>
        </w:rPr>
        <w:t>Organizmi koji su razvili rezistenciju na druge parenteralne forme cefalosporina vjerovatno će biti rezistentni i na cefuroksim.</w:t>
      </w:r>
    </w:p>
    <w:p w14:paraId="61902F68" w14:textId="6614A9D7" w:rsidR="00877C76" w:rsidRPr="0080626B" w:rsidRDefault="00E90AF4">
      <w:pPr>
        <w:widowControl w:val="0"/>
        <w:jc w:val="both"/>
        <w:rPr>
          <w:color w:val="000000"/>
          <w:szCs w:val="22"/>
          <w:lang w:val="sr-Latn-RS"/>
        </w:rPr>
      </w:pPr>
      <w:r w:rsidRPr="0080626B">
        <w:rPr>
          <w:color w:val="000000"/>
          <w:szCs w:val="22"/>
          <w:lang w:val="sr-Latn-RS"/>
        </w:rPr>
        <w:t>U zavisnosti od mehanizma rezistencije, organizmi koji su razvili rezistenciju na peniciline mogu ispoljiti smanjenu osjetljivost ili rezistenciju na cefuroksim.</w:t>
      </w:r>
    </w:p>
    <w:p w14:paraId="73778218" w14:textId="77777777" w:rsidR="00877C76" w:rsidRPr="0080626B" w:rsidRDefault="00877C76">
      <w:pPr>
        <w:widowControl w:val="0"/>
        <w:jc w:val="both"/>
        <w:rPr>
          <w:szCs w:val="22"/>
          <w:lang w:val="sr-Latn-RS"/>
        </w:rPr>
      </w:pPr>
    </w:p>
    <w:p w14:paraId="4AC6C057" w14:textId="77777777" w:rsidR="00877C76" w:rsidRPr="0080626B" w:rsidRDefault="00E90AF4">
      <w:pPr>
        <w:widowControl w:val="0"/>
        <w:jc w:val="both"/>
        <w:rPr>
          <w:szCs w:val="22"/>
          <w:u w:val="single"/>
          <w:lang w:val="sr-Latn-RS"/>
        </w:rPr>
      </w:pPr>
      <w:r w:rsidRPr="0080626B">
        <w:rPr>
          <w:szCs w:val="22"/>
          <w:u w:val="single"/>
          <w:lang w:val="sr-Latn-RS"/>
        </w:rPr>
        <w:t>Granične vrijednosti za cefuroksim aksetil</w:t>
      </w:r>
    </w:p>
    <w:p w14:paraId="45CD998E" w14:textId="77777777" w:rsidR="00877C76" w:rsidRPr="0080626B" w:rsidRDefault="00E90AF4">
      <w:pPr>
        <w:widowControl w:val="0"/>
        <w:jc w:val="both"/>
        <w:rPr>
          <w:szCs w:val="22"/>
          <w:lang w:val="sr-Latn-RS"/>
        </w:rPr>
      </w:pPr>
      <w:r w:rsidRPr="0080626B">
        <w:rPr>
          <w:szCs w:val="22"/>
          <w:lang w:val="sr-Latn-RS"/>
        </w:rPr>
        <w:t>Granične vrijednosti minimalne inhibitorne koncentracije (MIK) utvrđene od strane Evropskog komiteta za testiranje osjetljivosti na antibiotike (</w:t>
      </w:r>
      <w:r w:rsidRPr="0080626B">
        <w:rPr>
          <w:i/>
          <w:szCs w:val="22"/>
          <w:lang w:val="sr-Latn-RS"/>
        </w:rPr>
        <w:t>European Committee on Antimicrobial Susceptibility Testing</w:t>
      </w:r>
      <w:r w:rsidRPr="0080626B">
        <w:rPr>
          <w:szCs w:val="22"/>
          <w:lang w:val="sr-Latn-RS"/>
        </w:rPr>
        <w:t>, EUCAST) su sljedeće:</w:t>
      </w:r>
    </w:p>
    <w:p w14:paraId="7B88AF27" w14:textId="77777777" w:rsidR="00877C76" w:rsidRPr="0080626B" w:rsidRDefault="00877C76">
      <w:pPr>
        <w:widowControl w:val="0"/>
        <w:rPr>
          <w:szCs w:val="22"/>
          <w:lang w:val="sr-Latn-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646"/>
        <w:gridCol w:w="2535"/>
      </w:tblGrid>
      <w:tr w:rsidR="00877C76" w:rsidRPr="0080626B" w14:paraId="464D6FEE" w14:textId="77777777" w:rsidTr="00137084">
        <w:tc>
          <w:tcPr>
            <w:tcW w:w="3822" w:type="dxa"/>
            <w:shd w:val="clear" w:color="auto" w:fill="auto"/>
          </w:tcPr>
          <w:p w14:paraId="45B471D0" w14:textId="77777777" w:rsidR="00877C76" w:rsidRPr="0080626B" w:rsidRDefault="00E90AF4">
            <w:pPr>
              <w:widowControl w:val="0"/>
              <w:autoSpaceDE w:val="0"/>
              <w:autoSpaceDN w:val="0"/>
              <w:adjustRightInd w:val="0"/>
              <w:rPr>
                <w:color w:val="000000"/>
                <w:szCs w:val="22"/>
                <w:lang w:val="sr-Latn-RS"/>
              </w:rPr>
            </w:pPr>
            <w:r w:rsidRPr="0080626B">
              <w:rPr>
                <w:b/>
                <w:bCs/>
                <w:color w:val="000000"/>
                <w:szCs w:val="22"/>
                <w:lang w:val="sr-Latn-RS"/>
              </w:rPr>
              <w:t>Mikroorganizam</w:t>
            </w:r>
          </w:p>
        </w:tc>
        <w:tc>
          <w:tcPr>
            <w:tcW w:w="5250" w:type="dxa"/>
            <w:gridSpan w:val="2"/>
            <w:shd w:val="clear" w:color="auto" w:fill="auto"/>
          </w:tcPr>
          <w:p w14:paraId="367F2223" w14:textId="77777777" w:rsidR="00877C76" w:rsidRPr="0080626B" w:rsidRDefault="00E90AF4" w:rsidP="00137084">
            <w:pPr>
              <w:widowControl w:val="0"/>
              <w:autoSpaceDE w:val="0"/>
              <w:autoSpaceDN w:val="0"/>
              <w:adjustRightInd w:val="0"/>
              <w:jc w:val="center"/>
              <w:rPr>
                <w:color w:val="000000"/>
                <w:szCs w:val="22"/>
                <w:lang w:val="sr-Latn-RS"/>
              </w:rPr>
            </w:pPr>
            <w:r w:rsidRPr="0080626B">
              <w:rPr>
                <w:b/>
                <w:bCs/>
                <w:color w:val="000000"/>
                <w:szCs w:val="22"/>
                <w:lang w:val="sr-Latn-RS"/>
              </w:rPr>
              <w:t>Granične vrijednosti (mg/l)</w:t>
            </w:r>
          </w:p>
        </w:tc>
      </w:tr>
      <w:tr w:rsidR="00877C76" w:rsidRPr="0080626B" w14:paraId="2F6884B7" w14:textId="77777777" w:rsidTr="00137084">
        <w:trPr>
          <w:trHeight w:val="168"/>
        </w:trPr>
        <w:tc>
          <w:tcPr>
            <w:tcW w:w="3822" w:type="dxa"/>
            <w:shd w:val="clear" w:color="auto" w:fill="auto"/>
          </w:tcPr>
          <w:p w14:paraId="23CBE7C9" w14:textId="77777777" w:rsidR="00877C76" w:rsidRPr="0080626B" w:rsidRDefault="00877C76">
            <w:pPr>
              <w:widowControl w:val="0"/>
              <w:rPr>
                <w:szCs w:val="22"/>
                <w:lang w:val="sr-Latn-RS"/>
              </w:rPr>
            </w:pPr>
          </w:p>
        </w:tc>
        <w:tc>
          <w:tcPr>
            <w:tcW w:w="2682" w:type="dxa"/>
            <w:shd w:val="clear" w:color="auto" w:fill="auto"/>
          </w:tcPr>
          <w:p w14:paraId="6087DA31" w14:textId="77777777" w:rsidR="00877C76" w:rsidRPr="0080626B" w:rsidRDefault="00E90AF4">
            <w:pPr>
              <w:widowControl w:val="0"/>
              <w:jc w:val="center"/>
              <w:rPr>
                <w:szCs w:val="22"/>
                <w:u w:val="single"/>
                <w:lang w:val="sr-Latn-RS"/>
              </w:rPr>
            </w:pPr>
            <w:r w:rsidRPr="0080626B">
              <w:rPr>
                <w:szCs w:val="22"/>
                <w:u w:val="single"/>
                <w:lang w:val="sr-Latn-RS"/>
              </w:rPr>
              <w:t>S</w:t>
            </w:r>
          </w:p>
        </w:tc>
        <w:tc>
          <w:tcPr>
            <w:tcW w:w="2568" w:type="dxa"/>
            <w:shd w:val="clear" w:color="auto" w:fill="auto"/>
          </w:tcPr>
          <w:p w14:paraId="56CA7147" w14:textId="77777777" w:rsidR="00877C76" w:rsidRPr="0080626B" w:rsidRDefault="00E90AF4">
            <w:pPr>
              <w:widowControl w:val="0"/>
              <w:jc w:val="center"/>
              <w:rPr>
                <w:szCs w:val="22"/>
                <w:u w:val="single"/>
                <w:lang w:val="sr-Latn-RS"/>
              </w:rPr>
            </w:pPr>
            <w:r w:rsidRPr="0080626B">
              <w:rPr>
                <w:szCs w:val="22"/>
                <w:u w:val="single"/>
                <w:lang w:val="sr-Latn-RS"/>
              </w:rPr>
              <w:t>R</w:t>
            </w:r>
          </w:p>
        </w:tc>
      </w:tr>
      <w:tr w:rsidR="00877C76" w:rsidRPr="0080626B" w14:paraId="2E1234CE" w14:textId="77777777" w:rsidTr="00137084">
        <w:trPr>
          <w:trHeight w:val="154"/>
        </w:trPr>
        <w:tc>
          <w:tcPr>
            <w:tcW w:w="3822" w:type="dxa"/>
            <w:shd w:val="clear" w:color="auto" w:fill="auto"/>
          </w:tcPr>
          <w:p w14:paraId="57B824BD" w14:textId="41C47DC3" w:rsidR="00877C76" w:rsidRPr="0080626B" w:rsidRDefault="00E90AF4" w:rsidP="009F4DC4">
            <w:pPr>
              <w:widowControl w:val="0"/>
              <w:autoSpaceDE w:val="0"/>
              <w:autoSpaceDN w:val="0"/>
              <w:adjustRightInd w:val="0"/>
              <w:rPr>
                <w:color w:val="000000"/>
                <w:szCs w:val="22"/>
                <w:lang w:val="sr-Latn-RS"/>
              </w:rPr>
            </w:pPr>
            <w:r w:rsidRPr="0080626B">
              <w:rPr>
                <w:i/>
                <w:iCs/>
                <w:color w:val="000000"/>
                <w:szCs w:val="22"/>
                <w:lang w:val="sr-Latn-RS"/>
              </w:rPr>
              <w:t>Enterobacteriaceae</w:t>
            </w:r>
            <w:r w:rsidRPr="0080626B">
              <w:rPr>
                <w:i/>
                <w:iCs/>
                <w:color w:val="000000"/>
                <w:szCs w:val="22"/>
                <w:vertAlign w:val="superscript"/>
                <w:lang w:val="sr-Latn-RS"/>
              </w:rPr>
              <w:t>1, 2</w:t>
            </w:r>
            <w:r w:rsidRPr="0080626B">
              <w:rPr>
                <w:i/>
                <w:iCs/>
                <w:color w:val="000000"/>
                <w:szCs w:val="22"/>
                <w:lang w:val="sr-Latn-RS"/>
              </w:rPr>
              <w:t xml:space="preserve"> </w:t>
            </w:r>
          </w:p>
        </w:tc>
        <w:tc>
          <w:tcPr>
            <w:tcW w:w="0" w:type="auto"/>
            <w:shd w:val="clear" w:color="auto" w:fill="auto"/>
          </w:tcPr>
          <w:p w14:paraId="4E6652B5" w14:textId="45A2A2ED" w:rsidR="00877C76" w:rsidRPr="0080626B" w:rsidRDefault="00E90AF4">
            <w:pPr>
              <w:widowControl w:val="0"/>
              <w:autoSpaceDE w:val="0"/>
              <w:autoSpaceDN w:val="0"/>
              <w:adjustRightInd w:val="0"/>
              <w:jc w:val="center"/>
              <w:rPr>
                <w:color w:val="000000"/>
                <w:szCs w:val="22"/>
                <w:lang w:val="sr-Latn-RS"/>
              </w:rPr>
            </w:pPr>
            <w:r w:rsidRPr="0080626B">
              <w:rPr>
                <w:color w:val="000000"/>
                <w:szCs w:val="22"/>
                <w:lang w:val="sr-Latn-RS"/>
              </w:rPr>
              <w:t>≤</w:t>
            </w:r>
            <w:r w:rsidR="00382EF3" w:rsidRPr="0080626B">
              <w:rPr>
                <w:color w:val="000000"/>
                <w:szCs w:val="22"/>
                <w:lang w:val="sr-Latn-RS"/>
              </w:rPr>
              <w:t xml:space="preserve"> </w:t>
            </w:r>
            <w:r w:rsidRPr="0080626B">
              <w:rPr>
                <w:color w:val="000000"/>
                <w:szCs w:val="22"/>
                <w:lang w:val="sr-Latn-RS"/>
              </w:rPr>
              <w:t>8</w:t>
            </w:r>
          </w:p>
        </w:tc>
        <w:tc>
          <w:tcPr>
            <w:tcW w:w="2568" w:type="dxa"/>
            <w:shd w:val="clear" w:color="auto" w:fill="auto"/>
          </w:tcPr>
          <w:p w14:paraId="467FC0BF" w14:textId="6810385B" w:rsidR="00877C76" w:rsidRPr="0080626B" w:rsidRDefault="00E90AF4">
            <w:pPr>
              <w:widowControl w:val="0"/>
              <w:autoSpaceDE w:val="0"/>
              <w:autoSpaceDN w:val="0"/>
              <w:adjustRightInd w:val="0"/>
              <w:jc w:val="center"/>
              <w:rPr>
                <w:color w:val="000000"/>
                <w:szCs w:val="22"/>
                <w:lang w:val="sr-Latn-RS"/>
              </w:rPr>
            </w:pPr>
            <w:r w:rsidRPr="0080626B">
              <w:rPr>
                <w:color w:val="000000"/>
                <w:szCs w:val="22"/>
                <w:lang w:val="sr-Latn-RS"/>
              </w:rPr>
              <w:t>&gt;</w:t>
            </w:r>
            <w:r w:rsidR="00382EF3" w:rsidRPr="0080626B">
              <w:rPr>
                <w:color w:val="000000"/>
                <w:szCs w:val="22"/>
                <w:lang w:val="sr-Latn-RS"/>
              </w:rPr>
              <w:t xml:space="preserve"> </w:t>
            </w:r>
            <w:r w:rsidRPr="0080626B">
              <w:rPr>
                <w:color w:val="000000"/>
                <w:szCs w:val="22"/>
                <w:lang w:val="sr-Latn-RS"/>
              </w:rPr>
              <w:t>8</w:t>
            </w:r>
          </w:p>
        </w:tc>
      </w:tr>
      <w:tr w:rsidR="00877C76" w:rsidRPr="0080626B" w14:paraId="3F69BA47" w14:textId="77777777" w:rsidTr="00137084">
        <w:trPr>
          <w:trHeight w:val="154"/>
        </w:trPr>
        <w:tc>
          <w:tcPr>
            <w:tcW w:w="3822" w:type="dxa"/>
            <w:shd w:val="clear" w:color="auto" w:fill="auto"/>
          </w:tcPr>
          <w:p w14:paraId="0B809F60" w14:textId="77777777" w:rsidR="00877C76" w:rsidRPr="0080626B" w:rsidRDefault="00E90AF4">
            <w:pPr>
              <w:widowControl w:val="0"/>
              <w:autoSpaceDE w:val="0"/>
              <w:autoSpaceDN w:val="0"/>
              <w:adjustRightInd w:val="0"/>
              <w:rPr>
                <w:color w:val="000000"/>
                <w:szCs w:val="22"/>
                <w:lang w:val="sr-Latn-RS"/>
              </w:rPr>
            </w:pPr>
            <w:r w:rsidRPr="0080626B">
              <w:rPr>
                <w:i/>
                <w:iCs/>
                <w:color w:val="000000"/>
                <w:szCs w:val="22"/>
                <w:lang w:val="sr-Latn-RS"/>
              </w:rPr>
              <w:t xml:space="preserve">Staphylococcus </w:t>
            </w:r>
            <w:r w:rsidRPr="0080626B">
              <w:rPr>
                <w:color w:val="000000"/>
                <w:szCs w:val="22"/>
                <w:lang w:val="sr-Latn-RS"/>
              </w:rPr>
              <w:t>spp.</w:t>
            </w:r>
          </w:p>
        </w:tc>
        <w:tc>
          <w:tcPr>
            <w:tcW w:w="0" w:type="auto"/>
            <w:shd w:val="clear" w:color="auto" w:fill="auto"/>
          </w:tcPr>
          <w:p w14:paraId="606EE5DD" w14:textId="77777777" w:rsidR="00877C76" w:rsidRPr="0080626B" w:rsidRDefault="00E90AF4">
            <w:pPr>
              <w:widowControl w:val="0"/>
              <w:autoSpaceDE w:val="0"/>
              <w:autoSpaceDN w:val="0"/>
              <w:adjustRightInd w:val="0"/>
              <w:jc w:val="center"/>
              <w:rPr>
                <w:color w:val="000000"/>
                <w:szCs w:val="22"/>
                <w:lang w:val="sr-Latn-RS"/>
              </w:rPr>
            </w:pPr>
            <w:r w:rsidRPr="0080626B">
              <w:rPr>
                <w:color w:val="000000"/>
                <w:szCs w:val="22"/>
                <w:lang w:val="sr-Latn-RS"/>
              </w:rPr>
              <w:t>napomena</w:t>
            </w:r>
            <w:r w:rsidRPr="0080626B">
              <w:rPr>
                <w:color w:val="000000"/>
                <w:szCs w:val="22"/>
                <w:vertAlign w:val="superscript"/>
                <w:lang w:val="sr-Latn-RS"/>
              </w:rPr>
              <w:t>3</w:t>
            </w:r>
          </w:p>
        </w:tc>
        <w:tc>
          <w:tcPr>
            <w:tcW w:w="2568" w:type="dxa"/>
            <w:shd w:val="clear" w:color="auto" w:fill="auto"/>
          </w:tcPr>
          <w:p w14:paraId="19752DC6" w14:textId="2A1987D2" w:rsidR="00877C76" w:rsidRPr="0080626B" w:rsidRDefault="00E90AF4">
            <w:pPr>
              <w:widowControl w:val="0"/>
              <w:autoSpaceDE w:val="0"/>
              <w:autoSpaceDN w:val="0"/>
              <w:adjustRightInd w:val="0"/>
              <w:jc w:val="center"/>
              <w:rPr>
                <w:color w:val="000000"/>
                <w:szCs w:val="22"/>
                <w:lang w:val="sr-Latn-RS"/>
              </w:rPr>
            </w:pPr>
            <w:r w:rsidRPr="0080626B">
              <w:rPr>
                <w:color w:val="000000"/>
                <w:szCs w:val="22"/>
                <w:lang w:val="sr-Latn-RS"/>
              </w:rPr>
              <w:t>napomena</w:t>
            </w:r>
            <w:r w:rsidRPr="0080626B">
              <w:rPr>
                <w:color w:val="000000"/>
                <w:szCs w:val="22"/>
                <w:vertAlign w:val="superscript"/>
                <w:lang w:val="sr-Latn-RS"/>
              </w:rPr>
              <w:t>3</w:t>
            </w:r>
          </w:p>
        </w:tc>
      </w:tr>
      <w:tr w:rsidR="00877C76" w:rsidRPr="0080626B" w14:paraId="158ABBD5" w14:textId="77777777" w:rsidTr="00137084">
        <w:trPr>
          <w:trHeight w:val="154"/>
        </w:trPr>
        <w:tc>
          <w:tcPr>
            <w:tcW w:w="3822" w:type="dxa"/>
            <w:shd w:val="clear" w:color="auto" w:fill="auto"/>
          </w:tcPr>
          <w:p w14:paraId="561C1C38" w14:textId="77777777" w:rsidR="00877C76" w:rsidRPr="0080626B" w:rsidRDefault="00E90AF4">
            <w:pPr>
              <w:widowControl w:val="0"/>
              <w:autoSpaceDE w:val="0"/>
              <w:autoSpaceDN w:val="0"/>
              <w:adjustRightInd w:val="0"/>
              <w:rPr>
                <w:color w:val="000000"/>
                <w:szCs w:val="22"/>
                <w:lang w:val="sr-Latn-RS"/>
              </w:rPr>
            </w:pPr>
            <w:r w:rsidRPr="0080626B">
              <w:rPr>
                <w:i/>
                <w:iCs/>
                <w:color w:val="000000"/>
                <w:szCs w:val="22"/>
                <w:lang w:val="sr-Latn-RS"/>
              </w:rPr>
              <w:t xml:space="preserve">Streptococcus </w:t>
            </w:r>
            <w:r w:rsidRPr="0080626B">
              <w:rPr>
                <w:color w:val="000000"/>
                <w:szCs w:val="22"/>
                <w:lang w:val="sr-Latn-RS"/>
              </w:rPr>
              <w:t>A, B, C i G</w:t>
            </w:r>
          </w:p>
        </w:tc>
        <w:tc>
          <w:tcPr>
            <w:tcW w:w="0" w:type="auto"/>
            <w:shd w:val="clear" w:color="auto" w:fill="auto"/>
          </w:tcPr>
          <w:p w14:paraId="0F7375CD" w14:textId="307C3EEF" w:rsidR="00877C76" w:rsidRPr="0080626B" w:rsidRDefault="00E90AF4">
            <w:pPr>
              <w:widowControl w:val="0"/>
              <w:autoSpaceDE w:val="0"/>
              <w:autoSpaceDN w:val="0"/>
              <w:adjustRightInd w:val="0"/>
              <w:jc w:val="center"/>
              <w:rPr>
                <w:color w:val="000000"/>
                <w:szCs w:val="22"/>
                <w:lang w:val="sr-Latn-RS"/>
              </w:rPr>
            </w:pPr>
            <w:r w:rsidRPr="0080626B">
              <w:rPr>
                <w:color w:val="000000"/>
                <w:szCs w:val="22"/>
                <w:lang w:val="sr-Latn-RS"/>
              </w:rPr>
              <w:t>napomena</w:t>
            </w:r>
            <w:r w:rsidRPr="0080626B">
              <w:rPr>
                <w:color w:val="000000"/>
                <w:szCs w:val="22"/>
                <w:vertAlign w:val="superscript"/>
                <w:lang w:val="sr-Latn-RS"/>
              </w:rPr>
              <w:t>4</w:t>
            </w:r>
          </w:p>
        </w:tc>
        <w:tc>
          <w:tcPr>
            <w:tcW w:w="2568" w:type="dxa"/>
            <w:shd w:val="clear" w:color="auto" w:fill="auto"/>
          </w:tcPr>
          <w:p w14:paraId="5B7AEAB3" w14:textId="298720C8" w:rsidR="00877C76" w:rsidRPr="0080626B" w:rsidRDefault="00E90AF4">
            <w:pPr>
              <w:widowControl w:val="0"/>
              <w:autoSpaceDE w:val="0"/>
              <w:autoSpaceDN w:val="0"/>
              <w:adjustRightInd w:val="0"/>
              <w:jc w:val="center"/>
              <w:rPr>
                <w:color w:val="000000"/>
                <w:szCs w:val="22"/>
                <w:lang w:val="sr-Latn-RS"/>
              </w:rPr>
            </w:pPr>
            <w:r w:rsidRPr="0080626B">
              <w:rPr>
                <w:color w:val="000000"/>
                <w:szCs w:val="22"/>
                <w:lang w:val="sr-Latn-RS"/>
              </w:rPr>
              <w:t>napomena</w:t>
            </w:r>
            <w:r w:rsidRPr="0080626B">
              <w:rPr>
                <w:color w:val="000000"/>
                <w:szCs w:val="22"/>
                <w:vertAlign w:val="superscript"/>
                <w:lang w:val="sr-Latn-RS"/>
              </w:rPr>
              <w:t>4</w:t>
            </w:r>
          </w:p>
        </w:tc>
      </w:tr>
      <w:tr w:rsidR="00877C76" w:rsidRPr="0080626B" w14:paraId="1859EEDB" w14:textId="77777777" w:rsidTr="00137084">
        <w:trPr>
          <w:trHeight w:val="146"/>
        </w:trPr>
        <w:tc>
          <w:tcPr>
            <w:tcW w:w="3822" w:type="dxa"/>
            <w:shd w:val="clear" w:color="auto" w:fill="auto"/>
          </w:tcPr>
          <w:p w14:paraId="065495F3" w14:textId="77777777" w:rsidR="00877C76" w:rsidRPr="0080626B" w:rsidRDefault="00E90AF4">
            <w:pPr>
              <w:widowControl w:val="0"/>
              <w:autoSpaceDE w:val="0"/>
              <w:autoSpaceDN w:val="0"/>
              <w:adjustRightInd w:val="0"/>
              <w:rPr>
                <w:color w:val="000000"/>
                <w:szCs w:val="22"/>
                <w:lang w:val="sr-Latn-RS"/>
              </w:rPr>
            </w:pPr>
            <w:r w:rsidRPr="0080626B">
              <w:rPr>
                <w:i/>
                <w:iCs/>
                <w:color w:val="000000"/>
                <w:szCs w:val="22"/>
                <w:lang w:val="sr-Latn-RS"/>
              </w:rPr>
              <w:t>Streptococcus pneumoniae</w:t>
            </w:r>
          </w:p>
        </w:tc>
        <w:tc>
          <w:tcPr>
            <w:tcW w:w="0" w:type="auto"/>
            <w:shd w:val="clear" w:color="auto" w:fill="auto"/>
          </w:tcPr>
          <w:p w14:paraId="76094E43" w14:textId="5C34739F" w:rsidR="00877C76" w:rsidRPr="0080626B" w:rsidRDefault="00E90AF4">
            <w:pPr>
              <w:widowControl w:val="0"/>
              <w:autoSpaceDE w:val="0"/>
              <w:autoSpaceDN w:val="0"/>
              <w:adjustRightInd w:val="0"/>
              <w:jc w:val="center"/>
              <w:rPr>
                <w:color w:val="000000"/>
                <w:szCs w:val="22"/>
                <w:lang w:val="sr-Latn-RS"/>
              </w:rPr>
            </w:pPr>
            <w:r w:rsidRPr="0080626B">
              <w:rPr>
                <w:color w:val="000000"/>
                <w:szCs w:val="22"/>
                <w:lang w:val="sr-Latn-RS"/>
              </w:rPr>
              <w:t>≤</w:t>
            </w:r>
            <w:r w:rsidR="009F4DC4" w:rsidRPr="0080626B">
              <w:rPr>
                <w:color w:val="000000"/>
                <w:szCs w:val="22"/>
                <w:lang w:val="sr-Latn-RS"/>
              </w:rPr>
              <w:t xml:space="preserve"> </w:t>
            </w:r>
            <w:r w:rsidRPr="0080626B">
              <w:rPr>
                <w:color w:val="000000"/>
                <w:szCs w:val="22"/>
                <w:lang w:val="sr-Latn-RS"/>
              </w:rPr>
              <w:t>0,25</w:t>
            </w:r>
          </w:p>
        </w:tc>
        <w:tc>
          <w:tcPr>
            <w:tcW w:w="2568" w:type="dxa"/>
            <w:shd w:val="clear" w:color="auto" w:fill="auto"/>
          </w:tcPr>
          <w:p w14:paraId="5E0C4903" w14:textId="77B78344" w:rsidR="00877C76" w:rsidRPr="0080626B" w:rsidRDefault="00E90AF4">
            <w:pPr>
              <w:widowControl w:val="0"/>
              <w:autoSpaceDE w:val="0"/>
              <w:autoSpaceDN w:val="0"/>
              <w:adjustRightInd w:val="0"/>
              <w:jc w:val="center"/>
              <w:rPr>
                <w:color w:val="000000"/>
                <w:szCs w:val="22"/>
                <w:lang w:val="sr-Latn-RS"/>
              </w:rPr>
            </w:pPr>
            <w:r w:rsidRPr="0080626B">
              <w:rPr>
                <w:color w:val="000000"/>
                <w:szCs w:val="22"/>
                <w:lang w:val="sr-Latn-RS"/>
              </w:rPr>
              <w:t>&gt;</w:t>
            </w:r>
            <w:r w:rsidR="009F4DC4" w:rsidRPr="0080626B">
              <w:rPr>
                <w:color w:val="000000"/>
                <w:szCs w:val="22"/>
                <w:lang w:val="sr-Latn-RS"/>
              </w:rPr>
              <w:t xml:space="preserve"> </w:t>
            </w:r>
            <w:r w:rsidRPr="0080626B">
              <w:rPr>
                <w:color w:val="000000"/>
                <w:szCs w:val="22"/>
                <w:lang w:val="sr-Latn-RS"/>
              </w:rPr>
              <w:t>0,5</w:t>
            </w:r>
          </w:p>
        </w:tc>
      </w:tr>
      <w:tr w:rsidR="00877C76" w:rsidRPr="0080626B" w14:paraId="28643070" w14:textId="77777777" w:rsidTr="00137084">
        <w:trPr>
          <w:trHeight w:val="146"/>
        </w:trPr>
        <w:tc>
          <w:tcPr>
            <w:tcW w:w="3822" w:type="dxa"/>
            <w:shd w:val="clear" w:color="auto" w:fill="auto"/>
          </w:tcPr>
          <w:p w14:paraId="4D2CF736" w14:textId="77777777" w:rsidR="00877C76" w:rsidRPr="0080626B" w:rsidRDefault="00E90AF4">
            <w:pPr>
              <w:widowControl w:val="0"/>
              <w:autoSpaceDE w:val="0"/>
              <w:autoSpaceDN w:val="0"/>
              <w:adjustRightInd w:val="0"/>
              <w:rPr>
                <w:color w:val="000000"/>
                <w:szCs w:val="22"/>
                <w:lang w:val="sr-Latn-RS"/>
              </w:rPr>
            </w:pPr>
            <w:r w:rsidRPr="0080626B">
              <w:rPr>
                <w:i/>
                <w:iCs/>
                <w:color w:val="000000"/>
                <w:szCs w:val="22"/>
                <w:lang w:val="sr-Latn-RS"/>
              </w:rPr>
              <w:t>Moraxella catarrhalis</w:t>
            </w:r>
          </w:p>
        </w:tc>
        <w:tc>
          <w:tcPr>
            <w:tcW w:w="0" w:type="auto"/>
            <w:shd w:val="clear" w:color="auto" w:fill="auto"/>
          </w:tcPr>
          <w:p w14:paraId="5114C089" w14:textId="24E31D5B" w:rsidR="00877C76" w:rsidRPr="0080626B" w:rsidRDefault="00E90AF4">
            <w:pPr>
              <w:widowControl w:val="0"/>
              <w:autoSpaceDE w:val="0"/>
              <w:autoSpaceDN w:val="0"/>
              <w:adjustRightInd w:val="0"/>
              <w:jc w:val="center"/>
              <w:rPr>
                <w:color w:val="000000"/>
                <w:szCs w:val="22"/>
                <w:lang w:val="sr-Latn-RS"/>
              </w:rPr>
            </w:pPr>
            <w:r w:rsidRPr="0080626B">
              <w:rPr>
                <w:color w:val="000000"/>
                <w:szCs w:val="22"/>
                <w:lang w:val="sr-Latn-RS"/>
              </w:rPr>
              <w:t>≤</w:t>
            </w:r>
            <w:r w:rsidR="009F4DC4" w:rsidRPr="0080626B">
              <w:rPr>
                <w:color w:val="000000"/>
                <w:szCs w:val="22"/>
                <w:lang w:val="sr-Latn-RS"/>
              </w:rPr>
              <w:t xml:space="preserve"> </w:t>
            </w:r>
            <w:r w:rsidRPr="0080626B">
              <w:rPr>
                <w:color w:val="000000"/>
                <w:szCs w:val="22"/>
                <w:lang w:val="sr-Latn-RS"/>
              </w:rPr>
              <w:t>0,125</w:t>
            </w:r>
          </w:p>
        </w:tc>
        <w:tc>
          <w:tcPr>
            <w:tcW w:w="2568" w:type="dxa"/>
            <w:shd w:val="clear" w:color="auto" w:fill="auto"/>
          </w:tcPr>
          <w:p w14:paraId="242B3385" w14:textId="2326CCCD" w:rsidR="00877C76" w:rsidRPr="0080626B" w:rsidRDefault="00E90AF4">
            <w:pPr>
              <w:widowControl w:val="0"/>
              <w:autoSpaceDE w:val="0"/>
              <w:autoSpaceDN w:val="0"/>
              <w:adjustRightInd w:val="0"/>
              <w:jc w:val="center"/>
              <w:rPr>
                <w:color w:val="000000"/>
                <w:szCs w:val="22"/>
                <w:lang w:val="sr-Latn-RS"/>
              </w:rPr>
            </w:pPr>
            <w:r w:rsidRPr="0080626B">
              <w:rPr>
                <w:color w:val="000000"/>
                <w:szCs w:val="22"/>
                <w:lang w:val="sr-Latn-RS"/>
              </w:rPr>
              <w:t>&gt;</w:t>
            </w:r>
            <w:r w:rsidR="009F4DC4" w:rsidRPr="0080626B">
              <w:rPr>
                <w:color w:val="000000"/>
                <w:szCs w:val="22"/>
                <w:lang w:val="sr-Latn-RS"/>
              </w:rPr>
              <w:t xml:space="preserve"> </w:t>
            </w:r>
            <w:r w:rsidRPr="0080626B">
              <w:rPr>
                <w:color w:val="000000"/>
                <w:szCs w:val="22"/>
                <w:lang w:val="sr-Latn-RS"/>
              </w:rPr>
              <w:t>4</w:t>
            </w:r>
          </w:p>
        </w:tc>
      </w:tr>
      <w:tr w:rsidR="00877C76" w:rsidRPr="0080626B" w14:paraId="11791912" w14:textId="77777777" w:rsidTr="00137084">
        <w:trPr>
          <w:trHeight w:val="146"/>
        </w:trPr>
        <w:tc>
          <w:tcPr>
            <w:tcW w:w="3822" w:type="dxa"/>
            <w:shd w:val="clear" w:color="auto" w:fill="auto"/>
          </w:tcPr>
          <w:p w14:paraId="26A2F83B" w14:textId="77777777" w:rsidR="00877C76" w:rsidRPr="0080626B" w:rsidRDefault="00E90AF4">
            <w:pPr>
              <w:widowControl w:val="0"/>
              <w:autoSpaceDE w:val="0"/>
              <w:autoSpaceDN w:val="0"/>
              <w:adjustRightInd w:val="0"/>
              <w:rPr>
                <w:color w:val="000000"/>
                <w:szCs w:val="22"/>
                <w:lang w:val="sr-Latn-RS"/>
              </w:rPr>
            </w:pPr>
            <w:r w:rsidRPr="0080626B">
              <w:rPr>
                <w:i/>
                <w:iCs/>
                <w:color w:val="000000"/>
                <w:szCs w:val="22"/>
                <w:lang w:val="sr-Latn-RS"/>
              </w:rPr>
              <w:t>Haemophilus influenzae</w:t>
            </w:r>
          </w:p>
        </w:tc>
        <w:tc>
          <w:tcPr>
            <w:tcW w:w="0" w:type="auto"/>
            <w:shd w:val="clear" w:color="auto" w:fill="auto"/>
          </w:tcPr>
          <w:p w14:paraId="5519A41B" w14:textId="627C84C4" w:rsidR="00877C76" w:rsidRPr="0080626B" w:rsidRDefault="00E90AF4">
            <w:pPr>
              <w:widowControl w:val="0"/>
              <w:autoSpaceDE w:val="0"/>
              <w:autoSpaceDN w:val="0"/>
              <w:adjustRightInd w:val="0"/>
              <w:jc w:val="center"/>
              <w:rPr>
                <w:color w:val="000000"/>
                <w:szCs w:val="22"/>
                <w:lang w:val="sr-Latn-RS"/>
              </w:rPr>
            </w:pPr>
            <w:r w:rsidRPr="0080626B">
              <w:rPr>
                <w:color w:val="000000"/>
                <w:szCs w:val="22"/>
                <w:lang w:val="sr-Latn-RS"/>
              </w:rPr>
              <w:t>≤</w:t>
            </w:r>
            <w:r w:rsidR="009F4DC4" w:rsidRPr="0080626B">
              <w:rPr>
                <w:color w:val="000000"/>
                <w:szCs w:val="22"/>
                <w:lang w:val="sr-Latn-RS"/>
              </w:rPr>
              <w:t xml:space="preserve"> </w:t>
            </w:r>
            <w:r w:rsidRPr="0080626B">
              <w:rPr>
                <w:color w:val="000000"/>
                <w:szCs w:val="22"/>
                <w:lang w:val="sr-Latn-RS"/>
              </w:rPr>
              <w:t>0,125</w:t>
            </w:r>
          </w:p>
        </w:tc>
        <w:tc>
          <w:tcPr>
            <w:tcW w:w="2568" w:type="dxa"/>
            <w:shd w:val="clear" w:color="auto" w:fill="auto"/>
          </w:tcPr>
          <w:p w14:paraId="53B9943F" w14:textId="071BB6EF" w:rsidR="00877C76" w:rsidRPr="0080626B" w:rsidRDefault="00E90AF4">
            <w:pPr>
              <w:widowControl w:val="0"/>
              <w:autoSpaceDE w:val="0"/>
              <w:autoSpaceDN w:val="0"/>
              <w:adjustRightInd w:val="0"/>
              <w:jc w:val="center"/>
              <w:rPr>
                <w:color w:val="000000"/>
                <w:szCs w:val="22"/>
                <w:lang w:val="sr-Latn-RS"/>
              </w:rPr>
            </w:pPr>
            <w:r w:rsidRPr="0080626B">
              <w:rPr>
                <w:color w:val="000000"/>
                <w:szCs w:val="22"/>
                <w:lang w:val="sr-Latn-RS"/>
              </w:rPr>
              <w:t>&gt;</w:t>
            </w:r>
            <w:r w:rsidR="009F4DC4" w:rsidRPr="0080626B">
              <w:rPr>
                <w:color w:val="000000"/>
                <w:szCs w:val="22"/>
                <w:lang w:val="sr-Latn-RS"/>
              </w:rPr>
              <w:t xml:space="preserve"> </w:t>
            </w:r>
            <w:r w:rsidRPr="0080626B">
              <w:rPr>
                <w:color w:val="000000"/>
                <w:szCs w:val="22"/>
                <w:lang w:val="sr-Latn-RS"/>
              </w:rPr>
              <w:t>1</w:t>
            </w:r>
          </w:p>
        </w:tc>
      </w:tr>
      <w:tr w:rsidR="00877C76" w:rsidRPr="0080626B" w14:paraId="500D236A" w14:textId="77777777" w:rsidTr="00137084">
        <w:trPr>
          <w:trHeight w:val="283"/>
        </w:trPr>
        <w:tc>
          <w:tcPr>
            <w:tcW w:w="3822" w:type="dxa"/>
            <w:shd w:val="clear" w:color="auto" w:fill="auto"/>
          </w:tcPr>
          <w:p w14:paraId="6DC37565" w14:textId="77777777" w:rsidR="00877C76" w:rsidRPr="0080626B" w:rsidRDefault="00E90AF4">
            <w:pPr>
              <w:widowControl w:val="0"/>
              <w:autoSpaceDE w:val="0"/>
              <w:autoSpaceDN w:val="0"/>
              <w:adjustRightInd w:val="0"/>
              <w:rPr>
                <w:color w:val="000000"/>
                <w:szCs w:val="22"/>
                <w:lang w:val="sr-Latn-RS"/>
              </w:rPr>
            </w:pPr>
            <w:r w:rsidRPr="0080626B">
              <w:rPr>
                <w:color w:val="000000"/>
                <w:szCs w:val="22"/>
                <w:lang w:val="sr-Latn-RS"/>
              </w:rPr>
              <w:t>Granične vrijednosti koje se ne odnose na vrste</w:t>
            </w:r>
            <w:r w:rsidRPr="0080626B">
              <w:rPr>
                <w:color w:val="000000"/>
                <w:szCs w:val="22"/>
                <w:vertAlign w:val="superscript"/>
                <w:lang w:val="sr-Latn-RS"/>
              </w:rPr>
              <w:t>1</w:t>
            </w:r>
          </w:p>
        </w:tc>
        <w:tc>
          <w:tcPr>
            <w:tcW w:w="0" w:type="auto"/>
            <w:shd w:val="clear" w:color="auto" w:fill="auto"/>
          </w:tcPr>
          <w:p w14:paraId="7E7B83D2" w14:textId="77777777" w:rsidR="00877C76" w:rsidRPr="0080626B" w:rsidRDefault="00E90AF4">
            <w:pPr>
              <w:widowControl w:val="0"/>
              <w:autoSpaceDE w:val="0"/>
              <w:autoSpaceDN w:val="0"/>
              <w:adjustRightInd w:val="0"/>
              <w:jc w:val="center"/>
              <w:rPr>
                <w:color w:val="000000"/>
                <w:szCs w:val="22"/>
                <w:lang w:val="sr-Latn-RS"/>
              </w:rPr>
            </w:pPr>
            <w:r w:rsidRPr="0080626B">
              <w:rPr>
                <w:color w:val="000000"/>
                <w:szCs w:val="22"/>
                <w:lang w:val="sr-Latn-RS"/>
              </w:rPr>
              <w:t>nedovoljan dokaz</w:t>
            </w:r>
            <w:r w:rsidRPr="0080626B">
              <w:rPr>
                <w:color w:val="000000"/>
                <w:szCs w:val="22"/>
                <w:vertAlign w:val="superscript"/>
                <w:lang w:val="sr-Latn-RS"/>
              </w:rPr>
              <w:t>5</w:t>
            </w:r>
          </w:p>
        </w:tc>
        <w:tc>
          <w:tcPr>
            <w:tcW w:w="2568" w:type="dxa"/>
            <w:shd w:val="clear" w:color="auto" w:fill="auto"/>
          </w:tcPr>
          <w:p w14:paraId="637D114A" w14:textId="77777777" w:rsidR="00877C76" w:rsidRPr="0080626B" w:rsidRDefault="00E90AF4">
            <w:pPr>
              <w:widowControl w:val="0"/>
              <w:autoSpaceDE w:val="0"/>
              <w:autoSpaceDN w:val="0"/>
              <w:adjustRightInd w:val="0"/>
              <w:jc w:val="center"/>
              <w:rPr>
                <w:color w:val="000000"/>
                <w:szCs w:val="22"/>
                <w:lang w:val="sr-Latn-RS"/>
              </w:rPr>
            </w:pPr>
            <w:r w:rsidRPr="0080626B">
              <w:rPr>
                <w:color w:val="000000"/>
                <w:szCs w:val="22"/>
                <w:lang w:val="sr-Latn-RS"/>
              </w:rPr>
              <w:t>nedovoljan dokaz</w:t>
            </w:r>
            <w:r w:rsidRPr="0080626B">
              <w:rPr>
                <w:color w:val="000000"/>
                <w:szCs w:val="22"/>
                <w:vertAlign w:val="superscript"/>
                <w:lang w:val="sr-Latn-RS"/>
              </w:rPr>
              <w:t>5</w:t>
            </w:r>
          </w:p>
        </w:tc>
      </w:tr>
      <w:tr w:rsidR="00877C76" w:rsidRPr="0080626B" w14:paraId="0C874B0E" w14:textId="77777777" w:rsidTr="00137084">
        <w:tc>
          <w:tcPr>
            <w:tcW w:w="9072" w:type="dxa"/>
            <w:gridSpan w:val="3"/>
            <w:shd w:val="clear" w:color="auto" w:fill="auto"/>
          </w:tcPr>
          <w:p w14:paraId="23148A0D" w14:textId="1CC193F0" w:rsidR="00877C76" w:rsidRPr="0080626B" w:rsidRDefault="00E90AF4" w:rsidP="00137084">
            <w:pPr>
              <w:numPr>
                <w:ilvl w:val="0"/>
                <w:numId w:val="28"/>
              </w:numPr>
              <w:tabs>
                <w:tab w:val="clear" w:pos="567"/>
                <w:tab w:val="left" w:pos="142"/>
              </w:tabs>
              <w:autoSpaceDE w:val="0"/>
              <w:autoSpaceDN w:val="0"/>
              <w:adjustRightInd w:val="0"/>
              <w:ind w:left="142" w:hanging="142"/>
              <w:jc w:val="both"/>
              <w:rPr>
                <w:color w:val="000000"/>
                <w:szCs w:val="22"/>
                <w:lang w:val="sr-Latn-RS"/>
              </w:rPr>
            </w:pPr>
            <w:r w:rsidRPr="0080626B">
              <w:rPr>
                <w:color w:val="000000"/>
                <w:szCs w:val="22"/>
                <w:lang w:val="sr-Latn-RS"/>
              </w:rPr>
              <w:t xml:space="preserve">Granične vrijednosti cefalosporina za </w:t>
            </w:r>
            <w:r w:rsidRPr="0080626B">
              <w:rPr>
                <w:i/>
                <w:color w:val="000000"/>
                <w:szCs w:val="22"/>
                <w:lang w:val="sr-Latn-RS"/>
              </w:rPr>
              <w:t>Enterobacteriaceae</w:t>
            </w:r>
            <w:r w:rsidRPr="0080626B">
              <w:rPr>
                <w:color w:val="000000"/>
                <w:szCs w:val="22"/>
                <w:lang w:val="sr-Latn-RS"/>
              </w:rPr>
              <w:t xml:space="preserve"> će prepoznati sve klinički značajne mehanizme rezistencije (uključujući i ESBL i pla</w:t>
            </w:r>
            <w:r w:rsidR="00C40C37" w:rsidRPr="0080626B">
              <w:rPr>
                <w:color w:val="000000"/>
                <w:szCs w:val="22"/>
                <w:lang w:val="sr-Latn-RS"/>
              </w:rPr>
              <w:t>z</w:t>
            </w:r>
            <w:r w:rsidRPr="0080626B">
              <w:rPr>
                <w:color w:val="000000"/>
                <w:szCs w:val="22"/>
                <w:lang w:val="sr-Latn-RS"/>
              </w:rPr>
              <w:t>midom posredovan AmpC). Neki sojevi koji proizvode beta-laktamaze su osjetljivi ili umjereno osjetljivi na 3. i 4. generaciju cefalosporina sa ovim graničnim vrijednostima</w:t>
            </w:r>
            <w:r w:rsidR="00C40C37" w:rsidRPr="0080626B">
              <w:rPr>
                <w:color w:val="000000"/>
                <w:szCs w:val="22"/>
                <w:lang w:val="sr-Latn-RS"/>
              </w:rPr>
              <w:t>,</w:t>
            </w:r>
            <w:r w:rsidRPr="0080626B">
              <w:rPr>
                <w:color w:val="000000"/>
                <w:szCs w:val="22"/>
                <w:lang w:val="sr-Latn-RS"/>
              </w:rPr>
              <w:t xml:space="preserve"> pa ih treba prijaviti kao nađena osjetljivost</w:t>
            </w:r>
            <w:r w:rsidR="00C40C37" w:rsidRPr="0080626B">
              <w:rPr>
                <w:color w:val="000000"/>
                <w:szCs w:val="22"/>
                <w:lang w:val="sr-Latn-RS"/>
              </w:rPr>
              <w:t>,</w:t>
            </w:r>
            <w:r w:rsidRPr="0080626B">
              <w:rPr>
                <w:color w:val="000000"/>
                <w:szCs w:val="22"/>
                <w:lang w:val="sr-Latn-RS"/>
              </w:rPr>
              <w:t xml:space="preserve"> tj. prisustvo ili odsustvo </w:t>
            </w:r>
            <w:r w:rsidRPr="0080626B">
              <w:rPr>
                <w:color w:val="000000"/>
                <w:szCs w:val="22"/>
                <w:lang w:val="sr-Latn-RS"/>
              </w:rPr>
              <w:lastRenderedPageBreak/>
              <w:t>ESBL samo po sebi ne utiče na kategorizaciju osjetljivosti. U mnogim područjima, detekcija i karakterizacija ESBL se preporučuje ili je obavezna za kontrolu infekcije.</w:t>
            </w:r>
          </w:p>
          <w:p w14:paraId="6600E7D1" w14:textId="64B3C81A" w:rsidR="00877C76" w:rsidRPr="0080626B" w:rsidRDefault="00E90AF4" w:rsidP="00137084">
            <w:pPr>
              <w:numPr>
                <w:ilvl w:val="0"/>
                <w:numId w:val="28"/>
              </w:numPr>
              <w:tabs>
                <w:tab w:val="clear" w:pos="567"/>
                <w:tab w:val="left" w:pos="142"/>
              </w:tabs>
              <w:autoSpaceDE w:val="0"/>
              <w:autoSpaceDN w:val="0"/>
              <w:adjustRightInd w:val="0"/>
              <w:ind w:left="142" w:hanging="142"/>
              <w:jc w:val="both"/>
              <w:rPr>
                <w:color w:val="000000"/>
                <w:szCs w:val="22"/>
                <w:lang w:val="sr-Latn-RS"/>
              </w:rPr>
            </w:pPr>
            <w:r w:rsidRPr="0080626B">
              <w:rPr>
                <w:color w:val="000000"/>
                <w:szCs w:val="22"/>
                <w:lang w:val="sr-Latn-RS"/>
              </w:rPr>
              <w:t xml:space="preserve">Samo nekomplikovane infekcije urinarnog trakta (cistitis) (vidjeti </w:t>
            </w:r>
            <w:r w:rsidR="00C40C37" w:rsidRPr="0080626B">
              <w:rPr>
                <w:color w:val="000000"/>
                <w:szCs w:val="22"/>
                <w:lang w:val="sr-Latn-RS"/>
              </w:rPr>
              <w:t xml:space="preserve">dio </w:t>
            </w:r>
            <w:r w:rsidRPr="0080626B">
              <w:rPr>
                <w:color w:val="000000"/>
                <w:szCs w:val="22"/>
                <w:lang w:val="sr-Latn-RS"/>
              </w:rPr>
              <w:t>4.1).</w:t>
            </w:r>
          </w:p>
          <w:p w14:paraId="4BCA27A0" w14:textId="714B8232" w:rsidR="00877C76" w:rsidRPr="0080626B" w:rsidRDefault="00E90AF4" w:rsidP="00137084">
            <w:pPr>
              <w:numPr>
                <w:ilvl w:val="0"/>
                <w:numId w:val="28"/>
              </w:numPr>
              <w:tabs>
                <w:tab w:val="clear" w:pos="567"/>
                <w:tab w:val="left" w:pos="142"/>
              </w:tabs>
              <w:autoSpaceDE w:val="0"/>
              <w:autoSpaceDN w:val="0"/>
              <w:adjustRightInd w:val="0"/>
              <w:ind w:left="142" w:hanging="142"/>
              <w:jc w:val="both"/>
              <w:rPr>
                <w:color w:val="000000"/>
                <w:szCs w:val="22"/>
                <w:lang w:val="sr-Latn-RS"/>
              </w:rPr>
            </w:pPr>
            <w:r w:rsidRPr="0080626B">
              <w:rPr>
                <w:color w:val="000000"/>
                <w:szCs w:val="22"/>
                <w:lang w:val="sr-Latn-RS"/>
              </w:rPr>
              <w:t>Osjetljivost stafilokoka na cefalosporine definisana je prema podacima osjetljivosti na meticilin, osim za ceftazidim, cefiksim i ceftibuten, koji nemaju graničnu vrijednost i koji se ne smiju koristiti za stafilokokne infekcije.</w:t>
            </w:r>
          </w:p>
          <w:p w14:paraId="255EF1C7" w14:textId="2CB1E96A" w:rsidR="00877C76" w:rsidRPr="0080626B" w:rsidRDefault="00E90AF4" w:rsidP="00137084">
            <w:pPr>
              <w:numPr>
                <w:ilvl w:val="0"/>
                <w:numId w:val="28"/>
              </w:numPr>
              <w:tabs>
                <w:tab w:val="clear" w:pos="567"/>
                <w:tab w:val="left" w:pos="142"/>
              </w:tabs>
              <w:autoSpaceDE w:val="0"/>
              <w:autoSpaceDN w:val="0"/>
              <w:adjustRightInd w:val="0"/>
              <w:ind w:left="142" w:hanging="142"/>
              <w:jc w:val="both"/>
              <w:rPr>
                <w:color w:val="000000"/>
                <w:szCs w:val="22"/>
                <w:lang w:val="sr-Latn-RS"/>
              </w:rPr>
            </w:pPr>
            <w:r w:rsidRPr="0080626B">
              <w:rPr>
                <w:color w:val="000000"/>
                <w:szCs w:val="22"/>
                <w:lang w:val="sr-Latn-RS"/>
              </w:rPr>
              <w:t>Osjetljivost beta-hemolitičih streptokoka grupa A, B, C i G na betalaktame je zaključena iz osjetljivosti na penicilin.</w:t>
            </w:r>
          </w:p>
          <w:p w14:paraId="466E322A" w14:textId="090845CE" w:rsidR="00877C76" w:rsidRPr="0080626B" w:rsidRDefault="00E90AF4" w:rsidP="00137084">
            <w:pPr>
              <w:widowControl w:val="0"/>
              <w:numPr>
                <w:ilvl w:val="0"/>
                <w:numId w:val="28"/>
              </w:numPr>
              <w:tabs>
                <w:tab w:val="clear" w:pos="567"/>
                <w:tab w:val="left" w:pos="142"/>
              </w:tabs>
              <w:ind w:left="142" w:hanging="142"/>
              <w:jc w:val="both"/>
              <w:rPr>
                <w:szCs w:val="22"/>
                <w:lang w:val="sr-Latn-RS"/>
              </w:rPr>
            </w:pPr>
            <w:r w:rsidRPr="0080626B">
              <w:rPr>
                <w:szCs w:val="22"/>
                <w:lang w:val="sr-Latn-RS"/>
              </w:rPr>
              <w:t xml:space="preserve">Nedovoljan dokaz da su vrste koje se </w:t>
            </w:r>
            <w:r w:rsidR="00C40C37" w:rsidRPr="0080626B">
              <w:rPr>
                <w:szCs w:val="22"/>
                <w:lang w:val="sr-Latn-RS"/>
              </w:rPr>
              <w:t xml:space="preserve">posmatraju </w:t>
            </w:r>
            <w:r w:rsidRPr="0080626B">
              <w:rPr>
                <w:szCs w:val="22"/>
                <w:lang w:val="sr-Latn-RS"/>
              </w:rPr>
              <w:t>dobar cilj za terapiju ovim lijekom. Može biti prijavljena MIK sa komentarom, ali bez pridružene S ili R kategorizacije.</w:t>
            </w:r>
          </w:p>
        </w:tc>
      </w:tr>
    </w:tbl>
    <w:p w14:paraId="3D570ABD" w14:textId="77777777" w:rsidR="00877C76" w:rsidRPr="0080626B" w:rsidRDefault="00E90AF4">
      <w:pPr>
        <w:widowControl w:val="0"/>
        <w:jc w:val="both"/>
        <w:rPr>
          <w:szCs w:val="22"/>
          <w:lang w:val="sr-Latn-RS"/>
        </w:rPr>
      </w:pPr>
      <w:r w:rsidRPr="0080626B">
        <w:rPr>
          <w:szCs w:val="22"/>
          <w:lang w:val="sr-Latn-RS"/>
        </w:rPr>
        <w:lastRenderedPageBreak/>
        <w:t>S=osjetljiv, R=rezistentan</w:t>
      </w:r>
    </w:p>
    <w:p w14:paraId="4F43C668" w14:textId="77777777" w:rsidR="00877C76" w:rsidRPr="0080626B" w:rsidRDefault="00877C76">
      <w:pPr>
        <w:widowControl w:val="0"/>
        <w:jc w:val="both"/>
        <w:rPr>
          <w:szCs w:val="22"/>
          <w:lang w:val="sr-Latn-RS"/>
        </w:rPr>
      </w:pPr>
    </w:p>
    <w:p w14:paraId="761F6423" w14:textId="77777777" w:rsidR="00877C76" w:rsidRPr="0080626B" w:rsidRDefault="00E90AF4">
      <w:pPr>
        <w:widowControl w:val="0"/>
        <w:autoSpaceDE w:val="0"/>
        <w:autoSpaceDN w:val="0"/>
        <w:adjustRightInd w:val="0"/>
        <w:jc w:val="both"/>
        <w:rPr>
          <w:color w:val="000000"/>
          <w:szCs w:val="22"/>
          <w:u w:val="single"/>
          <w:lang w:val="sr-Latn-RS"/>
        </w:rPr>
      </w:pPr>
      <w:r w:rsidRPr="0080626B">
        <w:rPr>
          <w:color w:val="000000"/>
          <w:szCs w:val="22"/>
          <w:u w:val="single"/>
          <w:lang w:val="sr-Latn-RS"/>
        </w:rPr>
        <w:t>Mikrobiološka osjetljivost</w:t>
      </w:r>
    </w:p>
    <w:p w14:paraId="2D51832F" w14:textId="77777777" w:rsidR="00877C76" w:rsidRPr="0080626B" w:rsidRDefault="00E90AF4">
      <w:pPr>
        <w:widowControl w:val="0"/>
        <w:autoSpaceDE w:val="0"/>
        <w:autoSpaceDN w:val="0"/>
        <w:adjustRightInd w:val="0"/>
        <w:jc w:val="both"/>
        <w:rPr>
          <w:color w:val="000000"/>
          <w:szCs w:val="22"/>
          <w:lang w:val="sr-Latn-RS"/>
        </w:rPr>
      </w:pPr>
      <w:r w:rsidRPr="0080626B">
        <w:rPr>
          <w:color w:val="000000"/>
          <w:szCs w:val="22"/>
          <w:lang w:val="sr-Latn-RS"/>
        </w:rPr>
        <w:t>Prevalenca stečene rezistencije za određenu vrstu može varirati zavisno od geografskog položaja i tokom vremena, poželjne su informacije o lokalnoj rezistenciji, posebno pri liječenju teških infekcija. Kada je lokalna prevalenca rezistencije takva da se dovodi u pitanje korist cefuroksim aksetila i kod liječenja samo nekoliko tipova infekcija, neophodno je potražiti i savjet stručnjaka.</w:t>
      </w:r>
    </w:p>
    <w:p w14:paraId="2B226E47" w14:textId="77777777" w:rsidR="00877C76" w:rsidRPr="0080626B" w:rsidRDefault="00877C76">
      <w:pPr>
        <w:widowControl w:val="0"/>
        <w:autoSpaceDE w:val="0"/>
        <w:autoSpaceDN w:val="0"/>
        <w:adjustRightInd w:val="0"/>
        <w:jc w:val="both"/>
        <w:rPr>
          <w:color w:val="000000"/>
          <w:szCs w:val="22"/>
          <w:lang w:val="sr-Latn-RS"/>
        </w:rPr>
      </w:pPr>
    </w:p>
    <w:p w14:paraId="62ED6937" w14:textId="77777777" w:rsidR="00877C76" w:rsidRPr="0080626B" w:rsidRDefault="00E90AF4">
      <w:pPr>
        <w:widowControl w:val="0"/>
        <w:jc w:val="both"/>
        <w:rPr>
          <w:szCs w:val="22"/>
          <w:lang w:val="sr-Latn-RS"/>
        </w:rPr>
      </w:pPr>
      <w:r w:rsidRPr="0080626B">
        <w:rPr>
          <w:szCs w:val="22"/>
          <w:lang w:val="sr-Latn-RS"/>
        </w:rPr>
        <w:t xml:space="preserve">Cefuroksim obično ispoljava aktivnost na sljedeće mikroorganizme </w:t>
      </w:r>
      <w:r w:rsidRPr="0080626B">
        <w:rPr>
          <w:i/>
          <w:szCs w:val="22"/>
          <w:lang w:val="sr-Latn-RS"/>
        </w:rPr>
        <w:t>in vitro</w:t>
      </w:r>
      <w:r w:rsidRPr="0080626B">
        <w:rPr>
          <w:szCs w:val="22"/>
          <w:lang w:val="sr-Latn-RS"/>
        </w:rPr>
        <w:t xml:space="preserve">: </w:t>
      </w:r>
    </w:p>
    <w:p w14:paraId="48EA5180" w14:textId="77777777" w:rsidR="00877C76" w:rsidRPr="0080626B" w:rsidRDefault="00877C76">
      <w:pPr>
        <w:widowControl w:val="0"/>
        <w:rPr>
          <w:iCs/>
          <w:szCs w:val="22"/>
          <w:lang w:val="sr-Latn-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0"/>
      </w:tblGrid>
      <w:tr w:rsidR="00877C76" w:rsidRPr="0080626B" w14:paraId="633D8194" w14:textId="77777777" w:rsidTr="00137084">
        <w:trPr>
          <w:trHeight w:val="147"/>
        </w:trPr>
        <w:tc>
          <w:tcPr>
            <w:tcW w:w="9072" w:type="dxa"/>
            <w:shd w:val="clear" w:color="auto" w:fill="auto"/>
          </w:tcPr>
          <w:p w14:paraId="60457244" w14:textId="77777777" w:rsidR="00877C76" w:rsidRPr="0080626B" w:rsidRDefault="00E90AF4">
            <w:pPr>
              <w:autoSpaceDE w:val="0"/>
              <w:autoSpaceDN w:val="0"/>
              <w:adjustRightInd w:val="0"/>
              <w:rPr>
                <w:color w:val="000000"/>
                <w:szCs w:val="22"/>
                <w:lang w:val="sr-Latn-RS"/>
              </w:rPr>
            </w:pPr>
            <w:r w:rsidRPr="0080626B">
              <w:rPr>
                <w:b/>
                <w:bCs/>
                <w:color w:val="000000"/>
                <w:szCs w:val="22"/>
                <w:lang w:val="sr-Latn-RS"/>
              </w:rPr>
              <w:t>Uobičajeno osjetljive vrste</w:t>
            </w:r>
          </w:p>
        </w:tc>
      </w:tr>
      <w:tr w:rsidR="00877C76" w:rsidRPr="0080626B" w14:paraId="43D5F4B2" w14:textId="77777777" w:rsidTr="00137084">
        <w:trPr>
          <w:trHeight w:val="661"/>
        </w:trPr>
        <w:tc>
          <w:tcPr>
            <w:tcW w:w="9072" w:type="dxa"/>
            <w:shd w:val="clear" w:color="auto" w:fill="auto"/>
          </w:tcPr>
          <w:p w14:paraId="49A0F3AA" w14:textId="77777777" w:rsidR="00877C76" w:rsidRPr="0080626B" w:rsidRDefault="00E90AF4">
            <w:pPr>
              <w:widowControl w:val="0"/>
              <w:autoSpaceDE w:val="0"/>
              <w:autoSpaceDN w:val="0"/>
              <w:adjustRightInd w:val="0"/>
              <w:rPr>
                <w:color w:val="000000"/>
                <w:szCs w:val="22"/>
                <w:u w:val="single"/>
                <w:lang w:val="sr-Latn-RS"/>
              </w:rPr>
            </w:pPr>
            <w:r w:rsidRPr="0080626B">
              <w:rPr>
                <w:color w:val="000000"/>
                <w:szCs w:val="22"/>
                <w:u w:val="single"/>
                <w:lang w:val="sr-Latn-RS"/>
              </w:rPr>
              <w:t>Gram-pozitivni aerobi:</w:t>
            </w:r>
          </w:p>
          <w:p w14:paraId="3EB0A5FD" w14:textId="77777777" w:rsidR="00877C76" w:rsidRPr="0080626B" w:rsidRDefault="00E90AF4">
            <w:pPr>
              <w:widowControl w:val="0"/>
              <w:autoSpaceDE w:val="0"/>
              <w:autoSpaceDN w:val="0"/>
              <w:adjustRightInd w:val="0"/>
              <w:rPr>
                <w:i/>
                <w:iCs/>
                <w:color w:val="000000"/>
                <w:szCs w:val="22"/>
                <w:lang w:val="sr-Latn-RS"/>
              </w:rPr>
            </w:pPr>
            <w:r w:rsidRPr="0080626B">
              <w:rPr>
                <w:i/>
                <w:iCs/>
                <w:color w:val="000000"/>
                <w:szCs w:val="22"/>
                <w:lang w:val="sr-Latn-RS"/>
              </w:rPr>
              <w:t xml:space="preserve">Staphylococcus aureus </w:t>
            </w:r>
            <w:r w:rsidRPr="0080626B">
              <w:rPr>
                <w:color w:val="000000"/>
                <w:szCs w:val="22"/>
                <w:lang w:val="sr-Latn-RS"/>
              </w:rPr>
              <w:t>(osjetljiv na meticilin)</w:t>
            </w:r>
            <w:r w:rsidRPr="0080626B">
              <w:rPr>
                <w:i/>
                <w:iCs/>
                <w:color w:val="000000"/>
                <w:szCs w:val="22"/>
                <w:lang w:val="sr-Latn-RS"/>
              </w:rPr>
              <w:t>*</w:t>
            </w:r>
          </w:p>
          <w:p w14:paraId="19DC9D99" w14:textId="1D6A96E0" w:rsidR="00877C76" w:rsidRPr="0080626B" w:rsidRDefault="00E90AF4">
            <w:pPr>
              <w:pStyle w:val="Default"/>
              <w:rPr>
                <w:sz w:val="22"/>
                <w:szCs w:val="22"/>
                <w:lang w:val="sr-Latn-RS"/>
              </w:rPr>
            </w:pPr>
            <w:r w:rsidRPr="0080626B">
              <w:rPr>
                <w:i/>
                <w:iCs/>
                <w:sz w:val="22"/>
                <w:szCs w:val="22"/>
                <w:lang w:val="sr-Latn-RS"/>
              </w:rPr>
              <w:t xml:space="preserve">Koagulaza negativni stafilokok </w:t>
            </w:r>
            <w:r w:rsidRPr="0080626B">
              <w:rPr>
                <w:bCs/>
                <w:iCs/>
                <w:sz w:val="22"/>
                <w:szCs w:val="22"/>
                <w:lang w:val="sr-Latn-RS"/>
              </w:rPr>
              <w:t>(</w:t>
            </w:r>
            <w:r w:rsidRPr="0080626B">
              <w:rPr>
                <w:sz w:val="22"/>
                <w:szCs w:val="22"/>
                <w:lang w:val="sr-Latn-RS"/>
              </w:rPr>
              <w:t>osjetljiv na meticilin</w:t>
            </w:r>
            <w:r w:rsidRPr="0080626B">
              <w:rPr>
                <w:bCs/>
                <w:iCs/>
                <w:sz w:val="22"/>
                <w:szCs w:val="22"/>
                <w:lang w:val="sr-Latn-RS"/>
              </w:rPr>
              <w:t>)</w:t>
            </w:r>
          </w:p>
          <w:p w14:paraId="3F96C362" w14:textId="77777777" w:rsidR="00877C76" w:rsidRPr="0080626B" w:rsidRDefault="00E90AF4">
            <w:pPr>
              <w:widowControl w:val="0"/>
              <w:autoSpaceDE w:val="0"/>
              <w:autoSpaceDN w:val="0"/>
              <w:adjustRightInd w:val="0"/>
              <w:rPr>
                <w:i/>
                <w:iCs/>
                <w:color w:val="000000"/>
                <w:szCs w:val="22"/>
                <w:lang w:val="sr-Latn-RS"/>
              </w:rPr>
            </w:pPr>
            <w:r w:rsidRPr="0080626B">
              <w:rPr>
                <w:i/>
                <w:iCs/>
                <w:color w:val="000000"/>
                <w:szCs w:val="22"/>
                <w:lang w:val="sr-Latn-RS"/>
              </w:rPr>
              <w:t>Streptococcus pyogenes</w:t>
            </w:r>
          </w:p>
          <w:p w14:paraId="15D26769" w14:textId="77777777" w:rsidR="00877C76" w:rsidRPr="0080626B" w:rsidRDefault="00E90AF4">
            <w:pPr>
              <w:widowControl w:val="0"/>
              <w:autoSpaceDE w:val="0"/>
              <w:autoSpaceDN w:val="0"/>
              <w:adjustRightInd w:val="0"/>
              <w:rPr>
                <w:color w:val="000000"/>
                <w:szCs w:val="22"/>
                <w:lang w:val="sr-Latn-RS"/>
              </w:rPr>
            </w:pPr>
            <w:r w:rsidRPr="0080626B">
              <w:rPr>
                <w:i/>
                <w:iCs/>
                <w:color w:val="000000"/>
                <w:szCs w:val="22"/>
                <w:lang w:val="sr-Latn-RS"/>
              </w:rPr>
              <w:t>Streptococcus agalactiae</w:t>
            </w:r>
          </w:p>
        </w:tc>
      </w:tr>
      <w:tr w:rsidR="00877C76" w:rsidRPr="0080626B" w14:paraId="1C6B89F2" w14:textId="77777777" w:rsidTr="00137084">
        <w:trPr>
          <w:trHeight w:val="530"/>
        </w:trPr>
        <w:tc>
          <w:tcPr>
            <w:tcW w:w="9072" w:type="dxa"/>
            <w:shd w:val="clear" w:color="auto" w:fill="auto"/>
          </w:tcPr>
          <w:p w14:paraId="02192A6F" w14:textId="77777777" w:rsidR="00877C76" w:rsidRPr="0080626B" w:rsidRDefault="00E90AF4">
            <w:pPr>
              <w:widowControl w:val="0"/>
              <w:autoSpaceDE w:val="0"/>
              <w:autoSpaceDN w:val="0"/>
              <w:adjustRightInd w:val="0"/>
              <w:rPr>
                <w:color w:val="000000"/>
                <w:szCs w:val="22"/>
                <w:u w:val="single"/>
                <w:lang w:val="sr-Latn-RS"/>
              </w:rPr>
            </w:pPr>
            <w:r w:rsidRPr="0080626B">
              <w:rPr>
                <w:color w:val="000000"/>
                <w:szCs w:val="22"/>
                <w:u w:val="single"/>
                <w:lang w:val="sr-Latn-RS"/>
              </w:rPr>
              <w:t>Gram-negativni aerobi:</w:t>
            </w:r>
          </w:p>
          <w:p w14:paraId="1A7D88AB" w14:textId="77777777" w:rsidR="00877C76" w:rsidRPr="0080626B" w:rsidRDefault="00E90AF4">
            <w:pPr>
              <w:widowControl w:val="0"/>
              <w:autoSpaceDE w:val="0"/>
              <w:autoSpaceDN w:val="0"/>
              <w:adjustRightInd w:val="0"/>
              <w:rPr>
                <w:i/>
                <w:iCs/>
                <w:color w:val="000000"/>
                <w:szCs w:val="22"/>
                <w:lang w:val="sr-Latn-RS"/>
              </w:rPr>
            </w:pPr>
            <w:r w:rsidRPr="0080626B">
              <w:rPr>
                <w:i/>
                <w:iCs/>
                <w:color w:val="000000"/>
                <w:szCs w:val="22"/>
                <w:lang w:val="sr-Latn-RS"/>
              </w:rPr>
              <w:t>Haemophilus influenzae</w:t>
            </w:r>
          </w:p>
          <w:p w14:paraId="5CF0BF45" w14:textId="77777777" w:rsidR="00877C76" w:rsidRPr="0080626B" w:rsidRDefault="00E90AF4">
            <w:pPr>
              <w:widowControl w:val="0"/>
              <w:autoSpaceDE w:val="0"/>
              <w:autoSpaceDN w:val="0"/>
              <w:adjustRightInd w:val="0"/>
              <w:rPr>
                <w:i/>
                <w:iCs/>
                <w:color w:val="000000"/>
                <w:szCs w:val="22"/>
                <w:lang w:val="sr-Latn-RS"/>
              </w:rPr>
            </w:pPr>
            <w:r w:rsidRPr="0080626B">
              <w:rPr>
                <w:i/>
                <w:iCs/>
                <w:color w:val="000000"/>
                <w:szCs w:val="22"/>
                <w:lang w:val="sr-Latn-RS"/>
              </w:rPr>
              <w:t>Haemophilus parainfluenzae</w:t>
            </w:r>
          </w:p>
          <w:p w14:paraId="1AE69EEC" w14:textId="77777777" w:rsidR="00877C76" w:rsidRPr="0080626B" w:rsidRDefault="00E90AF4">
            <w:pPr>
              <w:widowControl w:val="0"/>
              <w:autoSpaceDE w:val="0"/>
              <w:autoSpaceDN w:val="0"/>
              <w:adjustRightInd w:val="0"/>
              <w:rPr>
                <w:color w:val="000000"/>
                <w:szCs w:val="22"/>
                <w:lang w:val="sr-Latn-RS"/>
              </w:rPr>
            </w:pPr>
            <w:r w:rsidRPr="0080626B">
              <w:rPr>
                <w:i/>
                <w:iCs/>
                <w:color w:val="000000"/>
                <w:szCs w:val="22"/>
                <w:lang w:val="sr-Latn-RS"/>
              </w:rPr>
              <w:t>Moraxella catarrhalis</w:t>
            </w:r>
          </w:p>
        </w:tc>
      </w:tr>
      <w:tr w:rsidR="00877C76" w:rsidRPr="0080626B" w14:paraId="5B711258" w14:textId="77777777" w:rsidTr="00137084">
        <w:trPr>
          <w:trHeight w:val="274"/>
        </w:trPr>
        <w:tc>
          <w:tcPr>
            <w:tcW w:w="9072" w:type="dxa"/>
            <w:shd w:val="clear" w:color="auto" w:fill="auto"/>
          </w:tcPr>
          <w:p w14:paraId="6497C3F5" w14:textId="77777777" w:rsidR="00877C76" w:rsidRPr="0080626B" w:rsidRDefault="00E90AF4">
            <w:pPr>
              <w:widowControl w:val="0"/>
              <w:autoSpaceDE w:val="0"/>
              <w:autoSpaceDN w:val="0"/>
              <w:adjustRightInd w:val="0"/>
              <w:rPr>
                <w:color w:val="000000"/>
                <w:szCs w:val="22"/>
                <w:u w:val="single"/>
                <w:lang w:val="sr-Latn-RS"/>
              </w:rPr>
            </w:pPr>
            <w:r w:rsidRPr="0080626B">
              <w:rPr>
                <w:color w:val="000000"/>
                <w:szCs w:val="22"/>
                <w:u w:val="single"/>
                <w:lang w:val="sr-Latn-RS"/>
              </w:rPr>
              <w:t>Spirohete:</w:t>
            </w:r>
          </w:p>
          <w:p w14:paraId="2D456CF1" w14:textId="77777777" w:rsidR="00877C76" w:rsidRPr="0080626B" w:rsidRDefault="00E90AF4">
            <w:pPr>
              <w:widowControl w:val="0"/>
              <w:autoSpaceDE w:val="0"/>
              <w:autoSpaceDN w:val="0"/>
              <w:adjustRightInd w:val="0"/>
              <w:rPr>
                <w:color w:val="000000"/>
                <w:szCs w:val="22"/>
                <w:lang w:val="sr-Latn-RS"/>
              </w:rPr>
            </w:pPr>
            <w:r w:rsidRPr="0080626B">
              <w:rPr>
                <w:i/>
                <w:iCs/>
                <w:color w:val="000000"/>
                <w:szCs w:val="22"/>
                <w:lang w:val="sr-Latn-RS"/>
              </w:rPr>
              <w:t>Borrelia burgdorferi</w:t>
            </w:r>
          </w:p>
        </w:tc>
      </w:tr>
      <w:tr w:rsidR="00877C76" w:rsidRPr="0080626B" w14:paraId="08F6509C" w14:textId="77777777" w:rsidTr="00137084">
        <w:trPr>
          <w:trHeight w:val="147"/>
        </w:trPr>
        <w:tc>
          <w:tcPr>
            <w:tcW w:w="9072" w:type="dxa"/>
            <w:shd w:val="clear" w:color="auto" w:fill="auto"/>
          </w:tcPr>
          <w:p w14:paraId="1BD9AE09" w14:textId="77777777" w:rsidR="00877C76" w:rsidRPr="0080626B" w:rsidRDefault="00E90AF4">
            <w:pPr>
              <w:autoSpaceDE w:val="0"/>
              <w:autoSpaceDN w:val="0"/>
              <w:adjustRightInd w:val="0"/>
              <w:rPr>
                <w:color w:val="000000"/>
                <w:szCs w:val="22"/>
                <w:lang w:val="sr-Latn-RS"/>
              </w:rPr>
            </w:pPr>
            <w:r w:rsidRPr="0080626B">
              <w:rPr>
                <w:b/>
                <w:bCs/>
                <w:color w:val="000000"/>
                <w:szCs w:val="22"/>
                <w:lang w:val="sr-Latn-RS"/>
              </w:rPr>
              <w:t>Mikroorganizmi čija stečena rezistencija može biti problem</w:t>
            </w:r>
          </w:p>
        </w:tc>
      </w:tr>
      <w:tr w:rsidR="00877C76" w:rsidRPr="0080626B" w14:paraId="40B4B6FE" w14:textId="77777777" w:rsidTr="00137084">
        <w:trPr>
          <w:trHeight w:val="271"/>
        </w:trPr>
        <w:tc>
          <w:tcPr>
            <w:tcW w:w="9072" w:type="dxa"/>
            <w:shd w:val="clear" w:color="auto" w:fill="auto"/>
          </w:tcPr>
          <w:p w14:paraId="6C7F3322" w14:textId="77777777" w:rsidR="00877C76" w:rsidRPr="0080626B" w:rsidRDefault="00E90AF4">
            <w:pPr>
              <w:widowControl w:val="0"/>
              <w:autoSpaceDE w:val="0"/>
              <w:autoSpaceDN w:val="0"/>
              <w:adjustRightInd w:val="0"/>
              <w:rPr>
                <w:color w:val="000000"/>
                <w:szCs w:val="22"/>
                <w:u w:val="single"/>
                <w:lang w:val="sr-Latn-RS"/>
              </w:rPr>
            </w:pPr>
            <w:r w:rsidRPr="0080626B">
              <w:rPr>
                <w:color w:val="000000"/>
                <w:szCs w:val="22"/>
                <w:u w:val="single"/>
                <w:lang w:val="sr-Latn-RS"/>
              </w:rPr>
              <w:t>Gram-pozitivni aerobi:</w:t>
            </w:r>
          </w:p>
          <w:p w14:paraId="66D97D9C" w14:textId="77777777" w:rsidR="00877C76" w:rsidRPr="0080626B" w:rsidRDefault="00E90AF4">
            <w:pPr>
              <w:widowControl w:val="0"/>
              <w:autoSpaceDE w:val="0"/>
              <w:autoSpaceDN w:val="0"/>
              <w:adjustRightInd w:val="0"/>
              <w:rPr>
                <w:color w:val="000000"/>
                <w:szCs w:val="22"/>
                <w:lang w:val="sr-Latn-RS"/>
              </w:rPr>
            </w:pPr>
            <w:r w:rsidRPr="0080626B">
              <w:rPr>
                <w:i/>
                <w:iCs/>
                <w:color w:val="000000"/>
                <w:szCs w:val="22"/>
                <w:lang w:val="sr-Latn-RS"/>
              </w:rPr>
              <w:t>Streptococcus pneumoniae</w:t>
            </w:r>
          </w:p>
        </w:tc>
      </w:tr>
      <w:tr w:rsidR="00877C76" w:rsidRPr="0080626B" w14:paraId="33EDC717" w14:textId="77777777" w:rsidTr="00137084">
        <w:trPr>
          <w:trHeight w:val="496"/>
        </w:trPr>
        <w:tc>
          <w:tcPr>
            <w:tcW w:w="9072" w:type="dxa"/>
            <w:shd w:val="clear" w:color="auto" w:fill="auto"/>
          </w:tcPr>
          <w:p w14:paraId="6FDD08A2" w14:textId="77777777" w:rsidR="00877C76" w:rsidRPr="0080626B" w:rsidRDefault="00E90AF4">
            <w:pPr>
              <w:widowControl w:val="0"/>
              <w:autoSpaceDE w:val="0"/>
              <w:autoSpaceDN w:val="0"/>
              <w:adjustRightInd w:val="0"/>
              <w:rPr>
                <w:color w:val="000000"/>
                <w:szCs w:val="22"/>
                <w:u w:val="single"/>
                <w:lang w:val="sr-Latn-RS"/>
              </w:rPr>
            </w:pPr>
            <w:r w:rsidRPr="0080626B">
              <w:rPr>
                <w:color w:val="000000"/>
                <w:szCs w:val="22"/>
                <w:u w:val="single"/>
                <w:lang w:val="sr-Latn-RS"/>
              </w:rPr>
              <w:t>Gram-negativni aerobi:</w:t>
            </w:r>
          </w:p>
          <w:p w14:paraId="0DA1314E" w14:textId="77777777" w:rsidR="00877C76" w:rsidRPr="0080626B" w:rsidRDefault="00E90AF4">
            <w:pPr>
              <w:widowControl w:val="0"/>
              <w:autoSpaceDE w:val="0"/>
              <w:autoSpaceDN w:val="0"/>
              <w:adjustRightInd w:val="0"/>
              <w:rPr>
                <w:i/>
                <w:iCs/>
                <w:color w:val="000000"/>
                <w:szCs w:val="22"/>
                <w:lang w:val="sr-Latn-RS"/>
              </w:rPr>
            </w:pPr>
            <w:r w:rsidRPr="0080626B">
              <w:rPr>
                <w:i/>
                <w:iCs/>
                <w:color w:val="000000"/>
                <w:szCs w:val="22"/>
                <w:lang w:val="sr-Latn-RS"/>
              </w:rPr>
              <w:t>Citrobacter freundii</w:t>
            </w:r>
          </w:p>
          <w:p w14:paraId="7BED39F3" w14:textId="77777777" w:rsidR="00877C76" w:rsidRPr="0080626B" w:rsidRDefault="00E90AF4">
            <w:pPr>
              <w:widowControl w:val="0"/>
              <w:autoSpaceDE w:val="0"/>
              <w:autoSpaceDN w:val="0"/>
              <w:adjustRightInd w:val="0"/>
              <w:rPr>
                <w:i/>
                <w:iCs/>
                <w:color w:val="000000"/>
                <w:szCs w:val="22"/>
                <w:lang w:val="sr-Latn-RS"/>
              </w:rPr>
            </w:pPr>
            <w:r w:rsidRPr="0080626B">
              <w:rPr>
                <w:i/>
                <w:iCs/>
                <w:color w:val="000000"/>
                <w:szCs w:val="22"/>
                <w:lang w:val="sr-Latn-RS"/>
              </w:rPr>
              <w:t>Enterobacter aerogenes</w:t>
            </w:r>
          </w:p>
          <w:p w14:paraId="56D51D75" w14:textId="77777777" w:rsidR="00877C76" w:rsidRPr="0080626B" w:rsidRDefault="00E90AF4">
            <w:pPr>
              <w:widowControl w:val="0"/>
              <w:autoSpaceDE w:val="0"/>
              <w:autoSpaceDN w:val="0"/>
              <w:adjustRightInd w:val="0"/>
              <w:rPr>
                <w:i/>
                <w:iCs/>
                <w:color w:val="000000"/>
                <w:szCs w:val="22"/>
                <w:lang w:val="sr-Latn-RS"/>
              </w:rPr>
            </w:pPr>
            <w:r w:rsidRPr="0080626B">
              <w:rPr>
                <w:i/>
                <w:iCs/>
                <w:color w:val="000000"/>
                <w:szCs w:val="22"/>
                <w:lang w:val="sr-Latn-RS"/>
              </w:rPr>
              <w:t>Enterobacter cloacae</w:t>
            </w:r>
          </w:p>
          <w:p w14:paraId="48D7E6D9" w14:textId="77777777" w:rsidR="00877C76" w:rsidRPr="0080626B" w:rsidRDefault="00E90AF4">
            <w:pPr>
              <w:widowControl w:val="0"/>
              <w:autoSpaceDE w:val="0"/>
              <w:autoSpaceDN w:val="0"/>
              <w:adjustRightInd w:val="0"/>
              <w:rPr>
                <w:i/>
                <w:iCs/>
                <w:color w:val="000000"/>
                <w:szCs w:val="22"/>
                <w:lang w:val="sr-Latn-RS"/>
              </w:rPr>
            </w:pPr>
            <w:r w:rsidRPr="0080626B">
              <w:rPr>
                <w:i/>
                <w:iCs/>
                <w:color w:val="000000"/>
                <w:szCs w:val="22"/>
                <w:lang w:val="sr-Latn-RS"/>
              </w:rPr>
              <w:t>Escherichia coli</w:t>
            </w:r>
          </w:p>
          <w:p w14:paraId="1DBFE867" w14:textId="77777777" w:rsidR="00877C76" w:rsidRPr="0080626B" w:rsidRDefault="00E90AF4">
            <w:pPr>
              <w:widowControl w:val="0"/>
              <w:autoSpaceDE w:val="0"/>
              <w:autoSpaceDN w:val="0"/>
              <w:adjustRightInd w:val="0"/>
              <w:rPr>
                <w:i/>
                <w:iCs/>
                <w:color w:val="000000"/>
                <w:szCs w:val="22"/>
                <w:lang w:val="sr-Latn-RS"/>
              </w:rPr>
            </w:pPr>
            <w:r w:rsidRPr="0080626B">
              <w:rPr>
                <w:i/>
                <w:iCs/>
                <w:color w:val="000000"/>
                <w:szCs w:val="22"/>
                <w:lang w:val="sr-Latn-RS"/>
              </w:rPr>
              <w:t>Klebsiella pneumoniae</w:t>
            </w:r>
          </w:p>
          <w:p w14:paraId="66437B87" w14:textId="77777777" w:rsidR="00877C76" w:rsidRPr="0080626B" w:rsidRDefault="00E90AF4">
            <w:pPr>
              <w:widowControl w:val="0"/>
              <w:autoSpaceDE w:val="0"/>
              <w:autoSpaceDN w:val="0"/>
              <w:adjustRightInd w:val="0"/>
              <w:rPr>
                <w:i/>
                <w:iCs/>
                <w:color w:val="000000"/>
                <w:szCs w:val="22"/>
                <w:lang w:val="sr-Latn-RS"/>
              </w:rPr>
            </w:pPr>
            <w:r w:rsidRPr="0080626B">
              <w:rPr>
                <w:i/>
                <w:iCs/>
                <w:color w:val="000000"/>
                <w:szCs w:val="22"/>
                <w:lang w:val="sr-Latn-RS"/>
              </w:rPr>
              <w:t>Proteus mirabilis</w:t>
            </w:r>
          </w:p>
          <w:p w14:paraId="45E6C827" w14:textId="77777777" w:rsidR="00877C76" w:rsidRPr="0080626B" w:rsidRDefault="00E90AF4">
            <w:pPr>
              <w:widowControl w:val="0"/>
              <w:autoSpaceDE w:val="0"/>
              <w:autoSpaceDN w:val="0"/>
              <w:adjustRightInd w:val="0"/>
              <w:rPr>
                <w:color w:val="000000"/>
                <w:szCs w:val="22"/>
                <w:lang w:val="sr-Latn-RS"/>
              </w:rPr>
            </w:pPr>
            <w:r w:rsidRPr="0080626B">
              <w:rPr>
                <w:i/>
                <w:iCs/>
                <w:color w:val="000000"/>
                <w:szCs w:val="22"/>
                <w:lang w:val="sr-Latn-RS"/>
              </w:rPr>
              <w:t xml:space="preserve">Proteus </w:t>
            </w:r>
            <w:r w:rsidRPr="0080626B">
              <w:rPr>
                <w:color w:val="000000"/>
                <w:szCs w:val="22"/>
                <w:lang w:val="sr-Latn-RS"/>
              </w:rPr>
              <w:t xml:space="preserve">spp. (osim </w:t>
            </w:r>
            <w:r w:rsidRPr="0080626B">
              <w:rPr>
                <w:i/>
                <w:iCs/>
                <w:color w:val="000000"/>
                <w:szCs w:val="22"/>
                <w:lang w:val="sr-Latn-RS"/>
              </w:rPr>
              <w:t>P. vulgaris</w:t>
            </w:r>
            <w:r w:rsidRPr="0080626B">
              <w:rPr>
                <w:color w:val="000000"/>
                <w:szCs w:val="22"/>
                <w:lang w:val="sr-Latn-RS"/>
              </w:rPr>
              <w:t>)</w:t>
            </w:r>
          </w:p>
          <w:p w14:paraId="41995F67" w14:textId="77777777" w:rsidR="00877C76" w:rsidRPr="0080626B" w:rsidRDefault="00E90AF4">
            <w:pPr>
              <w:widowControl w:val="0"/>
              <w:autoSpaceDE w:val="0"/>
              <w:autoSpaceDN w:val="0"/>
              <w:adjustRightInd w:val="0"/>
              <w:rPr>
                <w:color w:val="000000"/>
                <w:szCs w:val="22"/>
                <w:lang w:val="sr-Latn-RS"/>
              </w:rPr>
            </w:pPr>
            <w:r w:rsidRPr="0080626B">
              <w:rPr>
                <w:i/>
                <w:iCs/>
                <w:color w:val="000000"/>
                <w:szCs w:val="22"/>
                <w:lang w:val="sr-Latn-RS"/>
              </w:rPr>
              <w:t xml:space="preserve">Providencia </w:t>
            </w:r>
            <w:r w:rsidRPr="0080626B">
              <w:rPr>
                <w:color w:val="000000"/>
                <w:szCs w:val="22"/>
                <w:lang w:val="sr-Latn-RS"/>
              </w:rPr>
              <w:t>spp.</w:t>
            </w:r>
          </w:p>
        </w:tc>
      </w:tr>
      <w:tr w:rsidR="00877C76" w:rsidRPr="0080626B" w14:paraId="428C921F" w14:textId="77777777" w:rsidTr="00137084">
        <w:trPr>
          <w:trHeight w:val="398"/>
        </w:trPr>
        <w:tc>
          <w:tcPr>
            <w:tcW w:w="9072" w:type="dxa"/>
            <w:shd w:val="clear" w:color="auto" w:fill="auto"/>
          </w:tcPr>
          <w:p w14:paraId="43FB7A92" w14:textId="77777777" w:rsidR="00877C76" w:rsidRPr="0080626B" w:rsidRDefault="00E90AF4">
            <w:pPr>
              <w:widowControl w:val="0"/>
              <w:autoSpaceDE w:val="0"/>
              <w:autoSpaceDN w:val="0"/>
              <w:adjustRightInd w:val="0"/>
              <w:rPr>
                <w:color w:val="000000"/>
                <w:szCs w:val="22"/>
                <w:u w:val="single"/>
                <w:lang w:val="sr-Latn-RS"/>
              </w:rPr>
            </w:pPr>
            <w:r w:rsidRPr="0080626B">
              <w:rPr>
                <w:color w:val="000000"/>
                <w:szCs w:val="22"/>
                <w:u w:val="single"/>
                <w:lang w:val="sr-Latn-RS"/>
              </w:rPr>
              <w:t>Gram-pozitivni anaerobi:</w:t>
            </w:r>
          </w:p>
          <w:p w14:paraId="219A1C3E" w14:textId="77777777" w:rsidR="00877C76" w:rsidRPr="0080626B" w:rsidRDefault="00E90AF4">
            <w:pPr>
              <w:widowControl w:val="0"/>
              <w:autoSpaceDE w:val="0"/>
              <w:autoSpaceDN w:val="0"/>
              <w:adjustRightInd w:val="0"/>
              <w:rPr>
                <w:color w:val="000000"/>
                <w:szCs w:val="22"/>
                <w:lang w:val="sr-Latn-RS"/>
              </w:rPr>
            </w:pPr>
            <w:r w:rsidRPr="0080626B">
              <w:rPr>
                <w:i/>
                <w:iCs/>
                <w:color w:val="000000"/>
                <w:szCs w:val="22"/>
                <w:lang w:val="sr-Latn-RS"/>
              </w:rPr>
              <w:t xml:space="preserve">Peptostreptococcus </w:t>
            </w:r>
            <w:r w:rsidRPr="0080626B">
              <w:rPr>
                <w:color w:val="000000"/>
                <w:szCs w:val="22"/>
                <w:lang w:val="sr-Latn-RS"/>
              </w:rPr>
              <w:t>spp.</w:t>
            </w:r>
          </w:p>
          <w:p w14:paraId="303A2AE6" w14:textId="77777777" w:rsidR="00877C76" w:rsidRPr="0080626B" w:rsidRDefault="00E90AF4">
            <w:pPr>
              <w:widowControl w:val="0"/>
              <w:autoSpaceDE w:val="0"/>
              <w:autoSpaceDN w:val="0"/>
              <w:adjustRightInd w:val="0"/>
              <w:rPr>
                <w:color w:val="000000"/>
                <w:szCs w:val="22"/>
                <w:lang w:val="sr-Latn-RS"/>
              </w:rPr>
            </w:pPr>
            <w:r w:rsidRPr="0080626B">
              <w:rPr>
                <w:i/>
                <w:iCs/>
                <w:color w:val="000000"/>
                <w:szCs w:val="22"/>
                <w:lang w:val="sr-Latn-RS"/>
              </w:rPr>
              <w:t xml:space="preserve">Propionibacterium </w:t>
            </w:r>
            <w:r w:rsidRPr="0080626B">
              <w:rPr>
                <w:color w:val="000000"/>
                <w:szCs w:val="22"/>
                <w:lang w:val="sr-Latn-RS"/>
              </w:rPr>
              <w:t>spp.</w:t>
            </w:r>
          </w:p>
        </w:tc>
      </w:tr>
      <w:tr w:rsidR="00877C76" w:rsidRPr="0080626B" w14:paraId="2AD7F9F5" w14:textId="77777777" w:rsidTr="00137084">
        <w:trPr>
          <w:trHeight w:val="398"/>
        </w:trPr>
        <w:tc>
          <w:tcPr>
            <w:tcW w:w="9072" w:type="dxa"/>
            <w:shd w:val="clear" w:color="auto" w:fill="auto"/>
          </w:tcPr>
          <w:p w14:paraId="25CE7D90" w14:textId="77777777" w:rsidR="00877C76" w:rsidRPr="0080626B" w:rsidRDefault="00E90AF4">
            <w:pPr>
              <w:widowControl w:val="0"/>
              <w:autoSpaceDE w:val="0"/>
              <w:autoSpaceDN w:val="0"/>
              <w:adjustRightInd w:val="0"/>
              <w:rPr>
                <w:color w:val="000000"/>
                <w:szCs w:val="22"/>
                <w:u w:val="single"/>
                <w:lang w:val="sr-Latn-RS"/>
              </w:rPr>
            </w:pPr>
            <w:r w:rsidRPr="0080626B">
              <w:rPr>
                <w:color w:val="000000"/>
                <w:szCs w:val="22"/>
                <w:u w:val="single"/>
                <w:lang w:val="sr-Latn-RS"/>
              </w:rPr>
              <w:t>Gram-negativni anaerobi:</w:t>
            </w:r>
          </w:p>
          <w:p w14:paraId="7DB3D008" w14:textId="77777777" w:rsidR="00877C76" w:rsidRPr="0080626B" w:rsidRDefault="00E90AF4">
            <w:pPr>
              <w:widowControl w:val="0"/>
              <w:autoSpaceDE w:val="0"/>
              <w:autoSpaceDN w:val="0"/>
              <w:adjustRightInd w:val="0"/>
              <w:rPr>
                <w:color w:val="000000"/>
                <w:szCs w:val="22"/>
                <w:lang w:val="sr-Latn-RS"/>
              </w:rPr>
            </w:pPr>
            <w:r w:rsidRPr="0080626B">
              <w:rPr>
                <w:i/>
                <w:iCs/>
                <w:color w:val="000000"/>
                <w:szCs w:val="22"/>
                <w:lang w:val="sr-Latn-RS"/>
              </w:rPr>
              <w:t xml:space="preserve">Fusobacterium </w:t>
            </w:r>
            <w:r w:rsidRPr="0080626B">
              <w:rPr>
                <w:color w:val="000000"/>
                <w:szCs w:val="22"/>
                <w:lang w:val="sr-Latn-RS"/>
              </w:rPr>
              <w:t>spp.</w:t>
            </w:r>
          </w:p>
          <w:p w14:paraId="7640B11F" w14:textId="77777777" w:rsidR="00877C76" w:rsidRPr="0080626B" w:rsidRDefault="00E90AF4">
            <w:pPr>
              <w:widowControl w:val="0"/>
              <w:autoSpaceDE w:val="0"/>
              <w:autoSpaceDN w:val="0"/>
              <w:adjustRightInd w:val="0"/>
              <w:rPr>
                <w:color w:val="000000"/>
                <w:szCs w:val="22"/>
                <w:lang w:val="sr-Latn-RS"/>
              </w:rPr>
            </w:pPr>
            <w:r w:rsidRPr="0080626B">
              <w:rPr>
                <w:i/>
                <w:iCs/>
                <w:color w:val="000000"/>
                <w:szCs w:val="22"/>
                <w:lang w:val="sr-Latn-RS"/>
              </w:rPr>
              <w:t xml:space="preserve">Bacteroides </w:t>
            </w:r>
            <w:r w:rsidRPr="0080626B">
              <w:rPr>
                <w:color w:val="000000"/>
                <w:szCs w:val="22"/>
                <w:lang w:val="sr-Latn-RS"/>
              </w:rPr>
              <w:t>spp.</w:t>
            </w:r>
          </w:p>
        </w:tc>
      </w:tr>
      <w:tr w:rsidR="00877C76" w:rsidRPr="0080626B" w14:paraId="34B1043F" w14:textId="77777777" w:rsidTr="00137084">
        <w:trPr>
          <w:trHeight w:val="147"/>
        </w:trPr>
        <w:tc>
          <w:tcPr>
            <w:tcW w:w="9072" w:type="dxa"/>
            <w:shd w:val="clear" w:color="auto" w:fill="auto"/>
          </w:tcPr>
          <w:p w14:paraId="3A9D040C" w14:textId="77777777" w:rsidR="00877C76" w:rsidRPr="0080626B" w:rsidRDefault="00E90AF4">
            <w:pPr>
              <w:autoSpaceDE w:val="0"/>
              <w:autoSpaceDN w:val="0"/>
              <w:adjustRightInd w:val="0"/>
              <w:rPr>
                <w:color w:val="000000"/>
                <w:szCs w:val="22"/>
                <w:lang w:val="sr-Latn-RS"/>
              </w:rPr>
            </w:pPr>
            <w:r w:rsidRPr="0080626B">
              <w:rPr>
                <w:b/>
                <w:bCs/>
                <w:color w:val="000000"/>
                <w:szCs w:val="22"/>
                <w:lang w:val="sr-Latn-RS"/>
              </w:rPr>
              <w:t>Inherentno rezistentni mikroorganizmi</w:t>
            </w:r>
          </w:p>
        </w:tc>
      </w:tr>
      <w:tr w:rsidR="00877C76" w:rsidRPr="0080626B" w14:paraId="783EB837" w14:textId="77777777" w:rsidTr="00137084">
        <w:trPr>
          <w:trHeight w:val="398"/>
        </w:trPr>
        <w:tc>
          <w:tcPr>
            <w:tcW w:w="9072" w:type="dxa"/>
            <w:shd w:val="clear" w:color="auto" w:fill="auto"/>
          </w:tcPr>
          <w:p w14:paraId="05FCAE18" w14:textId="77777777" w:rsidR="00877C76" w:rsidRPr="0080626B" w:rsidRDefault="00E90AF4">
            <w:pPr>
              <w:widowControl w:val="0"/>
              <w:autoSpaceDE w:val="0"/>
              <w:autoSpaceDN w:val="0"/>
              <w:adjustRightInd w:val="0"/>
              <w:rPr>
                <w:color w:val="000000"/>
                <w:szCs w:val="22"/>
                <w:u w:val="single"/>
                <w:lang w:val="sr-Latn-RS"/>
              </w:rPr>
            </w:pPr>
            <w:r w:rsidRPr="0080626B">
              <w:rPr>
                <w:color w:val="000000"/>
                <w:szCs w:val="22"/>
                <w:u w:val="single"/>
                <w:lang w:val="sr-Latn-RS"/>
              </w:rPr>
              <w:t>Gram-pozitivni aerobi:</w:t>
            </w:r>
          </w:p>
          <w:p w14:paraId="49AF93F4" w14:textId="77777777" w:rsidR="00877C76" w:rsidRPr="0080626B" w:rsidRDefault="00E90AF4">
            <w:pPr>
              <w:widowControl w:val="0"/>
              <w:autoSpaceDE w:val="0"/>
              <w:autoSpaceDN w:val="0"/>
              <w:adjustRightInd w:val="0"/>
              <w:rPr>
                <w:i/>
                <w:iCs/>
                <w:color w:val="000000"/>
                <w:szCs w:val="22"/>
                <w:lang w:val="sr-Latn-RS"/>
              </w:rPr>
            </w:pPr>
            <w:r w:rsidRPr="0080626B">
              <w:rPr>
                <w:i/>
                <w:iCs/>
                <w:color w:val="000000"/>
                <w:szCs w:val="22"/>
                <w:lang w:val="sr-Latn-RS"/>
              </w:rPr>
              <w:t>Enterococcus faecalis</w:t>
            </w:r>
          </w:p>
          <w:p w14:paraId="6FCBCB2F" w14:textId="77777777" w:rsidR="00877C76" w:rsidRPr="0080626B" w:rsidRDefault="00E90AF4">
            <w:pPr>
              <w:widowControl w:val="0"/>
              <w:autoSpaceDE w:val="0"/>
              <w:autoSpaceDN w:val="0"/>
              <w:adjustRightInd w:val="0"/>
              <w:rPr>
                <w:color w:val="000000"/>
                <w:szCs w:val="22"/>
                <w:lang w:val="sr-Latn-RS"/>
              </w:rPr>
            </w:pPr>
            <w:r w:rsidRPr="0080626B">
              <w:rPr>
                <w:i/>
                <w:iCs/>
                <w:color w:val="000000"/>
                <w:szCs w:val="22"/>
                <w:lang w:val="sr-Latn-RS"/>
              </w:rPr>
              <w:t>Enterococcus faecium</w:t>
            </w:r>
          </w:p>
        </w:tc>
      </w:tr>
      <w:tr w:rsidR="00877C76" w:rsidRPr="0080626B" w14:paraId="15A2A7CE" w14:textId="77777777" w:rsidTr="00137084">
        <w:trPr>
          <w:trHeight w:val="908"/>
        </w:trPr>
        <w:tc>
          <w:tcPr>
            <w:tcW w:w="9072" w:type="dxa"/>
            <w:shd w:val="clear" w:color="auto" w:fill="auto"/>
          </w:tcPr>
          <w:p w14:paraId="192E16C9" w14:textId="77777777" w:rsidR="00877C76" w:rsidRPr="0080626B" w:rsidRDefault="00E90AF4">
            <w:pPr>
              <w:widowControl w:val="0"/>
              <w:autoSpaceDE w:val="0"/>
              <w:autoSpaceDN w:val="0"/>
              <w:adjustRightInd w:val="0"/>
              <w:rPr>
                <w:color w:val="000000"/>
                <w:szCs w:val="22"/>
                <w:u w:val="single"/>
                <w:lang w:val="sr-Latn-RS"/>
              </w:rPr>
            </w:pPr>
            <w:r w:rsidRPr="0080626B">
              <w:rPr>
                <w:color w:val="000000"/>
                <w:szCs w:val="22"/>
                <w:u w:val="single"/>
                <w:lang w:val="sr-Latn-RS"/>
              </w:rPr>
              <w:lastRenderedPageBreak/>
              <w:t>Gram-negativni aerobi:</w:t>
            </w:r>
          </w:p>
          <w:p w14:paraId="182CD9CA" w14:textId="77777777" w:rsidR="00877C76" w:rsidRPr="0080626B" w:rsidRDefault="00E90AF4">
            <w:pPr>
              <w:widowControl w:val="0"/>
              <w:autoSpaceDE w:val="0"/>
              <w:autoSpaceDN w:val="0"/>
              <w:adjustRightInd w:val="0"/>
              <w:rPr>
                <w:color w:val="000000"/>
                <w:szCs w:val="22"/>
                <w:lang w:val="sr-Latn-RS"/>
              </w:rPr>
            </w:pPr>
            <w:r w:rsidRPr="0080626B">
              <w:rPr>
                <w:i/>
                <w:iCs/>
                <w:color w:val="000000"/>
                <w:szCs w:val="22"/>
                <w:lang w:val="sr-Latn-RS"/>
              </w:rPr>
              <w:t xml:space="preserve">Acinetobacter </w:t>
            </w:r>
            <w:r w:rsidRPr="0080626B">
              <w:rPr>
                <w:color w:val="000000"/>
                <w:szCs w:val="22"/>
                <w:lang w:val="sr-Latn-RS"/>
              </w:rPr>
              <w:t>spp.</w:t>
            </w:r>
          </w:p>
          <w:p w14:paraId="0BABD9C7" w14:textId="77777777" w:rsidR="00877C76" w:rsidRPr="0080626B" w:rsidRDefault="00E90AF4">
            <w:pPr>
              <w:widowControl w:val="0"/>
              <w:autoSpaceDE w:val="0"/>
              <w:autoSpaceDN w:val="0"/>
              <w:adjustRightInd w:val="0"/>
              <w:rPr>
                <w:color w:val="000000"/>
                <w:szCs w:val="22"/>
                <w:lang w:val="sr-Latn-RS"/>
              </w:rPr>
            </w:pPr>
            <w:r w:rsidRPr="0080626B">
              <w:rPr>
                <w:i/>
                <w:iCs/>
                <w:color w:val="000000"/>
                <w:szCs w:val="22"/>
                <w:lang w:val="sr-Latn-RS"/>
              </w:rPr>
              <w:t xml:space="preserve">Campylobacter </w:t>
            </w:r>
            <w:r w:rsidRPr="0080626B">
              <w:rPr>
                <w:color w:val="000000"/>
                <w:szCs w:val="22"/>
                <w:lang w:val="sr-Latn-RS"/>
              </w:rPr>
              <w:t>spp.</w:t>
            </w:r>
          </w:p>
          <w:p w14:paraId="5ACE4E08" w14:textId="77777777" w:rsidR="00877C76" w:rsidRPr="0080626B" w:rsidRDefault="00E90AF4">
            <w:pPr>
              <w:widowControl w:val="0"/>
              <w:autoSpaceDE w:val="0"/>
              <w:autoSpaceDN w:val="0"/>
              <w:adjustRightInd w:val="0"/>
              <w:rPr>
                <w:i/>
                <w:iCs/>
                <w:color w:val="000000"/>
                <w:szCs w:val="22"/>
                <w:lang w:val="sr-Latn-RS"/>
              </w:rPr>
            </w:pPr>
            <w:r w:rsidRPr="0080626B">
              <w:rPr>
                <w:i/>
                <w:iCs/>
                <w:color w:val="000000"/>
                <w:szCs w:val="22"/>
                <w:lang w:val="sr-Latn-RS"/>
              </w:rPr>
              <w:t>Morganella morganii</w:t>
            </w:r>
          </w:p>
          <w:p w14:paraId="37945F39" w14:textId="77777777" w:rsidR="00877C76" w:rsidRPr="0080626B" w:rsidRDefault="00E90AF4">
            <w:pPr>
              <w:widowControl w:val="0"/>
              <w:autoSpaceDE w:val="0"/>
              <w:autoSpaceDN w:val="0"/>
              <w:adjustRightInd w:val="0"/>
              <w:rPr>
                <w:i/>
                <w:iCs/>
                <w:color w:val="000000"/>
                <w:szCs w:val="22"/>
                <w:lang w:val="sr-Latn-RS"/>
              </w:rPr>
            </w:pPr>
            <w:r w:rsidRPr="0080626B">
              <w:rPr>
                <w:i/>
                <w:iCs/>
                <w:color w:val="000000"/>
                <w:szCs w:val="22"/>
                <w:lang w:val="sr-Latn-RS"/>
              </w:rPr>
              <w:t>Proteus vulgaris</w:t>
            </w:r>
          </w:p>
          <w:p w14:paraId="5215F123" w14:textId="77777777" w:rsidR="00877C76" w:rsidRPr="0080626B" w:rsidRDefault="00E90AF4">
            <w:pPr>
              <w:widowControl w:val="0"/>
              <w:autoSpaceDE w:val="0"/>
              <w:autoSpaceDN w:val="0"/>
              <w:adjustRightInd w:val="0"/>
              <w:rPr>
                <w:i/>
                <w:iCs/>
                <w:color w:val="000000"/>
                <w:szCs w:val="22"/>
                <w:lang w:val="sr-Latn-RS"/>
              </w:rPr>
            </w:pPr>
            <w:r w:rsidRPr="0080626B">
              <w:rPr>
                <w:i/>
                <w:iCs/>
                <w:color w:val="000000"/>
                <w:szCs w:val="22"/>
                <w:lang w:val="sr-Latn-RS"/>
              </w:rPr>
              <w:t>Pseudomonas aeruginosa</w:t>
            </w:r>
          </w:p>
          <w:p w14:paraId="2ED0A6FB" w14:textId="77777777" w:rsidR="00877C76" w:rsidRPr="0080626B" w:rsidRDefault="00E90AF4">
            <w:pPr>
              <w:widowControl w:val="0"/>
              <w:autoSpaceDE w:val="0"/>
              <w:autoSpaceDN w:val="0"/>
              <w:adjustRightInd w:val="0"/>
              <w:rPr>
                <w:color w:val="000000"/>
                <w:szCs w:val="22"/>
                <w:lang w:val="sr-Latn-RS"/>
              </w:rPr>
            </w:pPr>
            <w:r w:rsidRPr="0080626B">
              <w:rPr>
                <w:i/>
                <w:iCs/>
                <w:color w:val="000000"/>
                <w:szCs w:val="22"/>
                <w:lang w:val="sr-Latn-RS"/>
              </w:rPr>
              <w:t>Serratia marcescens</w:t>
            </w:r>
          </w:p>
        </w:tc>
      </w:tr>
      <w:tr w:rsidR="00877C76" w:rsidRPr="0080626B" w14:paraId="11F795A4" w14:textId="77777777" w:rsidTr="00137084">
        <w:trPr>
          <w:trHeight w:val="277"/>
        </w:trPr>
        <w:tc>
          <w:tcPr>
            <w:tcW w:w="9072" w:type="dxa"/>
            <w:shd w:val="clear" w:color="auto" w:fill="auto"/>
          </w:tcPr>
          <w:p w14:paraId="1C0C3B4B" w14:textId="77777777" w:rsidR="00877C76" w:rsidRPr="0080626B" w:rsidRDefault="00E90AF4">
            <w:pPr>
              <w:widowControl w:val="0"/>
              <w:autoSpaceDE w:val="0"/>
              <w:autoSpaceDN w:val="0"/>
              <w:adjustRightInd w:val="0"/>
              <w:rPr>
                <w:color w:val="000000"/>
                <w:szCs w:val="22"/>
                <w:u w:val="single"/>
                <w:lang w:val="sr-Latn-RS"/>
              </w:rPr>
            </w:pPr>
            <w:r w:rsidRPr="0080626B">
              <w:rPr>
                <w:color w:val="000000"/>
                <w:szCs w:val="22"/>
                <w:u w:val="single"/>
                <w:lang w:val="sr-Latn-RS"/>
              </w:rPr>
              <w:t>Gram-negativni anaerobi:</w:t>
            </w:r>
          </w:p>
          <w:p w14:paraId="1C4B5B3B" w14:textId="77777777" w:rsidR="00877C76" w:rsidRPr="0080626B" w:rsidRDefault="00E90AF4">
            <w:pPr>
              <w:widowControl w:val="0"/>
              <w:autoSpaceDE w:val="0"/>
              <w:autoSpaceDN w:val="0"/>
              <w:adjustRightInd w:val="0"/>
              <w:rPr>
                <w:color w:val="000000"/>
                <w:szCs w:val="22"/>
                <w:lang w:val="sr-Latn-RS"/>
              </w:rPr>
            </w:pPr>
            <w:r w:rsidRPr="0080626B">
              <w:rPr>
                <w:i/>
                <w:iCs/>
                <w:color w:val="000000"/>
                <w:szCs w:val="22"/>
                <w:lang w:val="sr-Latn-RS"/>
              </w:rPr>
              <w:t>Bacteroides fragilis</w:t>
            </w:r>
          </w:p>
        </w:tc>
      </w:tr>
      <w:tr w:rsidR="00877C76" w:rsidRPr="0080626B" w14:paraId="7B35A80B" w14:textId="77777777" w:rsidTr="00137084">
        <w:trPr>
          <w:trHeight w:val="530"/>
        </w:trPr>
        <w:tc>
          <w:tcPr>
            <w:tcW w:w="9072" w:type="dxa"/>
            <w:shd w:val="clear" w:color="auto" w:fill="auto"/>
          </w:tcPr>
          <w:p w14:paraId="623478B0" w14:textId="77777777" w:rsidR="00877C76" w:rsidRPr="0080626B" w:rsidRDefault="00E90AF4">
            <w:pPr>
              <w:widowControl w:val="0"/>
              <w:autoSpaceDE w:val="0"/>
              <w:autoSpaceDN w:val="0"/>
              <w:adjustRightInd w:val="0"/>
              <w:rPr>
                <w:color w:val="000000"/>
                <w:szCs w:val="22"/>
                <w:u w:val="single"/>
                <w:lang w:val="sr-Latn-RS"/>
              </w:rPr>
            </w:pPr>
            <w:r w:rsidRPr="0080626B">
              <w:rPr>
                <w:color w:val="000000"/>
                <w:szCs w:val="22"/>
                <w:u w:val="single"/>
                <w:lang w:val="sr-Latn-RS"/>
              </w:rPr>
              <w:t>Ostali:</w:t>
            </w:r>
          </w:p>
          <w:p w14:paraId="1206D60D" w14:textId="77777777" w:rsidR="00877C76" w:rsidRPr="0080626B" w:rsidRDefault="00E90AF4">
            <w:pPr>
              <w:widowControl w:val="0"/>
              <w:autoSpaceDE w:val="0"/>
              <w:autoSpaceDN w:val="0"/>
              <w:adjustRightInd w:val="0"/>
              <w:rPr>
                <w:color w:val="000000"/>
                <w:szCs w:val="22"/>
                <w:lang w:val="sr-Latn-RS"/>
              </w:rPr>
            </w:pPr>
            <w:r w:rsidRPr="0080626B">
              <w:rPr>
                <w:i/>
                <w:iCs/>
                <w:color w:val="000000"/>
                <w:szCs w:val="22"/>
                <w:lang w:val="sr-Latn-RS"/>
              </w:rPr>
              <w:t xml:space="preserve">Chlamydia </w:t>
            </w:r>
            <w:r w:rsidRPr="0080626B">
              <w:rPr>
                <w:color w:val="000000"/>
                <w:szCs w:val="22"/>
                <w:lang w:val="sr-Latn-RS"/>
              </w:rPr>
              <w:t>spp.</w:t>
            </w:r>
          </w:p>
          <w:p w14:paraId="2B4E6998" w14:textId="77777777" w:rsidR="00877C76" w:rsidRPr="0080626B" w:rsidRDefault="00E90AF4">
            <w:pPr>
              <w:widowControl w:val="0"/>
              <w:autoSpaceDE w:val="0"/>
              <w:autoSpaceDN w:val="0"/>
              <w:adjustRightInd w:val="0"/>
              <w:rPr>
                <w:color w:val="000000"/>
                <w:szCs w:val="22"/>
                <w:lang w:val="sr-Latn-RS"/>
              </w:rPr>
            </w:pPr>
            <w:r w:rsidRPr="0080626B">
              <w:rPr>
                <w:i/>
                <w:iCs/>
                <w:color w:val="000000"/>
                <w:szCs w:val="22"/>
                <w:lang w:val="sr-Latn-RS"/>
              </w:rPr>
              <w:t xml:space="preserve">Mycoplasma </w:t>
            </w:r>
            <w:r w:rsidRPr="0080626B">
              <w:rPr>
                <w:color w:val="000000"/>
                <w:szCs w:val="22"/>
                <w:lang w:val="sr-Latn-RS"/>
              </w:rPr>
              <w:t>spp.</w:t>
            </w:r>
          </w:p>
          <w:p w14:paraId="7A35C0E2" w14:textId="77777777" w:rsidR="00877C76" w:rsidRPr="0080626B" w:rsidRDefault="00E90AF4">
            <w:pPr>
              <w:widowControl w:val="0"/>
              <w:autoSpaceDE w:val="0"/>
              <w:autoSpaceDN w:val="0"/>
              <w:adjustRightInd w:val="0"/>
              <w:rPr>
                <w:color w:val="000000"/>
                <w:szCs w:val="22"/>
                <w:lang w:val="sr-Latn-RS"/>
              </w:rPr>
            </w:pPr>
            <w:r w:rsidRPr="0080626B">
              <w:rPr>
                <w:i/>
                <w:iCs/>
                <w:color w:val="000000"/>
                <w:szCs w:val="22"/>
                <w:lang w:val="sr-Latn-RS"/>
              </w:rPr>
              <w:t xml:space="preserve">Legionella </w:t>
            </w:r>
            <w:r w:rsidRPr="0080626B">
              <w:rPr>
                <w:color w:val="000000"/>
                <w:szCs w:val="22"/>
                <w:lang w:val="sr-Latn-RS"/>
              </w:rPr>
              <w:t>spp.</w:t>
            </w:r>
          </w:p>
        </w:tc>
      </w:tr>
    </w:tbl>
    <w:p w14:paraId="547C9745" w14:textId="1D2ADB34" w:rsidR="00877C76" w:rsidRPr="0080626B" w:rsidRDefault="00E90AF4">
      <w:pPr>
        <w:widowControl w:val="0"/>
        <w:rPr>
          <w:iCs/>
          <w:szCs w:val="22"/>
          <w:lang w:val="sr-Latn-RS"/>
        </w:rPr>
      </w:pPr>
      <w:r w:rsidRPr="0080626B">
        <w:rPr>
          <w:szCs w:val="22"/>
          <w:lang w:val="sr-Latn-RS"/>
        </w:rPr>
        <w:t xml:space="preserve">* Svi </w:t>
      </w:r>
      <w:r w:rsidRPr="0080626B">
        <w:rPr>
          <w:i/>
          <w:iCs/>
          <w:szCs w:val="22"/>
          <w:lang w:val="sr-Latn-RS"/>
        </w:rPr>
        <w:t xml:space="preserve">S. Aureus </w:t>
      </w:r>
      <w:r w:rsidRPr="0080626B">
        <w:rPr>
          <w:szCs w:val="22"/>
          <w:lang w:val="sr-Latn-RS"/>
        </w:rPr>
        <w:t xml:space="preserve">rezistentni na meticilin rezistentni </w:t>
      </w:r>
      <w:r w:rsidR="00BB699A" w:rsidRPr="0080626B">
        <w:rPr>
          <w:szCs w:val="22"/>
          <w:lang w:val="sr-Latn-RS"/>
        </w:rPr>
        <w:t xml:space="preserve">su </w:t>
      </w:r>
      <w:r w:rsidRPr="0080626B">
        <w:rPr>
          <w:szCs w:val="22"/>
          <w:lang w:val="sr-Latn-RS"/>
        </w:rPr>
        <w:t>na cefuroksim.</w:t>
      </w:r>
    </w:p>
    <w:p w14:paraId="4AC413D9" w14:textId="77777777" w:rsidR="00877C76" w:rsidRPr="0080626B" w:rsidRDefault="00877C76">
      <w:pPr>
        <w:widowControl w:val="0"/>
        <w:rPr>
          <w:iCs/>
          <w:szCs w:val="22"/>
          <w:lang w:val="sr-Latn-RS"/>
        </w:rPr>
      </w:pPr>
    </w:p>
    <w:p w14:paraId="5F3A473E" w14:textId="77777777" w:rsidR="00877C76" w:rsidRPr="0080626B" w:rsidRDefault="00E90AF4">
      <w:pPr>
        <w:widowControl w:val="0"/>
        <w:ind w:left="567" w:hanging="567"/>
        <w:outlineLvl w:val="0"/>
        <w:rPr>
          <w:b/>
          <w:szCs w:val="22"/>
          <w:lang w:val="sr-Latn-RS"/>
        </w:rPr>
      </w:pPr>
      <w:r w:rsidRPr="0080626B">
        <w:rPr>
          <w:b/>
          <w:szCs w:val="22"/>
          <w:lang w:val="sr-Latn-RS"/>
        </w:rPr>
        <w:t>5.2</w:t>
      </w:r>
      <w:r w:rsidRPr="0080626B">
        <w:rPr>
          <w:b/>
          <w:szCs w:val="22"/>
          <w:lang w:val="sr-Latn-RS"/>
        </w:rPr>
        <w:tab/>
      </w:r>
      <w:r w:rsidRPr="0080626B">
        <w:rPr>
          <w:b/>
          <w:bCs/>
          <w:szCs w:val="22"/>
          <w:lang w:val="sr-Latn-RS"/>
        </w:rPr>
        <w:t>Farmakokinetički podaci</w:t>
      </w:r>
    </w:p>
    <w:p w14:paraId="59CC0670" w14:textId="77777777" w:rsidR="00877C76" w:rsidRPr="0080626B" w:rsidRDefault="00877C76">
      <w:pPr>
        <w:widowControl w:val="0"/>
        <w:rPr>
          <w:szCs w:val="22"/>
          <w:lang w:val="sr-Latn-RS"/>
        </w:rPr>
      </w:pPr>
    </w:p>
    <w:p w14:paraId="031FECA1" w14:textId="77777777" w:rsidR="00877C76" w:rsidRPr="0080626B" w:rsidRDefault="00E90AF4">
      <w:pPr>
        <w:widowControl w:val="0"/>
        <w:numPr>
          <w:ilvl w:val="12"/>
          <w:numId w:val="0"/>
        </w:numPr>
        <w:ind w:right="-2"/>
        <w:rPr>
          <w:iCs/>
          <w:szCs w:val="22"/>
          <w:lang w:val="sr-Latn-RS"/>
        </w:rPr>
      </w:pPr>
      <w:r w:rsidRPr="0080626B">
        <w:rPr>
          <w:szCs w:val="22"/>
          <w:u w:val="single"/>
          <w:lang w:val="sr-Latn-RS"/>
        </w:rPr>
        <w:t>Resorpcija</w:t>
      </w:r>
    </w:p>
    <w:p w14:paraId="7AC58C37" w14:textId="77777777" w:rsidR="00877C76" w:rsidRPr="0080626B" w:rsidRDefault="00E90AF4">
      <w:pPr>
        <w:widowControl w:val="0"/>
        <w:numPr>
          <w:ilvl w:val="12"/>
          <w:numId w:val="0"/>
        </w:numPr>
        <w:ind w:right="-2"/>
        <w:rPr>
          <w:color w:val="000000"/>
          <w:szCs w:val="22"/>
          <w:lang w:val="sr-Latn-RS"/>
        </w:rPr>
      </w:pPr>
      <w:r w:rsidRPr="0080626B">
        <w:rPr>
          <w:color w:val="000000"/>
          <w:szCs w:val="22"/>
          <w:lang w:val="sr-Latn-RS"/>
        </w:rPr>
        <w:t>Nakon oralne primjene cefuroksim aksetil se resorbuje iz gastrointestinalnog trakta i brzo hidrolizuje u</w:t>
      </w:r>
    </w:p>
    <w:p w14:paraId="07A10EE0" w14:textId="77777777" w:rsidR="00877C76" w:rsidRPr="0080626B" w:rsidRDefault="00E90AF4">
      <w:pPr>
        <w:widowControl w:val="0"/>
        <w:numPr>
          <w:ilvl w:val="12"/>
          <w:numId w:val="0"/>
        </w:numPr>
        <w:ind w:right="-2"/>
        <w:jc w:val="both"/>
        <w:rPr>
          <w:color w:val="000000"/>
          <w:szCs w:val="22"/>
          <w:lang w:val="sr-Latn-RS"/>
        </w:rPr>
      </w:pPr>
      <w:r w:rsidRPr="0080626B">
        <w:rPr>
          <w:color w:val="000000"/>
          <w:szCs w:val="22"/>
          <w:lang w:val="sr-Latn-RS"/>
        </w:rPr>
        <w:t xml:space="preserve">sluznici crijeva i krvi, i kao cefuroksim ulazi u cirkulaciju. Resorpcija je optimalna kada se lijek primijeni neposredno nakon obroka. </w:t>
      </w:r>
    </w:p>
    <w:p w14:paraId="48C4595A" w14:textId="790C4149" w:rsidR="00877C76" w:rsidRPr="0080626B" w:rsidRDefault="00E90AF4">
      <w:pPr>
        <w:widowControl w:val="0"/>
        <w:numPr>
          <w:ilvl w:val="12"/>
          <w:numId w:val="0"/>
        </w:numPr>
        <w:ind w:right="-2"/>
        <w:jc w:val="both"/>
        <w:rPr>
          <w:szCs w:val="22"/>
          <w:lang w:val="sr-Latn-RS"/>
        </w:rPr>
      </w:pPr>
      <w:r w:rsidRPr="0080626B">
        <w:rPr>
          <w:szCs w:val="22"/>
          <w:lang w:val="sr-Latn-RS"/>
        </w:rPr>
        <w:t>Nakon primjene cefuroksim aksetil tableta (2,1 mikrograma/ml za dozu od 125 mg, 4,1 mikrograma/ml za dozu od 250 mg, 7,0 mikrograma/ml za dozu od 500 mg i 13,6 mikrogram</w:t>
      </w:r>
      <w:r w:rsidR="00BB699A" w:rsidRPr="0080626B">
        <w:rPr>
          <w:szCs w:val="22"/>
          <w:lang w:val="sr-Latn-RS"/>
        </w:rPr>
        <w:t>a</w:t>
      </w:r>
      <w:r w:rsidRPr="0080626B">
        <w:rPr>
          <w:szCs w:val="22"/>
          <w:lang w:val="sr-Latn-RS"/>
        </w:rPr>
        <w:t>/ml za dozu od 1000 mg)</w:t>
      </w:r>
      <w:r w:rsidR="00BB699A" w:rsidRPr="0080626B">
        <w:rPr>
          <w:szCs w:val="22"/>
          <w:lang w:val="sr-Latn-RS"/>
        </w:rPr>
        <w:t>, maksimalna koncentracija lijeka u serumu</w:t>
      </w:r>
      <w:r w:rsidRPr="0080626B">
        <w:rPr>
          <w:szCs w:val="22"/>
          <w:lang w:val="sr-Latn-RS"/>
        </w:rPr>
        <w:t xml:space="preserve"> postiže se za oko 2 do 3 h nakon uzimanja lijeka sa hranom. Stepen resorpcije cefuroksima iz suspenzije je manji u odnosu na onaj nakon uzimanja tableta</w:t>
      </w:r>
      <w:r w:rsidR="00BB699A" w:rsidRPr="0080626B">
        <w:rPr>
          <w:szCs w:val="22"/>
          <w:lang w:val="sr-Latn-RS"/>
        </w:rPr>
        <w:t>,</w:t>
      </w:r>
      <w:r w:rsidRPr="0080626B">
        <w:rPr>
          <w:szCs w:val="22"/>
          <w:lang w:val="sr-Latn-RS"/>
        </w:rPr>
        <w:t xml:space="preserve"> što dalje dovodi do </w:t>
      </w:r>
      <w:r w:rsidR="00BB699A" w:rsidRPr="0080626B">
        <w:rPr>
          <w:szCs w:val="22"/>
          <w:lang w:val="sr-Latn-RS"/>
        </w:rPr>
        <w:t xml:space="preserve">kasnije, niže </w:t>
      </w:r>
      <w:r w:rsidRPr="0080626B">
        <w:rPr>
          <w:szCs w:val="22"/>
          <w:lang w:val="sr-Latn-RS"/>
        </w:rPr>
        <w:t xml:space="preserve">maksimalne koncentracije u serumu i smanjene sistemske bioraspoloživosti (niže 4 do 17%). U ispitivanjima kod zdravih dobrovoljaca utvrđeno je da oralna suspenzija cefuroksim aksetila nije bioekvivalentna tabletama cefuroksim aksetila i stoga se ne može zamijeniti po principu miligram-za miligram (vidjeti </w:t>
      </w:r>
      <w:r w:rsidR="00BB699A" w:rsidRPr="0080626B">
        <w:rPr>
          <w:szCs w:val="22"/>
          <w:lang w:val="sr-Latn-RS"/>
        </w:rPr>
        <w:t xml:space="preserve">dio </w:t>
      </w:r>
      <w:r w:rsidRPr="0080626B">
        <w:rPr>
          <w:szCs w:val="22"/>
          <w:lang w:val="sr-Latn-RS"/>
        </w:rPr>
        <w:t>4.2). U rasponu doza od 125 do 1000 mg farmakokinetika cefuroksima je linearna. Kod ponovljene oralne doze od 250 mg do 500 mg nije došlo do akumulacije cefuroksima.</w:t>
      </w:r>
    </w:p>
    <w:p w14:paraId="2FA4B174" w14:textId="77777777" w:rsidR="00877C76" w:rsidRPr="0080626B" w:rsidRDefault="00877C76">
      <w:pPr>
        <w:widowControl w:val="0"/>
        <w:numPr>
          <w:ilvl w:val="12"/>
          <w:numId w:val="0"/>
        </w:numPr>
        <w:ind w:right="-2"/>
        <w:jc w:val="both"/>
        <w:rPr>
          <w:iCs/>
          <w:szCs w:val="22"/>
          <w:lang w:val="sr-Latn-RS"/>
        </w:rPr>
      </w:pPr>
    </w:p>
    <w:p w14:paraId="5C388E39" w14:textId="77777777" w:rsidR="00877C76" w:rsidRPr="0080626B" w:rsidRDefault="00E90AF4">
      <w:pPr>
        <w:widowControl w:val="0"/>
        <w:numPr>
          <w:ilvl w:val="12"/>
          <w:numId w:val="0"/>
        </w:numPr>
        <w:ind w:right="-2"/>
        <w:jc w:val="both"/>
        <w:rPr>
          <w:iCs/>
          <w:szCs w:val="22"/>
          <w:u w:val="single"/>
          <w:lang w:val="sr-Latn-RS"/>
        </w:rPr>
      </w:pPr>
      <w:r w:rsidRPr="0080626B">
        <w:rPr>
          <w:szCs w:val="22"/>
          <w:u w:val="single"/>
          <w:lang w:val="sr-Latn-RS"/>
        </w:rPr>
        <w:t>Distribucija</w:t>
      </w:r>
    </w:p>
    <w:p w14:paraId="00B50DCF" w14:textId="66318B9F" w:rsidR="00877C76" w:rsidRPr="0080626B" w:rsidRDefault="00E90AF4">
      <w:pPr>
        <w:widowControl w:val="0"/>
        <w:numPr>
          <w:ilvl w:val="12"/>
          <w:numId w:val="0"/>
        </w:numPr>
        <w:ind w:right="-2"/>
        <w:jc w:val="both"/>
        <w:rPr>
          <w:color w:val="000000"/>
          <w:szCs w:val="22"/>
          <w:lang w:val="sr-Latn-RS"/>
        </w:rPr>
      </w:pPr>
      <w:r w:rsidRPr="0080626B">
        <w:rPr>
          <w:color w:val="000000"/>
          <w:szCs w:val="22"/>
          <w:lang w:val="sr-Latn-RS"/>
        </w:rPr>
        <w:t xml:space="preserve">Vezivanje za proteine iznosi od 33% do 50%, zavisno od primijenjene metodologije. Nakon davanja pojedinačne doze od 500 mg cefuroksim aksetila u obliku tableta zdravim dobrovoljcima (12), prividan volumen distribucije je bio 50 l (CV%=28%). Koncentracije cefuroksima više od minimalnih inhibitornih vrijednosti za uobičajene patogene mogu se postići u tonzilama, tkivu sinusa, bronhijalnoj mukozi, kostima, pleuralnoj tečnosti, zglobnoj tečnosti, sinovijalnoj tečnosti, intersticijalnoj tečnosti, žuči, sputumu i očnoj vodici. Kod upale meningealnih ovojnica, cefuroksim prolazi hematoencefalnu barijeru. </w:t>
      </w:r>
    </w:p>
    <w:p w14:paraId="3CDF5D4C" w14:textId="77777777" w:rsidR="00877C76" w:rsidRPr="0080626B" w:rsidRDefault="00877C76">
      <w:pPr>
        <w:widowControl w:val="0"/>
        <w:numPr>
          <w:ilvl w:val="12"/>
          <w:numId w:val="0"/>
        </w:numPr>
        <w:ind w:right="-2"/>
        <w:jc w:val="both"/>
        <w:rPr>
          <w:szCs w:val="22"/>
          <w:u w:val="single"/>
          <w:lang w:val="sr-Latn-RS"/>
        </w:rPr>
      </w:pPr>
    </w:p>
    <w:p w14:paraId="600AEEB2" w14:textId="77777777" w:rsidR="00877C76" w:rsidRPr="0080626B" w:rsidRDefault="00E90AF4">
      <w:pPr>
        <w:widowControl w:val="0"/>
        <w:numPr>
          <w:ilvl w:val="12"/>
          <w:numId w:val="0"/>
        </w:numPr>
        <w:ind w:right="-2"/>
        <w:jc w:val="both"/>
        <w:rPr>
          <w:iCs/>
          <w:szCs w:val="22"/>
          <w:u w:val="single"/>
          <w:lang w:val="sr-Latn-RS"/>
        </w:rPr>
      </w:pPr>
      <w:r w:rsidRPr="0080626B">
        <w:rPr>
          <w:szCs w:val="22"/>
          <w:u w:val="single"/>
          <w:lang w:val="sr-Latn-RS"/>
        </w:rPr>
        <w:t>Biotransformacija</w:t>
      </w:r>
    </w:p>
    <w:p w14:paraId="1E740FE9" w14:textId="77777777" w:rsidR="00877C76" w:rsidRPr="0080626B" w:rsidRDefault="00E90AF4">
      <w:pPr>
        <w:widowControl w:val="0"/>
        <w:numPr>
          <w:ilvl w:val="12"/>
          <w:numId w:val="0"/>
        </w:numPr>
        <w:ind w:right="-2"/>
        <w:jc w:val="both"/>
        <w:rPr>
          <w:szCs w:val="22"/>
          <w:lang w:val="sr-Latn-RS"/>
        </w:rPr>
      </w:pPr>
      <w:r w:rsidRPr="0080626B">
        <w:rPr>
          <w:szCs w:val="22"/>
          <w:lang w:val="sr-Latn-RS"/>
        </w:rPr>
        <w:t>Cefuroksim se ne metaboliše.</w:t>
      </w:r>
    </w:p>
    <w:p w14:paraId="6593310A" w14:textId="77777777" w:rsidR="00877C76" w:rsidRPr="0080626B" w:rsidRDefault="00877C76">
      <w:pPr>
        <w:widowControl w:val="0"/>
        <w:numPr>
          <w:ilvl w:val="12"/>
          <w:numId w:val="0"/>
        </w:numPr>
        <w:ind w:right="-2"/>
        <w:jc w:val="both"/>
        <w:rPr>
          <w:iCs/>
          <w:szCs w:val="22"/>
          <w:u w:val="single"/>
          <w:lang w:val="sr-Latn-RS"/>
        </w:rPr>
      </w:pPr>
    </w:p>
    <w:p w14:paraId="5ACD2CD7" w14:textId="77777777" w:rsidR="00877C76" w:rsidRPr="0080626B" w:rsidRDefault="00E90AF4">
      <w:pPr>
        <w:widowControl w:val="0"/>
        <w:numPr>
          <w:ilvl w:val="12"/>
          <w:numId w:val="0"/>
        </w:numPr>
        <w:ind w:right="-2"/>
        <w:jc w:val="both"/>
        <w:rPr>
          <w:iCs/>
          <w:szCs w:val="22"/>
          <w:u w:val="single"/>
          <w:lang w:val="sr-Latn-RS"/>
        </w:rPr>
      </w:pPr>
      <w:r w:rsidRPr="0080626B">
        <w:rPr>
          <w:szCs w:val="22"/>
          <w:u w:val="single"/>
          <w:lang w:val="sr-Latn-RS"/>
        </w:rPr>
        <w:t>Eliminacija</w:t>
      </w:r>
    </w:p>
    <w:p w14:paraId="0C3E16A4" w14:textId="77777777" w:rsidR="00877C76" w:rsidRPr="0080626B" w:rsidRDefault="00E90AF4">
      <w:pPr>
        <w:widowControl w:val="0"/>
        <w:numPr>
          <w:ilvl w:val="12"/>
          <w:numId w:val="0"/>
        </w:numPr>
        <w:ind w:right="-2"/>
        <w:jc w:val="both"/>
        <w:rPr>
          <w:szCs w:val="22"/>
          <w:lang w:val="sr-Latn-RS"/>
        </w:rPr>
      </w:pPr>
      <w:r w:rsidRPr="0080626B">
        <w:rPr>
          <w:szCs w:val="22"/>
          <w:lang w:val="sr-Latn-RS"/>
        </w:rPr>
        <w:t>Poluvreme eliminacije iznosi između 1 i 1,5 sata. Cefuroksim se izlučuje glomerularnom filtracijom i tubularnom sekrecijom. Renalni klirens je u rasponu od 125 do 148 ml/min/1,73 m</w:t>
      </w:r>
      <w:r w:rsidRPr="0080626B">
        <w:rPr>
          <w:position w:val="8"/>
          <w:szCs w:val="22"/>
          <w:vertAlign w:val="superscript"/>
          <w:lang w:val="sr-Latn-RS"/>
        </w:rPr>
        <w:t>3</w:t>
      </w:r>
      <w:r w:rsidRPr="0080626B">
        <w:rPr>
          <w:szCs w:val="22"/>
          <w:lang w:val="sr-Latn-RS"/>
        </w:rPr>
        <w:t xml:space="preserve">. </w:t>
      </w:r>
    </w:p>
    <w:p w14:paraId="44F73F96" w14:textId="77777777" w:rsidR="00877C76" w:rsidRPr="0080626B" w:rsidRDefault="00877C76">
      <w:pPr>
        <w:widowControl w:val="0"/>
        <w:numPr>
          <w:ilvl w:val="12"/>
          <w:numId w:val="0"/>
        </w:numPr>
        <w:ind w:right="-2"/>
        <w:jc w:val="both"/>
        <w:rPr>
          <w:iCs/>
          <w:szCs w:val="22"/>
          <w:u w:val="single"/>
          <w:lang w:val="sr-Latn-RS"/>
        </w:rPr>
      </w:pPr>
    </w:p>
    <w:p w14:paraId="5C4F2532" w14:textId="77777777" w:rsidR="00877C76" w:rsidRPr="0080626B" w:rsidRDefault="00E90AF4">
      <w:pPr>
        <w:widowControl w:val="0"/>
        <w:numPr>
          <w:ilvl w:val="12"/>
          <w:numId w:val="0"/>
        </w:numPr>
        <w:ind w:right="-2"/>
        <w:jc w:val="both"/>
        <w:rPr>
          <w:b/>
          <w:bCs/>
          <w:i/>
          <w:iCs/>
          <w:szCs w:val="22"/>
          <w:u w:val="single"/>
          <w:lang w:val="sr-Latn-RS"/>
        </w:rPr>
      </w:pPr>
      <w:r w:rsidRPr="0080626B">
        <w:rPr>
          <w:b/>
          <w:bCs/>
          <w:i/>
          <w:iCs/>
          <w:szCs w:val="22"/>
          <w:u w:val="single"/>
          <w:lang w:val="sr-Latn-RS"/>
        </w:rPr>
        <w:t>Posebne grupe pacijenata</w:t>
      </w:r>
    </w:p>
    <w:p w14:paraId="6352E8D9" w14:textId="77777777" w:rsidR="00877C76" w:rsidRPr="0080626B" w:rsidRDefault="00877C76">
      <w:pPr>
        <w:widowControl w:val="0"/>
        <w:autoSpaceDE w:val="0"/>
        <w:autoSpaceDN w:val="0"/>
        <w:adjustRightInd w:val="0"/>
        <w:ind w:left="567" w:hanging="568"/>
        <w:jc w:val="both"/>
        <w:rPr>
          <w:color w:val="000000"/>
          <w:szCs w:val="22"/>
          <w:u w:val="single"/>
          <w:lang w:val="sr-Latn-RS"/>
        </w:rPr>
      </w:pPr>
    </w:p>
    <w:p w14:paraId="7EBBA611" w14:textId="77777777" w:rsidR="00877C76" w:rsidRPr="0080626B" w:rsidRDefault="00E90AF4">
      <w:pPr>
        <w:widowControl w:val="0"/>
        <w:autoSpaceDE w:val="0"/>
        <w:autoSpaceDN w:val="0"/>
        <w:adjustRightInd w:val="0"/>
        <w:ind w:left="567" w:hanging="568"/>
        <w:jc w:val="both"/>
        <w:rPr>
          <w:color w:val="000000"/>
          <w:szCs w:val="22"/>
          <w:u w:val="single"/>
          <w:lang w:val="sr-Latn-RS"/>
        </w:rPr>
      </w:pPr>
      <w:r w:rsidRPr="0080626B">
        <w:rPr>
          <w:color w:val="000000"/>
          <w:szCs w:val="22"/>
          <w:u w:val="single"/>
          <w:lang w:val="sr-Latn-RS"/>
        </w:rPr>
        <w:t>Pol</w:t>
      </w:r>
    </w:p>
    <w:p w14:paraId="7FDEE730" w14:textId="77777777" w:rsidR="00877C76" w:rsidRPr="0080626B" w:rsidRDefault="00E90AF4">
      <w:pPr>
        <w:widowControl w:val="0"/>
        <w:autoSpaceDE w:val="0"/>
        <w:autoSpaceDN w:val="0"/>
        <w:adjustRightInd w:val="0"/>
        <w:ind w:left="720" w:hanging="720"/>
        <w:jc w:val="both"/>
        <w:rPr>
          <w:color w:val="000000"/>
          <w:szCs w:val="22"/>
          <w:lang w:val="sr-Latn-RS"/>
        </w:rPr>
      </w:pPr>
      <w:r w:rsidRPr="0080626B">
        <w:rPr>
          <w:color w:val="000000"/>
          <w:szCs w:val="22"/>
          <w:lang w:val="sr-Latn-RS"/>
        </w:rPr>
        <w:t>Nijesu primijećene razlike u farmakokinetici cefuroksima između muškaraca i žena.</w:t>
      </w:r>
    </w:p>
    <w:p w14:paraId="255816F2" w14:textId="77777777" w:rsidR="00877C76" w:rsidRPr="0080626B" w:rsidRDefault="00877C76">
      <w:pPr>
        <w:widowControl w:val="0"/>
        <w:autoSpaceDE w:val="0"/>
        <w:autoSpaceDN w:val="0"/>
        <w:adjustRightInd w:val="0"/>
        <w:ind w:left="720" w:hanging="720"/>
        <w:jc w:val="both"/>
        <w:rPr>
          <w:color w:val="000000"/>
          <w:szCs w:val="22"/>
          <w:lang w:val="sr-Latn-RS"/>
        </w:rPr>
      </w:pPr>
    </w:p>
    <w:p w14:paraId="3F751B27" w14:textId="77777777" w:rsidR="00877C76" w:rsidRPr="0080626B" w:rsidRDefault="00E90AF4">
      <w:pPr>
        <w:widowControl w:val="0"/>
        <w:numPr>
          <w:ilvl w:val="12"/>
          <w:numId w:val="0"/>
        </w:numPr>
        <w:ind w:right="-2"/>
        <w:jc w:val="both"/>
        <w:rPr>
          <w:szCs w:val="22"/>
          <w:u w:val="single"/>
          <w:lang w:val="sr-Latn-RS"/>
        </w:rPr>
      </w:pPr>
      <w:r w:rsidRPr="0080626B">
        <w:rPr>
          <w:szCs w:val="22"/>
          <w:u w:val="single"/>
          <w:lang w:val="sr-Latn-RS"/>
        </w:rPr>
        <w:t>Starije osobe</w:t>
      </w:r>
    </w:p>
    <w:p w14:paraId="0A9F8DD3" w14:textId="19462C6E" w:rsidR="00877C76" w:rsidRPr="0080626B" w:rsidRDefault="00E90AF4">
      <w:pPr>
        <w:widowControl w:val="0"/>
        <w:numPr>
          <w:ilvl w:val="12"/>
          <w:numId w:val="0"/>
        </w:numPr>
        <w:ind w:right="-2"/>
        <w:jc w:val="both"/>
        <w:rPr>
          <w:iCs/>
          <w:szCs w:val="22"/>
          <w:u w:val="single"/>
          <w:lang w:val="sr-Latn-RS"/>
        </w:rPr>
      </w:pPr>
      <w:r w:rsidRPr="0080626B">
        <w:rPr>
          <w:szCs w:val="22"/>
          <w:lang w:val="sr-Latn-RS"/>
        </w:rPr>
        <w:t>Nijesu potrebne posebne mjere opreza kod starijih pacijenata sa normalnom renalnom funkcijom pri davanju lijeka u uobičajenoj maksimalnoj dnevnoj dozi od 1</w:t>
      </w:r>
      <w:r w:rsidR="00A30A8B" w:rsidRPr="0080626B">
        <w:rPr>
          <w:szCs w:val="22"/>
          <w:lang w:val="sr-Latn-RS"/>
        </w:rPr>
        <w:t xml:space="preserve"> </w:t>
      </w:r>
      <w:r w:rsidRPr="0080626B">
        <w:rPr>
          <w:szCs w:val="22"/>
          <w:lang w:val="sr-Latn-RS"/>
        </w:rPr>
        <w:t xml:space="preserve">g. Budući da je kod starijih pacijenata </w:t>
      </w:r>
      <w:r w:rsidRPr="0080626B">
        <w:rPr>
          <w:szCs w:val="22"/>
          <w:lang w:val="sr-Latn-RS"/>
        </w:rPr>
        <w:lastRenderedPageBreak/>
        <w:t xml:space="preserve">velika vjerovatnoća da je </w:t>
      </w:r>
      <w:r w:rsidR="00A30A8B" w:rsidRPr="0080626B">
        <w:rPr>
          <w:szCs w:val="22"/>
          <w:lang w:val="sr-Latn-RS"/>
        </w:rPr>
        <w:t xml:space="preserve">renalna </w:t>
      </w:r>
      <w:r w:rsidRPr="0080626B">
        <w:rPr>
          <w:szCs w:val="22"/>
          <w:lang w:val="sr-Latn-RS"/>
        </w:rPr>
        <w:t xml:space="preserve">funkcija oslabljena, dozu bi trebalo prilagoditi prema renalnoj funkciji (vidjeti </w:t>
      </w:r>
      <w:r w:rsidR="00A30A8B" w:rsidRPr="0080626B">
        <w:rPr>
          <w:szCs w:val="22"/>
          <w:lang w:val="sr-Latn-RS"/>
        </w:rPr>
        <w:t xml:space="preserve">dio </w:t>
      </w:r>
      <w:r w:rsidRPr="0080626B">
        <w:rPr>
          <w:szCs w:val="22"/>
          <w:lang w:val="sr-Latn-RS"/>
        </w:rPr>
        <w:t xml:space="preserve">4.2). </w:t>
      </w:r>
    </w:p>
    <w:p w14:paraId="26108549" w14:textId="77777777" w:rsidR="00877C76" w:rsidRPr="0080626B" w:rsidRDefault="00877C76">
      <w:pPr>
        <w:widowControl w:val="0"/>
        <w:numPr>
          <w:ilvl w:val="12"/>
          <w:numId w:val="0"/>
        </w:numPr>
        <w:ind w:right="-2"/>
        <w:rPr>
          <w:iCs/>
          <w:szCs w:val="22"/>
          <w:u w:val="single"/>
          <w:lang w:val="sr-Latn-RS"/>
        </w:rPr>
      </w:pPr>
    </w:p>
    <w:p w14:paraId="62D60CBF" w14:textId="77777777" w:rsidR="00877C76" w:rsidRPr="0080626B" w:rsidRDefault="00E90AF4">
      <w:pPr>
        <w:widowControl w:val="0"/>
        <w:numPr>
          <w:ilvl w:val="12"/>
          <w:numId w:val="0"/>
        </w:numPr>
        <w:ind w:right="-2"/>
        <w:rPr>
          <w:iCs/>
          <w:szCs w:val="22"/>
          <w:u w:val="single"/>
          <w:lang w:val="sr-Latn-RS"/>
        </w:rPr>
      </w:pPr>
      <w:r w:rsidRPr="0080626B">
        <w:rPr>
          <w:iCs/>
          <w:szCs w:val="22"/>
          <w:u w:val="single"/>
          <w:lang w:val="sr-Latn-RS"/>
        </w:rPr>
        <w:t>Pedijatrijska populacija</w:t>
      </w:r>
    </w:p>
    <w:p w14:paraId="48B3E350" w14:textId="5B0F1C12" w:rsidR="00877C76" w:rsidRPr="0080626B" w:rsidRDefault="00E90AF4">
      <w:pPr>
        <w:autoSpaceDE w:val="0"/>
        <w:autoSpaceDN w:val="0"/>
        <w:adjustRightInd w:val="0"/>
        <w:jc w:val="both"/>
        <w:rPr>
          <w:color w:val="000000"/>
          <w:szCs w:val="22"/>
          <w:lang w:val="sr-Latn-RS"/>
        </w:rPr>
      </w:pPr>
      <w:r w:rsidRPr="0080626B">
        <w:rPr>
          <w:color w:val="000000"/>
          <w:szCs w:val="22"/>
          <w:lang w:val="sr-Latn-RS"/>
        </w:rPr>
        <w:t>Kod starije odojčadi (&gt;</w:t>
      </w:r>
      <w:r w:rsidR="00A30A8B" w:rsidRPr="0080626B">
        <w:rPr>
          <w:color w:val="000000"/>
          <w:szCs w:val="22"/>
          <w:lang w:val="sr-Latn-RS"/>
        </w:rPr>
        <w:t xml:space="preserve"> </w:t>
      </w:r>
      <w:r w:rsidRPr="0080626B">
        <w:rPr>
          <w:color w:val="000000"/>
          <w:szCs w:val="22"/>
          <w:lang w:val="sr-Latn-RS"/>
        </w:rPr>
        <w:t>3 mjeseca) i djece, farmakokinetika cefuroksima je slična onoj uočenoj kod odraslih.</w:t>
      </w:r>
    </w:p>
    <w:p w14:paraId="38244B6E" w14:textId="77777777" w:rsidR="00877C76" w:rsidRPr="0080626B" w:rsidRDefault="00E90AF4">
      <w:pPr>
        <w:widowControl w:val="0"/>
        <w:autoSpaceDE w:val="0"/>
        <w:autoSpaceDN w:val="0"/>
        <w:adjustRightInd w:val="0"/>
        <w:jc w:val="both"/>
        <w:rPr>
          <w:color w:val="000000"/>
          <w:szCs w:val="22"/>
          <w:lang w:val="sr-Latn-RS"/>
        </w:rPr>
      </w:pPr>
      <w:r w:rsidRPr="0080626B">
        <w:rPr>
          <w:color w:val="000000"/>
          <w:szCs w:val="22"/>
          <w:lang w:val="sr-Latn-RS"/>
        </w:rPr>
        <w:t>Nema dostupnih podataka iz kliničkih studija o upotrebi cefuroksim aksetila kod djece mlađe od 3 mjeseca.</w:t>
      </w:r>
    </w:p>
    <w:p w14:paraId="636E8CDB" w14:textId="77777777" w:rsidR="00877C76" w:rsidRPr="0080626B" w:rsidRDefault="00877C76">
      <w:pPr>
        <w:widowControl w:val="0"/>
        <w:autoSpaceDE w:val="0"/>
        <w:autoSpaceDN w:val="0"/>
        <w:adjustRightInd w:val="0"/>
        <w:jc w:val="both"/>
        <w:rPr>
          <w:iCs/>
          <w:color w:val="000000"/>
          <w:szCs w:val="22"/>
          <w:u w:val="single"/>
          <w:lang w:val="sr-Latn-RS"/>
        </w:rPr>
      </w:pPr>
    </w:p>
    <w:p w14:paraId="231E9BDB" w14:textId="77777777" w:rsidR="00877C76" w:rsidRPr="0080626B" w:rsidRDefault="00E90AF4">
      <w:pPr>
        <w:autoSpaceDE w:val="0"/>
        <w:autoSpaceDN w:val="0"/>
        <w:adjustRightInd w:val="0"/>
        <w:jc w:val="both"/>
        <w:rPr>
          <w:color w:val="000000"/>
          <w:szCs w:val="22"/>
          <w:lang w:val="sr-Latn-RS"/>
        </w:rPr>
      </w:pPr>
      <w:r w:rsidRPr="0080626B">
        <w:rPr>
          <w:color w:val="000000"/>
          <w:szCs w:val="22"/>
          <w:u w:val="single"/>
          <w:lang w:val="sr-Latn-RS"/>
        </w:rPr>
        <w:t>Oštećenje funkcije bubrega</w:t>
      </w:r>
    </w:p>
    <w:p w14:paraId="684DE26B" w14:textId="3754D7C9" w:rsidR="00877C76" w:rsidRPr="0080626B" w:rsidRDefault="00E90AF4">
      <w:pPr>
        <w:widowControl w:val="0"/>
        <w:autoSpaceDE w:val="0"/>
        <w:autoSpaceDN w:val="0"/>
        <w:adjustRightInd w:val="0"/>
        <w:jc w:val="both"/>
        <w:rPr>
          <w:color w:val="000000"/>
          <w:szCs w:val="22"/>
          <w:lang w:val="sr-Latn-RS"/>
        </w:rPr>
      </w:pPr>
      <w:r w:rsidRPr="0080626B">
        <w:rPr>
          <w:color w:val="000000"/>
          <w:szCs w:val="22"/>
          <w:lang w:val="sr-Latn-RS"/>
        </w:rPr>
        <w:t>Efikasnost i bezbjednost primjene cefuroksim aksetila kod pacijenata sa oštećenjem renalne funkcije nijesu utvrđene. Cefuroksim se primarno izlučuje putem bubrega. Stoga se preporučuje</w:t>
      </w:r>
      <w:r w:rsidR="00A30A8B" w:rsidRPr="0080626B">
        <w:rPr>
          <w:color w:val="000000"/>
          <w:szCs w:val="22"/>
          <w:lang w:val="sr-Latn-RS"/>
        </w:rPr>
        <w:t xml:space="preserve"> da se</w:t>
      </w:r>
      <w:r w:rsidRPr="0080626B">
        <w:rPr>
          <w:color w:val="000000"/>
          <w:szCs w:val="22"/>
          <w:lang w:val="sr-Latn-RS"/>
        </w:rPr>
        <w:t>, kao i kod svih antibiotika ove vrste, kod pacijenata sa značajnim oštećenjem renalne funkcije (CLcr &lt;</w:t>
      </w:r>
      <w:r w:rsidR="00A30A8B" w:rsidRPr="0080626B">
        <w:rPr>
          <w:color w:val="000000"/>
          <w:szCs w:val="22"/>
          <w:lang w:val="sr-Latn-RS"/>
        </w:rPr>
        <w:t xml:space="preserve"> </w:t>
      </w:r>
      <w:r w:rsidRPr="0080626B">
        <w:rPr>
          <w:color w:val="000000"/>
          <w:szCs w:val="22"/>
          <w:lang w:val="sr-Latn-RS"/>
        </w:rPr>
        <w:t xml:space="preserve">30 ml/minut) doza cefuroksima smanji, kako bi se kompenzovalo sporije izlučivanje (vidjeti </w:t>
      </w:r>
      <w:r w:rsidR="00055BCB" w:rsidRPr="0080626B">
        <w:rPr>
          <w:color w:val="000000"/>
          <w:szCs w:val="22"/>
          <w:lang w:val="sr-Latn-RS"/>
        </w:rPr>
        <w:t xml:space="preserve">dio </w:t>
      </w:r>
      <w:r w:rsidRPr="0080626B">
        <w:rPr>
          <w:color w:val="000000"/>
          <w:szCs w:val="22"/>
          <w:lang w:val="sr-Latn-RS"/>
        </w:rPr>
        <w:t xml:space="preserve">4.2). Cefuroksim se efikasno uklanja iz cirkulacije dijalizom. </w:t>
      </w:r>
    </w:p>
    <w:p w14:paraId="0EF4161D" w14:textId="77777777" w:rsidR="00877C76" w:rsidRPr="0080626B" w:rsidRDefault="00877C76">
      <w:pPr>
        <w:widowControl w:val="0"/>
        <w:autoSpaceDE w:val="0"/>
        <w:autoSpaceDN w:val="0"/>
        <w:adjustRightInd w:val="0"/>
        <w:jc w:val="both"/>
        <w:rPr>
          <w:color w:val="000000"/>
          <w:szCs w:val="22"/>
          <w:lang w:val="sr-Latn-RS"/>
        </w:rPr>
      </w:pPr>
    </w:p>
    <w:p w14:paraId="450117F3" w14:textId="77777777" w:rsidR="00877C76" w:rsidRPr="0080626B" w:rsidRDefault="00E90AF4">
      <w:pPr>
        <w:autoSpaceDE w:val="0"/>
        <w:autoSpaceDN w:val="0"/>
        <w:adjustRightInd w:val="0"/>
        <w:jc w:val="both"/>
        <w:rPr>
          <w:color w:val="000000"/>
          <w:szCs w:val="22"/>
          <w:lang w:val="sr-Latn-RS"/>
        </w:rPr>
      </w:pPr>
      <w:r w:rsidRPr="0080626B">
        <w:rPr>
          <w:color w:val="000000"/>
          <w:szCs w:val="22"/>
          <w:u w:val="single"/>
          <w:lang w:val="sr-Latn-RS"/>
        </w:rPr>
        <w:t>Oštećenje funkcije jetre</w:t>
      </w:r>
    </w:p>
    <w:p w14:paraId="56008EB5" w14:textId="113F470D" w:rsidR="00877C76" w:rsidRPr="0080626B" w:rsidRDefault="00E90AF4">
      <w:pPr>
        <w:autoSpaceDE w:val="0"/>
        <w:autoSpaceDN w:val="0"/>
        <w:adjustRightInd w:val="0"/>
        <w:jc w:val="both"/>
        <w:rPr>
          <w:szCs w:val="22"/>
          <w:lang w:val="sr-Latn-RS"/>
        </w:rPr>
      </w:pPr>
      <w:r w:rsidRPr="0080626B">
        <w:rPr>
          <w:szCs w:val="22"/>
          <w:lang w:val="sr-Latn-RS"/>
        </w:rPr>
        <w:t>Nijesu dostupni podaci o primjeni cefuroksima kod pacijenata sa oštećenjem funkcije jetre. S obzirom</w:t>
      </w:r>
      <w:r w:rsidR="00055BCB" w:rsidRPr="0080626B">
        <w:rPr>
          <w:szCs w:val="22"/>
          <w:lang w:val="sr-Latn-RS"/>
        </w:rPr>
        <w:t xml:space="preserve"> na to</w:t>
      </w:r>
      <w:r w:rsidRPr="0080626B">
        <w:rPr>
          <w:szCs w:val="22"/>
          <w:lang w:val="sr-Latn-RS"/>
        </w:rPr>
        <w:t xml:space="preserve"> da se cefuroksim primarno eliminiše putem bubrega, ne očekuje se da poremećaj funkcije jetre utiče na farmakokinetiku cefuroksima. </w:t>
      </w:r>
    </w:p>
    <w:p w14:paraId="6E6F8FE4" w14:textId="77777777" w:rsidR="00877C76" w:rsidRPr="0080626B" w:rsidRDefault="00877C76">
      <w:pPr>
        <w:widowControl w:val="0"/>
        <w:numPr>
          <w:ilvl w:val="12"/>
          <w:numId w:val="0"/>
        </w:numPr>
        <w:ind w:right="-2"/>
        <w:jc w:val="both"/>
        <w:rPr>
          <w:iCs/>
          <w:szCs w:val="22"/>
          <w:u w:val="single"/>
          <w:lang w:val="sr-Latn-RS"/>
        </w:rPr>
      </w:pPr>
    </w:p>
    <w:p w14:paraId="48F00B60" w14:textId="77777777" w:rsidR="00877C76" w:rsidRPr="0080626B" w:rsidRDefault="00E90AF4">
      <w:pPr>
        <w:widowControl w:val="0"/>
        <w:numPr>
          <w:ilvl w:val="12"/>
          <w:numId w:val="0"/>
        </w:numPr>
        <w:ind w:right="-2"/>
        <w:jc w:val="both"/>
        <w:rPr>
          <w:iCs/>
          <w:szCs w:val="22"/>
          <w:u w:val="single"/>
          <w:lang w:val="sr-Latn-RS"/>
        </w:rPr>
      </w:pPr>
      <w:r w:rsidRPr="0080626B">
        <w:rPr>
          <w:iCs/>
          <w:szCs w:val="22"/>
          <w:u w:val="single"/>
          <w:lang w:val="sr-Latn-RS"/>
        </w:rPr>
        <w:t>Farmakokinetički/farmakodinamski (PK/PD) odnos</w:t>
      </w:r>
    </w:p>
    <w:p w14:paraId="3BF12AEE" w14:textId="07E22B68" w:rsidR="00877C76" w:rsidRPr="0080626B" w:rsidRDefault="00E90AF4">
      <w:pPr>
        <w:widowControl w:val="0"/>
        <w:numPr>
          <w:ilvl w:val="12"/>
          <w:numId w:val="0"/>
        </w:numPr>
        <w:ind w:right="-2"/>
        <w:jc w:val="both"/>
        <w:rPr>
          <w:szCs w:val="22"/>
          <w:lang w:val="sr-Latn-RS"/>
        </w:rPr>
      </w:pPr>
      <w:r w:rsidRPr="0080626B">
        <w:rPr>
          <w:szCs w:val="22"/>
          <w:lang w:val="sr-Latn-RS"/>
        </w:rPr>
        <w:t>Za cefalosporine je utvrđeno da je najvažniji farmakokinetički</w:t>
      </w:r>
      <w:r w:rsidR="00055BCB" w:rsidRPr="0080626B">
        <w:rPr>
          <w:szCs w:val="22"/>
          <w:lang w:val="sr-Latn-RS"/>
        </w:rPr>
        <w:t>/</w:t>
      </w:r>
      <w:r w:rsidRPr="0080626B">
        <w:rPr>
          <w:szCs w:val="22"/>
          <w:lang w:val="sr-Latn-RS"/>
        </w:rPr>
        <w:t xml:space="preserve">farmakodinamski indeks koji korelira sa efikasnošću </w:t>
      </w:r>
      <w:r w:rsidRPr="0080626B">
        <w:rPr>
          <w:i/>
          <w:szCs w:val="22"/>
          <w:lang w:val="sr-Latn-RS"/>
        </w:rPr>
        <w:t>in vivo</w:t>
      </w:r>
      <w:r w:rsidRPr="0080626B">
        <w:rPr>
          <w:szCs w:val="22"/>
          <w:lang w:val="sr-Latn-RS"/>
        </w:rPr>
        <w:t xml:space="preserve"> procenat doznog intervala (%T) unutar kojeg koncentracija slobodnog lijeka ostaje iznad minimalne inhibitorne koncentracije (MIK) cefuroksima za pojedinačnu ciljnu vrstu patogena (tj. %T</w:t>
      </w:r>
      <w:r w:rsidR="00055BCB" w:rsidRPr="0080626B">
        <w:rPr>
          <w:szCs w:val="22"/>
          <w:lang w:val="sr-Latn-RS"/>
        </w:rPr>
        <w:t xml:space="preserve"> </w:t>
      </w:r>
      <w:r w:rsidRPr="0080626B">
        <w:rPr>
          <w:szCs w:val="22"/>
          <w:lang w:val="sr-Latn-RS"/>
        </w:rPr>
        <w:t>&gt;</w:t>
      </w:r>
      <w:r w:rsidR="00055BCB" w:rsidRPr="0080626B">
        <w:rPr>
          <w:szCs w:val="22"/>
          <w:lang w:val="sr-Latn-RS"/>
        </w:rPr>
        <w:t xml:space="preserve"> </w:t>
      </w:r>
      <w:r w:rsidRPr="0080626B">
        <w:rPr>
          <w:szCs w:val="22"/>
          <w:lang w:val="sr-Latn-RS"/>
        </w:rPr>
        <w:t xml:space="preserve">MIK). </w:t>
      </w:r>
    </w:p>
    <w:p w14:paraId="2E08CA1F" w14:textId="77777777" w:rsidR="00877C76" w:rsidRPr="0080626B" w:rsidRDefault="00877C76">
      <w:pPr>
        <w:widowControl w:val="0"/>
        <w:rPr>
          <w:szCs w:val="22"/>
          <w:lang w:val="sr-Latn-RS"/>
        </w:rPr>
      </w:pPr>
    </w:p>
    <w:p w14:paraId="223EE30D" w14:textId="77777777" w:rsidR="00877C76" w:rsidRPr="0080626B" w:rsidRDefault="00E90AF4">
      <w:pPr>
        <w:widowControl w:val="0"/>
        <w:ind w:left="567" w:hanging="567"/>
        <w:outlineLvl w:val="0"/>
        <w:rPr>
          <w:szCs w:val="22"/>
          <w:lang w:val="sr-Latn-RS"/>
        </w:rPr>
      </w:pPr>
      <w:r w:rsidRPr="0080626B">
        <w:rPr>
          <w:b/>
          <w:szCs w:val="22"/>
          <w:lang w:val="sr-Latn-RS"/>
        </w:rPr>
        <w:t>5.3</w:t>
      </w:r>
      <w:r w:rsidRPr="0080626B">
        <w:rPr>
          <w:b/>
          <w:szCs w:val="22"/>
          <w:lang w:val="sr-Latn-RS"/>
        </w:rPr>
        <w:tab/>
      </w:r>
      <w:r w:rsidRPr="0080626B">
        <w:rPr>
          <w:b/>
          <w:bCs/>
          <w:szCs w:val="22"/>
          <w:lang w:val="sr-Latn-RS"/>
        </w:rPr>
        <w:t>Pretklinički podaci o bezbjednosti</w:t>
      </w:r>
    </w:p>
    <w:p w14:paraId="619930C1" w14:textId="77777777" w:rsidR="00877C76" w:rsidRPr="0080626B" w:rsidRDefault="00877C76">
      <w:pPr>
        <w:widowControl w:val="0"/>
        <w:rPr>
          <w:szCs w:val="22"/>
          <w:lang w:val="sr-Latn-RS"/>
        </w:rPr>
      </w:pPr>
    </w:p>
    <w:p w14:paraId="4CF03D72" w14:textId="77777777" w:rsidR="00877C76" w:rsidRPr="0080626B" w:rsidRDefault="00E90AF4">
      <w:pPr>
        <w:widowControl w:val="0"/>
        <w:jc w:val="both"/>
        <w:rPr>
          <w:color w:val="000000"/>
          <w:szCs w:val="22"/>
          <w:lang w:val="sr-Latn-RS"/>
        </w:rPr>
      </w:pPr>
      <w:r w:rsidRPr="0080626B">
        <w:rPr>
          <w:color w:val="000000"/>
          <w:szCs w:val="22"/>
          <w:lang w:val="sr-Latn-RS"/>
        </w:rPr>
        <w:t>Pretklinički podaci ne ukazuju na poseban rizik za ljude na osnovu studija farmakološke bezbjednosti, toksičnosti ponovljenih doza, genotoksičnosti, reproduktivne i razvojne toksičnosti. Nijesu sprovedena ispitivanja karcinogenosti; međutim, nema dokaza koji bi ukazali na karcinogeni potencijal.</w:t>
      </w:r>
    </w:p>
    <w:p w14:paraId="37721661" w14:textId="77777777" w:rsidR="00877C76" w:rsidRPr="0080626B" w:rsidRDefault="00877C76">
      <w:pPr>
        <w:widowControl w:val="0"/>
        <w:jc w:val="both"/>
        <w:rPr>
          <w:color w:val="000000"/>
          <w:szCs w:val="22"/>
          <w:lang w:val="sr-Latn-RS"/>
        </w:rPr>
      </w:pPr>
    </w:p>
    <w:p w14:paraId="2ED16A85" w14:textId="0AA7D72D" w:rsidR="00877C76" w:rsidRPr="0080626B" w:rsidRDefault="00E90AF4">
      <w:pPr>
        <w:widowControl w:val="0"/>
        <w:jc w:val="both"/>
        <w:rPr>
          <w:szCs w:val="22"/>
          <w:lang w:val="sr-Latn-RS"/>
        </w:rPr>
      </w:pPr>
      <w:r w:rsidRPr="0080626B">
        <w:rPr>
          <w:szCs w:val="22"/>
          <w:lang w:val="sr-Latn-RS"/>
        </w:rPr>
        <w:t>Aktivnost gama-glutamil transpeptidaze u urinu pacova inhibirana je raznim cefalosporinima, međutim, nivo inhibicije je manji kod primjene cefuroksima. Ovaj podatak može biti od značaja zbog interferencije sa nalazima kliničkih laboratorijskih testova kod ljudi.</w:t>
      </w:r>
    </w:p>
    <w:p w14:paraId="32F03DA5" w14:textId="77777777" w:rsidR="00877C76" w:rsidRPr="0080626B" w:rsidRDefault="00877C76">
      <w:pPr>
        <w:widowControl w:val="0"/>
        <w:rPr>
          <w:szCs w:val="22"/>
          <w:lang w:val="sr-Latn-RS"/>
        </w:rPr>
      </w:pPr>
    </w:p>
    <w:p w14:paraId="4579A7CD" w14:textId="77777777" w:rsidR="00877C76" w:rsidRPr="0080626B" w:rsidRDefault="00877C76">
      <w:pPr>
        <w:widowControl w:val="0"/>
        <w:rPr>
          <w:szCs w:val="22"/>
          <w:lang w:val="sr-Latn-RS"/>
        </w:rPr>
      </w:pPr>
    </w:p>
    <w:p w14:paraId="67273A8A" w14:textId="77777777" w:rsidR="00877C76" w:rsidRPr="0080626B" w:rsidRDefault="00E90AF4">
      <w:pPr>
        <w:widowControl w:val="0"/>
        <w:rPr>
          <w:b/>
          <w:szCs w:val="22"/>
          <w:lang w:val="sr-Latn-RS"/>
        </w:rPr>
      </w:pPr>
      <w:r w:rsidRPr="0080626B">
        <w:rPr>
          <w:b/>
          <w:szCs w:val="22"/>
          <w:lang w:val="sr-Latn-RS"/>
        </w:rPr>
        <w:t>6.</w:t>
      </w:r>
      <w:r w:rsidRPr="0080626B">
        <w:rPr>
          <w:b/>
          <w:szCs w:val="22"/>
          <w:lang w:val="sr-Latn-RS"/>
        </w:rPr>
        <w:tab/>
        <w:t>FARMACEUTSKI PODACI</w:t>
      </w:r>
    </w:p>
    <w:p w14:paraId="66FD9C84" w14:textId="77777777" w:rsidR="00877C76" w:rsidRPr="0080626B" w:rsidRDefault="00877C76">
      <w:pPr>
        <w:widowControl w:val="0"/>
        <w:rPr>
          <w:szCs w:val="22"/>
          <w:lang w:val="sr-Latn-RS"/>
        </w:rPr>
      </w:pPr>
    </w:p>
    <w:p w14:paraId="2A6A72BC" w14:textId="77777777" w:rsidR="00877C76" w:rsidRPr="0080626B" w:rsidRDefault="00E90AF4">
      <w:pPr>
        <w:widowControl w:val="0"/>
        <w:ind w:left="567" w:hanging="567"/>
        <w:outlineLvl w:val="0"/>
        <w:rPr>
          <w:szCs w:val="22"/>
          <w:lang w:val="sr-Latn-RS"/>
        </w:rPr>
      </w:pPr>
      <w:r w:rsidRPr="0080626B">
        <w:rPr>
          <w:b/>
          <w:szCs w:val="22"/>
          <w:lang w:val="sr-Latn-RS"/>
        </w:rPr>
        <w:t>6.1</w:t>
      </w:r>
      <w:r w:rsidRPr="0080626B">
        <w:rPr>
          <w:b/>
          <w:szCs w:val="22"/>
          <w:lang w:val="sr-Latn-RS"/>
        </w:rPr>
        <w:tab/>
      </w:r>
      <w:r w:rsidRPr="0080626B">
        <w:rPr>
          <w:b/>
          <w:bCs/>
          <w:szCs w:val="22"/>
          <w:lang w:val="sr-Latn-RS"/>
        </w:rPr>
        <w:t>Lista pomoćnih supstanci (ekscipijenasa)</w:t>
      </w:r>
    </w:p>
    <w:p w14:paraId="50C056A9" w14:textId="77777777" w:rsidR="00877C76" w:rsidRPr="0080626B" w:rsidRDefault="00877C76">
      <w:pPr>
        <w:widowControl w:val="0"/>
        <w:rPr>
          <w:szCs w:val="22"/>
          <w:lang w:val="sr-Latn-RS"/>
        </w:rPr>
      </w:pPr>
    </w:p>
    <w:p w14:paraId="7DC96C5B" w14:textId="77777777" w:rsidR="00877C76" w:rsidRPr="0080626B" w:rsidRDefault="00E90AF4">
      <w:pPr>
        <w:widowControl w:val="0"/>
        <w:rPr>
          <w:szCs w:val="22"/>
          <w:lang w:val="sr-Latn-RS"/>
        </w:rPr>
      </w:pPr>
      <w:r w:rsidRPr="0080626B">
        <w:rPr>
          <w:szCs w:val="22"/>
          <w:lang w:val="sr-Latn-RS"/>
        </w:rPr>
        <w:t>Jezgro:</w:t>
      </w:r>
    </w:p>
    <w:p w14:paraId="334ECC88" w14:textId="63F69B22" w:rsidR="00877C76" w:rsidRPr="0080626B" w:rsidRDefault="00E90AF4">
      <w:pPr>
        <w:widowControl w:val="0"/>
        <w:rPr>
          <w:szCs w:val="22"/>
          <w:lang w:val="sr-Latn-RS"/>
        </w:rPr>
      </w:pPr>
      <w:r w:rsidRPr="0080626B">
        <w:rPr>
          <w:szCs w:val="22"/>
          <w:lang w:val="sr-Latn-RS"/>
        </w:rPr>
        <w:t>Celuloza, mikrokristalna</w:t>
      </w:r>
    </w:p>
    <w:p w14:paraId="71093F6A" w14:textId="06AA53A0" w:rsidR="00877C76" w:rsidRPr="0080626B" w:rsidRDefault="00E90AF4">
      <w:pPr>
        <w:widowControl w:val="0"/>
        <w:rPr>
          <w:szCs w:val="22"/>
          <w:lang w:val="sr-Latn-RS"/>
        </w:rPr>
      </w:pPr>
      <w:r w:rsidRPr="0080626B">
        <w:rPr>
          <w:szCs w:val="22"/>
          <w:lang w:val="sr-Latn-RS"/>
        </w:rPr>
        <w:t>Kroskarmeloza natrijum</w:t>
      </w:r>
    </w:p>
    <w:p w14:paraId="0AD2C6B0" w14:textId="4F56E6A8" w:rsidR="00877C76" w:rsidRPr="0080626B" w:rsidRDefault="00E90AF4">
      <w:pPr>
        <w:widowControl w:val="0"/>
        <w:rPr>
          <w:szCs w:val="22"/>
          <w:lang w:val="sr-Latn-RS"/>
        </w:rPr>
      </w:pPr>
      <w:r w:rsidRPr="0080626B">
        <w:rPr>
          <w:szCs w:val="22"/>
          <w:lang w:val="sr-Latn-RS"/>
        </w:rPr>
        <w:t>Natrijum laurilsulfat</w:t>
      </w:r>
    </w:p>
    <w:p w14:paraId="531D071B" w14:textId="53DBAA73" w:rsidR="00877C76" w:rsidRPr="0080626B" w:rsidRDefault="00E90AF4">
      <w:pPr>
        <w:widowControl w:val="0"/>
        <w:rPr>
          <w:szCs w:val="22"/>
          <w:lang w:val="sr-Latn-RS"/>
        </w:rPr>
      </w:pPr>
      <w:r w:rsidRPr="0080626B">
        <w:rPr>
          <w:szCs w:val="22"/>
          <w:lang w:val="sr-Latn-RS"/>
        </w:rPr>
        <w:t>Silicijum dioksid, koloidni, bezvodni</w:t>
      </w:r>
    </w:p>
    <w:p w14:paraId="1BA6875A" w14:textId="2D26DB70" w:rsidR="00877C76" w:rsidRPr="0080626B" w:rsidRDefault="00E90AF4">
      <w:pPr>
        <w:widowControl w:val="0"/>
        <w:rPr>
          <w:szCs w:val="22"/>
          <w:lang w:val="sr-Latn-RS"/>
        </w:rPr>
      </w:pPr>
      <w:r w:rsidRPr="0080626B">
        <w:rPr>
          <w:szCs w:val="22"/>
          <w:lang w:val="sr-Latn-RS"/>
        </w:rPr>
        <w:t>Kalcijum stearat</w:t>
      </w:r>
    </w:p>
    <w:p w14:paraId="5EA35ACA" w14:textId="46BD3379" w:rsidR="00877C76" w:rsidRPr="0080626B" w:rsidRDefault="00E90AF4">
      <w:pPr>
        <w:widowControl w:val="0"/>
        <w:rPr>
          <w:szCs w:val="22"/>
          <w:lang w:val="sr-Latn-RS"/>
        </w:rPr>
      </w:pPr>
      <w:r w:rsidRPr="0080626B">
        <w:rPr>
          <w:szCs w:val="22"/>
          <w:lang w:val="sr-Latn-RS"/>
        </w:rPr>
        <w:t>Kalcijum karbonat</w:t>
      </w:r>
    </w:p>
    <w:p w14:paraId="3BDEE215" w14:textId="636C965A" w:rsidR="00877C76" w:rsidRPr="0080626B" w:rsidRDefault="00E90AF4">
      <w:pPr>
        <w:widowControl w:val="0"/>
        <w:rPr>
          <w:szCs w:val="22"/>
          <w:lang w:val="sr-Latn-RS"/>
        </w:rPr>
      </w:pPr>
      <w:r w:rsidRPr="0080626B">
        <w:rPr>
          <w:szCs w:val="22"/>
          <w:lang w:val="sr-Latn-RS"/>
        </w:rPr>
        <w:t>Krospovidon (tip A)</w:t>
      </w:r>
    </w:p>
    <w:p w14:paraId="70940C47" w14:textId="77777777" w:rsidR="00877C76" w:rsidRPr="0080626B" w:rsidRDefault="00877C76">
      <w:pPr>
        <w:widowControl w:val="0"/>
        <w:rPr>
          <w:szCs w:val="22"/>
          <w:lang w:val="sr-Latn-RS"/>
        </w:rPr>
      </w:pPr>
    </w:p>
    <w:p w14:paraId="7AA7F906" w14:textId="77777777" w:rsidR="00877C76" w:rsidRPr="0080626B" w:rsidRDefault="00E90AF4">
      <w:pPr>
        <w:widowControl w:val="0"/>
        <w:rPr>
          <w:szCs w:val="22"/>
          <w:lang w:val="sr-Latn-RS"/>
        </w:rPr>
      </w:pPr>
      <w:r w:rsidRPr="0080626B">
        <w:rPr>
          <w:szCs w:val="22"/>
          <w:lang w:val="sr-Latn-RS"/>
        </w:rPr>
        <w:t>Omotač (film) tablete:</w:t>
      </w:r>
    </w:p>
    <w:p w14:paraId="1909577D" w14:textId="57D0DC07" w:rsidR="00877C76" w:rsidRPr="0080626B" w:rsidRDefault="00E90AF4">
      <w:pPr>
        <w:widowControl w:val="0"/>
        <w:rPr>
          <w:szCs w:val="22"/>
          <w:lang w:val="sr-Latn-RS"/>
        </w:rPr>
      </w:pPr>
      <w:r w:rsidRPr="0080626B">
        <w:rPr>
          <w:szCs w:val="22"/>
          <w:lang w:val="sr-Latn-RS"/>
        </w:rPr>
        <w:t>Hipromeloza (6 cp)</w:t>
      </w:r>
    </w:p>
    <w:p w14:paraId="166E1713" w14:textId="0295D083" w:rsidR="00877C76" w:rsidRPr="0080626B" w:rsidRDefault="00E90AF4">
      <w:pPr>
        <w:widowControl w:val="0"/>
        <w:rPr>
          <w:szCs w:val="22"/>
          <w:lang w:val="sr-Latn-RS"/>
        </w:rPr>
      </w:pPr>
      <w:r w:rsidRPr="0080626B">
        <w:rPr>
          <w:szCs w:val="22"/>
          <w:lang w:val="sr-Latn-RS"/>
        </w:rPr>
        <w:t>Titan dioksid (E171)</w:t>
      </w:r>
    </w:p>
    <w:p w14:paraId="18780461" w14:textId="486CEE82" w:rsidR="00877C76" w:rsidRPr="0080626B" w:rsidRDefault="00E90AF4">
      <w:pPr>
        <w:widowControl w:val="0"/>
        <w:rPr>
          <w:szCs w:val="22"/>
          <w:lang w:val="sr-Latn-RS"/>
        </w:rPr>
      </w:pPr>
      <w:r w:rsidRPr="0080626B">
        <w:rPr>
          <w:szCs w:val="22"/>
          <w:lang w:val="sr-Latn-RS"/>
        </w:rPr>
        <w:t>Propilen glikol</w:t>
      </w:r>
    </w:p>
    <w:p w14:paraId="4F4CB3DC" w14:textId="1606BE8F" w:rsidR="00877C76" w:rsidRPr="0080626B" w:rsidRDefault="00E90AF4">
      <w:pPr>
        <w:widowControl w:val="0"/>
        <w:rPr>
          <w:szCs w:val="22"/>
          <w:lang w:val="sr-Latn-RS"/>
        </w:rPr>
      </w:pPr>
      <w:r w:rsidRPr="0080626B">
        <w:rPr>
          <w:szCs w:val="22"/>
          <w:lang w:val="sr-Latn-RS"/>
        </w:rPr>
        <w:t>boja Brilliant Blue FCF (E133)</w:t>
      </w:r>
    </w:p>
    <w:p w14:paraId="4C9CE8B8" w14:textId="77777777" w:rsidR="00877C76" w:rsidRPr="0080626B" w:rsidRDefault="00877C76">
      <w:pPr>
        <w:widowControl w:val="0"/>
        <w:rPr>
          <w:szCs w:val="22"/>
          <w:lang w:val="sr-Latn-RS"/>
        </w:rPr>
      </w:pPr>
    </w:p>
    <w:p w14:paraId="3A98C6F7" w14:textId="77777777" w:rsidR="00877C76" w:rsidRPr="0080626B" w:rsidRDefault="00E90AF4">
      <w:pPr>
        <w:widowControl w:val="0"/>
        <w:ind w:left="567" w:hanging="567"/>
        <w:outlineLvl w:val="0"/>
        <w:rPr>
          <w:szCs w:val="22"/>
          <w:lang w:val="sr-Latn-RS"/>
        </w:rPr>
      </w:pPr>
      <w:r w:rsidRPr="0080626B">
        <w:rPr>
          <w:b/>
          <w:szCs w:val="22"/>
          <w:lang w:val="sr-Latn-RS"/>
        </w:rPr>
        <w:t>6.2</w:t>
      </w:r>
      <w:r w:rsidRPr="0080626B">
        <w:rPr>
          <w:b/>
          <w:szCs w:val="22"/>
          <w:lang w:val="sr-Latn-RS"/>
        </w:rPr>
        <w:tab/>
        <w:t>Inkompatibilnosti</w:t>
      </w:r>
    </w:p>
    <w:p w14:paraId="1215CFB2" w14:textId="77777777" w:rsidR="00877C76" w:rsidRPr="0080626B" w:rsidRDefault="00877C76">
      <w:pPr>
        <w:widowControl w:val="0"/>
        <w:rPr>
          <w:szCs w:val="22"/>
          <w:lang w:val="sr-Latn-RS"/>
        </w:rPr>
      </w:pPr>
    </w:p>
    <w:p w14:paraId="69CD8A99" w14:textId="77777777" w:rsidR="00877C76" w:rsidRPr="0080626B" w:rsidRDefault="00E90AF4">
      <w:pPr>
        <w:widowControl w:val="0"/>
        <w:rPr>
          <w:szCs w:val="22"/>
          <w:lang w:val="sr-Latn-RS"/>
        </w:rPr>
      </w:pPr>
      <w:r w:rsidRPr="0080626B">
        <w:rPr>
          <w:szCs w:val="22"/>
          <w:lang w:val="sr-Latn-RS"/>
        </w:rPr>
        <w:t>Nije primjenjivo.</w:t>
      </w:r>
    </w:p>
    <w:p w14:paraId="0D4AEC7F" w14:textId="77777777" w:rsidR="00877C76" w:rsidRPr="0080626B" w:rsidRDefault="00877C76">
      <w:pPr>
        <w:widowControl w:val="0"/>
        <w:rPr>
          <w:szCs w:val="22"/>
          <w:lang w:val="sr-Latn-RS"/>
        </w:rPr>
      </w:pPr>
    </w:p>
    <w:p w14:paraId="0E5F809B" w14:textId="77777777" w:rsidR="00877C76" w:rsidRPr="0080626B" w:rsidRDefault="00E90AF4">
      <w:pPr>
        <w:widowControl w:val="0"/>
        <w:ind w:left="567" w:hanging="567"/>
        <w:outlineLvl w:val="0"/>
        <w:rPr>
          <w:szCs w:val="22"/>
          <w:lang w:val="sr-Latn-RS"/>
        </w:rPr>
      </w:pPr>
      <w:r w:rsidRPr="0080626B">
        <w:rPr>
          <w:b/>
          <w:szCs w:val="22"/>
          <w:lang w:val="sr-Latn-RS"/>
        </w:rPr>
        <w:t>6.3</w:t>
      </w:r>
      <w:r w:rsidRPr="0080626B">
        <w:rPr>
          <w:b/>
          <w:szCs w:val="22"/>
          <w:lang w:val="sr-Latn-RS"/>
        </w:rPr>
        <w:tab/>
        <w:t>Rok upotrebe</w:t>
      </w:r>
    </w:p>
    <w:p w14:paraId="00D58431" w14:textId="77777777" w:rsidR="00877C76" w:rsidRPr="0080626B" w:rsidRDefault="00877C76">
      <w:pPr>
        <w:widowControl w:val="0"/>
        <w:rPr>
          <w:szCs w:val="22"/>
          <w:lang w:val="sr-Latn-RS"/>
        </w:rPr>
      </w:pPr>
    </w:p>
    <w:p w14:paraId="1A3D0307" w14:textId="77777777" w:rsidR="00877C76" w:rsidRPr="0080626B" w:rsidRDefault="00E90AF4">
      <w:pPr>
        <w:widowControl w:val="0"/>
        <w:rPr>
          <w:iCs/>
          <w:szCs w:val="22"/>
          <w:lang w:val="sr-Latn-RS"/>
        </w:rPr>
      </w:pPr>
      <w:r w:rsidRPr="0080626B">
        <w:rPr>
          <w:szCs w:val="22"/>
          <w:lang w:val="sr-Latn-RS"/>
        </w:rPr>
        <w:t>3 godine</w:t>
      </w:r>
      <w:r w:rsidR="009737E3" w:rsidRPr="0080626B">
        <w:rPr>
          <w:szCs w:val="22"/>
          <w:lang w:val="sr-Latn-RS"/>
        </w:rPr>
        <w:t>.</w:t>
      </w:r>
    </w:p>
    <w:p w14:paraId="31A9D200" w14:textId="77777777" w:rsidR="00877C76" w:rsidRPr="0080626B" w:rsidRDefault="00877C76">
      <w:pPr>
        <w:widowControl w:val="0"/>
        <w:rPr>
          <w:szCs w:val="22"/>
          <w:lang w:val="sr-Latn-RS"/>
        </w:rPr>
      </w:pPr>
    </w:p>
    <w:p w14:paraId="5AEA20A7" w14:textId="77777777" w:rsidR="00877C76" w:rsidRPr="0080626B" w:rsidRDefault="00E90AF4">
      <w:pPr>
        <w:widowControl w:val="0"/>
        <w:ind w:left="567" w:hanging="567"/>
        <w:outlineLvl w:val="0"/>
        <w:rPr>
          <w:b/>
          <w:szCs w:val="22"/>
          <w:lang w:val="sr-Latn-RS"/>
        </w:rPr>
      </w:pPr>
      <w:r w:rsidRPr="0080626B">
        <w:rPr>
          <w:b/>
          <w:szCs w:val="22"/>
          <w:lang w:val="sr-Latn-RS"/>
        </w:rPr>
        <w:t>6.4</w:t>
      </w:r>
      <w:r w:rsidRPr="0080626B">
        <w:rPr>
          <w:b/>
          <w:szCs w:val="22"/>
          <w:lang w:val="sr-Latn-RS"/>
        </w:rPr>
        <w:tab/>
      </w:r>
      <w:r w:rsidRPr="0080626B">
        <w:rPr>
          <w:b/>
          <w:bCs/>
          <w:szCs w:val="22"/>
          <w:lang w:val="sr-Latn-RS"/>
        </w:rPr>
        <w:t>Posebne mjere upozorenja pri čuvanju lijeka</w:t>
      </w:r>
      <w:r w:rsidRPr="0080626B">
        <w:rPr>
          <w:b/>
          <w:szCs w:val="22"/>
          <w:lang w:val="sr-Latn-RS"/>
        </w:rPr>
        <w:t xml:space="preserve"> </w:t>
      </w:r>
    </w:p>
    <w:p w14:paraId="62F39646" w14:textId="77777777" w:rsidR="00877C76" w:rsidRPr="0080626B" w:rsidRDefault="00877C76">
      <w:pPr>
        <w:widowControl w:val="0"/>
        <w:ind w:left="567" w:hanging="567"/>
        <w:outlineLvl w:val="0"/>
        <w:rPr>
          <w:iCs/>
          <w:szCs w:val="22"/>
          <w:lang w:val="sr-Latn-RS"/>
        </w:rPr>
      </w:pPr>
    </w:p>
    <w:p w14:paraId="35D8D74B" w14:textId="77777777" w:rsidR="00877C76" w:rsidRPr="0080626B" w:rsidRDefault="00E90AF4">
      <w:pPr>
        <w:widowControl w:val="0"/>
        <w:rPr>
          <w:szCs w:val="22"/>
          <w:lang w:val="sr-Latn-RS"/>
        </w:rPr>
      </w:pPr>
      <w:r w:rsidRPr="0080626B">
        <w:rPr>
          <w:szCs w:val="22"/>
          <w:lang w:val="sr-Latn-RS"/>
        </w:rPr>
        <w:t>Lijek ne zahtijeva posebne uslove čuvanja.</w:t>
      </w:r>
    </w:p>
    <w:p w14:paraId="5AC8263F" w14:textId="77777777" w:rsidR="00877C76" w:rsidRPr="0080626B" w:rsidRDefault="00877C76">
      <w:pPr>
        <w:widowControl w:val="0"/>
        <w:rPr>
          <w:szCs w:val="22"/>
          <w:lang w:val="sr-Latn-RS"/>
        </w:rPr>
      </w:pPr>
    </w:p>
    <w:p w14:paraId="4B701C19" w14:textId="77777777" w:rsidR="00877C76" w:rsidRPr="0080626B" w:rsidRDefault="00E90AF4">
      <w:pPr>
        <w:widowControl w:val="0"/>
        <w:outlineLvl w:val="0"/>
        <w:rPr>
          <w:b/>
          <w:szCs w:val="22"/>
          <w:lang w:val="sr-Latn-RS"/>
        </w:rPr>
      </w:pPr>
      <w:r w:rsidRPr="0080626B">
        <w:rPr>
          <w:b/>
          <w:szCs w:val="22"/>
          <w:lang w:val="sr-Latn-RS"/>
        </w:rPr>
        <w:t>6.5</w:t>
      </w:r>
      <w:r w:rsidRPr="0080626B">
        <w:rPr>
          <w:b/>
          <w:szCs w:val="22"/>
          <w:lang w:val="sr-Latn-RS"/>
        </w:rPr>
        <w:tab/>
        <w:t>Vrsta i sadržaj pakovanja</w:t>
      </w:r>
    </w:p>
    <w:p w14:paraId="26F2C36D" w14:textId="77777777" w:rsidR="00877C76" w:rsidRPr="0080626B" w:rsidRDefault="00877C76">
      <w:pPr>
        <w:widowControl w:val="0"/>
        <w:rPr>
          <w:szCs w:val="22"/>
          <w:lang w:val="sr-Latn-RS"/>
        </w:rPr>
      </w:pPr>
    </w:p>
    <w:p w14:paraId="4A3FE5FE" w14:textId="77777777" w:rsidR="00877C76" w:rsidRPr="0080626B" w:rsidRDefault="00E90AF4">
      <w:pPr>
        <w:widowControl w:val="0"/>
        <w:rPr>
          <w:szCs w:val="22"/>
          <w:lang w:val="sr-Latn-RS"/>
        </w:rPr>
      </w:pPr>
      <w:r w:rsidRPr="0080626B">
        <w:rPr>
          <w:szCs w:val="22"/>
          <w:lang w:val="sr-Latn-RS"/>
        </w:rPr>
        <w:t>Blister (OPA/Al/PVC-Al): 10 (1x10) i 14 (2x7) film tableta, u kutiji.</w:t>
      </w:r>
    </w:p>
    <w:p w14:paraId="48B133FD" w14:textId="61524231" w:rsidR="00877C76" w:rsidRPr="0080626B" w:rsidRDefault="00877C76">
      <w:pPr>
        <w:widowControl w:val="0"/>
        <w:rPr>
          <w:szCs w:val="22"/>
          <w:lang w:val="sr-Latn-RS"/>
        </w:rPr>
      </w:pPr>
    </w:p>
    <w:p w14:paraId="5124595C" w14:textId="77777777" w:rsidR="00877C76" w:rsidRPr="0080626B" w:rsidRDefault="00E90AF4">
      <w:pPr>
        <w:widowControl w:val="0"/>
        <w:ind w:left="567" w:hanging="567"/>
        <w:outlineLvl w:val="0"/>
        <w:rPr>
          <w:b/>
          <w:szCs w:val="22"/>
          <w:lang w:val="sr-Latn-RS"/>
        </w:rPr>
      </w:pPr>
      <w:r w:rsidRPr="0080626B">
        <w:rPr>
          <w:b/>
          <w:szCs w:val="22"/>
          <w:lang w:val="sr-Latn-RS"/>
        </w:rPr>
        <w:t>6.6</w:t>
      </w:r>
      <w:r w:rsidRPr="0080626B">
        <w:rPr>
          <w:b/>
          <w:szCs w:val="22"/>
          <w:lang w:val="sr-Latn-RS"/>
        </w:rPr>
        <w:tab/>
      </w:r>
      <w:r w:rsidRPr="0080626B">
        <w:rPr>
          <w:b/>
          <w:bCs/>
          <w:szCs w:val="22"/>
          <w:lang w:val="sr-Latn-RS"/>
        </w:rPr>
        <w:t>Posebne mjere opreza pri odlaganju materijala koji treba odbaciti nakon primjene lijeka (i druga uputstva za rukovanje lijekom)</w:t>
      </w:r>
    </w:p>
    <w:p w14:paraId="7A850033" w14:textId="77777777" w:rsidR="00877C76" w:rsidRPr="0080626B" w:rsidRDefault="00877C76">
      <w:pPr>
        <w:widowControl w:val="0"/>
        <w:rPr>
          <w:szCs w:val="22"/>
          <w:highlight w:val="yellow"/>
          <w:lang w:val="sr-Latn-RS"/>
        </w:rPr>
      </w:pPr>
    </w:p>
    <w:p w14:paraId="5B65A64D" w14:textId="77777777" w:rsidR="00877C76" w:rsidRPr="0080626B" w:rsidRDefault="00E90AF4">
      <w:pPr>
        <w:widowControl w:val="0"/>
        <w:rPr>
          <w:szCs w:val="22"/>
          <w:lang w:val="sr-Latn-RS"/>
        </w:rPr>
      </w:pPr>
      <w:r w:rsidRPr="0080626B">
        <w:rPr>
          <w:szCs w:val="22"/>
          <w:lang w:val="sr-Latn-RS"/>
        </w:rPr>
        <w:t>Neupotrijebljeni lijek se uništava u skladu sa važećim propisima.</w:t>
      </w:r>
    </w:p>
    <w:p w14:paraId="65A9C8E3" w14:textId="77777777" w:rsidR="00877C76" w:rsidRPr="0080626B" w:rsidRDefault="00877C76">
      <w:pPr>
        <w:widowControl w:val="0"/>
        <w:rPr>
          <w:szCs w:val="22"/>
          <w:lang w:val="sr-Latn-RS"/>
        </w:rPr>
      </w:pPr>
    </w:p>
    <w:p w14:paraId="3D8CA267" w14:textId="77777777" w:rsidR="00877C76" w:rsidRPr="0080626B" w:rsidRDefault="00877C76">
      <w:pPr>
        <w:widowControl w:val="0"/>
        <w:rPr>
          <w:szCs w:val="22"/>
          <w:lang w:val="sr-Latn-RS"/>
        </w:rPr>
      </w:pPr>
    </w:p>
    <w:p w14:paraId="573F1F82" w14:textId="77777777" w:rsidR="00877C76" w:rsidRPr="0080626B" w:rsidRDefault="00E90AF4">
      <w:pPr>
        <w:widowControl w:val="0"/>
        <w:ind w:left="567" w:hanging="567"/>
        <w:rPr>
          <w:szCs w:val="22"/>
          <w:lang w:val="sr-Latn-RS"/>
        </w:rPr>
      </w:pPr>
      <w:r w:rsidRPr="0080626B">
        <w:rPr>
          <w:b/>
          <w:szCs w:val="22"/>
          <w:lang w:val="sr-Latn-RS"/>
        </w:rPr>
        <w:t>7.</w:t>
      </w:r>
      <w:r w:rsidRPr="0080626B">
        <w:rPr>
          <w:b/>
          <w:szCs w:val="22"/>
          <w:lang w:val="sr-Latn-RS"/>
        </w:rPr>
        <w:tab/>
        <w:t>NOSILAC DOZVOLE</w:t>
      </w:r>
    </w:p>
    <w:p w14:paraId="2BA8B31E" w14:textId="77777777" w:rsidR="00877C76" w:rsidRPr="0080626B" w:rsidRDefault="00877C76">
      <w:pPr>
        <w:widowControl w:val="0"/>
        <w:rPr>
          <w:szCs w:val="22"/>
          <w:highlight w:val="yellow"/>
          <w:lang w:val="sr-Latn-RS"/>
        </w:rPr>
      </w:pPr>
    </w:p>
    <w:p w14:paraId="01EC472A" w14:textId="77777777" w:rsidR="00877C76" w:rsidRPr="0080626B" w:rsidRDefault="00E90AF4">
      <w:pPr>
        <w:autoSpaceDE w:val="0"/>
        <w:autoSpaceDN w:val="0"/>
        <w:adjustRightInd w:val="0"/>
        <w:ind w:left="1985" w:hanging="1985"/>
        <w:jc w:val="both"/>
        <w:rPr>
          <w:szCs w:val="22"/>
          <w:lang w:val="sr-Latn-RS"/>
        </w:rPr>
      </w:pPr>
      <w:r w:rsidRPr="0080626B">
        <w:rPr>
          <w:szCs w:val="22"/>
          <w:lang w:val="sr-Latn-RS"/>
        </w:rPr>
        <w:t>D.S.D. „KRKA, d.d., Novo mesto“ - predstavništvo Podgorica</w:t>
      </w:r>
    </w:p>
    <w:p w14:paraId="6072D1C0" w14:textId="77777777" w:rsidR="00877C76" w:rsidRPr="0080626B" w:rsidRDefault="00E90AF4">
      <w:pPr>
        <w:autoSpaceDE w:val="0"/>
        <w:autoSpaceDN w:val="0"/>
        <w:adjustRightInd w:val="0"/>
        <w:ind w:right="71"/>
        <w:rPr>
          <w:szCs w:val="22"/>
          <w:lang w:val="sr-Latn-RS"/>
        </w:rPr>
      </w:pPr>
      <w:r w:rsidRPr="0080626B">
        <w:rPr>
          <w:szCs w:val="22"/>
          <w:lang w:val="sr-Latn-RS"/>
        </w:rPr>
        <w:t>Svetlane Kane Radević br. 3, 81000 Podgorica, Crna Gora</w:t>
      </w:r>
    </w:p>
    <w:p w14:paraId="2FE59522" w14:textId="77777777" w:rsidR="00877C76" w:rsidRPr="0080626B" w:rsidRDefault="00877C76">
      <w:pPr>
        <w:widowControl w:val="0"/>
        <w:rPr>
          <w:szCs w:val="22"/>
          <w:lang w:val="sr-Latn-RS"/>
        </w:rPr>
      </w:pPr>
    </w:p>
    <w:p w14:paraId="159716CA" w14:textId="77777777" w:rsidR="00877C76" w:rsidRPr="0080626B" w:rsidRDefault="00877C76">
      <w:pPr>
        <w:widowControl w:val="0"/>
        <w:rPr>
          <w:szCs w:val="22"/>
          <w:lang w:val="sr-Latn-RS"/>
        </w:rPr>
      </w:pPr>
    </w:p>
    <w:p w14:paraId="60520A43" w14:textId="77777777" w:rsidR="00877C76" w:rsidRPr="0080626B" w:rsidRDefault="00E90AF4">
      <w:pPr>
        <w:widowControl w:val="0"/>
        <w:ind w:left="567" w:hanging="567"/>
        <w:rPr>
          <w:b/>
          <w:szCs w:val="22"/>
          <w:lang w:val="sr-Latn-RS"/>
        </w:rPr>
      </w:pPr>
      <w:r w:rsidRPr="0080626B">
        <w:rPr>
          <w:b/>
          <w:szCs w:val="22"/>
          <w:lang w:val="sr-Latn-RS"/>
        </w:rPr>
        <w:t>8.</w:t>
      </w:r>
      <w:r w:rsidRPr="0080626B">
        <w:rPr>
          <w:b/>
          <w:szCs w:val="22"/>
          <w:lang w:val="sr-Latn-RS"/>
        </w:rPr>
        <w:tab/>
      </w:r>
      <w:r w:rsidRPr="0080626B">
        <w:rPr>
          <w:b/>
          <w:bCs/>
          <w:szCs w:val="22"/>
          <w:lang w:val="sr-Latn-RS"/>
        </w:rPr>
        <w:t>BROJ DOZVOLE ZA STAVLJANJE LIJEKA U PROMET</w:t>
      </w:r>
    </w:p>
    <w:p w14:paraId="4660A619" w14:textId="77777777" w:rsidR="00877C76" w:rsidRPr="0080626B" w:rsidRDefault="00877C76">
      <w:pPr>
        <w:widowControl w:val="0"/>
        <w:rPr>
          <w:szCs w:val="22"/>
          <w:lang w:val="sr-Latn-RS"/>
        </w:rPr>
      </w:pPr>
    </w:p>
    <w:p w14:paraId="04D0ED4B" w14:textId="6D190CA6" w:rsidR="00877C76" w:rsidRPr="0080626B" w:rsidRDefault="00E90AF4">
      <w:pPr>
        <w:widowControl w:val="0"/>
        <w:rPr>
          <w:szCs w:val="22"/>
          <w:lang w:val="sr-Latn-RS"/>
        </w:rPr>
      </w:pPr>
      <w:r w:rsidRPr="0080626B">
        <w:rPr>
          <w:szCs w:val="22"/>
          <w:lang w:val="sr-Latn-RS"/>
        </w:rPr>
        <w:t>Furocef, film tableta, 250</w:t>
      </w:r>
      <w:r w:rsidR="00685571" w:rsidRPr="0080626B">
        <w:rPr>
          <w:szCs w:val="22"/>
          <w:lang w:val="sr-Latn-RS"/>
        </w:rPr>
        <w:t xml:space="preserve"> </w:t>
      </w:r>
      <w:r w:rsidRPr="0080626B">
        <w:rPr>
          <w:szCs w:val="22"/>
          <w:lang w:val="sr-Latn-RS"/>
        </w:rPr>
        <w:t xml:space="preserve">mg, blister, 10 (1x10) film tableta: </w:t>
      </w:r>
      <w:r w:rsidR="009A37AB" w:rsidRPr="0080626B">
        <w:rPr>
          <w:rFonts w:eastAsia="SimSun"/>
          <w:szCs w:val="22"/>
          <w:lang w:val="sr-Latn-RS"/>
        </w:rPr>
        <w:t>2030/25/2951 - 3566</w:t>
      </w:r>
    </w:p>
    <w:p w14:paraId="5E2C1269" w14:textId="1108667F" w:rsidR="00877C76" w:rsidRPr="0080626B" w:rsidRDefault="00E90AF4">
      <w:pPr>
        <w:widowControl w:val="0"/>
        <w:rPr>
          <w:szCs w:val="22"/>
          <w:lang w:val="sr-Latn-RS"/>
        </w:rPr>
      </w:pPr>
      <w:r w:rsidRPr="0080626B">
        <w:rPr>
          <w:szCs w:val="22"/>
          <w:lang w:val="sr-Latn-RS"/>
        </w:rPr>
        <w:t>Furocef, film tableta, 250</w:t>
      </w:r>
      <w:r w:rsidR="00685571" w:rsidRPr="0080626B">
        <w:rPr>
          <w:szCs w:val="22"/>
          <w:lang w:val="sr-Latn-RS"/>
        </w:rPr>
        <w:t xml:space="preserve"> </w:t>
      </w:r>
      <w:r w:rsidRPr="0080626B">
        <w:rPr>
          <w:szCs w:val="22"/>
          <w:lang w:val="sr-Latn-RS"/>
        </w:rPr>
        <w:t xml:space="preserve">mg, blister, 14 (2x7) film tableta: </w:t>
      </w:r>
      <w:r w:rsidR="009A37AB" w:rsidRPr="0080626B">
        <w:rPr>
          <w:rFonts w:eastAsia="SimSun"/>
          <w:szCs w:val="22"/>
          <w:lang w:val="sr-Latn-RS"/>
        </w:rPr>
        <w:t>2030/25/2952 - 3567</w:t>
      </w:r>
    </w:p>
    <w:p w14:paraId="5BCB40E0" w14:textId="4FD51314" w:rsidR="00877C76" w:rsidRPr="0080626B" w:rsidRDefault="00E90AF4">
      <w:pPr>
        <w:widowControl w:val="0"/>
        <w:rPr>
          <w:szCs w:val="22"/>
          <w:lang w:val="sr-Latn-RS"/>
        </w:rPr>
      </w:pPr>
      <w:r w:rsidRPr="0080626B">
        <w:rPr>
          <w:szCs w:val="22"/>
          <w:lang w:val="sr-Latn-RS"/>
        </w:rPr>
        <w:t>Furocef, film tableta, 500</w:t>
      </w:r>
      <w:r w:rsidR="00685571" w:rsidRPr="0080626B">
        <w:rPr>
          <w:szCs w:val="22"/>
          <w:lang w:val="sr-Latn-RS"/>
        </w:rPr>
        <w:t xml:space="preserve"> </w:t>
      </w:r>
      <w:r w:rsidRPr="0080626B">
        <w:rPr>
          <w:szCs w:val="22"/>
          <w:lang w:val="sr-Latn-RS"/>
        </w:rPr>
        <w:t xml:space="preserve">mg, blister, 10 (1x10) film tableta: </w:t>
      </w:r>
      <w:r w:rsidR="009A37AB" w:rsidRPr="0080626B">
        <w:rPr>
          <w:rFonts w:eastAsia="SimSun"/>
          <w:szCs w:val="22"/>
          <w:lang w:val="sr-Latn-RS"/>
        </w:rPr>
        <w:t>2030/25/2953 - 3568</w:t>
      </w:r>
    </w:p>
    <w:p w14:paraId="1F84BF72" w14:textId="5C4B8C18" w:rsidR="00877C76" w:rsidRPr="0080626B" w:rsidRDefault="00E90AF4">
      <w:pPr>
        <w:widowControl w:val="0"/>
        <w:rPr>
          <w:szCs w:val="22"/>
          <w:lang w:val="sr-Latn-RS"/>
        </w:rPr>
      </w:pPr>
      <w:r w:rsidRPr="0080626B">
        <w:rPr>
          <w:szCs w:val="22"/>
          <w:lang w:val="sr-Latn-RS"/>
        </w:rPr>
        <w:t>Furocef, film tableta, 500</w:t>
      </w:r>
      <w:r w:rsidR="00685571" w:rsidRPr="0080626B">
        <w:rPr>
          <w:szCs w:val="22"/>
          <w:lang w:val="sr-Latn-RS"/>
        </w:rPr>
        <w:t xml:space="preserve"> </w:t>
      </w:r>
      <w:r w:rsidRPr="0080626B">
        <w:rPr>
          <w:szCs w:val="22"/>
          <w:lang w:val="sr-Latn-RS"/>
        </w:rPr>
        <w:t xml:space="preserve">mg, blister, 14 (2x7) film tableta: </w:t>
      </w:r>
      <w:r w:rsidR="009A37AB" w:rsidRPr="0080626B">
        <w:rPr>
          <w:rFonts w:eastAsia="SimSun"/>
          <w:szCs w:val="22"/>
          <w:lang w:val="sr-Latn-RS"/>
        </w:rPr>
        <w:t>2030/25/2954 - 3569</w:t>
      </w:r>
      <w:bookmarkStart w:id="0" w:name="_GoBack"/>
      <w:bookmarkEnd w:id="0"/>
    </w:p>
    <w:p w14:paraId="42B14BBC" w14:textId="4903C629" w:rsidR="00877C76" w:rsidRPr="0080626B" w:rsidRDefault="00877C76">
      <w:pPr>
        <w:widowControl w:val="0"/>
        <w:rPr>
          <w:szCs w:val="22"/>
          <w:lang w:val="sr-Latn-RS"/>
        </w:rPr>
      </w:pPr>
    </w:p>
    <w:p w14:paraId="30D5EA56" w14:textId="77777777" w:rsidR="0041152F" w:rsidRPr="0080626B" w:rsidRDefault="0041152F">
      <w:pPr>
        <w:widowControl w:val="0"/>
        <w:rPr>
          <w:szCs w:val="22"/>
          <w:lang w:val="sr-Latn-RS"/>
        </w:rPr>
      </w:pPr>
    </w:p>
    <w:p w14:paraId="26B3448A" w14:textId="339B6693" w:rsidR="00877C76" w:rsidRPr="0080626B" w:rsidRDefault="00E90AF4">
      <w:pPr>
        <w:tabs>
          <w:tab w:val="clear" w:pos="567"/>
          <w:tab w:val="left" w:pos="540"/>
          <w:tab w:val="left" w:pos="569"/>
        </w:tabs>
        <w:rPr>
          <w:b/>
          <w:bCs/>
          <w:szCs w:val="22"/>
          <w:lang w:val="sr-Latn-RS"/>
        </w:rPr>
      </w:pPr>
      <w:r w:rsidRPr="0080626B">
        <w:rPr>
          <w:b/>
          <w:szCs w:val="22"/>
          <w:lang w:val="sr-Latn-RS"/>
        </w:rPr>
        <w:t>9.</w:t>
      </w:r>
      <w:r w:rsidRPr="0080626B">
        <w:rPr>
          <w:b/>
          <w:szCs w:val="22"/>
          <w:lang w:val="sr-Latn-RS"/>
        </w:rPr>
        <w:tab/>
      </w:r>
      <w:r w:rsidRPr="0080626B">
        <w:rPr>
          <w:b/>
          <w:bCs/>
          <w:szCs w:val="22"/>
          <w:lang w:val="sr-Latn-RS"/>
        </w:rPr>
        <w:t>DATUM PRVE DOZVOLE/OBNOVE DOZVOLE ZA STAVLJANJE LIJEKA U PROMET</w:t>
      </w:r>
    </w:p>
    <w:p w14:paraId="6BBAF1F0" w14:textId="0A975EEE" w:rsidR="0041152F" w:rsidRPr="0080626B" w:rsidRDefault="0041152F">
      <w:pPr>
        <w:tabs>
          <w:tab w:val="clear" w:pos="567"/>
          <w:tab w:val="left" w:pos="540"/>
          <w:tab w:val="left" w:pos="569"/>
        </w:tabs>
        <w:rPr>
          <w:b/>
          <w:bCs/>
          <w:szCs w:val="22"/>
          <w:lang w:val="sr-Latn-RS"/>
        </w:rPr>
      </w:pPr>
    </w:p>
    <w:p w14:paraId="73723DE7" w14:textId="38653992" w:rsidR="0041152F" w:rsidRPr="0080626B" w:rsidRDefault="0041152F" w:rsidP="0041152F">
      <w:pPr>
        <w:pStyle w:val="Header"/>
        <w:tabs>
          <w:tab w:val="left" w:pos="284"/>
        </w:tabs>
        <w:rPr>
          <w:rFonts w:ascii="Times New Roman" w:hAnsi="Times New Roman"/>
          <w:noProof/>
          <w:sz w:val="22"/>
          <w:szCs w:val="22"/>
          <w:lang w:val="sr-Latn-RS"/>
        </w:rPr>
      </w:pPr>
      <w:r w:rsidRPr="0080626B">
        <w:rPr>
          <w:rFonts w:ascii="Times New Roman" w:hAnsi="Times New Roman"/>
          <w:bCs/>
          <w:sz w:val="22"/>
          <w:szCs w:val="22"/>
          <w:lang w:val="sr-Latn-RS"/>
        </w:rPr>
        <w:t xml:space="preserve">Datum prve dozvole: </w:t>
      </w:r>
      <w:r w:rsidR="009A37AB" w:rsidRPr="0080626B">
        <w:rPr>
          <w:rFonts w:ascii="Times New Roman" w:hAnsi="Times New Roman"/>
          <w:bCs/>
          <w:sz w:val="22"/>
          <w:szCs w:val="22"/>
          <w:lang w:val="sr-Latn-RS"/>
        </w:rPr>
        <w:t>21.02.2019. godine</w:t>
      </w:r>
    </w:p>
    <w:p w14:paraId="6C218F40" w14:textId="132705E0" w:rsidR="0041152F" w:rsidRPr="0080626B" w:rsidRDefault="0041152F" w:rsidP="0041152F">
      <w:pPr>
        <w:tabs>
          <w:tab w:val="clear" w:pos="567"/>
          <w:tab w:val="left" w:pos="540"/>
          <w:tab w:val="left" w:pos="569"/>
        </w:tabs>
        <w:rPr>
          <w:b/>
          <w:bCs/>
          <w:szCs w:val="22"/>
          <w:lang w:val="sr-Latn-RS"/>
        </w:rPr>
      </w:pPr>
      <w:r w:rsidRPr="0080626B">
        <w:rPr>
          <w:bCs/>
          <w:szCs w:val="22"/>
          <w:lang w:val="sr-Latn-RS"/>
        </w:rPr>
        <w:t xml:space="preserve">Datum posljednje obnove dozvole: </w:t>
      </w:r>
      <w:r w:rsidRPr="0080626B">
        <w:rPr>
          <w:szCs w:val="22"/>
          <w:lang w:val="sr-Latn-RS"/>
        </w:rPr>
        <w:t>19.08.2025. godine</w:t>
      </w:r>
    </w:p>
    <w:p w14:paraId="4659226C" w14:textId="77777777" w:rsidR="00877C76" w:rsidRPr="0080626B" w:rsidRDefault="00877C76">
      <w:pPr>
        <w:widowControl w:val="0"/>
        <w:rPr>
          <w:szCs w:val="22"/>
          <w:lang w:val="sr-Latn-RS"/>
        </w:rPr>
      </w:pPr>
    </w:p>
    <w:p w14:paraId="120A376E" w14:textId="77777777" w:rsidR="00877C76" w:rsidRPr="0080626B" w:rsidRDefault="00877C76">
      <w:pPr>
        <w:widowControl w:val="0"/>
        <w:rPr>
          <w:szCs w:val="22"/>
          <w:lang w:val="sr-Latn-RS"/>
        </w:rPr>
      </w:pPr>
    </w:p>
    <w:p w14:paraId="2CFD3EF8" w14:textId="2843265F" w:rsidR="00877C76" w:rsidRPr="0080626B" w:rsidRDefault="00E90AF4">
      <w:pPr>
        <w:widowControl w:val="0"/>
        <w:ind w:left="567" w:hanging="567"/>
        <w:rPr>
          <w:b/>
          <w:bCs/>
          <w:szCs w:val="22"/>
          <w:lang w:val="sr-Latn-RS"/>
        </w:rPr>
      </w:pPr>
      <w:r w:rsidRPr="0080626B">
        <w:rPr>
          <w:b/>
          <w:szCs w:val="22"/>
          <w:lang w:val="sr-Latn-RS"/>
        </w:rPr>
        <w:t>10.</w:t>
      </w:r>
      <w:r w:rsidRPr="0080626B">
        <w:rPr>
          <w:b/>
          <w:szCs w:val="22"/>
          <w:lang w:val="sr-Latn-RS"/>
        </w:rPr>
        <w:tab/>
      </w:r>
      <w:r w:rsidRPr="0080626B">
        <w:rPr>
          <w:b/>
          <w:bCs/>
          <w:szCs w:val="22"/>
          <w:lang w:val="sr-Latn-RS"/>
        </w:rPr>
        <w:t xml:space="preserve">DATUM REVIZIJE TEKSTA </w:t>
      </w:r>
    </w:p>
    <w:p w14:paraId="3323DB83" w14:textId="4948096F" w:rsidR="0041152F" w:rsidRPr="0080626B" w:rsidRDefault="0041152F">
      <w:pPr>
        <w:widowControl w:val="0"/>
        <w:ind w:left="567" w:hanging="567"/>
        <w:rPr>
          <w:b/>
          <w:bCs/>
          <w:szCs w:val="22"/>
          <w:lang w:val="sr-Latn-RS"/>
        </w:rPr>
      </w:pPr>
    </w:p>
    <w:p w14:paraId="6B9EB818" w14:textId="7DDED896" w:rsidR="0041152F" w:rsidRPr="0080626B" w:rsidRDefault="0041152F">
      <w:pPr>
        <w:widowControl w:val="0"/>
        <w:ind w:left="567" w:hanging="567"/>
        <w:rPr>
          <w:szCs w:val="22"/>
          <w:lang w:val="sr-Latn-RS"/>
        </w:rPr>
      </w:pPr>
      <w:r w:rsidRPr="0080626B">
        <w:rPr>
          <w:bCs/>
          <w:szCs w:val="22"/>
          <w:lang w:val="sr-Latn-RS"/>
        </w:rPr>
        <w:t>Avgust, 2025. godine</w:t>
      </w:r>
    </w:p>
    <w:p w14:paraId="0A6578ED" w14:textId="77777777" w:rsidR="00877C76" w:rsidRPr="0080626B" w:rsidRDefault="00877C76">
      <w:pPr>
        <w:widowControl w:val="0"/>
        <w:autoSpaceDE w:val="0"/>
        <w:autoSpaceDN w:val="0"/>
        <w:adjustRightInd w:val="0"/>
        <w:rPr>
          <w:iCs/>
          <w:szCs w:val="22"/>
          <w:lang w:val="sr-Latn-RS"/>
        </w:rPr>
      </w:pPr>
    </w:p>
    <w:p w14:paraId="42446759" w14:textId="77777777" w:rsidR="00877C76" w:rsidRPr="0080626B" w:rsidRDefault="00877C76">
      <w:pPr>
        <w:rPr>
          <w:szCs w:val="22"/>
          <w:lang w:val="sr-Latn-RS"/>
        </w:rPr>
      </w:pPr>
    </w:p>
    <w:sectPr w:rsidR="00877C76" w:rsidRPr="0080626B" w:rsidSect="00137084">
      <w:footerReference w:type="default" r:id="rId11"/>
      <w:footerReference w:type="first" r:id="rId12"/>
      <w:endnotePr>
        <w:numFmt w:val="decimal"/>
      </w:endnotePr>
      <w:pgSz w:w="11907" w:h="16840" w:code="9"/>
      <w:pgMar w:top="1138" w:right="1411" w:bottom="1138" w:left="1418" w:header="734"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8DB57" w14:textId="77777777" w:rsidR="002D70B6" w:rsidRDefault="002D70B6">
      <w:pPr>
        <w:spacing w:line="240" w:lineRule="auto"/>
      </w:pPr>
      <w:r>
        <w:separator/>
      </w:r>
    </w:p>
  </w:endnote>
  <w:endnote w:type="continuationSeparator" w:id="0">
    <w:p w14:paraId="741F26DF" w14:textId="77777777" w:rsidR="002D70B6" w:rsidRDefault="002D7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8250A" w14:textId="0968488B" w:rsidR="00AC7688" w:rsidRPr="00137084" w:rsidRDefault="00AC7688">
    <w:pPr>
      <w:pStyle w:val="Footer"/>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137084">
      <w:rPr>
        <w:rStyle w:val="PageNumber"/>
        <w:rFonts w:ascii="Times New Roman" w:hAnsi="Times New Roman"/>
        <w:sz w:val="22"/>
        <w:szCs w:val="22"/>
      </w:rPr>
      <w:fldChar w:fldCharType="begin"/>
    </w:r>
    <w:r w:rsidRPr="00137084">
      <w:rPr>
        <w:rStyle w:val="PageNumber"/>
        <w:rFonts w:ascii="Times New Roman" w:hAnsi="Times New Roman"/>
        <w:sz w:val="22"/>
        <w:szCs w:val="22"/>
      </w:rPr>
      <w:instrText xml:space="preserve">PAGE  </w:instrText>
    </w:r>
    <w:r w:rsidRPr="00137084">
      <w:rPr>
        <w:rStyle w:val="PageNumber"/>
        <w:rFonts w:ascii="Times New Roman" w:hAnsi="Times New Roman"/>
        <w:sz w:val="22"/>
        <w:szCs w:val="22"/>
      </w:rPr>
      <w:fldChar w:fldCharType="separate"/>
    </w:r>
    <w:r w:rsidR="0080626B">
      <w:rPr>
        <w:rStyle w:val="PageNumber"/>
        <w:rFonts w:ascii="Times New Roman" w:hAnsi="Times New Roman"/>
        <w:sz w:val="22"/>
        <w:szCs w:val="22"/>
      </w:rPr>
      <w:t>10</w:t>
    </w:r>
    <w:r w:rsidRPr="00137084">
      <w:rPr>
        <w:rStyle w:val="PageNumber"/>
        <w:rFonts w:ascii="Times New Roman" w:hAnsi="Times New Roman"/>
        <w:sz w:val="22"/>
        <w:szCs w:val="22"/>
      </w:rPr>
      <w:fldChar w:fldCharType="end"/>
    </w:r>
    <w:r w:rsidRPr="00137084">
      <w:rPr>
        <w:rStyle w:val="PageNumber"/>
        <w:rFonts w:ascii="Times New Roman" w:hAnsi="Times New Roman"/>
        <w:sz w:val="22"/>
        <w:szCs w:val="22"/>
      </w:rPr>
      <w:t xml:space="preserve"> / 11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A866E" w14:textId="77777777" w:rsidR="00AC7688" w:rsidRPr="00137084" w:rsidRDefault="00AC7688">
    <w:pPr>
      <w:pStyle w:val="Footer"/>
      <w:tabs>
        <w:tab w:val="right" w:pos="8931"/>
      </w:tabs>
      <w:ind w:right="96"/>
      <w:jc w:val="center"/>
      <w:rPr>
        <w:rFonts w:ascii="Times New Roman" w:hAnsi="Times New Roman"/>
        <w:sz w:val="22"/>
        <w:szCs w:val="22"/>
      </w:rPr>
    </w:pPr>
    <w:r w:rsidRPr="00137084">
      <w:rPr>
        <w:rFonts w:ascii="Times New Roman" w:hAnsi="Times New Roman"/>
        <w:sz w:val="22"/>
        <w:szCs w:val="22"/>
      </w:rPr>
      <w:t xml:space="preserve">1 / </w:t>
    </w:r>
    <w:r w:rsidRPr="00137084">
      <w:rPr>
        <w:rFonts w:ascii="Times New Roman" w:hAnsi="Times New Roman"/>
        <w:sz w:val="22"/>
        <w:szCs w:val="22"/>
      </w:rPr>
      <w:fldChar w:fldCharType="begin"/>
    </w:r>
    <w:r w:rsidRPr="00137084">
      <w:rPr>
        <w:rFonts w:ascii="Times New Roman" w:hAnsi="Times New Roman"/>
        <w:sz w:val="22"/>
        <w:szCs w:val="22"/>
      </w:rPr>
      <w:instrText xml:space="preserve"> EQ </w:instrText>
    </w:r>
    <w:r w:rsidRPr="00137084">
      <w:rPr>
        <w:rFonts w:ascii="Times New Roman" w:hAnsi="Times New Roman"/>
        <w:sz w:val="22"/>
        <w:szCs w:val="22"/>
      </w:rPr>
      <w:fldChar w:fldCharType="end"/>
    </w:r>
    <w:r w:rsidRPr="00137084">
      <w:rPr>
        <w:rFonts w:ascii="Times New Roman" w:hAnsi="Times New Roman"/>
        <w:sz w:val="22"/>
        <w:szCs w:val="22"/>
      </w:rPr>
      <w:t>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D9B06" w14:textId="77777777" w:rsidR="002D70B6" w:rsidRDefault="002D70B6">
      <w:pPr>
        <w:spacing w:line="240" w:lineRule="auto"/>
      </w:pPr>
      <w:r>
        <w:separator/>
      </w:r>
    </w:p>
  </w:footnote>
  <w:footnote w:type="continuationSeparator" w:id="0">
    <w:p w14:paraId="70AC3C78" w14:textId="77777777" w:rsidR="002D70B6" w:rsidRDefault="002D70B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7976AE"/>
    <w:multiLevelType w:val="hybridMultilevel"/>
    <w:tmpl w:val="A7B8CCCC"/>
    <w:lvl w:ilvl="0" w:tplc="66E61FA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401DF"/>
    <w:multiLevelType w:val="hybridMultilevel"/>
    <w:tmpl w:val="DF80AD18"/>
    <w:lvl w:ilvl="0" w:tplc="8FB22532">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4"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7"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D47094A"/>
    <w:multiLevelType w:val="hybridMultilevel"/>
    <w:tmpl w:val="F5C05F96"/>
    <w:lvl w:ilvl="0" w:tplc="8FB2253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1"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5"/>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6"/>
  </w:num>
  <w:num w:numId="6">
    <w:abstractNumId w:val="13"/>
  </w:num>
  <w:num w:numId="7">
    <w:abstractNumId w:val="8"/>
  </w:num>
  <w:num w:numId="8">
    <w:abstractNumId w:val="10"/>
  </w:num>
  <w:num w:numId="9">
    <w:abstractNumId w:val="22"/>
  </w:num>
  <w:num w:numId="10">
    <w:abstractNumId w:val="1"/>
  </w:num>
  <w:num w:numId="11">
    <w:abstractNumId w:val="18"/>
  </w:num>
  <w:num w:numId="12">
    <w:abstractNumId w:val="9"/>
  </w:num>
  <w:num w:numId="13">
    <w:abstractNumId w:val="6"/>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20"/>
  </w:num>
  <w:num w:numId="17">
    <w:abstractNumId w:val="11"/>
  </w:num>
  <w:num w:numId="18">
    <w:abstractNumId w:val="12"/>
  </w:num>
  <w:num w:numId="19">
    <w:abstractNumId w:val="23"/>
  </w:num>
  <w:num w:numId="20">
    <w:abstractNumId w:val="14"/>
  </w:num>
  <w:num w:numId="21">
    <w:abstractNumId w:val="21"/>
  </w:num>
  <w:num w:numId="22">
    <w:abstractNumId w:val="17"/>
  </w:num>
  <w:num w:numId="23">
    <w:abstractNumId w:val="7"/>
  </w:num>
  <w:num w:numId="24">
    <w:abstractNumId w:val="21"/>
  </w:num>
  <w:num w:numId="25">
    <w:abstractNumId w:val="3"/>
  </w:num>
  <w:num w:numId="26">
    <w:abstractNumId w:val="19"/>
  </w:num>
  <w:num w:numId="27">
    <w:abstractNumId w:val="5"/>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77C76"/>
    <w:rsid w:val="00023581"/>
    <w:rsid w:val="00052C3E"/>
    <w:rsid w:val="00055BCB"/>
    <w:rsid w:val="000964D1"/>
    <w:rsid w:val="000E3EC8"/>
    <w:rsid w:val="00137084"/>
    <w:rsid w:val="001A7D06"/>
    <w:rsid w:val="002702D3"/>
    <w:rsid w:val="002D70B6"/>
    <w:rsid w:val="00327F32"/>
    <w:rsid w:val="00382EF3"/>
    <w:rsid w:val="003E22BC"/>
    <w:rsid w:val="003F40F0"/>
    <w:rsid w:val="0041152F"/>
    <w:rsid w:val="00517273"/>
    <w:rsid w:val="00592350"/>
    <w:rsid w:val="00597EA1"/>
    <w:rsid w:val="00627A55"/>
    <w:rsid w:val="00647FCA"/>
    <w:rsid w:val="00685571"/>
    <w:rsid w:val="00694DF2"/>
    <w:rsid w:val="006A4DA0"/>
    <w:rsid w:val="006E7B3C"/>
    <w:rsid w:val="0080626B"/>
    <w:rsid w:val="0083508F"/>
    <w:rsid w:val="00877C76"/>
    <w:rsid w:val="009323C1"/>
    <w:rsid w:val="009436C0"/>
    <w:rsid w:val="0094770F"/>
    <w:rsid w:val="009737E3"/>
    <w:rsid w:val="009853E8"/>
    <w:rsid w:val="009A3531"/>
    <w:rsid w:val="009A37AB"/>
    <w:rsid w:val="009C0FF0"/>
    <w:rsid w:val="009D320B"/>
    <w:rsid w:val="009F4DC4"/>
    <w:rsid w:val="00A30A8B"/>
    <w:rsid w:val="00AC3032"/>
    <w:rsid w:val="00AC7688"/>
    <w:rsid w:val="00BA18F6"/>
    <w:rsid w:val="00BB699A"/>
    <w:rsid w:val="00C0313B"/>
    <w:rsid w:val="00C1098B"/>
    <w:rsid w:val="00C40C37"/>
    <w:rsid w:val="00CE289E"/>
    <w:rsid w:val="00CF030D"/>
    <w:rsid w:val="00D6019D"/>
    <w:rsid w:val="00E10D9C"/>
    <w:rsid w:val="00E15303"/>
    <w:rsid w:val="00E5000B"/>
    <w:rsid w:val="00E51A54"/>
    <w:rsid w:val="00E90AF4"/>
    <w:rsid w:val="00F2250E"/>
    <w:rsid w:val="00FB2583"/>
    <w:rsid w:val="00FE2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9DE1B1"/>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customStyle="1" w:styleId="Default">
    <w:name w:val="Default"/>
    <w:pPr>
      <w:autoSpaceDE w:val="0"/>
      <w:autoSpaceDN w:val="0"/>
      <w:adjustRightInd w:val="0"/>
    </w:pPr>
    <w:rPr>
      <w:rFonts w:eastAsia="Times New Roman"/>
      <w:color w:val="000000"/>
      <w:sz w:val="24"/>
      <w:szCs w:val="24"/>
      <w:lang w:val="sl-SI" w:eastAsia="sl-SI"/>
    </w:rPr>
  </w:style>
  <w:style w:type="paragraph" w:styleId="NoSpacing">
    <w:name w:val="No Spacing"/>
    <w:uiPriority w:val="1"/>
    <w:qFormat/>
    <w:rPr>
      <w:rFonts w:eastAsia="Times New Roman"/>
      <w:sz w:val="24"/>
      <w:szCs w:val="24"/>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uiPriority w:val="99"/>
    <w:locked/>
    <w:rsid w:val="0041152F"/>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11</Pages>
  <Words>3955</Words>
  <Characters>22547</Characters>
  <Application>Microsoft Office Word</Application>
  <DocSecurity>0</DocSecurity>
  <Lines>187</Lines>
  <Paragraphs>52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Hqrdtemplateclean_en</vt:lpstr>
    </vt:vector>
  </TitlesOfParts>
  <Company/>
  <LinksUpToDate>false</LinksUpToDate>
  <CharactersWithSpaces>26450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 Čamdžić</dc:creator>
  <cp:lastModifiedBy>Olja Borozan</cp:lastModifiedBy>
  <cp:revision>7</cp:revision>
  <dcterms:created xsi:type="dcterms:W3CDTF">2025-07-23T06:24:00Z</dcterms:created>
  <dcterms:modified xsi:type="dcterms:W3CDTF">2025-08-19T11:21:00Z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