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3BE6" w14:textId="77777777" w:rsidR="00F91C7B" w:rsidRPr="007C19A2" w:rsidRDefault="00F91C7B" w:rsidP="001A5518">
      <w:pPr>
        <w:rPr>
          <w:b/>
          <w:bCs/>
          <w:i/>
          <w:iCs/>
          <w:sz w:val="22"/>
          <w:szCs w:val="22"/>
          <w:u w:val="single"/>
          <w:lang w:val="sr-Latn-ME"/>
        </w:rPr>
      </w:pPr>
    </w:p>
    <w:p w14:paraId="176A3BE7" w14:textId="77777777" w:rsidR="002510A5" w:rsidRPr="007C19A2" w:rsidRDefault="002510A5" w:rsidP="002510A5">
      <w:pPr>
        <w:jc w:val="center"/>
        <w:rPr>
          <w:b/>
          <w:bCs/>
          <w:iCs/>
          <w:sz w:val="22"/>
          <w:szCs w:val="22"/>
          <w:u w:val="single"/>
          <w:lang w:val="sr-Latn-ME"/>
        </w:rPr>
      </w:pPr>
      <w:r w:rsidRPr="007C19A2">
        <w:rPr>
          <w:b/>
          <w:bCs/>
          <w:iCs/>
          <w:sz w:val="22"/>
          <w:szCs w:val="22"/>
          <w:u w:val="single"/>
          <w:lang w:val="sr-Latn-ME"/>
        </w:rPr>
        <w:t>SAŽETAK KARAKTERISTIKA LIJEKA</w:t>
      </w:r>
    </w:p>
    <w:p w14:paraId="176A3BE8" w14:textId="77777777" w:rsidR="002510A5" w:rsidRPr="007C19A2" w:rsidRDefault="002510A5" w:rsidP="002510A5">
      <w:pPr>
        <w:rPr>
          <w:b/>
          <w:bCs/>
          <w:i/>
          <w:iCs/>
          <w:sz w:val="22"/>
          <w:szCs w:val="22"/>
          <w:u w:val="single"/>
          <w:lang w:val="sr-Latn-ME"/>
        </w:rPr>
      </w:pPr>
    </w:p>
    <w:p w14:paraId="176A3BEC" w14:textId="77777777" w:rsidR="00C37FD7" w:rsidRPr="007C19A2" w:rsidRDefault="00C37FD7" w:rsidP="00F5167F">
      <w:pPr>
        <w:tabs>
          <w:tab w:val="left" w:pos="540"/>
          <w:tab w:val="left" w:pos="569"/>
        </w:tabs>
        <w:rPr>
          <w:bCs/>
          <w:sz w:val="22"/>
          <w:szCs w:val="22"/>
          <w:lang w:val="sr-Latn-ME"/>
        </w:rPr>
      </w:pPr>
    </w:p>
    <w:p w14:paraId="176A3BED" w14:textId="77777777" w:rsidR="00411B4B" w:rsidRPr="007C19A2" w:rsidRDefault="00411B4B" w:rsidP="00F5167F">
      <w:pPr>
        <w:tabs>
          <w:tab w:val="left" w:pos="540"/>
          <w:tab w:val="left" w:pos="569"/>
        </w:tabs>
        <w:rPr>
          <w:b/>
          <w:bCs/>
          <w:sz w:val="22"/>
          <w:szCs w:val="22"/>
          <w:lang w:val="sr-Latn-ME"/>
        </w:rPr>
      </w:pPr>
      <w:r w:rsidRPr="007C19A2">
        <w:rPr>
          <w:b/>
          <w:bCs/>
          <w:sz w:val="22"/>
          <w:szCs w:val="22"/>
          <w:lang w:val="sr-Latn-ME"/>
        </w:rPr>
        <w:t>1.</w:t>
      </w:r>
      <w:r w:rsidR="00F5167F" w:rsidRPr="007C19A2">
        <w:rPr>
          <w:b/>
          <w:bCs/>
          <w:sz w:val="22"/>
          <w:szCs w:val="22"/>
          <w:lang w:val="sr-Latn-ME"/>
        </w:rPr>
        <w:tab/>
      </w:r>
      <w:r w:rsidR="002846DB" w:rsidRPr="007C19A2">
        <w:rPr>
          <w:b/>
          <w:bCs/>
          <w:sz w:val="22"/>
          <w:szCs w:val="22"/>
          <w:lang w:val="sr-Latn-ME"/>
        </w:rPr>
        <w:t xml:space="preserve">NAZIV </w:t>
      </w:r>
      <w:r w:rsidRPr="007C19A2">
        <w:rPr>
          <w:b/>
          <w:bCs/>
          <w:sz w:val="22"/>
          <w:szCs w:val="22"/>
          <w:lang w:val="sr-Latn-ME"/>
        </w:rPr>
        <w:t>LIJEKA</w:t>
      </w:r>
    </w:p>
    <w:p w14:paraId="176A3BEE" w14:textId="77777777" w:rsidR="00EC2532" w:rsidRPr="007C19A2" w:rsidRDefault="00EC2532">
      <w:pPr>
        <w:rPr>
          <w:sz w:val="22"/>
          <w:szCs w:val="22"/>
          <w:lang w:val="sr-Latn-ME"/>
        </w:rPr>
      </w:pPr>
    </w:p>
    <w:p w14:paraId="214D2C58" w14:textId="16E54CD3" w:rsidR="00B04E97" w:rsidRPr="007C19A2" w:rsidRDefault="00B04E97" w:rsidP="00B04E97">
      <w:pPr>
        <w:jc w:val="both"/>
        <w:rPr>
          <w:sz w:val="22"/>
          <w:szCs w:val="22"/>
          <w:lang w:val="sr-Latn-ME"/>
        </w:rPr>
      </w:pPr>
      <w:r w:rsidRPr="007C19A2">
        <w:rPr>
          <w:sz w:val="22"/>
          <w:szCs w:val="22"/>
          <w:lang w:val="sr-Latn-ME"/>
        </w:rPr>
        <w:t xml:space="preserve">Akynzeo, </w:t>
      </w:r>
      <w:r w:rsidR="0050720A" w:rsidRPr="007C19A2">
        <w:rPr>
          <w:sz w:val="22"/>
          <w:szCs w:val="22"/>
          <w:lang w:val="sr-Latn-ME"/>
        </w:rPr>
        <w:t xml:space="preserve">0,5 mg + </w:t>
      </w:r>
      <w:r w:rsidRPr="007C19A2">
        <w:rPr>
          <w:sz w:val="22"/>
          <w:szCs w:val="22"/>
          <w:lang w:val="sr-Latn-ME"/>
        </w:rPr>
        <w:t>300 mg, kapsula, tvrda</w:t>
      </w:r>
    </w:p>
    <w:p w14:paraId="176A3BF0" w14:textId="77777777" w:rsidR="000D425A" w:rsidRPr="007C19A2" w:rsidRDefault="000D425A">
      <w:pPr>
        <w:rPr>
          <w:bCs/>
          <w:sz w:val="22"/>
          <w:szCs w:val="22"/>
          <w:lang w:val="sr-Latn-ME"/>
        </w:rPr>
      </w:pPr>
    </w:p>
    <w:p w14:paraId="176A3BF1" w14:textId="76461F45" w:rsidR="006D20A5" w:rsidRPr="007C19A2" w:rsidRDefault="006D20A5" w:rsidP="006D20A5">
      <w:pPr>
        <w:rPr>
          <w:sz w:val="22"/>
          <w:szCs w:val="22"/>
          <w:lang w:val="sr-Latn-ME"/>
        </w:rPr>
      </w:pPr>
      <w:r w:rsidRPr="007C19A2">
        <w:rPr>
          <w:sz w:val="22"/>
          <w:szCs w:val="22"/>
          <w:lang w:val="sr-Latn-ME"/>
        </w:rPr>
        <w:t>INN:</w:t>
      </w:r>
      <w:r w:rsidR="00B04E97" w:rsidRPr="007C19A2">
        <w:rPr>
          <w:sz w:val="22"/>
          <w:szCs w:val="22"/>
          <w:lang w:val="sr-Latn-ME"/>
        </w:rPr>
        <w:t xml:space="preserve"> </w:t>
      </w:r>
      <w:r w:rsidR="0050720A" w:rsidRPr="007C19A2">
        <w:rPr>
          <w:sz w:val="22"/>
          <w:szCs w:val="22"/>
          <w:lang w:val="sr-Latn-ME"/>
        </w:rPr>
        <w:t xml:space="preserve">palonosetron, </w:t>
      </w:r>
      <w:r w:rsidR="00B04E97" w:rsidRPr="007C19A2">
        <w:rPr>
          <w:sz w:val="22"/>
          <w:szCs w:val="22"/>
          <w:lang w:val="sr-Latn-ME"/>
        </w:rPr>
        <w:t>netupitant</w:t>
      </w:r>
    </w:p>
    <w:p w14:paraId="176A3BF2" w14:textId="77777777" w:rsidR="006D20A5" w:rsidRPr="007C19A2" w:rsidRDefault="006D20A5">
      <w:pPr>
        <w:rPr>
          <w:bCs/>
          <w:sz w:val="22"/>
          <w:szCs w:val="22"/>
          <w:lang w:val="sr-Latn-ME"/>
        </w:rPr>
      </w:pPr>
    </w:p>
    <w:p w14:paraId="176A3BF3" w14:textId="77777777" w:rsidR="00530BD7" w:rsidRPr="007C19A2" w:rsidRDefault="00530BD7">
      <w:pPr>
        <w:rPr>
          <w:bCs/>
          <w:sz w:val="22"/>
          <w:szCs w:val="22"/>
          <w:lang w:val="sr-Latn-ME"/>
        </w:rPr>
      </w:pPr>
    </w:p>
    <w:p w14:paraId="176A3BF4" w14:textId="77777777" w:rsidR="00411B4B" w:rsidRPr="007C19A2" w:rsidRDefault="00411B4B" w:rsidP="00F5167F">
      <w:pPr>
        <w:tabs>
          <w:tab w:val="left" w:pos="540"/>
          <w:tab w:val="left" w:pos="569"/>
        </w:tabs>
        <w:rPr>
          <w:b/>
          <w:bCs/>
          <w:sz w:val="22"/>
          <w:szCs w:val="22"/>
          <w:lang w:val="sr-Latn-ME"/>
        </w:rPr>
      </w:pPr>
      <w:r w:rsidRPr="007C19A2">
        <w:rPr>
          <w:b/>
          <w:bCs/>
          <w:sz w:val="22"/>
          <w:szCs w:val="22"/>
          <w:lang w:val="sr-Latn-ME"/>
        </w:rPr>
        <w:t xml:space="preserve">2. </w:t>
      </w:r>
      <w:r w:rsidR="00F5167F" w:rsidRPr="007C19A2">
        <w:rPr>
          <w:b/>
          <w:bCs/>
          <w:sz w:val="22"/>
          <w:szCs w:val="22"/>
          <w:lang w:val="sr-Latn-ME"/>
        </w:rPr>
        <w:tab/>
      </w:r>
      <w:r w:rsidRPr="007C19A2">
        <w:rPr>
          <w:b/>
          <w:bCs/>
          <w:sz w:val="22"/>
          <w:szCs w:val="22"/>
          <w:lang w:val="sr-Latn-ME"/>
        </w:rPr>
        <w:t>KVALITATIVNI I KVANTITATIVNI SASTAV</w:t>
      </w:r>
    </w:p>
    <w:p w14:paraId="176A3BF5" w14:textId="77777777" w:rsidR="005A0B2E" w:rsidRPr="007C19A2" w:rsidRDefault="005A0B2E">
      <w:pPr>
        <w:rPr>
          <w:sz w:val="22"/>
          <w:szCs w:val="22"/>
          <w:lang w:val="sr-Latn-ME"/>
        </w:rPr>
      </w:pPr>
    </w:p>
    <w:p w14:paraId="6389EC4C" w14:textId="5423C943" w:rsidR="00B04E97" w:rsidRPr="007C19A2" w:rsidRDefault="009464E5" w:rsidP="00B04E97">
      <w:pPr>
        <w:rPr>
          <w:sz w:val="22"/>
          <w:szCs w:val="22"/>
          <w:lang w:val="sr-Latn-ME"/>
        </w:rPr>
      </w:pPr>
      <w:r w:rsidRPr="007C19A2">
        <w:rPr>
          <w:sz w:val="22"/>
          <w:szCs w:val="22"/>
          <w:lang w:val="sr-Latn-ME"/>
        </w:rPr>
        <w:t>Jedna</w:t>
      </w:r>
      <w:r w:rsidR="00B04E97" w:rsidRPr="007C19A2">
        <w:rPr>
          <w:sz w:val="22"/>
          <w:szCs w:val="22"/>
          <w:lang w:val="sr-Latn-ME"/>
        </w:rPr>
        <w:t xml:space="preserve"> kapsula sadrži 0,5 mg palonosetrona </w:t>
      </w:r>
      <w:r w:rsidR="007C19A2">
        <w:rPr>
          <w:sz w:val="22"/>
          <w:szCs w:val="22"/>
          <w:lang w:val="sr-Latn-ME"/>
        </w:rPr>
        <w:t>(</w:t>
      </w:r>
      <w:r w:rsidR="00B04E97" w:rsidRPr="007C19A2">
        <w:rPr>
          <w:sz w:val="22"/>
          <w:szCs w:val="22"/>
          <w:lang w:val="sr-Latn-ME"/>
        </w:rPr>
        <w:t>u obliku palonosetron hidrohlorida</w:t>
      </w:r>
      <w:r w:rsidR="007C19A2">
        <w:rPr>
          <w:sz w:val="22"/>
          <w:szCs w:val="22"/>
          <w:lang w:val="sr-Latn-ME"/>
        </w:rPr>
        <w:t>)</w:t>
      </w:r>
      <w:r w:rsidRPr="007C19A2">
        <w:rPr>
          <w:sz w:val="22"/>
          <w:szCs w:val="22"/>
          <w:lang w:val="sr-Latn-ME"/>
        </w:rPr>
        <w:t xml:space="preserve"> i 300 mg netupitanta</w:t>
      </w:r>
      <w:r w:rsidR="00B04E97" w:rsidRPr="007C19A2">
        <w:rPr>
          <w:sz w:val="22"/>
          <w:szCs w:val="22"/>
          <w:lang w:val="sr-Latn-ME"/>
        </w:rPr>
        <w:t>.</w:t>
      </w:r>
    </w:p>
    <w:p w14:paraId="3D3B13D3" w14:textId="77777777" w:rsidR="00B04E97" w:rsidRPr="007C19A2" w:rsidRDefault="00B04E97" w:rsidP="00B04E97">
      <w:pPr>
        <w:rPr>
          <w:sz w:val="22"/>
          <w:szCs w:val="22"/>
          <w:lang w:val="sr-Latn-ME"/>
        </w:rPr>
      </w:pPr>
    </w:p>
    <w:p w14:paraId="1E7454EE" w14:textId="77777777" w:rsidR="00B04E97" w:rsidRPr="007C19A2" w:rsidRDefault="00B04E97" w:rsidP="00B04E97">
      <w:pPr>
        <w:rPr>
          <w:sz w:val="22"/>
          <w:szCs w:val="22"/>
          <w:lang w:val="sr-Latn-ME"/>
        </w:rPr>
      </w:pPr>
      <w:r w:rsidRPr="007C19A2">
        <w:rPr>
          <w:sz w:val="22"/>
          <w:szCs w:val="22"/>
          <w:lang w:val="sr-Latn-ME"/>
        </w:rPr>
        <w:t>Pomoćne supstance sa potvrđenim dejstvom:</w:t>
      </w:r>
    </w:p>
    <w:p w14:paraId="21ED3A39" w14:textId="375A8A24" w:rsidR="00B04E97" w:rsidRPr="007C19A2" w:rsidRDefault="009464E5" w:rsidP="00B04E97">
      <w:pPr>
        <w:rPr>
          <w:sz w:val="22"/>
          <w:szCs w:val="22"/>
          <w:lang w:val="sr-Latn-ME"/>
        </w:rPr>
      </w:pPr>
      <w:r w:rsidRPr="007C19A2">
        <w:rPr>
          <w:sz w:val="22"/>
          <w:szCs w:val="22"/>
          <w:lang w:val="sr-Latn-ME"/>
        </w:rPr>
        <w:t>Jedna</w:t>
      </w:r>
      <w:r w:rsidR="00B04E97" w:rsidRPr="007C19A2">
        <w:rPr>
          <w:sz w:val="22"/>
          <w:szCs w:val="22"/>
          <w:lang w:val="sr-Latn-ME"/>
        </w:rPr>
        <w:t xml:space="preserve"> kapsula sadrži 7 mg sorbitola </w:t>
      </w:r>
      <w:r w:rsidR="00666954" w:rsidRPr="007C19A2">
        <w:rPr>
          <w:sz w:val="22"/>
          <w:szCs w:val="22"/>
          <w:lang w:val="sr-Latn-ME"/>
        </w:rPr>
        <w:t xml:space="preserve">(E420) </w:t>
      </w:r>
      <w:r w:rsidR="00B04E97" w:rsidRPr="007C19A2">
        <w:rPr>
          <w:sz w:val="22"/>
          <w:szCs w:val="22"/>
          <w:lang w:val="sr-Latn-ME"/>
        </w:rPr>
        <w:t xml:space="preserve">i 20 mg saharoze. </w:t>
      </w:r>
    </w:p>
    <w:p w14:paraId="27EB578A" w14:textId="60B9EAAF" w:rsidR="00B04E97" w:rsidRPr="007C19A2" w:rsidRDefault="00666954">
      <w:pPr>
        <w:rPr>
          <w:sz w:val="22"/>
          <w:szCs w:val="22"/>
          <w:lang w:val="sr-Latn-ME"/>
        </w:rPr>
      </w:pPr>
      <w:r w:rsidRPr="007C19A2">
        <w:rPr>
          <w:sz w:val="22"/>
          <w:szCs w:val="22"/>
          <w:lang w:val="sr-Latn-ME"/>
        </w:rPr>
        <w:t>Takođe,</w:t>
      </w:r>
      <w:r w:rsidR="00F35FA0" w:rsidRPr="007C19A2">
        <w:rPr>
          <w:sz w:val="22"/>
          <w:szCs w:val="22"/>
          <w:lang w:val="sr-Latn-ME"/>
        </w:rPr>
        <w:t xml:space="preserve"> može u tragovima sadržati lecitin dobijen iz soje.</w:t>
      </w:r>
    </w:p>
    <w:p w14:paraId="38BB4A12" w14:textId="77777777" w:rsidR="00666954" w:rsidRPr="007C19A2" w:rsidRDefault="00666954">
      <w:pPr>
        <w:rPr>
          <w:sz w:val="22"/>
          <w:szCs w:val="22"/>
          <w:lang w:val="sr-Latn-ME"/>
        </w:rPr>
      </w:pPr>
    </w:p>
    <w:p w14:paraId="176A3BF6" w14:textId="24DF5C79" w:rsidR="0003793F" w:rsidRPr="007C19A2" w:rsidRDefault="0003793F">
      <w:pPr>
        <w:rPr>
          <w:sz w:val="22"/>
          <w:szCs w:val="22"/>
          <w:lang w:val="sr-Latn-ME"/>
        </w:rPr>
      </w:pPr>
      <w:r w:rsidRPr="007C19A2">
        <w:rPr>
          <w:sz w:val="22"/>
          <w:szCs w:val="22"/>
          <w:lang w:val="sr-Latn-ME"/>
        </w:rPr>
        <w:t>Za spisak svih ekscipijenasa, pogledati dio 6.1.</w:t>
      </w:r>
    </w:p>
    <w:p w14:paraId="176A3BF7" w14:textId="77777777" w:rsidR="0003793F" w:rsidRPr="007C19A2" w:rsidRDefault="0003793F">
      <w:pPr>
        <w:rPr>
          <w:sz w:val="22"/>
          <w:szCs w:val="22"/>
          <w:lang w:val="sr-Latn-ME"/>
        </w:rPr>
      </w:pPr>
    </w:p>
    <w:p w14:paraId="176A3BF8" w14:textId="77777777" w:rsidR="00C37FD7" w:rsidRPr="007C19A2" w:rsidRDefault="00C37FD7">
      <w:pPr>
        <w:rPr>
          <w:sz w:val="22"/>
          <w:szCs w:val="22"/>
          <w:lang w:val="sr-Latn-ME"/>
        </w:rPr>
      </w:pPr>
    </w:p>
    <w:p w14:paraId="176A3BF9" w14:textId="77777777" w:rsidR="00411B4B" w:rsidRPr="007C19A2" w:rsidRDefault="00411B4B" w:rsidP="00F5167F">
      <w:pPr>
        <w:tabs>
          <w:tab w:val="left" w:pos="540"/>
          <w:tab w:val="left" w:pos="569"/>
        </w:tabs>
        <w:rPr>
          <w:b/>
          <w:bCs/>
          <w:sz w:val="22"/>
          <w:szCs w:val="22"/>
          <w:lang w:val="sr-Latn-ME"/>
        </w:rPr>
      </w:pPr>
      <w:r w:rsidRPr="007C19A2">
        <w:rPr>
          <w:b/>
          <w:bCs/>
          <w:sz w:val="22"/>
          <w:szCs w:val="22"/>
          <w:lang w:val="sr-Latn-ME"/>
        </w:rPr>
        <w:t xml:space="preserve">3. </w:t>
      </w:r>
      <w:r w:rsidR="00F5167F" w:rsidRPr="007C19A2">
        <w:rPr>
          <w:b/>
          <w:bCs/>
          <w:sz w:val="22"/>
          <w:szCs w:val="22"/>
          <w:lang w:val="sr-Latn-ME"/>
        </w:rPr>
        <w:tab/>
      </w:r>
      <w:r w:rsidRPr="007C19A2">
        <w:rPr>
          <w:b/>
          <w:bCs/>
          <w:sz w:val="22"/>
          <w:szCs w:val="22"/>
          <w:lang w:val="sr-Latn-ME"/>
        </w:rPr>
        <w:t>FARMACEUTSKI OBLIK</w:t>
      </w:r>
      <w:r w:rsidR="009F2D23" w:rsidRPr="007C19A2">
        <w:rPr>
          <w:b/>
          <w:bCs/>
          <w:sz w:val="22"/>
          <w:szCs w:val="22"/>
          <w:lang w:val="sr-Latn-ME"/>
        </w:rPr>
        <w:t xml:space="preserve"> </w:t>
      </w:r>
    </w:p>
    <w:p w14:paraId="54739C0A" w14:textId="77777777" w:rsidR="00B04E97" w:rsidRPr="007C19A2" w:rsidRDefault="00B04E97" w:rsidP="00B04E97">
      <w:pPr>
        <w:rPr>
          <w:bCs/>
          <w:sz w:val="22"/>
          <w:szCs w:val="22"/>
          <w:lang w:val="sr-Latn-ME"/>
        </w:rPr>
      </w:pPr>
    </w:p>
    <w:p w14:paraId="0DCFB6EA" w14:textId="17A94974" w:rsidR="00B04E97" w:rsidRPr="007C19A2" w:rsidRDefault="00B04E97" w:rsidP="000D4428">
      <w:pPr>
        <w:jc w:val="both"/>
        <w:rPr>
          <w:bCs/>
          <w:sz w:val="22"/>
          <w:szCs w:val="22"/>
          <w:lang w:val="sr-Latn-ME"/>
        </w:rPr>
      </w:pPr>
      <w:r w:rsidRPr="007C19A2">
        <w:rPr>
          <w:bCs/>
          <w:sz w:val="22"/>
          <w:szCs w:val="22"/>
          <w:lang w:val="sr-Latn-ME"/>
        </w:rPr>
        <w:t>Kapsula, tvrda.</w:t>
      </w:r>
    </w:p>
    <w:p w14:paraId="74A8E9F9" w14:textId="77777777" w:rsidR="00B04E97" w:rsidRPr="007C19A2" w:rsidRDefault="00B04E97" w:rsidP="000D4428">
      <w:pPr>
        <w:jc w:val="both"/>
        <w:rPr>
          <w:bCs/>
          <w:sz w:val="22"/>
          <w:szCs w:val="22"/>
          <w:lang w:val="sr-Latn-ME"/>
        </w:rPr>
      </w:pPr>
    </w:p>
    <w:p w14:paraId="1898394C" w14:textId="1814B1DE" w:rsidR="002209FC" w:rsidRPr="007C19A2" w:rsidRDefault="0074564C" w:rsidP="000D4428">
      <w:pPr>
        <w:jc w:val="both"/>
        <w:rPr>
          <w:bCs/>
          <w:sz w:val="22"/>
          <w:szCs w:val="22"/>
          <w:lang w:val="sr-Latn-ME"/>
        </w:rPr>
      </w:pPr>
      <w:bookmarkStart w:id="0" w:name="_Hlk205967339"/>
      <w:r w:rsidRPr="007C19A2">
        <w:rPr>
          <w:bCs/>
          <w:sz w:val="22"/>
          <w:szCs w:val="22"/>
          <w:lang w:val="sr-Latn-ME"/>
        </w:rPr>
        <w:t>Neprovidna želatinska kapsula veličine „0“ (dužine 21,7 mm) sa bijelim tijelom i kapicom boje karamele i oznakom „HE1“ utisnutom na tijelu. Tvrda kapsula je napunjena sa tri tablete i jednom mekom kapsulom.</w:t>
      </w:r>
    </w:p>
    <w:bookmarkEnd w:id="0"/>
    <w:p w14:paraId="176A3BFB" w14:textId="015D7E55" w:rsidR="00EC2532" w:rsidRPr="007C19A2" w:rsidRDefault="00EC2532" w:rsidP="000D4428">
      <w:pPr>
        <w:jc w:val="both"/>
        <w:rPr>
          <w:bCs/>
          <w:sz w:val="22"/>
          <w:szCs w:val="22"/>
          <w:lang w:val="sr-Latn-ME"/>
        </w:rPr>
      </w:pPr>
    </w:p>
    <w:p w14:paraId="7AC424BE" w14:textId="77777777" w:rsidR="007A53F4" w:rsidRPr="007C19A2" w:rsidRDefault="007A53F4">
      <w:pPr>
        <w:rPr>
          <w:bCs/>
          <w:sz w:val="22"/>
          <w:szCs w:val="22"/>
          <w:lang w:val="sr-Latn-ME"/>
        </w:rPr>
      </w:pPr>
    </w:p>
    <w:p w14:paraId="176A3BFC" w14:textId="77777777" w:rsidR="00411B4B" w:rsidRPr="007C19A2" w:rsidRDefault="00411B4B" w:rsidP="00F5167F">
      <w:pPr>
        <w:tabs>
          <w:tab w:val="left" w:pos="540"/>
          <w:tab w:val="left" w:pos="569"/>
        </w:tabs>
        <w:rPr>
          <w:b/>
          <w:bCs/>
          <w:sz w:val="22"/>
          <w:szCs w:val="22"/>
          <w:lang w:val="sr-Latn-ME"/>
        </w:rPr>
      </w:pPr>
      <w:r w:rsidRPr="007C19A2">
        <w:rPr>
          <w:b/>
          <w:bCs/>
          <w:sz w:val="22"/>
          <w:szCs w:val="22"/>
          <w:lang w:val="sr-Latn-ME"/>
        </w:rPr>
        <w:t xml:space="preserve">4. </w:t>
      </w:r>
      <w:r w:rsidR="00480FB1" w:rsidRPr="007C19A2">
        <w:rPr>
          <w:b/>
          <w:bCs/>
          <w:sz w:val="22"/>
          <w:szCs w:val="22"/>
          <w:lang w:val="sr-Latn-ME"/>
        </w:rPr>
        <w:tab/>
      </w:r>
      <w:r w:rsidRPr="007C19A2">
        <w:rPr>
          <w:b/>
          <w:bCs/>
          <w:sz w:val="22"/>
          <w:szCs w:val="22"/>
          <w:lang w:val="sr-Latn-ME"/>
        </w:rPr>
        <w:t>KLINIČKI PODACI</w:t>
      </w:r>
    </w:p>
    <w:p w14:paraId="176A3BFD" w14:textId="77777777" w:rsidR="00CD6F02" w:rsidRPr="007C19A2" w:rsidRDefault="00CD6F02" w:rsidP="00480FB1">
      <w:pPr>
        <w:tabs>
          <w:tab w:val="left" w:pos="540"/>
          <w:tab w:val="left" w:pos="569"/>
        </w:tabs>
        <w:rPr>
          <w:bCs/>
          <w:sz w:val="22"/>
          <w:szCs w:val="22"/>
          <w:lang w:val="sr-Latn-ME"/>
        </w:rPr>
      </w:pPr>
    </w:p>
    <w:p w14:paraId="176A3BFE" w14:textId="77777777" w:rsidR="00411B4B" w:rsidRPr="007C19A2" w:rsidRDefault="00411B4B" w:rsidP="00480FB1">
      <w:pPr>
        <w:tabs>
          <w:tab w:val="left" w:pos="540"/>
          <w:tab w:val="left" w:pos="569"/>
        </w:tabs>
        <w:rPr>
          <w:b/>
          <w:bCs/>
          <w:sz w:val="22"/>
          <w:szCs w:val="22"/>
          <w:lang w:val="sr-Latn-ME"/>
        </w:rPr>
      </w:pPr>
      <w:r w:rsidRPr="007C19A2">
        <w:rPr>
          <w:b/>
          <w:bCs/>
          <w:sz w:val="22"/>
          <w:szCs w:val="22"/>
          <w:lang w:val="sr-Latn-ME"/>
        </w:rPr>
        <w:t xml:space="preserve">4.1. </w:t>
      </w:r>
      <w:r w:rsidR="00480FB1" w:rsidRPr="007C19A2">
        <w:rPr>
          <w:b/>
          <w:bCs/>
          <w:sz w:val="22"/>
          <w:szCs w:val="22"/>
          <w:lang w:val="sr-Latn-ME"/>
        </w:rPr>
        <w:tab/>
      </w:r>
      <w:r w:rsidRPr="007C19A2">
        <w:rPr>
          <w:b/>
          <w:bCs/>
          <w:sz w:val="22"/>
          <w:szCs w:val="22"/>
          <w:lang w:val="sr-Latn-ME"/>
        </w:rPr>
        <w:t>Terapijske indikacije</w:t>
      </w:r>
    </w:p>
    <w:p w14:paraId="176A3BFF" w14:textId="72360E9C" w:rsidR="00411B4B" w:rsidRPr="007C19A2" w:rsidRDefault="00411B4B" w:rsidP="00480FB1">
      <w:pPr>
        <w:tabs>
          <w:tab w:val="left" w:pos="540"/>
          <w:tab w:val="left" w:pos="569"/>
        </w:tabs>
        <w:rPr>
          <w:bCs/>
          <w:sz w:val="22"/>
          <w:szCs w:val="22"/>
          <w:lang w:val="sr-Latn-ME"/>
        </w:rPr>
      </w:pPr>
    </w:p>
    <w:p w14:paraId="64714AC2" w14:textId="77777777" w:rsidR="00B04E97" w:rsidRPr="007C19A2" w:rsidRDefault="00B04E97" w:rsidP="00B04E97">
      <w:pPr>
        <w:autoSpaceDE w:val="0"/>
        <w:autoSpaceDN w:val="0"/>
        <w:adjustRightInd w:val="0"/>
        <w:jc w:val="both"/>
        <w:rPr>
          <w:bCs/>
          <w:color w:val="000000"/>
          <w:sz w:val="22"/>
          <w:szCs w:val="22"/>
          <w:lang w:val="sr-Latn-ME"/>
        </w:rPr>
      </w:pPr>
      <w:r w:rsidRPr="007C19A2">
        <w:rPr>
          <w:color w:val="000000"/>
          <w:sz w:val="22"/>
          <w:szCs w:val="22"/>
          <w:lang w:val="sr-Latn-ME"/>
        </w:rPr>
        <w:t>Lijek Akynzeo</w:t>
      </w:r>
      <w:r w:rsidRPr="007C19A2">
        <w:rPr>
          <w:bCs/>
          <w:color w:val="000000"/>
          <w:sz w:val="22"/>
          <w:szCs w:val="22"/>
          <w:lang w:val="sr-Latn-ME"/>
        </w:rPr>
        <w:t xml:space="preserve"> je indikovan kod odraslih osoba za:</w:t>
      </w:r>
    </w:p>
    <w:p w14:paraId="694DCF37" w14:textId="6E6A9774" w:rsidR="00B04E97" w:rsidRPr="007C19A2" w:rsidRDefault="00B04E97" w:rsidP="00B04E97">
      <w:pPr>
        <w:tabs>
          <w:tab w:val="left" w:pos="567"/>
        </w:tabs>
        <w:autoSpaceDE w:val="0"/>
        <w:autoSpaceDN w:val="0"/>
        <w:adjustRightInd w:val="0"/>
        <w:ind w:left="567" w:hanging="567"/>
        <w:jc w:val="both"/>
        <w:rPr>
          <w:bCs/>
          <w:color w:val="000000"/>
          <w:sz w:val="22"/>
          <w:szCs w:val="22"/>
          <w:lang w:val="sr-Latn-ME"/>
        </w:rPr>
      </w:pPr>
      <w:r w:rsidRPr="007C19A2">
        <w:rPr>
          <w:bCs/>
          <w:color w:val="000000"/>
          <w:sz w:val="22"/>
          <w:szCs w:val="22"/>
          <w:lang w:val="sr-Latn-ME"/>
        </w:rPr>
        <w:t>-</w:t>
      </w:r>
      <w:r w:rsidRPr="007C19A2">
        <w:rPr>
          <w:bCs/>
          <w:color w:val="000000"/>
          <w:sz w:val="22"/>
          <w:szCs w:val="22"/>
          <w:lang w:val="sr-Latn-ME"/>
        </w:rPr>
        <w:tab/>
        <w:t>Prevenciju akutne i odložene mučnine i povraćanja povezanih sa visoko emetogenom hem</w:t>
      </w:r>
      <w:r w:rsidR="00057BF6" w:rsidRPr="007C19A2">
        <w:rPr>
          <w:bCs/>
          <w:color w:val="000000"/>
          <w:sz w:val="22"/>
          <w:szCs w:val="22"/>
          <w:lang w:val="sr-Latn-ME"/>
        </w:rPr>
        <w:t>i</w:t>
      </w:r>
      <w:r w:rsidRPr="007C19A2">
        <w:rPr>
          <w:bCs/>
          <w:color w:val="000000"/>
          <w:sz w:val="22"/>
          <w:szCs w:val="22"/>
          <w:lang w:val="sr-Latn-ME"/>
        </w:rPr>
        <w:t>oterapijom protiv raka na bazi cisplatina.</w:t>
      </w:r>
    </w:p>
    <w:p w14:paraId="69135502" w14:textId="0A4139C0" w:rsidR="00B04E97" w:rsidRPr="007C19A2" w:rsidRDefault="00B04E97" w:rsidP="00B04E97">
      <w:pPr>
        <w:tabs>
          <w:tab w:val="left" w:pos="567"/>
        </w:tabs>
        <w:autoSpaceDE w:val="0"/>
        <w:autoSpaceDN w:val="0"/>
        <w:adjustRightInd w:val="0"/>
        <w:ind w:left="567" w:hanging="567"/>
        <w:jc w:val="both"/>
        <w:rPr>
          <w:bCs/>
          <w:color w:val="000000"/>
          <w:sz w:val="22"/>
          <w:szCs w:val="22"/>
          <w:lang w:val="sr-Latn-ME"/>
        </w:rPr>
      </w:pPr>
      <w:r w:rsidRPr="007C19A2">
        <w:rPr>
          <w:bCs/>
          <w:color w:val="000000"/>
          <w:sz w:val="22"/>
          <w:szCs w:val="22"/>
          <w:lang w:val="sr-Latn-ME"/>
        </w:rPr>
        <w:t>-</w:t>
      </w:r>
      <w:r w:rsidRPr="007C19A2">
        <w:rPr>
          <w:bCs/>
          <w:color w:val="000000"/>
          <w:sz w:val="22"/>
          <w:szCs w:val="22"/>
          <w:lang w:val="sr-Latn-ME"/>
        </w:rPr>
        <w:tab/>
        <w:t>Prevenciju akutne i odložene mučnine i povraćanja povezanih sa umjereno emetogenom hem</w:t>
      </w:r>
      <w:r w:rsidR="00BC63E4" w:rsidRPr="007C19A2">
        <w:rPr>
          <w:bCs/>
          <w:color w:val="000000"/>
          <w:sz w:val="22"/>
          <w:szCs w:val="22"/>
          <w:lang w:val="sr-Latn-ME"/>
        </w:rPr>
        <w:t>i</w:t>
      </w:r>
      <w:r w:rsidRPr="007C19A2">
        <w:rPr>
          <w:bCs/>
          <w:color w:val="000000"/>
          <w:sz w:val="22"/>
          <w:szCs w:val="22"/>
          <w:lang w:val="sr-Latn-ME"/>
        </w:rPr>
        <w:t>oterapijom protiv raka.</w:t>
      </w:r>
    </w:p>
    <w:p w14:paraId="1EDB74DA" w14:textId="77777777" w:rsidR="00B04E97" w:rsidRPr="007C19A2" w:rsidRDefault="00B04E97" w:rsidP="00480FB1">
      <w:pPr>
        <w:tabs>
          <w:tab w:val="left" w:pos="540"/>
          <w:tab w:val="left" w:pos="569"/>
        </w:tabs>
        <w:rPr>
          <w:bCs/>
          <w:sz w:val="22"/>
          <w:szCs w:val="22"/>
          <w:lang w:val="sr-Latn-ME"/>
        </w:rPr>
      </w:pPr>
    </w:p>
    <w:p w14:paraId="176A3C00" w14:textId="77777777" w:rsidR="00411B4B" w:rsidRPr="007C19A2" w:rsidRDefault="00411B4B" w:rsidP="00480FB1">
      <w:pPr>
        <w:tabs>
          <w:tab w:val="left" w:pos="540"/>
          <w:tab w:val="left" w:pos="569"/>
        </w:tabs>
        <w:rPr>
          <w:b/>
          <w:bCs/>
          <w:sz w:val="22"/>
          <w:szCs w:val="22"/>
          <w:lang w:val="sr-Latn-ME"/>
        </w:rPr>
      </w:pPr>
      <w:r w:rsidRPr="007C19A2">
        <w:rPr>
          <w:b/>
          <w:bCs/>
          <w:sz w:val="22"/>
          <w:szCs w:val="22"/>
          <w:lang w:val="sr-Latn-ME"/>
        </w:rPr>
        <w:t xml:space="preserve">4.2. </w:t>
      </w:r>
      <w:r w:rsidR="00480FB1" w:rsidRPr="007C19A2">
        <w:rPr>
          <w:b/>
          <w:bCs/>
          <w:sz w:val="22"/>
          <w:szCs w:val="22"/>
          <w:lang w:val="sr-Latn-ME"/>
        </w:rPr>
        <w:tab/>
      </w:r>
      <w:r w:rsidRPr="007C19A2">
        <w:rPr>
          <w:b/>
          <w:bCs/>
          <w:sz w:val="22"/>
          <w:szCs w:val="22"/>
          <w:lang w:val="sr-Latn-ME"/>
        </w:rPr>
        <w:t>Doziranje i način primjene</w:t>
      </w:r>
    </w:p>
    <w:p w14:paraId="176A3C01" w14:textId="77777777" w:rsidR="0072020E" w:rsidRPr="007C19A2" w:rsidRDefault="0072020E" w:rsidP="00480FB1">
      <w:pPr>
        <w:tabs>
          <w:tab w:val="left" w:pos="540"/>
          <w:tab w:val="left" w:pos="569"/>
        </w:tabs>
        <w:rPr>
          <w:bCs/>
          <w:sz w:val="22"/>
          <w:szCs w:val="22"/>
          <w:lang w:val="sr-Latn-ME"/>
        </w:rPr>
      </w:pPr>
    </w:p>
    <w:p w14:paraId="176A3C02" w14:textId="77777777" w:rsidR="00452E9D" w:rsidRPr="007C19A2" w:rsidRDefault="00452E9D" w:rsidP="00480FB1">
      <w:pPr>
        <w:tabs>
          <w:tab w:val="left" w:pos="540"/>
          <w:tab w:val="left" w:pos="569"/>
        </w:tabs>
        <w:rPr>
          <w:bCs/>
          <w:sz w:val="22"/>
          <w:szCs w:val="22"/>
          <w:u w:val="single"/>
          <w:lang w:val="sr-Latn-ME"/>
        </w:rPr>
      </w:pPr>
      <w:r w:rsidRPr="007C19A2">
        <w:rPr>
          <w:bCs/>
          <w:sz w:val="22"/>
          <w:szCs w:val="22"/>
          <w:u w:val="single"/>
          <w:lang w:val="sr-Latn-ME"/>
        </w:rPr>
        <w:t>Doziranje</w:t>
      </w:r>
    </w:p>
    <w:p w14:paraId="176A3C03" w14:textId="250A9100" w:rsidR="00452E9D" w:rsidRPr="007C19A2" w:rsidRDefault="00452E9D" w:rsidP="00480FB1">
      <w:pPr>
        <w:tabs>
          <w:tab w:val="left" w:pos="540"/>
          <w:tab w:val="left" w:pos="569"/>
        </w:tabs>
        <w:rPr>
          <w:bCs/>
          <w:sz w:val="22"/>
          <w:szCs w:val="22"/>
          <w:u w:val="single"/>
          <w:lang w:val="sr-Latn-ME"/>
        </w:rPr>
      </w:pPr>
    </w:p>
    <w:p w14:paraId="0E486A8D" w14:textId="1679ECC8"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Jednu kapsulu od </w:t>
      </w:r>
      <w:r w:rsidR="00BC63E4" w:rsidRPr="007C19A2">
        <w:rPr>
          <w:color w:val="000000"/>
          <w:sz w:val="22"/>
          <w:szCs w:val="22"/>
          <w:lang w:val="sr-Latn-ME"/>
        </w:rPr>
        <w:t xml:space="preserve">0,5 mg + </w:t>
      </w:r>
      <w:r w:rsidRPr="007C19A2">
        <w:rPr>
          <w:color w:val="000000"/>
          <w:sz w:val="22"/>
          <w:szCs w:val="22"/>
          <w:lang w:val="sr-Latn-ME"/>
        </w:rPr>
        <w:t>300 mg treba primijeniti otprilike jedan sat prije početka svakog ciklusa hem</w:t>
      </w:r>
      <w:r w:rsidR="00466839" w:rsidRPr="007C19A2">
        <w:rPr>
          <w:color w:val="000000"/>
          <w:sz w:val="22"/>
          <w:szCs w:val="22"/>
          <w:lang w:val="sr-Latn-ME"/>
        </w:rPr>
        <w:t>i</w:t>
      </w:r>
      <w:r w:rsidRPr="007C19A2">
        <w:rPr>
          <w:color w:val="000000"/>
          <w:sz w:val="22"/>
          <w:szCs w:val="22"/>
          <w:lang w:val="sr-Latn-ME"/>
        </w:rPr>
        <w:t xml:space="preserve">oterapije. </w:t>
      </w:r>
    </w:p>
    <w:p w14:paraId="0B2C4CA9" w14:textId="77777777" w:rsidR="00DC2207" w:rsidRPr="007C19A2" w:rsidRDefault="00DC2207" w:rsidP="00DC2207">
      <w:pPr>
        <w:autoSpaceDE w:val="0"/>
        <w:autoSpaceDN w:val="0"/>
        <w:adjustRightInd w:val="0"/>
        <w:jc w:val="both"/>
        <w:rPr>
          <w:color w:val="000000"/>
          <w:sz w:val="22"/>
          <w:szCs w:val="22"/>
          <w:lang w:val="sr-Latn-ME"/>
        </w:rPr>
      </w:pPr>
    </w:p>
    <w:p w14:paraId="3EEE8F55" w14:textId="398C058F" w:rsidR="00D61731"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Kada se primjenjuje istovremeno sa lijekom Akynzeo, preporučenu dozu oralnog deksametazona potrebno je sniziti za približno 50% (vidjeti </w:t>
      </w:r>
      <w:r w:rsidR="002B63E9" w:rsidRPr="007C19A2">
        <w:rPr>
          <w:color w:val="000000"/>
          <w:sz w:val="22"/>
          <w:szCs w:val="22"/>
          <w:lang w:val="sr-Latn-ME"/>
        </w:rPr>
        <w:t xml:space="preserve">dio </w:t>
      </w:r>
      <w:r w:rsidRPr="007C19A2">
        <w:rPr>
          <w:color w:val="000000"/>
          <w:sz w:val="22"/>
          <w:szCs w:val="22"/>
          <w:lang w:val="sr-Latn-ME"/>
        </w:rPr>
        <w:t xml:space="preserve">4.5 i raspored primjene u kliničkim ispitivanjima u </w:t>
      </w:r>
      <w:r w:rsidR="002B63E9" w:rsidRPr="007C19A2">
        <w:rPr>
          <w:color w:val="000000"/>
          <w:sz w:val="22"/>
          <w:szCs w:val="22"/>
          <w:lang w:val="sr-Latn-ME"/>
        </w:rPr>
        <w:t xml:space="preserve">dijelu </w:t>
      </w:r>
      <w:r w:rsidRPr="007C19A2">
        <w:rPr>
          <w:color w:val="000000"/>
          <w:sz w:val="22"/>
          <w:szCs w:val="22"/>
          <w:lang w:val="sr-Latn-ME"/>
        </w:rPr>
        <w:t>5.1).</w:t>
      </w:r>
    </w:p>
    <w:p w14:paraId="4BBE1484" w14:textId="3C2A66D2" w:rsidR="007C19A2" w:rsidRDefault="007C19A2" w:rsidP="00DC2207">
      <w:pPr>
        <w:autoSpaceDE w:val="0"/>
        <w:autoSpaceDN w:val="0"/>
        <w:adjustRightInd w:val="0"/>
        <w:jc w:val="both"/>
        <w:rPr>
          <w:color w:val="000000"/>
          <w:sz w:val="22"/>
          <w:szCs w:val="22"/>
          <w:lang w:val="sr-Latn-ME"/>
        </w:rPr>
      </w:pPr>
    </w:p>
    <w:p w14:paraId="41B7520B" w14:textId="51C5FD2C" w:rsidR="007C19A2" w:rsidRDefault="007C19A2" w:rsidP="00DC2207">
      <w:pPr>
        <w:autoSpaceDE w:val="0"/>
        <w:autoSpaceDN w:val="0"/>
        <w:adjustRightInd w:val="0"/>
        <w:jc w:val="both"/>
        <w:rPr>
          <w:color w:val="000000"/>
          <w:sz w:val="22"/>
          <w:szCs w:val="22"/>
          <w:lang w:val="sr-Latn-ME"/>
        </w:rPr>
      </w:pPr>
    </w:p>
    <w:p w14:paraId="338E6850" w14:textId="1AF6F111" w:rsidR="007C19A2" w:rsidRDefault="007C19A2" w:rsidP="00DC2207">
      <w:pPr>
        <w:autoSpaceDE w:val="0"/>
        <w:autoSpaceDN w:val="0"/>
        <w:adjustRightInd w:val="0"/>
        <w:jc w:val="both"/>
        <w:rPr>
          <w:color w:val="000000"/>
          <w:sz w:val="22"/>
          <w:szCs w:val="22"/>
          <w:lang w:val="sr-Latn-ME"/>
        </w:rPr>
      </w:pPr>
    </w:p>
    <w:p w14:paraId="0E8AE349" w14:textId="6EFD1AB2" w:rsidR="007C19A2" w:rsidRDefault="007C19A2" w:rsidP="00DC2207">
      <w:pPr>
        <w:autoSpaceDE w:val="0"/>
        <w:autoSpaceDN w:val="0"/>
        <w:adjustRightInd w:val="0"/>
        <w:jc w:val="both"/>
        <w:rPr>
          <w:color w:val="000000"/>
          <w:sz w:val="22"/>
          <w:szCs w:val="22"/>
          <w:lang w:val="sr-Latn-ME"/>
        </w:rPr>
      </w:pPr>
    </w:p>
    <w:p w14:paraId="7EF5FF9E" w14:textId="77777777" w:rsidR="007C19A2" w:rsidRPr="007C19A2" w:rsidRDefault="007C19A2" w:rsidP="00DC2207">
      <w:pPr>
        <w:autoSpaceDE w:val="0"/>
        <w:autoSpaceDN w:val="0"/>
        <w:adjustRightInd w:val="0"/>
        <w:jc w:val="both"/>
        <w:rPr>
          <w:color w:val="000000"/>
          <w:sz w:val="22"/>
          <w:szCs w:val="22"/>
          <w:lang w:val="sr-Latn-ME"/>
        </w:rPr>
      </w:pPr>
    </w:p>
    <w:p w14:paraId="35343053" w14:textId="77777777" w:rsidR="00D61731" w:rsidRPr="007C19A2" w:rsidRDefault="00D61731" w:rsidP="00DC2207">
      <w:pPr>
        <w:autoSpaceDE w:val="0"/>
        <w:autoSpaceDN w:val="0"/>
        <w:adjustRightInd w:val="0"/>
        <w:jc w:val="both"/>
        <w:rPr>
          <w:color w:val="000000"/>
          <w:sz w:val="22"/>
          <w:szCs w:val="22"/>
          <w:lang w:val="sr-Latn-ME"/>
        </w:rPr>
      </w:pPr>
    </w:p>
    <w:p w14:paraId="4D585911" w14:textId="27256330" w:rsidR="00DC2207" w:rsidRPr="007C19A2" w:rsidRDefault="00466839" w:rsidP="00DC2207">
      <w:pPr>
        <w:autoSpaceDE w:val="0"/>
        <w:autoSpaceDN w:val="0"/>
        <w:adjustRightInd w:val="0"/>
        <w:jc w:val="both"/>
        <w:rPr>
          <w:color w:val="000000"/>
          <w:sz w:val="22"/>
          <w:szCs w:val="22"/>
          <w:u w:val="single"/>
          <w:lang w:val="sr-Latn-ME"/>
        </w:rPr>
      </w:pPr>
      <w:r w:rsidRPr="007C19A2">
        <w:rPr>
          <w:color w:val="000000"/>
          <w:sz w:val="22"/>
          <w:szCs w:val="22"/>
          <w:u w:val="single"/>
          <w:lang w:val="sr-Latn-ME"/>
        </w:rPr>
        <w:lastRenderedPageBreak/>
        <w:t>Posebne</w:t>
      </w:r>
      <w:bookmarkStart w:id="1" w:name="_GoBack"/>
      <w:bookmarkEnd w:id="1"/>
      <w:r w:rsidRPr="007C19A2">
        <w:rPr>
          <w:color w:val="000000"/>
          <w:sz w:val="22"/>
          <w:szCs w:val="22"/>
          <w:u w:val="single"/>
          <w:lang w:val="sr-Latn-ME"/>
        </w:rPr>
        <w:t xml:space="preserve"> populacije </w:t>
      </w:r>
    </w:p>
    <w:p w14:paraId="605ADED5" w14:textId="77777777" w:rsidR="00466839" w:rsidRPr="007C19A2" w:rsidRDefault="00466839" w:rsidP="00DC2207">
      <w:pPr>
        <w:autoSpaceDE w:val="0"/>
        <w:autoSpaceDN w:val="0"/>
        <w:adjustRightInd w:val="0"/>
        <w:jc w:val="both"/>
        <w:rPr>
          <w:color w:val="000000"/>
          <w:sz w:val="22"/>
          <w:szCs w:val="22"/>
          <w:lang w:val="sr-Latn-ME"/>
        </w:rPr>
      </w:pPr>
    </w:p>
    <w:p w14:paraId="515DC9ED" w14:textId="77777777" w:rsidR="00DC2207" w:rsidRPr="007C19A2" w:rsidRDefault="00DC2207" w:rsidP="00DC2207">
      <w:pPr>
        <w:autoSpaceDE w:val="0"/>
        <w:autoSpaceDN w:val="0"/>
        <w:adjustRightInd w:val="0"/>
        <w:jc w:val="both"/>
        <w:rPr>
          <w:color w:val="000000"/>
          <w:sz w:val="22"/>
          <w:szCs w:val="22"/>
          <w:lang w:val="sr-Latn-ME"/>
        </w:rPr>
      </w:pPr>
      <w:r w:rsidRPr="007C19A2">
        <w:rPr>
          <w:i/>
          <w:color w:val="000000"/>
          <w:sz w:val="22"/>
          <w:szCs w:val="22"/>
          <w:lang w:val="sr-Latn-ME"/>
        </w:rPr>
        <w:t>Starije osobe</w:t>
      </w:r>
    </w:p>
    <w:p w14:paraId="16186064" w14:textId="77777777"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Nije potrebno prilagođavanje doze kod starijih pacijenata. Potreban je oprez kada se ovaj lijek primjenjuje kod pacijenata starijih od 75 godina zbog dugog poluvremena eliminacije aktivnih supstanci i ograničenog iskustva sa ovom populacijom.</w:t>
      </w:r>
    </w:p>
    <w:p w14:paraId="6EAF0A16" w14:textId="77777777" w:rsidR="00DC2207" w:rsidRPr="007C19A2" w:rsidRDefault="00DC2207" w:rsidP="00DC2207">
      <w:pPr>
        <w:jc w:val="both"/>
        <w:rPr>
          <w:i/>
          <w:sz w:val="22"/>
          <w:szCs w:val="22"/>
          <w:lang w:val="sr-Latn-ME"/>
        </w:rPr>
      </w:pPr>
    </w:p>
    <w:p w14:paraId="4C22EA5F" w14:textId="77777777" w:rsidR="00DC2207" w:rsidRPr="007C19A2" w:rsidRDefault="00DC2207" w:rsidP="00DC2207">
      <w:pPr>
        <w:autoSpaceDE w:val="0"/>
        <w:autoSpaceDN w:val="0"/>
        <w:adjustRightInd w:val="0"/>
        <w:jc w:val="both"/>
        <w:rPr>
          <w:i/>
          <w:color w:val="000000"/>
          <w:sz w:val="22"/>
          <w:szCs w:val="22"/>
          <w:lang w:val="sr-Latn-ME"/>
        </w:rPr>
      </w:pPr>
      <w:r w:rsidRPr="007C19A2">
        <w:rPr>
          <w:i/>
          <w:color w:val="000000"/>
          <w:sz w:val="22"/>
          <w:szCs w:val="22"/>
          <w:lang w:val="sr-Latn-ME"/>
        </w:rPr>
        <w:t>Oštećenje funkcije bubrega</w:t>
      </w:r>
    </w:p>
    <w:p w14:paraId="72862C6E" w14:textId="3070B3B5" w:rsidR="00DC2207" w:rsidRPr="007C19A2" w:rsidRDefault="00466839" w:rsidP="00DC2207">
      <w:pPr>
        <w:autoSpaceDE w:val="0"/>
        <w:autoSpaceDN w:val="0"/>
        <w:adjustRightInd w:val="0"/>
        <w:jc w:val="both"/>
        <w:rPr>
          <w:color w:val="000000"/>
          <w:sz w:val="22"/>
          <w:szCs w:val="22"/>
          <w:lang w:val="sr-Latn-ME"/>
        </w:rPr>
      </w:pPr>
      <w:r w:rsidRPr="007C19A2">
        <w:rPr>
          <w:color w:val="000000"/>
          <w:sz w:val="22"/>
          <w:szCs w:val="22"/>
          <w:lang w:val="sr-Latn-ME"/>
        </w:rPr>
        <w:t>Nije potrebno prilagođavanje doze k</w:t>
      </w:r>
      <w:r w:rsidR="00DC2207" w:rsidRPr="007C19A2">
        <w:rPr>
          <w:color w:val="000000"/>
          <w:sz w:val="22"/>
          <w:szCs w:val="22"/>
          <w:lang w:val="sr-Latn-ME"/>
        </w:rPr>
        <w:t xml:space="preserve">od pacijenata sa blagim do teškim oštećenjem funkcije bubrega. Izlučivanje netupitanta putem bubrega je zanemarljivo. Blago do umjereno oštećenje funkcije bubrega ne utiče značajno na farmakokinetičke parametre palonosetrona. Ukupna sistemska izloženost </w:t>
      </w:r>
      <w:r w:rsidR="005505A6" w:rsidRPr="007C19A2">
        <w:rPr>
          <w:color w:val="000000"/>
          <w:sz w:val="22"/>
          <w:szCs w:val="22"/>
          <w:lang w:val="sr-Latn-ME"/>
        </w:rPr>
        <w:t>kod intravenske primjene palonosetrona</w:t>
      </w:r>
      <w:r w:rsidR="00DC2207" w:rsidRPr="007C19A2">
        <w:rPr>
          <w:color w:val="000000"/>
          <w:sz w:val="22"/>
          <w:szCs w:val="22"/>
          <w:lang w:val="sr-Latn-ME"/>
        </w:rPr>
        <w:t xml:space="preserve"> povećala se za približno 28% kod pacijenata sa teškim oštećenjem funkcije bubrega u odnosu na zdrave ispitanike. Farmakokinetika palonosetrona ili netupitanta nije ispitana kod pacijenata u završnom stadijumu bolesti bubrega kojima je potrebna hemodijaliza, tako da nema podataka o efikasnosti ili bezbjednosti primjene lijeka Akynzeo kod tih pacijenata. Zbog toga je potrebno izbjegavati primjenu kod tih pacijenata.</w:t>
      </w:r>
    </w:p>
    <w:p w14:paraId="206363B6" w14:textId="77777777" w:rsidR="00DC2207" w:rsidRPr="007C19A2" w:rsidRDefault="00DC2207" w:rsidP="00DC2207">
      <w:pPr>
        <w:autoSpaceDE w:val="0"/>
        <w:autoSpaceDN w:val="0"/>
        <w:adjustRightInd w:val="0"/>
        <w:jc w:val="both"/>
        <w:rPr>
          <w:color w:val="000000"/>
          <w:sz w:val="22"/>
          <w:szCs w:val="22"/>
          <w:lang w:val="sr-Latn-ME"/>
        </w:rPr>
      </w:pPr>
    </w:p>
    <w:p w14:paraId="1FF4F863" w14:textId="77777777" w:rsidR="00DC2207" w:rsidRPr="007C19A2" w:rsidRDefault="00DC2207" w:rsidP="00DC2207">
      <w:pPr>
        <w:autoSpaceDE w:val="0"/>
        <w:autoSpaceDN w:val="0"/>
        <w:adjustRightInd w:val="0"/>
        <w:jc w:val="both"/>
        <w:rPr>
          <w:i/>
          <w:color w:val="000000"/>
          <w:sz w:val="22"/>
          <w:szCs w:val="22"/>
          <w:lang w:val="sr-Latn-ME"/>
        </w:rPr>
      </w:pPr>
      <w:r w:rsidRPr="007C19A2">
        <w:rPr>
          <w:i/>
          <w:color w:val="000000"/>
          <w:sz w:val="22"/>
          <w:szCs w:val="22"/>
          <w:lang w:val="sr-Latn-ME"/>
        </w:rPr>
        <w:t>Oštećenje funkcije jetre</w:t>
      </w:r>
    </w:p>
    <w:p w14:paraId="13E9BB72" w14:textId="44D02274" w:rsidR="00DC2207" w:rsidRPr="007C19A2" w:rsidRDefault="00DC2207" w:rsidP="00DC2207">
      <w:pPr>
        <w:jc w:val="both"/>
        <w:rPr>
          <w:sz w:val="22"/>
          <w:szCs w:val="22"/>
          <w:lang w:val="sr-Latn-ME"/>
        </w:rPr>
      </w:pPr>
      <w:r w:rsidRPr="007C19A2">
        <w:rPr>
          <w:sz w:val="22"/>
          <w:szCs w:val="22"/>
          <w:lang w:val="sr-Latn-ME"/>
        </w:rPr>
        <w:t>Nije potrebno prilagođavanje doze kod pacijenata sa blagim ili umjerenim oštećenjem funkcije jetre (</w:t>
      </w:r>
      <w:r w:rsidRPr="007C19A2">
        <w:rPr>
          <w:i/>
          <w:iCs/>
          <w:sz w:val="22"/>
          <w:szCs w:val="22"/>
          <w:lang w:val="sr-Latn-ME"/>
        </w:rPr>
        <w:t>Child-Pugh</w:t>
      </w:r>
      <w:r w:rsidRPr="007C19A2">
        <w:rPr>
          <w:sz w:val="22"/>
          <w:szCs w:val="22"/>
          <w:lang w:val="sr-Latn-ME"/>
        </w:rPr>
        <w:t xml:space="preserve"> rezultat 5-8). Za pacijente sa teškim oštećenjem funkcije jetre (</w:t>
      </w:r>
      <w:r w:rsidRPr="007C19A2">
        <w:rPr>
          <w:i/>
          <w:iCs/>
          <w:sz w:val="22"/>
          <w:szCs w:val="22"/>
          <w:lang w:val="sr-Latn-ME"/>
        </w:rPr>
        <w:t>Child-Pugh</w:t>
      </w:r>
      <w:r w:rsidRPr="007C19A2">
        <w:rPr>
          <w:sz w:val="22"/>
          <w:szCs w:val="22"/>
          <w:lang w:val="sr-Latn-ME"/>
        </w:rPr>
        <w:t xml:space="preserve"> rezultat ≥ 9) postoje ograničeni podaci. S obzirom na to da se primjena kod pacijenata sa teškim oštećenjem funkcije jetre može povezati sa povećanom izloženošću netupitantu, kod tih pacijenata lijek Akynzeo mora da se primjenjuje sa oprezom (vidjeti </w:t>
      </w:r>
      <w:r w:rsidR="002B63E9" w:rsidRPr="007C19A2">
        <w:rPr>
          <w:sz w:val="22"/>
          <w:szCs w:val="22"/>
          <w:lang w:val="sr-Latn-ME"/>
        </w:rPr>
        <w:t xml:space="preserve">djelove </w:t>
      </w:r>
      <w:r w:rsidRPr="007C19A2">
        <w:rPr>
          <w:sz w:val="22"/>
          <w:szCs w:val="22"/>
          <w:lang w:val="sr-Latn-ME"/>
        </w:rPr>
        <w:t xml:space="preserve">4.4 i 5.2). </w:t>
      </w:r>
    </w:p>
    <w:p w14:paraId="08C8B0DA" w14:textId="77777777" w:rsidR="00DC2207" w:rsidRPr="007C19A2" w:rsidRDefault="00DC2207" w:rsidP="00DC2207">
      <w:pPr>
        <w:jc w:val="both"/>
        <w:rPr>
          <w:sz w:val="22"/>
          <w:szCs w:val="22"/>
          <w:lang w:val="sr-Latn-ME"/>
        </w:rPr>
      </w:pPr>
    </w:p>
    <w:p w14:paraId="27448157" w14:textId="77777777" w:rsidR="00466839" w:rsidRPr="007C19A2" w:rsidRDefault="00466839" w:rsidP="00466839">
      <w:pPr>
        <w:autoSpaceDE w:val="0"/>
        <w:autoSpaceDN w:val="0"/>
        <w:adjustRightInd w:val="0"/>
        <w:jc w:val="both"/>
        <w:rPr>
          <w:i/>
          <w:iCs/>
          <w:color w:val="000000"/>
          <w:sz w:val="22"/>
          <w:szCs w:val="22"/>
          <w:lang w:val="sr-Latn-ME"/>
        </w:rPr>
      </w:pPr>
      <w:r w:rsidRPr="007C19A2">
        <w:rPr>
          <w:i/>
          <w:iCs/>
          <w:color w:val="000000"/>
          <w:sz w:val="22"/>
          <w:szCs w:val="22"/>
          <w:lang w:val="sr-Latn-ME"/>
        </w:rPr>
        <w:t xml:space="preserve">Pedijatrijska populacija </w:t>
      </w:r>
    </w:p>
    <w:p w14:paraId="0A22AD91" w14:textId="24D0BDC3" w:rsidR="00466839" w:rsidRPr="007C19A2" w:rsidRDefault="00466839" w:rsidP="00466839">
      <w:pPr>
        <w:jc w:val="both"/>
        <w:rPr>
          <w:sz w:val="22"/>
          <w:szCs w:val="22"/>
          <w:lang w:val="sr-Latn-ME"/>
        </w:rPr>
      </w:pPr>
      <w:r w:rsidRPr="007C19A2">
        <w:rPr>
          <w:sz w:val="22"/>
          <w:szCs w:val="22"/>
          <w:lang w:val="sr-Latn-ME"/>
        </w:rPr>
        <w:t>Bezbjednost i efikasnost primjene lijeka Akynzeo kod djece ni</w:t>
      </w:r>
      <w:r w:rsidR="00630751" w:rsidRPr="007C19A2">
        <w:rPr>
          <w:sz w:val="22"/>
          <w:szCs w:val="22"/>
          <w:lang w:val="sr-Latn-ME"/>
        </w:rPr>
        <w:t>je</w:t>
      </w:r>
      <w:r w:rsidRPr="007C19A2">
        <w:rPr>
          <w:sz w:val="22"/>
          <w:szCs w:val="22"/>
          <w:lang w:val="sr-Latn-ME"/>
        </w:rPr>
        <w:t xml:space="preserve">su ustanovljene. Nema dostupnih podataka. </w:t>
      </w:r>
    </w:p>
    <w:p w14:paraId="34EF93EF" w14:textId="77777777" w:rsidR="00466839" w:rsidRPr="007C19A2" w:rsidRDefault="00466839" w:rsidP="00466839">
      <w:pPr>
        <w:jc w:val="both"/>
        <w:rPr>
          <w:sz w:val="22"/>
          <w:szCs w:val="22"/>
          <w:lang w:val="sr-Latn-ME"/>
        </w:rPr>
      </w:pPr>
    </w:p>
    <w:p w14:paraId="176A3C04" w14:textId="77777777" w:rsidR="00452E9D" w:rsidRPr="007C19A2" w:rsidRDefault="00452E9D" w:rsidP="00480FB1">
      <w:pPr>
        <w:tabs>
          <w:tab w:val="left" w:pos="540"/>
          <w:tab w:val="left" w:pos="569"/>
        </w:tabs>
        <w:rPr>
          <w:bCs/>
          <w:sz w:val="22"/>
          <w:szCs w:val="22"/>
          <w:u w:val="single"/>
          <w:lang w:val="sr-Latn-ME"/>
        </w:rPr>
      </w:pPr>
      <w:r w:rsidRPr="007C19A2">
        <w:rPr>
          <w:bCs/>
          <w:sz w:val="22"/>
          <w:szCs w:val="22"/>
          <w:u w:val="single"/>
          <w:lang w:val="sr-Latn-ME"/>
        </w:rPr>
        <w:t>Način primjene</w:t>
      </w:r>
    </w:p>
    <w:p w14:paraId="176A3C05" w14:textId="440974C6" w:rsidR="00452E9D" w:rsidRPr="007C19A2" w:rsidRDefault="00452E9D" w:rsidP="00480FB1">
      <w:pPr>
        <w:tabs>
          <w:tab w:val="left" w:pos="540"/>
          <w:tab w:val="left" w:pos="569"/>
        </w:tabs>
        <w:rPr>
          <w:bCs/>
          <w:sz w:val="22"/>
          <w:szCs w:val="22"/>
          <w:lang w:val="sr-Latn-ME"/>
        </w:rPr>
      </w:pPr>
    </w:p>
    <w:p w14:paraId="07EDAD13" w14:textId="77777777" w:rsidR="00DC2207" w:rsidRPr="007C19A2" w:rsidRDefault="00DC2207" w:rsidP="00DC2207">
      <w:pPr>
        <w:autoSpaceDE w:val="0"/>
        <w:autoSpaceDN w:val="0"/>
        <w:adjustRightInd w:val="0"/>
        <w:jc w:val="both"/>
        <w:rPr>
          <w:sz w:val="22"/>
          <w:szCs w:val="22"/>
          <w:lang w:val="sr-Latn-ME"/>
        </w:rPr>
      </w:pPr>
      <w:r w:rsidRPr="007C19A2">
        <w:rPr>
          <w:sz w:val="22"/>
          <w:szCs w:val="22"/>
          <w:lang w:val="sr-Latn-ME"/>
        </w:rPr>
        <w:t xml:space="preserve">Za oralnu primjenu. </w:t>
      </w:r>
    </w:p>
    <w:p w14:paraId="44156348" w14:textId="77777777" w:rsidR="00DC2207" w:rsidRPr="007C19A2" w:rsidRDefault="00DC2207" w:rsidP="00DC2207">
      <w:pPr>
        <w:autoSpaceDE w:val="0"/>
        <w:autoSpaceDN w:val="0"/>
        <w:adjustRightInd w:val="0"/>
        <w:jc w:val="both"/>
        <w:rPr>
          <w:sz w:val="22"/>
          <w:szCs w:val="22"/>
          <w:lang w:val="sr-Latn-ME"/>
        </w:rPr>
      </w:pPr>
    </w:p>
    <w:p w14:paraId="54D5F278" w14:textId="77777777" w:rsidR="008C7162" w:rsidRPr="007C19A2" w:rsidRDefault="00DC2207" w:rsidP="008C7162">
      <w:pPr>
        <w:autoSpaceDE w:val="0"/>
        <w:autoSpaceDN w:val="0"/>
        <w:adjustRightInd w:val="0"/>
        <w:jc w:val="both"/>
        <w:rPr>
          <w:color w:val="000000"/>
          <w:sz w:val="22"/>
          <w:szCs w:val="22"/>
          <w:lang w:val="sr-Latn-ME" w:eastAsia="it-CH"/>
        </w:rPr>
      </w:pPr>
      <w:r w:rsidRPr="007C19A2">
        <w:rPr>
          <w:color w:val="000000"/>
          <w:sz w:val="22"/>
          <w:szCs w:val="22"/>
          <w:lang w:val="sr-Latn-ME" w:eastAsia="it-CH"/>
        </w:rPr>
        <w:t>Tvrdu kapsulu progutati cijelu</w:t>
      </w:r>
      <w:r w:rsidR="008C7162" w:rsidRPr="007C19A2">
        <w:rPr>
          <w:color w:val="000000"/>
          <w:sz w:val="22"/>
          <w:szCs w:val="22"/>
          <w:lang w:val="sr-Latn-ME" w:eastAsia="it-CH"/>
        </w:rPr>
        <w:t xml:space="preserve"> i neotvorenu, jer sadrži 4 pojedinačne farmaceutske komponente koje</w:t>
      </w:r>
    </w:p>
    <w:p w14:paraId="038E8F89" w14:textId="55718679" w:rsidR="00DC2207" w:rsidRPr="007C19A2" w:rsidRDefault="008C7162" w:rsidP="008C7162">
      <w:pPr>
        <w:autoSpaceDE w:val="0"/>
        <w:autoSpaceDN w:val="0"/>
        <w:adjustRightInd w:val="0"/>
        <w:jc w:val="both"/>
        <w:rPr>
          <w:color w:val="000000"/>
          <w:sz w:val="22"/>
          <w:szCs w:val="22"/>
          <w:lang w:val="sr-Latn-ME" w:eastAsia="it-CH"/>
        </w:rPr>
      </w:pPr>
      <w:r w:rsidRPr="007C19A2">
        <w:rPr>
          <w:color w:val="000000"/>
          <w:sz w:val="22"/>
          <w:szCs w:val="22"/>
          <w:lang w:val="sr-Latn-ME" w:eastAsia="it-CH"/>
        </w:rPr>
        <w:t>treba primijeniti istovremeno.</w:t>
      </w:r>
    </w:p>
    <w:p w14:paraId="7F40ABBE" w14:textId="77777777" w:rsidR="00630751" w:rsidRPr="007C19A2" w:rsidRDefault="00630751" w:rsidP="008C7162">
      <w:pPr>
        <w:autoSpaceDE w:val="0"/>
        <w:autoSpaceDN w:val="0"/>
        <w:adjustRightInd w:val="0"/>
        <w:jc w:val="both"/>
        <w:rPr>
          <w:color w:val="000000"/>
          <w:sz w:val="22"/>
          <w:szCs w:val="22"/>
          <w:lang w:val="sr-Latn-ME" w:eastAsia="it-CH"/>
        </w:rPr>
      </w:pPr>
    </w:p>
    <w:p w14:paraId="0F252E19" w14:textId="77777777"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Može da se uzima sa hranom ili bez nje. </w:t>
      </w:r>
    </w:p>
    <w:p w14:paraId="39D1B77B" w14:textId="77777777" w:rsidR="00DC2207" w:rsidRPr="007C19A2" w:rsidRDefault="00DC2207" w:rsidP="00480FB1">
      <w:pPr>
        <w:tabs>
          <w:tab w:val="left" w:pos="540"/>
          <w:tab w:val="left" w:pos="569"/>
        </w:tabs>
        <w:rPr>
          <w:bCs/>
          <w:sz w:val="22"/>
          <w:szCs w:val="22"/>
          <w:lang w:val="sr-Latn-ME"/>
        </w:rPr>
      </w:pPr>
    </w:p>
    <w:p w14:paraId="176A3C06" w14:textId="77777777" w:rsidR="00411B4B" w:rsidRPr="007C19A2" w:rsidRDefault="00411B4B" w:rsidP="00480FB1">
      <w:pPr>
        <w:tabs>
          <w:tab w:val="left" w:pos="540"/>
          <w:tab w:val="left" w:pos="569"/>
        </w:tabs>
        <w:rPr>
          <w:b/>
          <w:bCs/>
          <w:sz w:val="22"/>
          <w:szCs w:val="22"/>
          <w:lang w:val="sr-Latn-ME"/>
        </w:rPr>
      </w:pPr>
      <w:r w:rsidRPr="007C19A2">
        <w:rPr>
          <w:b/>
          <w:bCs/>
          <w:sz w:val="22"/>
          <w:szCs w:val="22"/>
          <w:lang w:val="sr-Latn-ME"/>
        </w:rPr>
        <w:t xml:space="preserve">4.3. </w:t>
      </w:r>
      <w:r w:rsidR="00480FB1" w:rsidRPr="007C19A2">
        <w:rPr>
          <w:b/>
          <w:bCs/>
          <w:sz w:val="22"/>
          <w:szCs w:val="22"/>
          <w:lang w:val="sr-Latn-ME"/>
        </w:rPr>
        <w:tab/>
      </w:r>
      <w:r w:rsidRPr="007C19A2">
        <w:rPr>
          <w:b/>
          <w:bCs/>
          <w:sz w:val="22"/>
          <w:szCs w:val="22"/>
          <w:lang w:val="sr-Latn-ME"/>
        </w:rPr>
        <w:t>Kontraindikacije</w:t>
      </w:r>
    </w:p>
    <w:p w14:paraId="176A3C07" w14:textId="579F3673" w:rsidR="0072020E" w:rsidRPr="007C19A2" w:rsidRDefault="0072020E" w:rsidP="00480FB1">
      <w:pPr>
        <w:tabs>
          <w:tab w:val="left" w:pos="540"/>
          <w:tab w:val="left" w:pos="569"/>
        </w:tabs>
        <w:rPr>
          <w:bCs/>
          <w:sz w:val="22"/>
          <w:szCs w:val="22"/>
          <w:lang w:val="sr-Latn-ME"/>
        </w:rPr>
      </w:pPr>
    </w:p>
    <w:p w14:paraId="568563B9" w14:textId="701DCD17"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Preosjetljivost na aktivne supstance ili na neku od pomoćnih supstanci navedenih u </w:t>
      </w:r>
      <w:r w:rsidR="0049002B" w:rsidRPr="007C19A2">
        <w:rPr>
          <w:color w:val="000000"/>
          <w:sz w:val="22"/>
          <w:szCs w:val="22"/>
          <w:lang w:val="sr-Latn-ME"/>
        </w:rPr>
        <w:t xml:space="preserve">dijelu </w:t>
      </w:r>
      <w:r w:rsidRPr="007C19A2">
        <w:rPr>
          <w:color w:val="000000"/>
          <w:sz w:val="22"/>
          <w:szCs w:val="22"/>
          <w:lang w:val="sr-Latn-ME"/>
        </w:rPr>
        <w:t>6.1.</w:t>
      </w:r>
    </w:p>
    <w:p w14:paraId="564FA398" w14:textId="77777777" w:rsidR="00DC2207" w:rsidRPr="007C19A2" w:rsidRDefault="00DC2207" w:rsidP="00DC2207">
      <w:pPr>
        <w:autoSpaceDE w:val="0"/>
        <w:autoSpaceDN w:val="0"/>
        <w:adjustRightInd w:val="0"/>
        <w:jc w:val="both"/>
        <w:rPr>
          <w:b/>
          <w:bCs/>
          <w:color w:val="000000"/>
          <w:sz w:val="22"/>
          <w:szCs w:val="22"/>
          <w:lang w:val="sr-Latn-ME"/>
        </w:rPr>
      </w:pPr>
    </w:p>
    <w:p w14:paraId="4843F3EE" w14:textId="420025C1"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Trudnoća (vidjeti </w:t>
      </w:r>
      <w:r w:rsidR="002B63E9" w:rsidRPr="007C19A2">
        <w:rPr>
          <w:color w:val="000000"/>
          <w:sz w:val="22"/>
          <w:szCs w:val="22"/>
          <w:lang w:val="sr-Latn-ME"/>
        </w:rPr>
        <w:t xml:space="preserve">dio </w:t>
      </w:r>
      <w:r w:rsidRPr="007C19A2">
        <w:rPr>
          <w:color w:val="000000"/>
          <w:sz w:val="22"/>
          <w:szCs w:val="22"/>
          <w:lang w:val="sr-Latn-ME"/>
        </w:rPr>
        <w:t>4.6).</w:t>
      </w:r>
    </w:p>
    <w:p w14:paraId="11F8B87D" w14:textId="77777777" w:rsidR="00DC2207" w:rsidRPr="007C19A2" w:rsidRDefault="00DC2207" w:rsidP="00480FB1">
      <w:pPr>
        <w:tabs>
          <w:tab w:val="left" w:pos="540"/>
          <w:tab w:val="left" w:pos="569"/>
        </w:tabs>
        <w:rPr>
          <w:bCs/>
          <w:sz w:val="22"/>
          <w:szCs w:val="22"/>
          <w:lang w:val="sr-Latn-ME"/>
        </w:rPr>
      </w:pPr>
    </w:p>
    <w:p w14:paraId="176A3C08" w14:textId="77777777" w:rsidR="00411B4B" w:rsidRPr="007C19A2" w:rsidRDefault="00411B4B" w:rsidP="00480FB1">
      <w:pPr>
        <w:tabs>
          <w:tab w:val="left" w:pos="540"/>
          <w:tab w:val="left" w:pos="569"/>
        </w:tabs>
        <w:rPr>
          <w:b/>
          <w:bCs/>
          <w:sz w:val="22"/>
          <w:szCs w:val="22"/>
          <w:lang w:val="sr-Latn-ME"/>
        </w:rPr>
      </w:pPr>
      <w:r w:rsidRPr="007C19A2">
        <w:rPr>
          <w:b/>
          <w:bCs/>
          <w:sz w:val="22"/>
          <w:szCs w:val="22"/>
          <w:lang w:val="sr-Latn-ME"/>
        </w:rPr>
        <w:t xml:space="preserve">4.4. </w:t>
      </w:r>
      <w:r w:rsidR="00480FB1" w:rsidRPr="007C19A2">
        <w:rPr>
          <w:b/>
          <w:bCs/>
          <w:sz w:val="22"/>
          <w:szCs w:val="22"/>
          <w:lang w:val="sr-Latn-ME"/>
        </w:rPr>
        <w:tab/>
      </w:r>
      <w:r w:rsidRPr="007C19A2">
        <w:rPr>
          <w:b/>
          <w:bCs/>
          <w:sz w:val="22"/>
          <w:szCs w:val="22"/>
          <w:lang w:val="sr-Latn-ME"/>
        </w:rPr>
        <w:t>Posebna upozorenja i mjere opreza pri upotrebi lijeka</w:t>
      </w:r>
    </w:p>
    <w:p w14:paraId="176A3C09" w14:textId="77777777" w:rsidR="0072020E" w:rsidRPr="007C19A2" w:rsidRDefault="0072020E" w:rsidP="00480FB1">
      <w:pPr>
        <w:tabs>
          <w:tab w:val="left" w:pos="540"/>
          <w:tab w:val="left" w:pos="569"/>
        </w:tabs>
        <w:rPr>
          <w:bCs/>
          <w:sz w:val="22"/>
          <w:szCs w:val="22"/>
          <w:lang w:val="sr-Latn-ME"/>
        </w:rPr>
      </w:pPr>
    </w:p>
    <w:p w14:paraId="76D8BE6D" w14:textId="77777777" w:rsidR="00DC2207" w:rsidRPr="007C19A2" w:rsidRDefault="00DC2207" w:rsidP="00DC2207">
      <w:pPr>
        <w:autoSpaceDE w:val="0"/>
        <w:autoSpaceDN w:val="0"/>
        <w:adjustRightInd w:val="0"/>
        <w:jc w:val="both"/>
        <w:rPr>
          <w:color w:val="000000"/>
          <w:sz w:val="22"/>
          <w:szCs w:val="22"/>
          <w:u w:val="single"/>
          <w:lang w:val="sr-Latn-ME"/>
        </w:rPr>
      </w:pPr>
      <w:r w:rsidRPr="007C19A2">
        <w:rPr>
          <w:color w:val="000000"/>
          <w:sz w:val="22"/>
          <w:szCs w:val="22"/>
          <w:u w:val="single"/>
          <w:lang w:val="sr-Latn-ME"/>
        </w:rPr>
        <w:t>Konstipacija</w:t>
      </w:r>
    </w:p>
    <w:p w14:paraId="740E44B8" w14:textId="77777777" w:rsidR="00DC2207" w:rsidRPr="007C19A2" w:rsidRDefault="00DC2207" w:rsidP="00DC2207">
      <w:pPr>
        <w:autoSpaceDE w:val="0"/>
        <w:autoSpaceDN w:val="0"/>
        <w:adjustRightInd w:val="0"/>
        <w:jc w:val="both"/>
        <w:rPr>
          <w:color w:val="000000"/>
          <w:sz w:val="22"/>
          <w:szCs w:val="22"/>
          <w:u w:val="single"/>
          <w:lang w:val="sr-Latn-ME"/>
        </w:rPr>
      </w:pPr>
    </w:p>
    <w:p w14:paraId="626F410D" w14:textId="3B41DDB3"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Kako palonosetron može da produži vrijeme prolaska sadržaja kroz debelo crijevo, pacijente </w:t>
      </w:r>
      <w:r w:rsidR="008C7162" w:rsidRPr="007C19A2">
        <w:rPr>
          <w:color w:val="000000"/>
          <w:sz w:val="22"/>
          <w:szCs w:val="22"/>
          <w:lang w:val="sr-Latn-ME"/>
        </w:rPr>
        <w:t>koji imaju u</w:t>
      </w:r>
      <w:r w:rsidRPr="007C19A2">
        <w:rPr>
          <w:color w:val="000000"/>
          <w:sz w:val="22"/>
          <w:szCs w:val="22"/>
          <w:lang w:val="sr-Latn-ME"/>
        </w:rPr>
        <w:t xml:space="preserve"> anamnez</w:t>
      </w:r>
      <w:r w:rsidR="008C7162" w:rsidRPr="007C19A2">
        <w:rPr>
          <w:color w:val="000000"/>
          <w:sz w:val="22"/>
          <w:szCs w:val="22"/>
          <w:lang w:val="sr-Latn-ME"/>
        </w:rPr>
        <w:t>i</w:t>
      </w:r>
      <w:r w:rsidRPr="007C19A2">
        <w:rPr>
          <w:color w:val="000000"/>
          <w:sz w:val="22"/>
          <w:szCs w:val="22"/>
          <w:lang w:val="sr-Latn-ME"/>
        </w:rPr>
        <w:t xml:space="preserve"> konstipacij</w:t>
      </w:r>
      <w:r w:rsidR="008C7162" w:rsidRPr="007C19A2">
        <w:rPr>
          <w:color w:val="000000"/>
          <w:sz w:val="22"/>
          <w:szCs w:val="22"/>
          <w:lang w:val="sr-Latn-ME"/>
        </w:rPr>
        <w:t>u</w:t>
      </w:r>
      <w:r w:rsidRPr="007C19A2">
        <w:rPr>
          <w:color w:val="000000"/>
          <w:sz w:val="22"/>
          <w:szCs w:val="22"/>
          <w:lang w:val="sr-Latn-ME"/>
        </w:rPr>
        <w:t xml:space="preserve"> ili znakov</w:t>
      </w:r>
      <w:r w:rsidR="008C7162" w:rsidRPr="007C19A2">
        <w:rPr>
          <w:color w:val="000000"/>
          <w:sz w:val="22"/>
          <w:szCs w:val="22"/>
          <w:lang w:val="sr-Latn-ME"/>
        </w:rPr>
        <w:t>e</w:t>
      </w:r>
      <w:r w:rsidRPr="007C19A2">
        <w:rPr>
          <w:color w:val="000000"/>
          <w:sz w:val="22"/>
          <w:szCs w:val="22"/>
          <w:lang w:val="sr-Latn-ME"/>
        </w:rPr>
        <w:t xml:space="preserve"> subakutne crijevne opstrukcije treba pratiti nakon primjene lijeka</w:t>
      </w:r>
      <w:r w:rsidR="009D5C15" w:rsidRPr="007C19A2">
        <w:rPr>
          <w:color w:val="000000"/>
          <w:sz w:val="22"/>
          <w:szCs w:val="22"/>
          <w:lang w:val="sr-Latn-ME"/>
        </w:rPr>
        <w:t xml:space="preserve"> (vidjeti </w:t>
      </w:r>
      <w:r w:rsidR="002B63E9" w:rsidRPr="007C19A2">
        <w:rPr>
          <w:color w:val="000000"/>
          <w:sz w:val="22"/>
          <w:szCs w:val="22"/>
          <w:lang w:val="sr-Latn-ME"/>
        </w:rPr>
        <w:t xml:space="preserve">dio </w:t>
      </w:r>
      <w:r w:rsidR="009D5C15" w:rsidRPr="007C19A2">
        <w:rPr>
          <w:color w:val="000000"/>
          <w:sz w:val="22"/>
          <w:szCs w:val="22"/>
          <w:lang w:val="sr-Latn-ME"/>
        </w:rPr>
        <w:t>4.8)</w:t>
      </w:r>
      <w:r w:rsidRPr="007C19A2">
        <w:rPr>
          <w:color w:val="000000"/>
          <w:sz w:val="22"/>
          <w:szCs w:val="22"/>
          <w:lang w:val="sr-Latn-ME"/>
        </w:rPr>
        <w:t xml:space="preserve">. </w:t>
      </w:r>
    </w:p>
    <w:p w14:paraId="611F7373" w14:textId="77777777" w:rsidR="00DC2207" w:rsidRPr="007C19A2" w:rsidRDefault="00DC2207" w:rsidP="00DC2207">
      <w:pPr>
        <w:autoSpaceDE w:val="0"/>
        <w:autoSpaceDN w:val="0"/>
        <w:adjustRightInd w:val="0"/>
        <w:jc w:val="both"/>
        <w:rPr>
          <w:color w:val="000000"/>
          <w:sz w:val="22"/>
          <w:szCs w:val="22"/>
          <w:lang w:val="sr-Latn-ME"/>
        </w:rPr>
      </w:pPr>
    </w:p>
    <w:p w14:paraId="0E9CF9EB" w14:textId="77777777" w:rsidR="00DC2207" w:rsidRPr="007C19A2" w:rsidRDefault="00DC2207" w:rsidP="00DC2207">
      <w:pPr>
        <w:jc w:val="both"/>
        <w:rPr>
          <w:sz w:val="22"/>
          <w:szCs w:val="22"/>
          <w:u w:val="single"/>
          <w:lang w:val="sr-Latn-ME"/>
        </w:rPr>
      </w:pPr>
      <w:r w:rsidRPr="007C19A2">
        <w:rPr>
          <w:sz w:val="22"/>
          <w:szCs w:val="22"/>
          <w:u w:val="single"/>
          <w:lang w:val="sr-Latn-ME"/>
        </w:rPr>
        <w:t xml:space="preserve">Serotoninski sindrom </w:t>
      </w:r>
    </w:p>
    <w:p w14:paraId="372C5881" w14:textId="77777777" w:rsidR="00DC2207" w:rsidRPr="007C19A2" w:rsidRDefault="00DC2207" w:rsidP="00DC2207">
      <w:pPr>
        <w:jc w:val="both"/>
        <w:rPr>
          <w:sz w:val="22"/>
          <w:szCs w:val="22"/>
          <w:u w:val="single"/>
          <w:lang w:val="sr-Latn-ME"/>
        </w:rPr>
      </w:pPr>
    </w:p>
    <w:p w14:paraId="3B4C262E" w14:textId="27833493"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Postoje prijave o serotoninskom sindromu uz primjenu antagonista 5-HT</w:t>
      </w:r>
      <w:r w:rsidRPr="007C19A2">
        <w:rPr>
          <w:color w:val="000000"/>
          <w:sz w:val="22"/>
          <w:szCs w:val="22"/>
          <w:vertAlign w:val="subscript"/>
          <w:lang w:val="sr-Latn-ME"/>
        </w:rPr>
        <w:t>3</w:t>
      </w:r>
      <w:r w:rsidRPr="007C19A2">
        <w:rPr>
          <w:color w:val="000000"/>
          <w:sz w:val="22"/>
          <w:szCs w:val="22"/>
          <w:lang w:val="sr-Latn-ME"/>
        </w:rPr>
        <w:t xml:space="preserve">, bilo samih ili u kombinaciji sa drugim serotonergičnim ljekovima (uključujući i selektivne inhibitore ponovnog preuzimanja serotonina (SSRI) i inhibitore </w:t>
      </w:r>
      <w:r w:rsidR="005505A6" w:rsidRPr="007C19A2">
        <w:rPr>
          <w:color w:val="000000"/>
          <w:sz w:val="22"/>
          <w:szCs w:val="22"/>
          <w:lang w:val="sr-Latn-ME"/>
        </w:rPr>
        <w:t xml:space="preserve">ponovnog </w:t>
      </w:r>
      <w:r w:rsidRPr="007C19A2">
        <w:rPr>
          <w:color w:val="000000"/>
          <w:sz w:val="22"/>
          <w:szCs w:val="22"/>
          <w:lang w:val="sr-Latn-ME"/>
        </w:rPr>
        <w:t xml:space="preserve">preuzimanja serotonina i noradrenalina (SNRI)). Savjetuje se </w:t>
      </w:r>
      <w:r w:rsidRPr="007C19A2">
        <w:rPr>
          <w:color w:val="000000"/>
          <w:sz w:val="22"/>
          <w:szCs w:val="22"/>
          <w:lang w:val="sr-Latn-ME"/>
        </w:rPr>
        <w:lastRenderedPageBreak/>
        <w:t>odgovarajuće p</w:t>
      </w:r>
      <w:r w:rsidR="002503F0" w:rsidRPr="007C19A2">
        <w:rPr>
          <w:color w:val="000000"/>
          <w:sz w:val="22"/>
          <w:szCs w:val="22"/>
          <w:lang w:val="sr-Latn-ME"/>
        </w:rPr>
        <w:t>raćenje stanj</w:t>
      </w:r>
      <w:r w:rsidR="00630751" w:rsidRPr="007C19A2">
        <w:rPr>
          <w:color w:val="000000"/>
          <w:sz w:val="22"/>
          <w:szCs w:val="22"/>
          <w:lang w:val="sr-Latn-ME"/>
        </w:rPr>
        <w:t>a</w:t>
      </w:r>
      <w:r w:rsidRPr="007C19A2">
        <w:rPr>
          <w:color w:val="000000"/>
          <w:sz w:val="22"/>
          <w:szCs w:val="22"/>
          <w:lang w:val="sr-Latn-ME"/>
        </w:rPr>
        <w:t xml:space="preserve"> pacijenata na prisustvo simptoma sličnih serotoninskom sindromu</w:t>
      </w:r>
      <w:r w:rsidR="00C60020" w:rsidRPr="007C19A2">
        <w:rPr>
          <w:color w:val="000000"/>
          <w:sz w:val="22"/>
          <w:szCs w:val="22"/>
          <w:lang w:val="sr-Latn-ME"/>
        </w:rPr>
        <w:t xml:space="preserve"> (vidjeti </w:t>
      </w:r>
      <w:r w:rsidR="002B63E9" w:rsidRPr="007C19A2">
        <w:rPr>
          <w:color w:val="000000"/>
          <w:sz w:val="22"/>
          <w:szCs w:val="22"/>
          <w:lang w:val="sr-Latn-ME"/>
        </w:rPr>
        <w:t xml:space="preserve">dio </w:t>
      </w:r>
      <w:r w:rsidR="00C60020" w:rsidRPr="007C19A2">
        <w:rPr>
          <w:color w:val="000000"/>
          <w:sz w:val="22"/>
          <w:szCs w:val="22"/>
          <w:lang w:val="sr-Latn-ME"/>
        </w:rPr>
        <w:t>4.8)</w:t>
      </w:r>
      <w:r w:rsidRPr="007C19A2">
        <w:rPr>
          <w:color w:val="000000"/>
          <w:sz w:val="22"/>
          <w:szCs w:val="22"/>
          <w:lang w:val="sr-Latn-ME"/>
        </w:rPr>
        <w:t>.</w:t>
      </w:r>
    </w:p>
    <w:p w14:paraId="736179F7" w14:textId="77777777" w:rsidR="00DC2207" w:rsidRPr="007C19A2" w:rsidRDefault="00DC2207" w:rsidP="00DC2207">
      <w:pPr>
        <w:autoSpaceDE w:val="0"/>
        <w:autoSpaceDN w:val="0"/>
        <w:adjustRightInd w:val="0"/>
        <w:jc w:val="both"/>
        <w:rPr>
          <w:color w:val="000000"/>
          <w:sz w:val="22"/>
          <w:szCs w:val="22"/>
          <w:u w:val="single"/>
          <w:lang w:val="sr-Latn-ME"/>
        </w:rPr>
      </w:pPr>
    </w:p>
    <w:p w14:paraId="7D90EEF7" w14:textId="77777777" w:rsidR="00DC2207" w:rsidRPr="007C19A2" w:rsidRDefault="00DC2207" w:rsidP="00DC2207">
      <w:pPr>
        <w:autoSpaceDE w:val="0"/>
        <w:autoSpaceDN w:val="0"/>
        <w:adjustRightInd w:val="0"/>
        <w:jc w:val="both"/>
        <w:rPr>
          <w:color w:val="000000"/>
          <w:sz w:val="22"/>
          <w:szCs w:val="22"/>
          <w:u w:val="single"/>
          <w:lang w:val="sr-Latn-ME"/>
        </w:rPr>
      </w:pPr>
      <w:r w:rsidRPr="007C19A2">
        <w:rPr>
          <w:color w:val="000000"/>
          <w:sz w:val="22"/>
          <w:szCs w:val="22"/>
          <w:u w:val="single"/>
          <w:lang w:val="sr-Latn-ME"/>
        </w:rPr>
        <w:t>Produženje QT intervala</w:t>
      </w:r>
    </w:p>
    <w:p w14:paraId="3C2C6BD9" w14:textId="77777777" w:rsidR="00DC2207" w:rsidRPr="007C19A2" w:rsidRDefault="00DC2207" w:rsidP="00DC2207">
      <w:pPr>
        <w:autoSpaceDE w:val="0"/>
        <w:autoSpaceDN w:val="0"/>
        <w:adjustRightInd w:val="0"/>
        <w:jc w:val="both"/>
        <w:rPr>
          <w:color w:val="000000"/>
          <w:sz w:val="22"/>
          <w:szCs w:val="22"/>
          <w:u w:val="single"/>
          <w:lang w:val="sr-Latn-ME"/>
        </w:rPr>
      </w:pPr>
    </w:p>
    <w:p w14:paraId="0F322FE3" w14:textId="6EAB0623"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Sprovedeno je EKG ispitivanje kod zdravih odraslih dobrovoljaca, muškaraca i žena, sa oraln</w:t>
      </w:r>
      <w:r w:rsidR="002503F0" w:rsidRPr="007C19A2">
        <w:rPr>
          <w:color w:val="000000"/>
          <w:sz w:val="22"/>
          <w:szCs w:val="22"/>
          <w:lang w:val="sr-Latn-ME"/>
        </w:rPr>
        <w:t>om dozom</w:t>
      </w:r>
      <w:r w:rsidRPr="007C19A2">
        <w:rPr>
          <w:color w:val="000000"/>
          <w:sz w:val="22"/>
          <w:szCs w:val="22"/>
          <w:lang w:val="sr-Latn-ME"/>
        </w:rPr>
        <w:t xml:space="preserve"> netupitant</w:t>
      </w:r>
      <w:r w:rsidR="002503F0" w:rsidRPr="007C19A2">
        <w:rPr>
          <w:color w:val="000000"/>
          <w:sz w:val="22"/>
          <w:szCs w:val="22"/>
          <w:lang w:val="sr-Latn-ME"/>
        </w:rPr>
        <w:t>a</w:t>
      </w:r>
      <w:r w:rsidRPr="007C19A2">
        <w:rPr>
          <w:color w:val="000000"/>
          <w:sz w:val="22"/>
          <w:szCs w:val="22"/>
          <w:lang w:val="sr-Latn-ME"/>
        </w:rPr>
        <w:t xml:space="preserve"> od 200 ili 600 mg primijenjenog u kombinaciji sa oraln</w:t>
      </w:r>
      <w:r w:rsidR="00DC4F3F" w:rsidRPr="007C19A2">
        <w:rPr>
          <w:color w:val="000000"/>
          <w:sz w:val="22"/>
          <w:szCs w:val="22"/>
          <w:lang w:val="sr-Latn-ME"/>
        </w:rPr>
        <w:t>om dozom</w:t>
      </w:r>
      <w:r w:rsidRPr="007C19A2">
        <w:rPr>
          <w:color w:val="000000"/>
          <w:sz w:val="22"/>
          <w:szCs w:val="22"/>
          <w:lang w:val="sr-Latn-ME"/>
        </w:rPr>
        <w:t xml:space="preserve"> palonosetron</w:t>
      </w:r>
      <w:r w:rsidR="00DC4F3F" w:rsidRPr="007C19A2">
        <w:rPr>
          <w:color w:val="000000"/>
          <w:sz w:val="22"/>
          <w:szCs w:val="22"/>
          <w:lang w:val="sr-Latn-ME"/>
        </w:rPr>
        <w:t>a</w:t>
      </w:r>
      <w:r w:rsidRPr="007C19A2">
        <w:rPr>
          <w:color w:val="000000"/>
          <w:sz w:val="22"/>
          <w:szCs w:val="22"/>
          <w:lang w:val="sr-Latn-ME"/>
        </w:rPr>
        <w:t xml:space="preserve"> od 0,5 odnosno 1,5 mg. Ispitivanje</w:t>
      </w:r>
      <w:r w:rsidR="00DC4F3F" w:rsidRPr="007C19A2">
        <w:rPr>
          <w:color w:val="000000"/>
          <w:sz w:val="22"/>
          <w:szCs w:val="22"/>
          <w:lang w:val="sr-Latn-ME"/>
        </w:rPr>
        <w:t>m</w:t>
      </w:r>
      <w:r w:rsidRPr="007C19A2">
        <w:rPr>
          <w:color w:val="000000"/>
          <w:sz w:val="22"/>
          <w:szCs w:val="22"/>
          <w:lang w:val="sr-Latn-ME"/>
        </w:rPr>
        <w:t xml:space="preserve"> nije dokaza</w:t>
      </w:r>
      <w:r w:rsidR="00DC4F3F" w:rsidRPr="007C19A2">
        <w:rPr>
          <w:color w:val="000000"/>
          <w:sz w:val="22"/>
          <w:szCs w:val="22"/>
          <w:lang w:val="sr-Latn-ME"/>
        </w:rPr>
        <w:t>n</w:t>
      </w:r>
      <w:r w:rsidRPr="007C19A2">
        <w:rPr>
          <w:color w:val="000000"/>
          <w:sz w:val="22"/>
          <w:szCs w:val="22"/>
          <w:lang w:val="sr-Latn-ME"/>
        </w:rPr>
        <w:t xml:space="preserve"> klinički značaj</w:t>
      </w:r>
      <w:r w:rsidR="00DC4F3F" w:rsidRPr="007C19A2">
        <w:rPr>
          <w:color w:val="000000"/>
          <w:sz w:val="22"/>
          <w:szCs w:val="22"/>
          <w:lang w:val="sr-Latn-ME"/>
        </w:rPr>
        <w:t>a</w:t>
      </w:r>
      <w:r w:rsidRPr="007C19A2">
        <w:rPr>
          <w:color w:val="000000"/>
          <w:sz w:val="22"/>
          <w:szCs w:val="22"/>
          <w:lang w:val="sr-Latn-ME"/>
        </w:rPr>
        <w:t xml:space="preserve">n </w:t>
      </w:r>
      <w:r w:rsidR="00DC4F3F" w:rsidRPr="007C19A2">
        <w:rPr>
          <w:color w:val="000000"/>
          <w:sz w:val="22"/>
          <w:szCs w:val="22"/>
          <w:lang w:val="sr-Latn-ME"/>
        </w:rPr>
        <w:t>uticaj</w:t>
      </w:r>
      <w:r w:rsidRPr="007C19A2">
        <w:rPr>
          <w:color w:val="000000"/>
          <w:sz w:val="22"/>
          <w:szCs w:val="22"/>
          <w:lang w:val="sr-Latn-ME"/>
        </w:rPr>
        <w:t xml:space="preserve"> na EKG parametre: najveća procjen</w:t>
      </w:r>
      <w:r w:rsidR="00FD44F6" w:rsidRPr="007C19A2">
        <w:rPr>
          <w:color w:val="000000"/>
          <w:sz w:val="22"/>
          <w:szCs w:val="22"/>
          <w:lang w:val="sr-Latn-ME"/>
        </w:rPr>
        <w:t>jen</w:t>
      </w:r>
      <w:r w:rsidRPr="007C19A2">
        <w:rPr>
          <w:color w:val="000000"/>
          <w:sz w:val="22"/>
          <w:szCs w:val="22"/>
          <w:lang w:val="sr-Latn-ME"/>
        </w:rPr>
        <w:t xml:space="preserve">a </w:t>
      </w:r>
      <w:r w:rsidR="00FD44F6" w:rsidRPr="007C19A2">
        <w:rPr>
          <w:color w:val="000000"/>
          <w:sz w:val="22"/>
          <w:szCs w:val="22"/>
          <w:lang w:val="sr-Latn-ME"/>
        </w:rPr>
        <w:t>vrijednost</w:t>
      </w:r>
      <w:r w:rsidRPr="007C19A2">
        <w:rPr>
          <w:color w:val="000000"/>
          <w:sz w:val="22"/>
          <w:szCs w:val="22"/>
          <w:lang w:val="sr-Latn-ME"/>
        </w:rPr>
        <w:t xml:space="preserve"> QTc intervala korigovanog za placebo i početnu vrijednost iznosila je 7,0 ms (gornja granica jednostranog 95%-og intervala pouzdanosti 8,8 ms), primijećena 16 sati nakon primjene supraterapijskih doza (600 mg netupitanta i 1,5 mg palonosetrona). Gornja granica 95%-og intervala pouzdanosti procjen</w:t>
      </w:r>
      <w:r w:rsidR="00FD44F6" w:rsidRPr="007C19A2">
        <w:rPr>
          <w:color w:val="000000"/>
          <w:sz w:val="22"/>
          <w:szCs w:val="22"/>
          <w:lang w:val="sr-Latn-ME"/>
        </w:rPr>
        <w:t>j</w:t>
      </w:r>
      <w:r w:rsidRPr="007C19A2">
        <w:rPr>
          <w:color w:val="000000"/>
          <w:sz w:val="22"/>
          <w:szCs w:val="22"/>
          <w:lang w:val="sr-Latn-ME"/>
        </w:rPr>
        <w:t>e</w:t>
      </w:r>
      <w:r w:rsidR="00FD44F6" w:rsidRPr="007C19A2">
        <w:rPr>
          <w:color w:val="000000"/>
          <w:sz w:val="22"/>
          <w:szCs w:val="22"/>
          <w:lang w:val="sr-Latn-ME"/>
        </w:rPr>
        <w:t>ne vrijenosti</w:t>
      </w:r>
      <w:r w:rsidRPr="007C19A2">
        <w:rPr>
          <w:color w:val="000000"/>
          <w:sz w:val="22"/>
          <w:szCs w:val="22"/>
          <w:lang w:val="sr-Latn-ME"/>
        </w:rPr>
        <w:t xml:space="preserve"> QTc intervala korigovanog za placebo i početnu vrijednost bila je neprekidno u okviru 10 ms u svim vremenskim tačkama tokom 2 dana poslije primjene ispitivanog lijeka. </w:t>
      </w:r>
    </w:p>
    <w:p w14:paraId="1363D8F5" w14:textId="77777777" w:rsidR="00DC2207" w:rsidRPr="007C19A2" w:rsidRDefault="00DC2207" w:rsidP="00DC2207">
      <w:pPr>
        <w:autoSpaceDE w:val="0"/>
        <w:autoSpaceDN w:val="0"/>
        <w:adjustRightInd w:val="0"/>
        <w:jc w:val="both"/>
        <w:rPr>
          <w:color w:val="000000"/>
          <w:sz w:val="22"/>
          <w:szCs w:val="22"/>
          <w:lang w:val="sr-Latn-ME"/>
        </w:rPr>
      </w:pPr>
    </w:p>
    <w:p w14:paraId="7886D909" w14:textId="77777777"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Međutim, budući da lijek Akynzeo sadrži antagonist receptora 5-HT</w:t>
      </w:r>
      <w:r w:rsidRPr="007C19A2">
        <w:rPr>
          <w:color w:val="000000"/>
          <w:sz w:val="22"/>
          <w:szCs w:val="22"/>
          <w:vertAlign w:val="subscript"/>
          <w:lang w:val="sr-Latn-ME"/>
        </w:rPr>
        <w:t>3</w:t>
      </w:r>
      <w:r w:rsidRPr="007C19A2">
        <w:rPr>
          <w:color w:val="000000"/>
          <w:sz w:val="22"/>
          <w:szCs w:val="22"/>
          <w:lang w:val="sr-Latn-ME"/>
        </w:rPr>
        <w:t>, potreban je oprez kod istovremene primjene sa ljekovima koji produžavaju QT interval, kao i kod primjene kod pacijenata koji imaju ili kod kojih može doći do produženja QT intervala. Ova stanja uključuju pacijente sa ličnom ili porodičnom anamnezom produženog QT intervala, poremećajem elektrolita, kongestivnom srčanom insuficijencijom, bradiaritmijom, poremećajima provodljivosti i kod pacijenata koji uzimaju antiaritmike ili druge ljekove koji vode do produženja QT intervala ili poremećaja elektrolita. Prije primjene potrebno je korigovati hipokalijemiju i hipomagnezijemiju.</w:t>
      </w:r>
    </w:p>
    <w:p w14:paraId="65FADE26" w14:textId="77777777" w:rsidR="00A05EDC" w:rsidRPr="007C19A2" w:rsidRDefault="00A05EDC" w:rsidP="00DC2207">
      <w:pPr>
        <w:autoSpaceDE w:val="0"/>
        <w:autoSpaceDN w:val="0"/>
        <w:adjustRightInd w:val="0"/>
        <w:jc w:val="both"/>
        <w:rPr>
          <w:color w:val="000000"/>
          <w:sz w:val="22"/>
          <w:szCs w:val="22"/>
          <w:lang w:val="sr-Latn-ME"/>
        </w:rPr>
      </w:pPr>
    </w:p>
    <w:p w14:paraId="1D48B1A0" w14:textId="65F0E7D6"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Potreban je oprez kod pacijenata sa teškim oštećenjem funkcije jetre, s obzirom na to da su podaci za ove pacijente ograničeni.</w:t>
      </w:r>
    </w:p>
    <w:p w14:paraId="08D306AB" w14:textId="77777777" w:rsidR="00DC2207" w:rsidRPr="007C19A2" w:rsidRDefault="00DC2207" w:rsidP="00DC2207">
      <w:pPr>
        <w:autoSpaceDE w:val="0"/>
        <w:autoSpaceDN w:val="0"/>
        <w:adjustRightInd w:val="0"/>
        <w:jc w:val="both"/>
        <w:rPr>
          <w:color w:val="000000"/>
          <w:sz w:val="22"/>
          <w:szCs w:val="22"/>
          <w:lang w:val="sr-Latn-ME"/>
        </w:rPr>
      </w:pPr>
    </w:p>
    <w:p w14:paraId="22B382CC" w14:textId="162FE80D"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Ovaj lijek treba primjenjivati sa oprezom kod pacijenata koji istovremeno oralno primaju aktivne supstance koje se metabolišu primarno preko CYP3A4 i koje imaju uski terapijski opseg</w:t>
      </w:r>
      <w:r w:rsidR="00EE34B9" w:rsidRPr="007C19A2">
        <w:rPr>
          <w:color w:val="000000"/>
          <w:sz w:val="22"/>
          <w:szCs w:val="22"/>
          <w:lang w:val="sr-Latn-ME"/>
        </w:rPr>
        <w:t xml:space="preserve"> (vidjeti </w:t>
      </w:r>
      <w:r w:rsidR="002B63E9" w:rsidRPr="007C19A2">
        <w:rPr>
          <w:color w:val="000000"/>
          <w:sz w:val="22"/>
          <w:szCs w:val="22"/>
          <w:lang w:val="sr-Latn-ME"/>
        </w:rPr>
        <w:t xml:space="preserve">dio </w:t>
      </w:r>
      <w:r w:rsidR="00EE34B9" w:rsidRPr="007C19A2">
        <w:rPr>
          <w:color w:val="000000"/>
          <w:sz w:val="22"/>
          <w:szCs w:val="22"/>
          <w:lang w:val="sr-Latn-ME"/>
        </w:rPr>
        <w:t>4.5)</w:t>
      </w:r>
      <w:r w:rsidR="008D678D" w:rsidRPr="007C19A2">
        <w:rPr>
          <w:color w:val="000000"/>
          <w:sz w:val="22"/>
          <w:szCs w:val="22"/>
          <w:lang w:val="sr-Latn-ME"/>
        </w:rPr>
        <w:t>.</w:t>
      </w:r>
    </w:p>
    <w:p w14:paraId="1D80681B" w14:textId="77777777" w:rsidR="00EE34B9" w:rsidRPr="007C19A2" w:rsidRDefault="00EE34B9" w:rsidP="00DC2207">
      <w:pPr>
        <w:keepLines/>
        <w:jc w:val="both"/>
        <w:rPr>
          <w:rFonts w:eastAsia="SimSun"/>
          <w:sz w:val="22"/>
          <w:szCs w:val="22"/>
          <w:u w:val="single"/>
          <w:lang w:val="sr-Latn-ME" w:eastAsia="zh-CN"/>
        </w:rPr>
      </w:pPr>
    </w:p>
    <w:p w14:paraId="5BAD9A2F" w14:textId="397B5ADB" w:rsidR="00DC2207" w:rsidRPr="007C19A2" w:rsidRDefault="00DC2207" w:rsidP="00DC2207">
      <w:pPr>
        <w:keepLines/>
        <w:jc w:val="both"/>
        <w:rPr>
          <w:rFonts w:eastAsia="SimSun"/>
          <w:sz w:val="22"/>
          <w:szCs w:val="22"/>
          <w:u w:val="single"/>
          <w:lang w:val="sr-Latn-ME" w:eastAsia="zh-CN"/>
        </w:rPr>
      </w:pPr>
      <w:r w:rsidRPr="007C19A2">
        <w:rPr>
          <w:rFonts w:eastAsia="SimSun"/>
          <w:sz w:val="22"/>
          <w:szCs w:val="22"/>
          <w:u w:val="single"/>
          <w:lang w:val="sr-Latn-ME" w:eastAsia="zh-CN"/>
        </w:rPr>
        <w:t>Hem</w:t>
      </w:r>
      <w:r w:rsidR="008D678D" w:rsidRPr="007C19A2">
        <w:rPr>
          <w:rFonts w:eastAsia="SimSun"/>
          <w:sz w:val="22"/>
          <w:szCs w:val="22"/>
          <w:u w:val="single"/>
          <w:lang w:val="sr-Latn-ME" w:eastAsia="zh-CN"/>
        </w:rPr>
        <w:t>i</w:t>
      </w:r>
      <w:r w:rsidRPr="007C19A2">
        <w:rPr>
          <w:rFonts w:eastAsia="SimSun"/>
          <w:sz w:val="22"/>
          <w:szCs w:val="22"/>
          <w:u w:val="single"/>
          <w:lang w:val="sr-Latn-ME" w:eastAsia="zh-CN"/>
        </w:rPr>
        <w:t>oterapijski agensi koji su supstrati za CYP3A4</w:t>
      </w:r>
    </w:p>
    <w:p w14:paraId="2E00E141" w14:textId="77777777" w:rsidR="00DC2207" w:rsidRPr="007C19A2" w:rsidRDefault="00DC2207" w:rsidP="00DC2207">
      <w:pPr>
        <w:keepLines/>
        <w:jc w:val="both"/>
        <w:rPr>
          <w:rFonts w:eastAsia="SimSun"/>
          <w:sz w:val="22"/>
          <w:szCs w:val="22"/>
          <w:u w:val="single"/>
          <w:lang w:val="sr-Latn-ME" w:eastAsia="zh-CN"/>
        </w:rPr>
      </w:pPr>
    </w:p>
    <w:p w14:paraId="72CE4ED4" w14:textId="480A2BF8" w:rsidR="00DC2207" w:rsidRPr="007C19A2" w:rsidRDefault="00DC2207" w:rsidP="00DC2207">
      <w:pPr>
        <w:autoSpaceDE w:val="0"/>
        <w:autoSpaceDN w:val="0"/>
        <w:adjustRightInd w:val="0"/>
        <w:jc w:val="both"/>
        <w:rPr>
          <w:color w:val="000000"/>
          <w:sz w:val="22"/>
          <w:szCs w:val="22"/>
          <w:lang w:val="sr-Latn-ME"/>
        </w:rPr>
      </w:pPr>
      <w:r w:rsidRPr="007C19A2">
        <w:rPr>
          <w:rFonts w:eastAsia="SimSun"/>
          <w:color w:val="000000"/>
          <w:sz w:val="22"/>
          <w:szCs w:val="22"/>
          <w:lang w:val="sr-Latn-ME" w:eastAsia="zh-CN"/>
        </w:rPr>
        <w:t>Netupitant je umjereni inhibitor CYP3A4 i može povećati izloženost hem</w:t>
      </w:r>
      <w:r w:rsidR="00430DC4" w:rsidRPr="007C19A2">
        <w:rPr>
          <w:rFonts w:eastAsia="SimSun"/>
          <w:color w:val="000000"/>
          <w:sz w:val="22"/>
          <w:szCs w:val="22"/>
          <w:lang w:val="sr-Latn-ME" w:eastAsia="zh-CN"/>
        </w:rPr>
        <w:t>i</w:t>
      </w:r>
      <w:r w:rsidRPr="007C19A2">
        <w:rPr>
          <w:rFonts w:eastAsia="SimSun"/>
          <w:color w:val="000000"/>
          <w:sz w:val="22"/>
          <w:szCs w:val="22"/>
          <w:lang w:val="sr-Latn-ME" w:eastAsia="zh-CN"/>
        </w:rPr>
        <w:t xml:space="preserve">oterapijskim ljekovima koji su supstrati za CYP3A4, npr. docetaksel (vidjeti </w:t>
      </w:r>
      <w:r w:rsidR="002B63E9" w:rsidRPr="007C19A2">
        <w:rPr>
          <w:rFonts w:eastAsia="SimSun"/>
          <w:color w:val="000000"/>
          <w:sz w:val="22"/>
          <w:szCs w:val="22"/>
          <w:lang w:val="sr-Latn-ME" w:eastAsia="zh-CN"/>
        </w:rPr>
        <w:t xml:space="preserve">dio </w:t>
      </w:r>
      <w:r w:rsidRPr="007C19A2">
        <w:rPr>
          <w:rFonts w:eastAsia="SimSun"/>
          <w:color w:val="000000"/>
          <w:sz w:val="22"/>
          <w:szCs w:val="22"/>
          <w:lang w:val="sr-Latn-ME" w:eastAsia="zh-CN"/>
        </w:rPr>
        <w:t>4.5). Stoga je potrebno pratiti pacijente zbog povećane toksičnosti hem</w:t>
      </w:r>
      <w:r w:rsidR="00430DC4" w:rsidRPr="007C19A2">
        <w:rPr>
          <w:rFonts w:eastAsia="SimSun"/>
          <w:color w:val="000000"/>
          <w:sz w:val="22"/>
          <w:szCs w:val="22"/>
          <w:lang w:val="sr-Latn-ME" w:eastAsia="zh-CN"/>
        </w:rPr>
        <w:t>i</w:t>
      </w:r>
      <w:r w:rsidRPr="007C19A2">
        <w:rPr>
          <w:rFonts w:eastAsia="SimSun"/>
          <w:color w:val="000000"/>
          <w:sz w:val="22"/>
          <w:szCs w:val="22"/>
          <w:lang w:val="sr-Latn-ME" w:eastAsia="zh-CN"/>
        </w:rPr>
        <w:t>oterapijskih agenasa koji su supstrati za CYP3A4, uključujući i irinotekan. Takođe, netupitant može da utiče i na efikasnost hem</w:t>
      </w:r>
      <w:r w:rsidR="00430DC4" w:rsidRPr="007C19A2">
        <w:rPr>
          <w:rFonts w:eastAsia="SimSun"/>
          <w:color w:val="000000"/>
          <w:sz w:val="22"/>
          <w:szCs w:val="22"/>
          <w:lang w:val="sr-Latn-ME" w:eastAsia="zh-CN"/>
        </w:rPr>
        <w:t>i</w:t>
      </w:r>
      <w:r w:rsidRPr="007C19A2">
        <w:rPr>
          <w:rFonts w:eastAsia="SimSun"/>
          <w:color w:val="000000"/>
          <w:sz w:val="22"/>
          <w:szCs w:val="22"/>
          <w:lang w:val="sr-Latn-ME" w:eastAsia="zh-CN"/>
        </w:rPr>
        <w:t xml:space="preserve">oterapijskih agenasa kojima je potrebna metabolička aktivacija pomoću izoenzima CYP3A4. </w:t>
      </w:r>
    </w:p>
    <w:p w14:paraId="6FB32182" w14:textId="77777777" w:rsidR="00DC2207" w:rsidRPr="007C19A2" w:rsidRDefault="00DC2207" w:rsidP="00DC2207">
      <w:pPr>
        <w:keepLines/>
        <w:jc w:val="both"/>
        <w:rPr>
          <w:rFonts w:eastAsia="SimSun"/>
          <w:sz w:val="22"/>
          <w:szCs w:val="22"/>
          <w:lang w:val="sr-Latn-ME" w:eastAsia="zh-CN"/>
        </w:rPr>
      </w:pPr>
    </w:p>
    <w:p w14:paraId="46197A3A" w14:textId="77777777" w:rsidR="00DC2207" w:rsidRPr="007C19A2" w:rsidRDefault="00DC2207" w:rsidP="00DC2207">
      <w:pPr>
        <w:autoSpaceDE w:val="0"/>
        <w:autoSpaceDN w:val="0"/>
        <w:adjustRightInd w:val="0"/>
        <w:jc w:val="both"/>
        <w:rPr>
          <w:color w:val="000000"/>
          <w:sz w:val="22"/>
          <w:szCs w:val="22"/>
          <w:u w:val="single"/>
          <w:lang w:val="sr-Latn-ME"/>
        </w:rPr>
      </w:pPr>
      <w:r w:rsidRPr="007C19A2">
        <w:rPr>
          <w:color w:val="000000"/>
          <w:sz w:val="22"/>
          <w:szCs w:val="22"/>
          <w:u w:val="single"/>
          <w:lang w:val="sr-Latn-ME"/>
        </w:rPr>
        <w:t>Pomoćne supstance</w:t>
      </w:r>
    </w:p>
    <w:p w14:paraId="5A72E29A" w14:textId="77777777" w:rsidR="00DC2207" w:rsidRPr="007C19A2" w:rsidRDefault="00DC2207" w:rsidP="00DC2207">
      <w:pPr>
        <w:autoSpaceDE w:val="0"/>
        <w:autoSpaceDN w:val="0"/>
        <w:adjustRightInd w:val="0"/>
        <w:jc w:val="both"/>
        <w:rPr>
          <w:color w:val="000000"/>
          <w:sz w:val="22"/>
          <w:szCs w:val="22"/>
          <w:u w:val="single"/>
          <w:lang w:val="sr-Latn-ME"/>
        </w:rPr>
      </w:pPr>
    </w:p>
    <w:p w14:paraId="72F1A2E5" w14:textId="31CEA35B" w:rsidR="00430DC4"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 xml:space="preserve">Lijek Akynzeo sadrži sorbitol i saharozu. </w:t>
      </w:r>
    </w:p>
    <w:p w14:paraId="5F5DAF66" w14:textId="77777777" w:rsidR="00630751" w:rsidRPr="007C19A2" w:rsidRDefault="00630751" w:rsidP="00DC2207">
      <w:pPr>
        <w:autoSpaceDE w:val="0"/>
        <w:autoSpaceDN w:val="0"/>
        <w:adjustRightInd w:val="0"/>
        <w:jc w:val="both"/>
        <w:rPr>
          <w:color w:val="000000"/>
          <w:sz w:val="22"/>
          <w:szCs w:val="22"/>
          <w:lang w:val="sr-Latn-ME"/>
        </w:rPr>
      </w:pPr>
    </w:p>
    <w:p w14:paraId="72DFE805" w14:textId="3CCA5A4A" w:rsidR="000B7EAE" w:rsidRPr="007C19A2" w:rsidRDefault="003121E2" w:rsidP="003121E2">
      <w:pPr>
        <w:autoSpaceDE w:val="0"/>
        <w:autoSpaceDN w:val="0"/>
        <w:adjustRightInd w:val="0"/>
        <w:jc w:val="both"/>
        <w:rPr>
          <w:color w:val="000000"/>
          <w:sz w:val="22"/>
          <w:szCs w:val="22"/>
          <w:lang w:val="sr-Latn-ME"/>
        </w:rPr>
      </w:pPr>
      <w:r w:rsidRPr="007C19A2">
        <w:rPr>
          <w:color w:val="000000"/>
          <w:sz w:val="22"/>
          <w:szCs w:val="22"/>
          <w:lang w:val="sr-Latn-ME"/>
        </w:rPr>
        <w:t>Jedna kapsula sadrži 7 mg sorbitola (E420).</w:t>
      </w:r>
      <w:r w:rsidR="001D56B5" w:rsidRPr="007C19A2">
        <w:rPr>
          <w:color w:val="000000"/>
          <w:sz w:val="22"/>
          <w:szCs w:val="22"/>
          <w:lang w:val="sr-Latn-ME"/>
        </w:rPr>
        <w:t xml:space="preserve"> </w:t>
      </w:r>
      <w:r w:rsidRPr="007C19A2">
        <w:rPr>
          <w:color w:val="000000"/>
          <w:sz w:val="22"/>
          <w:szCs w:val="22"/>
          <w:lang w:val="sr-Latn-ME"/>
        </w:rPr>
        <w:t>Treba uzeti u obzir aditivno dejstvo istovremeno prim</w:t>
      </w:r>
      <w:r w:rsidR="001D56B5" w:rsidRPr="007C19A2">
        <w:rPr>
          <w:color w:val="000000"/>
          <w:sz w:val="22"/>
          <w:szCs w:val="22"/>
          <w:lang w:val="sr-Latn-ME"/>
        </w:rPr>
        <w:t>ij</w:t>
      </w:r>
      <w:r w:rsidRPr="007C19A2">
        <w:rPr>
          <w:color w:val="000000"/>
          <w:sz w:val="22"/>
          <w:szCs w:val="22"/>
          <w:lang w:val="sr-Latn-ME"/>
        </w:rPr>
        <w:t>enjenih l</w:t>
      </w:r>
      <w:r w:rsidR="001D56B5" w:rsidRPr="007C19A2">
        <w:rPr>
          <w:color w:val="000000"/>
          <w:sz w:val="22"/>
          <w:szCs w:val="22"/>
          <w:lang w:val="sr-Latn-ME"/>
        </w:rPr>
        <w:t>j</w:t>
      </w:r>
      <w:r w:rsidRPr="007C19A2">
        <w:rPr>
          <w:color w:val="000000"/>
          <w:sz w:val="22"/>
          <w:szCs w:val="22"/>
          <w:lang w:val="sr-Latn-ME"/>
        </w:rPr>
        <w:t>ekova koji sadrže sorbitol (E420) (ili</w:t>
      </w:r>
      <w:r w:rsidR="001D56B5" w:rsidRPr="007C19A2">
        <w:rPr>
          <w:color w:val="000000"/>
          <w:sz w:val="22"/>
          <w:szCs w:val="22"/>
          <w:lang w:val="sr-Latn-ME"/>
        </w:rPr>
        <w:t xml:space="preserve"> </w:t>
      </w:r>
      <w:r w:rsidRPr="007C19A2">
        <w:rPr>
          <w:color w:val="000000"/>
          <w:sz w:val="22"/>
          <w:szCs w:val="22"/>
          <w:lang w:val="sr-Latn-ME"/>
        </w:rPr>
        <w:t>fruktozu) i unos sorbitola (E420) (ili fruktoze) putem hrane.</w:t>
      </w:r>
      <w:r w:rsidR="001D56B5" w:rsidRPr="007C19A2">
        <w:rPr>
          <w:color w:val="000000"/>
          <w:sz w:val="22"/>
          <w:szCs w:val="22"/>
          <w:lang w:val="sr-Latn-ME"/>
        </w:rPr>
        <w:t xml:space="preserve"> </w:t>
      </w:r>
      <w:r w:rsidRPr="007C19A2">
        <w:rPr>
          <w:color w:val="000000"/>
          <w:sz w:val="22"/>
          <w:szCs w:val="22"/>
          <w:lang w:val="sr-Latn-ME"/>
        </w:rPr>
        <w:t>Sadržaj sorbitola (E420) (ili fruktoze) u l</w:t>
      </w:r>
      <w:r w:rsidR="001D56B5" w:rsidRPr="007C19A2">
        <w:rPr>
          <w:color w:val="000000"/>
          <w:sz w:val="22"/>
          <w:szCs w:val="22"/>
          <w:lang w:val="sr-Latn-ME"/>
        </w:rPr>
        <w:t>j</w:t>
      </w:r>
      <w:r w:rsidRPr="007C19A2">
        <w:rPr>
          <w:color w:val="000000"/>
          <w:sz w:val="22"/>
          <w:szCs w:val="22"/>
          <w:lang w:val="sr-Latn-ME"/>
        </w:rPr>
        <w:t>ekovima za oralnu upotrebu može uticati na bioraspoloživost drugih istovremeno prim</w:t>
      </w:r>
      <w:r w:rsidR="001D56B5" w:rsidRPr="007C19A2">
        <w:rPr>
          <w:color w:val="000000"/>
          <w:sz w:val="22"/>
          <w:szCs w:val="22"/>
          <w:lang w:val="sr-Latn-ME"/>
        </w:rPr>
        <w:t>ij</w:t>
      </w:r>
      <w:r w:rsidRPr="007C19A2">
        <w:rPr>
          <w:color w:val="000000"/>
          <w:sz w:val="22"/>
          <w:szCs w:val="22"/>
          <w:lang w:val="sr-Latn-ME"/>
        </w:rPr>
        <w:t>enjenih l</w:t>
      </w:r>
      <w:r w:rsidR="001D56B5" w:rsidRPr="007C19A2">
        <w:rPr>
          <w:color w:val="000000"/>
          <w:sz w:val="22"/>
          <w:szCs w:val="22"/>
          <w:lang w:val="sr-Latn-ME"/>
        </w:rPr>
        <w:t>j</w:t>
      </w:r>
      <w:r w:rsidRPr="007C19A2">
        <w:rPr>
          <w:color w:val="000000"/>
          <w:sz w:val="22"/>
          <w:szCs w:val="22"/>
          <w:lang w:val="sr-Latn-ME"/>
        </w:rPr>
        <w:t>ekova za oralnu primjenu</w:t>
      </w:r>
      <w:r w:rsidR="001D56B5" w:rsidRPr="007C19A2">
        <w:rPr>
          <w:color w:val="000000"/>
          <w:sz w:val="22"/>
          <w:szCs w:val="22"/>
          <w:lang w:val="sr-Latn-ME"/>
        </w:rPr>
        <w:t>.</w:t>
      </w:r>
    </w:p>
    <w:p w14:paraId="39F68EF1" w14:textId="77777777" w:rsidR="00630751" w:rsidRPr="007C19A2" w:rsidRDefault="00630751" w:rsidP="003121E2">
      <w:pPr>
        <w:autoSpaceDE w:val="0"/>
        <w:autoSpaceDN w:val="0"/>
        <w:adjustRightInd w:val="0"/>
        <w:jc w:val="both"/>
        <w:rPr>
          <w:color w:val="000000"/>
          <w:sz w:val="22"/>
          <w:szCs w:val="22"/>
          <w:lang w:val="sr-Latn-ME"/>
        </w:rPr>
      </w:pPr>
    </w:p>
    <w:p w14:paraId="046C1E7E" w14:textId="5A3C0503" w:rsidR="00DC2207" w:rsidRPr="007C19A2" w:rsidRDefault="00447E60" w:rsidP="00DC2207">
      <w:pPr>
        <w:autoSpaceDE w:val="0"/>
        <w:autoSpaceDN w:val="0"/>
        <w:adjustRightInd w:val="0"/>
        <w:jc w:val="both"/>
        <w:rPr>
          <w:color w:val="000000"/>
          <w:sz w:val="22"/>
          <w:szCs w:val="22"/>
          <w:lang w:val="sr-Latn-ME"/>
        </w:rPr>
      </w:pPr>
      <w:r w:rsidRPr="007C19A2">
        <w:rPr>
          <w:color w:val="000000"/>
          <w:sz w:val="22"/>
          <w:szCs w:val="22"/>
          <w:lang w:val="sr-Latn-ME"/>
        </w:rPr>
        <w:t>Ovaj l</w:t>
      </w:r>
      <w:r w:rsidR="001D56B5" w:rsidRPr="007C19A2">
        <w:rPr>
          <w:color w:val="000000"/>
          <w:sz w:val="22"/>
          <w:szCs w:val="22"/>
          <w:lang w:val="sr-Latn-ME"/>
        </w:rPr>
        <w:t>ij</w:t>
      </w:r>
      <w:r w:rsidRPr="007C19A2">
        <w:rPr>
          <w:color w:val="000000"/>
          <w:sz w:val="22"/>
          <w:szCs w:val="22"/>
          <w:lang w:val="sr-Latn-ME"/>
        </w:rPr>
        <w:t>ek takođe sadrži 20 mg saharoze u jednoj kapsuli</w:t>
      </w:r>
      <w:r w:rsidR="001D56B5" w:rsidRPr="007C19A2">
        <w:rPr>
          <w:color w:val="000000"/>
          <w:sz w:val="22"/>
          <w:szCs w:val="22"/>
          <w:lang w:val="sr-Latn-ME"/>
        </w:rPr>
        <w:t>.</w:t>
      </w:r>
      <w:r w:rsidRPr="007C19A2">
        <w:rPr>
          <w:color w:val="000000"/>
          <w:sz w:val="22"/>
          <w:szCs w:val="22"/>
          <w:lang w:val="sr-Latn-ME"/>
        </w:rPr>
        <w:t xml:space="preserve"> </w:t>
      </w:r>
      <w:r w:rsidR="00DC2207" w:rsidRPr="007C19A2">
        <w:rPr>
          <w:color w:val="000000"/>
          <w:sz w:val="22"/>
          <w:szCs w:val="22"/>
          <w:lang w:val="sr-Latn-ME"/>
        </w:rPr>
        <w:t>Pacijenti sa rijetkim nasljednim poremećajima intolerancije fruktoze, malapsorpcij</w:t>
      </w:r>
      <w:r w:rsidR="00D17DD0" w:rsidRPr="007C19A2">
        <w:rPr>
          <w:color w:val="000000"/>
          <w:sz w:val="22"/>
          <w:szCs w:val="22"/>
          <w:lang w:val="sr-Latn-ME"/>
        </w:rPr>
        <w:t>e</w:t>
      </w:r>
      <w:r w:rsidR="00DC2207" w:rsidRPr="007C19A2">
        <w:rPr>
          <w:color w:val="000000"/>
          <w:sz w:val="22"/>
          <w:szCs w:val="22"/>
          <w:lang w:val="sr-Latn-ME"/>
        </w:rPr>
        <w:t xml:space="preserve"> glukoze-galaktoze ili nedostatk</w:t>
      </w:r>
      <w:r w:rsidR="00AA12E3" w:rsidRPr="007C19A2">
        <w:rPr>
          <w:color w:val="000000"/>
          <w:sz w:val="22"/>
          <w:szCs w:val="22"/>
          <w:lang w:val="sr-Latn-ME"/>
        </w:rPr>
        <w:t>a</w:t>
      </w:r>
      <w:r w:rsidR="00DC2207" w:rsidRPr="007C19A2">
        <w:rPr>
          <w:color w:val="000000"/>
          <w:sz w:val="22"/>
          <w:szCs w:val="22"/>
          <w:lang w:val="sr-Latn-ME"/>
        </w:rPr>
        <w:t xml:space="preserve"> saharoza-izomaltaze ne smiju da uzimaju ovaj lijek. </w:t>
      </w:r>
    </w:p>
    <w:p w14:paraId="42DA7481" w14:textId="77777777" w:rsidR="00DC2207" w:rsidRPr="007C19A2" w:rsidRDefault="00DC2207" w:rsidP="00DC2207">
      <w:pPr>
        <w:autoSpaceDE w:val="0"/>
        <w:autoSpaceDN w:val="0"/>
        <w:adjustRightInd w:val="0"/>
        <w:jc w:val="both"/>
        <w:rPr>
          <w:color w:val="000000"/>
          <w:sz w:val="22"/>
          <w:szCs w:val="22"/>
          <w:lang w:val="sr-Latn-ME"/>
        </w:rPr>
      </w:pPr>
    </w:p>
    <w:p w14:paraId="08BF6108" w14:textId="2FF165A9" w:rsidR="00CC5A25" w:rsidRPr="007C19A2" w:rsidRDefault="00F56E67" w:rsidP="00DC2207">
      <w:pPr>
        <w:autoSpaceDE w:val="0"/>
        <w:autoSpaceDN w:val="0"/>
        <w:adjustRightInd w:val="0"/>
        <w:jc w:val="both"/>
        <w:rPr>
          <w:color w:val="000000"/>
          <w:sz w:val="22"/>
          <w:szCs w:val="22"/>
          <w:lang w:val="sr-Latn-ME"/>
        </w:rPr>
      </w:pPr>
      <w:r w:rsidRPr="007C19A2">
        <w:rPr>
          <w:color w:val="000000"/>
          <w:sz w:val="22"/>
          <w:szCs w:val="22"/>
          <w:lang w:val="sr-Latn-ME"/>
        </w:rPr>
        <w:t>Ovaj l</w:t>
      </w:r>
      <w:r w:rsidR="005B16C5" w:rsidRPr="007C19A2">
        <w:rPr>
          <w:color w:val="000000"/>
          <w:sz w:val="22"/>
          <w:szCs w:val="22"/>
          <w:lang w:val="sr-Latn-ME"/>
        </w:rPr>
        <w:t>ij</w:t>
      </w:r>
      <w:r w:rsidRPr="007C19A2">
        <w:rPr>
          <w:color w:val="000000"/>
          <w:sz w:val="22"/>
          <w:szCs w:val="22"/>
          <w:lang w:val="sr-Latn-ME"/>
        </w:rPr>
        <w:t>ek sadrži manje od 1</w:t>
      </w:r>
      <w:r w:rsidR="001D56B5" w:rsidRPr="007C19A2">
        <w:rPr>
          <w:color w:val="000000"/>
          <w:sz w:val="22"/>
          <w:szCs w:val="22"/>
          <w:lang w:val="sr-Latn-ME"/>
        </w:rPr>
        <w:t xml:space="preserve"> </w:t>
      </w:r>
      <w:r w:rsidRPr="007C19A2">
        <w:rPr>
          <w:color w:val="000000"/>
          <w:sz w:val="22"/>
          <w:szCs w:val="22"/>
          <w:lang w:val="sr-Latn-ME"/>
        </w:rPr>
        <w:t>mmol (23 mg) natrijuma u svakoj kapsuli,</w:t>
      </w:r>
      <w:r w:rsidR="00CC5A25" w:rsidRPr="007C19A2">
        <w:rPr>
          <w:color w:val="000000"/>
          <w:sz w:val="22"/>
          <w:szCs w:val="22"/>
          <w:lang w:val="sr-Latn-ME"/>
        </w:rPr>
        <w:t xml:space="preserve"> </w:t>
      </w:r>
      <w:r w:rsidRPr="007C19A2">
        <w:rPr>
          <w:color w:val="000000"/>
          <w:sz w:val="22"/>
          <w:szCs w:val="22"/>
          <w:lang w:val="sr-Latn-ME"/>
        </w:rPr>
        <w:t xml:space="preserve">odnosno suštinski je </w:t>
      </w:r>
      <w:r w:rsidR="00CC5A25" w:rsidRPr="007C19A2">
        <w:rPr>
          <w:color w:val="000000"/>
          <w:sz w:val="22"/>
          <w:szCs w:val="22"/>
          <w:lang w:val="sr-Latn-ME"/>
        </w:rPr>
        <w:t>„</w:t>
      </w:r>
      <w:r w:rsidRPr="007C19A2">
        <w:rPr>
          <w:color w:val="000000"/>
          <w:sz w:val="22"/>
          <w:szCs w:val="22"/>
          <w:lang w:val="sr-Latn-ME"/>
        </w:rPr>
        <w:t>bez natrijuma</w:t>
      </w:r>
      <w:r w:rsidR="00CC5A25" w:rsidRPr="007C19A2">
        <w:rPr>
          <w:color w:val="000000"/>
          <w:sz w:val="22"/>
          <w:szCs w:val="22"/>
          <w:lang w:val="sr-Latn-ME"/>
        </w:rPr>
        <w:t>“</w:t>
      </w:r>
      <w:r w:rsidRPr="007C19A2">
        <w:rPr>
          <w:color w:val="000000"/>
          <w:sz w:val="22"/>
          <w:szCs w:val="22"/>
          <w:lang w:val="sr-Latn-ME"/>
        </w:rPr>
        <w:t>.</w:t>
      </w:r>
    </w:p>
    <w:p w14:paraId="07A212FA" w14:textId="77777777" w:rsidR="00CC5A25" w:rsidRPr="007C19A2" w:rsidRDefault="00CC5A25" w:rsidP="00DC2207">
      <w:pPr>
        <w:autoSpaceDE w:val="0"/>
        <w:autoSpaceDN w:val="0"/>
        <w:adjustRightInd w:val="0"/>
        <w:jc w:val="both"/>
        <w:rPr>
          <w:color w:val="000000"/>
          <w:sz w:val="22"/>
          <w:szCs w:val="22"/>
          <w:lang w:val="sr-Latn-ME"/>
        </w:rPr>
      </w:pPr>
    </w:p>
    <w:p w14:paraId="51B4638F" w14:textId="616C42B9" w:rsidR="00DC2207" w:rsidRPr="007C19A2" w:rsidRDefault="00DC2207" w:rsidP="00DC2207">
      <w:pPr>
        <w:autoSpaceDE w:val="0"/>
        <w:autoSpaceDN w:val="0"/>
        <w:adjustRightInd w:val="0"/>
        <w:jc w:val="both"/>
        <w:rPr>
          <w:color w:val="000000"/>
          <w:sz w:val="22"/>
          <w:szCs w:val="22"/>
          <w:lang w:val="sr-Latn-ME"/>
        </w:rPr>
      </w:pPr>
      <w:r w:rsidRPr="007C19A2">
        <w:rPr>
          <w:color w:val="000000"/>
          <w:sz w:val="22"/>
          <w:szCs w:val="22"/>
          <w:lang w:val="sr-Latn-ME"/>
        </w:rPr>
        <w:t>Ovaj lijek takođe može u tragovima sadržati lecitin dobijen od soje. Na osnovu toga, pacijente sa poznatom preosjetljivošću na kikiriki ili soju treba pažljivo pratiti zbog znakova alergijske reakcije</w:t>
      </w:r>
      <w:r w:rsidR="00CC5A25" w:rsidRPr="007C19A2">
        <w:rPr>
          <w:color w:val="000000"/>
          <w:sz w:val="22"/>
          <w:szCs w:val="22"/>
          <w:lang w:val="sr-Latn-ME"/>
        </w:rPr>
        <w:t xml:space="preserve"> (vidjeti </w:t>
      </w:r>
      <w:r w:rsidR="002B63E9" w:rsidRPr="007C19A2">
        <w:rPr>
          <w:color w:val="000000"/>
          <w:sz w:val="22"/>
          <w:szCs w:val="22"/>
          <w:lang w:val="sr-Latn-ME"/>
        </w:rPr>
        <w:t xml:space="preserve">dio </w:t>
      </w:r>
      <w:r w:rsidR="00CC5A25" w:rsidRPr="007C19A2">
        <w:rPr>
          <w:color w:val="000000"/>
          <w:sz w:val="22"/>
          <w:szCs w:val="22"/>
          <w:lang w:val="sr-Latn-ME"/>
        </w:rPr>
        <w:t>4.8)</w:t>
      </w:r>
      <w:r w:rsidRPr="007C19A2">
        <w:rPr>
          <w:color w:val="000000"/>
          <w:sz w:val="22"/>
          <w:szCs w:val="22"/>
          <w:lang w:val="sr-Latn-ME"/>
        </w:rPr>
        <w:t>.</w:t>
      </w:r>
    </w:p>
    <w:p w14:paraId="176A3C0C" w14:textId="77777777" w:rsidR="00411B4B" w:rsidRPr="007C19A2" w:rsidRDefault="00411B4B" w:rsidP="00480FB1">
      <w:pPr>
        <w:tabs>
          <w:tab w:val="left" w:pos="540"/>
          <w:tab w:val="left" w:pos="569"/>
        </w:tabs>
        <w:rPr>
          <w:b/>
          <w:bCs/>
          <w:sz w:val="22"/>
          <w:szCs w:val="22"/>
          <w:lang w:val="sr-Latn-ME"/>
        </w:rPr>
      </w:pPr>
      <w:r w:rsidRPr="007C19A2">
        <w:rPr>
          <w:b/>
          <w:bCs/>
          <w:sz w:val="22"/>
          <w:szCs w:val="22"/>
          <w:lang w:val="sr-Latn-ME"/>
        </w:rPr>
        <w:lastRenderedPageBreak/>
        <w:t>4.5.</w:t>
      </w:r>
      <w:r w:rsidR="000D60CC" w:rsidRPr="007C19A2">
        <w:rPr>
          <w:b/>
          <w:bCs/>
          <w:sz w:val="22"/>
          <w:szCs w:val="22"/>
          <w:lang w:val="sr-Latn-ME"/>
        </w:rPr>
        <w:tab/>
      </w:r>
      <w:r w:rsidRPr="007C19A2">
        <w:rPr>
          <w:b/>
          <w:bCs/>
          <w:sz w:val="22"/>
          <w:szCs w:val="22"/>
          <w:lang w:val="sr-Latn-ME"/>
        </w:rPr>
        <w:t>Interakcije sa drugim ljekovima i druge vrste interakcija</w:t>
      </w:r>
    </w:p>
    <w:p w14:paraId="176A3C0D" w14:textId="47A5F7B1" w:rsidR="0072020E" w:rsidRPr="007C19A2" w:rsidRDefault="0072020E" w:rsidP="00480FB1">
      <w:pPr>
        <w:tabs>
          <w:tab w:val="left" w:pos="540"/>
          <w:tab w:val="left" w:pos="569"/>
        </w:tabs>
        <w:rPr>
          <w:bCs/>
          <w:sz w:val="22"/>
          <w:szCs w:val="22"/>
          <w:lang w:val="sr-Latn-ME"/>
        </w:rPr>
      </w:pPr>
    </w:p>
    <w:p w14:paraId="11B69CCA" w14:textId="77777777" w:rsidR="00573292" w:rsidRPr="007C19A2" w:rsidRDefault="00573292" w:rsidP="00573292">
      <w:pPr>
        <w:jc w:val="both"/>
        <w:rPr>
          <w:sz w:val="22"/>
          <w:szCs w:val="22"/>
          <w:lang w:val="sr-Latn-ME"/>
        </w:rPr>
      </w:pPr>
      <w:r w:rsidRPr="007C19A2">
        <w:rPr>
          <w:sz w:val="22"/>
          <w:szCs w:val="22"/>
          <w:lang w:val="sr-Latn-ME"/>
        </w:rPr>
        <w:t>Kada se lijek Akynzeo uzima istovremeno sa drugim inhibitorom CYP3A4, koncentracije netupitanta u plazmi mogu biti povišene. Kada se lijek Akynzeo uzima istovremeno sa ljekovima koji indukuju aktivnost CYP3A4, koncentracije netupitanta u plazmi mogu biti snižene, a to može imati za posljedicu smanjenu efikasnost. Ovaj lijek može povećati koncentracije u plazmi istovremeno primjenjivanih ljekova koji se metabolišu preko CYP3A4.</w:t>
      </w:r>
    </w:p>
    <w:p w14:paraId="25A9A4C9" w14:textId="77777777" w:rsidR="00573292" w:rsidRPr="007C19A2" w:rsidRDefault="00573292" w:rsidP="00573292">
      <w:pPr>
        <w:jc w:val="both"/>
        <w:rPr>
          <w:sz w:val="22"/>
          <w:szCs w:val="22"/>
          <w:lang w:val="sr-Latn-ME"/>
        </w:rPr>
      </w:pPr>
    </w:p>
    <w:p w14:paraId="78237DB8" w14:textId="77777777" w:rsidR="00573292" w:rsidRPr="007C19A2" w:rsidRDefault="00573292" w:rsidP="00573292">
      <w:pPr>
        <w:jc w:val="both"/>
        <w:rPr>
          <w:sz w:val="22"/>
          <w:szCs w:val="22"/>
          <w:lang w:val="sr-Latn-ME"/>
        </w:rPr>
      </w:pPr>
      <w:r w:rsidRPr="007C19A2">
        <w:rPr>
          <w:sz w:val="22"/>
          <w:szCs w:val="22"/>
          <w:lang w:val="sr-Latn-ME"/>
        </w:rPr>
        <w:t xml:space="preserve">Kod ljudi, netupitant se eliminiše uglavnom metabolizmom u jetri pomoću CYP3A4 uz minimalno izlučivanje preko bubrega. U dozi od 300 mg kod ljudi, netupitant je supstrat i umjereni inhibitor CYP3A4. Palonosetron se iz tijela eliminiše i izlučivanjem preko bubrega i metaboličkim putevima, s tim da kod izlučivanja metaboličkim putevima posreduje više enzima CYP. Palonosetron se najvećim dijelom metaboliše preko CYP2D6, uz neznatno učešće CYP3A4 i CYP1A2 izoenzima. Na osnovu </w:t>
      </w:r>
      <w:r w:rsidRPr="007C19A2">
        <w:rPr>
          <w:i/>
          <w:sz w:val="22"/>
          <w:szCs w:val="22"/>
          <w:lang w:val="sr-Latn-ME"/>
        </w:rPr>
        <w:t>in vitro</w:t>
      </w:r>
      <w:r w:rsidRPr="007C19A2">
        <w:rPr>
          <w:sz w:val="22"/>
          <w:szCs w:val="22"/>
          <w:lang w:val="sr-Latn-ME"/>
        </w:rPr>
        <w:t xml:space="preserve"> studija, palonosetron ne inhibira niti indukuje citohrom P450 izoenzime u klinički relevantnim koncentracijama.</w:t>
      </w:r>
    </w:p>
    <w:p w14:paraId="049AFFB9" w14:textId="77777777" w:rsidR="00573292" w:rsidRPr="007C19A2" w:rsidRDefault="00573292" w:rsidP="00573292">
      <w:pPr>
        <w:jc w:val="both"/>
        <w:rPr>
          <w:sz w:val="22"/>
          <w:szCs w:val="22"/>
          <w:lang w:val="sr-Latn-ME"/>
        </w:rPr>
      </w:pPr>
    </w:p>
    <w:p w14:paraId="495103B2" w14:textId="3AC07A58" w:rsidR="00573292" w:rsidRPr="007C19A2" w:rsidRDefault="00573292" w:rsidP="00573292">
      <w:pPr>
        <w:jc w:val="both"/>
        <w:rPr>
          <w:sz w:val="22"/>
          <w:szCs w:val="22"/>
          <w:u w:val="single"/>
          <w:lang w:val="sr-Latn-ME"/>
        </w:rPr>
      </w:pPr>
      <w:r w:rsidRPr="007C19A2">
        <w:rPr>
          <w:sz w:val="22"/>
          <w:szCs w:val="22"/>
          <w:u w:val="single"/>
          <w:lang w:val="sr-Latn-ME"/>
        </w:rPr>
        <w:t>Interakcija između oralnog netupitanta i oralnog palonosetrona:</w:t>
      </w:r>
    </w:p>
    <w:p w14:paraId="440792F0" w14:textId="77777777" w:rsidR="00573292" w:rsidRPr="007C19A2" w:rsidRDefault="00573292" w:rsidP="00573292">
      <w:pPr>
        <w:jc w:val="both"/>
        <w:rPr>
          <w:sz w:val="22"/>
          <w:szCs w:val="22"/>
          <w:u w:val="single"/>
          <w:lang w:val="sr-Latn-ME"/>
        </w:rPr>
      </w:pPr>
    </w:p>
    <w:p w14:paraId="719CE1C4" w14:textId="53401531" w:rsidR="00573292" w:rsidRPr="007C19A2" w:rsidRDefault="00573292" w:rsidP="00573292">
      <w:pPr>
        <w:jc w:val="both"/>
        <w:rPr>
          <w:sz w:val="22"/>
          <w:szCs w:val="22"/>
          <w:lang w:val="sr-Latn-ME"/>
        </w:rPr>
      </w:pPr>
      <w:r w:rsidRPr="007C19A2">
        <w:rPr>
          <w:sz w:val="22"/>
          <w:szCs w:val="22"/>
          <w:lang w:val="sr-Latn-ME"/>
        </w:rPr>
        <w:t>Između oralnog netupitanta i oralnog palonosetrona ni</w:t>
      </w:r>
      <w:r w:rsidR="00630751" w:rsidRPr="007C19A2">
        <w:rPr>
          <w:sz w:val="22"/>
          <w:szCs w:val="22"/>
          <w:lang w:val="sr-Latn-ME"/>
        </w:rPr>
        <w:t>je</w:t>
      </w:r>
      <w:r w:rsidRPr="007C19A2">
        <w:rPr>
          <w:sz w:val="22"/>
          <w:szCs w:val="22"/>
          <w:lang w:val="sr-Latn-ME"/>
        </w:rPr>
        <w:t xml:space="preserve">su primijećene klinički važne farmakokinetičke interakcije. </w:t>
      </w:r>
    </w:p>
    <w:p w14:paraId="2A8E2194" w14:textId="77777777" w:rsidR="00573292" w:rsidRPr="007C19A2" w:rsidRDefault="00573292" w:rsidP="00573292">
      <w:pPr>
        <w:jc w:val="both"/>
        <w:rPr>
          <w:sz w:val="22"/>
          <w:szCs w:val="22"/>
          <w:lang w:val="sr-Latn-ME"/>
        </w:rPr>
      </w:pPr>
    </w:p>
    <w:p w14:paraId="29AAEA88" w14:textId="77777777" w:rsidR="00573292" w:rsidRPr="007C19A2" w:rsidRDefault="00573292" w:rsidP="00573292">
      <w:pPr>
        <w:jc w:val="both"/>
        <w:rPr>
          <w:sz w:val="22"/>
          <w:szCs w:val="22"/>
          <w:u w:val="single"/>
          <w:lang w:val="sr-Latn-ME"/>
        </w:rPr>
      </w:pPr>
      <w:r w:rsidRPr="007C19A2">
        <w:rPr>
          <w:sz w:val="22"/>
          <w:szCs w:val="22"/>
          <w:u w:val="single"/>
          <w:lang w:val="sr-Latn-ME"/>
        </w:rPr>
        <w:t>Interakcija sa supstratima izoenzima CYP3A4:</w:t>
      </w:r>
    </w:p>
    <w:p w14:paraId="1CF42CFD" w14:textId="77777777" w:rsidR="00573292" w:rsidRPr="007C19A2" w:rsidRDefault="00573292" w:rsidP="00573292">
      <w:pPr>
        <w:jc w:val="both"/>
        <w:rPr>
          <w:sz w:val="22"/>
          <w:szCs w:val="22"/>
          <w:u w:val="single"/>
          <w:lang w:val="sr-Latn-ME"/>
        </w:rPr>
      </w:pPr>
    </w:p>
    <w:p w14:paraId="5E6EA79F" w14:textId="77777777" w:rsidR="00573292" w:rsidRPr="007C19A2" w:rsidRDefault="00573292" w:rsidP="00573292">
      <w:pPr>
        <w:jc w:val="both"/>
        <w:rPr>
          <w:sz w:val="22"/>
          <w:szCs w:val="22"/>
          <w:lang w:val="sr-Latn-ME"/>
        </w:rPr>
      </w:pPr>
      <w:r w:rsidRPr="007C19A2">
        <w:rPr>
          <w:i/>
          <w:sz w:val="22"/>
          <w:szCs w:val="22"/>
          <w:lang w:val="sr-Latn-ME"/>
        </w:rPr>
        <w:t>Deksametazon</w:t>
      </w:r>
    </w:p>
    <w:p w14:paraId="56216410" w14:textId="77777777" w:rsidR="00573292" w:rsidRPr="007C19A2" w:rsidRDefault="00573292" w:rsidP="00573292">
      <w:pPr>
        <w:jc w:val="both"/>
        <w:rPr>
          <w:sz w:val="22"/>
          <w:szCs w:val="22"/>
          <w:lang w:val="sr-Latn-ME"/>
        </w:rPr>
      </w:pPr>
      <w:r w:rsidRPr="007C19A2">
        <w:rPr>
          <w:sz w:val="22"/>
          <w:szCs w:val="22"/>
          <w:lang w:val="sr-Latn-ME"/>
        </w:rPr>
        <w:t>Istovremena primjena jedne doze netupitanta od 300 mg sa režimom deksametazona (20 mg 1. dana, a zatim 8 mg dvaput dnevno od 2. do 4. dana) značajno je povećala izloženost deksametazonu na način koji zavisi od vremena i doze. Kod istovremene primjene netupitanta od 300 mg, vrijednosti PIK</w:t>
      </w:r>
      <w:r w:rsidRPr="007C19A2">
        <w:rPr>
          <w:sz w:val="22"/>
          <w:szCs w:val="22"/>
          <w:vertAlign w:val="subscript"/>
          <w:lang w:val="sr-Latn-ME"/>
        </w:rPr>
        <w:t>0-24</w:t>
      </w:r>
      <w:r w:rsidRPr="007C19A2">
        <w:rPr>
          <w:sz w:val="22"/>
          <w:szCs w:val="22"/>
          <w:lang w:val="sr-Latn-ME"/>
        </w:rPr>
        <w:t xml:space="preserve"> (1. dan), PIK</w:t>
      </w:r>
      <w:r w:rsidRPr="007C19A2">
        <w:rPr>
          <w:sz w:val="22"/>
          <w:szCs w:val="22"/>
          <w:vertAlign w:val="subscript"/>
          <w:lang w:val="sr-Latn-ME"/>
        </w:rPr>
        <w:t>24-36</w:t>
      </w:r>
      <w:r w:rsidRPr="007C19A2">
        <w:rPr>
          <w:sz w:val="22"/>
          <w:szCs w:val="22"/>
          <w:lang w:val="sr-Latn-ME"/>
        </w:rPr>
        <w:t xml:space="preserve"> (2. dan) i PIK</w:t>
      </w:r>
      <w:r w:rsidRPr="007C19A2">
        <w:rPr>
          <w:sz w:val="22"/>
          <w:szCs w:val="22"/>
          <w:vertAlign w:val="subscript"/>
          <w:lang w:val="sr-Latn-ME"/>
        </w:rPr>
        <w:t>84-108</w:t>
      </w:r>
      <w:r w:rsidRPr="007C19A2">
        <w:rPr>
          <w:sz w:val="22"/>
          <w:szCs w:val="22"/>
          <w:lang w:val="sr-Latn-ME"/>
        </w:rPr>
        <w:t xml:space="preserve"> i PIK</w:t>
      </w:r>
      <w:r w:rsidRPr="007C19A2">
        <w:rPr>
          <w:sz w:val="22"/>
          <w:szCs w:val="22"/>
          <w:vertAlign w:val="subscript"/>
          <w:lang w:val="sr-Latn-ME"/>
        </w:rPr>
        <w:t xml:space="preserve">84-∞ </w:t>
      </w:r>
      <w:r w:rsidRPr="007C19A2">
        <w:rPr>
          <w:sz w:val="22"/>
          <w:szCs w:val="22"/>
          <w:lang w:val="sr-Latn-ME"/>
        </w:rPr>
        <w:t xml:space="preserve">(4. dan) deksametazona povećale su se 2,4 puta. Kada se davao u kombinaciji sa deksametazonom, farmakokinetički profil netupitanta bio je nepromijenjen. </w:t>
      </w:r>
    </w:p>
    <w:p w14:paraId="5A08A9D4" w14:textId="66F916D4" w:rsidR="00573292" w:rsidRPr="007C19A2" w:rsidRDefault="00573292" w:rsidP="00573292">
      <w:pPr>
        <w:jc w:val="both"/>
        <w:rPr>
          <w:i/>
          <w:sz w:val="22"/>
          <w:szCs w:val="22"/>
          <w:lang w:val="sr-Latn-ME"/>
        </w:rPr>
      </w:pPr>
      <w:r w:rsidRPr="007C19A2">
        <w:rPr>
          <w:sz w:val="22"/>
          <w:szCs w:val="22"/>
          <w:lang w:val="sr-Latn-ME"/>
        </w:rPr>
        <w:t xml:space="preserve">S obzirom na to, potrebno je smanjiti dozu oralnog deksametazona za oko 50% kada se primjenjuje istovremeno sa lijekom Akynzeo (vidjeti </w:t>
      </w:r>
      <w:r w:rsidR="002B63E9" w:rsidRPr="007C19A2">
        <w:rPr>
          <w:sz w:val="22"/>
          <w:szCs w:val="22"/>
          <w:lang w:val="sr-Latn-ME"/>
        </w:rPr>
        <w:t xml:space="preserve">dio </w:t>
      </w:r>
      <w:r w:rsidRPr="007C19A2">
        <w:rPr>
          <w:sz w:val="22"/>
          <w:szCs w:val="22"/>
          <w:lang w:val="sr-Latn-ME"/>
        </w:rPr>
        <w:t>4.2).</w:t>
      </w:r>
    </w:p>
    <w:p w14:paraId="19681910" w14:textId="77777777" w:rsidR="00573292" w:rsidRPr="007C19A2" w:rsidRDefault="00573292" w:rsidP="00573292">
      <w:pPr>
        <w:jc w:val="both"/>
        <w:rPr>
          <w:i/>
          <w:sz w:val="22"/>
          <w:szCs w:val="22"/>
          <w:lang w:val="sr-Latn-ME"/>
        </w:rPr>
      </w:pPr>
    </w:p>
    <w:p w14:paraId="499635A2" w14:textId="6F752B68" w:rsidR="00573292" w:rsidRPr="007C19A2" w:rsidRDefault="00573292" w:rsidP="00573292">
      <w:pPr>
        <w:jc w:val="both"/>
        <w:rPr>
          <w:i/>
          <w:sz w:val="22"/>
          <w:szCs w:val="22"/>
          <w:lang w:val="sr-Latn-ME"/>
        </w:rPr>
      </w:pPr>
      <w:r w:rsidRPr="007C19A2">
        <w:rPr>
          <w:i/>
          <w:sz w:val="22"/>
          <w:szCs w:val="22"/>
          <w:lang w:val="sr-Latn-ME"/>
        </w:rPr>
        <w:t>Hem</w:t>
      </w:r>
      <w:r w:rsidR="007A1727" w:rsidRPr="007C19A2">
        <w:rPr>
          <w:i/>
          <w:sz w:val="22"/>
          <w:szCs w:val="22"/>
          <w:lang w:val="sr-Latn-ME"/>
        </w:rPr>
        <w:t>i</w:t>
      </w:r>
      <w:r w:rsidRPr="007C19A2">
        <w:rPr>
          <w:i/>
          <w:sz w:val="22"/>
          <w:szCs w:val="22"/>
          <w:lang w:val="sr-Latn-ME"/>
        </w:rPr>
        <w:t>oterapijski ljekovi (</w:t>
      </w:r>
      <w:r w:rsidRPr="007C19A2">
        <w:rPr>
          <w:i/>
          <w:iCs/>
          <w:sz w:val="22"/>
          <w:szCs w:val="22"/>
          <w:lang w:val="sr-Latn-ME"/>
        </w:rPr>
        <w:t>docetaksel, etopozid, ciklofosfamid</w:t>
      </w:r>
      <w:r w:rsidRPr="007C19A2">
        <w:rPr>
          <w:i/>
          <w:sz w:val="22"/>
          <w:szCs w:val="22"/>
          <w:lang w:val="sr-Latn-ME"/>
        </w:rPr>
        <w:t>)</w:t>
      </w:r>
    </w:p>
    <w:p w14:paraId="229451E2" w14:textId="3F5B6F16" w:rsidR="00573292" w:rsidRPr="007C19A2" w:rsidRDefault="00573292" w:rsidP="00573292">
      <w:pPr>
        <w:jc w:val="both"/>
        <w:rPr>
          <w:sz w:val="22"/>
          <w:szCs w:val="22"/>
          <w:lang w:val="sr-Latn-ME"/>
        </w:rPr>
      </w:pPr>
      <w:r w:rsidRPr="007C19A2">
        <w:rPr>
          <w:sz w:val="22"/>
          <w:szCs w:val="22"/>
          <w:lang w:val="sr-Latn-ME"/>
        </w:rPr>
        <w:t xml:space="preserve">Kod istovremene primjene sa lijekom Akynzeo, izloženost docetakselu povećala se za 37%, a etopozidu 21%. </w:t>
      </w:r>
      <w:r w:rsidR="00DF7BCF" w:rsidRPr="007C19A2">
        <w:rPr>
          <w:sz w:val="22"/>
          <w:szCs w:val="22"/>
          <w:lang w:val="sr-Latn-ME"/>
        </w:rPr>
        <w:t>N</w:t>
      </w:r>
      <w:r w:rsidRPr="007C19A2">
        <w:rPr>
          <w:sz w:val="22"/>
          <w:szCs w:val="22"/>
          <w:lang w:val="sr-Latn-ME"/>
        </w:rPr>
        <w:t xml:space="preserve">ije </w:t>
      </w:r>
      <w:r w:rsidR="00DF7BCF" w:rsidRPr="007C19A2">
        <w:rPr>
          <w:sz w:val="22"/>
          <w:szCs w:val="22"/>
          <w:lang w:val="sr-Latn-ME"/>
        </w:rPr>
        <w:t>uočen dosljedan</w:t>
      </w:r>
      <w:r w:rsidRPr="007C19A2">
        <w:rPr>
          <w:sz w:val="22"/>
          <w:szCs w:val="22"/>
          <w:lang w:val="sr-Latn-ME"/>
        </w:rPr>
        <w:t xml:space="preserve"> </w:t>
      </w:r>
      <w:r w:rsidR="00DF7BCF" w:rsidRPr="007C19A2">
        <w:rPr>
          <w:sz w:val="22"/>
          <w:szCs w:val="22"/>
          <w:lang w:val="sr-Latn-ME"/>
        </w:rPr>
        <w:t xml:space="preserve">efekat </w:t>
      </w:r>
      <w:r w:rsidRPr="007C19A2">
        <w:rPr>
          <w:sz w:val="22"/>
          <w:szCs w:val="22"/>
          <w:lang w:val="sr-Latn-ME"/>
        </w:rPr>
        <w:t>ciklofosfamid</w:t>
      </w:r>
      <w:r w:rsidR="00DF7BCF" w:rsidRPr="007C19A2">
        <w:rPr>
          <w:sz w:val="22"/>
          <w:szCs w:val="22"/>
          <w:lang w:val="sr-Latn-ME"/>
        </w:rPr>
        <w:t>a</w:t>
      </w:r>
      <w:r w:rsidRPr="007C19A2">
        <w:rPr>
          <w:sz w:val="22"/>
          <w:szCs w:val="22"/>
          <w:lang w:val="sr-Latn-ME"/>
        </w:rPr>
        <w:t xml:space="preserve"> nakon istovremene primjene sa netupitantom. </w:t>
      </w:r>
    </w:p>
    <w:p w14:paraId="2F161043" w14:textId="77777777" w:rsidR="00573292" w:rsidRPr="007C19A2" w:rsidRDefault="00573292" w:rsidP="00573292">
      <w:pPr>
        <w:jc w:val="both"/>
        <w:rPr>
          <w:sz w:val="22"/>
          <w:szCs w:val="22"/>
          <w:lang w:val="sr-Latn-ME"/>
        </w:rPr>
      </w:pPr>
    </w:p>
    <w:p w14:paraId="7C7AA6EA" w14:textId="77777777" w:rsidR="00573292" w:rsidRPr="007C19A2" w:rsidRDefault="00573292" w:rsidP="00573292">
      <w:pPr>
        <w:jc w:val="both"/>
        <w:rPr>
          <w:i/>
          <w:sz w:val="22"/>
          <w:szCs w:val="22"/>
          <w:lang w:val="sr-Latn-ME"/>
        </w:rPr>
      </w:pPr>
      <w:r w:rsidRPr="007C19A2">
        <w:rPr>
          <w:i/>
          <w:sz w:val="22"/>
          <w:szCs w:val="22"/>
          <w:lang w:val="sr-Latn-ME"/>
        </w:rPr>
        <w:t>Oralni kontraceptivi</w:t>
      </w:r>
    </w:p>
    <w:p w14:paraId="08625147" w14:textId="6DDAD8DA" w:rsidR="00573292" w:rsidRPr="007C19A2" w:rsidRDefault="00573292" w:rsidP="00573292">
      <w:pPr>
        <w:jc w:val="both"/>
        <w:rPr>
          <w:sz w:val="22"/>
          <w:szCs w:val="22"/>
          <w:lang w:val="sr-Latn-ME"/>
        </w:rPr>
      </w:pPr>
      <w:r w:rsidRPr="007C19A2">
        <w:rPr>
          <w:sz w:val="22"/>
          <w:szCs w:val="22"/>
          <w:lang w:val="sr-Latn-ME"/>
        </w:rPr>
        <w:t xml:space="preserve">Kada </w:t>
      </w:r>
      <w:r w:rsidR="00B34000" w:rsidRPr="007C19A2">
        <w:rPr>
          <w:sz w:val="22"/>
          <w:szCs w:val="22"/>
          <w:lang w:val="sr-Latn-ME"/>
        </w:rPr>
        <w:t>je</w:t>
      </w:r>
      <w:r w:rsidRPr="007C19A2">
        <w:rPr>
          <w:sz w:val="22"/>
          <w:szCs w:val="22"/>
          <w:lang w:val="sr-Latn-ME"/>
        </w:rPr>
        <w:t xml:space="preserve"> lijek Akynzeo </w:t>
      </w:r>
      <w:r w:rsidR="00B34000" w:rsidRPr="007C19A2">
        <w:rPr>
          <w:sz w:val="22"/>
          <w:szCs w:val="22"/>
          <w:lang w:val="sr-Latn-ME"/>
        </w:rPr>
        <w:t>primijenjen sa pojedinačnom oralnom dozom</w:t>
      </w:r>
      <w:r w:rsidRPr="007C19A2">
        <w:rPr>
          <w:sz w:val="22"/>
          <w:szCs w:val="22"/>
          <w:lang w:val="sr-Latn-ME"/>
        </w:rPr>
        <w:t xml:space="preserve"> od 60 μg etinilestradiola i 300 μg levonorgestrela nije imao značajan učinak na PIK etinilestradiola a povećao je PIK levonorgestrela za 1,4 puta; klinički efekti na efikasnost hormonskih kontraceptiva ni</w:t>
      </w:r>
      <w:r w:rsidR="00C30D32" w:rsidRPr="007C19A2">
        <w:rPr>
          <w:sz w:val="22"/>
          <w:szCs w:val="22"/>
          <w:lang w:val="sr-Latn-ME"/>
        </w:rPr>
        <w:t>je</w:t>
      </w:r>
      <w:r w:rsidRPr="007C19A2">
        <w:rPr>
          <w:sz w:val="22"/>
          <w:szCs w:val="22"/>
          <w:lang w:val="sr-Latn-ME"/>
        </w:rPr>
        <w:t>su vjerovatni. Ni</w:t>
      </w:r>
      <w:r w:rsidR="00C30D32" w:rsidRPr="007C19A2">
        <w:rPr>
          <w:sz w:val="22"/>
          <w:szCs w:val="22"/>
          <w:lang w:val="sr-Latn-ME"/>
        </w:rPr>
        <w:t>je</w:t>
      </w:r>
      <w:r w:rsidRPr="007C19A2">
        <w:rPr>
          <w:sz w:val="22"/>
          <w:szCs w:val="22"/>
          <w:lang w:val="sr-Latn-ME"/>
        </w:rPr>
        <w:t xml:space="preserve">su primijećene značajne promjene farmakokinetike netupitanta i palonosetrona.  </w:t>
      </w:r>
    </w:p>
    <w:p w14:paraId="3ED4C46B" w14:textId="77777777" w:rsidR="00573292" w:rsidRPr="007C19A2" w:rsidRDefault="00573292" w:rsidP="00573292">
      <w:pPr>
        <w:jc w:val="both"/>
        <w:rPr>
          <w:i/>
          <w:sz w:val="22"/>
          <w:szCs w:val="22"/>
          <w:lang w:val="sr-Latn-ME"/>
        </w:rPr>
      </w:pPr>
    </w:p>
    <w:p w14:paraId="03801C7C" w14:textId="77777777" w:rsidR="00573292" w:rsidRPr="007C19A2" w:rsidRDefault="00573292" w:rsidP="00573292">
      <w:pPr>
        <w:jc w:val="both"/>
        <w:rPr>
          <w:i/>
          <w:sz w:val="22"/>
          <w:szCs w:val="22"/>
          <w:lang w:val="sr-Latn-ME"/>
        </w:rPr>
      </w:pPr>
      <w:r w:rsidRPr="007C19A2">
        <w:rPr>
          <w:i/>
          <w:iCs/>
          <w:sz w:val="22"/>
          <w:szCs w:val="22"/>
          <w:lang w:val="sr-Latn-ME"/>
        </w:rPr>
        <w:t>Eritromicin i midazolam</w:t>
      </w:r>
    </w:p>
    <w:p w14:paraId="64D16BD4" w14:textId="0643C48B" w:rsidR="00573292" w:rsidRPr="007C19A2" w:rsidRDefault="00573292" w:rsidP="00573292">
      <w:pPr>
        <w:jc w:val="both"/>
        <w:rPr>
          <w:color w:val="000000"/>
          <w:sz w:val="22"/>
          <w:szCs w:val="22"/>
          <w:lang w:val="sr-Latn-ME"/>
        </w:rPr>
      </w:pPr>
      <w:r w:rsidRPr="007C19A2">
        <w:rPr>
          <w:sz w:val="22"/>
          <w:szCs w:val="22"/>
          <w:lang w:val="sr-Latn-ME"/>
        </w:rPr>
        <w:t>Izloženost eritromicinu povećala se približno 1,3 puta, a midazolamu 2,4 puta kada je svaki od njih primijenjen istovremeno sa netupitantom. Ova dejstva se ni</w:t>
      </w:r>
      <w:r w:rsidR="00C30D32" w:rsidRPr="007C19A2">
        <w:rPr>
          <w:sz w:val="22"/>
          <w:szCs w:val="22"/>
          <w:lang w:val="sr-Latn-ME"/>
        </w:rPr>
        <w:t>je</w:t>
      </w:r>
      <w:r w:rsidRPr="007C19A2">
        <w:rPr>
          <w:sz w:val="22"/>
          <w:szCs w:val="22"/>
          <w:lang w:val="sr-Latn-ME"/>
        </w:rPr>
        <w:t xml:space="preserve">su smatrala klinički značajnim. Kod istovremene primjene bilo midazolama bilo eritromicina, farmakokinetički profil netupitanta ostao je nepromijenjen. Moguća dejstva povećanih plazmatskih koncentracija midazolama ili drugih benzodiazepina metabolisanih preko </w:t>
      </w:r>
      <w:r w:rsidRPr="007C19A2">
        <w:rPr>
          <w:color w:val="000000"/>
          <w:sz w:val="22"/>
          <w:szCs w:val="22"/>
          <w:lang w:val="sr-Latn-ME"/>
        </w:rPr>
        <w:t>CYP3A4 (alprazolam, triazolam) moraju se uzeti u obzir kada se ove aktivne supstance primjenjuju istovremeno sa lijekom Akynzeo.</w:t>
      </w:r>
    </w:p>
    <w:p w14:paraId="5122995A" w14:textId="77777777" w:rsidR="00573292" w:rsidRPr="007C19A2" w:rsidRDefault="00573292" w:rsidP="00573292">
      <w:pPr>
        <w:jc w:val="both"/>
        <w:rPr>
          <w:sz w:val="22"/>
          <w:szCs w:val="22"/>
          <w:lang w:val="sr-Latn-ME"/>
        </w:rPr>
      </w:pPr>
    </w:p>
    <w:p w14:paraId="3761FCC5" w14:textId="77777777" w:rsidR="00573292" w:rsidRPr="007C19A2" w:rsidRDefault="00573292" w:rsidP="00573292">
      <w:pPr>
        <w:autoSpaceDE w:val="0"/>
        <w:jc w:val="both"/>
        <w:rPr>
          <w:sz w:val="22"/>
          <w:szCs w:val="22"/>
          <w:u w:val="single"/>
          <w:lang w:val="sr-Latn-ME"/>
        </w:rPr>
      </w:pPr>
      <w:r w:rsidRPr="007C19A2">
        <w:rPr>
          <w:sz w:val="22"/>
          <w:szCs w:val="22"/>
          <w:u w:val="single"/>
          <w:lang w:val="sr-Latn-ME"/>
        </w:rPr>
        <w:t>Serotonergički ljekovi (npr. SSRI i SNRI)</w:t>
      </w:r>
    </w:p>
    <w:p w14:paraId="452ADAB2" w14:textId="77777777" w:rsidR="00573292" w:rsidRPr="007C19A2" w:rsidRDefault="00573292" w:rsidP="00573292">
      <w:pPr>
        <w:autoSpaceDE w:val="0"/>
        <w:jc w:val="both"/>
        <w:rPr>
          <w:sz w:val="22"/>
          <w:szCs w:val="22"/>
          <w:u w:val="single"/>
          <w:lang w:val="sr-Latn-ME"/>
        </w:rPr>
      </w:pPr>
    </w:p>
    <w:p w14:paraId="1814C34C" w14:textId="5F1CFA28" w:rsidR="00573292" w:rsidRPr="007C19A2" w:rsidRDefault="00573292" w:rsidP="00573292">
      <w:pPr>
        <w:jc w:val="both"/>
        <w:rPr>
          <w:sz w:val="22"/>
          <w:szCs w:val="22"/>
          <w:lang w:val="sr-Latn-ME"/>
        </w:rPr>
      </w:pPr>
      <w:r w:rsidRPr="007C19A2">
        <w:rPr>
          <w:sz w:val="22"/>
          <w:szCs w:val="22"/>
          <w:lang w:val="sr-Latn-ME"/>
        </w:rPr>
        <w:t>Bilo je izvještaja o serotoninskom sindromu nakon istovremene primjene antagonista 5-HT</w:t>
      </w:r>
      <w:r w:rsidRPr="007C19A2">
        <w:rPr>
          <w:sz w:val="22"/>
          <w:szCs w:val="22"/>
          <w:vertAlign w:val="subscript"/>
          <w:lang w:val="sr-Latn-ME"/>
        </w:rPr>
        <w:t>3</w:t>
      </w:r>
      <w:r w:rsidRPr="007C19A2">
        <w:rPr>
          <w:sz w:val="22"/>
          <w:szCs w:val="22"/>
          <w:lang w:val="sr-Latn-ME"/>
        </w:rPr>
        <w:t xml:space="preserve"> i drugih serotonergičnih ljekova (</w:t>
      </w:r>
      <w:r w:rsidR="00C41E38" w:rsidRPr="007C19A2">
        <w:rPr>
          <w:sz w:val="22"/>
          <w:szCs w:val="22"/>
          <w:lang w:val="sr-Latn-ME"/>
        </w:rPr>
        <w:t>uključujući SSRI kao što su fluoksetin, paroksetin, sertralin, fluvoksamin, citalopram ili escilatopram i SNRI kao što su venlafa</w:t>
      </w:r>
      <w:r w:rsidR="007F6882" w:rsidRPr="007C19A2">
        <w:rPr>
          <w:sz w:val="22"/>
          <w:szCs w:val="22"/>
          <w:lang w:val="sr-Latn-ME"/>
        </w:rPr>
        <w:t>ks</w:t>
      </w:r>
      <w:r w:rsidR="00C41E38" w:rsidRPr="007C19A2">
        <w:rPr>
          <w:sz w:val="22"/>
          <w:szCs w:val="22"/>
          <w:lang w:val="sr-Latn-ME"/>
        </w:rPr>
        <w:t>in ili duloksetin</w:t>
      </w:r>
      <w:r w:rsidRPr="007C19A2">
        <w:rPr>
          <w:sz w:val="22"/>
          <w:szCs w:val="22"/>
          <w:lang w:val="sr-Latn-ME"/>
        </w:rPr>
        <w:t xml:space="preserve">) (vidjeti </w:t>
      </w:r>
      <w:r w:rsidR="002B63E9" w:rsidRPr="007C19A2">
        <w:rPr>
          <w:sz w:val="22"/>
          <w:szCs w:val="22"/>
          <w:lang w:val="sr-Latn-ME"/>
        </w:rPr>
        <w:t xml:space="preserve">dio </w:t>
      </w:r>
      <w:r w:rsidRPr="007C19A2">
        <w:rPr>
          <w:sz w:val="22"/>
          <w:szCs w:val="22"/>
          <w:lang w:val="sr-Latn-ME"/>
        </w:rPr>
        <w:t>4.4).</w:t>
      </w:r>
    </w:p>
    <w:p w14:paraId="6F94EBE9" w14:textId="18CDC7EC" w:rsidR="00573292" w:rsidRDefault="00573292" w:rsidP="00573292">
      <w:pPr>
        <w:jc w:val="both"/>
        <w:rPr>
          <w:sz w:val="22"/>
          <w:szCs w:val="22"/>
          <w:lang w:val="sr-Latn-ME"/>
        </w:rPr>
      </w:pPr>
    </w:p>
    <w:p w14:paraId="297B6A73" w14:textId="77777777" w:rsidR="007C19A2" w:rsidRPr="007C19A2" w:rsidRDefault="007C19A2" w:rsidP="00573292">
      <w:pPr>
        <w:jc w:val="both"/>
        <w:rPr>
          <w:sz w:val="22"/>
          <w:szCs w:val="22"/>
          <w:lang w:val="sr-Latn-ME"/>
        </w:rPr>
      </w:pPr>
    </w:p>
    <w:p w14:paraId="3F2B376A" w14:textId="77777777" w:rsidR="00573292" w:rsidRPr="007C19A2" w:rsidRDefault="00573292" w:rsidP="00573292">
      <w:pPr>
        <w:jc w:val="both"/>
        <w:rPr>
          <w:sz w:val="22"/>
          <w:szCs w:val="22"/>
          <w:u w:val="single"/>
          <w:lang w:val="sr-Latn-ME"/>
        </w:rPr>
      </w:pPr>
      <w:r w:rsidRPr="007C19A2">
        <w:rPr>
          <w:sz w:val="22"/>
          <w:szCs w:val="22"/>
          <w:u w:val="single"/>
          <w:lang w:val="sr-Latn-ME"/>
        </w:rPr>
        <w:lastRenderedPageBreak/>
        <w:t>Dejstvo drugih ljekova na farmakokinetiku lijeka Akynzeo</w:t>
      </w:r>
    </w:p>
    <w:p w14:paraId="77F9BB64" w14:textId="77777777" w:rsidR="00573292" w:rsidRPr="007C19A2" w:rsidRDefault="00573292" w:rsidP="00573292">
      <w:pPr>
        <w:jc w:val="both"/>
        <w:rPr>
          <w:sz w:val="22"/>
          <w:szCs w:val="22"/>
          <w:u w:val="single"/>
          <w:lang w:val="sr-Latn-ME"/>
        </w:rPr>
      </w:pPr>
    </w:p>
    <w:p w14:paraId="4296DC05" w14:textId="77777777" w:rsidR="00573292" w:rsidRPr="007C19A2" w:rsidRDefault="00573292" w:rsidP="00573292">
      <w:pPr>
        <w:jc w:val="both"/>
        <w:rPr>
          <w:sz w:val="22"/>
          <w:szCs w:val="22"/>
          <w:lang w:val="sr-Latn-ME"/>
        </w:rPr>
      </w:pPr>
      <w:r w:rsidRPr="007C19A2">
        <w:rPr>
          <w:sz w:val="22"/>
          <w:szCs w:val="22"/>
          <w:lang w:val="sr-Latn-ME"/>
        </w:rPr>
        <w:t>Netupitant se najvećim dijelom metaboliše preko CYP3A4; stoga, istovremena primjena sa ljekovima koji inhibiraju ili indukuju aktivnost CYP3A4 može uticati na koncentraciju netupitanta u plazmi. Zbog toga, istovremenoj primjeni sa jakim inhibitorima CYP3A4 (npr. ketokonazolom) treba pristupati oprezno, a istovremenu primjenu sa jakim induktorima CYP3A4 (npr. rifampicinom) treba izbjegavati.</w:t>
      </w:r>
    </w:p>
    <w:p w14:paraId="30838CDA" w14:textId="24BA7114" w:rsidR="00573292" w:rsidRPr="007C19A2" w:rsidRDefault="00DB257E" w:rsidP="00573292">
      <w:pPr>
        <w:jc w:val="both"/>
        <w:rPr>
          <w:sz w:val="22"/>
          <w:szCs w:val="22"/>
          <w:lang w:val="sr-Latn-ME"/>
        </w:rPr>
      </w:pPr>
      <w:r w:rsidRPr="007C19A2">
        <w:rPr>
          <w:sz w:val="22"/>
          <w:szCs w:val="22"/>
          <w:lang w:val="sr-Latn-ME"/>
        </w:rPr>
        <w:t>Štaviše, ovaj l</w:t>
      </w:r>
      <w:r w:rsidR="00C53901" w:rsidRPr="007C19A2">
        <w:rPr>
          <w:sz w:val="22"/>
          <w:szCs w:val="22"/>
          <w:lang w:val="sr-Latn-ME"/>
        </w:rPr>
        <w:t>ij</w:t>
      </w:r>
      <w:r w:rsidRPr="007C19A2">
        <w:rPr>
          <w:sz w:val="22"/>
          <w:szCs w:val="22"/>
          <w:lang w:val="sr-Latn-ME"/>
        </w:rPr>
        <w:t>ek treba koristiti sa oprezom kod pacijenata koji istovremeno prim</w:t>
      </w:r>
      <w:r w:rsidR="00C53901" w:rsidRPr="007C19A2">
        <w:rPr>
          <w:sz w:val="22"/>
          <w:szCs w:val="22"/>
          <w:lang w:val="sr-Latn-ME"/>
        </w:rPr>
        <w:t>j</w:t>
      </w:r>
      <w:r w:rsidRPr="007C19A2">
        <w:rPr>
          <w:sz w:val="22"/>
          <w:szCs w:val="22"/>
          <w:lang w:val="sr-Latn-ME"/>
        </w:rPr>
        <w:t>enjuju oralno l</w:t>
      </w:r>
      <w:r w:rsidR="00C53901" w:rsidRPr="007C19A2">
        <w:rPr>
          <w:sz w:val="22"/>
          <w:szCs w:val="22"/>
          <w:lang w:val="sr-Latn-ME"/>
        </w:rPr>
        <w:t>j</w:t>
      </w:r>
      <w:r w:rsidRPr="007C19A2">
        <w:rPr>
          <w:sz w:val="22"/>
          <w:szCs w:val="22"/>
          <w:lang w:val="sr-Latn-ME"/>
        </w:rPr>
        <w:t>ekove uskog terapijskog opsega koj</w:t>
      </w:r>
      <w:r w:rsidR="007F14C7" w:rsidRPr="007C19A2">
        <w:rPr>
          <w:sz w:val="22"/>
          <w:szCs w:val="22"/>
          <w:lang w:val="sr-Latn-ME"/>
        </w:rPr>
        <w:t>i</w:t>
      </w:r>
      <w:r w:rsidRPr="007C19A2">
        <w:rPr>
          <w:sz w:val="22"/>
          <w:szCs w:val="22"/>
          <w:lang w:val="sr-Latn-ME"/>
        </w:rPr>
        <w:t xml:space="preserve"> se primarno metabolišu sa CYP3A4, kao što su ciklosporin, takrolimus, sirolimus, everolimus, alfentanil, diergotamin, ergotamin, fentanil i </w:t>
      </w:r>
      <w:r w:rsidR="00C30D32" w:rsidRPr="007C19A2">
        <w:rPr>
          <w:sz w:val="22"/>
          <w:szCs w:val="22"/>
          <w:lang w:val="sr-Latn-ME"/>
        </w:rPr>
        <w:t>h</w:t>
      </w:r>
      <w:r w:rsidRPr="007C19A2">
        <w:rPr>
          <w:sz w:val="22"/>
          <w:szCs w:val="22"/>
          <w:lang w:val="sr-Latn-ME"/>
        </w:rPr>
        <w:t>inidin.</w:t>
      </w:r>
    </w:p>
    <w:p w14:paraId="5A13B039" w14:textId="77777777" w:rsidR="00DB257E" w:rsidRPr="007C19A2" w:rsidRDefault="00DB257E" w:rsidP="00573292">
      <w:pPr>
        <w:jc w:val="both"/>
        <w:rPr>
          <w:sz w:val="22"/>
          <w:szCs w:val="22"/>
          <w:lang w:val="sr-Latn-ME"/>
        </w:rPr>
      </w:pPr>
    </w:p>
    <w:p w14:paraId="41BF434A" w14:textId="77777777" w:rsidR="00573292" w:rsidRPr="007C19A2" w:rsidRDefault="00573292" w:rsidP="00573292">
      <w:pPr>
        <w:jc w:val="both"/>
        <w:rPr>
          <w:sz w:val="22"/>
          <w:szCs w:val="22"/>
          <w:u w:val="single"/>
          <w:lang w:val="sr-Latn-ME"/>
        </w:rPr>
      </w:pPr>
      <w:r w:rsidRPr="007C19A2">
        <w:rPr>
          <w:sz w:val="22"/>
          <w:szCs w:val="22"/>
          <w:u w:val="single"/>
          <w:lang w:val="sr-Latn-ME"/>
        </w:rPr>
        <w:t>Dejstvo ketokonazola i rifampicina</w:t>
      </w:r>
    </w:p>
    <w:p w14:paraId="61853B48" w14:textId="77777777" w:rsidR="00573292" w:rsidRPr="007C19A2" w:rsidRDefault="00573292" w:rsidP="00573292">
      <w:pPr>
        <w:jc w:val="both"/>
        <w:rPr>
          <w:sz w:val="22"/>
          <w:szCs w:val="22"/>
          <w:u w:val="single"/>
          <w:lang w:val="sr-Latn-ME"/>
        </w:rPr>
      </w:pPr>
    </w:p>
    <w:p w14:paraId="4F402B59" w14:textId="77777777" w:rsidR="00573292" w:rsidRPr="007C19A2" w:rsidRDefault="00573292" w:rsidP="00573292">
      <w:pPr>
        <w:jc w:val="both"/>
        <w:rPr>
          <w:sz w:val="22"/>
          <w:szCs w:val="22"/>
          <w:lang w:val="sr-Latn-ME"/>
        </w:rPr>
      </w:pPr>
      <w:r w:rsidRPr="007C19A2">
        <w:rPr>
          <w:sz w:val="22"/>
          <w:szCs w:val="22"/>
          <w:lang w:val="sr-Latn-ME"/>
        </w:rPr>
        <w:t>Primjena ketokonazola, inhibotora CYP3A4, sa lijekom Akynzeo povećala je PIK netupitanta 1,8 puta, a C</w:t>
      </w:r>
      <w:r w:rsidRPr="007C19A2">
        <w:rPr>
          <w:sz w:val="22"/>
          <w:szCs w:val="22"/>
          <w:vertAlign w:val="subscript"/>
          <w:lang w:val="sr-Latn-ME"/>
        </w:rPr>
        <w:t>max</w:t>
      </w:r>
      <w:r w:rsidRPr="007C19A2">
        <w:rPr>
          <w:sz w:val="22"/>
          <w:szCs w:val="22"/>
          <w:lang w:val="sr-Latn-ME"/>
        </w:rPr>
        <w:t xml:space="preserve"> 1,3 puta u poređenju sa primjenom samog lijeka Akynzeo. Istovremena primjena ketokonazola nije uticala na farmakokinetiku palonosetrona. </w:t>
      </w:r>
    </w:p>
    <w:p w14:paraId="6BCBC846" w14:textId="77777777" w:rsidR="00573292" w:rsidRPr="007C19A2" w:rsidRDefault="00573292" w:rsidP="00573292">
      <w:pPr>
        <w:jc w:val="both"/>
        <w:rPr>
          <w:sz w:val="22"/>
          <w:szCs w:val="22"/>
          <w:lang w:val="sr-Latn-ME"/>
        </w:rPr>
      </w:pPr>
    </w:p>
    <w:p w14:paraId="03CF288F" w14:textId="77777777" w:rsidR="00573292" w:rsidRPr="007C19A2" w:rsidRDefault="00573292" w:rsidP="00573292">
      <w:pPr>
        <w:jc w:val="both"/>
        <w:rPr>
          <w:b/>
          <w:sz w:val="22"/>
          <w:szCs w:val="22"/>
          <w:lang w:val="sr-Latn-ME"/>
        </w:rPr>
      </w:pPr>
      <w:r w:rsidRPr="007C19A2">
        <w:rPr>
          <w:sz w:val="22"/>
          <w:szCs w:val="22"/>
          <w:lang w:val="sr-Latn-ME"/>
        </w:rPr>
        <w:t>Primjena rifampicina, induktora CYP3A4, sa samim lijekom Akynzeo smanjila je PIK netupitanta 5,2 puta, a C</w:t>
      </w:r>
      <w:r w:rsidRPr="007C19A2">
        <w:rPr>
          <w:sz w:val="22"/>
          <w:szCs w:val="22"/>
          <w:vertAlign w:val="subscript"/>
          <w:lang w:val="sr-Latn-ME"/>
        </w:rPr>
        <w:t>max</w:t>
      </w:r>
      <w:r w:rsidRPr="007C19A2">
        <w:rPr>
          <w:sz w:val="22"/>
          <w:szCs w:val="22"/>
          <w:lang w:val="sr-Latn-ME"/>
        </w:rPr>
        <w:t xml:space="preserve"> 2,6 puta. Istovremena primjena rifampicina nije uticala na farmakokinetiku palonosetrona. Na osnovu toga, istovremenoj primjeni sa jakim inhibitorima CYP3A4 (npr. ketokonazolom) treba pristupati oprezno, a istovremenu primjenu sa jakim induktorima (npr. rifampicinom) treba izbjegavati.</w:t>
      </w:r>
    </w:p>
    <w:p w14:paraId="3D53A4A1" w14:textId="77777777" w:rsidR="00573292" w:rsidRPr="007C19A2" w:rsidRDefault="00573292" w:rsidP="00573292">
      <w:pPr>
        <w:jc w:val="both"/>
        <w:rPr>
          <w:sz w:val="22"/>
          <w:szCs w:val="22"/>
          <w:u w:val="single"/>
          <w:lang w:val="sr-Latn-ME"/>
        </w:rPr>
      </w:pPr>
    </w:p>
    <w:p w14:paraId="4CDF948C" w14:textId="77777777" w:rsidR="00573292" w:rsidRPr="007C19A2" w:rsidRDefault="00573292" w:rsidP="00573292">
      <w:pPr>
        <w:jc w:val="both"/>
        <w:rPr>
          <w:sz w:val="22"/>
          <w:szCs w:val="22"/>
          <w:u w:val="single"/>
          <w:lang w:val="sr-Latn-ME"/>
        </w:rPr>
      </w:pPr>
      <w:r w:rsidRPr="007C19A2">
        <w:rPr>
          <w:sz w:val="22"/>
          <w:szCs w:val="22"/>
          <w:u w:val="single"/>
          <w:lang w:val="sr-Latn-ME"/>
        </w:rPr>
        <w:t>Dodatne interakcije</w:t>
      </w:r>
    </w:p>
    <w:p w14:paraId="38529374" w14:textId="77777777" w:rsidR="00573292" w:rsidRPr="007C19A2" w:rsidRDefault="00573292" w:rsidP="00573292">
      <w:pPr>
        <w:jc w:val="both"/>
        <w:rPr>
          <w:sz w:val="22"/>
          <w:szCs w:val="22"/>
          <w:u w:val="single"/>
          <w:lang w:val="sr-Latn-ME"/>
        </w:rPr>
      </w:pPr>
    </w:p>
    <w:p w14:paraId="52EFA5C0" w14:textId="77777777" w:rsidR="00573292" w:rsidRPr="007C19A2" w:rsidRDefault="00573292" w:rsidP="00573292">
      <w:pPr>
        <w:jc w:val="both"/>
        <w:rPr>
          <w:sz w:val="22"/>
          <w:szCs w:val="22"/>
          <w:lang w:val="sr-Latn-ME"/>
        </w:rPr>
      </w:pPr>
      <w:r w:rsidRPr="007C19A2">
        <w:rPr>
          <w:sz w:val="22"/>
          <w:szCs w:val="22"/>
          <w:lang w:val="sr-Latn-ME"/>
        </w:rPr>
        <w:t xml:space="preserve">Nije vjerovatna interakcija između lijeka Akynzeo i ljekova koji su supstrati P-gp-a. Netupitant nije supstrat za P-gp. Kada se netupitant primjenjivao 8. dana u 12-dnevnom režimu digoksina, nijesu primijećene promjene u farmakokinetici digoksina. </w:t>
      </w:r>
    </w:p>
    <w:p w14:paraId="4EB6A412" w14:textId="6B51963F" w:rsidR="00573292" w:rsidRPr="007C19A2" w:rsidRDefault="00573292" w:rsidP="00573292">
      <w:pPr>
        <w:jc w:val="both"/>
        <w:rPr>
          <w:sz w:val="22"/>
          <w:szCs w:val="22"/>
          <w:lang w:val="sr-Latn-ME"/>
        </w:rPr>
      </w:pPr>
      <w:r w:rsidRPr="007C19A2">
        <w:rPr>
          <w:sz w:val="22"/>
          <w:szCs w:val="22"/>
          <w:lang w:val="sr-Latn-ME"/>
        </w:rPr>
        <w:t xml:space="preserve">Nije vjerovatno da će netupitant i njegovi metaboliti inhibirati efluksni </w:t>
      </w:r>
      <w:r w:rsidR="00C30D32" w:rsidRPr="007C19A2">
        <w:rPr>
          <w:sz w:val="22"/>
          <w:szCs w:val="22"/>
          <w:lang w:val="sr-Latn-ME"/>
        </w:rPr>
        <w:t xml:space="preserve">transporter </w:t>
      </w:r>
      <w:r w:rsidRPr="007C19A2">
        <w:rPr>
          <w:sz w:val="22"/>
          <w:szCs w:val="22"/>
          <w:lang w:val="sr-Latn-ME"/>
        </w:rPr>
        <w:t xml:space="preserve">BCRP i izoenzim glukuronidacije UGT2B7 i, ako se to dogodi, od malog je kliničkog značaja. </w:t>
      </w:r>
    </w:p>
    <w:p w14:paraId="4FC120E7" w14:textId="74720BCF" w:rsidR="00573292" w:rsidRPr="007C19A2" w:rsidRDefault="00573292" w:rsidP="00573292">
      <w:pPr>
        <w:jc w:val="both"/>
        <w:rPr>
          <w:sz w:val="22"/>
          <w:szCs w:val="22"/>
          <w:lang w:val="sr-Latn-ME"/>
        </w:rPr>
      </w:pPr>
      <w:r w:rsidRPr="007C19A2">
        <w:rPr>
          <w:i/>
          <w:iCs/>
          <w:sz w:val="22"/>
          <w:szCs w:val="22"/>
          <w:lang w:val="sr-Latn-ME"/>
        </w:rPr>
        <w:t xml:space="preserve">In vitro </w:t>
      </w:r>
      <w:r w:rsidRPr="007C19A2">
        <w:rPr>
          <w:sz w:val="22"/>
          <w:szCs w:val="22"/>
          <w:lang w:val="sr-Latn-ME"/>
        </w:rPr>
        <w:t xml:space="preserve">podaci pokazuju da netupitant inhibira UGT2B7, ali veličina takvog efekta nije utvrđena u kliničkom okruženju. Preporučuje se oprez kada se netupitant kombinuje sa oralnim supstratom ovoga enzima (npr. zidovudinom, valproinskom kiselinom, morfijumom). </w:t>
      </w:r>
    </w:p>
    <w:p w14:paraId="3F181A01" w14:textId="591B7711" w:rsidR="00573292" w:rsidRPr="007C19A2" w:rsidRDefault="00573292" w:rsidP="00573292">
      <w:pPr>
        <w:jc w:val="both"/>
        <w:rPr>
          <w:sz w:val="22"/>
          <w:szCs w:val="22"/>
          <w:lang w:val="sr-Latn-ME"/>
        </w:rPr>
      </w:pPr>
      <w:r w:rsidRPr="007C19A2">
        <w:rPr>
          <w:i/>
          <w:iCs/>
          <w:sz w:val="22"/>
          <w:szCs w:val="22"/>
          <w:lang w:val="sr-Latn-ME"/>
        </w:rPr>
        <w:t xml:space="preserve">In vitro </w:t>
      </w:r>
      <w:r w:rsidRPr="007C19A2">
        <w:rPr>
          <w:sz w:val="22"/>
          <w:szCs w:val="22"/>
          <w:lang w:val="sr-Latn-ME"/>
        </w:rPr>
        <w:t xml:space="preserve">podaci ukazuju na to da netupitant inhibira efluks </w:t>
      </w:r>
      <w:r w:rsidR="00C30D32" w:rsidRPr="007C19A2">
        <w:rPr>
          <w:sz w:val="22"/>
          <w:szCs w:val="22"/>
          <w:lang w:val="sr-Latn-ME"/>
        </w:rPr>
        <w:t xml:space="preserve">transportera </w:t>
      </w:r>
      <w:r w:rsidRPr="007C19A2">
        <w:rPr>
          <w:sz w:val="22"/>
          <w:szCs w:val="22"/>
          <w:lang w:val="sr-Latn-ME"/>
        </w:rPr>
        <w:t xml:space="preserve">BCRP. Klinički značaj tog dejstva nije ustanovljen. </w:t>
      </w:r>
    </w:p>
    <w:p w14:paraId="1AAA7B45" w14:textId="6F6D3A71" w:rsidR="00573292" w:rsidRPr="007C19A2" w:rsidRDefault="00573292" w:rsidP="00573292">
      <w:pPr>
        <w:jc w:val="both"/>
        <w:rPr>
          <w:sz w:val="22"/>
          <w:szCs w:val="22"/>
          <w:lang w:val="sr-Latn-ME"/>
        </w:rPr>
      </w:pPr>
      <w:r w:rsidRPr="007C19A2">
        <w:rPr>
          <w:i/>
          <w:iCs/>
          <w:sz w:val="22"/>
          <w:szCs w:val="22"/>
          <w:lang w:val="sr-Latn-ME"/>
        </w:rPr>
        <w:t xml:space="preserve">In vitro </w:t>
      </w:r>
      <w:r w:rsidRPr="007C19A2">
        <w:rPr>
          <w:sz w:val="22"/>
          <w:szCs w:val="22"/>
          <w:lang w:val="sr-Latn-ME"/>
        </w:rPr>
        <w:t xml:space="preserve">podaci pokazuju da je netupitant inhibitor P-gp-a. Prema ispitivanju </w:t>
      </w:r>
      <w:r w:rsidR="00C30D32" w:rsidRPr="007C19A2">
        <w:rPr>
          <w:sz w:val="22"/>
          <w:szCs w:val="22"/>
          <w:lang w:val="sr-Latn-ME"/>
        </w:rPr>
        <w:t>sprovedenom kod</w:t>
      </w:r>
      <w:r w:rsidRPr="007C19A2">
        <w:rPr>
          <w:sz w:val="22"/>
          <w:szCs w:val="22"/>
          <w:lang w:val="sr-Latn-ME"/>
        </w:rPr>
        <w:t xml:space="preserve"> zdravi</w:t>
      </w:r>
      <w:r w:rsidR="00C30D32" w:rsidRPr="007C19A2">
        <w:rPr>
          <w:sz w:val="22"/>
          <w:szCs w:val="22"/>
          <w:lang w:val="sr-Latn-ME"/>
        </w:rPr>
        <w:t>h</w:t>
      </w:r>
      <w:r w:rsidRPr="007C19A2">
        <w:rPr>
          <w:sz w:val="22"/>
          <w:szCs w:val="22"/>
          <w:lang w:val="sr-Latn-ME"/>
        </w:rPr>
        <w:t xml:space="preserve"> dobrovolj</w:t>
      </w:r>
      <w:r w:rsidR="00C30D32" w:rsidRPr="007C19A2">
        <w:rPr>
          <w:sz w:val="22"/>
          <w:szCs w:val="22"/>
          <w:lang w:val="sr-Latn-ME"/>
        </w:rPr>
        <w:t>aca</w:t>
      </w:r>
      <w:r w:rsidRPr="007C19A2">
        <w:rPr>
          <w:sz w:val="22"/>
          <w:szCs w:val="22"/>
          <w:lang w:val="sr-Latn-ME"/>
        </w:rPr>
        <w:t xml:space="preserve">, netupitant ne utiče na izloženost digoksinu, supstratu P-gp-a, ali povećava njegovu Cmax za 1,09 puta [90% CI 0,9-1,31]. Nije isključeno da ovaj </w:t>
      </w:r>
      <w:r w:rsidR="00C30D32" w:rsidRPr="007C19A2">
        <w:rPr>
          <w:sz w:val="22"/>
          <w:szCs w:val="22"/>
          <w:lang w:val="sr-Latn-ME"/>
        </w:rPr>
        <w:t xml:space="preserve">efekat </w:t>
      </w:r>
      <w:r w:rsidRPr="007C19A2">
        <w:rPr>
          <w:sz w:val="22"/>
          <w:szCs w:val="22"/>
          <w:lang w:val="sr-Latn-ME"/>
        </w:rPr>
        <w:t>možda bude i izraženiji, a time i klinički značajan kod pacijenata sa rakom, a posebno pacijenata sa poremećenom funkcijom bubrega. Stoga se preporučuje oprez kada se netupitant kombinuje sa digoksinom ili drugim supstratima P-gp-a, kao što su dabigatran ili kolhicin.</w:t>
      </w:r>
    </w:p>
    <w:p w14:paraId="451C24A8" w14:textId="77777777" w:rsidR="00573292" w:rsidRPr="007C19A2" w:rsidRDefault="00573292" w:rsidP="00480FB1">
      <w:pPr>
        <w:tabs>
          <w:tab w:val="left" w:pos="540"/>
          <w:tab w:val="left" w:pos="569"/>
        </w:tabs>
        <w:rPr>
          <w:bCs/>
          <w:sz w:val="22"/>
          <w:szCs w:val="22"/>
          <w:lang w:val="sr-Latn-ME"/>
        </w:rPr>
      </w:pPr>
    </w:p>
    <w:p w14:paraId="176A3C0E" w14:textId="77777777" w:rsidR="0072020E" w:rsidRPr="007C19A2" w:rsidRDefault="0072020E" w:rsidP="00480FB1">
      <w:pPr>
        <w:tabs>
          <w:tab w:val="left" w:pos="540"/>
          <w:tab w:val="left" w:pos="569"/>
        </w:tabs>
        <w:rPr>
          <w:b/>
          <w:sz w:val="22"/>
          <w:szCs w:val="22"/>
          <w:lang w:val="sr-Latn-ME"/>
        </w:rPr>
      </w:pPr>
      <w:r w:rsidRPr="007C19A2">
        <w:rPr>
          <w:b/>
          <w:bCs/>
          <w:sz w:val="22"/>
          <w:szCs w:val="22"/>
          <w:lang w:val="sr-Latn-ME"/>
        </w:rPr>
        <w:t xml:space="preserve">4.6. </w:t>
      </w:r>
      <w:r w:rsidR="00480FB1" w:rsidRPr="007C19A2">
        <w:rPr>
          <w:b/>
          <w:bCs/>
          <w:sz w:val="22"/>
          <w:szCs w:val="22"/>
          <w:lang w:val="sr-Latn-ME"/>
        </w:rPr>
        <w:tab/>
      </w:r>
      <w:r w:rsidR="006D20A5" w:rsidRPr="007C19A2">
        <w:rPr>
          <w:b/>
          <w:sz w:val="22"/>
          <w:szCs w:val="22"/>
          <w:lang w:val="sr-Latn-ME"/>
        </w:rPr>
        <w:t>Plodnost, trudnoća i dojenje</w:t>
      </w:r>
    </w:p>
    <w:p w14:paraId="176A3C0F" w14:textId="77777777" w:rsidR="002031B3" w:rsidRPr="007C19A2" w:rsidRDefault="002031B3" w:rsidP="00480FB1">
      <w:pPr>
        <w:tabs>
          <w:tab w:val="left" w:pos="540"/>
          <w:tab w:val="left" w:pos="569"/>
        </w:tabs>
        <w:rPr>
          <w:sz w:val="22"/>
          <w:szCs w:val="22"/>
          <w:u w:val="single"/>
          <w:lang w:val="sr-Latn-ME"/>
        </w:rPr>
      </w:pPr>
    </w:p>
    <w:p w14:paraId="581814D5" w14:textId="77777777" w:rsidR="00573292" w:rsidRPr="007C19A2" w:rsidRDefault="00573292" w:rsidP="00573292">
      <w:pPr>
        <w:jc w:val="both"/>
        <w:rPr>
          <w:sz w:val="22"/>
          <w:szCs w:val="22"/>
          <w:u w:val="single"/>
          <w:lang w:val="sr-Latn-ME"/>
        </w:rPr>
      </w:pPr>
      <w:r w:rsidRPr="007C19A2">
        <w:rPr>
          <w:sz w:val="22"/>
          <w:szCs w:val="22"/>
          <w:u w:val="single"/>
          <w:lang w:val="sr-Latn-ME"/>
        </w:rPr>
        <w:t>Žene u reproduktivnom periodu/kontracepcija kod žena</w:t>
      </w:r>
    </w:p>
    <w:p w14:paraId="2EE424A5" w14:textId="77777777" w:rsidR="00573292" w:rsidRPr="007C19A2" w:rsidRDefault="00573292" w:rsidP="00573292">
      <w:pPr>
        <w:jc w:val="both"/>
        <w:rPr>
          <w:bCs/>
          <w:sz w:val="22"/>
          <w:szCs w:val="22"/>
          <w:u w:val="single"/>
          <w:lang w:val="sr-Latn-ME"/>
        </w:rPr>
      </w:pPr>
    </w:p>
    <w:p w14:paraId="015E8BB0" w14:textId="1C985F24" w:rsidR="00573292" w:rsidRPr="007C19A2" w:rsidRDefault="00573292" w:rsidP="00573292">
      <w:pPr>
        <w:jc w:val="both"/>
        <w:rPr>
          <w:bCs/>
          <w:sz w:val="22"/>
          <w:szCs w:val="22"/>
          <w:lang w:val="sr-Latn-ME"/>
        </w:rPr>
      </w:pPr>
      <w:r w:rsidRPr="007C19A2">
        <w:rPr>
          <w:bCs/>
          <w:sz w:val="22"/>
          <w:szCs w:val="22"/>
          <w:lang w:val="sr-Latn-ME"/>
        </w:rPr>
        <w:t>Žene u reproduktivnom periodu ne smiju biti trudne ili zatrudnjeti dok su na terapiji lijekom Akynzeo. Prije liječenja, sve žene koje ni</w:t>
      </w:r>
      <w:r w:rsidR="00C30D32" w:rsidRPr="007C19A2">
        <w:rPr>
          <w:bCs/>
          <w:sz w:val="22"/>
          <w:szCs w:val="22"/>
          <w:lang w:val="sr-Latn-ME"/>
        </w:rPr>
        <w:t>je</w:t>
      </w:r>
      <w:r w:rsidRPr="007C19A2">
        <w:rPr>
          <w:bCs/>
          <w:sz w:val="22"/>
          <w:szCs w:val="22"/>
          <w:lang w:val="sr-Latn-ME"/>
        </w:rPr>
        <w:t xml:space="preserve">su u menopauzi treba da urade test na trudnoću. Žene u reproduktivnom periodu moraju da koriste efikasnu kontracepciju za vrijeme terapije i još do mjesec dana nakon liječenja ovim lijekom. </w:t>
      </w:r>
    </w:p>
    <w:p w14:paraId="0AB8D438" w14:textId="77777777" w:rsidR="00573292" w:rsidRPr="007C19A2" w:rsidRDefault="00573292" w:rsidP="002031B3">
      <w:pPr>
        <w:tabs>
          <w:tab w:val="left" w:pos="540"/>
          <w:tab w:val="left" w:pos="569"/>
        </w:tabs>
        <w:rPr>
          <w:sz w:val="22"/>
          <w:szCs w:val="22"/>
          <w:u w:val="single"/>
          <w:lang w:val="sr-Latn-ME"/>
        </w:rPr>
      </w:pPr>
    </w:p>
    <w:p w14:paraId="176A3C10" w14:textId="6FB22269" w:rsidR="002031B3" w:rsidRPr="007C19A2" w:rsidRDefault="002031B3" w:rsidP="002031B3">
      <w:pPr>
        <w:tabs>
          <w:tab w:val="left" w:pos="540"/>
          <w:tab w:val="left" w:pos="569"/>
        </w:tabs>
        <w:rPr>
          <w:sz w:val="22"/>
          <w:szCs w:val="22"/>
          <w:u w:val="single"/>
          <w:lang w:val="sr-Latn-ME"/>
        </w:rPr>
      </w:pPr>
      <w:r w:rsidRPr="007C19A2">
        <w:rPr>
          <w:sz w:val="22"/>
          <w:szCs w:val="22"/>
          <w:u w:val="single"/>
          <w:lang w:val="sr-Latn-ME"/>
        </w:rPr>
        <w:t>Plodnost</w:t>
      </w:r>
    </w:p>
    <w:p w14:paraId="1FDF0D95" w14:textId="77777777" w:rsidR="00573292" w:rsidRPr="007C19A2" w:rsidRDefault="00573292" w:rsidP="002031B3">
      <w:pPr>
        <w:tabs>
          <w:tab w:val="left" w:pos="540"/>
          <w:tab w:val="left" w:pos="569"/>
        </w:tabs>
        <w:rPr>
          <w:sz w:val="22"/>
          <w:szCs w:val="22"/>
          <w:u w:val="single"/>
          <w:lang w:val="sr-Latn-ME"/>
        </w:rPr>
      </w:pPr>
    </w:p>
    <w:p w14:paraId="1F85BA76" w14:textId="77777777" w:rsidR="00573292" w:rsidRPr="007C19A2" w:rsidRDefault="00573292" w:rsidP="00573292">
      <w:pPr>
        <w:jc w:val="both"/>
        <w:rPr>
          <w:bCs/>
          <w:i/>
          <w:sz w:val="22"/>
          <w:szCs w:val="22"/>
          <w:lang w:val="sr-Latn-ME"/>
        </w:rPr>
      </w:pPr>
      <w:r w:rsidRPr="007C19A2">
        <w:rPr>
          <w:i/>
          <w:sz w:val="22"/>
          <w:szCs w:val="22"/>
          <w:lang w:val="sr-Latn-ME"/>
        </w:rPr>
        <w:t>Netupitant</w:t>
      </w:r>
    </w:p>
    <w:p w14:paraId="684EF4A4" w14:textId="77777777" w:rsidR="00573292" w:rsidRPr="007C19A2" w:rsidRDefault="00573292" w:rsidP="00573292">
      <w:pPr>
        <w:jc w:val="both"/>
        <w:rPr>
          <w:bCs/>
          <w:sz w:val="22"/>
          <w:szCs w:val="22"/>
          <w:lang w:val="sr-Latn-ME"/>
        </w:rPr>
      </w:pPr>
      <w:r w:rsidRPr="007C19A2">
        <w:rPr>
          <w:bCs/>
          <w:sz w:val="22"/>
          <w:szCs w:val="22"/>
          <w:lang w:val="sr-Latn-ME"/>
        </w:rPr>
        <w:t>U ispitivanjima na životinjama nije primijećen efekat na plodnost.</w:t>
      </w:r>
    </w:p>
    <w:p w14:paraId="380C2520" w14:textId="77777777" w:rsidR="00573292" w:rsidRPr="007C19A2" w:rsidRDefault="00573292" w:rsidP="00573292">
      <w:pPr>
        <w:jc w:val="both"/>
        <w:rPr>
          <w:bCs/>
          <w:sz w:val="22"/>
          <w:szCs w:val="22"/>
          <w:lang w:val="sr-Latn-ME"/>
        </w:rPr>
      </w:pPr>
    </w:p>
    <w:p w14:paraId="44F90588" w14:textId="77777777" w:rsidR="00573292" w:rsidRPr="007C19A2" w:rsidRDefault="00573292" w:rsidP="00573292">
      <w:pPr>
        <w:jc w:val="both"/>
        <w:rPr>
          <w:bCs/>
          <w:i/>
          <w:sz w:val="22"/>
          <w:szCs w:val="22"/>
          <w:lang w:val="sr-Latn-ME"/>
        </w:rPr>
      </w:pPr>
      <w:r w:rsidRPr="007C19A2">
        <w:rPr>
          <w:i/>
          <w:sz w:val="22"/>
          <w:szCs w:val="22"/>
          <w:lang w:val="sr-Latn-ME"/>
        </w:rPr>
        <w:t>Palonosetron</w:t>
      </w:r>
      <w:r w:rsidRPr="007C19A2">
        <w:rPr>
          <w:bCs/>
          <w:i/>
          <w:sz w:val="22"/>
          <w:szCs w:val="22"/>
          <w:lang w:val="sr-Latn-ME"/>
        </w:rPr>
        <w:t xml:space="preserve"> </w:t>
      </w:r>
    </w:p>
    <w:p w14:paraId="20560222" w14:textId="3FE83F6A" w:rsidR="00573292" w:rsidRPr="007C19A2" w:rsidRDefault="00573292" w:rsidP="00573292">
      <w:pPr>
        <w:jc w:val="both"/>
        <w:rPr>
          <w:bCs/>
          <w:sz w:val="22"/>
          <w:szCs w:val="22"/>
          <w:lang w:val="sr-Latn-ME"/>
        </w:rPr>
      </w:pPr>
      <w:r w:rsidRPr="007C19A2">
        <w:rPr>
          <w:bCs/>
          <w:sz w:val="22"/>
          <w:szCs w:val="22"/>
          <w:lang w:val="sr-Latn-ME"/>
        </w:rPr>
        <w:t xml:space="preserve">U ispitivanju na pacovima primijećena je degeneracija sjemenog epitela (vidjeti </w:t>
      </w:r>
      <w:r w:rsidR="004D30B0" w:rsidRPr="007C19A2">
        <w:rPr>
          <w:bCs/>
          <w:sz w:val="22"/>
          <w:szCs w:val="22"/>
          <w:lang w:val="sr-Latn-ME"/>
        </w:rPr>
        <w:t xml:space="preserve">dio </w:t>
      </w:r>
      <w:r w:rsidRPr="007C19A2">
        <w:rPr>
          <w:bCs/>
          <w:sz w:val="22"/>
          <w:szCs w:val="22"/>
          <w:lang w:val="sr-Latn-ME"/>
        </w:rPr>
        <w:t>5.3).</w:t>
      </w:r>
    </w:p>
    <w:p w14:paraId="176A3C11" w14:textId="77777777" w:rsidR="002031B3" w:rsidRPr="007C19A2" w:rsidRDefault="002031B3" w:rsidP="002031B3">
      <w:pPr>
        <w:tabs>
          <w:tab w:val="left" w:pos="540"/>
          <w:tab w:val="left" w:pos="569"/>
        </w:tabs>
        <w:rPr>
          <w:sz w:val="22"/>
          <w:szCs w:val="22"/>
          <w:u w:val="single"/>
          <w:lang w:val="sr-Latn-ME"/>
        </w:rPr>
      </w:pPr>
    </w:p>
    <w:p w14:paraId="176A3C12" w14:textId="4B18D549" w:rsidR="007A3ECB" w:rsidRPr="007C19A2" w:rsidRDefault="007A3ECB" w:rsidP="00480FB1">
      <w:pPr>
        <w:tabs>
          <w:tab w:val="left" w:pos="540"/>
          <w:tab w:val="left" w:pos="569"/>
        </w:tabs>
        <w:rPr>
          <w:sz w:val="22"/>
          <w:szCs w:val="22"/>
          <w:u w:val="single"/>
          <w:lang w:val="sr-Latn-ME"/>
        </w:rPr>
      </w:pPr>
      <w:r w:rsidRPr="007C19A2">
        <w:rPr>
          <w:sz w:val="22"/>
          <w:szCs w:val="22"/>
          <w:u w:val="single"/>
          <w:lang w:val="sr-Latn-ME"/>
        </w:rPr>
        <w:lastRenderedPageBreak/>
        <w:t>Trudnoća</w:t>
      </w:r>
    </w:p>
    <w:p w14:paraId="12BB284A" w14:textId="77777777" w:rsidR="00573292" w:rsidRPr="007C19A2" w:rsidRDefault="00573292" w:rsidP="00480FB1">
      <w:pPr>
        <w:tabs>
          <w:tab w:val="left" w:pos="540"/>
          <w:tab w:val="left" w:pos="569"/>
        </w:tabs>
        <w:rPr>
          <w:sz w:val="22"/>
          <w:szCs w:val="22"/>
          <w:u w:val="single"/>
          <w:lang w:val="sr-Latn-ME"/>
        </w:rPr>
      </w:pPr>
    </w:p>
    <w:p w14:paraId="7FBD271A" w14:textId="77777777" w:rsidR="00573292" w:rsidRPr="007C19A2" w:rsidRDefault="00573292" w:rsidP="00573292">
      <w:pPr>
        <w:jc w:val="both"/>
        <w:rPr>
          <w:i/>
          <w:sz w:val="22"/>
          <w:szCs w:val="22"/>
          <w:lang w:val="sr-Latn-ME"/>
        </w:rPr>
      </w:pPr>
      <w:r w:rsidRPr="007C19A2">
        <w:rPr>
          <w:i/>
          <w:sz w:val="22"/>
          <w:szCs w:val="22"/>
          <w:lang w:val="sr-Latn-ME"/>
        </w:rPr>
        <w:t>Netupitant</w:t>
      </w:r>
    </w:p>
    <w:p w14:paraId="16921CF0" w14:textId="7A7C3E52" w:rsidR="00573292" w:rsidRPr="007C19A2" w:rsidRDefault="00573292" w:rsidP="00573292">
      <w:pPr>
        <w:jc w:val="both"/>
        <w:rPr>
          <w:bCs/>
          <w:sz w:val="22"/>
          <w:szCs w:val="22"/>
          <w:lang w:val="sr-Latn-ME"/>
        </w:rPr>
      </w:pPr>
      <w:r w:rsidRPr="007C19A2">
        <w:rPr>
          <w:bCs/>
          <w:sz w:val="22"/>
          <w:szCs w:val="22"/>
          <w:lang w:val="sr-Latn-ME"/>
        </w:rPr>
        <w:t xml:space="preserve">Nema podataka o primjeni netupitanta kod trudnica. Ispitivanja na životinjama pokazala su reproduktivnu toksičnost, uključujući teratogene efekte kod kunića bez granice bezbjednosti (vidjeti </w:t>
      </w:r>
      <w:r w:rsidR="004D30B0" w:rsidRPr="007C19A2">
        <w:rPr>
          <w:bCs/>
          <w:sz w:val="22"/>
          <w:szCs w:val="22"/>
          <w:lang w:val="sr-Latn-ME"/>
        </w:rPr>
        <w:t xml:space="preserve">dio </w:t>
      </w:r>
      <w:r w:rsidRPr="007C19A2">
        <w:rPr>
          <w:bCs/>
          <w:sz w:val="22"/>
          <w:szCs w:val="22"/>
          <w:lang w:val="sr-Latn-ME"/>
        </w:rPr>
        <w:t xml:space="preserve">5.3). </w:t>
      </w:r>
    </w:p>
    <w:p w14:paraId="7E6CECD7" w14:textId="77777777" w:rsidR="00573292" w:rsidRPr="007C19A2" w:rsidRDefault="00573292" w:rsidP="00573292">
      <w:pPr>
        <w:jc w:val="both"/>
        <w:rPr>
          <w:bCs/>
          <w:sz w:val="22"/>
          <w:szCs w:val="22"/>
          <w:lang w:val="sr-Latn-ME"/>
        </w:rPr>
      </w:pPr>
    </w:p>
    <w:p w14:paraId="33C6E326" w14:textId="77777777" w:rsidR="00573292" w:rsidRPr="007C19A2" w:rsidRDefault="00573292" w:rsidP="00573292">
      <w:pPr>
        <w:jc w:val="both"/>
        <w:rPr>
          <w:i/>
          <w:sz w:val="22"/>
          <w:szCs w:val="22"/>
          <w:lang w:val="sr-Latn-ME"/>
        </w:rPr>
      </w:pPr>
      <w:r w:rsidRPr="007C19A2">
        <w:rPr>
          <w:i/>
          <w:sz w:val="22"/>
          <w:szCs w:val="22"/>
          <w:lang w:val="sr-Latn-ME"/>
        </w:rPr>
        <w:t>Palonosetron</w:t>
      </w:r>
    </w:p>
    <w:p w14:paraId="70050A22" w14:textId="759935B1" w:rsidR="00573292" w:rsidRPr="007C19A2" w:rsidRDefault="00573292" w:rsidP="00573292">
      <w:pPr>
        <w:jc w:val="both"/>
        <w:rPr>
          <w:bCs/>
          <w:sz w:val="22"/>
          <w:szCs w:val="22"/>
          <w:lang w:val="sr-Latn-ME"/>
        </w:rPr>
      </w:pPr>
      <w:r w:rsidRPr="007C19A2">
        <w:rPr>
          <w:bCs/>
          <w:sz w:val="22"/>
          <w:szCs w:val="22"/>
          <w:lang w:val="sr-Latn-ME"/>
        </w:rPr>
        <w:t xml:space="preserve">Nema podataka o primjeni palonosetrona kod trudnica. Podaci dobijeni na životinjama ne ukazuju na direktne ili indirektne štetne efekte palonosetrona </w:t>
      </w:r>
      <w:r w:rsidR="00C30D32" w:rsidRPr="007C19A2">
        <w:rPr>
          <w:bCs/>
          <w:sz w:val="22"/>
          <w:szCs w:val="22"/>
          <w:lang w:val="sr-Latn-ME"/>
        </w:rPr>
        <w:t>na reprodukciju</w:t>
      </w:r>
      <w:r w:rsidRPr="007C19A2">
        <w:rPr>
          <w:bCs/>
          <w:sz w:val="22"/>
          <w:szCs w:val="22"/>
          <w:lang w:val="sr-Latn-ME"/>
        </w:rPr>
        <w:t xml:space="preserve"> (vidjeti </w:t>
      </w:r>
      <w:r w:rsidR="004D30B0" w:rsidRPr="007C19A2">
        <w:rPr>
          <w:bCs/>
          <w:sz w:val="22"/>
          <w:szCs w:val="22"/>
          <w:lang w:val="sr-Latn-ME"/>
        </w:rPr>
        <w:t xml:space="preserve">dio </w:t>
      </w:r>
      <w:r w:rsidRPr="007C19A2">
        <w:rPr>
          <w:bCs/>
          <w:sz w:val="22"/>
          <w:szCs w:val="22"/>
          <w:lang w:val="sr-Latn-ME"/>
        </w:rPr>
        <w:t xml:space="preserve">5.3). </w:t>
      </w:r>
    </w:p>
    <w:p w14:paraId="0C62B8AF" w14:textId="77777777" w:rsidR="00573292" w:rsidRPr="007C19A2" w:rsidRDefault="00573292" w:rsidP="00573292">
      <w:pPr>
        <w:jc w:val="both"/>
        <w:rPr>
          <w:bCs/>
          <w:sz w:val="22"/>
          <w:szCs w:val="22"/>
          <w:lang w:val="sr-Latn-ME"/>
        </w:rPr>
      </w:pPr>
    </w:p>
    <w:p w14:paraId="4253CEA4" w14:textId="13B1F630" w:rsidR="00573292" w:rsidRPr="007C19A2" w:rsidRDefault="00573292" w:rsidP="00573292">
      <w:pPr>
        <w:jc w:val="both"/>
        <w:rPr>
          <w:bCs/>
          <w:sz w:val="22"/>
          <w:szCs w:val="22"/>
          <w:lang w:val="sr-Latn-ME"/>
        </w:rPr>
      </w:pPr>
      <w:r w:rsidRPr="007C19A2">
        <w:rPr>
          <w:bCs/>
          <w:sz w:val="22"/>
          <w:szCs w:val="22"/>
          <w:lang w:val="sr-Latn-ME"/>
        </w:rPr>
        <w:t>Lijek Akynzeo je kontraindikovan za vrijeme trudnoće</w:t>
      </w:r>
      <w:r w:rsidR="00B34000" w:rsidRPr="007C19A2">
        <w:rPr>
          <w:bCs/>
          <w:sz w:val="22"/>
          <w:szCs w:val="22"/>
          <w:lang w:val="sr-Latn-ME"/>
        </w:rPr>
        <w:t xml:space="preserve"> (vidjeti dio 4.3)</w:t>
      </w:r>
      <w:r w:rsidRPr="007C19A2">
        <w:rPr>
          <w:bCs/>
          <w:sz w:val="22"/>
          <w:szCs w:val="22"/>
          <w:lang w:val="sr-Latn-ME"/>
        </w:rPr>
        <w:t xml:space="preserve">. </w:t>
      </w:r>
    </w:p>
    <w:p w14:paraId="176A3C13" w14:textId="77777777" w:rsidR="002031B3" w:rsidRPr="007C19A2" w:rsidRDefault="002031B3" w:rsidP="00480FB1">
      <w:pPr>
        <w:tabs>
          <w:tab w:val="left" w:pos="540"/>
          <w:tab w:val="left" w:pos="569"/>
        </w:tabs>
        <w:rPr>
          <w:sz w:val="22"/>
          <w:szCs w:val="22"/>
          <w:u w:val="single"/>
          <w:lang w:val="sr-Latn-ME"/>
        </w:rPr>
      </w:pPr>
    </w:p>
    <w:p w14:paraId="176A3C14" w14:textId="31055F66" w:rsidR="0072020E" w:rsidRPr="007C19A2" w:rsidRDefault="007A3ECB" w:rsidP="00480FB1">
      <w:pPr>
        <w:tabs>
          <w:tab w:val="left" w:pos="540"/>
          <w:tab w:val="left" w:pos="569"/>
        </w:tabs>
        <w:rPr>
          <w:sz w:val="22"/>
          <w:szCs w:val="22"/>
          <w:u w:val="single"/>
          <w:lang w:val="sr-Latn-ME"/>
        </w:rPr>
      </w:pPr>
      <w:r w:rsidRPr="007C19A2">
        <w:rPr>
          <w:sz w:val="22"/>
          <w:szCs w:val="22"/>
          <w:u w:val="single"/>
          <w:lang w:val="sr-Latn-ME"/>
        </w:rPr>
        <w:t xml:space="preserve">Dojenje </w:t>
      </w:r>
    </w:p>
    <w:p w14:paraId="36298E98" w14:textId="77777777" w:rsidR="00573292" w:rsidRPr="007C19A2" w:rsidRDefault="00573292" w:rsidP="00480FB1">
      <w:pPr>
        <w:tabs>
          <w:tab w:val="left" w:pos="540"/>
          <w:tab w:val="left" w:pos="569"/>
        </w:tabs>
        <w:rPr>
          <w:b/>
          <w:bCs/>
          <w:sz w:val="22"/>
          <w:szCs w:val="22"/>
          <w:lang w:val="sr-Latn-ME"/>
        </w:rPr>
      </w:pPr>
    </w:p>
    <w:p w14:paraId="5002E69C" w14:textId="77777777" w:rsidR="00573292" w:rsidRPr="007C19A2" w:rsidRDefault="00573292" w:rsidP="00573292">
      <w:pPr>
        <w:jc w:val="both"/>
        <w:rPr>
          <w:bCs/>
          <w:sz w:val="22"/>
          <w:szCs w:val="22"/>
          <w:lang w:val="sr-Latn-ME"/>
        </w:rPr>
      </w:pPr>
      <w:r w:rsidRPr="007C19A2">
        <w:rPr>
          <w:bCs/>
          <w:sz w:val="22"/>
          <w:szCs w:val="22"/>
          <w:lang w:val="sr-Latn-ME"/>
        </w:rPr>
        <w:t>Nije poznato da li se palonosetron ili netupitant izlučuje u majčino mlijeko. Ne može se isključiti rizik za odojče. Lijek Akynzeo ne smije da se primjenjuje u periodu dojenja. Dojenje treba prekinuti za vrijeme liječenja lijekom Akynzeo i još 1 mjesec nakon posljednje doze.</w:t>
      </w:r>
    </w:p>
    <w:p w14:paraId="176A3C15" w14:textId="77777777" w:rsidR="00227BDB" w:rsidRPr="007C19A2" w:rsidRDefault="00227BDB" w:rsidP="00396DFD">
      <w:pPr>
        <w:tabs>
          <w:tab w:val="left" w:pos="540"/>
          <w:tab w:val="left" w:pos="569"/>
        </w:tabs>
        <w:ind w:left="540" w:hanging="540"/>
        <w:rPr>
          <w:b/>
          <w:bCs/>
          <w:sz w:val="22"/>
          <w:szCs w:val="22"/>
          <w:lang w:val="sr-Latn-ME"/>
        </w:rPr>
      </w:pPr>
    </w:p>
    <w:p w14:paraId="176A3C16" w14:textId="77777777" w:rsidR="0072020E" w:rsidRPr="007C19A2" w:rsidRDefault="0072020E" w:rsidP="00396DFD">
      <w:pPr>
        <w:tabs>
          <w:tab w:val="left" w:pos="540"/>
          <w:tab w:val="left" w:pos="569"/>
        </w:tabs>
        <w:ind w:left="540" w:hanging="540"/>
        <w:rPr>
          <w:b/>
          <w:bCs/>
          <w:sz w:val="22"/>
          <w:szCs w:val="22"/>
          <w:lang w:val="sr-Latn-ME"/>
        </w:rPr>
      </w:pPr>
      <w:r w:rsidRPr="007C19A2">
        <w:rPr>
          <w:b/>
          <w:bCs/>
          <w:sz w:val="22"/>
          <w:szCs w:val="22"/>
          <w:lang w:val="sr-Latn-ME"/>
        </w:rPr>
        <w:t xml:space="preserve">4.7. </w:t>
      </w:r>
      <w:r w:rsidR="00480FB1" w:rsidRPr="007C19A2">
        <w:rPr>
          <w:b/>
          <w:bCs/>
          <w:sz w:val="22"/>
          <w:szCs w:val="22"/>
          <w:lang w:val="sr-Latn-ME"/>
        </w:rPr>
        <w:tab/>
      </w:r>
      <w:r w:rsidRPr="007C19A2">
        <w:rPr>
          <w:b/>
          <w:bCs/>
          <w:sz w:val="22"/>
          <w:szCs w:val="22"/>
          <w:lang w:val="sr-Latn-ME"/>
        </w:rPr>
        <w:t xml:space="preserve">Uticaj na </w:t>
      </w:r>
      <w:r w:rsidR="002031B3" w:rsidRPr="007C19A2">
        <w:rPr>
          <w:b/>
          <w:bCs/>
          <w:sz w:val="22"/>
          <w:szCs w:val="22"/>
          <w:lang w:val="sr-Latn-ME"/>
        </w:rPr>
        <w:t xml:space="preserve">sposobnost </w:t>
      </w:r>
      <w:r w:rsidR="00F34554" w:rsidRPr="007C19A2">
        <w:rPr>
          <w:b/>
          <w:bCs/>
          <w:sz w:val="22"/>
          <w:szCs w:val="22"/>
          <w:lang w:val="sr-Latn-ME"/>
        </w:rPr>
        <w:t>upravljanja vozili</w:t>
      </w:r>
      <w:r w:rsidRPr="007C19A2">
        <w:rPr>
          <w:b/>
          <w:bCs/>
          <w:sz w:val="22"/>
          <w:szCs w:val="22"/>
          <w:lang w:val="sr-Latn-ME"/>
        </w:rPr>
        <w:t>m</w:t>
      </w:r>
      <w:r w:rsidR="00F34554" w:rsidRPr="007C19A2">
        <w:rPr>
          <w:b/>
          <w:bCs/>
          <w:sz w:val="22"/>
          <w:szCs w:val="22"/>
          <w:lang w:val="sr-Latn-ME"/>
        </w:rPr>
        <w:t>a</w:t>
      </w:r>
      <w:r w:rsidRPr="007C19A2">
        <w:rPr>
          <w:b/>
          <w:bCs/>
          <w:sz w:val="22"/>
          <w:szCs w:val="22"/>
          <w:lang w:val="sr-Latn-ME"/>
        </w:rPr>
        <w:t xml:space="preserve"> i </w:t>
      </w:r>
      <w:r w:rsidR="000D3449" w:rsidRPr="007C19A2">
        <w:rPr>
          <w:b/>
          <w:bCs/>
          <w:sz w:val="22"/>
          <w:szCs w:val="22"/>
          <w:lang w:val="sr-Latn-ME"/>
        </w:rPr>
        <w:t xml:space="preserve">rukovanje </w:t>
      </w:r>
      <w:r w:rsidRPr="007C19A2">
        <w:rPr>
          <w:b/>
          <w:bCs/>
          <w:sz w:val="22"/>
          <w:szCs w:val="22"/>
          <w:lang w:val="sr-Latn-ME"/>
        </w:rPr>
        <w:t>mašinama</w:t>
      </w:r>
    </w:p>
    <w:p w14:paraId="18EB9EC6" w14:textId="77777777" w:rsidR="00176F34" w:rsidRPr="007C19A2" w:rsidRDefault="00176F34" w:rsidP="00176F34">
      <w:pPr>
        <w:jc w:val="both"/>
        <w:rPr>
          <w:sz w:val="22"/>
          <w:szCs w:val="22"/>
          <w:lang w:val="sr-Latn-ME"/>
        </w:rPr>
      </w:pPr>
    </w:p>
    <w:p w14:paraId="208DC5D5" w14:textId="7DF7725F" w:rsidR="00176F34" w:rsidRPr="007C19A2" w:rsidRDefault="00176F34" w:rsidP="00176F34">
      <w:pPr>
        <w:jc w:val="both"/>
        <w:rPr>
          <w:sz w:val="22"/>
          <w:szCs w:val="22"/>
          <w:lang w:val="sr-Latn-ME"/>
        </w:rPr>
      </w:pPr>
      <w:r w:rsidRPr="007C19A2">
        <w:rPr>
          <w:sz w:val="22"/>
          <w:szCs w:val="22"/>
          <w:lang w:val="sr-Latn-ME"/>
        </w:rPr>
        <w:t xml:space="preserve">Lijek Akynzeo umjereno utiče na sposobnost upravljanja </w:t>
      </w:r>
      <w:r w:rsidRPr="007C19A2">
        <w:rPr>
          <w:bCs/>
          <w:sz w:val="22"/>
          <w:szCs w:val="22"/>
          <w:lang w:val="sr-Latn-ME"/>
        </w:rPr>
        <w:t>motornim vozilima i rukovanja mašinama</w:t>
      </w:r>
      <w:r w:rsidRPr="007C19A2">
        <w:rPr>
          <w:sz w:val="22"/>
          <w:szCs w:val="22"/>
          <w:lang w:val="sr-Latn-ME"/>
        </w:rPr>
        <w:t>. Kako može izazvati vrtoglavicu, pospanost ili zamor, pacijente treba upozoriti da ne upravljaju motornim vozilima niti da rukuju mašinama ako im se pojave takvi simptomi.</w:t>
      </w:r>
    </w:p>
    <w:p w14:paraId="176A3C17" w14:textId="77777777" w:rsidR="0072020E" w:rsidRPr="007C19A2" w:rsidRDefault="0072020E" w:rsidP="00480FB1">
      <w:pPr>
        <w:tabs>
          <w:tab w:val="left" w:pos="540"/>
          <w:tab w:val="left" w:pos="569"/>
        </w:tabs>
        <w:rPr>
          <w:b/>
          <w:bCs/>
          <w:sz w:val="22"/>
          <w:szCs w:val="22"/>
          <w:lang w:val="sr-Latn-ME"/>
        </w:rPr>
      </w:pPr>
    </w:p>
    <w:p w14:paraId="176A3C18"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4.8. </w:t>
      </w:r>
      <w:r w:rsidR="00480FB1" w:rsidRPr="007C19A2">
        <w:rPr>
          <w:b/>
          <w:bCs/>
          <w:sz w:val="22"/>
          <w:szCs w:val="22"/>
          <w:lang w:val="sr-Latn-ME"/>
        </w:rPr>
        <w:tab/>
      </w:r>
      <w:r w:rsidRPr="007C19A2">
        <w:rPr>
          <w:b/>
          <w:bCs/>
          <w:sz w:val="22"/>
          <w:szCs w:val="22"/>
          <w:lang w:val="sr-Latn-ME"/>
        </w:rPr>
        <w:t>Neželjena dejstva</w:t>
      </w:r>
    </w:p>
    <w:p w14:paraId="176A3C19" w14:textId="77777777" w:rsidR="004E70AD" w:rsidRPr="007C19A2" w:rsidRDefault="004E70AD" w:rsidP="00480FB1">
      <w:pPr>
        <w:tabs>
          <w:tab w:val="left" w:pos="540"/>
          <w:tab w:val="left" w:pos="569"/>
        </w:tabs>
        <w:rPr>
          <w:b/>
          <w:bCs/>
          <w:sz w:val="22"/>
          <w:szCs w:val="22"/>
          <w:lang w:val="sr-Latn-ME"/>
        </w:rPr>
      </w:pPr>
    </w:p>
    <w:p w14:paraId="7D852792" w14:textId="77777777" w:rsidR="00176F34" w:rsidRPr="007C19A2" w:rsidRDefault="00176F34" w:rsidP="00176F34">
      <w:pPr>
        <w:autoSpaceDE w:val="0"/>
        <w:autoSpaceDN w:val="0"/>
        <w:adjustRightInd w:val="0"/>
        <w:rPr>
          <w:sz w:val="22"/>
          <w:szCs w:val="22"/>
          <w:u w:val="single"/>
          <w:lang w:val="sr-Latn-ME" w:eastAsia="it-CH"/>
        </w:rPr>
      </w:pPr>
      <w:r w:rsidRPr="007C19A2">
        <w:rPr>
          <w:sz w:val="22"/>
          <w:szCs w:val="22"/>
          <w:u w:val="single"/>
          <w:lang w:val="sr-Latn-ME" w:eastAsia="it-CH"/>
        </w:rPr>
        <w:t>Sažetak bezbjednosnog profila</w:t>
      </w:r>
    </w:p>
    <w:p w14:paraId="784C07E4" w14:textId="77777777" w:rsidR="00176F34" w:rsidRPr="007C19A2" w:rsidRDefault="00176F34" w:rsidP="00176F34">
      <w:pPr>
        <w:autoSpaceDE w:val="0"/>
        <w:autoSpaceDN w:val="0"/>
        <w:adjustRightInd w:val="0"/>
        <w:rPr>
          <w:color w:val="000000"/>
          <w:sz w:val="22"/>
          <w:szCs w:val="22"/>
          <w:lang w:val="sr-Latn-ME"/>
        </w:rPr>
      </w:pPr>
    </w:p>
    <w:p w14:paraId="17D7BFC6" w14:textId="19B16024" w:rsidR="00176F34" w:rsidRPr="007C19A2" w:rsidRDefault="00176F34" w:rsidP="00176F34">
      <w:pPr>
        <w:autoSpaceDE w:val="0"/>
        <w:autoSpaceDN w:val="0"/>
        <w:adjustRightInd w:val="0"/>
        <w:jc w:val="both"/>
        <w:rPr>
          <w:i/>
          <w:sz w:val="22"/>
          <w:szCs w:val="22"/>
          <w:lang w:val="sr-Latn-ME"/>
        </w:rPr>
      </w:pPr>
      <w:r w:rsidRPr="007C19A2">
        <w:rPr>
          <w:color w:val="000000"/>
          <w:sz w:val="22"/>
          <w:szCs w:val="22"/>
          <w:lang w:val="sr-Latn-ME"/>
        </w:rPr>
        <w:t xml:space="preserve">Česte neželjene reakcije prijavljene </w:t>
      </w:r>
      <w:r w:rsidR="00152566" w:rsidRPr="007C19A2">
        <w:rPr>
          <w:color w:val="000000"/>
          <w:sz w:val="22"/>
          <w:szCs w:val="22"/>
          <w:lang w:val="sr-Latn-ME"/>
        </w:rPr>
        <w:t>tokom primjene</w:t>
      </w:r>
      <w:r w:rsidRPr="007C19A2">
        <w:rPr>
          <w:color w:val="000000"/>
          <w:sz w:val="22"/>
          <w:szCs w:val="22"/>
          <w:lang w:val="sr-Latn-ME"/>
        </w:rPr>
        <w:t xml:space="preserve"> lijek</w:t>
      </w:r>
      <w:r w:rsidR="00152566" w:rsidRPr="007C19A2">
        <w:rPr>
          <w:color w:val="000000"/>
          <w:sz w:val="22"/>
          <w:szCs w:val="22"/>
          <w:lang w:val="sr-Latn-ME"/>
        </w:rPr>
        <w:t>a</w:t>
      </w:r>
      <w:r w:rsidRPr="007C19A2">
        <w:rPr>
          <w:color w:val="000000"/>
          <w:sz w:val="22"/>
          <w:szCs w:val="22"/>
          <w:lang w:val="sr-Latn-ME"/>
        </w:rPr>
        <w:t xml:space="preserve"> </w:t>
      </w:r>
      <w:r w:rsidRPr="007C19A2">
        <w:rPr>
          <w:sz w:val="22"/>
          <w:szCs w:val="22"/>
          <w:lang w:val="sr-Latn-ME"/>
        </w:rPr>
        <w:t>Akynzeo</w:t>
      </w:r>
      <w:r w:rsidRPr="007C19A2">
        <w:rPr>
          <w:color w:val="000000"/>
          <w:sz w:val="22"/>
          <w:szCs w:val="22"/>
          <w:lang w:val="sr-Latn-ME"/>
        </w:rPr>
        <w:t xml:space="preserve"> </w:t>
      </w:r>
      <w:r w:rsidRPr="007C19A2">
        <w:rPr>
          <w:sz w:val="22"/>
          <w:szCs w:val="22"/>
          <w:lang w:val="sr-Latn-ME"/>
        </w:rPr>
        <w:t xml:space="preserve">bile su glavobolja (3,6%), konstipacija (3,0%) i umor (1,2%).  Nijedan od tih događaja nije bio ozbiljan. </w:t>
      </w:r>
    </w:p>
    <w:p w14:paraId="4AE4D1D7" w14:textId="77777777" w:rsidR="00176F34" w:rsidRPr="007C19A2" w:rsidRDefault="00176F34" w:rsidP="00176F34">
      <w:pPr>
        <w:rPr>
          <w:snapToGrid w:val="0"/>
          <w:sz w:val="22"/>
          <w:szCs w:val="22"/>
          <w:lang w:val="sr-Latn-ME"/>
        </w:rPr>
      </w:pPr>
    </w:p>
    <w:p w14:paraId="475306D0" w14:textId="77777777" w:rsidR="00176F34" w:rsidRPr="007C19A2" w:rsidRDefault="00176F34" w:rsidP="00176F34">
      <w:pPr>
        <w:rPr>
          <w:snapToGrid w:val="0"/>
          <w:sz w:val="22"/>
          <w:szCs w:val="22"/>
          <w:u w:val="single"/>
          <w:lang w:val="sr-Latn-ME"/>
        </w:rPr>
      </w:pPr>
      <w:r w:rsidRPr="007C19A2">
        <w:rPr>
          <w:snapToGrid w:val="0"/>
          <w:sz w:val="22"/>
          <w:szCs w:val="22"/>
          <w:u w:val="single"/>
          <w:lang w:val="sr-Latn-ME"/>
        </w:rPr>
        <w:t>Tabelarni spisak neželjenih reakcija</w:t>
      </w:r>
    </w:p>
    <w:p w14:paraId="57392E01" w14:textId="77777777" w:rsidR="00176F34" w:rsidRPr="007C19A2" w:rsidRDefault="00176F34" w:rsidP="00176F34">
      <w:pPr>
        <w:rPr>
          <w:snapToGrid w:val="0"/>
          <w:sz w:val="22"/>
          <w:szCs w:val="22"/>
          <w:u w:val="single"/>
          <w:lang w:val="sr-Latn-ME"/>
        </w:rPr>
      </w:pPr>
    </w:p>
    <w:p w14:paraId="47A6D167" w14:textId="441DD831" w:rsidR="00176F34" w:rsidRPr="007C19A2" w:rsidRDefault="00176F34" w:rsidP="00176F34">
      <w:pPr>
        <w:autoSpaceDE w:val="0"/>
        <w:autoSpaceDN w:val="0"/>
        <w:adjustRightInd w:val="0"/>
        <w:jc w:val="both"/>
        <w:rPr>
          <w:sz w:val="22"/>
          <w:szCs w:val="22"/>
          <w:lang w:val="sr-Latn-ME"/>
        </w:rPr>
      </w:pPr>
      <w:r w:rsidRPr="007C19A2">
        <w:rPr>
          <w:sz w:val="22"/>
          <w:szCs w:val="22"/>
          <w:lang w:val="sr-Latn-ME"/>
        </w:rPr>
        <w:t xml:space="preserve">Neželjene reakcije navedene su u nastavku teksta prema </w:t>
      </w:r>
      <w:r w:rsidRPr="007C19A2">
        <w:rPr>
          <w:sz w:val="22"/>
          <w:szCs w:val="22"/>
          <w:lang w:val="sr-Latn-ME" w:eastAsia="en-IE"/>
        </w:rPr>
        <w:t>MedDRA klasifikaciji sistema organa i učestalosti</w:t>
      </w:r>
      <w:r w:rsidRPr="007C19A2">
        <w:rPr>
          <w:sz w:val="22"/>
          <w:szCs w:val="22"/>
          <w:lang w:val="sr-Latn-ME"/>
        </w:rPr>
        <w:t>.</w:t>
      </w:r>
    </w:p>
    <w:p w14:paraId="65BC2B9D" w14:textId="77777777" w:rsidR="00176F34" w:rsidRPr="007C19A2" w:rsidRDefault="00176F34" w:rsidP="00176F34">
      <w:pPr>
        <w:autoSpaceDE w:val="0"/>
        <w:autoSpaceDN w:val="0"/>
        <w:adjustRightInd w:val="0"/>
        <w:rPr>
          <w:sz w:val="22"/>
          <w:szCs w:val="22"/>
          <w:lang w:val="sr-Latn-ME"/>
        </w:rPr>
      </w:pPr>
    </w:p>
    <w:p w14:paraId="7EE22602" w14:textId="77777777" w:rsidR="00176F34" w:rsidRPr="007C19A2" w:rsidRDefault="00176F34" w:rsidP="00176F34">
      <w:pPr>
        <w:autoSpaceDE w:val="0"/>
        <w:autoSpaceDN w:val="0"/>
        <w:adjustRightInd w:val="0"/>
        <w:rPr>
          <w:sz w:val="22"/>
          <w:szCs w:val="22"/>
          <w:lang w:val="sr-Latn-ME" w:eastAsia="en-IE"/>
        </w:rPr>
      </w:pPr>
      <w:r w:rsidRPr="007C19A2">
        <w:rPr>
          <w:sz w:val="22"/>
          <w:szCs w:val="22"/>
          <w:lang w:val="sr-Latn-ME" w:eastAsia="en-IE"/>
        </w:rPr>
        <w:t>Kategorije učestalosti su klasifikovane prema sljedećoj terminologiji:</w:t>
      </w:r>
    </w:p>
    <w:p w14:paraId="44D92438" w14:textId="52858F4C" w:rsidR="00176F34" w:rsidRPr="007C19A2" w:rsidRDefault="00176F34" w:rsidP="00176F34">
      <w:pPr>
        <w:autoSpaceDE w:val="0"/>
        <w:autoSpaceDN w:val="0"/>
        <w:adjustRightInd w:val="0"/>
        <w:rPr>
          <w:sz w:val="22"/>
          <w:szCs w:val="22"/>
          <w:lang w:val="sr-Latn-ME" w:eastAsia="en-IE"/>
        </w:rPr>
      </w:pPr>
      <w:r w:rsidRPr="007C19A2">
        <w:rPr>
          <w:sz w:val="22"/>
          <w:szCs w:val="22"/>
          <w:lang w:val="sr-Latn-ME" w:eastAsia="en-IE"/>
        </w:rPr>
        <w:t>Veoma čest</w:t>
      </w:r>
      <w:r w:rsidR="00C30D32" w:rsidRPr="007C19A2">
        <w:rPr>
          <w:sz w:val="22"/>
          <w:szCs w:val="22"/>
          <w:lang w:val="sr-Latn-ME" w:eastAsia="en-IE"/>
        </w:rPr>
        <w:t>o</w:t>
      </w:r>
      <w:r w:rsidRPr="007C19A2">
        <w:rPr>
          <w:sz w:val="22"/>
          <w:szCs w:val="22"/>
          <w:lang w:val="sr-Latn-ME" w:eastAsia="en-IE"/>
        </w:rPr>
        <w:t xml:space="preserve"> (</w:t>
      </w:r>
      <w:r w:rsidRPr="007C19A2">
        <w:rPr>
          <w:rFonts w:eastAsia="SymbolMT"/>
          <w:sz w:val="22"/>
          <w:szCs w:val="22"/>
          <w:lang w:val="sr-Latn-ME" w:eastAsia="en-IE"/>
        </w:rPr>
        <w:t>≥</w:t>
      </w:r>
      <w:r w:rsidR="00C30D32" w:rsidRPr="007C19A2">
        <w:rPr>
          <w:rFonts w:eastAsia="SymbolMT"/>
          <w:sz w:val="22"/>
          <w:szCs w:val="22"/>
          <w:lang w:val="sr-Latn-ME" w:eastAsia="en-IE"/>
        </w:rPr>
        <w:t xml:space="preserve"> </w:t>
      </w:r>
      <w:r w:rsidRPr="007C19A2">
        <w:rPr>
          <w:sz w:val="22"/>
          <w:szCs w:val="22"/>
          <w:lang w:val="sr-Latn-ME" w:eastAsia="en-IE"/>
        </w:rPr>
        <w:t>1/10)</w:t>
      </w:r>
    </w:p>
    <w:p w14:paraId="594F5E2C" w14:textId="3423775A" w:rsidR="00176F34" w:rsidRPr="007C19A2" w:rsidRDefault="00176F34" w:rsidP="00176F34">
      <w:pPr>
        <w:autoSpaceDE w:val="0"/>
        <w:autoSpaceDN w:val="0"/>
        <w:adjustRightInd w:val="0"/>
        <w:rPr>
          <w:sz w:val="22"/>
          <w:szCs w:val="22"/>
          <w:lang w:val="sr-Latn-ME" w:eastAsia="en-IE"/>
        </w:rPr>
      </w:pPr>
      <w:r w:rsidRPr="007C19A2">
        <w:rPr>
          <w:sz w:val="22"/>
          <w:szCs w:val="22"/>
          <w:lang w:val="sr-Latn-ME" w:eastAsia="en-IE"/>
        </w:rPr>
        <w:t>Čest</w:t>
      </w:r>
      <w:r w:rsidR="00C30D32" w:rsidRPr="007C19A2">
        <w:rPr>
          <w:sz w:val="22"/>
          <w:szCs w:val="22"/>
          <w:lang w:val="sr-Latn-ME" w:eastAsia="en-IE"/>
        </w:rPr>
        <w:t>o</w:t>
      </w:r>
      <w:r w:rsidRPr="007C19A2">
        <w:rPr>
          <w:sz w:val="22"/>
          <w:szCs w:val="22"/>
          <w:lang w:val="sr-Latn-ME" w:eastAsia="en-IE"/>
        </w:rPr>
        <w:t xml:space="preserve"> (</w:t>
      </w:r>
      <w:r w:rsidRPr="007C19A2">
        <w:rPr>
          <w:rFonts w:eastAsia="SymbolMT"/>
          <w:sz w:val="22"/>
          <w:szCs w:val="22"/>
          <w:lang w:val="sr-Latn-ME" w:eastAsia="en-IE"/>
        </w:rPr>
        <w:t>≥</w:t>
      </w:r>
      <w:r w:rsidR="00C30D32" w:rsidRPr="007C19A2">
        <w:rPr>
          <w:rFonts w:eastAsia="SymbolMT"/>
          <w:sz w:val="22"/>
          <w:szCs w:val="22"/>
          <w:lang w:val="sr-Latn-ME" w:eastAsia="en-IE"/>
        </w:rPr>
        <w:t xml:space="preserve"> </w:t>
      </w:r>
      <w:r w:rsidRPr="007C19A2">
        <w:rPr>
          <w:sz w:val="22"/>
          <w:szCs w:val="22"/>
          <w:lang w:val="sr-Latn-ME" w:eastAsia="en-IE"/>
        </w:rPr>
        <w:t>1/100 do &lt;</w:t>
      </w:r>
      <w:r w:rsidR="00C30D32" w:rsidRPr="007C19A2">
        <w:rPr>
          <w:sz w:val="22"/>
          <w:szCs w:val="22"/>
          <w:lang w:val="sr-Latn-ME" w:eastAsia="en-IE"/>
        </w:rPr>
        <w:t xml:space="preserve"> </w:t>
      </w:r>
      <w:r w:rsidRPr="007C19A2">
        <w:rPr>
          <w:sz w:val="22"/>
          <w:szCs w:val="22"/>
          <w:lang w:val="sr-Latn-ME" w:eastAsia="en-IE"/>
        </w:rPr>
        <w:t>1/10)</w:t>
      </w:r>
    </w:p>
    <w:p w14:paraId="54DC920E" w14:textId="207DFB8B" w:rsidR="00176F34" w:rsidRPr="007C19A2" w:rsidRDefault="00176F34" w:rsidP="00176F34">
      <w:pPr>
        <w:autoSpaceDE w:val="0"/>
        <w:autoSpaceDN w:val="0"/>
        <w:adjustRightInd w:val="0"/>
        <w:rPr>
          <w:sz w:val="22"/>
          <w:szCs w:val="22"/>
          <w:lang w:val="sr-Latn-ME" w:eastAsia="en-IE"/>
        </w:rPr>
      </w:pPr>
      <w:r w:rsidRPr="007C19A2">
        <w:rPr>
          <w:sz w:val="22"/>
          <w:szCs w:val="22"/>
          <w:lang w:val="sr-Latn-ME" w:eastAsia="en-IE"/>
        </w:rPr>
        <w:t>Povremen</w:t>
      </w:r>
      <w:r w:rsidR="00C30D32" w:rsidRPr="007C19A2">
        <w:rPr>
          <w:sz w:val="22"/>
          <w:szCs w:val="22"/>
          <w:lang w:val="sr-Latn-ME" w:eastAsia="en-IE"/>
        </w:rPr>
        <w:t>o</w:t>
      </w:r>
      <w:r w:rsidRPr="007C19A2">
        <w:rPr>
          <w:sz w:val="22"/>
          <w:szCs w:val="22"/>
          <w:lang w:val="sr-Latn-ME" w:eastAsia="en-IE"/>
        </w:rPr>
        <w:t xml:space="preserve"> (</w:t>
      </w:r>
      <w:r w:rsidRPr="007C19A2">
        <w:rPr>
          <w:rFonts w:eastAsia="SymbolMT"/>
          <w:sz w:val="22"/>
          <w:szCs w:val="22"/>
          <w:lang w:val="sr-Latn-ME" w:eastAsia="en-IE"/>
        </w:rPr>
        <w:t>≥</w:t>
      </w:r>
      <w:r w:rsidR="00C30D32" w:rsidRPr="007C19A2">
        <w:rPr>
          <w:rFonts w:eastAsia="SymbolMT"/>
          <w:sz w:val="22"/>
          <w:szCs w:val="22"/>
          <w:lang w:val="sr-Latn-ME" w:eastAsia="en-IE"/>
        </w:rPr>
        <w:t xml:space="preserve"> </w:t>
      </w:r>
      <w:r w:rsidRPr="007C19A2">
        <w:rPr>
          <w:sz w:val="22"/>
          <w:szCs w:val="22"/>
          <w:lang w:val="sr-Latn-ME" w:eastAsia="en-IE"/>
        </w:rPr>
        <w:t>1/1000 do &lt;</w:t>
      </w:r>
      <w:r w:rsidR="00C30D32" w:rsidRPr="007C19A2">
        <w:rPr>
          <w:sz w:val="22"/>
          <w:szCs w:val="22"/>
          <w:lang w:val="sr-Latn-ME" w:eastAsia="en-IE"/>
        </w:rPr>
        <w:t xml:space="preserve"> </w:t>
      </w:r>
      <w:r w:rsidRPr="007C19A2">
        <w:rPr>
          <w:sz w:val="22"/>
          <w:szCs w:val="22"/>
          <w:lang w:val="sr-Latn-ME" w:eastAsia="en-IE"/>
        </w:rPr>
        <w:t>1/100)</w:t>
      </w:r>
    </w:p>
    <w:p w14:paraId="2CDBF549" w14:textId="0911DAAD" w:rsidR="00176F34" w:rsidRPr="007C19A2" w:rsidRDefault="00176F34" w:rsidP="00176F34">
      <w:pPr>
        <w:autoSpaceDE w:val="0"/>
        <w:autoSpaceDN w:val="0"/>
        <w:adjustRightInd w:val="0"/>
        <w:rPr>
          <w:sz w:val="22"/>
          <w:szCs w:val="22"/>
          <w:lang w:val="sr-Latn-ME" w:eastAsia="en-IE"/>
        </w:rPr>
      </w:pPr>
      <w:r w:rsidRPr="007C19A2">
        <w:rPr>
          <w:sz w:val="22"/>
          <w:szCs w:val="22"/>
          <w:lang w:val="sr-Latn-ME" w:eastAsia="en-IE"/>
        </w:rPr>
        <w:t>Rijetk</w:t>
      </w:r>
      <w:r w:rsidR="00C30D32" w:rsidRPr="007C19A2">
        <w:rPr>
          <w:sz w:val="22"/>
          <w:szCs w:val="22"/>
          <w:lang w:val="sr-Latn-ME" w:eastAsia="en-IE"/>
        </w:rPr>
        <w:t>o</w:t>
      </w:r>
      <w:r w:rsidRPr="007C19A2">
        <w:rPr>
          <w:sz w:val="22"/>
          <w:szCs w:val="22"/>
          <w:lang w:val="sr-Latn-ME" w:eastAsia="en-IE"/>
        </w:rPr>
        <w:t xml:space="preserve"> (</w:t>
      </w:r>
      <w:r w:rsidRPr="007C19A2">
        <w:rPr>
          <w:rFonts w:eastAsia="SymbolMT"/>
          <w:sz w:val="22"/>
          <w:szCs w:val="22"/>
          <w:lang w:val="sr-Latn-ME" w:eastAsia="en-IE"/>
        </w:rPr>
        <w:t>≥</w:t>
      </w:r>
      <w:r w:rsidR="00C30D32" w:rsidRPr="007C19A2">
        <w:rPr>
          <w:rFonts w:eastAsia="SymbolMT"/>
          <w:sz w:val="22"/>
          <w:szCs w:val="22"/>
          <w:lang w:val="sr-Latn-ME" w:eastAsia="en-IE"/>
        </w:rPr>
        <w:t xml:space="preserve"> </w:t>
      </w:r>
      <w:r w:rsidRPr="007C19A2">
        <w:rPr>
          <w:sz w:val="22"/>
          <w:szCs w:val="22"/>
          <w:lang w:val="sr-Latn-ME" w:eastAsia="en-IE"/>
        </w:rPr>
        <w:t>1/10000 do &lt;</w:t>
      </w:r>
      <w:r w:rsidR="00C30D32" w:rsidRPr="007C19A2">
        <w:rPr>
          <w:sz w:val="22"/>
          <w:szCs w:val="22"/>
          <w:lang w:val="sr-Latn-ME" w:eastAsia="en-IE"/>
        </w:rPr>
        <w:t xml:space="preserve"> </w:t>
      </w:r>
      <w:r w:rsidRPr="007C19A2">
        <w:rPr>
          <w:sz w:val="22"/>
          <w:szCs w:val="22"/>
          <w:lang w:val="sr-Latn-ME" w:eastAsia="en-IE"/>
        </w:rPr>
        <w:t>1/1000)</w:t>
      </w:r>
    </w:p>
    <w:p w14:paraId="0D5DAEF7" w14:textId="414AB518" w:rsidR="00176F34" w:rsidRPr="007C19A2" w:rsidRDefault="00176F34" w:rsidP="00176F34">
      <w:pPr>
        <w:rPr>
          <w:sz w:val="22"/>
          <w:szCs w:val="22"/>
          <w:lang w:val="sr-Latn-ME"/>
        </w:rPr>
      </w:pPr>
      <w:r w:rsidRPr="007C19A2">
        <w:rPr>
          <w:sz w:val="22"/>
          <w:szCs w:val="22"/>
          <w:lang w:val="sr-Latn-ME" w:eastAsia="en-IE"/>
        </w:rPr>
        <w:t>Veoma rijetk</w:t>
      </w:r>
      <w:r w:rsidR="00C30D32" w:rsidRPr="007C19A2">
        <w:rPr>
          <w:sz w:val="22"/>
          <w:szCs w:val="22"/>
          <w:lang w:val="sr-Latn-ME" w:eastAsia="en-IE"/>
        </w:rPr>
        <w:t>o</w:t>
      </w:r>
      <w:r w:rsidRPr="007C19A2">
        <w:rPr>
          <w:sz w:val="22"/>
          <w:szCs w:val="22"/>
          <w:lang w:val="sr-Latn-ME" w:eastAsia="en-IE"/>
        </w:rPr>
        <w:t xml:space="preserve"> (&lt;</w:t>
      </w:r>
      <w:r w:rsidR="00C30D32" w:rsidRPr="007C19A2">
        <w:rPr>
          <w:sz w:val="22"/>
          <w:szCs w:val="22"/>
          <w:lang w:val="sr-Latn-ME" w:eastAsia="en-IE"/>
        </w:rPr>
        <w:t xml:space="preserve"> </w:t>
      </w:r>
      <w:r w:rsidRPr="007C19A2">
        <w:rPr>
          <w:sz w:val="22"/>
          <w:szCs w:val="22"/>
          <w:lang w:val="sr-Latn-ME" w:eastAsia="en-IE"/>
        </w:rPr>
        <w:t>1/10000)</w:t>
      </w:r>
      <w:r w:rsidRPr="007C19A2">
        <w:rPr>
          <w:sz w:val="22"/>
          <w:szCs w:val="22"/>
          <w:lang w:val="sr-Latn-ME"/>
        </w:rPr>
        <w:t xml:space="preserve">  </w:t>
      </w:r>
    </w:p>
    <w:p w14:paraId="5E0DEB1B" w14:textId="77777777" w:rsidR="00176F34" w:rsidRPr="007C19A2" w:rsidRDefault="00176F34" w:rsidP="00176F34">
      <w:pPr>
        <w:tabs>
          <w:tab w:val="left" w:pos="540"/>
          <w:tab w:val="left" w:pos="569"/>
        </w:tabs>
        <w:rPr>
          <w:sz w:val="22"/>
          <w:szCs w:val="22"/>
          <w:lang w:val="sr-Latn-ME"/>
        </w:rPr>
      </w:pPr>
      <w:r w:rsidRPr="007C19A2">
        <w:rPr>
          <w:sz w:val="22"/>
          <w:szCs w:val="22"/>
          <w:lang w:val="sr-Latn-ME"/>
        </w:rPr>
        <w:t>Nepoznata učestalost (ne može se utvrditi na osnovu raspoloživih podataka).</w:t>
      </w:r>
    </w:p>
    <w:p w14:paraId="57015F8C" w14:textId="77777777" w:rsidR="00176F34" w:rsidRPr="007C19A2" w:rsidRDefault="00176F34" w:rsidP="00176F34">
      <w:pPr>
        <w:tabs>
          <w:tab w:val="left" w:pos="540"/>
          <w:tab w:val="left" w:pos="569"/>
        </w:tabs>
        <w:rPr>
          <w:sz w:val="22"/>
          <w:szCs w:val="22"/>
          <w:lang w:val="sr-Latn-ME"/>
        </w:rPr>
      </w:pPr>
    </w:p>
    <w:p w14:paraId="6ABB578C" w14:textId="74AA7BD1" w:rsidR="00176F34" w:rsidRPr="007C19A2" w:rsidRDefault="00775B25" w:rsidP="00176F34">
      <w:pPr>
        <w:tabs>
          <w:tab w:val="left" w:pos="540"/>
          <w:tab w:val="left" w:pos="569"/>
        </w:tabs>
        <w:rPr>
          <w:sz w:val="22"/>
          <w:szCs w:val="22"/>
          <w:lang w:val="sr-Latn-ME"/>
        </w:rPr>
      </w:pPr>
      <w:r w:rsidRPr="007C19A2">
        <w:rPr>
          <w:b/>
          <w:sz w:val="22"/>
          <w:szCs w:val="22"/>
          <w:lang w:val="sr-Latn-ME"/>
        </w:rPr>
        <w:t xml:space="preserve">Tabela 1: </w:t>
      </w:r>
      <w:r w:rsidR="00176F34" w:rsidRPr="007C19A2">
        <w:rPr>
          <w:b/>
          <w:sz w:val="22"/>
          <w:szCs w:val="22"/>
          <w:lang w:val="sr-Latn-ME"/>
        </w:rPr>
        <w:t>Neželjene reakcije prema klasifikaciji sistema organa</w:t>
      </w:r>
    </w:p>
    <w:tbl>
      <w:tblPr>
        <w:tblpPr w:leftFromText="180" w:rightFromText="180" w:bottomFromText="160" w:vertAnchor="text" w:tblpY="1"/>
        <w:tblOverlap w:val="never"/>
        <w:tblW w:w="94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61"/>
        <w:gridCol w:w="1417"/>
        <w:gridCol w:w="2268"/>
        <w:gridCol w:w="3119"/>
      </w:tblGrid>
      <w:tr w:rsidR="00176F34" w:rsidRPr="007C19A2" w14:paraId="3F1113FB" w14:textId="77777777" w:rsidTr="002E137B">
        <w:trPr>
          <w:trHeight w:val="255"/>
        </w:trPr>
        <w:tc>
          <w:tcPr>
            <w:tcW w:w="2661" w:type="dxa"/>
            <w:tcBorders>
              <w:top w:val="single" w:sz="4" w:space="0" w:color="auto"/>
              <w:left w:val="single" w:sz="4" w:space="0" w:color="auto"/>
              <w:bottom w:val="single" w:sz="6" w:space="0" w:color="auto"/>
              <w:right w:val="single" w:sz="6" w:space="0" w:color="auto"/>
            </w:tcBorders>
            <w:hideMark/>
          </w:tcPr>
          <w:p w14:paraId="301A7FF6" w14:textId="77777777" w:rsidR="00176F34" w:rsidRPr="007C19A2" w:rsidRDefault="00176F34">
            <w:pPr>
              <w:keepNext/>
              <w:rPr>
                <w:b/>
                <w:color w:val="000000"/>
                <w:sz w:val="22"/>
                <w:szCs w:val="22"/>
                <w:lang w:val="sr-Latn-ME"/>
              </w:rPr>
            </w:pPr>
            <w:r w:rsidRPr="007C19A2">
              <w:rPr>
                <w:b/>
                <w:bCs/>
                <w:color w:val="000000"/>
                <w:sz w:val="22"/>
                <w:szCs w:val="22"/>
                <w:lang w:val="sr-Latn-ME"/>
              </w:rPr>
              <w:t>Klasa sistema organa</w:t>
            </w:r>
          </w:p>
        </w:tc>
        <w:tc>
          <w:tcPr>
            <w:tcW w:w="1417" w:type="dxa"/>
            <w:tcBorders>
              <w:top w:val="single" w:sz="4" w:space="0" w:color="auto"/>
              <w:left w:val="single" w:sz="6" w:space="0" w:color="auto"/>
              <w:bottom w:val="single" w:sz="6" w:space="0" w:color="auto"/>
              <w:right w:val="single" w:sz="6" w:space="0" w:color="auto"/>
            </w:tcBorders>
            <w:hideMark/>
          </w:tcPr>
          <w:p w14:paraId="03ABBBA4" w14:textId="1DA4BEDF" w:rsidR="00176F34" w:rsidRPr="007C19A2" w:rsidRDefault="00176F34">
            <w:pPr>
              <w:keepNext/>
              <w:rPr>
                <w:b/>
                <w:color w:val="000000"/>
                <w:sz w:val="22"/>
                <w:szCs w:val="22"/>
                <w:lang w:val="sr-Latn-ME"/>
              </w:rPr>
            </w:pPr>
            <w:r w:rsidRPr="007C19A2">
              <w:rPr>
                <w:b/>
                <w:bCs/>
                <w:color w:val="000000"/>
                <w:sz w:val="22"/>
                <w:szCs w:val="22"/>
                <w:lang w:val="sr-Latn-ME"/>
              </w:rPr>
              <w:t>Čest</w:t>
            </w:r>
            <w:r w:rsidR="00E71EE9" w:rsidRPr="007C19A2">
              <w:rPr>
                <w:b/>
                <w:bCs/>
                <w:color w:val="000000"/>
                <w:sz w:val="22"/>
                <w:szCs w:val="22"/>
                <w:lang w:val="sr-Latn-ME"/>
              </w:rPr>
              <w:t>o</w:t>
            </w:r>
          </w:p>
        </w:tc>
        <w:tc>
          <w:tcPr>
            <w:tcW w:w="2268" w:type="dxa"/>
            <w:tcBorders>
              <w:top w:val="single" w:sz="4" w:space="0" w:color="auto"/>
              <w:left w:val="single" w:sz="6" w:space="0" w:color="auto"/>
              <w:bottom w:val="single" w:sz="6" w:space="0" w:color="auto"/>
              <w:right w:val="single" w:sz="6" w:space="0" w:color="auto"/>
            </w:tcBorders>
            <w:hideMark/>
          </w:tcPr>
          <w:p w14:paraId="6E4A29B0" w14:textId="543B3904" w:rsidR="00176F34" w:rsidRPr="007C19A2" w:rsidRDefault="00176F34">
            <w:pPr>
              <w:keepNext/>
              <w:rPr>
                <w:b/>
                <w:color w:val="000000"/>
                <w:sz w:val="22"/>
                <w:szCs w:val="22"/>
                <w:lang w:val="sr-Latn-ME"/>
              </w:rPr>
            </w:pPr>
            <w:r w:rsidRPr="007C19A2">
              <w:rPr>
                <w:b/>
                <w:bCs/>
                <w:color w:val="000000"/>
                <w:sz w:val="22"/>
                <w:szCs w:val="22"/>
                <w:lang w:val="sr-Latn-ME"/>
              </w:rPr>
              <w:t>Povremen</w:t>
            </w:r>
            <w:r w:rsidR="00E71EE9" w:rsidRPr="007C19A2">
              <w:rPr>
                <w:b/>
                <w:bCs/>
                <w:color w:val="000000"/>
                <w:sz w:val="22"/>
                <w:szCs w:val="22"/>
                <w:lang w:val="sr-Latn-ME"/>
              </w:rPr>
              <w:t>o</w:t>
            </w:r>
          </w:p>
        </w:tc>
        <w:tc>
          <w:tcPr>
            <w:tcW w:w="3119" w:type="dxa"/>
            <w:tcBorders>
              <w:top w:val="single" w:sz="4" w:space="0" w:color="auto"/>
              <w:left w:val="single" w:sz="6" w:space="0" w:color="auto"/>
              <w:bottom w:val="single" w:sz="6" w:space="0" w:color="auto"/>
              <w:right w:val="single" w:sz="4" w:space="0" w:color="auto"/>
            </w:tcBorders>
            <w:noWrap/>
            <w:hideMark/>
          </w:tcPr>
          <w:p w14:paraId="2E2E3E19" w14:textId="7F073DA5" w:rsidR="00176F34" w:rsidRPr="007C19A2" w:rsidRDefault="00176F34">
            <w:pPr>
              <w:keepNext/>
              <w:rPr>
                <w:b/>
                <w:color w:val="000000"/>
                <w:sz w:val="22"/>
                <w:szCs w:val="22"/>
                <w:lang w:val="sr-Latn-ME"/>
              </w:rPr>
            </w:pPr>
            <w:r w:rsidRPr="007C19A2">
              <w:rPr>
                <w:b/>
                <w:bCs/>
                <w:color w:val="000000"/>
                <w:sz w:val="22"/>
                <w:szCs w:val="22"/>
                <w:lang w:val="sr-Latn-ME"/>
              </w:rPr>
              <w:t>Rijetk</w:t>
            </w:r>
            <w:r w:rsidR="00E71EE9" w:rsidRPr="007C19A2">
              <w:rPr>
                <w:b/>
                <w:bCs/>
                <w:color w:val="000000"/>
                <w:sz w:val="22"/>
                <w:szCs w:val="22"/>
                <w:lang w:val="sr-Latn-ME"/>
              </w:rPr>
              <w:t>o</w:t>
            </w:r>
          </w:p>
        </w:tc>
      </w:tr>
      <w:tr w:rsidR="00176F34" w:rsidRPr="007C19A2" w14:paraId="7900BD25" w14:textId="77777777" w:rsidTr="002E137B">
        <w:trPr>
          <w:trHeight w:val="255"/>
        </w:trPr>
        <w:tc>
          <w:tcPr>
            <w:tcW w:w="2661" w:type="dxa"/>
            <w:tcBorders>
              <w:top w:val="single" w:sz="6" w:space="0" w:color="auto"/>
              <w:left w:val="single" w:sz="4" w:space="0" w:color="auto"/>
              <w:bottom w:val="single" w:sz="6" w:space="0" w:color="auto"/>
              <w:right w:val="single" w:sz="6" w:space="0" w:color="auto"/>
            </w:tcBorders>
            <w:noWrap/>
            <w:hideMark/>
          </w:tcPr>
          <w:p w14:paraId="0D38684B" w14:textId="77777777" w:rsidR="00176F34" w:rsidRPr="007C19A2" w:rsidRDefault="00176F34">
            <w:pPr>
              <w:keepNext/>
              <w:rPr>
                <w:i/>
                <w:color w:val="000000"/>
                <w:sz w:val="22"/>
                <w:szCs w:val="22"/>
                <w:lang w:val="sr-Latn-ME"/>
              </w:rPr>
            </w:pPr>
            <w:r w:rsidRPr="007C19A2">
              <w:rPr>
                <w:bCs/>
                <w:i/>
                <w:color w:val="000000"/>
                <w:sz w:val="22"/>
                <w:szCs w:val="22"/>
                <w:lang w:val="sr-Latn-ME"/>
              </w:rPr>
              <w:t>Infekcije i infestacije</w:t>
            </w:r>
          </w:p>
        </w:tc>
        <w:tc>
          <w:tcPr>
            <w:tcW w:w="1417" w:type="dxa"/>
            <w:tcBorders>
              <w:top w:val="single" w:sz="6" w:space="0" w:color="auto"/>
              <w:left w:val="single" w:sz="6" w:space="0" w:color="auto"/>
              <w:bottom w:val="single" w:sz="6" w:space="0" w:color="auto"/>
              <w:right w:val="single" w:sz="6" w:space="0" w:color="auto"/>
            </w:tcBorders>
          </w:tcPr>
          <w:p w14:paraId="4805AC22"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1CA9789C"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2C84AD7F" w14:textId="77777777" w:rsidR="00176F34" w:rsidRPr="007C19A2" w:rsidRDefault="00176F34">
            <w:pPr>
              <w:keepNext/>
              <w:rPr>
                <w:color w:val="000000"/>
                <w:sz w:val="22"/>
                <w:szCs w:val="22"/>
                <w:lang w:val="sr-Latn-ME"/>
              </w:rPr>
            </w:pPr>
            <w:r w:rsidRPr="007C19A2">
              <w:rPr>
                <w:bCs/>
                <w:color w:val="000000"/>
                <w:sz w:val="22"/>
                <w:szCs w:val="22"/>
                <w:lang w:val="sr-Latn-ME"/>
              </w:rPr>
              <w:t>Cistitis</w:t>
            </w:r>
          </w:p>
        </w:tc>
      </w:tr>
      <w:tr w:rsidR="00176F34" w:rsidRPr="007C19A2" w14:paraId="33268B04" w14:textId="77777777" w:rsidTr="002E137B">
        <w:trPr>
          <w:trHeight w:val="255"/>
        </w:trPr>
        <w:tc>
          <w:tcPr>
            <w:tcW w:w="2661" w:type="dxa"/>
            <w:vMerge w:val="restart"/>
            <w:tcBorders>
              <w:top w:val="single" w:sz="6" w:space="0" w:color="auto"/>
              <w:left w:val="single" w:sz="4" w:space="0" w:color="auto"/>
              <w:bottom w:val="single" w:sz="6" w:space="0" w:color="auto"/>
              <w:right w:val="single" w:sz="6" w:space="0" w:color="auto"/>
            </w:tcBorders>
            <w:hideMark/>
          </w:tcPr>
          <w:p w14:paraId="2C6536BE" w14:textId="77777777" w:rsidR="00176F34" w:rsidRPr="007C19A2" w:rsidRDefault="00176F34">
            <w:pPr>
              <w:keepNext/>
              <w:rPr>
                <w:i/>
                <w:color w:val="000000"/>
                <w:sz w:val="22"/>
                <w:szCs w:val="22"/>
                <w:lang w:val="sr-Latn-ME"/>
              </w:rPr>
            </w:pPr>
            <w:r w:rsidRPr="007C19A2">
              <w:rPr>
                <w:bCs/>
                <w:i/>
                <w:color w:val="000000"/>
                <w:sz w:val="22"/>
                <w:szCs w:val="22"/>
                <w:lang w:val="sr-Latn-ME"/>
              </w:rPr>
              <w:t>Poremećaji krvi i limfnog sistema</w:t>
            </w:r>
          </w:p>
        </w:tc>
        <w:tc>
          <w:tcPr>
            <w:tcW w:w="1417" w:type="dxa"/>
            <w:tcBorders>
              <w:top w:val="single" w:sz="6" w:space="0" w:color="auto"/>
              <w:left w:val="single" w:sz="6" w:space="0" w:color="auto"/>
              <w:bottom w:val="single" w:sz="6" w:space="0" w:color="auto"/>
              <w:right w:val="single" w:sz="6" w:space="0" w:color="auto"/>
            </w:tcBorders>
          </w:tcPr>
          <w:p w14:paraId="41F1EC11"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78FA283B" w14:textId="77777777" w:rsidR="00176F34" w:rsidRPr="007C19A2" w:rsidRDefault="00176F34">
            <w:pPr>
              <w:keepNext/>
              <w:rPr>
                <w:color w:val="000000"/>
                <w:sz w:val="22"/>
                <w:szCs w:val="22"/>
                <w:lang w:val="sr-Latn-ME"/>
              </w:rPr>
            </w:pPr>
            <w:r w:rsidRPr="007C19A2">
              <w:rPr>
                <w:bCs/>
                <w:color w:val="000000"/>
                <w:sz w:val="22"/>
                <w:szCs w:val="22"/>
                <w:lang w:val="sr-Latn-ME"/>
              </w:rPr>
              <w:t>Neutropenija</w:t>
            </w:r>
          </w:p>
        </w:tc>
        <w:tc>
          <w:tcPr>
            <w:tcW w:w="3119" w:type="dxa"/>
            <w:tcBorders>
              <w:top w:val="single" w:sz="6" w:space="0" w:color="auto"/>
              <w:left w:val="single" w:sz="6" w:space="0" w:color="auto"/>
              <w:bottom w:val="single" w:sz="6" w:space="0" w:color="auto"/>
              <w:right w:val="single" w:sz="4" w:space="0" w:color="auto"/>
            </w:tcBorders>
            <w:noWrap/>
            <w:hideMark/>
          </w:tcPr>
          <w:p w14:paraId="2FE65A64" w14:textId="77777777" w:rsidR="00176F34" w:rsidRPr="007C19A2" w:rsidRDefault="00176F34">
            <w:pPr>
              <w:keepNext/>
              <w:rPr>
                <w:color w:val="000000"/>
                <w:sz w:val="22"/>
                <w:szCs w:val="22"/>
                <w:lang w:val="sr-Latn-ME"/>
              </w:rPr>
            </w:pPr>
            <w:r w:rsidRPr="007C19A2">
              <w:rPr>
                <w:bCs/>
                <w:color w:val="000000"/>
                <w:sz w:val="22"/>
                <w:szCs w:val="22"/>
                <w:lang w:val="sr-Latn-ME"/>
              </w:rPr>
              <w:t>Leukopenija</w:t>
            </w:r>
          </w:p>
        </w:tc>
      </w:tr>
      <w:tr w:rsidR="00176F34" w:rsidRPr="007C19A2" w14:paraId="3B6F8742"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68AFE660"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3F25ED7B"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2D146426" w14:textId="77777777" w:rsidR="00176F34" w:rsidRPr="007C19A2" w:rsidRDefault="00176F34">
            <w:pPr>
              <w:keepNext/>
              <w:rPr>
                <w:color w:val="000000"/>
                <w:sz w:val="22"/>
                <w:szCs w:val="22"/>
                <w:lang w:val="sr-Latn-ME"/>
              </w:rPr>
            </w:pPr>
            <w:r w:rsidRPr="007C19A2">
              <w:rPr>
                <w:bCs/>
                <w:color w:val="000000"/>
                <w:sz w:val="22"/>
                <w:szCs w:val="22"/>
                <w:lang w:val="sr-Latn-ME"/>
              </w:rPr>
              <w:t>Leukocitoza</w:t>
            </w:r>
          </w:p>
        </w:tc>
        <w:tc>
          <w:tcPr>
            <w:tcW w:w="3119" w:type="dxa"/>
            <w:tcBorders>
              <w:top w:val="single" w:sz="6" w:space="0" w:color="auto"/>
              <w:left w:val="single" w:sz="6" w:space="0" w:color="auto"/>
              <w:bottom w:val="single" w:sz="6" w:space="0" w:color="auto"/>
              <w:right w:val="single" w:sz="4" w:space="0" w:color="auto"/>
            </w:tcBorders>
            <w:noWrap/>
            <w:hideMark/>
          </w:tcPr>
          <w:p w14:paraId="0252BED4" w14:textId="77777777" w:rsidR="00176F34" w:rsidRPr="007C19A2" w:rsidRDefault="00176F34">
            <w:pPr>
              <w:keepNext/>
              <w:rPr>
                <w:color w:val="000000"/>
                <w:sz w:val="22"/>
                <w:szCs w:val="22"/>
                <w:lang w:val="sr-Latn-ME"/>
              </w:rPr>
            </w:pPr>
            <w:r w:rsidRPr="007C19A2">
              <w:rPr>
                <w:bCs/>
                <w:color w:val="000000"/>
                <w:sz w:val="22"/>
                <w:szCs w:val="22"/>
                <w:lang w:val="sr-Latn-ME"/>
              </w:rPr>
              <w:t>Limfocitoza</w:t>
            </w:r>
          </w:p>
        </w:tc>
      </w:tr>
      <w:tr w:rsidR="00176F34" w:rsidRPr="007C19A2" w14:paraId="475D59F5" w14:textId="77777777" w:rsidTr="002E137B">
        <w:trPr>
          <w:trHeight w:val="255"/>
        </w:trPr>
        <w:tc>
          <w:tcPr>
            <w:tcW w:w="2661" w:type="dxa"/>
            <w:tcBorders>
              <w:top w:val="single" w:sz="6" w:space="0" w:color="auto"/>
              <w:left w:val="single" w:sz="4" w:space="0" w:color="auto"/>
              <w:bottom w:val="single" w:sz="6" w:space="0" w:color="auto"/>
              <w:right w:val="single" w:sz="6" w:space="0" w:color="auto"/>
            </w:tcBorders>
            <w:hideMark/>
          </w:tcPr>
          <w:p w14:paraId="40A4CA51" w14:textId="77777777" w:rsidR="00176F34" w:rsidRPr="007C19A2" w:rsidRDefault="00176F34">
            <w:pPr>
              <w:keepNext/>
              <w:rPr>
                <w:i/>
                <w:color w:val="000000"/>
                <w:sz w:val="22"/>
                <w:szCs w:val="22"/>
                <w:lang w:val="sr-Latn-ME"/>
              </w:rPr>
            </w:pPr>
            <w:r w:rsidRPr="007C19A2">
              <w:rPr>
                <w:bCs/>
                <w:i/>
                <w:color w:val="000000"/>
                <w:sz w:val="22"/>
                <w:szCs w:val="22"/>
                <w:lang w:val="sr-Latn-ME"/>
              </w:rPr>
              <w:t>Poremećaji metabolizma i ishrane</w:t>
            </w:r>
          </w:p>
        </w:tc>
        <w:tc>
          <w:tcPr>
            <w:tcW w:w="1417" w:type="dxa"/>
            <w:tcBorders>
              <w:top w:val="single" w:sz="6" w:space="0" w:color="auto"/>
              <w:left w:val="single" w:sz="6" w:space="0" w:color="auto"/>
              <w:bottom w:val="single" w:sz="6" w:space="0" w:color="auto"/>
              <w:right w:val="single" w:sz="6" w:space="0" w:color="auto"/>
            </w:tcBorders>
          </w:tcPr>
          <w:p w14:paraId="0CF26004"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495A4415" w14:textId="77777777" w:rsidR="00176F34" w:rsidRPr="007C19A2" w:rsidRDefault="00176F34">
            <w:pPr>
              <w:keepNext/>
              <w:rPr>
                <w:color w:val="000000"/>
                <w:sz w:val="22"/>
                <w:szCs w:val="22"/>
                <w:lang w:val="sr-Latn-ME"/>
              </w:rPr>
            </w:pPr>
            <w:r w:rsidRPr="007C19A2">
              <w:rPr>
                <w:bCs/>
                <w:color w:val="000000"/>
                <w:sz w:val="22"/>
                <w:szCs w:val="22"/>
                <w:lang w:val="sr-Latn-ME"/>
              </w:rPr>
              <w:t>Smanjenje apetita</w:t>
            </w:r>
          </w:p>
        </w:tc>
        <w:tc>
          <w:tcPr>
            <w:tcW w:w="3119" w:type="dxa"/>
            <w:tcBorders>
              <w:top w:val="single" w:sz="6" w:space="0" w:color="auto"/>
              <w:left w:val="single" w:sz="6" w:space="0" w:color="auto"/>
              <w:bottom w:val="single" w:sz="6" w:space="0" w:color="auto"/>
              <w:right w:val="single" w:sz="4" w:space="0" w:color="auto"/>
            </w:tcBorders>
            <w:noWrap/>
            <w:hideMark/>
          </w:tcPr>
          <w:p w14:paraId="26F2B02C" w14:textId="77777777" w:rsidR="00176F34" w:rsidRPr="007C19A2" w:rsidRDefault="00176F34">
            <w:pPr>
              <w:keepNext/>
              <w:rPr>
                <w:color w:val="000000"/>
                <w:sz w:val="22"/>
                <w:szCs w:val="22"/>
                <w:lang w:val="sr-Latn-ME"/>
              </w:rPr>
            </w:pPr>
            <w:r w:rsidRPr="007C19A2">
              <w:rPr>
                <w:bCs/>
                <w:color w:val="000000"/>
                <w:sz w:val="22"/>
                <w:szCs w:val="22"/>
                <w:lang w:val="sr-Latn-ME"/>
              </w:rPr>
              <w:t>Hipokalijemija</w:t>
            </w:r>
          </w:p>
        </w:tc>
      </w:tr>
      <w:tr w:rsidR="00176F34" w:rsidRPr="007C19A2" w14:paraId="611F082B" w14:textId="77777777" w:rsidTr="002E137B">
        <w:trPr>
          <w:trHeight w:val="255"/>
        </w:trPr>
        <w:tc>
          <w:tcPr>
            <w:tcW w:w="2661" w:type="dxa"/>
            <w:vMerge w:val="restart"/>
            <w:tcBorders>
              <w:top w:val="single" w:sz="6" w:space="0" w:color="auto"/>
              <w:left w:val="single" w:sz="4" w:space="0" w:color="auto"/>
              <w:bottom w:val="single" w:sz="6" w:space="0" w:color="auto"/>
              <w:right w:val="single" w:sz="6" w:space="0" w:color="auto"/>
            </w:tcBorders>
            <w:hideMark/>
          </w:tcPr>
          <w:p w14:paraId="6350DAE7" w14:textId="77777777" w:rsidR="00176F34" w:rsidRPr="007C19A2" w:rsidRDefault="00176F34">
            <w:pPr>
              <w:keepNext/>
              <w:rPr>
                <w:i/>
                <w:color w:val="000000"/>
                <w:sz w:val="22"/>
                <w:szCs w:val="22"/>
                <w:lang w:val="sr-Latn-ME"/>
              </w:rPr>
            </w:pPr>
            <w:r w:rsidRPr="007C19A2">
              <w:rPr>
                <w:bCs/>
                <w:i/>
                <w:color w:val="000000"/>
                <w:sz w:val="22"/>
                <w:szCs w:val="22"/>
                <w:lang w:val="sr-Latn-ME"/>
              </w:rPr>
              <w:t>Psihijatrijski poremećaji</w:t>
            </w:r>
          </w:p>
        </w:tc>
        <w:tc>
          <w:tcPr>
            <w:tcW w:w="1417" w:type="dxa"/>
            <w:tcBorders>
              <w:top w:val="single" w:sz="6" w:space="0" w:color="auto"/>
              <w:left w:val="single" w:sz="6" w:space="0" w:color="auto"/>
              <w:bottom w:val="single" w:sz="6" w:space="0" w:color="auto"/>
              <w:right w:val="single" w:sz="6" w:space="0" w:color="auto"/>
            </w:tcBorders>
          </w:tcPr>
          <w:p w14:paraId="2FEAB406"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A09176E" w14:textId="77777777" w:rsidR="00176F34" w:rsidRPr="007C19A2" w:rsidRDefault="00176F34">
            <w:pPr>
              <w:keepNext/>
              <w:rPr>
                <w:color w:val="000000"/>
                <w:sz w:val="22"/>
                <w:szCs w:val="22"/>
                <w:lang w:val="sr-Latn-ME"/>
              </w:rPr>
            </w:pPr>
            <w:r w:rsidRPr="007C19A2">
              <w:rPr>
                <w:bCs/>
                <w:color w:val="000000"/>
                <w:sz w:val="22"/>
                <w:szCs w:val="22"/>
                <w:lang w:val="sr-Latn-ME"/>
              </w:rPr>
              <w:t>Nesanica</w:t>
            </w:r>
          </w:p>
        </w:tc>
        <w:tc>
          <w:tcPr>
            <w:tcW w:w="3119" w:type="dxa"/>
            <w:tcBorders>
              <w:top w:val="single" w:sz="6" w:space="0" w:color="auto"/>
              <w:left w:val="single" w:sz="6" w:space="0" w:color="auto"/>
              <w:bottom w:val="single" w:sz="6" w:space="0" w:color="auto"/>
              <w:right w:val="single" w:sz="4" w:space="0" w:color="auto"/>
            </w:tcBorders>
            <w:noWrap/>
            <w:hideMark/>
          </w:tcPr>
          <w:p w14:paraId="29D4BB37" w14:textId="77777777" w:rsidR="00176F34" w:rsidRPr="007C19A2" w:rsidRDefault="00176F34">
            <w:pPr>
              <w:keepNext/>
              <w:rPr>
                <w:color w:val="000000"/>
                <w:sz w:val="22"/>
                <w:szCs w:val="22"/>
                <w:lang w:val="sr-Latn-ME"/>
              </w:rPr>
            </w:pPr>
            <w:r w:rsidRPr="007C19A2">
              <w:rPr>
                <w:bCs/>
                <w:color w:val="000000"/>
                <w:sz w:val="22"/>
                <w:szCs w:val="22"/>
                <w:lang w:val="sr-Latn-ME"/>
              </w:rPr>
              <w:t>Akutna psihoza</w:t>
            </w:r>
          </w:p>
        </w:tc>
      </w:tr>
      <w:tr w:rsidR="00176F34" w:rsidRPr="007C19A2" w14:paraId="0A4D7B80"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7E8935A1"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0DB63C9"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2B90116E"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50F962BB" w14:textId="77777777" w:rsidR="00176F34" w:rsidRPr="007C19A2" w:rsidRDefault="00176F34">
            <w:pPr>
              <w:keepNext/>
              <w:rPr>
                <w:color w:val="000000"/>
                <w:sz w:val="22"/>
                <w:szCs w:val="22"/>
                <w:lang w:val="sr-Latn-ME"/>
              </w:rPr>
            </w:pPr>
            <w:r w:rsidRPr="007C19A2">
              <w:rPr>
                <w:bCs/>
                <w:color w:val="000000"/>
                <w:sz w:val="22"/>
                <w:szCs w:val="22"/>
                <w:lang w:val="sr-Latn-ME"/>
              </w:rPr>
              <w:t>Promjena raspoloženja</w:t>
            </w:r>
          </w:p>
        </w:tc>
      </w:tr>
      <w:tr w:rsidR="00176F34" w:rsidRPr="007C19A2" w14:paraId="58471C29"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59878FA0"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09DDAD2"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02E08123"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79C6BCD4" w14:textId="77777777" w:rsidR="00176F34" w:rsidRPr="007C19A2" w:rsidRDefault="00176F34">
            <w:pPr>
              <w:keepNext/>
              <w:rPr>
                <w:color w:val="000000"/>
                <w:sz w:val="22"/>
                <w:szCs w:val="22"/>
                <w:lang w:val="sr-Latn-ME"/>
              </w:rPr>
            </w:pPr>
            <w:r w:rsidRPr="007C19A2">
              <w:rPr>
                <w:bCs/>
                <w:color w:val="000000"/>
                <w:sz w:val="22"/>
                <w:szCs w:val="22"/>
                <w:lang w:val="sr-Latn-ME"/>
              </w:rPr>
              <w:t>Poremećaj spavanja</w:t>
            </w:r>
          </w:p>
        </w:tc>
      </w:tr>
      <w:tr w:rsidR="00E77E8D" w:rsidRPr="007C19A2" w14:paraId="71135457" w14:textId="77777777" w:rsidTr="00630751">
        <w:trPr>
          <w:trHeight w:val="255"/>
        </w:trPr>
        <w:tc>
          <w:tcPr>
            <w:tcW w:w="2661" w:type="dxa"/>
            <w:vMerge w:val="restart"/>
            <w:tcBorders>
              <w:top w:val="single" w:sz="6" w:space="0" w:color="auto"/>
              <w:left w:val="single" w:sz="4" w:space="0" w:color="auto"/>
              <w:right w:val="single" w:sz="6" w:space="0" w:color="auto"/>
            </w:tcBorders>
            <w:hideMark/>
          </w:tcPr>
          <w:p w14:paraId="3B102723" w14:textId="77777777" w:rsidR="00E77E8D" w:rsidRPr="007C19A2" w:rsidRDefault="00E77E8D">
            <w:pPr>
              <w:keepNext/>
              <w:rPr>
                <w:i/>
                <w:color w:val="000000"/>
                <w:sz w:val="22"/>
                <w:szCs w:val="22"/>
                <w:lang w:val="sr-Latn-ME"/>
              </w:rPr>
            </w:pPr>
            <w:r w:rsidRPr="007C19A2">
              <w:rPr>
                <w:bCs/>
                <w:i/>
                <w:color w:val="000000"/>
                <w:sz w:val="22"/>
                <w:szCs w:val="22"/>
                <w:lang w:val="sr-Latn-ME"/>
              </w:rPr>
              <w:t>Poremećaji nervnog sistema</w:t>
            </w:r>
          </w:p>
        </w:tc>
        <w:tc>
          <w:tcPr>
            <w:tcW w:w="1417" w:type="dxa"/>
            <w:tcBorders>
              <w:top w:val="single" w:sz="6" w:space="0" w:color="auto"/>
              <w:left w:val="single" w:sz="6" w:space="0" w:color="auto"/>
              <w:bottom w:val="single" w:sz="6" w:space="0" w:color="auto"/>
              <w:right w:val="single" w:sz="6" w:space="0" w:color="auto"/>
            </w:tcBorders>
            <w:hideMark/>
          </w:tcPr>
          <w:p w14:paraId="75BA462C" w14:textId="77777777" w:rsidR="00E77E8D" w:rsidRPr="007C19A2" w:rsidRDefault="00E77E8D">
            <w:pPr>
              <w:keepNext/>
              <w:rPr>
                <w:color w:val="000000"/>
                <w:sz w:val="22"/>
                <w:szCs w:val="22"/>
                <w:lang w:val="sr-Latn-ME"/>
              </w:rPr>
            </w:pPr>
            <w:r w:rsidRPr="007C19A2">
              <w:rPr>
                <w:bCs/>
                <w:color w:val="000000"/>
                <w:sz w:val="22"/>
                <w:szCs w:val="22"/>
                <w:lang w:val="sr-Latn-ME"/>
              </w:rPr>
              <w:t>Glavobolja</w:t>
            </w:r>
          </w:p>
        </w:tc>
        <w:tc>
          <w:tcPr>
            <w:tcW w:w="2268" w:type="dxa"/>
            <w:tcBorders>
              <w:top w:val="single" w:sz="6" w:space="0" w:color="auto"/>
              <w:left w:val="single" w:sz="6" w:space="0" w:color="auto"/>
              <w:bottom w:val="single" w:sz="6" w:space="0" w:color="auto"/>
              <w:right w:val="single" w:sz="6" w:space="0" w:color="auto"/>
            </w:tcBorders>
            <w:hideMark/>
          </w:tcPr>
          <w:p w14:paraId="06230BBC" w14:textId="53D4D20F" w:rsidR="00E77E8D" w:rsidRPr="007C19A2" w:rsidRDefault="00E77E8D">
            <w:pPr>
              <w:keepNext/>
              <w:rPr>
                <w:color w:val="000000"/>
                <w:sz w:val="22"/>
                <w:szCs w:val="22"/>
                <w:lang w:val="sr-Latn-ME"/>
              </w:rPr>
            </w:pPr>
            <w:r w:rsidRPr="007C19A2">
              <w:rPr>
                <w:bCs/>
                <w:color w:val="000000"/>
                <w:sz w:val="22"/>
                <w:szCs w:val="22"/>
                <w:lang w:val="sr-Latn-ME"/>
              </w:rPr>
              <w:t>Ošamućenost</w:t>
            </w:r>
          </w:p>
        </w:tc>
        <w:tc>
          <w:tcPr>
            <w:tcW w:w="3119" w:type="dxa"/>
            <w:tcBorders>
              <w:top w:val="single" w:sz="6" w:space="0" w:color="auto"/>
              <w:left w:val="single" w:sz="6" w:space="0" w:color="auto"/>
              <w:bottom w:val="single" w:sz="6" w:space="0" w:color="auto"/>
              <w:right w:val="single" w:sz="4" w:space="0" w:color="auto"/>
            </w:tcBorders>
            <w:noWrap/>
            <w:hideMark/>
          </w:tcPr>
          <w:p w14:paraId="0985E79E" w14:textId="77777777" w:rsidR="00E77E8D" w:rsidRPr="007C19A2" w:rsidRDefault="00E77E8D">
            <w:pPr>
              <w:keepNext/>
              <w:rPr>
                <w:color w:val="000000"/>
                <w:sz w:val="22"/>
                <w:szCs w:val="22"/>
                <w:lang w:val="sr-Latn-ME"/>
              </w:rPr>
            </w:pPr>
            <w:r w:rsidRPr="007C19A2">
              <w:rPr>
                <w:bCs/>
                <w:color w:val="000000"/>
                <w:sz w:val="22"/>
                <w:szCs w:val="22"/>
                <w:lang w:val="sr-Latn-ME"/>
              </w:rPr>
              <w:t>Hipoestezija</w:t>
            </w:r>
          </w:p>
        </w:tc>
      </w:tr>
      <w:tr w:rsidR="00E77E8D" w:rsidRPr="007C19A2" w14:paraId="4E07B5F9" w14:textId="77777777" w:rsidTr="00630751">
        <w:trPr>
          <w:trHeight w:val="255"/>
        </w:trPr>
        <w:tc>
          <w:tcPr>
            <w:tcW w:w="2661" w:type="dxa"/>
            <w:vMerge/>
            <w:tcBorders>
              <w:left w:val="single" w:sz="4" w:space="0" w:color="auto"/>
              <w:bottom w:val="single" w:sz="6" w:space="0" w:color="auto"/>
              <w:right w:val="single" w:sz="6" w:space="0" w:color="auto"/>
            </w:tcBorders>
          </w:tcPr>
          <w:p w14:paraId="433B361D" w14:textId="77777777" w:rsidR="00E77E8D" w:rsidRPr="007C19A2" w:rsidRDefault="00E77E8D">
            <w:pPr>
              <w:keepNext/>
              <w:rPr>
                <w:bCs/>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5197CD9A" w14:textId="77777777" w:rsidR="00E77E8D" w:rsidRPr="007C19A2" w:rsidRDefault="00E77E8D">
            <w:pPr>
              <w:keepNext/>
              <w:rPr>
                <w:bCs/>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47B76955" w14:textId="77777777" w:rsidR="00E77E8D" w:rsidRPr="007C19A2" w:rsidRDefault="00E77E8D">
            <w:pPr>
              <w:keepNext/>
              <w:rPr>
                <w:bCs/>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tcPr>
          <w:p w14:paraId="6250BA4B" w14:textId="3C3A330A" w:rsidR="00E77E8D" w:rsidRPr="007C19A2" w:rsidRDefault="00E77E8D">
            <w:pPr>
              <w:keepNext/>
              <w:rPr>
                <w:bCs/>
                <w:color w:val="000000"/>
                <w:sz w:val="22"/>
                <w:szCs w:val="22"/>
                <w:lang w:val="sr-Latn-ME"/>
              </w:rPr>
            </w:pPr>
            <w:r w:rsidRPr="007C19A2">
              <w:rPr>
                <w:bCs/>
                <w:color w:val="000000"/>
                <w:sz w:val="22"/>
                <w:szCs w:val="22"/>
                <w:lang w:val="sr-Latn-ME"/>
              </w:rPr>
              <w:t>Pospanost</w:t>
            </w:r>
          </w:p>
        </w:tc>
      </w:tr>
      <w:tr w:rsidR="00176F34" w:rsidRPr="007C19A2" w14:paraId="22A18C03" w14:textId="77777777" w:rsidTr="002E137B">
        <w:trPr>
          <w:trHeight w:val="255"/>
        </w:trPr>
        <w:tc>
          <w:tcPr>
            <w:tcW w:w="2661" w:type="dxa"/>
            <w:vMerge w:val="restart"/>
            <w:tcBorders>
              <w:top w:val="single" w:sz="6" w:space="0" w:color="auto"/>
              <w:left w:val="single" w:sz="4" w:space="0" w:color="auto"/>
              <w:bottom w:val="single" w:sz="6" w:space="0" w:color="auto"/>
              <w:right w:val="single" w:sz="6" w:space="0" w:color="auto"/>
            </w:tcBorders>
            <w:noWrap/>
            <w:hideMark/>
          </w:tcPr>
          <w:p w14:paraId="0D977370" w14:textId="268B71AD" w:rsidR="00176F34" w:rsidRPr="007C19A2" w:rsidRDefault="00176F34">
            <w:pPr>
              <w:keepNext/>
              <w:rPr>
                <w:i/>
                <w:color w:val="000000"/>
                <w:sz w:val="22"/>
                <w:szCs w:val="22"/>
                <w:lang w:val="sr-Latn-ME"/>
              </w:rPr>
            </w:pPr>
            <w:r w:rsidRPr="007C19A2">
              <w:rPr>
                <w:bCs/>
                <w:i/>
                <w:color w:val="000000"/>
                <w:sz w:val="22"/>
                <w:szCs w:val="22"/>
                <w:lang w:val="sr-Latn-ME"/>
              </w:rPr>
              <w:t>Poremećaji oka</w:t>
            </w:r>
          </w:p>
        </w:tc>
        <w:tc>
          <w:tcPr>
            <w:tcW w:w="1417" w:type="dxa"/>
            <w:tcBorders>
              <w:top w:val="single" w:sz="6" w:space="0" w:color="auto"/>
              <w:left w:val="single" w:sz="6" w:space="0" w:color="auto"/>
              <w:bottom w:val="single" w:sz="6" w:space="0" w:color="auto"/>
              <w:right w:val="single" w:sz="6" w:space="0" w:color="auto"/>
            </w:tcBorders>
          </w:tcPr>
          <w:p w14:paraId="06343D79"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1D26FDC3"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7BE1DB28" w14:textId="77777777" w:rsidR="00176F34" w:rsidRPr="007C19A2" w:rsidRDefault="00176F34">
            <w:pPr>
              <w:keepNext/>
              <w:rPr>
                <w:color w:val="000000"/>
                <w:sz w:val="22"/>
                <w:szCs w:val="22"/>
                <w:lang w:val="sr-Latn-ME"/>
              </w:rPr>
            </w:pPr>
            <w:r w:rsidRPr="007C19A2">
              <w:rPr>
                <w:bCs/>
                <w:color w:val="000000"/>
                <w:sz w:val="22"/>
                <w:szCs w:val="22"/>
                <w:lang w:val="sr-Latn-ME"/>
              </w:rPr>
              <w:t>Konjunktivitis</w:t>
            </w:r>
          </w:p>
        </w:tc>
      </w:tr>
      <w:tr w:rsidR="00176F34" w:rsidRPr="007C19A2" w14:paraId="219A3935"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2A8519F2"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F411DFF"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1028AB9D"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034C4FB3" w14:textId="77777777" w:rsidR="00176F34" w:rsidRPr="007C19A2" w:rsidRDefault="00176F34">
            <w:pPr>
              <w:keepNext/>
              <w:rPr>
                <w:color w:val="000000"/>
                <w:sz w:val="22"/>
                <w:szCs w:val="22"/>
                <w:lang w:val="sr-Latn-ME"/>
              </w:rPr>
            </w:pPr>
            <w:r w:rsidRPr="007C19A2">
              <w:rPr>
                <w:bCs/>
                <w:color w:val="000000"/>
                <w:sz w:val="22"/>
                <w:szCs w:val="22"/>
                <w:lang w:val="sr-Latn-ME"/>
              </w:rPr>
              <w:t>Zamućen vid</w:t>
            </w:r>
          </w:p>
        </w:tc>
      </w:tr>
      <w:tr w:rsidR="00176F34" w:rsidRPr="007C19A2" w14:paraId="64F7100D" w14:textId="77777777" w:rsidTr="002E137B">
        <w:trPr>
          <w:trHeight w:val="255"/>
        </w:trPr>
        <w:tc>
          <w:tcPr>
            <w:tcW w:w="2661" w:type="dxa"/>
            <w:tcBorders>
              <w:top w:val="single" w:sz="6" w:space="0" w:color="auto"/>
              <w:left w:val="single" w:sz="4" w:space="0" w:color="auto"/>
              <w:bottom w:val="single" w:sz="6" w:space="0" w:color="auto"/>
              <w:right w:val="single" w:sz="6" w:space="0" w:color="auto"/>
            </w:tcBorders>
            <w:hideMark/>
          </w:tcPr>
          <w:p w14:paraId="34915C0E" w14:textId="3C988EFC" w:rsidR="00176F34" w:rsidRPr="007C19A2" w:rsidRDefault="00176F34">
            <w:pPr>
              <w:keepNext/>
              <w:rPr>
                <w:i/>
                <w:color w:val="000000"/>
                <w:sz w:val="22"/>
                <w:szCs w:val="22"/>
                <w:lang w:val="sr-Latn-ME"/>
              </w:rPr>
            </w:pPr>
            <w:r w:rsidRPr="007C19A2">
              <w:rPr>
                <w:bCs/>
                <w:i/>
                <w:color w:val="000000"/>
                <w:sz w:val="22"/>
                <w:szCs w:val="22"/>
                <w:lang w:val="sr-Latn-ME"/>
              </w:rPr>
              <w:t>Poremećaji uha i</w:t>
            </w:r>
            <w:r w:rsidR="005B16C5" w:rsidRPr="007C19A2">
              <w:rPr>
                <w:bCs/>
                <w:i/>
                <w:color w:val="000000"/>
                <w:sz w:val="22"/>
                <w:szCs w:val="22"/>
                <w:lang w:val="sr-Latn-ME"/>
              </w:rPr>
              <w:t xml:space="preserve"> labirinta</w:t>
            </w:r>
          </w:p>
        </w:tc>
        <w:tc>
          <w:tcPr>
            <w:tcW w:w="1417" w:type="dxa"/>
            <w:tcBorders>
              <w:top w:val="single" w:sz="6" w:space="0" w:color="auto"/>
              <w:left w:val="single" w:sz="6" w:space="0" w:color="auto"/>
              <w:bottom w:val="single" w:sz="6" w:space="0" w:color="auto"/>
              <w:right w:val="single" w:sz="6" w:space="0" w:color="auto"/>
            </w:tcBorders>
          </w:tcPr>
          <w:p w14:paraId="47855F99"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62B15A9B" w14:textId="77777777" w:rsidR="00176F34" w:rsidRPr="007C19A2" w:rsidRDefault="00176F34">
            <w:pPr>
              <w:keepNext/>
              <w:rPr>
                <w:color w:val="000000"/>
                <w:sz w:val="22"/>
                <w:szCs w:val="22"/>
                <w:lang w:val="sr-Latn-ME"/>
              </w:rPr>
            </w:pPr>
            <w:r w:rsidRPr="007C19A2">
              <w:rPr>
                <w:bCs/>
                <w:color w:val="000000"/>
                <w:sz w:val="22"/>
                <w:szCs w:val="22"/>
                <w:lang w:val="sr-Latn-ME"/>
              </w:rPr>
              <w:t>Vertigo</w:t>
            </w:r>
          </w:p>
        </w:tc>
        <w:tc>
          <w:tcPr>
            <w:tcW w:w="3119" w:type="dxa"/>
            <w:tcBorders>
              <w:top w:val="single" w:sz="6" w:space="0" w:color="auto"/>
              <w:left w:val="single" w:sz="6" w:space="0" w:color="auto"/>
              <w:bottom w:val="single" w:sz="6" w:space="0" w:color="auto"/>
              <w:right w:val="single" w:sz="4" w:space="0" w:color="auto"/>
            </w:tcBorders>
            <w:noWrap/>
          </w:tcPr>
          <w:p w14:paraId="48EDC6F9" w14:textId="4EB801E0" w:rsidR="00176F34" w:rsidRPr="007C19A2" w:rsidRDefault="005B16C5" w:rsidP="005B16C5">
            <w:pPr>
              <w:keepNext/>
              <w:rPr>
                <w:color w:val="000000"/>
                <w:sz w:val="22"/>
                <w:szCs w:val="22"/>
                <w:lang w:val="sr-Latn-ME"/>
              </w:rPr>
            </w:pPr>
            <w:r w:rsidRPr="007C19A2">
              <w:rPr>
                <w:color w:val="000000"/>
                <w:sz w:val="22"/>
                <w:szCs w:val="22"/>
                <w:lang w:val="sr-Latn-ME"/>
              </w:rPr>
              <w:t>Tinitus</w:t>
            </w:r>
          </w:p>
        </w:tc>
      </w:tr>
      <w:tr w:rsidR="00176F34" w:rsidRPr="007C19A2" w14:paraId="6DF2ED8B" w14:textId="77777777" w:rsidTr="002E137B">
        <w:trPr>
          <w:trHeight w:val="255"/>
        </w:trPr>
        <w:tc>
          <w:tcPr>
            <w:tcW w:w="2661" w:type="dxa"/>
            <w:vMerge w:val="restart"/>
            <w:tcBorders>
              <w:top w:val="single" w:sz="6" w:space="0" w:color="auto"/>
              <w:left w:val="single" w:sz="4" w:space="0" w:color="auto"/>
              <w:bottom w:val="single" w:sz="6" w:space="0" w:color="auto"/>
              <w:right w:val="single" w:sz="6" w:space="0" w:color="auto"/>
            </w:tcBorders>
            <w:hideMark/>
          </w:tcPr>
          <w:p w14:paraId="752FBB81" w14:textId="77777777" w:rsidR="00176F34" w:rsidRPr="007C19A2" w:rsidRDefault="00176F34">
            <w:pPr>
              <w:keepNext/>
              <w:rPr>
                <w:i/>
                <w:color w:val="000000"/>
                <w:sz w:val="22"/>
                <w:szCs w:val="22"/>
                <w:lang w:val="sr-Latn-ME"/>
              </w:rPr>
            </w:pPr>
            <w:r w:rsidRPr="007C19A2">
              <w:rPr>
                <w:bCs/>
                <w:i/>
                <w:color w:val="000000"/>
                <w:sz w:val="22"/>
                <w:szCs w:val="22"/>
                <w:lang w:val="sr-Latn-ME"/>
              </w:rPr>
              <w:t>Kardiološki poremećaji</w:t>
            </w:r>
          </w:p>
        </w:tc>
        <w:tc>
          <w:tcPr>
            <w:tcW w:w="1417" w:type="dxa"/>
            <w:tcBorders>
              <w:top w:val="single" w:sz="6" w:space="0" w:color="auto"/>
              <w:left w:val="single" w:sz="6" w:space="0" w:color="auto"/>
              <w:bottom w:val="single" w:sz="6" w:space="0" w:color="auto"/>
              <w:right w:val="single" w:sz="6" w:space="0" w:color="auto"/>
            </w:tcBorders>
          </w:tcPr>
          <w:p w14:paraId="43393C93"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05D59EDC" w14:textId="77777777" w:rsidR="00176F34" w:rsidRPr="007C19A2" w:rsidRDefault="00176F34">
            <w:pPr>
              <w:keepNext/>
              <w:rPr>
                <w:color w:val="000000"/>
                <w:sz w:val="22"/>
                <w:szCs w:val="22"/>
                <w:lang w:val="sr-Latn-ME"/>
              </w:rPr>
            </w:pPr>
            <w:r w:rsidRPr="007C19A2">
              <w:rPr>
                <w:bCs/>
                <w:iCs/>
                <w:color w:val="000000"/>
                <w:sz w:val="22"/>
                <w:szCs w:val="22"/>
                <w:lang w:val="sr-Latn-ME"/>
              </w:rPr>
              <w:t>Atrioventrikularni blok prvog</w:t>
            </w:r>
            <w:r w:rsidRPr="007C19A2">
              <w:rPr>
                <w:bCs/>
                <w:color w:val="000000"/>
                <w:sz w:val="22"/>
                <w:szCs w:val="22"/>
                <w:lang w:val="sr-Latn-ME"/>
              </w:rPr>
              <w:t xml:space="preserve"> stepena</w:t>
            </w:r>
          </w:p>
        </w:tc>
        <w:tc>
          <w:tcPr>
            <w:tcW w:w="3119" w:type="dxa"/>
            <w:tcBorders>
              <w:top w:val="single" w:sz="6" w:space="0" w:color="auto"/>
              <w:left w:val="single" w:sz="6" w:space="0" w:color="auto"/>
              <w:bottom w:val="single" w:sz="6" w:space="0" w:color="auto"/>
              <w:right w:val="single" w:sz="4" w:space="0" w:color="auto"/>
            </w:tcBorders>
            <w:noWrap/>
            <w:hideMark/>
          </w:tcPr>
          <w:p w14:paraId="6F3C0E06" w14:textId="77777777" w:rsidR="00176F34" w:rsidRPr="007C19A2" w:rsidRDefault="00176F34">
            <w:pPr>
              <w:keepNext/>
              <w:rPr>
                <w:color w:val="000000"/>
                <w:sz w:val="22"/>
                <w:szCs w:val="22"/>
                <w:lang w:val="sr-Latn-ME"/>
              </w:rPr>
            </w:pPr>
            <w:r w:rsidRPr="007C19A2">
              <w:rPr>
                <w:bCs/>
                <w:color w:val="000000"/>
                <w:sz w:val="22"/>
                <w:szCs w:val="22"/>
                <w:lang w:val="sr-Latn-ME"/>
              </w:rPr>
              <w:t>Aritmija</w:t>
            </w:r>
          </w:p>
        </w:tc>
      </w:tr>
      <w:tr w:rsidR="00176F34" w:rsidRPr="007C19A2" w14:paraId="1018FBD5"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1B8FE6F5"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A9C0969"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4F21FB21" w14:textId="77777777" w:rsidR="00176F34" w:rsidRPr="007C19A2" w:rsidRDefault="00176F34">
            <w:pPr>
              <w:keepNext/>
              <w:rPr>
                <w:color w:val="000000"/>
                <w:sz w:val="22"/>
                <w:szCs w:val="22"/>
                <w:lang w:val="sr-Latn-ME"/>
              </w:rPr>
            </w:pPr>
            <w:r w:rsidRPr="007C19A2">
              <w:rPr>
                <w:bCs/>
                <w:color w:val="000000"/>
                <w:sz w:val="22"/>
                <w:szCs w:val="22"/>
                <w:lang w:val="sr-Latn-ME"/>
              </w:rPr>
              <w:t>Kardiomiopatija</w:t>
            </w:r>
          </w:p>
        </w:tc>
        <w:tc>
          <w:tcPr>
            <w:tcW w:w="3119" w:type="dxa"/>
            <w:tcBorders>
              <w:top w:val="single" w:sz="6" w:space="0" w:color="auto"/>
              <w:left w:val="single" w:sz="6" w:space="0" w:color="auto"/>
              <w:bottom w:val="single" w:sz="6" w:space="0" w:color="auto"/>
              <w:right w:val="single" w:sz="4" w:space="0" w:color="auto"/>
            </w:tcBorders>
            <w:noWrap/>
            <w:hideMark/>
          </w:tcPr>
          <w:p w14:paraId="65ABEFBC" w14:textId="77777777" w:rsidR="00176F34" w:rsidRPr="007C19A2" w:rsidRDefault="00176F34">
            <w:pPr>
              <w:keepNext/>
              <w:rPr>
                <w:color w:val="000000"/>
                <w:sz w:val="22"/>
                <w:szCs w:val="22"/>
                <w:lang w:val="sr-Latn-ME"/>
              </w:rPr>
            </w:pPr>
            <w:r w:rsidRPr="007C19A2">
              <w:rPr>
                <w:bCs/>
                <w:iCs/>
                <w:color w:val="000000"/>
                <w:sz w:val="22"/>
                <w:szCs w:val="22"/>
                <w:lang w:val="sr-Latn-ME"/>
              </w:rPr>
              <w:t>Atrioventrikularni blok drugog</w:t>
            </w:r>
            <w:r w:rsidRPr="007C19A2">
              <w:rPr>
                <w:bCs/>
                <w:color w:val="000000"/>
                <w:sz w:val="22"/>
                <w:szCs w:val="22"/>
                <w:lang w:val="sr-Latn-ME"/>
              </w:rPr>
              <w:t xml:space="preserve"> stepena</w:t>
            </w:r>
          </w:p>
        </w:tc>
      </w:tr>
      <w:tr w:rsidR="00176F34" w:rsidRPr="007C19A2" w14:paraId="6D928FF5"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2981C983"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31C63BB"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232ADF2B" w14:textId="77777777" w:rsidR="00176F34" w:rsidRPr="007C19A2" w:rsidRDefault="00176F34">
            <w:pPr>
              <w:keepNext/>
              <w:rPr>
                <w:color w:val="000000"/>
                <w:sz w:val="22"/>
                <w:szCs w:val="22"/>
                <w:lang w:val="sr-Latn-ME"/>
              </w:rPr>
            </w:pPr>
            <w:r w:rsidRPr="007C19A2">
              <w:rPr>
                <w:bCs/>
                <w:color w:val="000000"/>
                <w:sz w:val="22"/>
                <w:szCs w:val="22"/>
                <w:lang w:val="sr-Latn-ME"/>
              </w:rPr>
              <w:t>Poremećaj provodljivosti</w:t>
            </w:r>
          </w:p>
        </w:tc>
        <w:tc>
          <w:tcPr>
            <w:tcW w:w="3119" w:type="dxa"/>
            <w:tcBorders>
              <w:top w:val="single" w:sz="6" w:space="0" w:color="auto"/>
              <w:left w:val="single" w:sz="6" w:space="0" w:color="auto"/>
              <w:bottom w:val="single" w:sz="6" w:space="0" w:color="auto"/>
              <w:right w:val="single" w:sz="4" w:space="0" w:color="auto"/>
            </w:tcBorders>
            <w:noWrap/>
            <w:hideMark/>
          </w:tcPr>
          <w:p w14:paraId="3EC02D31" w14:textId="6EA4854B" w:rsidR="00176F34" w:rsidRPr="007C19A2" w:rsidRDefault="00176F34">
            <w:pPr>
              <w:keepNext/>
              <w:rPr>
                <w:color w:val="000000"/>
                <w:sz w:val="22"/>
                <w:szCs w:val="22"/>
                <w:lang w:val="sr-Latn-ME"/>
              </w:rPr>
            </w:pPr>
            <w:r w:rsidRPr="007C19A2">
              <w:rPr>
                <w:bCs/>
                <w:color w:val="000000"/>
                <w:sz w:val="22"/>
                <w:szCs w:val="22"/>
                <w:lang w:val="sr-Latn-ME"/>
              </w:rPr>
              <w:t xml:space="preserve">Blok </w:t>
            </w:r>
            <w:r w:rsidR="00DD3F51" w:rsidRPr="007C19A2">
              <w:rPr>
                <w:bCs/>
                <w:color w:val="000000"/>
                <w:sz w:val="22"/>
                <w:szCs w:val="22"/>
                <w:lang w:val="sr-Latn-ME"/>
              </w:rPr>
              <w:t xml:space="preserve">lijeve </w:t>
            </w:r>
            <w:r w:rsidRPr="007C19A2">
              <w:rPr>
                <w:bCs/>
                <w:color w:val="000000"/>
                <w:sz w:val="22"/>
                <w:szCs w:val="22"/>
                <w:lang w:val="sr-Latn-ME"/>
              </w:rPr>
              <w:t>grane snopa</w:t>
            </w:r>
          </w:p>
        </w:tc>
      </w:tr>
      <w:tr w:rsidR="00DD3F51" w:rsidRPr="007C19A2" w14:paraId="73E63562"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tcPr>
          <w:p w14:paraId="05671702" w14:textId="77777777" w:rsidR="00DD3F51" w:rsidRPr="007C19A2" w:rsidRDefault="00DD3F51">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5EEA4A1E" w14:textId="77777777" w:rsidR="00DD3F51" w:rsidRPr="007C19A2" w:rsidRDefault="00DD3F51">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5D2A490C" w14:textId="7947EE51" w:rsidR="00DD3F51" w:rsidRPr="007C19A2" w:rsidRDefault="00DD3F51">
            <w:pPr>
              <w:keepNext/>
              <w:rPr>
                <w:bCs/>
                <w:color w:val="000000"/>
                <w:sz w:val="22"/>
                <w:szCs w:val="22"/>
                <w:lang w:val="sr-Latn-ME"/>
              </w:rPr>
            </w:pPr>
            <w:r w:rsidRPr="007C19A2">
              <w:rPr>
                <w:bCs/>
                <w:color w:val="000000"/>
                <w:sz w:val="22"/>
                <w:szCs w:val="22"/>
                <w:lang w:val="sr-Latn-ME"/>
              </w:rPr>
              <w:t>Tahikardija</w:t>
            </w:r>
          </w:p>
        </w:tc>
        <w:tc>
          <w:tcPr>
            <w:tcW w:w="3119" w:type="dxa"/>
            <w:tcBorders>
              <w:top w:val="single" w:sz="6" w:space="0" w:color="auto"/>
              <w:left w:val="single" w:sz="6" w:space="0" w:color="auto"/>
              <w:bottom w:val="single" w:sz="6" w:space="0" w:color="auto"/>
              <w:right w:val="single" w:sz="4" w:space="0" w:color="auto"/>
            </w:tcBorders>
            <w:noWrap/>
          </w:tcPr>
          <w:p w14:paraId="3A413DA2" w14:textId="7C7B6024" w:rsidR="00DD3F51" w:rsidRPr="007C19A2" w:rsidRDefault="00DD3F51">
            <w:pPr>
              <w:keepNext/>
              <w:rPr>
                <w:bCs/>
                <w:color w:val="000000"/>
                <w:sz w:val="22"/>
                <w:szCs w:val="22"/>
                <w:lang w:val="sr-Latn-ME"/>
              </w:rPr>
            </w:pPr>
            <w:r w:rsidRPr="007C19A2">
              <w:rPr>
                <w:bCs/>
                <w:color w:val="000000"/>
                <w:sz w:val="22"/>
                <w:szCs w:val="22"/>
                <w:lang w:val="sr-Latn-ME"/>
              </w:rPr>
              <w:t>Blok desne grane snopa</w:t>
            </w:r>
          </w:p>
        </w:tc>
      </w:tr>
      <w:tr w:rsidR="00176F34" w:rsidRPr="007C19A2" w14:paraId="62F79D64"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2AA99E12"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821D9F4"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55B32F12"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56219FAD" w14:textId="77777777" w:rsidR="00176F34" w:rsidRPr="007C19A2" w:rsidRDefault="00176F34">
            <w:pPr>
              <w:keepNext/>
              <w:rPr>
                <w:color w:val="000000"/>
                <w:sz w:val="22"/>
                <w:szCs w:val="22"/>
                <w:lang w:val="sr-Latn-ME"/>
              </w:rPr>
            </w:pPr>
            <w:r w:rsidRPr="007C19A2">
              <w:rPr>
                <w:bCs/>
                <w:color w:val="000000"/>
                <w:sz w:val="22"/>
                <w:szCs w:val="22"/>
                <w:lang w:val="sr-Latn-ME"/>
              </w:rPr>
              <w:t>Insuficijencija mitralnog zaliska</w:t>
            </w:r>
          </w:p>
        </w:tc>
      </w:tr>
      <w:tr w:rsidR="00176F34" w:rsidRPr="007C19A2" w14:paraId="6C526955"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505DF499"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3F7D614E"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480AD15D"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620EC96E" w14:textId="77777777" w:rsidR="00176F34" w:rsidRPr="007C19A2" w:rsidRDefault="00176F34">
            <w:pPr>
              <w:keepNext/>
              <w:rPr>
                <w:color w:val="000000"/>
                <w:sz w:val="22"/>
                <w:szCs w:val="22"/>
                <w:lang w:val="sr-Latn-ME"/>
              </w:rPr>
            </w:pPr>
            <w:r w:rsidRPr="007C19A2">
              <w:rPr>
                <w:bCs/>
                <w:color w:val="000000"/>
                <w:sz w:val="22"/>
                <w:szCs w:val="22"/>
                <w:lang w:val="sr-Latn-ME"/>
              </w:rPr>
              <w:t>Ishemija miokarda</w:t>
            </w:r>
          </w:p>
        </w:tc>
      </w:tr>
      <w:tr w:rsidR="00176F34" w:rsidRPr="007C19A2" w14:paraId="421D501B"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309FE30E"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00D66FA0"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3D84F0F1"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301C20A6" w14:textId="77777777" w:rsidR="00176F34" w:rsidRPr="007C19A2" w:rsidRDefault="00176F34">
            <w:pPr>
              <w:keepNext/>
              <w:rPr>
                <w:color w:val="000000"/>
                <w:sz w:val="22"/>
                <w:szCs w:val="22"/>
                <w:lang w:val="sr-Latn-ME"/>
              </w:rPr>
            </w:pPr>
            <w:r w:rsidRPr="007C19A2">
              <w:rPr>
                <w:bCs/>
                <w:color w:val="000000"/>
                <w:sz w:val="22"/>
                <w:szCs w:val="22"/>
                <w:lang w:val="sr-Latn-ME"/>
              </w:rPr>
              <w:t>Ventrikularne ekstrasistole</w:t>
            </w:r>
          </w:p>
        </w:tc>
      </w:tr>
      <w:tr w:rsidR="000938A5" w:rsidRPr="007C19A2" w14:paraId="53A0F9AF" w14:textId="77777777" w:rsidTr="00630751">
        <w:trPr>
          <w:trHeight w:val="255"/>
        </w:trPr>
        <w:tc>
          <w:tcPr>
            <w:tcW w:w="2661" w:type="dxa"/>
            <w:vMerge w:val="restart"/>
            <w:tcBorders>
              <w:top w:val="single" w:sz="6" w:space="0" w:color="auto"/>
              <w:left w:val="single" w:sz="4" w:space="0" w:color="auto"/>
              <w:right w:val="single" w:sz="6" w:space="0" w:color="auto"/>
            </w:tcBorders>
            <w:hideMark/>
          </w:tcPr>
          <w:p w14:paraId="7996E071" w14:textId="77777777" w:rsidR="000938A5" w:rsidRPr="007C19A2" w:rsidRDefault="000938A5">
            <w:pPr>
              <w:keepNext/>
              <w:rPr>
                <w:i/>
                <w:color w:val="000000"/>
                <w:sz w:val="22"/>
                <w:szCs w:val="22"/>
                <w:lang w:val="sr-Latn-ME"/>
              </w:rPr>
            </w:pPr>
            <w:r w:rsidRPr="007C19A2">
              <w:rPr>
                <w:bCs/>
                <w:i/>
                <w:color w:val="000000"/>
                <w:sz w:val="22"/>
                <w:szCs w:val="22"/>
                <w:lang w:val="sr-Latn-ME"/>
              </w:rPr>
              <w:t>Vaskularni poremećaji</w:t>
            </w:r>
          </w:p>
        </w:tc>
        <w:tc>
          <w:tcPr>
            <w:tcW w:w="1417" w:type="dxa"/>
            <w:tcBorders>
              <w:top w:val="single" w:sz="6" w:space="0" w:color="auto"/>
              <w:left w:val="single" w:sz="6" w:space="0" w:color="auto"/>
              <w:bottom w:val="single" w:sz="6" w:space="0" w:color="auto"/>
              <w:right w:val="single" w:sz="6" w:space="0" w:color="auto"/>
            </w:tcBorders>
          </w:tcPr>
          <w:p w14:paraId="2C2D3794" w14:textId="77777777" w:rsidR="000938A5" w:rsidRPr="007C19A2" w:rsidRDefault="000938A5">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DB9EB3A" w14:textId="77777777" w:rsidR="000938A5" w:rsidRPr="007C19A2" w:rsidRDefault="000938A5">
            <w:pPr>
              <w:keepNext/>
              <w:rPr>
                <w:color w:val="000000"/>
                <w:sz w:val="22"/>
                <w:szCs w:val="22"/>
                <w:lang w:val="sr-Latn-ME"/>
              </w:rPr>
            </w:pPr>
            <w:r w:rsidRPr="007C19A2">
              <w:rPr>
                <w:bCs/>
                <w:color w:val="000000"/>
                <w:sz w:val="22"/>
                <w:szCs w:val="22"/>
                <w:lang w:val="sr-Latn-ME"/>
              </w:rPr>
              <w:t>Hipertenzija</w:t>
            </w:r>
          </w:p>
        </w:tc>
        <w:tc>
          <w:tcPr>
            <w:tcW w:w="3119" w:type="dxa"/>
            <w:tcBorders>
              <w:top w:val="single" w:sz="6" w:space="0" w:color="auto"/>
              <w:left w:val="single" w:sz="6" w:space="0" w:color="auto"/>
              <w:bottom w:val="single" w:sz="6" w:space="0" w:color="auto"/>
              <w:right w:val="single" w:sz="4" w:space="0" w:color="auto"/>
            </w:tcBorders>
            <w:noWrap/>
            <w:hideMark/>
          </w:tcPr>
          <w:p w14:paraId="4081EE55" w14:textId="43B222FA" w:rsidR="000938A5" w:rsidRPr="007C19A2" w:rsidRDefault="000938A5">
            <w:pPr>
              <w:keepNext/>
              <w:rPr>
                <w:color w:val="000000"/>
                <w:sz w:val="22"/>
                <w:szCs w:val="22"/>
                <w:lang w:val="sr-Latn-ME"/>
              </w:rPr>
            </w:pPr>
            <w:r w:rsidRPr="007C19A2">
              <w:rPr>
                <w:bCs/>
                <w:color w:val="000000"/>
                <w:sz w:val="22"/>
                <w:szCs w:val="22"/>
                <w:lang w:val="sr-Latn-ME"/>
              </w:rPr>
              <w:t>Naleti crvenila</w:t>
            </w:r>
          </w:p>
        </w:tc>
      </w:tr>
      <w:tr w:rsidR="000938A5" w:rsidRPr="007C19A2" w14:paraId="4EED0E86" w14:textId="77777777" w:rsidTr="00630751">
        <w:trPr>
          <w:trHeight w:val="255"/>
        </w:trPr>
        <w:tc>
          <w:tcPr>
            <w:tcW w:w="2661" w:type="dxa"/>
            <w:vMerge/>
            <w:tcBorders>
              <w:left w:val="single" w:sz="4" w:space="0" w:color="auto"/>
              <w:bottom w:val="single" w:sz="6" w:space="0" w:color="auto"/>
              <w:right w:val="single" w:sz="6" w:space="0" w:color="auto"/>
            </w:tcBorders>
          </w:tcPr>
          <w:p w14:paraId="765CF048" w14:textId="77777777" w:rsidR="000938A5" w:rsidRPr="007C19A2" w:rsidRDefault="000938A5">
            <w:pPr>
              <w:keepNext/>
              <w:rPr>
                <w:bCs/>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667AF077" w14:textId="77777777" w:rsidR="000938A5" w:rsidRPr="007C19A2" w:rsidRDefault="000938A5">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1567FE3E" w14:textId="77777777" w:rsidR="000938A5" w:rsidRPr="007C19A2" w:rsidRDefault="000938A5">
            <w:pPr>
              <w:keepNext/>
              <w:rPr>
                <w:bCs/>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tcPr>
          <w:p w14:paraId="51915169" w14:textId="26857759" w:rsidR="000938A5" w:rsidRPr="007C19A2" w:rsidRDefault="000938A5">
            <w:pPr>
              <w:keepNext/>
              <w:rPr>
                <w:bCs/>
                <w:color w:val="000000"/>
                <w:sz w:val="22"/>
                <w:szCs w:val="22"/>
                <w:lang w:val="sr-Latn-ME"/>
              </w:rPr>
            </w:pPr>
            <w:r w:rsidRPr="007C19A2">
              <w:rPr>
                <w:bCs/>
                <w:color w:val="000000"/>
                <w:sz w:val="22"/>
                <w:szCs w:val="22"/>
                <w:lang w:val="sr-Latn-ME"/>
              </w:rPr>
              <w:t>Hipotenzija</w:t>
            </w:r>
          </w:p>
        </w:tc>
      </w:tr>
      <w:tr w:rsidR="00176F34" w:rsidRPr="007C19A2" w14:paraId="1665791E" w14:textId="77777777" w:rsidTr="002E137B">
        <w:trPr>
          <w:trHeight w:val="510"/>
        </w:trPr>
        <w:tc>
          <w:tcPr>
            <w:tcW w:w="2661" w:type="dxa"/>
            <w:tcBorders>
              <w:top w:val="single" w:sz="6" w:space="0" w:color="auto"/>
              <w:left w:val="single" w:sz="4" w:space="0" w:color="auto"/>
              <w:bottom w:val="single" w:sz="6" w:space="0" w:color="auto"/>
              <w:right w:val="single" w:sz="6" w:space="0" w:color="auto"/>
            </w:tcBorders>
            <w:hideMark/>
          </w:tcPr>
          <w:p w14:paraId="6197A15D" w14:textId="77777777" w:rsidR="00176F34" w:rsidRPr="007C19A2" w:rsidRDefault="00176F34">
            <w:pPr>
              <w:keepNext/>
              <w:rPr>
                <w:i/>
                <w:color w:val="000000"/>
                <w:sz w:val="22"/>
                <w:szCs w:val="22"/>
                <w:lang w:val="sr-Latn-ME"/>
              </w:rPr>
            </w:pPr>
            <w:r w:rsidRPr="007C19A2">
              <w:rPr>
                <w:bCs/>
                <w:i/>
                <w:color w:val="000000"/>
                <w:sz w:val="22"/>
                <w:szCs w:val="22"/>
                <w:lang w:val="sr-Latn-ME"/>
              </w:rPr>
              <w:t>Respiratorni, torakalni i medijastinalni poremećaji</w:t>
            </w:r>
          </w:p>
        </w:tc>
        <w:tc>
          <w:tcPr>
            <w:tcW w:w="1417" w:type="dxa"/>
            <w:tcBorders>
              <w:top w:val="single" w:sz="6" w:space="0" w:color="auto"/>
              <w:left w:val="single" w:sz="6" w:space="0" w:color="auto"/>
              <w:bottom w:val="single" w:sz="6" w:space="0" w:color="auto"/>
              <w:right w:val="single" w:sz="6" w:space="0" w:color="auto"/>
            </w:tcBorders>
          </w:tcPr>
          <w:p w14:paraId="1116511E"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2032A7B2" w14:textId="77777777" w:rsidR="00176F34" w:rsidRPr="007C19A2" w:rsidRDefault="00176F34">
            <w:pPr>
              <w:keepNext/>
              <w:rPr>
                <w:color w:val="000000"/>
                <w:sz w:val="22"/>
                <w:szCs w:val="22"/>
                <w:lang w:val="sr-Latn-ME"/>
              </w:rPr>
            </w:pPr>
            <w:r w:rsidRPr="007C19A2">
              <w:rPr>
                <w:bCs/>
                <w:color w:val="000000"/>
                <w:sz w:val="22"/>
                <w:szCs w:val="22"/>
                <w:lang w:val="sr-Latn-ME"/>
              </w:rPr>
              <w:t>Štucanje</w:t>
            </w:r>
          </w:p>
        </w:tc>
        <w:tc>
          <w:tcPr>
            <w:tcW w:w="3119" w:type="dxa"/>
            <w:tcBorders>
              <w:top w:val="single" w:sz="6" w:space="0" w:color="auto"/>
              <w:left w:val="single" w:sz="6" w:space="0" w:color="auto"/>
              <w:bottom w:val="single" w:sz="6" w:space="0" w:color="auto"/>
              <w:right w:val="single" w:sz="4" w:space="0" w:color="auto"/>
            </w:tcBorders>
            <w:noWrap/>
          </w:tcPr>
          <w:p w14:paraId="52580931" w14:textId="77777777" w:rsidR="00176F34" w:rsidRPr="007C19A2" w:rsidRDefault="00176F34">
            <w:pPr>
              <w:keepNext/>
              <w:ind w:left="593"/>
              <w:rPr>
                <w:color w:val="000000"/>
                <w:sz w:val="22"/>
                <w:szCs w:val="22"/>
                <w:lang w:val="sr-Latn-ME"/>
              </w:rPr>
            </w:pPr>
          </w:p>
        </w:tc>
      </w:tr>
      <w:tr w:rsidR="00176F34" w:rsidRPr="007C19A2" w14:paraId="3911DABF" w14:textId="77777777" w:rsidTr="002E137B">
        <w:trPr>
          <w:trHeight w:val="255"/>
        </w:trPr>
        <w:tc>
          <w:tcPr>
            <w:tcW w:w="2661" w:type="dxa"/>
            <w:vMerge w:val="restart"/>
            <w:tcBorders>
              <w:top w:val="single" w:sz="6" w:space="0" w:color="auto"/>
              <w:left w:val="single" w:sz="4" w:space="0" w:color="auto"/>
              <w:bottom w:val="single" w:sz="6" w:space="0" w:color="auto"/>
              <w:right w:val="single" w:sz="6" w:space="0" w:color="auto"/>
            </w:tcBorders>
            <w:hideMark/>
          </w:tcPr>
          <w:p w14:paraId="4DE41EFB" w14:textId="77777777" w:rsidR="00176F34" w:rsidRPr="007C19A2" w:rsidRDefault="00176F34">
            <w:pPr>
              <w:keepNext/>
              <w:rPr>
                <w:i/>
                <w:color w:val="000000"/>
                <w:sz w:val="22"/>
                <w:szCs w:val="22"/>
                <w:lang w:val="sr-Latn-ME"/>
              </w:rPr>
            </w:pPr>
            <w:r w:rsidRPr="007C19A2">
              <w:rPr>
                <w:bCs/>
                <w:i/>
                <w:color w:val="000000"/>
                <w:sz w:val="22"/>
                <w:szCs w:val="22"/>
                <w:lang w:val="sr-Latn-ME"/>
              </w:rPr>
              <w:t>Gastrointestinalni poremećaji</w:t>
            </w:r>
          </w:p>
        </w:tc>
        <w:tc>
          <w:tcPr>
            <w:tcW w:w="1417" w:type="dxa"/>
            <w:tcBorders>
              <w:top w:val="single" w:sz="6" w:space="0" w:color="auto"/>
              <w:left w:val="single" w:sz="6" w:space="0" w:color="auto"/>
              <w:bottom w:val="single" w:sz="6" w:space="0" w:color="auto"/>
              <w:right w:val="single" w:sz="6" w:space="0" w:color="auto"/>
            </w:tcBorders>
            <w:hideMark/>
          </w:tcPr>
          <w:p w14:paraId="43856E08" w14:textId="77777777" w:rsidR="00176F34" w:rsidRPr="007C19A2" w:rsidRDefault="00176F34">
            <w:pPr>
              <w:keepNext/>
              <w:jc w:val="both"/>
              <w:rPr>
                <w:color w:val="000000"/>
                <w:sz w:val="22"/>
                <w:szCs w:val="22"/>
                <w:lang w:val="sr-Latn-ME"/>
              </w:rPr>
            </w:pPr>
            <w:r w:rsidRPr="007C19A2">
              <w:rPr>
                <w:bCs/>
                <w:color w:val="000000"/>
                <w:sz w:val="22"/>
                <w:szCs w:val="22"/>
                <w:lang w:val="sr-Latn-ME"/>
              </w:rPr>
              <w:t>Konstipacija</w:t>
            </w:r>
          </w:p>
        </w:tc>
        <w:tc>
          <w:tcPr>
            <w:tcW w:w="2268" w:type="dxa"/>
            <w:tcBorders>
              <w:top w:val="single" w:sz="6" w:space="0" w:color="auto"/>
              <w:left w:val="single" w:sz="6" w:space="0" w:color="auto"/>
              <w:bottom w:val="single" w:sz="6" w:space="0" w:color="auto"/>
              <w:right w:val="single" w:sz="6" w:space="0" w:color="auto"/>
            </w:tcBorders>
            <w:hideMark/>
          </w:tcPr>
          <w:p w14:paraId="70DB037E" w14:textId="23F4AAF6" w:rsidR="00176F34" w:rsidRPr="007C19A2" w:rsidRDefault="00F227BA">
            <w:pPr>
              <w:keepNext/>
              <w:rPr>
                <w:color w:val="000000"/>
                <w:sz w:val="22"/>
                <w:szCs w:val="22"/>
                <w:lang w:val="sr-Latn-ME"/>
              </w:rPr>
            </w:pPr>
            <w:r w:rsidRPr="007C19A2">
              <w:rPr>
                <w:bCs/>
                <w:color w:val="000000"/>
                <w:sz w:val="22"/>
                <w:szCs w:val="22"/>
                <w:lang w:val="sr-Latn-ME"/>
              </w:rPr>
              <w:t>Distenzija abdomena</w:t>
            </w:r>
          </w:p>
        </w:tc>
        <w:tc>
          <w:tcPr>
            <w:tcW w:w="3119" w:type="dxa"/>
            <w:tcBorders>
              <w:top w:val="single" w:sz="6" w:space="0" w:color="auto"/>
              <w:left w:val="single" w:sz="6" w:space="0" w:color="auto"/>
              <w:bottom w:val="single" w:sz="6" w:space="0" w:color="auto"/>
              <w:right w:val="single" w:sz="4" w:space="0" w:color="auto"/>
            </w:tcBorders>
            <w:noWrap/>
            <w:hideMark/>
          </w:tcPr>
          <w:p w14:paraId="1D21E9C5" w14:textId="7C4F668C" w:rsidR="00176F34" w:rsidRPr="007C19A2" w:rsidRDefault="00C5269B">
            <w:pPr>
              <w:keepNext/>
              <w:rPr>
                <w:color w:val="000000"/>
                <w:sz w:val="22"/>
                <w:szCs w:val="22"/>
                <w:lang w:val="sr-Latn-ME"/>
              </w:rPr>
            </w:pPr>
            <w:r w:rsidRPr="007C19A2">
              <w:rPr>
                <w:bCs/>
                <w:color w:val="000000"/>
                <w:sz w:val="22"/>
                <w:szCs w:val="22"/>
                <w:lang w:val="sr-Latn-ME"/>
              </w:rPr>
              <w:t>Suvoća usta</w:t>
            </w:r>
          </w:p>
        </w:tc>
      </w:tr>
      <w:tr w:rsidR="00F227BA" w:rsidRPr="007C19A2" w14:paraId="2F44C7C1"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tcPr>
          <w:p w14:paraId="3F3EEC52" w14:textId="77777777" w:rsidR="00F227BA" w:rsidRPr="007C19A2" w:rsidRDefault="00F227BA">
            <w:pPr>
              <w:keepNext/>
              <w:rPr>
                <w:bCs/>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6BFCCA32" w14:textId="77777777" w:rsidR="00F227BA" w:rsidRPr="007C19A2" w:rsidRDefault="00F227BA">
            <w:pPr>
              <w:keepNext/>
              <w:jc w:val="both"/>
              <w:rPr>
                <w:bCs/>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5BE5DA25" w14:textId="7CAE049A" w:rsidR="00F227BA" w:rsidRPr="007C19A2" w:rsidRDefault="00F227BA">
            <w:pPr>
              <w:keepNext/>
              <w:rPr>
                <w:bCs/>
                <w:color w:val="000000"/>
                <w:sz w:val="22"/>
                <w:szCs w:val="22"/>
                <w:lang w:val="sr-Latn-ME"/>
              </w:rPr>
            </w:pPr>
            <w:r w:rsidRPr="007C19A2">
              <w:rPr>
                <w:bCs/>
                <w:color w:val="000000"/>
                <w:sz w:val="22"/>
                <w:szCs w:val="22"/>
                <w:lang w:val="sr-Latn-ME"/>
              </w:rPr>
              <w:t>Bol u abdomenu</w:t>
            </w:r>
          </w:p>
        </w:tc>
        <w:tc>
          <w:tcPr>
            <w:tcW w:w="3119" w:type="dxa"/>
            <w:tcBorders>
              <w:top w:val="single" w:sz="6" w:space="0" w:color="auto"/>
              <w:left w:val="single" w:sz="6" w:space="0" w:color="auto"/>
              <w:bottom w:val="single" w:sz="6" w:space="0" w:color="auto"/>
              <w:right w:val="single" w:sz="4" w:space="0" w:color="auto"/>
            </w:tcBorders>
            <w:noWrap/>
          </w:tcPr>
          <w:p w14:paraId="1BEEB28F" w14:textId="1C916EC7" w:rsidR="00F227BA" w:rsidRPr="007C19A2" w:rsidRDefault="00C5269B">
            <w:pPr>
              <w:keepNext/>
              <w:rPr>
                <w:bCs/>
                <w:color w:val="000000"/>
                <w:sz w:val="22"/>
                <w:szCs w:val="22"/>
                <w:lang w:val="sr-Latn-ME"/>
              </w:rPr>
            </w:pPr>
            <w:r w:rsidRPr="007C19A2">
              <w:rPr>
                <w:bCs/>
                <w:color w:val="000000"/>
                <w:sz w:val="22"/>
                <w:szCs w:val="22"/>
                <w:lang w:val="sr-Latn-ME"/>
              </w:rPr>
              <w:t>Disfagija</w:t>
            </w:r>
          </w:p>
        </w:tc>
      </w:tr>
      <w:tr w:rsidR="00176F34" w:rsidRPr="007C19A2" w14:paraId="05238333"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7D01A35B"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2E4CF52"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EF260F7" w14:textId="77777777" w:rsidR="00176F34" w:rsidRPr="007C19A2" w:rsidRDefault="00176F34">
            <w:pPr>
              <w:keepNext/>
              <w:rPr>
                <w:color w:val="000000"/>
                <w:sz w:val="22"/>
                <w:szCs w:val="22"/>
                <w:lang w:val="sr-Latn-ME"/>
              </w:rPr>
            </w:pPr>
            <w:r w:rsidRPr="007C19A2">
              <w:rPr>
                <w:bCs/>
                <w:color w:val="000000"/>
                <w:sz w:val="22"/>
                <w:szCs w:val="22"/>
                <w:lang w:val="sr-Latn-ME"/>
              </w:rPr>
              <w:t>Proliv</w:t>
            </w:r>
          </w:p>
        </w:tc>
        <w:tc>
          <w:tcPr>
            <w:tcW w:w="3119" w:type="dxa"/>
            <w:tcBorders>
              <w:top w:val="single" w:sz="6" w:space="0" w:color="auto"/>
              <w:left w:val="single" w:sz="6" w:space="0" w:color="auto"/>
              <w:bottom w:val="single" w:sz="6" w:space="0" w:color="auto"/>
              <w:right w:val="single" w:sz="4" w:space="0" w:color="auto"/>
            </w:tcBorders>
            <w:noWrap/>
            <w:hideMark/>
          </w:tcPr>
          <w:p w14:paraId="137EDE51" w14:textId="0D1DF822" w:rsidR="00176F34" w:rsidRPr="007C19A2" w:rsidRDefault="00C5269B">
            <w:pPr>
              <w:keepNext/>
              <w:rPr>
                <w:color w:val="000000"/>
                <w:sz w:val="22"/>
                <w:szCs w:val="22"/>
                <w:lang w:val="sr-Latn-ME"/>
              </w:rPr>
            </w:pPr>
            <w:r w:rsidRPr="007C19A2">
              <w:rPr>
                <w:bCs/>
                <w:color w:val="000000"/>
                <w:sz w:val="22"/>
                <w:szCs w:val="22"/>
                <w:lang w:val="sr-Latn-ME"/>
              </w:rPr>
              <w:t>Podrigivanje</w:t>
            </w:r>
          </w:p>
        </w:tc>
      </w:tr>
      <w:tr w:rsidR="00176F34" w:rsidRPr="007C19A2" w14:paraId="7C802EFF"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3E6CF0BA"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45BE80F"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04E27526" w14:textId="77777777" w:rsidR="00176F34" w:rsidRPr="007C19A2" w:rsidRDefault="00176F34">
            <w:pPr>
              <w:keepNext/>
              <w:rPr>
                <w:color w:val="000000"/>
                <w:sz w:val="22"/>
                <w:szCs w:val="22"/>
                <w:lang w:val="sr-Latn-ME"/>
              </w:rPr>
            </w:pPr>
            <w:r w:rsidRPr="007C19A2">
              <w:rPr>
                <w:bCs/>
                <w:color w:val="000000"/>
                <w:sz w:val="22"/>
                <w:szCs w:val="22"/>
                <w:lang w:val="sr-Latn-ME"/>
              </w:rPr>
              <w:t>Dispepsija</w:t>
            </w:r>
          </w:p>
        </w:tc>
        <w:tc>
          <w:tcPr>
            <w:tcW w:w="3119" w:type="dxa"/>
            <w:tcBorders>
              <w:top w:val="single" w:sz="6" w:space="0" w:color="auto"/>
              <w:left w:val="single" w:sz="6" w:space="0" w:color="auto"/>
              <w:bottom w:val="single" w:sz="6" w:space="0" w:color="auto"/>
              <w:right w:val="single" w:sz="4" w:space="0" w:color="auto"/>
            </w:tcBorders>
            <w:noWrap/>
          </w:tcPr>
          <w:p w14:paraId="7EB4E348" w14:textId="71926295" w:rsidR="00176F34" w:rsidRPr="007C19A2" w:rsidRDefault="00C5269B" w:rsidP="00C5269B">
            <w:pPr>
              <w:keepNext/>
              <w:rPr>
                <w:color w:val="000000"/>
                <w:sz w:val="22"/>
                <w:szCs w:val="22"/>
                <w:lang w:val="sr-Latn-ME"/>
              </w:rPr>
            </w:pPr>
            <w:r w:rsidRPr="007C19A2">
              <w:rPr>
                <w:color w:val="000000"/>
                <w:sz w:val="22"/>
                <w:szCs w:val="22"/>
                <w:lang w:val="sr-Latn-ME"/>
              </w:rPr>
              <w:t>Hemoroidi</w:t>
            </w:r>
          </w:p>
        </w:tc>
      </w:tr>
      <w:tr w:rsidR="00176F34" w:rsidRPr="007C19A2" w14:paraId="5F4FFE0A"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5C97F7ED"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D0F32B6"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B19545F" w14:textId="77777777" w:rsidR="00176F34" w:rsidRPr="007C19A2" w:rsidRDefault="00176F34">
            <w:pPr>
              <w:keepNext/>
              <w:rPr>
                <w:color w:val="000000"/>
                <w:sz w:val="22"/>
                <w:szCs w:val="22"/>
                <w:lang w:val="sr-Latn-ME"/>
              </w:rPr>
            </w:pPr>
            <w:r w:rsidRPr="007C19A2">
              <w:rPr>
                <w:bCs/>
                <w:color w:val="000000"/>
                <w:sz w:val="22"/>
                <w:szCs w:val="22"/>
                <w:lang w:val="sr-Latn-ME"/>
              </w:rPr>
              <w:t>Flatulencija</w:t>
            </w:r>
          </w:p>
        </w:tc>
        <w:tc>
          <w:tcPr>
            <w:tcW w:w="3119" w:type="dxa"/>
            <w:tcBorders>
              <w:top w:val="single" w:sz="6" w:space="0" w:color="auto"/>
              <w:left w:val="single" w:sz="6" w:space="0" w:color="auto"/>
              <w:bottom w:val="single" w:sz="6" w:space="0" w:color="auto"/>
              <w:right w:val="single" w:sz="4" w:space="0" w:color="auto"/>
            </w:tcBorders>
            <w:noWrap/>
          </w:tcPr>
          <w:p w14:paraId="75C69BB2" w14:textId="31E1590E" w:rsidR="00176F34" w:rsidRPr="007C19A2" w:rsidRDefault="00C5269B" w:rsidP="00C5269B">
            <w:pPr>
              <w:keepNext/>
              <w:rPr>
                <w:color w:val="000000"/>
                <w:sz w:val="22"/>
                <w:szCs w:val="22"/>
                <w:lang w:val="sr-Latn-ME"/>
              </w:rPr>
            </w:pPr>
            <w:r w:rsidRPr="007C19A2">
              <w:rPr>
                <w:bCs/>
                <w:color w:val="000000"/>
                <w:sz w:val="22"/>
                <w:szCs w:val="22"/>
                <w:lang w:val="sr-Latn-ME"/>
              </w:rPr>
              <w:t>Obložen jezik</w:t>
            </w:r>
          </w:p>
        </w:tc>
      </w:tr>
      <w:tr w:rsidR="00176F34" w:rsidRPr="007C19A2" w14:paraId="19DB9DB0"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1AD1A193"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7303301" w14:textId="77777777" w:rsidR="00176F34" w:rsidRPr="007C19A2" w:rsidRDefault="00176F34">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0F21ACD2" w14:textId="77777777" w:rsidR="00176F34" w:rsidRPr="007C19A2" w:rsidRDefault="00176F34">
            <w:pPr>
              <w:keepNext/>
              <w:rPr>
                <w:color w:val="000000"/>
                <w:sz w:val="22"/>
                <w:szCs w:val="22"/>
                <w:lang w:val="sr-Latn-ME"/>
              </w:rPr>
            </w:pPr>
            <w:r w:rsidRPr="007C19A2">
              <w:rPr>
                <w:bCs/>
                <w:color w:val="000000"/>
                <w:sz w:val="22"/>
                <w:szCs w:val="22"/>
                <w:lang w:val="sr-Latn-ME"/>
              </w:rPr>
              <w:t>Mučnina</w:t>
            </w:r>
          </w:p>
        </w:tc>
        <w:tc>
          <w:tcPr>
            <w:tcW w:w="3119" w:type="dxa"/>
            <w:tcBorders>
              <w:top w:val="single" w:sz="6" w:space="0" w:color="auto"/>
              <w:left w:val="single" w:sz="6" w:space="0" w:color="auto"/>
              <w:bottom w:val="single" w:sz="6" w:space="0" w:color="auto"/>
              <w:right w:val="single" w:sz="4" w:space="0" w:color="auto"/>
            </w:tcBorders>
            <w:noWrap/>
          </w:tcPr>
          <w:p w14:paraId="19EFA6B8" w14:textId="43B8E685" w:rsidR="00176F34" w:rsidRPr="007C19A2" w:rsidRDefault="00C5269B" w:rsidP="00C5269B">
            <w:pPr>
              <w:keepNext/>
              <w:rPr>
                <w:color w:val="000000"/>
                <w:sz w:val="22"/>
                <w:szCs w:val="22"/>
                <w:lang w:val="sr-Latn-ME"/>
              </w:rPr>
            </w:pPr>
            <w:r w:rsidRPr="007C19A2">
              <w:rPr>
                <w:color w:val="000000"/>
                <w:sz w:val="22"/>
                <w:szCs w:val="22"/>
                <w:lang w:val="sr-Latn-ME"/>
              </w:rPr>
              <w:t>Povraćanje</w:t>
            </w:r>
          </w:p>
        </w:tc>
      </w:tr>
      <w:tr w:rsidR="004B5170" w:rsidRPr="007C19A2" w14:paraId="0A3B283A" w14:textId="77777777" w:rsidTr="00630751">
        <w:trPr>
          <w:trHeight w:val="255"/>
        </w:trPr>
        <w:tc>
          <w:tcPr>
            <w:tcW w:w="2661" w:type="dxa"/>
            <w:vMerge w:val="restart"/>
            <w:tcBorders>
              <w:top w:val="single" w:sz="6" w:space="0" w:color="auto"/>
              <w:left w:val="single" w:sz="4" w:space="0" w:color="auto"/>
              <w:right w:val="single" w:sz="6" w:space="0" w:color="auto"/>
            </w:tcBorders>
            <w:hideMark/>
          </w:tcPr>
          <w:p w14:paraId="193D2F4C" w14:textId="51C4D9C9" w:rsidR="004B5170" w:rsidRPr="007C19A2" w:rsidRDefault="004B5170">
            <w:pPr>
              <w:keepNext/>
              <w:rPr>
                <w:i/>
                <w:color w:val="000000"/>
                <w:sz w:val="22"/>
                <w:szCs w:val="22"/>
                <w:lang w:val="sr-Latn-ME"/>
              </w:rPr>
            </w:pPr>
            <w:r w:rsidRPr="007C19A2">
              <w:rPr>
                <w:bCs/>
                <w:i/>
                <w:color w:val="000000"/>
                <w:sz w:val="22"/>
                <w:szCs w:val="22"/>
                <w:lang w:val="sr-Latn-ME"/>
              </w:rPr>
              <w:t>Poremećaji kože i potkožnog tkiva</w:t>
            </w:r>
          </w:p>
        </w:tc>
        <w:tc>
          <w:tcPr>
            <w:tcW w:w="1417" w:type="dxa"/>
            <w:tcBorders>
              <w:top w:val="single" w:sz="6" w:space="0" w:color="auto"/>
              <w:left w:val="single" w:sz="6" w:space="0" w:color="auto"/>
              <w:bottom w:val="single" w:sz="6" w:space="0" w:color="auto"/>
              <w:right w:val="single" w:sz="6" w:space="0" w:color="auto"/>
            </w:tcBorders>
          </w:tcPr>
          <w:p w14:paraId="5B4C3F97" w14:textId="77777777" w:rsidR="004B5170" w:rsidRPr="007C19A2" w:rsidRDefault="004B5170">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17305A8D" w14:textId="77777777" w:rsidR="004B5170" w:rsidRPr="007C19A2" w:rsidRDefault="004B5170">
            <w:pPr>
              <w:keepNext/>
              <w:rPr>
                <w:color w:val="000000"/>
                <w:sz w:val="22"/>
                <w:szCs w:val="22"/>
                <w:lang w:val="sr-Latn-ME"/>
              </w:rPr>
            </w:pPr>
            <w:r w:rsidRPr="007C19A2">
              <w:rPr>
                <w:bCs/>
                <w:color w:val="000000"/>
                <w:sz w:val="22"/>
                <w:szCs w:val="22"/>
                <w:lang w:val="sr-Latn-ME"/>
              </w:rPr>
              <w:t>Alopecija</w:t>
            </w:r>
          </w:p>
        </w:tc>
        <w:tc>
          <w:tcPr>
            <w:tcW w:w="3119" w:type="dxa"/>
            <w:tcBorders>
              <w:top w:val="single" w:sz="6" w:space="0" w:color="auto"/>
              <w:left w:val="single" w:sz="6" w:space="0" w:color="auto"/>
              <w:bottom w:val="single" w:sz="6" w:space="0" w:color="auto"/>
              <w:right w:val="single" w:sz="4" w:space="0" w:color="auto"/>
            </w:tcBorders>
            <w:noWrap/>
          </w:tcPr>
          <w:p w14:paraId="350E8CC5" w14:textId="0E62DF0C" w:rsidR="004B5170" w:rsidRPr="007C19A2" w:rsidRDefault="004B5170" w:rsidP="00D2747F">
            <w:pPr>
              <w:keepNext/>
              <w:rPr>
                <w:color w:val="000000"/>
                <w:sz w:val="22"/>
                <w:szCs w:val="22"/>
                <w:lang w:val="sr-Latn-ME"/>
              </w:rPr>
            </w:pPr>
            <w:r w:rsidRPr="007C19A2">
              <w:rPr>
                <w:color w:val="000000"/>
                <w:sz w:val="22"/>
                <w:szCs w:val="22"/>
                <w:lang w:val="sr-Latn-ME"/>
              </w:rPr>
              <w:t>Eritem</w:t>
            </w:r>
          </w:p>
        </w:tc>
      </w:tr>
      <w:tr w:rsidR="004B5170" w:rsidRPr="007C19A2" w14:paraId="383F6C3D" w14:textId="77777777" w:rsidTr="00630751">
        <w:trPr>
          <w:trHeight w:val="255"/>
        </w:trPr>
        <w:tc>
          <w:tcPr>
            <w:tcW w:w="2661" w:type="dxa"/>
            <w:vMerge/>
            <w:tcBorders>
              <w:left w:val="single" w:sz="4" w:space="0" w:color="auto"/>
              <w:right w:val="single" w:sz="6" w:space="0" w:color="auto"/>
            </w:tcBorders>
            <w:vAlign w:val="center"/>
            <w:hideMark/>
          </w:tcPr>
          <w:p w14:paraId="1A82F790" w14:textId="77777777" w:rsidR="004B5170" w:rsidRPr="007C19A2" w:rsidRDefault="004B5170">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2D601586" w14:textId="77777777" w:rsidR="004B5170" w:rsidRPr="007C19A2" w:rsidRDefault="004B5170">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A2670B9" w14:textId="77777777" w:rsidR="004B5170" w:rsidRPr="007C19A2" w:rsidRDefault="004B5170">
            <w:pPr>
              <w:keepNext/>
              <w:rPr>
                <w:color w:val="000000"/>
                <w:sz w:val="22"/>
                <w:szCs w:val="22"/>
                <w:lang w:val="sr-Latn-ME"/>
              </w:rPr>
            </w:pPr>
            <w:r w:rsidRPr="007C19A2">
              <w:rPr>
                <w:bCs/>
                <w:color w:val="000000"/>
                <w:sz w:val="22"/>
                <w:szCs w:val="22"/>
                <w:lang w:val="sr-Latn-ME"/>
              </w:rPr>
              <w:t>Urtikarija</w:t>
            </w:r>
          </w:p>
        </w:tc>
        <w:tc>
          <w:tcPr>
            <w:tcW w:w="3119" w:type="dxa"/>
            <w:tcBorders>
              <w:top w:val="single" w:sz="6" w:space="0" w:color="auto"/>
              <w:left w:val="single" w:sz="6" w:space="0" w:color="auto"/>
              <w:bottom w:val="single" w:sz="6" w:space="0" w:color="auto"/>
              <w:right w:val="single" w:sz="4" w:space="0" w:color="auto"/>
            </w:tcBorders>
            <w:noWrap/>
          </w:tcPr>
          <w:p w14:paraId="0FBF4825" w14:textId="0A63FBB6" w:rsidR="004B5170" w:rsidRPr="007C19A2" w:rsidRDefault="004B5170" w:rsidP="00D2747F">
            <w:pPr>
              <w:keepNext/>
              <w:rPr>
                <w:color w:val="000000"/>
                <w:sz w:val="22"/>
                <w:szCs w:val="22"/>
                <w:lang w:val="sr-Latn-ME"/>
              </w:rPr>
            </w:pPr>
            <w:r w:rsidRPr="007C19A2">
              <w:rPr>
                <w:color w:val="000000"/>
                <w:sz w:val="22"/>
                <w:szCs w:val="22"/>
                <w:lang w:val="sr-Latn-ME"/>
              </w:rPr>
              <w:t>Pruritis</w:t>
            </w:r>
          </w:p>
        </w:tc>
      </w:tr>
      <w:tr w:rsidR="004B5170" w:rsidRPr="007C19A2" w14:paraId="6DB3A9A6" w14:textId="77777777" w:rsidTr="00630751">
        <w:trPr>
          <w:trHeight w:val="255"/>
        </w:trPr>
        <w:tc>
          <w:tcPr>
            <w:tcW w:w="2661" w:type="dxa"/>
            <w:vMerge/>
            <w:tcBorders>
              <w:left w:val="single" w:sz="4" w:space="0" w:color="auto"/>
              <w:bottom w:val="single" w:sz="6" w:space="0" w:color="auto"/>
              <w:right w:val="single" w:sz="6" w:space="0" w:color="auto"/>
            </w:tcBorders>
            <w:vAlign w:val="center"/>
          </w:tcPr>
          <w:p w14:paraId="25C66020" w14:textId="77777777" w:rsidR="004B5170" w:rsidRPr="007C19A2" w:rsidRDefault="004B5170">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6628384" w14:textId="77777777" w:rsidR="004B5170" w:rsidRPr="007C19A2" w:rsidRDefault="004B5170">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4C5C3B44" w14:textId="77777777" w:rsidR="004B5170" w:rsidRPr="007C19A2" w:rsidRDefault="004B5170">
            <w:pPr>
              <w:keepNext/>
              <w:rPr>
                <w:bCs/>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tcPr>
          <w:p w14:paraId="095A7127" w14:textId="765B358D" w:rsidR="004B5170" w:rsidRPr="007C19A2" w:rsidRDefault="004B5170" w:rsidP="00D2747F">
            <w:pPr>
              <w:keepNext/>
              <w:rPr>
                <w:color w:val="000000"/>
                <w:sz w:val="22"/>
                <w:szCs w:val="22"/>
                <w:lang w:val="sr-Latn-ME"/>
              </w:rPr>
            </w:pPr>
            <w:r w:rsidRPr="007C19A2">
              <w:rPr>
                <w:color w:val="000000"/>
                <w:sz w:val="22"/>
                <w:szCs w:val="22"/>
                <w:lang w:val="sr-Latn-ME"/>
              </w:rPr>
              <w:t>Osip</w:t>
            </w:r>
          </w:p>
        </w:tc>
      </w:tr>
      <w:tr w:rsidR="002E137B" w:rsidRPr="007C19A2" w14:paraId="32B95EEC" w14:textId="77777777" w:rsidTr="002E137B">
        <w:trPr>
          <w:trHeight w:val="532"/>
        </w:trPr>
        <w:tc>
          <w:tcPr>
            <w:tcW w:w="2661" w:type="dxa"/>
            <w:vMerge w:val="restart"/>
            <w:tcBorders>
              <w:top w:val="single" w:sz="6" w:space="0" w:color="auto"/>
              <w:left w:val="single" w:sz="4" w:space="0" w:color="auto"/>
              <w:right w:val="single" w:sz="6" w:space="0" w:color="auto"/>
            </w:tcBorders>
            <w:hideMark/>
          </w:tcPr>
          <w:p w14:paraId="74282DDC" w14:textId="77777777" w:rsidR="002E137B" w:rsidRPr="007C19A2" w:rsidRDefault="002E137B">
            <w:pPr>
              <w:keepNext/>
              <w:rPr>
                <w:i/>
                <w:color w:val="000000"/>
                <w:sz w:val="22"/>
                <w:szCs w:val="22"/>
                <w:lang w:val="sr-Latn-ME"/>
              </w:rPr>
            </w:pPr>
            <w:r w:rsidRPr="007C19A2">
              <w:rPr>
                <w:bCs/>
                <w:i/>
                <w:color w:val="000000"/>
                <w:sz w:val="22"/>
                <w:szCs w:val="22"/>
                <w:lang w:val="sr-Latn-ME"/>
              </w:rPr>
              <w:t>Poremećaji mišićno-skeletnog i vezivnog tkiva</w:t>
            </w:r>
          </w:p>
        </w:tc>
        <w:tc>
          <w:tcPr>
            <w:tcW w:w="1417" w:type="dxa"/>
            <w:tcBorders>
              <w:top w:val="single" w:sz="6" w:space="0" w:color="auto"/>
              <w:left w:val="single" w:sz="6" w:space="0" w:color="auto"/>
              <w:bottom w:val="single" w:sz="6" w:space="0" w:color="auto"/>
              <w:right w:val="single" w:sz="6" w:space="0" w:color="auto"/>
            </w:tcBorders>
          </w:tcPr>
          <w:p w14:paraId="4474389F" w14:textId="77777777" w:rsidR="002E137B" w:rsidRPr="007C19A2" w:rsidRDefault="002E137B">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39AD1496" w14:textId="77777777" w:rsidR="002E137B" w:rsidRPr="007C19A2" w:rsidRDefault="002E137B">
            <w:pPr>
              <w:keepNext/>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3FFB9CC1" w14:textId="77777777" w:rsidR="002E137B" w:rsidRPr="007C19A2" w:rsidRDefault="002E137B">
            <w:pPr>
              <w:keepNext/>
              <w:rPr>
                <w:color w:val="000000"/>
                <w:sz w:val="22"/>
                <w:szCs w:val="22"/>
                <w:lang w:val="sr-Latn-ME"/>
              </w:rPr>
            </w:pPr>
            <w:r w:rsidRPr="007C19A2">
              <w:rPr>
                <w:bCs/>
                <w:color w:val="000000"/>
                <w:sz w:val="22"/>
                <w:szCs w:val="22"/>
                <w:lang w:val="sr-Latn-ME"/>
              </w:rPr>
              <w:t>Bol u leđima</w:t>
            </w:r>
          </w:p>
        </w:tc>
      </w:tr>
      <w:tr w:rsidR="002E137B" w:rsidRPr="007C19A2" w14:paraId="34526B09" w14:textId="77777777" w:rsidTr="002E137B">
        <w:trPr>
          <w:trHeight w:val="532"/>
        </w:trPr>
        <w:tc>
          <w:tcPr>
            <w:tcW w:w="2661" w:type="dxa"/>
            <w:vMerge/>
            <w:tcBorders>
              <w:left w:val="single" w:sz="4" w:space="0" w:color="auto"/>
              <w:bottom w:val="single" w:sz="6" w:space="0" w:color="auto"/>
              <w:right w:val="single" w:sz="6" w:space="0" w:color="auto"/>
            </w:tcBorders>
          </w:tcPr>
          <w:p w14:paraId="00000DDB" w14:textId="77777777" w:rsidR="002E137B" w:rsidRPr="007C19A2" w:rsidRDefault="002E137B">
            <w:pPr>
              <w:keepNext/>
              <w:rPr>
                <w:bCs/>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1D203B6A" w14:textId="77777777" w:rsidR="002E137B" w:rsidRPr="007C19A2" w:rsidRDefault="002E137B">
            <w:pPr>
              <w:keepNext/>
              <w:ind w:left="593"/>
              <w:rPr>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78941577" w14:textId="77777777" w:rsidR="002E137B" w:rsidRPr="007C19A2" w:rsidRDefault="002E137B">
            <w:pPr>
              <w:keepNext/>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tcPr>
          <w:p w14:paraId="64087A8D" w14:textId="51F2BEDC" w:rsidR="002E137B" w:rsidRPr="007C19A2" w:rsidRDefault="002E137B">
            <w:pPr>
              <w:keepNext/>
              <w:rPr>
                <w:bCs/>
                <w:color w:val="000000"/>
                <w:sz w:val="22"/>
                <w:szCs w:val="22"/>
                <w:lang w:val="sr-Latn-ME"/>
              </w:rPr>
            </w:pPr>
            <w:r w:rsidRPr="007C19A2">
              <w:rPr>
                <w:bCs/>
                <w:color w:val="000000"/>
                <w:sz w:val="22"/>
                <w:szCs w:val="22"/>
                <w:lang w:val="sr-Latn-ME"/>
              </w:rPr>
              <w:t>Bol u ekstremitetima</w:t>
            </w:r>
          </w:p>
        </w:tc>
      </w:tr>
      <w:tr w:rsidR="00176F34" w:rsidRPr="007C19A2" w14:paraId="15210167" w14:textId="77777777" w:rsidTr="002E137B">
        <w:trPr>
          <w:trHeight w:val="331"/>
        </w:trPr>
        <w:tc>
          <w:tcPr>
            <w:tcW w:w="2661" w:type="dxa"/>
            <w:vMerge w:val="restart"/>
            <w:tcBorders>
              <w:top w:val="single" w:sz="6" w:space="0" w:color="auto"/>
              <w:left w:val="single" w:sz="4" w:space="0" w:color="auto"/>
              <w:bottom w:val="single" w:sz="6" w:space="0" w:color="auto"/>
              <w:right w:val="single" w:sz="6" w:space="0" w:color="auto"/>
            </w:tcBorders>
            <w:hideMark/>
          </w:tcPr>
          <w:p w14:paraId="0C7B502A" w14:textId="77777777" w:rsidR="00176F34" w:rsidRPr="007C19A2" w:rsidRDefault="00176F34">
            <w:pPr>
              <w:keepNext/>
              <w:rPr>
                <w:i/>
                <w:color w:val="000000"/>
                <w:sz w:val="22"/>
                <w:szCs w:val="22"/>
                <w:lang w:val="sr-Latn-ME"/>
              </w:rPr>
            </w:pPr>
            <w:r w:rsidRPr="007C19A2">
              <w:rPr>
                <w:bCs/>
                <w:i/>
                <w:color w:val="000000"/>
                <w:sz w:val="22"/>
                <w:szCs w:val="22"/>
                <w:lang w:val="sr-Latn-ME"/>
              </w:rPr>
              <w:t>Opšti poremećaji i reakcije na mjestu primjene</w:t>
            </w:r>
          </w:p>
        </w:tc>
        <w:tc>
          <w:tcPr>
            <w:tcW w:w="1417" w:type="dxa"/>
            <w:tcBorders>
              <w:top w:val="single" w:sz="6" w:space="0" w:color="auto"/>
              <w:left w:val="single" w:sz="6" w:space="0" w:color="auto"/>
              <w:bottom w:val="single" w:sz="6" w:space="0" w:color="auto"/>
              <w:right w:val="single" w:sz="6" w:space="0" w:color="auto"/>
            </w:tcBorders>
            <w:hideMark/>
          </w:tcPr>
          <w:p w14:paraId="71BF1939" w14:textId="77777777" w:rsidR="00176F34" w:rsidRPr="007C19A2" w:rsidRDefault="00176F34">
            <w:pPr>
              <w:keepNext/>
              <w:rPr>
                <w:color w:val="000000"/>
                <w:sz w:val="22"/>
                <w:szCs w:val="22"/>
                <w:lang w:val="sr-Latn-ME"/>
              </w:rPr>
            </w:pPr>
            <w:r w:rsidRPr="007C19A2">
              <w:rPr>
                <w:bCs/>
                <w:color w:val="000000"/>
                <w:sz w:val="22"/>
                <w:szCs w:val="22"/>
                <w:lang w:val="sr-Latn-ME"/>
              </w:rPr>
              <w:t>Umor</w:t>
            </w:r>
          </w:p>
        </w:tc>
        <w:tc>
          <w:tcPr>
            <w:tcW w:w="2268" w:type="dxa"/>
            <w:tcBorders>
              <w:top w:val="single" w:sz="6" w:space="0" w:color="auto"/>
              <w:left w:val="single" w:sz="6" w:space="0" w:color="auto"/>
              <w:bottom w:val="single" w:sz="6" w:space="0" w:color="auto"/>
              <w:right w:val="single" w:sz="6" w:space="0" w:color="auto"/>
            </w:tcBorders>
            <w:hideMark/>
          </w:tcPr>
          <w:p w14:paraId="4B3781DD" w14:textId="77777777" w:rsidR="00176F34" w:rsidRPr="007C19A2" w:rsidRDefault="00176F34">
            <w:pPr>
              <w:keepNext/>
              <w:rPr>
                <w:color w:val="000000"/>
                <w:sz w:val="22"/>
                <w:szCs w:val="22"/>
                <w:lang w:val="sr-Latn-ME"/>
              </w:rPr>
            </w:pPr>
            <w:r w:rsidRPr="007C19A2">
              <w:rPr>
                <w:bCs/>
                <w:color w:val="000000"/>
                <w:sz w:val="22"/>
                <w:szCs w:val="22"/>
                <w:lang w:val="sr-Latn-ME"/>
              </w:rPr>
              <w:t>Astenija</w:t>
            </w:r>
          </w:p>
        </w:tc>
        <w:tc>
          <w:tcPr>
            <w:tcW w:w="3119" w:type="dxa"/>
            <w:tcBorders>
              <w:top w:val="single" w:sz="6" w:space="0" w:color="auto"/>
              <w:left w:val="single" w:sz="6" w:space="0" w:color="auto"/>
              <w:bottom w:val="single" w:sz="6" w:space="0" w:color="auto"/>
              <w:right w:val="single" w:sz="4" w:space="0" w:color="auto"/>
            </w:tcBorders>
            <w:noWrap/>
            <w:hideMark/>
          </w:tcPr>
          <w:p w14:paraId="2B7DD354" w14:textId="77777777" w:rsidR="00176F34" w:rsidRPr="007C19A2" w:rsidRDefault="00176F34">
            <w:pPr>
              <w:keepNext/>
              <w:rPr>
                <w:color w:val="000000"/>
                <w:sz w:val="22"/>
                <w:szCs w:val="22"/>
                <w:lang w:val="sr-Latn-ME"/>
              </w:rPr>
            </w:pPr>
            <w:r w:rsidRPr="007C19A2">
              <w:rPr>
                <w:bCs/>
                <w:color w:val="000000"/>
                <w:sz w:val="22"/>
                <w:szCs w:val="22"/>
                <w:lang w:val="sr-Latn-ME"/>
              </w:rPr>
              <w:t>Osjećaj vrućine</w:t>
            </w:r>
          </w:p>
        </w:tc>
      </w:tr>
      <w:tr w:rsidR="00176F34" w:rsidRPr="007C19A2" w14:paraId="57F4D4AA"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2E3F95A0"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noWrap/>
          </w:tcPr>
          <w:p w14:paraId="585BE05C"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noWrap/>
          </w:tcPr>
          <w:p w14:paraId="57BAFCF7"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3B877DE0" w14:textId="77777777" w:rsidR="00176F34" w:rsidRPr="007C19A2" w:rsidRDefault="00176F34">
            <w:pPr>
              <w:keepNext/>
              <w:rPr>
                <w:color w:val="000000"/>
                <w:sz w:val="22"/>
                <w:szCs w:val="22"/>
                <w:lang w:val="sr-Latn-ME"/>
              </w:rPr>
            </w:pPr>
            <w:r w:rsidRPr="007C19A2">
              <w:rPr>
                <w:bCs/>
                <w:color w:val="000000"/>
                <w:sz w:val="22"/>
                <w:szCs w:val="22"/>
                <w:lang w:val="sr-Latn-ME"/>
              </w:rPr>
              <w:t>Nekardijalni bol u grudima</w:t>
            </w:r>
          </w:p>
        </w:tc>
      </w:tr>
      <w:tr w:rsidR="00176F34" w:rsidRPr="007C19A2" w14:paraId="7DA4615C" w14:textId="77777777" w:rsidTr="002E137B">
        <w:trPr>
          <w:trHeight w:val="255"/>
        </w:trPr>
        <w:tc>
          <w:tcPr>
            <w:tcW w:w="2661" w:type="dxa"/>
            <w:vMerge/>
            <w:tcBorders>
              <w:top w:val="single" w:sz="6" w:space="0" w:color="auto"/>
              <w:left w:val="single" w:sz="4" w:space="0" w:color="auto"/>
              <w:bottom w:val="single" w:sz="6" w:space="0" w:color="auto"/>
              <w:right w:val="single" w:sz="6" w:space="0" w:color="auto"/>
            </w:tcBorders>
            <w:vAlign w:val="center"/>
            <w:hideMark/>
          </w:tcPr>
          <w:p w14:paraId="668F52E0"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noWrap/>
          </w:tcPr>
          <w:p w14:paraId="236B4267"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noWrap/>
          </w:tcPr>
          <w:p w14:paraId="64DF39E4"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62BCBCD0" w14:textId="77777777" w:rsidR="00176F34" w:rsidRPr="007C19A2" w:rsidRDefault="00176F34">
            <w:pPr>
              <w:keepNext/>
              <w:rPr>
                <w:color w:val="000000"/>
                <w:sz w:val="22"/>
                <w:szCs w:val="22"/>
                <w:lang w:val="sr-Latn-ME"/>
              </w:rPr>
            </w:pPr>
            <w:r w:rsidRPr="007C19A2">
              <w:rPr>
                <w:bCs/>
                <w:color w:val="000000"/>
                <w:sz w:val="22"/>
                <w:szCs w:val="22"/>
                <w:lang w:val="sr-Latn-ME"/>
              </w:rPr>
              <w:t>Nenormalan ukus lijeka</w:t>
            </w:r>
          </w:p>
        </w:tc>
      </w:tr>
      <w:tr w:rsidR="00176F34" w:rsidRPr="007C19A2" w14:paraId="15A6F0A3" w14:textId="77777777" w:rsidTr="002E137B">
        <w:trPr>
          <w:trHeight w:val="255"/>
        </w:trPr>
        <w:tc>
          <w:tcPr>
            <w:tcW w:w="2661" w:type="dxa"/>
            <w:vMerge w:val="restart"/>
            <w:tcBorders>
              <w:top w:val="single" w:sz="6" w:space="0" w:color="auto"/>
              <w:left w:val="single" w:sz="4" w:space="0" w:color="auto"/>
              <w:bottom w:val="single" w:sz="4" w:space="0" w:color="auto"/>
              <w:right w:val="single" w:sz="6" w:space="0" w:color="auto"/>
            </w:tcBorders>
            <w:hideMark/>
          </w:tcPr>
          <w:p w14:paraId="2637F28C" w14:textId="77777777" w:rsidR="00176F34" w:rsidRPr="007C19A2" w:rsidRDefault="00176F34">
            <w:pPr>
              <w:keepNext/>
              <w:rPr>
                <w:i/>
                <w:color w:val="000000"/>
                <w:sz w:val="22"/>
                <w:szCs w:val="22"/>
                <w:lang w:val="sr-Latn-ME"/>
              </w:rPr>
            </w:pPr>
            <w:r w:rsidRPr="007C19A2">
              <w:rPr>
                <w:bCs/>
                <w:i/>
                <w:color w:val="000000"/>
                <w:sz w:val="22"/>
                <w:szCs w:val="22"/>
                <w:lang w:val="sr-Latn-ME"/>
              </w:rPr>
              <w:t>Ispitivanja</w:t>
            </w:r>
          </w:p>
        </w:tc>
        <w:tc>
          <w:tcPr>
            <w:tcW w:w="1417" w:type="dxa"/>
            <w:tcBorders>
              <w:top w:val="single" w:sz="6" w:space="0" w:color="auto"/>
              <w:left w:val="single" w:sz="6" w:space="0" w:color="auto"/>
              <w:bottom w:val="single" w:sz="6" w:space="0" w:color="auto"/>
              <w:right w:val="single" w:sz="6" w:space="0" w:color="auto"/>
            </w:tcBorders>
          </w:tcPr>
          <w:p w14:paraId="4B609C88"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5461E5AC" w14:textId="77777777" w:rsidR="00176F34" w:rsidRPr="007C19A2" w:rsidRDefault="00176F34">
            <w:pPr>
              <w:keepNext/>
              <w:rPr>
                <w:color w:val="000000"/>
                <w:sz w:val="22"/>
                <w:szCs w:val="22"/>
                <w:lang w:val="sr-Latn-ME"/>
              </w:rPr>
            </w:pPr>
            <w:r w:rsidRPr="007C19A2">
              <w:rPr>
                <w:bCs/>
                <w:color w:val="000000"/>
                <w:sz w:val="22"/>
                <w:szCs w:val="22"/>
                <w:lang w:val="sr-Latn-ME"/>
              </w:rPr>
              <w:t>Povišene transaminaze u jetri</w:t>
            </w:r>
          </w:p>
        </w:tc>
        <w:tc>
          <w:tcPr>
            <w:tcW w:w="3119" w:type="dxa"/>
            <w:tcBorders>
              <w:top w:val="single" w:sz="6" w:space="0" w:color="auto"/>
              <w:left w:val="single" w:sz="6" w:space="0" w:color="auto"/>
              <w:bottom w:val="single" w:sz="6" w:space="0" w:color="auto"/>
              <w:right w:val="single" w:sz="4" w:space="0" w:color="auto"/>
            </w:tcBorders>
            <w:noWrap/>
            <w:hideMark/>
          </w:tcPr>
          <w:p w14:paraId="4AB4D046" w14:textId="77777777" w:rsidR="00176F34" w:rsidRPr="007C19A2" w:rsidRDefault="00176F34">
            <w:pPr>
              <w:keepNext/>
              <w:rPr>
                <w:color w:val="000000"/>
                <w:sz w:val="22"/>
                <w:szCs w:val="22"/>
                <w:lang w:val="sr-Latn-ME"/>
              </w:rPr>
            </w:pPr>
            <w:r w:rsidRPr="007C19A2">
              <w:rPr>
                <w:bCs/>
                <w:color w:val="000000"/>
                <w:sz w:val="22"/>
                <w:szCs w:val="22"/>
                <w:lang w:val="sr-Latn-ME"/>
              </w:rPr>
              <w:t>Povišen bilirubin u krvi</w:t>
            </w:r>
          </w:p>
        </w:tc>
      </w:tr>
      <w:tr w:rsidR="00D400BF" w:rsidRPr="007C19A2" w14:paraId="3D78E0C1"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tcPr>
          <w:p w14:paraId="3A2FC375" w14:textId="77777777" w:rsidR="00D400BF" w:rsidRPr="007C19A2" w:rsidRDefault="00D400BF">
            <w:pPr>
              <w:keepNext/>
              <w:rPr>
                <w:bCs/>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556A29FB" w14:textId="77777777" w:rsidR="00D400BF" w:rsidRPr="007C19A2" w:rsidRDefault="00D400BF">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64D97127" w14:textId="4BCB9063" w:rsidR="00D400BF" w:rsidRPr="007C19A2" w:rsidRDefault="00D400BF">
            <w:pPr>
              <w:keepNext/>
              <w:rPr>
                <w:bCs/>
                <w:color w:val="000000"/>
                <w:sz w:val="22"/>
                <w:szCs w:val="22"/>
                <w:lang w:val="sr-Latn-ME"/>
              </w:rPr>
            </w:pPr>
            <w:r w:rsidRPr="007C19A2">
              <w:rPr>
                <w:bCs/>
                <w:color w:val="000000"/>
                <w:sz w:val="22"/>
                <w:szCs w:val="22"/>
                <w:lang w:val="sr-Latn-ME"/>
              </w:rPr>
              <w:t>Povišena alkalna fosfataza u krvi</w:t>
            </w:r>
          </w:p>
        </w:tc>
        <w:tc>
          <w:tcPr>
            <w:tcW w:w="3119" w:type="dxa"/>
            <w:tcBorders>
              <w:top w:val="single" w:sz="6" w:space="0" w:color="auto"/>
              <w:left w:val="single" w:sz="6" w:space="0" w:color="auto"/>
              <w:bottom w:val="single" w:sz="6" w:space="0" w:color="auto"/>
              <w:right w:val="single" w:sz="4" w:space="0" w:color="auto"/>
            </w:tcBorders>
            <w:noWrap/>
          </w:tcPr>
          <w:p w14:paraId="04D6BF63" w14:textId="7008E25B" w:rsidR="00D400BF" w:rsidRPr="007C19A2" w:rsidRDefault="00D400BF">
            <w:pPr>
              <w:keepNext/>
              <w:rPr>
                <w:bCs/>
                <w:color w:val="000000"/>
                <w:sz w:val="22"/>
                <w:szCs w:val="22"/>
                <w:lang w:val="sr-Latn-ME"/>
              </w:rPr>
            </w:pPr>
            <w:r w:rsidRPr="007C19A2">
              <w:rPr>
                <w:bCs/>
                <w:color w:val="000000"/>
                <w:sz w:val="22"/>
                <w:szCs w:val="22"/>
                <w:lang w:val="sr-Latn-ME"/>
              </w:rPr>
              <w:t>Povišena kreatin fosfokinaza u krvi</w:t>
            </w:r>
          </w:p>
        </w:tc>
      </w:tr>
      <w:tr w:rsidR="00176F34" w:rsidRPr="007C19A2" w14:paraId="0A8B6731"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hideMark/>
          </w:tcPr>
          <w:p w14:paraId="406A6393"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C7AC762"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1D3FD14C" w14:textId="44C20FDB" w:rsidR="00176F34" w:rsidRPr="007C19A2" w:rsidRDefault="00D400BF">
            <w:pPr>
              <w:keepNext/>
              <w:rPr>
                <w:color w:val="000000"/>
                <w:sz w:val="22"/>
                <w:szCs w:val="22"/>
                <w:lang w:val="sr-Latn-ME"/>
              </w:rPr>
            </w:pPr>
            <w:r w:rsidRPr="007C19A2">
              <w:rPr>
                <w:bCs/>
                <w:color w:val="000000"/>
                <w:sz w:val="22"/>
                <w:szCs w:val="22"/>
                <w:lang w:val="sr-Latn-ME"/>
              </w:rPr>
              <w:t>Povišen kreatinin u krvi</w:t>
            </w:r>
          </w:p>
        </w:tc>
        <w:tc>
          <w:tcPr>
            <w:tcW w:w="3119" w:type="dxa"/>
            <w:tcBorders>
              <w:top w:val="single" w:sz="6" w:space="0" w:color="auto"/>
              <w:left w:val="single" w:sz="6" w:space="0" w:color="auto"/>
              <w:bottom w:val="single" w:sz="6" w:space="0" w:color="auto"/>
              <w:right w:val="single" w:sz="4" w:space="0" w:color="auto"/>
            </w:tcBorders>
            <w:noWrap/>
            <w:hideMark/>
          </w:tcPr>
          <w:p w14:paraId="344D0A28" w14:textId="77777777" w:rsidR="00176F34" w:rsidRPr="007C19A2" w:rsidRDefault="00176F34">
            <w:pPr>
              <w:keepNext/>
              <w:rPr>
                <w:color w:val="000000"/>
                <w:sz w:val="22"/>
                <w:szCs w:val="22"/>
                <w:lang w:val="sr-Latn-ME"/>
              </w:rPr>
            </w:pPr>
            <w:r w:rsidRPr="007C19A2">
              <w:rPr>
                <w:bCs/>
                <w:color w:val="000000"/>
                <w:sz w:val="22"/>
                <w:szCs w:val="22"/>
                <w:lang w:val="sr-Latn-ME"/>
              </w:rPr>
              <w:t>Povišena kreatin fosfokinaza MB u krvi</w:t>
            </w:r>
          </w:p>
        </w:tc>
      </w:tr>
      <w:tr w:rsidR="00687A78" w:rsidRPr="007C19A2" w14:paraId="6FE85037"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tcPr>
          <w:p w14:paraId="6E6C6F18" w14:textId="77777777" w:rsidR="00687A78" w:rsidRPr="007C19A2" w:rsidRDefault="00687A78">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50EEE5A0" w14:textId="77777777" w:rsidR="00687A78" w:rsidRPr="007C19A2" w:rsidRDefault="00687A78">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77EC1957" w14:textId="4EC60AB4" w:rsidR="00687A78" w:rsidRPr="007C19A2" w:rsidRDefault="00D400BF">
            <w:pPr>
              <w:keepNext/>
              <w:rPr>
                <w:bCs/>
                <w:color w:val="000000"/>
                <w:sz w:val="22"/>
                <w:szCs w:val="22"/>
                <w:lang w:val="sr-Latn-ME"/>
              </w:rPr>
            </w:pPr>
            <w:r w:rsidRPr="007C19A2">
              <w:rPr>
                <w:bCs/>
                <w:color w:val="000000"/>
                <w:sz w:val="22"/>
                <w:szCs w:val="22"/>
                <w:lang w:val="sr-Latn-ME"/>
              </w:rPr>
              <w:t>Produžen QT u elektrokardiogramu</w:t>
            </w:r>
          </w:p>
        </w:tc>
        <w:tc>
          <w:tcPr>
            <w:tcW w:w="3119" w:type="dxa"/>
            <w:tcBorders>
              <w:top w:val="single" w:sz="6" w:space="0" w:color="auto"/>
              <w:left w:val="single" w:sz="6" w:space="0" w:color="auto"/>
              <w:bottom w:val="single" w:sz="6" w:space="0" w:color="auto"/>
              <w:right w:val="single" w:sz="4" w:space="0" w:color="auto"/>
            </w:tcBorders>
            <w:noWrap/>
          </w:tcPr>
          <w:p w14:paraId="3795263A" w14:textId="7FA5C924" w:rsidR="00687A78" w:rsidRPr="007C19A2" w:rsidRDefault="00687A78">
            <w:pPr>
              <w:keepNext/>
              <w:rPr>
                <w:bCs/>
                <w:color w:val="000000"/>
                <w:sz w:val="22"/>
                <w:szCs w:val="22"/>
                <w:lang w:val="sr-Latn-ME"/>
              </w:rPr>
            </w:pPr>
            <w:r w:rsidRPr="007C19A2">
              <w:rPr>
                <w:bCs/>
                <w:color w:val="000000"/>
                <w:sz w:val="22"/>
                <w:szCs w:val="22"/>
                <w:lang w:val="sr-Latn-ME"/>
              </w:rPr>
              <w:t>Povišena urea u krvi</w:t>
            </w:r>
          </w:p>
        </w:tc>
      </w:tr>
      <w:tr w:rsidR="00176F34" w:rsidRPr="007C19A2" w14:paraId="73A91AE7"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hideMark/>
          </w:tcPr>
          <w:p w14:paraId="2102814B"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7826E073"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067DA38D" w14:textId="4BEF84FA" w:rsidR="00176F34" w:rsidRPr="007C19A2" w:rsidRDefault="00176F34">
            <w:pPr>
              <w:keepNext/>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1CF810CC" w14:textId="4E65D143" w:rsidR="00176F34" w:rsidRPr="007C19A2" w:rsidRDefault="00176F34">
            <w:pPr>
              <w:keepNext/>
              <w:rPr>
                <w:color w:val="000000"/>
                <w:sz w:val="22"/>
                <w:szCs w:val="22"/>
                <w:lang w:val="sr-Latn-ME"/>
              </w:rPr>
            </w:pPr>
            <w:r w:rsidRPr="007C19A2">
              <w:rPr>
                <w:bCs/>
                <w:color w:val="000000"/>
                <w:sz w:val="22"/>
                <w:szCs w:val="22"/>
                <w:lang w:val="sr-Latn-ME"/>
              </w:rPr>
              <w:t xml:space="preserve">Depresija ST segmenta </w:t>
            </w:r>
            <w:r w:rsidR="00C30D32" w:rsidRPr="007C19A2">
              <w:rPr>
                <w:bCs/>
                <w:color w:val="000000"/>
                <w:sz w:val="22"/>
                <w:szCs w:val="22"/>
                <w:lang w:val="sr-Latn-ME"/>
              </w:rPr>
              <w:t>na</w:t>
            </w:r>
            <w:r w:rsidRPr="007C19A2">
              <w:rPr>
                <w:bCs/>
                <w:color w:val="000000"/>
                <w:sz w:val="22"/>
                <w:szCs w:val="22"/>
                <w:lang w:val="sr-Latn-ME"/>
              </w:rPr>
              <w:t xml:space="preserve"> elektrokardiogramu</w:t>
            </w:r>
          </w:p>
        </w:tc>
      </w:tr>
      <w:tr w:rsidR="00176F34" w:rsidRPr="007C19A2" w14:paraId="765BF781"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hideMark/>
          </w:tcPr>
          <w:p w14:paraId="397A03FC"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18F79BF6"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hideMark/>
          </w:tcPr>
          <w:p w14:paraId="6E26F5CB" w14:textId="3ECD5392" w:rsidR="00176F34" w:rsidRPr="007C19A2" w:rsidRDefault="00176F34">
            <w:pPr>
              <w:keepNext/>
              <w:rPr>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hideMark/>
          </w:tcPr>
          <w:p w14:paraId="67B06D3F" w14:textId="7B6BA125" w:rsidR="00176F34" w:rsidRPr="007C19A2" w:rsidRDefault="00176F34">
            <w:pPr>
              <w:keepNext/>
              <w:rPr>
                <w:color w:val="000000"/>
                <w:sz w:val="22"/>
                <w:szCs w:val="22"/>
                <w:lang w:val="sr-Latn-ME"/>
              </w:rPr>
            </w:pPr>
            <w:r w:rsidRPr="007C19A2">
              <w:rPr>
                <w:bCs/>
                <w:color w:val="000000"/>
                <w:sz w:val="22"/>
                <w:szCs w:val="22"/>
                <w:lang w:val="sr-Latn-ME"/>
              </w:rPr>
              <w:t xml:space="preserve">Nepravilan ST-T segment </w:t>
            </w:r>
            <w:r w:rsidR="00C30D32" w:rsidRPr="007C19A2">
              <w:rPr>
                <w:bCs/>
                <w:color w:val="000000"/>
                <w:sz w:val="22"/>
                <w:szCs w:val="22"/>
                <w:lang w:val="sr-Latn-ME"/>
              </w:rPr>
              <w:t>na</w:t>
            </w:r>
            <w:r w:rsidRPr="007C19A2">
              <w:rPr>
                <w:bCs/>
                <w:color w:val="000000"/>
                <w:sz w:val="22"/>
                <w:szCs w:val="22"/>
                <w:lang w:val="sr-Latn-ME"/>
              </w:rPr>
              <w:t xml:space="preserve"> elektrokardiogramu</w:t>
            </w:r>
          </w:p>
        </w:tc>
      </w:tr>
      <w:tr w:rsidR="00361676" w:rsidRPr="007C19A2" w14:paraId="42D3A0A9"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tcPr>
          <w:p w14:paraId="6397B821" w14:textId="77777777" w:rsidR="00361676" w:rsidRPr="007C19A2" w:rsidRDefault="00361676">
            <w:pPr>
              <w:rPr>
                <w:i/>
                <w:color w:val="000000"/>
                <w:sz w:val="22"/>
                <w:szCs w:val="22"/>
                <w:lang w:val="sr-Latn-ME"/>
              </w:rPr>
            </w:pPr>
          </w:p>
        </w:tc>
        <w:tc>
          <w:tcPr>
            <w:tcW w:w="1417" w:type="dxa"/>
            <w:tcBorders>
              <w:top w:val="single" w:sz="6" w:space="0" w:color="auto"/>
              <w:left w:val="single" w:sz="6" w:space="0" w:color="auto"/>
              <w:bottom w:val="single" w:sz="6" w:space="0" w:color="auto"/>
              <w:right w:val="single" w:sz="6" w:space="0" w:color="auto"/>
            </w:tcBorders>
          </w:tcPr>
          <w:p w14:paraId="4E7FC219" w14:textId="77777777" w:rsidR="00361676" w:rsidRPr="007C19A2" w:rsidRDefault="00361676">
            <w:pPr>
              <w:keepNext/>
              <w:ind w:left="593"/>
              <w:rPr>
                <w:b/>
                <w:color w:val="000000"/>
                <w:sz w:val="22"/>
                <w:szCs w:val="22"/>
                <w:lang w:val="sr-Latn-ME"/>
              </w:rPr>
            </w:pPr>
          </w:p>
        </w:tc>
        <w:tc>
          <w:tcPr>
            <w:tcW w:w="2268" w:type="dxa"/>
            <w:tcBorders>
              <w:top w:val="single" w:sz="6" w:space="0" w:color="auto"/>
              <w:left w:val="single" w:sz="6" w:space="0" w:color="auto"/>
              <w:bottom w:val="single" w:sz="6" w:space="0" w:color="auto"/>
              <w:right w:val="single" w:sz="6" w:space="0" w:color="auto"/>
            </w:tcBorders>
          </w:tcPr>
          <w:p w14:paraId="16461971" w14:textId="77777777" w:rsidR="00361676" w:rsidRPr="007C19A2" w:rsidRDefault="00361676">
            <w:pPr>
              <w:keepNext/>
              <w:rPr>
                <w:bCs/>
                <w:color w:val="000000"/>
                <w:sz w:val="22"/>
                <w:szCs w:val="22"/>
                <w:lang w:val="sr-Latn-ME"/>
              </w:rPr>
            </w:pPr>
          </w:p>
        </w:tc>
        <w:tc>
          <w:tcPr>
            <w:tcW w:w="3119" w:type="dxa"/>
            <w:tcBorders>
              <w:top w:val="single" w:sz="6" w:space="0" w:color="auto"/>
              <w:left w:val="single" w:sz="6" w:space="0" w:color="auto"/>
              <w:bottom w:val="single" w:sz="6" w:space="0" w:color="auto"/>
              <w:right w:val="single" w:sz="4" w:space="0" w:color="auto"/>
            </w:tcBorders>
            <w:noWrap/>
          </w:tcPr>
          <w:p w14:paraId="1A4ACE28" w14:textId="15AF9431" w:rsidR="00361676" w:rsidRPr="007C19A2" w:rsidRDefault="00361676">
            <w:pPr>
              <w:keepNext/>
              <w:rPr>
                <w:bCs/>
                <w:color w:val="000000"/>
                <w:sz w:val="22"/>
                <w:szCs w:val="22"/>
                <w:lang w:val="sr-Latn-ME"/>
              </w:rPr>
            </w:pPr>
            <w:r w:rsidRPr="007C19A2">
              <w:rPr>
                <w:bCs/>
                <w:color w:val="000000"/>
                <w:sz w:val="22"/>
                <w:szCs w:val="22"/>
                <w:lang w:val="sr-Latn-ME"/>
              </w:rPr>
              <w:t>Povećan nivo mioglobina u krvi</w:t>
            </w:r>
          </w:p>
        </w:tc>
      </w:tr>
      <w:tr w:rsidR="00361676" w:rsidRPr="007C19A2" w14:paraId="3FCA00BA"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tcPr>
          <w:p w14:paraId="6071F2EF" w14:textId="77777777" w:rsidR="00361676" w:rsidRPr="007C19A2" w:rsidRDefault="00361676">
            <w:pPr>
              <w:rPr>
                <w:i/>
                <w:color w:val="000000"/>
                <w:sz w:val="22"/>
                <w:szCs w:val="22"/>
                <w:lang w:val="sr-Latn-ME"/>
              </w:rPr>
            </w:pPr>
          </w:p>
        </w:tc>
        <w:tc>
          <w:tcPr>
            <w:tcW w:w="1417" w:type="dxa"/>
            <w:tcBorders>
              <w:top w:val="single" w:sz="6" w:space="0" w:color="auto"/>
              <w:left w:val="single" w:sz="6" w:space="0" w:color="auto"/>
              <w:bottom w:val="single" w:sz="4" w:space="0" w:color="auto"/>
              <w:right w:val="single" w:sz="6" w:space="0" w:color="auto"/>
            </w:tcBorders>
            <w:noWrap/>
          </w:tcPr>
          <w:p w14:paraId="0E819FAE" w14:textId="77777777" w:rsidR="00361676" w:rsidRPr="007C19A2" w:rsidRDefault="00361676">
            <w:pPr>
              <w:keepNext/>
              <w:ind w:left="593"/>
              <w:rPr>
                <w:b/>
                <w:color w:val="000000"/>
                <w:sz w:val="22"/>
                <w:szCs w:val="22"/>
                <w:lang w:val="sr-Latn-ME"/>
              </w:rPr>
            </w:pPr>
          </w:p>
        </w:tc>
        <w:tc>
          <w:tcPr>
            <w:tcW w:w="2268" w:type="dxa"/>
            <w:tcBorders>
              <w:top w:val="single" w:sz="6" w:space="0" w:color="auto"/>
              <w:left w:val="single" w:sz="6" w:space="0" w:color="auto"/>
              <w:bottom w:val="single" w:sz="4" w:space="0" w:color="auto"/>
              <w:right w:val="single" w:sz="6" w:space="0" w:color="auto"/>
            </w:tcBorders>
            <w:noWrap/>
          </w:tcPr>
          <w:p w14:paraId="1DD79C6C" w14:textId="77777777" w:rsidR="00361676" w:rsidRPr="007C19A2" w:rsidRDefault="00361676">
            <w:pPr>
              <w:keepNext/>
              <w:ind w:left="593"/>
              <w:rPr>
                <w:color w:val="000000"/>
                <w:sz w:val="22"/>
                <w:szCs w:val="22"/>
                <w:lang w:val="sr-Latn-ME"/>
              </w:rPr>
            </w:pPr>
          </w:p>
        </w:tc>
        <w:tc>
          <w:tcPr>
            <w:tcW w:w="3119" w:type="dxa"/>
            <w:tcBorders>
              <w:top w:val="single" w:sz="6" w:space="0" w:color="auto"/>
              <w:left w:val="single" w:sz="6" w:space="0" w:color="auto"/>
              <w:bottom w:val="single" w:sz="4" w:space="0" w:color="auto"/>
              <w:right w:val="single" w:sz="4" w:space="0" w:color="auto"/>
            </w:tcBorders>
            <w:noWrap/>
          </w:tcPr>
          <w:p w14:paraId="73989646" w14:textId="772A857A" w:rsidR="00361676" w:rsidRPr="007C19A2" w:rsidRDefault="00361676">
            <w:pPr>
              <w:keepNext/>
              <w:rPr>
                <w:bCs/>
                <w:color w:val="000000"/>
                <w:sz w:val="22"/>
                <w:szCs w:val="22"/>
                <w:lang w:val="sr-Latn-ME"/>
              </w:rPr>
            </w:pPr>
            <w:r w:rsidRPr="007C19A2">
              <w:rPr>
                <w:bCs/>
                <w:color w:val="000000"/>
                <w:sz w:val="22"/>
                <w:szCs w:val="22"/>
                <w:lang w:val="sr-Latn-ME"/>
              </w:rPr>
              <w:t>Povećan broj neutrofila</w:t>
            </w:r>
          </w:p>
        </w:tc>
      </w:tr>
      <w:tr w:rsidR="00176F34" w:rsidRPr="007C19A2" w14:paraId="1E23FFE9" w14:textId="77777777" w:rsidTr="002E137B">
        <w:trPr>
          <w:trHeight w:val="255"/>
        </w:trPr>
        <w:tc>
          <w:tcPr>
            <w:tcW w:w="2661" w:type="dxa"/>
            <w:vMerge/>
            <w:tcBorders>
              <w:top w:val="single" w:sz="6" w:space="0" w:color="auto"/>
              <w:left w:val="single" w:sz="4" w:space="0" w:color="auto"/>
              <w:bottom w:val="single" w:sz="4" w:space="0" w:color="auto"/>
              <w:right w:val="single" w:sz="6" w:space="0" w:color="auto"/>
            </w:tcBorders>
            <w:vAlign w:val="center"/>
            <w:hideMark/>
          </w:tcPr>
          <w:p w14:paraId="4133061A" w14:textId="77777777" w:rsidR="00176F34" w:rsidRPr="007C19A2" w:rsidRDefault="00176F34">
            <w:pPr>
              <w:rPr>
                <w:i/>
                <w:color w:val="000000"/>
                <w:sz w:val="22"/>
                <w:szCs w:val="22"/>
                <w:lang w:val="sr-Latn-ME"/>
              </w:rPr>
            </w:pPr>
          </w:p>
        </w:tc>
        <w:tc>
          <w:tcPr>
            <w:tcW w:w="1417" w:type="dxa"/>
            <w:tcBorders>
              <w:top w:val="single" w:sz="6" w:space="0" w:color="auto"/>
              <w:left w:val="single" w:sz="6" w:space="0" w:color="auto"/>
              <w:bottom w:val="single" w:sz="4" w:space="0" w:color="auto"/>
              <w:right w:val="single" w:sz="6" w:space="0" w:color="auto"/>
            </w:tcBorders>
            <w:noWrap/>
          </w:tcPr>
          <w:p w14:paraId="5D7DDF32" w14:textId="77777777" w:rsidR="00176F34" w:rsidRPr="007C19A2" w:rsidRDefault="00176F34">
            <w:pPr>
              <w:keepNext/>
              <w:ind w:left="593"/>
              <w:rPr>
                <w:b/>
                <w:color w:val="000000"/>
                <w:sz w:val="22"/>
                <w:szCs w:val="22"/>
                <w:lang w:val="sr-Latn-ME"/>
              </w:rPr>
            </w:pPr>
          </w:p>
        </w:tc>
        <w:tc>
          <w:tcPr>
            <w:tcW w:w="2268" w:type="dxa"/>
            <w:tcBorders>
              <w:top w:val="single" w:sz="6" w:space="0" w:color="auto"/>
              <w:left w:val="single" w:sz="6" w:space="0" w:color="auto"/>
              <w:bottom w:val="single" w:sz="4" w:space="0" w:color="auto"/>
              <w:right w:val="single" w:sz="6" w:space="0" w:color="auto"/>
            </w:tcBorders>
            <w:noWrap/>
          </w:tcPr>
          <w:p w14:paraId="40E87381" w14:textId="77777777" w:rsidR="00176F34" w:rsidRPr="007C19A2" w:rsidRDefault="00176F34">
            <w:pPr>
              <w:keepNext/>
              <w:ind w:left="593"/>
              <w:rPr>
                <w:color w:val="000000"/>
                <w:sz w:val="22"/>
                <w:szCs w:val="22"/>
                <w:lang w:val="sr-Latn-ME"/>
              </w:rPr>
            </w:pPr>
          </w:p>
        </w:tc>
        <w:tc>
          <w:tcPr>
            <w:tcW w:w="3119" w:type="dxa"/>
            <w:tcBorders>
              <w:top w:val="single" w:sz="6" w:space="0" w:color="auto"/>
              <w:left w:val="single" w:sz="6" w:space="0" w:color="auto"/>
              <w:bottom w:val="single" w:sz="4" w:space="0" w:color="auto"/>
              <w:right w:val="single" w:sz="4" w:space="0" w:color="auto"/>
            </w:tcBorders>
            <w:noWrap/>
            <w:hideMark/>
          </w:tcPr>
          <w:p w14:paraId="30A3FCBF" w14:textId="77777777" w:rsidR="00176F34" w:rsidRPr="007C19A2" w:rsidRDefault="00176F34">
            <w:pPr>
              <w:keepNext/>
              <w:rPr>
                <w:color w:val="000000"/>
                <w:sz w:val="22"/>
                <w:szCs w:val="22"/>
                <w:lang w:val="sr-Latn-ME"/>
              </w:rPr>
            </w:pPr>
            <w:r w:rsidRPr="007C19A2">
              <w:rPr>
                <w:bCs/>
                <w:color w:val="000000"/>
                <w:sz w:val="22"/>
                <w:szCs w:val="22"/>
                <w:lang w:val="sr-Latn-ME"/>
              </w:rPr>
              <w:t>Povišen troponin</w:t>
            </w:r>
          </w:p>
        </w:tc>
      </w:tr>
    </w:tbl>
    <w:p w14:paraId="661D3CEC" w14:textId="579D58B7" w:rsidR="00176F34" w:rsidRPr="007C19A2" w:rsidRDefault="00C93B89" w:rsidP="00176F34">
      <w:pPr>
        <w:autoSpaceDE w:val="0"/>
        <w:autoSpaceDN w:val="0"/>
        <w:adjustRightInd w:val="0"/>
        <w:rPr>
          <w:sz w:val="22"/>
          <w:szCs w:val="22"/>
          <w:lang w:val="sr-Latn-ME"/>
        </w:rPr>
      </w:pPr>
      <w:r w:rsidRPr="007C19A2">
        <w:rPr>
          <w:sz w:val="22"/>
          <w:szCs w:val="22"/>
          <w:lang w:val="sr-Latn-ME"/>
        </w:rPr>
        <w:t>Post-marketinški podaci ukazuju da je profil neželjenih reakcija generalno sličan onome zabilježenom u kliničkim ispitivanjima.</w:t>
      </w:r>
    </w:p>
    <w:p w14:paraId="46246605" w14:textId="77777777" w:rsidR="00C93B89" w:rsidRPr="007C19A2" w:rsidRDefault="00C93B89" w:rsidP="00176F34">
      <w:pPr>
        <w:autoSpaceDE w:val="0"/>
        <w:autoSpaceDN w:val="0"/>
        <w:adjustRightInd w:val="0"/>
        <w:rPr>
          <w:sz w:val="22"/>
          <w:szCs w:val="22"/>
          <w:u w:val="single"/>
          <w:lang w:val="sr-Latn-ME"/>
        </w:rPr>
      </w:pPr>
    </w:p>
    <w:p w14:paraId="0AB71B2E" w14:textId="77777777" w:rsidR="00176F34" w:rsidRPr="007C19A2" w:rsidRDefault="00176F34" w:rsidP="00176F34">
      <w:pPr>
        <w:autoSpaceDE w:val="0"/>
        <w:autoSpaceDN w:val="0"/>
        <w:adjustRightInd w:val="0"/>
        <w:rPr>
          <w:sz w:val="22"/>
          <w:szCs w:val="22"/>
          <w:u w:val="single"/>
          <w:lang w:val="sr-Latn-ME"/>
        </w:rPr>
      </w:pPr>
      <w:r w:rsidRPr="007C19A2">
        <w:rPr>
          <w:sz w:val="22"/>
          <w:szCs w:val="22"/>
          <w:u w:val="single"/>
          <w:lang w:val="sr-Latn-ME"/>
        </w:rPr>
        <w:lastRenderedPageBreak/>
        <w:t>Opis odabranih neželjenih reakcija</w:t>
      </w:r>
    </w:p>
    <w:p w14:paraId="2D9A6757" w14:textId="77777777" w:rsidR="00176F34" w:rsidRPr="007C19A2" w:rsidRDefault="00176F34" w:rsidP="00176F34">
      <w:pPr>
        <w:autoSpaceDE w:val="0"/>
        <w:autoSpaceDN w:val="0"/>
        <w:adjustRightInd w:val="0"/>
        <w:rPr>
          <w:sz w:val="22"/>
          <w:szCs w:val="22"/>
          <w:lang w:val="sr-Latn-ME"/>
        </w:rPr>
      </w:pPr>
    </w:p>
    <w:p w14:paraId="633210C9" w14:textId="77777777" w:rsidR="009C62BD" w:rsidRPr="007C19A2" w:rsidRDefault="009C62BD" w:rsidP="009C62BD">
      <w:pPr>
        <w:rPr>
          <w:i/>
          <w:noProof/>
          <w:sz w:val="22"/>
          <w:szCs w:val="22"/>
          <w:lang w:val="sr-Latn-ME"/>
        </w:rPr>
      </w:pPr>
      <w:r w:rsidRPr="007C19A2">
        <w:rPr>
          <w:i/>
          <w:noProof/>
          <w:sz w:val="22"/>
          <w:szCs w:val="22"/>
          <w:lang w:val="sr-Latn-ME"/>
        </w:rPr>
        <w:t>Netupitant:</w:t>
      </w:r>
    </w:p>
    <w:p w14:paraId="12BB6378" w14:textId="4085A9BC" w:rsidR="009C62BD" w:rsidRPr="007C19A2" w:rsidRDefault="00176F34" w:rsidP="00176F34">
      <w:pPr>
        <w:autoSpaceDE w:val="0"/>
        <w:autoSpaceDN w:val="0"/>
        <w:adjustRightInd w:val="0"/>
        <w:jc w:val="both"/>
        <w:rPr>
          <w:sz w:val="22"/>
          <w:szCs w:val="22"/>
          <w:lang w:val="sr-Latn-ME"/>
        </w:rPr>
      </w:pPr>
      <w:r w:rsidRPr="007C19A2">
        <w:rPr>
          <w:sz w:val="22"/>
          <w:szCs w:val="22"/>
          <w:lang w:val="sr-Latn-ME"/>
        </w:rPr>
        <w:t>Nema čestih neželjenih reakcija koje se mogu pripisati netupitantu, novom sastojku fiksne kombinacije</w:t>
      </w:r>
      <w:r w:rsidR="00944F14" w:rsidRPr="007C19A2">
        <w:rPr>
          <w:sz w:val="22"/>
          <w:szCs w:val="22"/>
          <w:lang w:val="sr-Latn-ME"/>
        </w:rPr>
        <w:t>.</w:t>
      </w:r>
    </w:p>
    <w:p w14:paraId="61BCBFCD" w14:textId="77777777" w:rsidR="0080009E" w:rsidRPr="007C19A2" w:rsidRDefault="0080009E" w:rsidP="0080009E">
      <w:pPr>
        <w:autoSpaceDE w:val="0"/>
        <w:autoSpaceDN w:val="0"/>
        <w:adjustRightInd w:val="0"/>
        <w:jc w:val="both"/>
        <w:rPr>
          <w:i/>
          <w:iCs/>
          <w:sz w:val="22"/>
          <w:szCs w:val="22"/>
          <w:lang w:val="sr-Latn-ME"/>
        </w:rPr>
      </w:pPr>
      <w:r w:rsidRPr="007C19A2">
        <w:rPr>
          <w:i/>
          <w:iCs/>
          <w:sz w:val="22"/>
          <w:szCs w:val="22"/>
          <w:lang w:val="sr-Latn-ME"/>
        </w:rPr>
        <w:t>Palonosetron:</w:t>
      </w:r>
    </w:p>
    <w:p w14:paraId="6F273E09" w14:textId="10B5C1AC" w:rsidR="009C62BD" w:rsidRPr="007C19A2" w:rsidRDefault="0080009E" w:rsidP="0080009E">
      <w:pPr>
        <w:autoSpaceDE w:val="0"/>
        <w:autoSpaceDN w:val="0"/>
        <w:adjustRightInd w:val="0"/>
        <w:jc w:val="both"/>
        <w:rPr>
          <w:sz w:val="22"/>
          <w:szCs w:val="22"/>
          <w:lang w:val="sr-Latn-ME"/>
        </w:rPr>
      </w:pPr>
      <w:r w:rsidRPr="007C19A2">
        <w:rPr>
          <w:sz w:val="22"/>
          <w:szCs w:val="22"/>
          <w:lang w:val="sr-Latn-ME"/>
        </w:rPr>
        <w:t>Zab</w:t>
      </w:r>
      <w:r w:rsidR="00944F14" w:rsidRPr="007C19A2">
        <w:rPr>
          <w:sz w:val="22"/>
          <w:szCs w:val="22"/>
          <w:lang w:val="sr-Latn-ME"/>
        </w:rPr>
        <w:t>i</w:t>
      </w:r>
      <w:r w:rsidRPr="007C19A2">
        <w:rPr>
          <w:sz w:val="22"/>
          <w:szCs w:val="22"/>
          <w:lang w:val="sr-Latn-ME"/>
        </w:rPr>
        <w:t>l</w:t>
      </w:r>
      <w:r w:rsidR="00944F14" w:rsidRPr="007C19A2">
        <w:rPr>
          <w:sz w:val="22"/>
          <w:szCs w:val="22"/>
          <w:lang w:val="sr-Latn-ME"/>
        </w:rPr>
        <w:t>j</w:t>
      </w:r>
      <w:r w:rsidRPr="007C19A2">
        <w:rPr>
          <w:sz w:val="22"/>
          <w:szCs w:val="22"/>
          <w:lang w:val="sr-Latn-ME"/>
        </w:rPr>
        <w:t>eženi su slučajevi konstipacije sa fekalnom intestinalnom komplikacijom koja zaht</w:t>
      </w:r>
      <w:r w:rsidR="00944F14" w:rsidRPr="007C19A2">
        <w:rPr>
          <w:sz w:val="22"/>
          <w:szCs w:val="22"/>
          <w:lang w:val="sr-Latn-ME"/>
        </w:rPr>
        <w:t>j</w:t>
      </w:r>
      <w:r w:rsidRPr="007C19A2">
        <w:rPr>
          <w:sz w:val="22"/>
          <w:szCs w:val="22"/>
          <w:lang w:val="sr-Latn-ME"/>
        </w:rPr>
        <w:t>eva hospitalizaciju u vezi sa prim</w:t>
      </w:r>
      <w:r w:rsidR="00944F14" w:rsidRPr="007C19A2">
        <w:rPr>
          <w:sz w:val="22"/>
          <w:szCs w:val="22"/>
          <w:lang w:val="sr-Latn-ME"/>
        </w:rPr>
        <w:t>j</w:t>
      </w:r>
      <w:r w:rsidRPr="007C19A2">
        <w:rPr>
          <w:sz w:val="22"/>
          <w:szCs w:val="22"/>
          <w:lang w:val="sr-Latn-ME"/>
        </w:rPr>
        <w:t>enom palonosetrona u dozi od 0,75 mg.</w:t>
      </w:r>
    </w:p>
    <w:p w14:paraId="27D3A772" w14:textId="77777777" w:rsidR="00C30D32" w:rsidRPr="007C19A2" w:rsidRDefault="00C30D32" w:rsidP="0080009E">
      <w:pPr>
        <w:autoSpaceDE w:val="0"/>
        <w:autoSpaceDN w:val="0"/>
        <w:adjustRightInd w:val="0"/>
        <w:jc w:val="both"/>
        <w:rPr>
          <w:sz w:val="22"/>
          <w:szCs w:val="22"/>
          <w:lang w:val="sr-Latn-ME"/>
        </w:rPr>
      </w:pPr>
    </w:p>
    <w:p w14:paraId="177B2DDA" w14:textId="08D3CCF1" w:rsidR="00176F34" w:rsidRPr="007C19A2" w:rsidRDefault="00176F34" w:rsidP="00176F34">
      <w:pPr>
        <w:autoSpaceDE w:val="0"/>
        <w:autoSpaceDN w:val="0"/>
        <w:adjustRightInd w:val="0"/>
        <w:jc w:val="both"/>
        <w:rPr>
          <w:sz w:val="22"/>
          <w:szCs w:val="22"/>
          <w:lang w:val="sr-Latn-ME"/>
        </w:rPr>
      </w:pPr>
      <w:r w:rsidRPr="007C19A2">
        <w:rPr>
          <w:sz w:val="22"/>
          <w:szCs w:val="22"/>
          <w:lang w:val="sr-Latn-ME"/>
        </w:rPr>
        <w:t>Osim toga, oticanje očiju, dispneja i mijalgija zabilježene su kao neželjene reakcije oralno</w:t>
      </w:r>
      <w:r w:rsidR="00944F14" w:rsidRPr="007C19A2">
        <w:rPr>
          <w:sz w:val="22"/>
          <w:szCs w:val="22"/>
          <w:lang w:val="sr-Latn-ME"/>
        </w:rPr>
        <w:t xml:space="preserve"> datog</w:t>
      </w:r>
      <w:r w:rsidRPr="007C19A2">
        <w:rPr>
          <w:sz w:val="22"/>
          <w:szCs w:val="22"/>
          <w:lang w:val="sr-Latn-ME"/>
        </w:rPr>
        <w:t xml:space="preserve"> palonosetrona, ali ni</w:t>
      </w:r>
      <w:r w:rsidR="00C30D32" w:rsidRPr="007C19A2">
        <w:rPr>
          <w:sz w:val="22"/>
          <w:szCs w:val="22"/>
          <w:lang w:val="sr-Latn-ME"/>
        </w:rPr>
        <w:t>je</w:t>
      </w:r>
      <w:r w:rsidRPr="007C19A2">
        <w:rPr>
          <w:sz w:val="22"/>
          <w:szCs w:val="22"/>
          <w:lang w:val="sr-Latn-ME"/>
        </w:rPr>
        <w:t>su primijećene tokom razvoja lijeka Akynzeo. Sve ove reakcije bile su povremene.</w:t>
      </w:r>
    </w:p>
    <w:p w14:paraId="6B9AD557" w14:textId="77777777" w:rsidR="00176F34" w:rsidRPr="007C19A2" w:rsidRDefault="00176F34" w:rsidP="00176F34">
      <w:pPr>
        <w:tabs>
          <w:tab w:val="left" w:pos="2805"/>
        </w:tabs>
        <w:autoSpaceDE w:val="0"/>
        <w:autoSpaceDN w:val="0"/>
        <w:adjustRightInd w:val="0"/>
        <w:jc w:val="both"/>
        <w:rPr>
          <w:sz w:val="22"/>
          <w:szCs w:val="22"/>
          <w:lang w:val="sr-Latn-ME"/>
        </w:rPr>
      </w:pPr>
      <w:r w:rsidRPr="007C19A2">
        <w:rPr>
          <w:sz w:val="22"/>
          <w:szCs w:val="22"/>
          <w:lang w:val="sr-Latn-ME"/>
        </w:rPr>
        <w:tab/>
      </w:r>
    </w:p>
    <w:p w14:paraId="2DF75FF2" w14:textId="3A212996" w:rsidR="00176F34" w:rsidRPr="007C19A2" w:rsidRDefault="00176F34" w:rsidP="00176F34">
      <w:pPr>
        <w:autoSpaceDE w:val="0"/>
        <w:autoSpaceDN w:val="0"/>
        <w:adjustRightInd w:val="0"/>
        <w:jc w:val="both"/>
        <w:rPr>
          <w:sz w:val="22"/>
          <w:szCs w:val="22"/>
          <w:lang w:val="sr-Latn-ME"/>
        </w:rPr>
      </w:pPr>
      <w:r w:rsidRPr="007C19A2">
        <w:rPr>
          <w:sz w:val="22"/>
          <w:szCs w:val="22"/>
          <w:lang w:val="sr-Latn-ME"/>
        </w:rPr>
        <w:t>Veoma rijetki slučajevi anafilaksije, anafilaktičkih/anafilaktoidnih reakcija i šoka zabilježeni su tokom upotrebe intravenskog palonosetrona nakon stavljanja lijeka u promet.</w:t>
      </w:r>
      <w:r w:rsidR="004955FE" w:rsidRPr="007C19A2">
        <w:rPr>
          <w:sz w:val="22"/>
          <w:szCs w:val="22"/>
          <w:lang w:val="sr-Latn-ME"/>
        </w:rPr>
        <w:t xml:space="preserve"> Znaci mogu uključivati koprivnjaču, svrab, angioedem, nizak krvni pritisak, stezanje u grlu, stezanje u grudima, dispneju, gubitak sv</w:t>
      </w:r>
      <w:r w:rsidR="009B738D" w:rsidRPr="007C19A2">
        <w:rPr>
          <w:sz w:val="22"/>
          <w:szCs w:val="22"/>
          <w:lang w:val="sr-Latn-ME"/>
        </w:rPr>
        <w:t>ij</w:t>
      </w:r>
      <w:r w:rsidR="004955FE" w:rsidRPr="007C19A2">
        <w:rPr>
          <w:sz w:val="22"/>
          <w:szCs w:val="22"/>
          <w:lang w:val="sr-Latn-ME"/>
        </w:rPr>
        <w:t>esti.</w:t>
      </w:r>
    </w:p>
    <w:p w14:paraId="31BB3E5C" w14:textId="25425EFC" w:rsidR="00176F34" w:rsidRPr="007C19A2" w:rsidRDefault="00176F34" w:rsidP="00176F34">
      <w:pPr>
        <w:rPr>
          <w:rFonts w:eastAsia="Calibri"/>
          <w:sz w:val="22"/>
          <w:szCs w:val="22"/>
          <w:u w:val="single"/>
          <w:lang w:val="sr-Latn-ME"/>
        </w:rPr>
      </w:pPr>
    </w:p>
    <w:p w14:paraId="7B5A0FCE" w14:textId="10C94BDF" w:rsidR="00D71509" w:rsidRPr="007C19A2" w:rsidRDefault="00D71509" w:rsidP="00D71509">
      <w:pPr>
        <w:rPr>
          <w:rFonts w:eastAsia="Calibri"/>
          <w:sz w:val="22"/>
          <w:szCs w:val="22"/>
          <w:lang w:val="sr-Latn-ME"/>
        </w:rPr>
      </w:pPr>
      <w:r w:rsidRPr="007C19A2">
        <w:rPr>
          <w:rFonts w:eastAsia="Calibri"/>
          <w:sz w:val="22"/>
          <w:szCs w:val="22"/>
          <w:lang w:val="sr-Latn-ME"/>
        </w:rPr>
        <w:t>Takođe su zab</w:t>
      </w:r>
      <w:r w:rsidR="009B738D" w:rsidRPr="007C19A2">
        <w:rPr>
          <w:rFonts w:eastAsia="Calibri"/>
          <w:sz w:val="22"/>
          <w:szCs w:val="22"/>
          <w:lang w:val="sr-Latn-ME"/>
        </w:rPr>
        <w:t>i</w:t>
      </w:r>
      <w:r w:rsidRPr="007C19A2">
        <w:rPr>
          <w:rFonts w:eastAsia="Calibri"/>
          <w:sz w:val="22"/>
          <w:szCs w:val="22"/>
          <w:lang w:val="sr-Latn-ME"/>
        </w:rPr>
        <w:t>l</w:t>
      </w:r>
      <w:r w:rsidR="009B738D" w:rsidRPr="007C19A2">
        <w:rPr>
          <w:rFonts w:eastAsia="Calibri"/>
          <w:sz w:val="22"/>
          <w:szCs w:val="22"/>
          <w:lang w:val="sr-Latn-ME"/>
        </w:rPr>
        <w:t>j</w:t>
      </w:r>
      <w:r w:rsidRPr="007C19A2">
        <w:rPr>
          <w:rFonts w:eastAsia="Calibri"/>
          <w:sz w:val="22"/>
          <w:szCs w:val="22"/>
          <w:lang w:val="sr-Latn-ME"/>
        </w:rPr>
        <w:t>eženi slučajevi serotoninskog sindroma. Znaci mogu uključivati tremor, uznemirenost, znojenje, mioklonične pokrete, hipertoniju i groznicu.</w:t>
      </w:r>
    </w:p>
    <w:p w14:paraId="491D46B9" w14:textId="77777777" w:rsidR="00D71509" w:rsidRPr="007C19A2" w:rsidRDefault="00D71509" w:rsidP="00D71509">
      <w:pPr>
        <w:rPr>
          <w:rFonts w:eastAsia="Calibri"/>
          <w:sz w:val="22"/>
          <w:szCs w:val="22"/>
          <w:u w:val="single"/>
          <w:lang w:val="sr-Latn-ME"/>
        </w:rPr>
      </w:pPr>
    </w:p>
    <w:p w14:paraId="032F0ED6" w14:textId="77777777" w:rsidR="00D71509" w:rsidRPr="007C19A2" w:rsidRDefault="00D71509" w:rsidP="00D71509">
      <w:pPr>
        <w:rPr>
          <w:rFonts w:eastAsia="Calibri"/>
          <w:i/>
          <w:iCs/>
          <w:sz w:val="22"/>
          <w:szCs w:val="22"/>
          <w:u w:val="single"/>
          <w:lang w:val="sr-Latn-ME"/>
        </w:rPr>
      </w:pPr>
      <w:r w:rsidRPr="007C19A2">
        <w:rPr>
          <w:rFonts w:eastAsia="Calibri"/>
          <w:i/>
          <w:iCs/>
          <w:sz w:val="22"/>
          <w:szCs w:val="22"/>
          <w:u w:val="single"/>
          <w:lang w:val="sr-Latn-ME"/>
        </w:rPr>
        <w:t>Kombinacija netupitant/palonosetron u obliku kapsule</w:t>
      </w:r>
    </w:p>
    <w:p w14:paraId="3F58E33C" w14:textId="41BD118B" w:rsidR="00D71509" w:rsidRPr="007C19A2" w:rsidRDefault="00D71509" w:rsidP="000D4428">
      <w:pPr>
        <w:jc w:val="both"/>
        <w:rPr>
          <w:rFonts w:eastAsia="Calibri"/>
          <w:sz w:val="22"/>
          <w:szCs w:val="22"/>
          <w:lang w:val="sr-Latn-ME"/>
        </w:rPr>
      </w:pPr>
      <w:r w:rsidRPr="007C19A2">
        <w:rPr>
          <w:rFonts w:eastAsia="Calibri"/>
          <w:sz w:val="22"/>
          <w:szCs w:val="22"/>
          <w:lang w:val="sr-Latn-ME"/>
        </w:rPr>
        <w:t xml:space="preserve">Ovaj </w:t>
      </w:r>
      <w:r w:rsidR="0007292A" w:rsidRPr="007C19A2">
        <w:rPr>
          <w:rFonts w:eastAsia="Calibri"/>
          <w:sz w:val="22"/>
          <w:szCs w:val="22"/>
          <w:lang w:val="sr-Latn-ME"/>
        </w:rPr>
        <w:t>lijek</w:t>
      </w:r>
      <w:r w:rsidRPr="007C19A2">
        <w:rPr>
          <w:rFonts w:eastAsia="Calibri"/>
          <w:sz w:val="22"/>
          <w:szCs w:val="22"/>
          <w:lang w:val="sr-Latn-ME"/>
        </w:rPr>
        <w:t xml:space="preserve"> može sadržati trag lecitina dobijenog iz soje. Zbog toga, pacijente sa poznatom preos</w:t>
      </w:r>
      <w:r w:rsidR="009B738D" w:rsidRPr="007C19A2">
        <w:rPr>
          <w:rFonts w:eastAsia="Calibri"/>
          <w:sz w:val="22"/>
          <w:szCs w:val="22"/>
          <w:lang w:val="sr-Latn-ME"/>
        </w:rPr>
        <w:t>j</w:t>
      </w:r>
      <w:r w:rsidRPr="007C19A2">
        <w:rPr>
          <w:rFonts w:eastAsia="Calibri"/>
          <w:sz w:val="22"/>
          <w:szCs w:val="22"/>
          <w:lang w:val="sr-Latn-ME"/>
        </w:rPr>
        <w:t>etljivošću na kikiriki ili soju treba pažljivo nadgledati u pogledu znakova alergijske reakcije. Znaci mogu uključivati koprivnjaču, osip na koži, svrab, otežano disanje ili gutanje, otečena usta, lice, usne, jezik ili grlo i ponekad pad krvnog pritiska</w:t>
      </w:r>
      <w:r w:rsidR="0007292A" w:rsidRPr="007C19A2">
        <w:rPr>
          <w:rFonts w:eastAsia="Calibri"/>
          <w:sz w:val="22"/>
          <w:szCs w:val="22"/>
          <w:lang w:val="sr-Latn-ME"/>
        </w:rPr>
        <w:t>.</w:t>
      </w:r>
    </w:p>
    <w:p w14:paraId="7E42AB2E" w14:textId="77777777" w:rsidR="00D71509" w:rsidRPr="007C19A2" w:rsidRDefault="00D71509" w:rsidP="00176F34">
      <w:pPr>
        <w:rPr>
          <w:rFonts w:eastAsia="Calibri"/>
          <w:sz w:val="22"/>
          <w:szCs w:val="22"/>
          <w:u w:val="single"/>
          <w:lang w:val="sr-Latn-ME"/>
        </w:rPr>
      </w:pPr>
    </w:p>
    <w:p w14:paraId="02F7866D" w14:textId="77777777" w:rsidR="004D30B0" w:rsidRPr="007C19A2" w:rsidRDefault="004D30B0" w:rsidP="004D30B0">
      <w:pPr>
        <w:spacing w:after="200" w:line="276" w:lineRule="auto"/>
        <w:rPr>
          <w:rFonts w:eastAsia="Calibri"/>
          <w:sz w:val="22"/>
          <w:szCs w:val="22"/>
          <w:u w:val="single"/>
          <w:lang w:val="sr-Latn-ME"/>
        </w:rPr>
      </w:pPr>
      <w:r w:rsidRPr="007C19A2">
        <w:rPr>
          <w:rFonts w:eastAsia="Calibri"/>
          <w:sz w:val="22"/>
          <w:szCs w:val="22"/>
          <w:u w:val="single"/>
          <w:lang w:val="sr-Latn-ME"/>
        </w:rPr>
        <w:t>Prijavljivanje sumnji na neželjena dejstva</w:t>
      </w:r>
    </w:p>
    <w:p w14:paraId="6CECB75F" w14:textId="77777777" w:rsidR="004D30B0" w:rsidRPr="007C19A2" w:rsidRDefault="004D30B0" w:rsidP="004D30B0">
      <w:pPr>
        <w:spacing w:after="200"/>
        <w:jc w:val="both"/>
        <w:rPr>
          <w:rFonts w:eastAsia="Calibri"/>
          <w:sz w:val="22"/>
          <w:szCs w:val="22"/>
          <w:lang w:val="sr-Latn-ME"/>
        </w:rPr>
      </w:pPr>
      <w:r w:rsidRPr="007C19A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043A50F"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 xml:space="preserve">Institut za ljekove i medicinska sredstva </w:t>
      </w:r>
    </w:p>
    <w:p w14:paraId="4E20106F"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Odjeljenje za farmakovigilancu</w:t>
      </w:r>
    </w:p>
    <w:p w14:paraId="3F233FF3"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Bulevar Ivana Crnojevića 64a, 81000 Podgorica</w:t>
      </w:r>
    </w:p>
    <w:p w14:paraId="46592E02" w14:textId="77777777" w:rsidR="004D30B0" w:rsidRPr="007C19A2" w:rsidRDefault="004D30B0" w:rsidP="004D30B0">
      <w:pPr>
        <w:pStyle w:val="NoSpacing"/>
        <w:rPr>
          <w:rFonts w:eastAsia="Calibri"/>
          <w:sz w:val="22"/>
          <w:szCs w:val="22"/>
          <w:lang w:val="sr-Latn-ME"/>
        </w:rPr>
      </w:pPr>
    </w:p>
    <w:p w14:paraId="6646EFAC"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tel: +382 (0) 20 310 280</w:t>
      </w:r>
    </w:p>
    <w:p w14:paraId="4A65775F" w14:textId="77777777" w:rsidR="004D30B0" w:rsidRPr="007C19A2" w:rsidRDefault="004D30B0" w:rsidP="004D30B0">
      <w:pPr>
        <w:pStyle w:val="NoSpacing"/>
        <w:tabs>
          <w:tab w:val="left" w:pos="6720"/>
        </w:tabs>
        <w:jc w:val="both"/>
        <w:rPr>
          <w:rFonts w:eastAsia="Calibri"/>
          <w:sz w:val="22"/>
          <w:szCs w:val="22"/>
          <w:lang w:val="sr-Latn-ME"/>
        </w:rPr>
      </w:pPr>
      <w:r w:rsidRPr="007C19A2">
        <w:rPr>
          <w:rFonts w:eastAsia="Calibri"/>
          <w:sz w:val="22"/>
          <w:szCs w:val="22"/>
          <w:lang w:val="sr-Latn-ME"/>
        </w:rPr>
        <w:t>fax: +382 (0) 20 310 581</w:t>
      </w:r>
      <w:r w:rsidRPr="007C19A2">
        <w:rPr>
          <w:rFonts w:eastAsia="Calibri"/>
          <w:sz w:val="22"/>
          <w:szCs w:val="22"/>
          <w:lang w:val="sr-Latn-ME"/>
        </w:rPr>
        <w:tab/>
      </w:r>
    </w:p>
    <w:p w14:paraId="31A141D7" w14:textId="77777777" w:rsidR="004D30B0" w:rsidRPr="007C19A2" w:rsidRDefault="003432DA" w:rsidP="004D30B0">
      <w:pPr>
        <w:pStyle w:val="NoSpacing"/>
        <w:jc w:val="both"/>
        <w:rPr>
          <w:rFonts w:eastAsia="Calibri"/>
          <w:sz w:val="22"/>
          <w:szCs w:val="22"/>
          <w:lang w:val="sr-Latn-ME"/>
        </w:rPr>
      </w:pPr>
      <w:hyperlink r:id="rId8" w:history="1">
        <w:r w:rsidR="004D30B0" w:rsidRPr="007C19A2">
          <w:rPr>
            <w:rStyle w:val="Hyperlink"/>
            <w:rFonts w:eastAsia="Calibri"/>
            <w:sz w:val="22"/>
            <w:szCs w:val="22"/>
            <w:lang w:val="sr-Latn-ME"/>
          </w:rPr>
          <w:t>www.cinmed.me</w:t>
        </w:r>
      </w:hyperlink>
    </w:p>
    <w:p w14:paraId="1267B624" w14:textId="77777777" w:rsidR="004D30B0" w:rsidRPr="007C19A2" w:rsidRDefault="003432DA" w:rsidP="004D30B0">
      <w:pPr>
        <w:pStyle w:val="NoSpacing"/>
        <w:jc w:val="both"/>
        <w:rPr>
          <w:rFonts w:eastAsia="Calibri"/>
          <w:color w:val="0000FF"/>
          <w:sz w:val="22"/>
          <w:szCs w:val="22"/>
          <w:u w:val="single"/>
          <w:lang w:val="sr-Latn-ME"/>
        </w:rPr>
      </w:pPr>
      <w:hyperlink r:id="rId9" w:history="1">
        <w:r w:rsidR="004D30B0" w:rsidRPr="007C19A2">
          <w:rPr>
            <w:rStyle w:val="Hyperlink"/>
            <w:rFonts w:eastAsia="Calibri"/>
            <w:sz w:val="22"/>
            <w:szCs w:val="22"/>
            <w:lang w:val="sr-Latn-ME"/>
          </w:rPr>
          <w:t>nezeljenadejstva@cinmed.me</w:t>
        </w:r>
      </w:hyperlink>
    </w:p>
    <w:p w14:paraId="2FC33F2C"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putem IS zdravstvene zaštite</w:t>
      </w:r>
    </w:p>
    <w:p w14:paraId="705B4862" w14:textId="77777777" w:rsidR="004D30B0" w:rsidRPr="007C19A2" w:rsidRDefault="004D30B0" w:rsidP="004D30B0">
      <w:pPr>
        <w:pStyle w:val="NoSpacing"/>
        <w:jc w:val="both"/>
        <w:rPr>
          <w:rFonts w:eastAsia="Calibri"/>
          <w:sz w:val="22"/>
          <w:szCs w:val="22"/>
          <w:lang w:val="sr-Latn-ME"/>
        </w:rPr>
      </w:pPr>
      <w:r w:rsidRPr="007C19A2">
        <w:rPr>
          <w:rFonts w:eastAsia="Calibri"/>
          <w:sz w:val="22"/>
          <w:szCs w:val="22"/>
          <w:lang w:val="sr-Latn-ME"/>
        </w:rPr>
        <w:t>QR kod za online prijavu sumnje na neželjeno dejstvo lijeka:</w:t>
      </w:r>
    </w:p>
    <w:p w14:paraId="78F4C9CA" w14:textId="77777777" w:rsidR="004D30B0" w:rsidRPr="007C19A2" w:rsidRDefault="004D30B0" w:rsidP="004D30B0">
      <w:pPr>
        <w:pStyle w:val="NoSpacing"/>
        <w:rPr>
          <w:rFonts w:eastAsia="Calibri"/>
          <w:sz w:val="22"/>
          <w:szCs w:val="22"/>
          <w:lang w:val="sr-Latn-ME"/>
        </w:rPr>
      </w:pPr>
    </w:p>
    <w:p w14:paraId="61EE43B1" w14:textId="77777777" w:rsidR="004D30B0" w:rsidRPr="007C19A2" w:rsidRDefault="004D30B0" w:rsidP="004D30B0">
      <w:pPr>
        <w:tabs>
          <w:tab w:val="left" w:pos="540"/>
          <w:tab w:val="left" w:pos="569"/>
        </w:tabs>
        <w:rPr>
          <w:b/>
          <w:bCs/>
          <w:sz w:val="22"/>
          <w:szCs w:val="22"/>
          <w:lang w:val="sr-Latn-ME"/>
        </w:rPr>
      </w:pPr>
      <w:r w:rsidRPr="007C19A2">
        <w:rPr>
          <w:b/>
          <w:bCs/>
          <w:noProof/>
          <w:sz w:val="22"/>
          <w:szCs w:val="22"/>
        </w:rPr>
        <w:drawing>
          <wp:inline distT="0" distB="0" distL="0" distR="0" wp14:anchorId="0CA7BA24" wp14:editId="110955F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6A3C25" w14:textId="77777777" w:rsidR="00836B35" w:rsidRPr="007C19A2" w:rsidRDefault="00836B35" w:rsidP="00480FB1">
      <w:pPr>
        <w:tabs>
          <w:tab w:val="left" w:pos="540"/>
          <w:tab w:val="left" w:pos="569"/>
        </w:tabs>
        <w:rPr>
          <w:b/>
          <w:bCs/>
          <w:sz w:val="22"/>
          <w:szCs w:val="22"/>
          <w:lang w:val="sr-Latn-ME"/>
        </w:rPr>
      </w:pPr>
    </w:p>
    <w:p w14:paraId="176A3C26" w14:textId="77777777" w:rsidR="00CD6F02"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4.9. </w:t>
      </w:r>
      <w:r w:rsidR="00480FB1" w:rsidRPr="007C19A2">
        <w:rPr>
          <w:b/>
          <w:bCs/>
          <w:sz w:val="22"/>
          <w:szCs w:val="22"/>
          <w:lang w:val="sr-Latn-ME"/>
        </w:rPr>
        <w:tab/>
      </w:r>
      <w:r w:rsidRPr="007C19A2">
        <w:rPr>
          <w:b/>
          <w:bCs/>
          <w:sz w:val="22"/>
          <w:szCs w:val="22"/>
          <w:lang w:val="sr-Latn-ME"/>
        </w:rPr>
        <w:t>Predoziranje</w:t>
      </w:r>
      <w:r w:rsidR="002846DB" w:rsidRPr="007C19A2">
        <w:rPr>
          <w:b/>
          <w:bCs/>
          <w:sz w:val="22"/>
          <w:szCs w:val="22"/>
          <w:lang w:val="sr-Latn-ME"/>
        </w:rPr>
        <w:t xml:space="preserve"> </w:t>
      </w:r>
    </w:p>
    <w:p w14:paraId="176A3C27" w14:textId="77777777" w:rsidR="00CD6F02" w:rsidRPr="007C19A2" w:rsidRDefault="00CD6F02" w:rsidP="00480FB1">
      <w:pPr>
        <w:tabs>
          <w:tab w:val="left" w:pos="540"/>
          <w:tab w:val="left" w:pos="569"/>
        </w:tabs>
        <w:rPr>
          <w:b/>
          <w:bCs/>
          <w:sz w:val="22"/>
          <w:szCs w:val="22"/>
          <w:lang w:val="sr-Latn-ME"/>
        </w:rPr>
      </w:pPr>
    </w:p>
    <w:p w14:paraId="7FF69DA8" w14:textId="38403754" w:rsidR="00176F34" w:rsidRPr="007C19A2" w:rsidRDefault="00FB477B" w:rsidP="00176F34">
      <w:pPr>
        <w:autoSpaceDE w:val="0"/>
        <w:autoSpaceDN w:val="0"/>
        <w:adjustRightInd w:val="0"/>
        <w:jc w:val="both"/>
        <w:rPr>
          <w:sz w:val="22"/>
          <w:szCs w:val="22"/>
          <w:lang w:val="sr-Latn-ME" w:eastAsia="it-CH"/>
        </w:rPr>
      </w:pPr>
      <w:r w:rsidRPr="007C19A2">
        <w:rPr>
          <w:sz w:val="22"/>
          <w:szCs w:val="22"/>
          <w:lang w:val="sr-Latn-ME" w:eastAsia="it-CH"/>
        </w:rPr>
        <w:t>Na osnovu</w:t>
      </w:r>
      <w:r w:rsidR="00176F34" w:rsidRPr="007C19A2">
        <w:rPr>
          <w:sz w:val="22"/>
          <w:szCs w:val="22"/>
          <w:lang w:val="sr-Latn-ME" w:eastAsia="it-CH"/>
        </w:rPr>
        <w:t xml:space="preserve"> klinički</w:t>
      </w:r>
      <w:r w:rsidRPr="007C19A2">
        <w:rPr>
          <w:sz w:val="22"/>
          <w:szCs w:val="22"/>
          <w:lang w:val="sr-Latn-ME" w:eastAsia="it-CH"/>
        </w:rPr>
        <w:t>h</w:t>
      </w:r>
      <w:r w:rsidR="00176F34" w:rsidRPr="007C19A2">
        <w:rPr>
          <w:sz w:val="22"/>
          <w:szCs w:val="22"/>
          <w:lang w:val="sr-Latn-ME" w:eastAsia="it-CH"/>
        </w:rPr>
        <w:t xml:space="preserve"> ispitivanja</w:t>
      </w:r>
      <w:r w:rsidRPr="007C19A2">
        <w:rPr>
          <w:sz w:val="22"/>
          <w:szCs w:val="22"/>
          <w:lang w:val="sr-Latn-ME" w:eastAsia="it-CH"/>
        </w:rPr>
        <w:t xml:space="preserve"> u kojima je</w:t>
      </w:r>
      <w:r w:rsidR="00176F34" w:rsidRPr="007C19A2">
        <w:rPr>
          <w:sz w:val="22"/>
          <w:szCs w:val="22"/>
          <w:lang w:val="sr-Latn-ME" w:eastAsia="it-CH"/>
        </w:rPr>
        <w:t xml:space="preserve"> primjenjivan netupitant u doz</w:t>
      </w:r>
      <w:r w:rsidR="00690DBE" w:rsidRPr="007C19A2">
        <w:rPr>
          <w:sz w:val="22"/>
          <w:szCs w:val="22"/>
          <w:lang w:val="sr-Latn-ME" w:eastAsia="it-CH"/>
        </w:rPr>
        <w:t>i</w:t>
      </w:r>
      <w:r w:rsidR="00176F34" w:rsidRPr="007C19A2">
        <w:rPr>
          <w:sz w:val="22"/>
          <w:szCs w:val="22"/>
          <w:lang w:val="sr-Latn-ME" w:eastAsia="it-CH"/>
        </w:rPr>
        <w:t xml:space="preserve"> </w:t>
      </w:r>
      <w:r w:rsidR="00690DBE" w:rsidRPr="007C19A2">
        <w:rPr>
          <w:sz w:val="22"/>
          <w:szCs w:val="22"/>
          <w:lang w:val="sr-Latn-ME" w:eastAsia="it-CH"/>
        </w:rPr>
        <w:t>d</w:t>
      </w:r>
      <w:r w:rsidR="00176F34" w:rsidRPr="007C19A2">
        <w:rPr>
          <w:sz w:val="22"/>
          <w:szCs w:val="22"/>
          <w:lang w:val="sr-Latn-ME" w:eastAsia="it-CH"/>
        </w:rPr>
        <w:t>o 600 mg i palonosetron u doz</w:t>
      </w:r>
      <w:r w:rsidR="00690DBE" w:rsidRPr="007C19A2">
        <w:rPr>
          <w:sz w:val="22"/>
          <w:szCs w:val="22"/>
          <w:lang w:val="sr-Latn-ME" w:eastAsia="it-CH"/>
        </w:rPr>
        <w:t>i</w:t>
      </w:r>
      <w:r w:rsidR="00176F34" w:rsidRPr="007C19A2">
        <w:rPr>
          <w:sz w:val="22"/>
          <w:szCs w:val="22"/>
          <w:lang w:val="sr-Latn-ME" w:eastAsia="it-CH"/>
        </w:rPr>
        <w:t xml:space="preserve"> o</w:t>
      </w:r>
      <w:r w:rsidR="00690DBE" w:rsidRPr="007C19A2">
        <w:rPr>
          <w:sz w:val="22"/>
          <w:szCs w:val="22"/>
          <w:lang w:val="sr-Latn-ME" w:eastAsia="it-CH"/>
        </w:rPr>
        <w:t>d</w:t>
      </w:r>
      <w:r w:rsidR="00176F34" w:rsidRPr="007C19A2">
        <w:rPr>
          <w:sz w:val="22"/>
          <w:szCs w:val="22"/>
          <w:lang w:val="sr-Latn-ME" w:eastAsia="it-CH"/>
        </w:rPr>
        <w:t xml:space="preserve"> </w:t>
      </w:r>
      <w:r w:rsidR="00690DBE" w:rsidRPr="007C19A2">
        <w:rPr>
          <w:sz w:val="22"/>
          <w:szCs w:val="22"/>
          <w:lang w:val="sr-Latn-ME" w:eastAsia="it-CH"/>
        </w:rPr>
        <w:t>1,5</w:t>
      </w:r>
      <w:r w:rsidR="00176F34" w:rsidRPr="007C19A2">
        <w:rPr>
          <w:sz w:val="22"/>
          <w:szCs w:val="22"/>
          <w:lang w:val="sr-Latn-ME" w:eastAsia="it-CH"/>
        </w:rPr>
        <w:t xml:space="preserve"> mg</w:t>
      </w:r>
      <w:r w:rsidR="00170ED0" w:rsidRPr="007C19A2">
        <w:rPr>
          <w:sz w:val="22"/>
          <w:szCs w:val="22"/>
          <w:lang w:val="sr-Latn-ME" w:eastAsia="it-CH"/>
        </w:rPr>
        <w:t>,</w:t>
      </w:r>
      <w:r w:rsidR="00176F34" w:rsidRPr="007C19A2">
        <w:rPr>
          <w:sz w:val="22"/>
          <w:szCs w:val="22"/>
          <w:lang w:val="sr-Latn-ME" w:eastAsia="it-CH"/>
        </w:rPr>
        <w:t xml:space="preserve"> </w:t>
      </w:r>
      <w:r w:rsidR="003E359F" w:rsidRPr="007C19A2">
        <w:rPr>
          <w:sz w:val="22"/>
          <w:szCs w:val="22"/>
          <w:lang w:val="sr-Latn-ME" w:eastAsia="it-CH"/>
        </w:rPr>
        <w:t>potencijalni akutni simptomi predoziranja su glavobolja, vrtoglavica, zatvor, anksioznost, lupanje srca, euforično raspoloženje i bol u nogama.</w:t>
      </w:r>
      <w:r w:rsidR="00176F34" w:rsidRPr="007C19A2">
        <w:rPr>
          <w:sz w:val="22"/>
          <w:szCs w:val="22"/>
          <w:lang w:val="sr-Latn-ME" w:eastAsia="it-CH"/>
        </w:rPr>
        <w:t xml:space="preserve"> U slučaju predoziranja, primjenu lijeka treba prekinuti i pristupiti opštoj suportivnoj terapiji uz praćenje. Zbog antiemetičkog djelovanja netupitanta i palonosetrona, emeza podstaknuta lijekom možda ne bude efikasna. Nijesu sprovedena </w:t>
      </w:r>
      <w:r w:rsidR="00176F34" w:rsidRPr="007C19A2">
        <w:rPr>
          <w:sz w:val="22"/>
          <w:szCs w:val="22"/>
          <w:lang w:val="sr-Latn-ME" w:eastAsia="it-CH"/>
        </w:rPr>
        <w:lastRenderedPageBreak/>
        <w:t>ispitivanja uklanjanja dijalizom. Međutim, zbog velikog volumena distribucije palonosetrona i netupitanta, nije vjerovatno da je dijaliza efikasan način liječenja predoziranja.</w:t>
      </w:r>
    </w:p>
    <w:p w14:paraId="176A3C28" w14:textId="122A4FAF" w:rsidR="00227BDB" w:rsidRPr="007C19A2" w:rsidRDefault="00227BDB" w:rsidP="00480FB1">
      <w:pPr>
        <w:tabs>
          <w:tab w:val="left" w:pos="540"/>
          <w:tab w:val="left" w:pos="569"/>
        </w:tabs>
        <w:rPr>
          <w:b/>
          <w:bCs/>
          <w:sz w:val="22"/>
          <w:szCs w:val="22"/>
          <w:lang w:val="sr-Latn-ME"/>
        </w:rPr>
      </w:pPr>
    </w:p>
    <w:p w14:paraId="7C3FB554" w14:textId="77777777" w:rsidR="007A53F4" w:rsidRPr="007C19A2" w:rsidRDefault="007A53F4" w:rsidP="00480FB1">
      <w:pPr>
        <w:tabs>
          <w:tab w:val="left" w:pos="540"/>
          <w:tab w:val="left" w:pos="569"/>
        </w:tabs>
        <w:rPr>
          <w:b/>
          <w:bCs/>
          <w:sz w:val="22"/>
          <w:szCs w:val="22"/>
          <w:lang w:val="sr-Latn-ME"/>
        </w:rPr>
      </w:pPr>
    </w:p>
    <w:p w14:paraId="176A3C29"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5. </w:t>
      </w:r>
      <w:r w:rsidR="00480FB1" w:rsidRPr="007C19A2">
        <w:rPr>
          <w:b/>
          <w:bCs/>
          <w:sz w:val="22"/>
          <w:szCs w:val="22"/>
          <w:lang w:val="sr-Latn-ME"/>
        </w:rPr>
        <w:tab/>
      </w:r>
      <w:r w:rsidRPr="007C19A2">
        <w:rPr>
          <w:b/>
          <w:bCs/>
          <w:sz w:val="22"/>
          <w:szCs w:val="22"/>
          <w:lang w:val="sr-Latn-ME"/>
        </w:rPr>
        <w:t>FARMAKOLOŠK</w:t>
      </w:r>
      <w:r w:rsidR="000D425A" w:rsidRPr="007C19A2">
        <w:rPr>
          <w:b/>
          <w:bCs/>
          <w:sz w:val="22"/>
          <w:szCs w:val="22"/>
          <w:lang w:val="sr-Latn-ME"/>
        </w:rPr>
        <w:t>I</w:t>
      </w:r>
      <w:r w:rsidRPr="007C19A2">
        <w:rPr>
          <w:b/>
          <w:bCs/>
          <w:sz w:val="22"/>
          <w:szCs w:val="22"/>
          <w:lang w:val="sr-Latn-ME"/>
        </w:rPr>
        <w:t xml:space="preserve"> PODACI</w:t>
      </w:r>
    </w:p>
    <w:p w14:paraId="176A3C2A" w14:textId="77777777" w:rsidR="0072020E" w:rsidRPr="007C19A2" w:rsidRDefault="0072020E" w:rsidP="00480FB1">
      <w:pPr>
        <w:tabs>
          <w:tab w:val="left" w:pos="540"/>
          <w:tab w:val="left" w:pos="569"/>
        </w:tabs>
        <w:rPr>
          <w:b/>
          <w:bCs/>
          <w:sz w:val="22"/>
          <w:szCs w:val="22"/>
          <w:lang w:val="sr-Latn-ME"/>
        </w:rPr>
      </w:pPr>
    </w:p>
    <w:p w14:paraId="176A3C2B"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5.1. </w:t>
      </w:r>
      <w:r w:rsidR="00480FB1" w:rsidRPr="007C19A2">
        <w:rPr>
          <w:b/>
          <w:bCs/>
          <w:sz w:val="22"/>
          <w:szCs w:val="22"/>
          <w:lang w:val="sr-Latn-ME"/>
        </w:rPr>
        <w:tab/>
      </w:r>
      <w:r w:rsidRPr="007C19A2">
        <w:rPr>
          <w:b/>
          <w:bCs/>
          <w:sz w:val="22"/>
          <w:szCs w:val="22"/>
          <w:lang w:val="sr-Latn-ME"/>
        </w:rPr>
        <w:t>Farmakodinamski podaci</w:t>
      </w:r>
      <w:r w:rsidR="003A7059" w:rsidRPr="007C19A2">
        <w:rPr>
          <w:b/>
          <w:bCs/>
          <w:sz w:val="22"/>
          <w:szCs w:val="22"/>
          <w:lang w:val="sr-Latn-ME"/>
        </w:rPr>
        <w:t xml:space="preserve"> </w:t>
      </w:r>
    </w:p>
    <w:p w14:paraId="176A3C2C" w14:textId="77777777" w:rsidR="00F45F77" w:rsidRPr="007C19A2" w:rsidRDefault="00F45F77" w:rsidP="00480FB1">
      <w:pPr>
        <w:tabs>
          <w:tab w:val="left" w:pos="540"/>
          <w:tab w:val="left" w:pos="569"/>
        </w:tabs>
        <w:rPr>
          <w:b/>
          <w:bCs/>
          <w:sz w:val="22"/>
          <w:szCs w:val="22"/>
          <w:lang w:val="sr-Latn-ME"/>
        </w:rPr>
      </w:pPr>
    </w:p>
    <w:p w14:paraId="20680FC4" w14:textId="53319616" w:rsidR="002F5087" w:rsidRPr="007C19A2" w:rsidRDefault="0072020E" w:rsidP="002F5087">
      <w:pPr>
        <w:tabs>
          <w:tab w:val="left" w:pos="540"/>
          <w:tab w:val="left" w:pos="569"/>
        </w:tabs>
        <w:jc w:val="both"/>
        <w:rPr>
          <w:bCs/>
          <w:sz w:val="22"/>
          <w:szCs w:val="22"/>
          <w:lang w:val="sr-Latn-ME"/>
        </w:rPr>
      </w:pPr>
      <w:r w:rsidRPr="007C19A2">
        <w:rPr>
          <w:bCs/>
          <w:sz w:val="22"/>
          <w:szCs w:val="22"/>
          <w:lang w:val="sr-Latn-ME"/>
        </w:rPr>
        <w:t>Farmakoterapijska grupa:</w:t>
      </w:r>
      <w:r w:rsidR="002F5087" w:rsidRPr="007C19A2">
        <w:rPr>
          <w:sz w:val="22"/>
          <w:szCs w:val="22"/>
          <w:lang w:val="sr-Latn-ME"/>
        </w:rPr>
        <w:t xml:space="preserve"> Antiemetici i ljekovi protiv mučnine, antagonisti serotonina (5-HT</w:t>
      </w:r>
      <w:r w:rsidR="002F5087" w:rsidRPr="007C19A2">
        <w:rPr>
          <w:sz w:val="22"/>
          <w:szCs w:val="22"/>
          <w:vertAlign w:val="subscript"/>
          <w:lang w:val="sr-Latn-ME"/>
        </w:rPr>
        <w:t>3</w:t>
      </w:r>
      <w:r w:rsidR="002F5087" w:rsidRPr="007C19A2">
        <w:rPr>
          <w:sz w:val="22"/>
          <w:szCs w:val="22"/>
          <w:lang w:val="sr-Latn-ME"/>
        </w:rPr>
        <w:t>)</w:t>
      </w:r>
    </w:p>
    <w:p w14:paraId="176A3C2E" w14:textId="77777777" w:rsidR="0072020E" w:rsidRPr="007C19A2" w:rsidRDefault="0072020E" w:rsidP="00480FB1">
      <w:pPr>
        <w:tabs>
          <w:tab w:val="left" w:pos="540"/>
          <w:tab w:val="left" w:pos="569"/>
        </w:tabs>
        <w:rPr>
          <w:bCs/>
          <w:sz w:val="22"/>
          <w:szCs w:val="22"/>
          <w:lang w:val="sr-Latn-ME"/>
        </w:rPr>
      </w:pPr>
    </w:p>
    <w:p w14:paraId="176A3C2F" w14:textId="566040A2" w:rsidR="0072020E" w:rsidRPr="007C19A2" w:rsidRDefault="0072020E" w:rsidP="00480FB1">
      <w:pPr>
        <w:tabs>
          <w:tab w:val="left" w:pos="540"/>
          <w:tab w:val="left" w:pos="569"/>
        </w:tabs>
        <w:rPr>
          <w:sz w:val="22"/>
          <w:szCs w:val="22"/>
          <w:lang w:val="sr-Latn-ME"/>
        </w:rPr>
      </w:pPr>
      <w:r w:rsidRPr="007C19A2">
        <w:rPr>
          <w:bCs/>
          <w:sz w:val="22"/>
          <w:szCs w:val="22"/>
          <w:lang w:val="sr-Latn-ME"/>
        </w:rPr>
        <w:t>ATC kod:</w:t>
      </w:r>
      <w:r w:rsidR="002F5087" w:rsidRPr="007C19A2">
        <w:rPr>
          <w:sz w:val="22"/>
          <w:szCs w:val="22"/>
          <w:lang w:val="sr-Latn-ME"/>
        </w:rPr>
        <w:t xml:space="preserve"> A04AA55</w:t>
      </w:r>
    </w:p>
    <w:p w14:paraId="459C7D63" w14:textId="77777777" w:rsidR="002F5087" w:rsidRPr="007C19A2" w:rsidRDefault="002F5087" w:rsidP="00480FB1">
      <w:pPr>
        <w:tabs>
          <w:tab w:val="left" w:pos="540"/>
          <w:tab w:val="left" w:pos="569"/>
        </w:tabs>
        <w:rPr>
          <w:bCs/>
          <w:sz w:val="22"/>
          <w:szCs w:val="22"/>
          <w:lang w:val="sr-Latn-ME"/>
        </w:rPr>
      </w:pPr>
    </w:p>
    <w:p w14:paraId="72704EF8" w14:textId="77777777" w:rsidR="002F5087" w:rsidRPr="007C19A2" w:rsidRDefault="002F5087" w:rsidP="002F5087">
      <w:pPr>
        <w:autoSpaceDE w:val="0"/>
        <w:autoSpaceDN w:val="0"/>
        <w:adjustRightInd w:val="0"/>
        <w:jc w:val="both"/>
        <w:rPr>
          <w:color w:val="000000"/>
          <w:sz w:val="22"/>
          <w:szCs w:val="22"/>
          <w:u w:val="single"/>
          <w:lang w:val="sr-Latn-ME"/>
        </w:rPr>
      </w:pPr>
      <w:r w:rsidRPr="007C19A2">
        <w:rPr>
          <w:color w:val="000000"/>
          <w:sz w:val="22"/>
          <w:szCs w:val="22"/>
          <w:u w:val="single"/>
          <w:lang w:val="sr-Latn-ME"/>
        </w:rPr>
        <w:t>Mehanizam djelovanja</w:t>
      </w:r>
    </w:p>
    <w:p w14:paraId="59927DF9" w14:textId="77777777" w:rsidR="002F5087" w:rsidRPr="007C19A2" w:rsidRDefault="002F5087" w:rsidP="002F5087">
      <w:pPr>
        <w:autoSpaceDE w:val="0"/>
        <w:autoSpaceDN w:val="0"/>
        <w:adjustRightInd w:val="0"/>
        <w:jc w:val="both"/>
        <w:rPr>
          <w:color w:val="000000"/>
          <w:sz w:val="22"/>
          <w:szCs w:val="22"/>
          <w:u w:val="single"/>
          <w:lang w:val="sr-Latn-ME"/>
        </w:rPr>
      </w:pPr>
    </w:p>
    <w:p w14:paraId="63F7994A" w14:textId="77777777" w:rsidR="002F5087" w:rsidRPr="007C19A2" w:rsidRDefault="002F5087" w:rsidP="002F5087">
      <w:pPr>
        <w:jc w:val="both"/>
        <w:rPr>
          <w:rFonts w:eastAsia="Arial Unicode MS"/>
          <w:sz w:val="22"/>
          <w:szCs w:val="22"/>
          <w:lang w:val="sr-Latn-ME" w:eastAsia="zh-TW"/>
        </w:rPr>
      </w:pPr>
      <w:r w:rsidRPr="007C19A2">
        <w:rPr>
          <w:rFonts w:eastAsia="Arial Unicode MS"/>
          <w:sz w:val="22"/>
          <w:szCs w:val="22"/>
          <w:lang w:val="sr-Latn-ME" w:eastAsia="zh-TW"/>
        </w:rPr>
        <w:t>Netupitant je selektivni antagonist receptora supstance P/neurokinina 1 (NK</w:t>
      </w:r>
      <w:r w:rsidRPr="007C19A2">
        <w:rPr>
          <w:rFonts w:eastAsia="Arial Unicode MS"/>
          <w:bCs/>
          <w:sz w:val="22"/>
          <w:szCs w:val="22"/>
          <w:vertAlign w:val="subscript"/>
          <w:lang w:val="sr-Latn-ME" w:eastAsia="zh-TW"/>
        </w:rPr>
        <w:t>1</w:t>
      </w:r>
      <w:r w:rsidRPr="007C19A2">
        <w:rPr>
          <w:rFonts w:eastAsia="Arial Unicode MS"/>
          <w:sz w:val="22"/>
          <w:szCs w:val="22"/>
          <w:lang w:val="sr-Latn-ME" w:eastAsia="zh-TW"/>
        </w:rPr>
        <w:t xml:space="preserve">) kod ljudi. </w:t>
      </w:r>
    </w:p>
    <w:p w14:paraId="2CC091F0" w14:textId="77777777" w:rsidR="002F5087" w:rsidRPr="007C19A2" w:rsidRDefault="002F5087" w:rsidP="002F5087">
      <w:pPr>
        <w:jc w:val="both"/>
        <w:rPr>
          <w:rFonts w:eastAsia="Arial Unicode MS"/>
          <w:sz w:val="22"/>
          <w:szCs w:val="22"/>
          <w:lang w:val="sr-Latn-ME" w:eastAsia="zh-TW"/>
        </w:rPr>
      </w:pPr>
    </w:p>
    <w:p w14:paraId="72AB66CC" w14:textId="6D3B4041" w:rsidR="002F5087" w:rsidRPr="007C19A2" w:rsidRDefault="002F5087" w:rsidP="002F5087">
      <w:pPr>
        <w:jc w:val="both"/>
        <w:rPr>
          <w:rFonts w:eastAsia="Arial Unicode MS"/>
          <w:sz w:val="22"/>
          <w:szCs w:val="22"/>
          <w:lang w:val="sr-Latn-ME" w:eastAsia="zh-TW"/>
        </w:rPr>
      </w:pPr>
      <w:r w:rsidRPr="007C19A2">
        <w:rPr>
          <w:rFonts w:eastAsia="Arial Unicode MS"/>
          <w:sz w:val="22"/>
          <w:szCs w:val="22"/>
          <w:lang w:val="sr-Latn-ME" w:eastAsia="ja-JP"/>
        </w:rPr>
        <w:t>Palonosetron je antagonist receptora 5-HT</w:t>
      </w:r>
      <w:r w:rsidRPr="007C19A2">
        <w:rPr>
          <w:rFonts w:eastAsia="Arial Unicode MS"/>
          <w:sz w:val="22"/>
          <w:szCs w:val="22"/>
          <w:vertAlign w:val="subscript"/>
          <w:lang w:val="sr-Latn-ME" w:eastAsia="ja-JP"/>
        </w:rPr>
        <w:t>3</w:t>
      </w:r>
      <w:r w:rsidRPr="007C19A2">
        <w:rPr>
          <w:rFonts w:eastAsia="Arial Unicode MS"/>
          <w:sz w:val="22"/>
          <w:szCs w:val="22"/>
          <w:lang w:val="sr-Latn-ME" w:eastAsia="ja-JP"/>
        </w:rPr>
        <w:t xml:space="preserve"> koji ima veliki afinitet vezivanja za taj receptor, a mali ili nikakav afinitet za druge receptore. </w:t>
      </w:r>
      <w:r w:rsidRPr="007C19A2">
        <w:rPr>
          <w:rFonts w:eastAsia="Arial Unicode MS"/>
          <w:color w:val="221E1F"/>
          <w:sz w:val="22"/>
          <w:szCs w:val="22"/>
          <w:lang w:val="sr-Latn-ME" w:eastAsia="zh-TW"/>
        </w:rPr>
        <w:t>Hem</w:t>
      </w:r>
      <w:r w:rsidR="00330615" w:rsidRPr="007C19A2">
        <w:rPr>
          <w:rFonts w:eastAsia="Arial Unicode MS"/>
          <w:color w:val="221E1F"/>
          <w:sz w:val="22"/>
          <w:szCs w:val="22"/>
          <w:lang w:val="sr-Latn-ME" w:eastAsia="zh-TW"/>
        </w:rPr>
        <w:t>i</w:t>
      </w:r>
      <w:r w:rsidRPr="007C19A2">
        <w:rPr>
          <w:rFonts w:eastAsia="Arial Unicode MS"/>
          <w:color w:val="221E1F"/>
          <w:sz w:val="22"/>
          <w:szCs w:val="22"/>
          <w:lang w:val="sr-Latn-ME" w:eastAsia="zh-TW"/>
        </w:rPr>
        <w:t>oterapijske supstance uzrokuju mučninu i povraćanje stimulacijom oslobađanja serotonina iz enterohromafinih ćelija tankog crijeva. Serotonin zatim aktivira receptore 5-HT</w:t>
      </w:r>
      <w:r w:rsidRPr="007C19A2">
        <w:rPr>
          <w:rFonts w:eastAsia="Arial Unicode MS"/>
          <w:color w:val="221E1F"/>
          <w:sz w:val="22"/>
          <w:szCs w:val="22"/>
          <w:vertAlign w:val="subscript"/>
          <w:lang w:val="sr-Latn-ME" w:eastAsia="zh-TW"/>
        </w:rPr>
        <w:t>3</w:t>
      </w:r>
      <w:r w:rsidRPr="007C19A2">
        <w:rPr>
          <w:rFonts w:eastAsia="Arial Unicode MS"/>
          <w:color w:val="221E1F"/>
          <w:sz w:val="22"/>
          <w:szCs w:val="22"/>
          <w:lang w:val="sr-Latn-ME" w:eastAsia="zh-TW"/>
        </w:rPr>
        <w:t xml:space="preserve"> smještene na vagusnim aferentnim vlaknima, čime se pobuđuje refleks povraćanja.</w:t>
      </w:r>
      <w:r w:rsidRPr="007C19A2">
        <w:rPr>
          <w:rFonts w:eastAsia="Arial Unicode MS"/>
          <w:sz w:val="22"/>
          <w:szCs w:val="22"/>
          <w:lang w:val="sr-Latn-ME" w:eastAsia="zh-TW"/>
        </w:rPr>
        <w:t xml:space="preserve"> </w:t>
      </w:r>
    </w:p>
    <w:p w14:paraId="34938C4F" w14:textId="77777777" w:rsidR="002F5087" w:rsidRPr="007C19A2" w:rsidRDefault="002F5087" w:rsidP="002F5087">
      <w:pPr>
        <w:jc w:val="both"/>
        <w:rPr>
          <w:rFonts w:eastAsia="Arial Unicode MS"/>
          <w:sz w:val="22"/>
          <w:szCs w:val="22"/>
          <w:lang w:val="sr-Latn-ME" w:eastAsia="zh-TW"/>
        </w:rPr>
      </w:pPr>
    </w:p>
    <w:p w14:paraId="1B7A7144" w14:textId="77777777" w:rsidR="002F5087" w:rsidRPr="007C19A2" w:rsidRDefault="002F5087" w:rsidP="002F5087">
      <w:pPr>
        <w:autoSpaceDE w:val="0"/>
        <w:autoSpaceDN w:val="0"/>
        <w:adjustRightInd w:val="0"/>
        <w:jc w:val="both"/>
        <w:rPr>
          <w:bCs/>
          <w:color w:val="000000"/>
          <w:sz w:val="22"/>
          <w:szCs w:val="22"/>
          <w:lang w:val="sr-Latn-ME"/>
        </w:rPr>
      </w:pPr>
      <w:r w:rsidRPr="007C19A2">
        <w:rPr>
          <w:color w:val="000000"/>
          <w:sz w:val="22"/>
          <w:szCs w:val="22"/>
          <w:lang w:val="sr-Latn-ME"/>
        </w:rPr>
        <w:t>Odložena emeza povezana je sa djelovanjem supstance P koja aktivira receptore neurokinina 1 (NK</w:t>
      </w:r>
      <w:r w:rsidRPr="007C19A2">
        <w:rPr>
          <w:color w:val="000000"/>
          <w:sz w:val="22"/>
          <w:szCs w:val="22"/>
          <w:vertAlign w:val="subscript"/>
          <w:lang w:val="sr-Latn-ME"/>
        </w:rPr>
        <w:t>1</w:t>
      </w:r>
      <w:r w:rsidRPr="007C19A2">
        <w:rPr>
          <w:color w:val="000000"/>
          <w:sz w:val="22"/>
          <w:szCs w:val="22"/>
          <w:lang w:val="sr-Latn-ME"/>
        </w:rPr>
        <w:t xml:space="preserve">) iz porodice tahikinina (široko rasprostranjeni u centralnom i perifernom nervnom sistemu). </w:t>
      </w:r>
      <w:r w:rsidRPr="007C19A2">
        <w:rPr>
          <w:bCs/>
          <w:color w:val="000000"/>
          <w:sz w:val="22"/>
          <w:szCs w:val="22"/>
          <w:lang w:val="sr-Latn-ME"/>
        </w:rPr>
        <w:t xml:space="preserve">Kako su pokazala ispitivanja </w:t>
      </w:r>
      <w:r w:rsidRPr="007C19A2">
        <w:rPr>
          <w:bCs/>
          <w:i/>
          <w:color w:val="000000"/>
          <w:sz w:val="22"/>
          <w:szCs w:val="22"/>
          <w:lang w:val="sr-Latn-ME"/>
        </w:rPr>
        <w:t>in vitro</w:t>
      </w:r>
      <w:r w:rsidRPr="007C19A2">
        <w:rPr>
          <w:bCs/>
          <w:color w:val="000000"/>
          <w:sz w:val="22"/>
          <w:szCs w:val="22"/>
          <w:lang w:val="sr-Latn-ME"/>
        </w:rPr>
        <w:t xml:space="preserve"> i </w:t>
      </w:r>
      <w:r w:rsidRPr="007C19A2">
        <w:rPr>
          <w:bCs/>
          <w:i/>
          <w:color w:val="000000"/>
          <w:sz w:val="22"/>
          <w:szCs w:val="22"/>
          <w:lang w:val="sr-Latn-ME"/>
        </w:rPr>
        <w:t>in vivo</w:t>
      </w:r>
      <w:r w:rsidRPr="007C19A2">
        <w:rPr>
          <w:bCs/>
          <w:color w:val="000000"/>
          <w:sz w:val="22"/>
          <w:szCs w:val="22"/>
          <w:lang w:val="sr-Latn-ME"/>
        </w:rPr>
        <w:t>, netupitant inhibira odgovore posredovane preko supstance P.</w:t>
      </w:r>
    </w:p>
    <w:p w14:paraId="0CFCD37A" w14:textId="77777777" w:rsidR="004F55B0" w:rsidRPr="007C19A2" w:rsidRDefault="004F55B0" w:rsidP="002F5087">
      <w:pPr>
        <w:autoSpaceDE w:val="0"/>
        <w:autoSpaceDN w:val="0"/>
        <w:adjustRightInd w:val="0"/>
        <w:jc w:val="both"/>
        <w:rPr>
          <w:color w:val="000000"/>
          <w:sz w:val="22"/>
          <w:szCs w:val="22"/>
          <w:lang w:val="sr-Latn-ME"/>
        </w:rPr>
      </w:pPr>
    </w:p>
    <w:p w14:paraId="43580AE1" w14:textId="6F2999D7" w:rsidR="002F5087" w:rsidRPr="007C19A2" w:rsidRDefault="002F5087" w:rsidP="002F5087">
      <w:pPr>
        <w:autoSpaceDE w:val="0"/>
        <w:autoSpaceDN w:val="0"/>
        <w:adjustRightInd w:val="0"/>
        <w:jc w:val="both"/>
        <w:rPr>
          <w:color w:val="000000"/>
          <w:sz w:val="22"/>
          <w:szCs w:val="22"/>
          <w:lang w:val="sr-Latn-ME"/>
        </w:rPr>
      </w:pPr>
      <w:r w:rsidRPr="007C19A2">
        <w:rPr>
          <w:color w:val="000000"/>
          <w:sz w:val="22"/>
          <w:szCs w:val="22"/>
          <w:lang w:val="sr-Latn-ME"/>
        </w:rPr>
        <w:t>Pokazalo se da netupitant, nakon primjene u dozi od 300 mg, prolazi krvno-moždanu barijeru uz popunjenost receptora NK</w:t>
      </w:r>
      <w:r w:rsidRPr="007C19A2">
        <w:rPr>
          <w:color w:val="000000"/>
          <w:sz w:val="22"/>
          <w:szCs w:val="22"/>
          <w:vertAlign w:val="subscript"/>
          <w:lang w:val="sr-Latn-ME"/>
        </w:rPr>
        <w:t>1</w:t>
      </w:r>
      <w:r w:rsidRPr="007C19A2">
        <w:rPr>
          <w:color w:val="000000"/>
          <w:sz w:val="22"/>
          <w:szCs w:val="22"/>
          <w:lang w:val="sr-Latn-ME"/>
        </w:rPr>
        <w:t xml:space="preserve"> od 92,5%, 86,5%, 85,0%, 78,0% i 76,0% u strijatumu u 6, 24, 48, 72. o</w:t>
      </w:r>
      <w:r w:rsidR="0083188E" w:rsidRPr="007C19A2">
        <w:rPr>
          <w:color w:val="000000"/>
          <w:sz w:val="22"/>
          <w:szCs w:val="22"/>
          <w:lang w:val="sr-Latn-ME"/>
        </w:rPr>
        <w:t>dn</w:t>
      </w:r>
      <w:r w:rsidRPr="007C19A2">
        <w:rPr>
          <w:color w:val="000000"/>
          <w:sz w:val="22"/>
          <w:szCs w:val="22"/>
          <w:lang w:val="sr-Latn-ME"/>
        </w:rPr>
        <w:t>osno 96. satu.</w:t>
      </w:r>
    </w:p>
    <w:p w14:paraId="23A63707" w14:textId="77777777" w:rsidR="002F5087" w:rsidRPr="007C19A2" w:rsidRDefault="002F5087" w:rsidP="002F5087">
      <w:pPr>
        <w:autoSpaceDE w:val="0"/>
        <w:autoSpaceDN w:val="0"/>
        <w:adjustRightInd w:val="0"/>
        <w:jc w:val="both"/>
        <w:rPr>
          <w:sz w:val="22"/>
          <w:szCs w:val="22"/>
          <w:u w:val="single"/>
          <w:lang w:val="sr-Latn-ME"/>
        </w:rPr>
      </w:pPr>
    </w:p>
    <w:p w14:paraId="3A99C07D" w14:textId="77777777" w:rsidR="002F5087" w:rsidRPr="007C19A2" w:rsidRDefault="002F5087" w:rsidP="002F5087">
      <w:pPr>
        <w:keepNext/>
        <w:autoSpaceDE w:val="0"/>
        <w:autoSpaceDN w:val="0"/>
        <w:adjustRightInd w:val="0"/>
        <w:jc w:val="both"/>
        <w:rPr>
          <w:sz w:val="22"/>
          <w:szCs w:val="22"/>
          <w:u w:val="single"/>
          <w:lang w:val="sr-Latn-ME"/>
        </w:rPr>
      </w:pPr>
      <w:r w:rsidRPr="007C19A2">
        <w:rPr>
          <w:sz w:val="22"/>
          <w:szCs w:val="22"/>
          <w:u w:val="single"/>
          <w:lang w:val="sr-Latn-ME"/>
        </w:rPr>
        <w:t>Klinička efikasnost i bezbjednost</w:t>
      </w:r>
    </w:p>
    <w:p w14:paraId="377A570C" w14:textId="77777777" w:rsidR="002F5087" w:rsidRPr="007C19A2" w:rsidRDefault="002F5087" w:rsidP="002F5087">
      <w:pPr>
        <w:keepNext/>
        <w:autoSpaceDE w:val="0"/>
        <w:autoSpaceDN w:val="0"/>
        <w:adjustRightInd w:val="0"/>
        <w:jc w:val="both"/>
        <w:rPr>
          <w:sz w:val="22"/>
          <w:szCs w:val="22"/>
          <w:u w:val="single"/>
          <w:lang w:val="sr-Latn-ME"/>
        </w:rPr>
      </w:pPr>
    </w:p>
    <w:p w14:paraId="6B6A46D1" w14:textId="724380F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U dva zasebna pivotalna ispitivanja, pokazalo se da oralna primjena lijeka Akynzeo u kombinaciji sa deksametazonom sprečava akutnu i odloženu mučninu i povraćanje povezane sa visoko i umjereno emetogenom hem</w:t>
      </w:r>
      <w:r w:rsidR="00330615" w:rsidRPr="007C19A2">
        <w:rPr>
          <w:sz w:val="22"/>
          <w:szCs w:val="22"/>
          <w:lang w:val="sr-Latn-ME"/>
        </w:rPr>
        <w:t>i</w:t>
      </w:r>
      <w:r w:rsidRPr="007C19A2">
        <w:rPr>
          <w:sz w:val="22"/>
          <w:szCs w:val="22"/>
          <w:lang w:val="sr-Latn-ME"/>
        </w:rPr>
        <w:t xml:space="preserve">oterapijom protiv raka. </w:t>
      </w:r>
    </w:p>
    <w:p w14:paraId="672BA97F"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11126ACB" w14:textId="14EE84EA" w:rsidR="002F5087" w:rsidRPr="007C19A2" w:rsidRDefault="002F5087" w:rsidP="002F5087">
      <w:pPr>
        <w:jc w:val="both"/>
        <w:rPr>
          <w:i/>
          <w:sz w:val="22"/>
          <w:szCs w:val="22"/>
          <w:lang w:val="sr-Latn-ME"/>
        </w:rPr>
      </w:pPr>
      <w:r w:rsidRPr="007C19A2">
        <w:rPr>
          <w:i/>
          <w:iCs/>
          <w:sz w:val="22"/>
          <w:szCs w:val="22"/>
          <w:lang w:val="sr-Latn-ME"/>
        </w:rPr>
        <w:t>Ispitivanje visoko emetogene hem</w:t>
      </w:r>
      <w:r w:rsidR="00330615" w:rsidRPr="007C19A2">
        <w:rPr>
          <w:i/>
          <w:iCs/>
          <w:sz w:val="22"/>
          <w:szCs w:val="22"/>
          <w:lang w:val="sr-Latn-ME"/>
        </w:rPr>
        <w:t>i</w:t>
      </w:r>
      <w:r w:rsidRPr="007C19A2">
        <w:rPr>
          <w:i/>
          <w:iCs/>
          <w:sz w:val="22"/>
          <w:szCs w:val="22"/>
          <w:lang w:val="sr-Latn-ME"/>
        </w:rPr>
        <w:t xml:space="preserve">oterapije </w:t>
      </w:r>
      <w:r w:rsidRPr="007C19A2">
        <w:rPr>
          <w:i/>
          <w:sz w:val="22"/>
          <w:szCs w:val="22"/>
          <w:lang w:val="sr-Latn-ME"/>
        </w:rPr>
        <w:t>(HEC)</w:t>
      </w:r>
    </w:p>
    <w:p w14:paraId="0A97B8AE" w14:textId="12C0CEC8"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U multicentričnoj, randomizovanoj, paralelnoj, dvostruko slijepoj, kontrolisanoj kliničkoj studiji sa 694 pacijenta, poređena je efikasnost i bezbjednost jednostrukih doza oralnog netupitanta u kombinaciji sa oralnim palonosetronom, i jedne oralne doze palonosetrona, kod pacijenata sa rakom na hem</w:t>
      </w:r>
      <w:r w:rsidR="00330615" w:rsidRPr="007C19A2">
        <w:rPr>
          <w:sz w:val="22"/>
          <w:szCs w:val="22"/>
          <w:lang w:val="sr-Latn-ME"/>
        </w:rPr>
        <w:t>i</w:t>
      </w:r>
      <w:r w:rsidRPr="007C19A2">
        <w:rPr>
          <w:sz w:val="22"/>
          <w:szCs w:val="22"/>
          <w:lang w:val="sr-Latn-ME"/>
        </w:rPr>
        <w:t>oterapijskom protokolu sa cisplatinom (medijana doze = 75 mg/m</w:t>
      </w:r>
      <w:r w:rsidRPr="007C19A2">
        <w:rPr>
          <w:sz w:val="22"/>
          <w:szCs w:val="22"/>
          <w:vertAlign w:val="superscript"/>
          <w:lang w:val="sr-Latn-ME"/>
        </w:rPr>
        <w:t>2</w:t>
      </w:r>
      <w:r w:rsidRPr="007C19A2">
        <w:rPr>
          <w:sz w:val="22"/>
          <w:szCs w:val="22"/>
          <w:lang w:val="sr-Latn-ME"/>
        </w:rPr>
        <w:t xml:space="preserve">). Efikasnost lijeka Akynzeo procijenjena je kod 135 pacijenata koji su primili jednu oralnu dozu (netupitant 300 mg i palonosetron 0,5 mg) i kod 136 pacijenata koji su primili samo oralni palonosetron u dozi od 0,5 mg. </w:t>
      </w:r>
    </w:p>
    <w:p w14:paraId="799490E6"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5387AF68"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U sljedećoj tabeli prikazani su terapijski režimi grupa koje su primale lijek Akynzeo i palonosetron 0,5 mg</w:t>
      </w:r>
      <w:r w:rsidRPr="007C19A2">
        <w:rPr>
          <w:color w:val="000000"/>
          <w:sz w:val="22"/>
          <w:szCs w:val="22"/>
          <w:lang w:val="sr-Latn-ME"/>
        </w:rPr>
        <w:t>.</w:t>
      </w:r>
    </w:p>
    <w:p w14:paraId="1760F955"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color w:val="000000"/>
          <w:sz w:val="22"/>
          <w:szCs w:val="22"/>
          <w:lang w:val="sr-Latn-ME"/>
        </w:rPr>
      </w:pPr>
    </w:p>
    <w:p w14:paraId="7E49EF77" w14:textId="09C98A61" w:rsidR="002F5087" w:rsidRPr="007C19A2" w:rsidRDefault="004F55B0" w:rsidP="002F5087">
      <w:p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color w:val="000000"/>
          <w:sz w:val="22"/>
          <w:szCs w:val="22"/>
          <w:lang w:val="sr-Latn-ME"/>
        </w:rPr>
      </w:pPr>
      <w:r w:rsidRPr="007C19A2">
        <w:rPr>
          <w:b/>
          <w:color w:val="000000"/>
          <w:sz w:val="22"/>
          <w:szCs w:val="22"/>
          <w:lang w:val="sr-Latn-ME"/>
        </w:rPr>
        <w:t xml:space="preserve">Tabela 2: </w:t>
      </w:r>
      <w:r w:rsidR="002F5087" w:rsidRPr="007C19A2">
        <w:rPr>
          <w:b/>
          <w:color w:val="000000"/>
          <w:sz w:val="22"/>
          <w:szCs w:val="22"/>
          <w:lang w:val="sr-Latn-ME"/>
        </w:rPr>
        <w:t>Režim liječenja oralnim antiemeticima –</w:t>
      </w:r>
      <w:r w:rsidR="002F5087" w:rsidRPr="007C19A2">
        <w:rPr>
          <w:b/>
          <w:sz w:val="22"/>
          <w:szCs w:val="22"/>
          <w:lang w:val="sr-Latn-ME"/>
        </w:rPr>
        <w:t xml:space="preserve"> ispitivanje visoko emetogene hem</w:t>
      </w:r>
      <w:r w:rsidR="00330615" w:rsidRPr="007C19A2">
        <w:rPr>
          <w:b/>
          <w:sz w:val="22"/>
          <w:szCs w:val="22"/>
          <w:lang w:val="sr-Latn-ME"/>
        </w:rPr>
        <w:t>i</w:t>
      </w:r>
      <w:r w:rsidR="002F5087" w:rsidRPr="007C19A2">
        <w:rPr>
          <w:b/>
          <w:sz w:val="22"/>
          <w:szCs w:val="22"/>
          <w:lang w:val="sr-Latn-ME"/>
        </w:rPr>
        <w:t>oterapije (HEC)</w:t>
      </w:r>
    </w:p>
    <w:p w14:paraId="7574B445"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426"/>
        <w:rPr>
          <w:sz w:val="22"/>
          <w:szCs w:val="22"/>
          <w:lang w:val="sr-Latn-ME"/>
        </w:rPr>
      </w:pPr>
    </w:p>
    <w:tbl>
      <w:tblPr>
        <w:tblW w:w="9075" w:type="dxa"/>
        <w:tblInd w:w="108" w:type="dxa"/>
        <w:tblLayout w:type="fixed"/>
        <w:tblLook w:val="04A0" w:firstRow="1" w:lastRow="0" w:firstColumn="1" w:lastColumn="0" w:noHBand="0" w:noVBand="1"/>
      </w:tblPr>
      <w:tblGrid>
        <w:gridCol w:w="2553"/>
        <w:gridCol w:w="3742"/>
        <w:gridCol w:w="2780"/>
      </w:tblGrid>
      <w:tr w:rsidR="002F5087" w:rsidRPr="007C19A2" w14:paraId="2A8E20B7" w14:textId="77777777" w:rsidTr="002F5087">
        <w:trPr>
          <w:trHeight w:val="163"/>
        </w:trPr>
        <w:tc>
          <w:tcPr>
            <w:tcW w:w="2552" w:type="dxa"/>
            <w:tcBorders>
              <w:top w:val="single" w:sz="6" w:space="0" w:color="auto"/>
              <w:left w:val="single" w:sz="4" w:space="0" w:color="000000"/>
              <w:bottom w:val="single" w:sz="4" w:space="0" w:color="auto"/>
              <w:right w:val="single" w:sz="4" w:space="0" w:color="auto"/>
            </w:tcBorders>
            <w:hideMark/>
          </w:tcPr>
          <w:p w14:paraId="1934A7A4"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Režim liječenja</w:t>
            </w:r>
          </w:p>
        </w:tc>
        <w:tc>
          <w:tcPr>
            <w:tcW w:w="3741" w:type="dxa"/>
            <w:tcBorders>
              <w:top w:val="single" w:sz="6" w:space="0" w:color="auto"/>
              <w:left w:val="single" w:sz="4" w:space="0" w:color="auto"/>
              <w:bottom w:val="single" w:sz="4" w:space="0" w:color="auto"/>
              <w:right w:val="single" w:sz="6" w:space="0" w:color="auto"/>
            </w:tcBorders>
            <w:hideMark/>
          </w:tcPr>
          <w:p w14:paraId="140FF9B3"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 xml:space="preserve">1. dan </w:t>
            </w:r>
          </w:p>
        </w:tc>
        <w:tc>
          <w:tcPr>
            <w:tcW w:w="2779" w:type="dxa"/>
            <w:tcBorders>
              <w:top w:val="single" w:sz="6" w:space="0" w:color="auto"/>
              <w:left w:val="single" w:sz="6" w:space="0" w:color="auto"/>
              <w:bottom w:val="single" w:sz="4" w:space="0" w:color="auto"/>
              <w:right w:val="single" w:sz="6" w:space="0" w:color="auto"/>
            </w:tcBorders>
            <w:hideMark/>
          </w:tcPr>
          <w:p w14:paraId="43EB0791"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 xml:space="preserve">Od 2. do 4. dana </w:t>
            </w:r>
          </w:p>
        </w:tc>
      </w:tr>
      <w:tr w:rsidR="002F5087" w:rsidRPr="007C19A2" w14:paraId="0E2F5E9C" w14:textId="77777777" w:rsidTr="002F5087">
        <w:trPr>
          <w:trHeight w:val="432"/>
        </w:trPr>
        <w:tc>
          <w:tcPr>
            <w:tcW w:w="2552" w:type="dxa"/>
            <w:tcBorders>
              <w:top w:val="single" w:sz="4" w:space="0" w:color="auto"/>
              <w:left w:val="single" w:sz="4" w:space="0" w:color="000000"/>
              <w:bottom w:val="single" w:sz="4" w:space="0" w:color="000000"/>
              <w:right w:val="single" w:sz="4" w:space="0" w:color="auto"/>
            </w:tcBorders>
            <w:hideMark/>
          </w:tcPr>
          <w:p w14:paraId="2989DA8F" w14:textId="77777777" w:rsidR="002F5087" w:rsidRPr="007C19A2" w:rsidRDefault="002F5087">
            <w:pPr>
              <w:autoSpaceDE w:val="0"/>
              <w:autoSpaceDN w:val="0"/>
              <w:adjustRightInd w:val="0"/>
              <w:jc w:val="both"/>
              <w:rPr>
                <w:color w:val="000000"/>
                <w:sz w:val="22"/>
                <w:szCs w:val="22"/>
                <w:lang w:val="sr-Latn-ME"/>
              </w:rPr>
            </w:pPr>
            <w:r w:rsidRPr="007C19A2">
              <w:rPr>
                <w:sz w:val="22"/>
                <w:szCs w:val="22"/>
                <w:lang w:val="sr-Latn-ME"/>
              </w:rPr>
              <w:t>Akynzeo</w:t>
            </w:r>
            <w:r w:rsidRPr="007C19A2">
              <w:rPr>
                <w:color w:val="000000"/>
                <w:sz w:val="22"/>
                <w:szCs w:val="22"/>
                <w:lang w:val="sr-Latn-ME"/>
              </w:rPr>
              <w:t xml:space="preserve"> </w:t>
            </w:r>
          </w:p>
        </w:tc>
        <w:tc>
          <w:tcPr>
            <w:tcW w:w="3741" w:type="dxa"/>
            <w:tcBorders>
              <w:top w:val="single" w:sz="4" w:space="0" w:color="auto"/>
              <w:left w:val="single" w:sz="4" w:space="0" w:color="auto"/>
              <w:bottom w:val="single" w:sz="4" w:space="0" w:color="000000"/>
              <w:right w:val="single" w:sz="6" w:space="0" w:color="auto"/>
            </w:tcBorders>
            <w:hideMark/>
          </w:tcPr>
          <w:p w14:paraId="28925DC4"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Akynzeo (netupitant 300 mg +</w:t>
            </w:r>
          </w:p>
          <w:p w14:paraId="1223FC6D"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 xml:space="preserve">palonosetron </w:t>
            </w:r>
            <w:r w:rsidRPr="007C19A2">
              <w:rPr>
                <w:sz w:val="22"/>
                <w:szCs w:val="22"/>
                <w:lang w:val="sr-Latn-ME"/>
              </w:rPr>
              <w:t>0,5 mg</w:t>
            </w:r>
            <w:r w:rsidRPr="007C19A2">
              <w:rPr>
                <w:color w:val="000000"/>
                <w:sz w:val="22"/>
                <w:szCs w:val="22"/>
                <w:lang w:val="sr-Latn-ME"/>
              </w:rPr>
              <w:t xml:space="preserve">) </w:t>
            </w:r>
          </w:p>
          <w:p w14:paraId="09979B5F"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 xml:space="preserve">deksametazon 12 mg </w:t>
            </w:r>
          </w:p>
        </w:tc>
        <w:tc>
          <w:tcPr>
            <w:tcW w:w="2779" w:type="dxa"/>
            <w:tcBorders>
              <w:top w:val="single" w:sz="4" w:space="0" w:color="auto"/>
              <w:left w:val="single" w:sz="6" w:space="0" w:color="auto"/>
              <w:bottom w:val="single" w:sz="4" w:space="0" w:color="000000"/>
              <w:right w:val="single" w:sz="6" w:space="0" w:color="auto"/>
            </w:tcBorders>
            <w:hideMark/>
          </w:tcPr>
          <w:p w14:paraId="183040B7"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 xml:space="preserve">deksametazon 8 mg jednom dnevno </w:t>
            </w:r>
          </w:p>
        </w:tc>
      </w:tr>
      <w:tr w:rsidR="002F5087" w:rsidRPr="007C19A2" w14:paraId="20050295" w14:textId="77777777" w:rsidTr="002F5087">
        <w:trPr>
          <w:trHeight w:val="310"/>
        </w:trPr>
        <w:tc>
          <w:tcPr>
            <w:tcW w:w="2552" w:type="dxa"/>
            <w:tcBorders>
              <w:top w:val="single" w:sz="4" w:space="0" w:color="000000"/>
              <w:left w:val="single" w:sz="4" w:space="0" w:color="000000"/>
              <w:bottom w:val="single" w:sz="6" w:space="0" w:color="000000"/>
              <w:right w:val="single" w:sz="4" w:space="0" w:color="auto"/>
            </w:tcBorders>
            <w:hideMark/>
          </w:tcPr>
          <w:p w14:paraId="4A4D4E01" w14:textId="77777777" w:rsidR="002F5087" w:rsidRPr="007C19A2" w:rsidRDefault="002F5087">
            <w:pPr>
              <w:tabs>
                <w:tab w:val="right" w:pos="2336"/>
              </w:tabs>
              <w:autoSpaceDE w:val="0"/>
              <w:autoSpaceDN w:val="0"/>
              <w:adjustRightInd w:val="0"/>
              <w:jc w:val="both"/>
              <w:rPr>
                <w:color w:val="000000"/>
                <w:sz w:val="22"/>
                <w:szCs w:val="22"/>
                <w:lang w:val="sr-Latn-ME"/>
              </w:rPr>
            </w:pPr>
            <w:r w:rsidRPr="007C19A2">
              <w:rPr>
                <w:color w:val="000000"/>
                <w:sz w:val="22"/>
                <w:szCs w:val="22"/>
                <w:lang w:val="sr-Latn-ME"/>
              </w:rPr>
              <w:t xml:space="preserve">Palonosetron </w:t>
            </w:r>
            <w:r w:rsidRPr="007C19A2">
              <w:rPr>
                <w:color w:val="000000"/>
                <w:sz w:val="22"/>
                <w:szCs w:val="22"/>
                <w:lang w:val="sr-Latn-ME"/>
              </w:rPr>
              <w:tab/>
            </w:r>
          </w:p>
        </w:tc>
        <w:tc>
          <w:tcPr>
            <w:tcW w:w="3741" w:type="dxa"/>
            <w:tcBorders>
              <w:top w:val="single" w:sz="4" w:space="0" w:color="000000"/>
              <w:left w:val="single" w:sz="4" w:space="0" w:color="auto"/>
              <w:bottom w:val="single" w:sz="6" w:space="0" w:color="000000"/>
              <w:right w:val="single" w:sz="6" w:space="0" w:color="auto"/>
            </w:tcBorders>
            <w:hideMark/>
          </w:tcPr>
          <w:p w14:paraId="12B65335"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 xml:space="preserve">palonosetron </w:t>
            </w:r>
            <w:r w:rsidRPr="007C19A2">
              <w:rPr>
                <w:sz w:val="22"/>
                <w:szCs w:val="22"/>
                <w:lang w:val="sr-Latn-ME"/>
              </w:rPr>
              <w:t>0,5 mg</w:t>
            </w:r>
            <w:r w:rsidRPr="007C19A2">
              <w:rPr>
                <w:color w:val="000000"/>
                <w:sz w:val="22"/>
                <w:szCs w:val="22"/>
                <w:lang w:val="sr-Latn-ME"/>
              </w:rPr>
              <w:t xml:space="preserve"> </w:t>
            </w:r>
          </w:p>
          <w:p w14:paraId="77A2DFBC" w14:textId="77777777"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deksametazon 20 mg</w:t>
            </w:r>
          </w:p>
        </w:tc>
        <w:tc>
          <w:tcPr>
            <w:tcW w:w="2779" w:type="dxa"/>
            <w:tcBorders>
              <w:top w:val="single" w:sz="4" w:space="0" w:color="000000"/>
              <w:left w:val="single" w:sz="6" w:space="0" w:color="auto"/>
              <w:bottom w:val="single" w:sz="6" w:space="0" w:color="000000"/>
              <w:right w:val="single" w:sz="6" w:space="0" w:color="auto"/>
            </w:tcBorders>
            <w:hideMark/>
          </w:tcPr>
          <w:p w14:paraId="3E6E1413" w14:textId="7698FF43" w:rsidR="002F5087" w:rsidRPr="007C19A2" w:rsidRDefault="002F5087">
            <w:pPr>
              <w:autoSpaceDE w:val="0"/>
              <w:autoSpaceDN w:val="0"/>
              <w:adjustRightInd w:val="0"/>
              <w:jc w:val="both"/>
              <w:rPr>
                <w:color w:val="000000"/>
                <w:sz w:val="22"/>
                <w:szCs w:val="22"/>
                <w:lang w:val="sr-Latn-ME"/>
              </w:rPr>
            </w:pPr>
            <w:r w:rsidRPr="007C19A2">
              <w:rPr>
                <w:color w:val="000000"/>
                <w:sz w:val="22"/>
                <w:szCs w:val="22"/>
                <w:lang w:val="sr-Latn-ME"/>
              </w:rPr>
              <w:t>deksametazon 8 mg dva</w:t>
            </w:r>
            <w:r w:rsidR="001940A3" w:rsidRPr="007C19A2">
              <w:rPr>
                <w:color w:val="000000"/>
                <w:sz w:val="22"/>
                <w:szCs w:val="22"/>
                <w:lang w:val="sr-Latn-ME"/>
              </w:rPr>
              <w:t xml:space="preserve"> </w:t>
            </w:r>
            <w:r w:rsidRPr="007C19A2">
              <w:rPr>
                <w:color w:val="000000"/>
                <w:sz w:val="22"/>
                <w:szCs w:val="22"/>
                <w:lang w:val="sr-Latn-ME"/>
              </w:rPr>
              <w:t>put</w:t>
            </w:r>
            <w:r w:rsidR="001940A3" w:rsidRPr="007C19A2">
              <w:rPr>
                <w:color w:val="000000"/>
                <w:sz w:val="22"/>
                <w:szCs w:val="22"/>
                <w:lang w:val="sr-Latn-ME"/>
              </w:rPr>
              <w:t>a</w:t>
            </w:r>
            <w:r w:rsidRPr="007C19A2">
              <w:rPr>
                <w:color w:val="000000"/>
                <w:sz w:val="22"/>
                <w:szCs w:val="22"/>
                <w:lang w:val="sr-Latn-ME"/>
              </w:rPr>
              <w:t xml:space="preserve"> dnevno</w:t>
            </w:r>
          </w:p>
        </w:tc>
      </w:tr>
    </w:tbl>
    <w:p w14:paraId="7B40D442" w14:textId="77777777" w:rsidR="002F5087" w:rsidRPr="007C19A2" w:rsidRDefault="002F5087" w:rsidP="002F5087">
      <w:pPr>
        <w:rPr>
          <w:sz w:val="22"/>
          <w:szCs w:val="22"/>
          <w:lang w:val="sr-Latn-ME"/>
        </w:rPr>
      </w:pPr>
    </w:p>
    <w:p w14:paraId="011BE8C8" w14:textId="13CE55CD" w:rsidR="002F5087" w:rsidRPr="007C19A2" w:rsidRDefault="002F5087" w:rsidP="002F5087">
      <w:pPr>
        <w:jc w:val="both"/>
        <w:rPr>
          <w:sz w:val="22"/>
          <w:szCs w:val="22"/>
          <w:lang w:val="sr-Latn-ME"/>
        </w:rPr>
      </w:pPr>
      <w:r w:rsidRPr="007C19A2">
        <w:rPr>
          <w:sz w:val="22"/>
          <w:szCs w:val="22"/>
          <w:lang w:val="sr-Latn-ME"/>
        </w:rPr>
        <w:lastRenderedPageBreak/>
        <w:t xml:space="preserve">Primarni </w:t>
      </w:r>
      <w:r w:rsidR="00A979B8" w:rsidRPr="007C19A2">
        <w:rPr>
          <w:sz w:val="22"/>
          <w:szCs w:val="22"/>
          <w:lang w:val="sr-Latn-ME"/>
        </w:rPr>
        <w:t>parametar praćenja</w:t>
      </w:r>
      <w:r w:rsidRPr="007C19A2">
        <w:rPr>
          <w:sz w:val="22"/>
          <w:szCs w:val="22"/>
          <w:lang w:val="sr-Latn-ME"/>
        </w:rPr>
        <w:t xml:space="preserve"> efikasnosti bila je stopa potpunog odgovora (</w:t>
      </w:r>
      <w:r w:rsidRPr="007C19A2">
        <w:rPr>
          <w:i/>
          <w:iCs/>
          <w:sz w:val="22"/>
          <w:szCs w:val="22"/>
          <w:lang w:val="sr-Latn-ME"/>
        </w:rPr>
        <w:t>complete response</w:t>
      </w:r>
      <w:r w:rsidRPr="007C19A2">
        <w:rPr>
          <w:sz w:val="22"/>
          <w:szCs w:val="22"/>
          <w:lang w:val="sr-Latn-ME"/>
        </w:rPr>
        <w:t>, CR) (definisan kao stanje bez emetičkih epizoda, bez simptomatske terapije) u okviru 120 sati (cijela faza) nakon početka primjene visoko emetogene hem</w:t>
      </w:r>
      <w:r w:rsidR="00330615" w:rsidRPr="007C19A2">
        <w:rPr>
          <w:sz w:val="22"/>
          <w:szCs w:val="22"/>
          <w:lang w:val="sr-Latn-ME"/>
        </w:rPr>
        <w:t>i</w:t>
      </w:r>
      <w:r w:rsidRPr="007C19A2">
        <w:rPr>
          <w:sz w:val="22"/>
          <w:szCs w:val="22"/>
          <w:lang w:val="sr-Latn-ME"/>
        </w:rPr>
        <w:t xml:space="preserve">oterapije. </w:t>
      </w:r>
    </w:p>
    <w:p w14:paraId="26BDFD6D" w14:textId="77777777" w:rsidR="002F5087" w:rsidRPr="007C19A2" w:rsidRDefault="002F5087" w:rsidP="002F5087">
      <w:pPr>
        <w:jc w:val="both"/>
        <w:rPr>
          <w:sz w:val="22"/>
          <w:szCs w:val="22"/>
          <w:lang w:val="sr-Latn-ME"/>
        </w:rPr>
      </w:pPr>
    </w:p>
    <w:p w14:paraId="61AFFDFD" w14:textId="77777777" w:rsidR="002F5087" w:rsidRPr="007C19A2" w:rsidRDefault="002F5087" w:rsidP="002F5087">
      <w:pPr>
        <w:jc w:val="both"/>
        <w:rPr>
          <w:sz w:val="22"/>
          <w:szCs w:val="22"/>
          <w:lang w:val="sr-Latn-ME"/>
        </w:rPr>
      </w:pPr>
      <w:r w:rsidRPr="007C19A2">
        <w:rPr>
          <w:sz w:val="22"/>
          <w:szCs w:val="22"/>
          <w:lang w:val="sr-Latn-ME"/>
        </w:rPr>
        <w:t>Ključni rezultati iz ove studije sažeto su prikazani u sljedećoj tabeli</w:t>
      </w:r>
      <w:r w:rsidRPr="007C19A2">
        <w:rPr>
          <w:color w:val="000000"/>
          <w:sz w:val="22"/>
          <w:szCs w:val="22"/>
          <w:lang w:val="sr-Latn-ME"/>
        </w:rPr>
        <w:t xml:space="preserve">. </w:t>
      </w:r>
    </w:p>
    <w:p w14:paraId="37AFAB84" w14:textId="77777777" w:rsidR="002F5087" w:rsidRPr="007C19A2" w:rsidRDefault="002F5087" w:rsidP="002F5087">
      <w:pPr>
        <w:jc w:val="both"/>
        <w:rPr>
          <w:color w:val="000000"/>
          <w:sz w:val="22"/>
          <w:szCs w:val="22"/>
          <w:lang w:val="sr-Latn-ME"/>
        </w:rPr>
      </w:pPr>
    </w:p>
    <w:p w14:paraId="6953A597" w14:textId="5B2F022A" w:rsidR="002F5087" w:rsidRPr="007C19A2" w:rsidRDefault="00A66B56" w:rsidP="002F50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color w:val="000000"/>
          <w:sz w:val="22"/>
          <w:szCs w:val="22"/>
          <w:lang w:val="sr-Latn-ME"/>
        </w:rPr>
      </w:pPr>
      <w:r w:rsidRPr="007C19A2">
        <w:rPr>
          <w:b/>
          <w:bCs/>
          <w:color w:val="000000"/>
          <w:sz w:val="22"/>
          <w:szCs w:val="22"/>
          <w:lang w:val="sr-Latn-ME"/>
        </w:rPr>
        <w:t>T</w:t>
      </w:r>
      <w:r w:rsidR="00690BFE" w:rsidRPr="007C19A2">
        <w:rPr>
          <w:b/>
          <w:bCs/>
          <w:color w:val="000000"/>
          <w:sz w:val="22"/>
          <w:szCs w:val="22"/>
          <w:lang w:val="sr-Latn-ME"/>
        </w:rPr>
        <w:t xml:space="preserve">abela 3: </w:t>
      </w:r>
      <w:r w:rsidR="002F5087" w:rsidRPr="007C19A2">
        <w:rPr>
          <w:b/>
          <w:bCs/>
          <w:color w:val="000000"/>
          <w:sz w:val="22"/>
          <w:szCs w:val="22"/>
          <w:lang w:val="sr-Latn-ME"/>
        </w:rPr>
        <w:t>Udio pacijenata koji su primali hem</w:t>
      </w:r>
      <w:r w:rsidR="00330615" w:rsidRPr="007C19A2">
        <w:rPr>
          <w:b/>
          <w:bCs/>
          <w:color w:val="000000"/>
          <w:sz w:val="22"/>
          <w:szCs w:val="22"/>
          <w:lang w:val="sr-Latn-ME"/>
        </w:rPr>
        <w:t>i</w:t>
      </w:r>
      <w:r w:rsidR="002F5087" w:rsidRPr="007C19A2">
        <w:rPr>
          <w:b/>
          <w:bCs/>
          <w:color w:val="000000"/>
          <w:sz w:val="22"/>
          <w:szCs w:val="22"/>
          <w:lang w:val="sr-Latn-ME"/>
        </w:rPr>
        <w:t>oterapiju cisplatinom kod kojih je postignut odgovor, prema terapijskoj grupi i fazi</w:t>
      </w:r>
    </w:p>
    <w:p w14:paraId="49048C5D" w14:textId="77777777" w:rsidR="002F5087" w:rsidRPr="007C19A2" w:rsidRDefault="002F5087" w:rsidP="002F50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color w:val="000000"/>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32"/>
        <w:gridCol w:w="1703"/>
        <w:gridCol w:w="1638"/>
        <w:gridCol w:w="1587"/>
      </w:tblGrid>
      <w:tr w:rsidR="002F5087" w:rsidRPr="007C19A2" w14:paraId="4F964FD7" w14:textId="77777777" w:rsidTr="002F5087">
        <w:trPr>
          <w:trHeight w:val="340"/>
        </w:trPr>
        <w:tc>
          <w:tcPr>
            <w:tcW w:w="2280" w:type="pct"/>
            <w:tcBorders>
              <w:top w:val="single" w:sz="4" w:space="0" w:color="auto"/>
              <w:left w:val="single" w:sz="4" w:space="0" w:color="auto"/>
              <w:bottom w:val="nil"/>
              <w:right w:val="single" w:sz="6" w:space="0" w:color="auto"/>
            </w:tcBorders>
            <w:shd w:val="clear" w:color="auto" w:fill="FFFFFF"/>
            <w:tcMar>
              <w:top w:w="13" w:type="dxa"/>
              <w:left w:w="13" w:type="dxa"/>
              <w:bottom w:w="0" w:type="dxa"/>
              <w:right w:w="13" w:type="dxa"/>
            </w:tcMar>
            <w:vAlign w:val="bottom"/>
          </w:tcPr>
          <w:p w14:paraId="4E89A4F3" w14:textId="77777777" w:rsidR="002F5087" w:rsidRPr="007C19A2" w:rsidRDefault="002F5087">
            <w:pPr>
              <w:tabs>
                <w:tab w:val="left" w:pos="360"/>
              </w:tabs>
              <w:rPr>
                <w:sz w:val="22"/>
                <w:szCs w:val="22"/>
                <w:lang w:val="sr-Latn-ME"/>
              </w:rPr>
            </w:pPr>
          </w:p>
        </w:tc>
        <w:tc>
          <w:tcPr>
            <w:tcW w:w="940" w:type="pct"/>
            <w:tcBorders>
              <w:top w:val="single" w:sz="4"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1189DDF7" w14:textId="77777777" w:rsidR="002F5087" w:rsidRPr="007C19A2" w:rsidRDefault="002F5087">
            <w:pPr>
              <w:tabs>
                <w:tab w:val="left" w:pos="360"/>
              </w:tabs>
              <w:jc w:val="center"/>
              <w:rPr>
                <w:sz w:val="22"/>
                <w:szCs w:val="22"/>
                <w:lang w:val="sr-Latn-ME"/>
              </w:rPr>
            </w:pPr>
            <w:r w:rsidRPr="007C19A2">
              <w:rPr>
                <w:sz w:val="22"/>
                <w:szCs w:val="22"/>
                <w:lang w:val="sr-Latn-ME"/>
              </w:rPr>
              <w:t>Akynzeo</w:t>
            </w:r>
          </w:p>
        </w:tc>
        <w:tc>
          <w:tcPr>
            <w:tcW w:w="904" w:type="pct"/>
            <w:tcBorders>
              <w:top w:val="single" w:sz="4"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7114FE7B" w14:textId="77777777" w:rsidR="002F5087" w:rsidRPr="007C19A2" w:rsidRDefault="002F5087">
            <w:pPr>
              <w:tabs>
                <w:tab w:val="left" w:pos="360"/>
              </w:tabs>
              <w:jc w:val="center"/>
              <w:rPr>
                <w:sz w:val="22"/>
                <w:szCs w:val="22"/>
                <w:lang w:val="sr-Latn-ME"/>
              </w:rPr>
            </w:pPr>
            <w:r w:rsidRPr="007C19A2">
              <w:rPr>
                <w:bCs/>
                <w:sz w:val="22"/>
                <w:szCs w:val="22"/>
                <w:lang w:val="sr-Latn-ME"/>
              </w:rPr>
              <w:t>Palonosetron</w:t>
            </w:r>
          </w:p>
          <w:p w14:paraId="4D73A5E6" w14:textId="77777777" w:rsidR="002F5087" w:rsidRPr="007C19A2" w:rsidRDefault="002F5087">
            <w:pPr>
              <w:tabs>
                <w:tab w:val="left" w:pos="360"/>
              </w:tabs>
              <w:jc w:val="center"/>
              <w:rPr>
                <w:sz w:val="22"/>
                <w:szCs w:val="22"/>
                <w:lang w:val="sr-Latn-ME"/>
              </w:rPr>
            </w:pPr>
            <w:r w:rsidRPr="007C19A2">
              <w:rPr>
                <w:sz w:val="22"/>
                <w:szCs w:val="22"/>
                <w:lang w:val="sr-Latn-ME"/>
              </w:rPr>
              <w:t>0,5 mg</w:t>
            </w:r>
            <w:r w:rsidRPr="007C19A2">
              <w:rPr>
                <w:bCs/>
                <w:sz w:val="22"/>
                <w:szCs w:val="22"/>
                <w:lang w:val="sr-Latn-ME"/>
              </w:rPr>
              <w:t xml:space="preserve"> </w:t>
            </w:r>
          </w:p>
        </w:tc>
        <w:tc>
          <w:tcPr>
            <w:tcW w:w="876" w:type="pct"/>
            <w:tcBorders>
              <w:top w:val="single" w:sz="4"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68B05413" w14:textId="77777777" w:rsidR="002F5087" w:rsidRPr="007C19A2" w:rsidRDefault="002F5087">
            <w:pPr>
              <w:tabs>
                <w:tab w:val="left" w:pos="360"/>
              </w:tabs>
              <w:jc w:val="center"/>
              <w:rPr>
                <w:sz w:val="22"/>
                <w:szCs w:val="22"/>
                <w:lang w:val="sr-Latn-ME"/>
              </w:rPr>
            </w:pPr>
            <w:r w:rsidRPr="007C19A2">
              <w:rPr>
                <w:bCs/>
                <w:sz w:val="22"/>
                <w:szCs w:val="22"/>
                <w:lang w:val="sr-Latn-ME"/>
              </w:rPr>
              <w:t>p-vrijednost</w:t>
            </w:r>
          </w:p>
        </w:tc>
      </w:tr>
      <w:tr w:rsidR="002F5087" w:rsidRPr="007C19A2" w14:paraId="0C95B890" w14:textId="77777777" w:rsidTr="002F5087">
        <w:trPr>
          <w:trHeight w:val="340"/>
        </w:trPr>
        <w:tc>
          <w:tcPr>
            <w:tcW w:w="2280" w:type="pct"/>
            <w:tcBorders>
              <w:top w:val="nil"/>
              <w:left w:val="single" w:sz="4" w:space="0" w:color="auto"/>
              <w:bottom w:val="nil"/>
              <w:right w:val="single" w:sz="6" w:space="0" w:color="auto"/>
            </w:tcBorders>
            <w:shd w:val="clear" w:color="auto" w:fill="FFFFFF"/>
            <w:tcMar>
              <w:top w:w="13" w:type="dxa"/>
              <w:left w:w="13" w:type="dxa"/>
              <w:bottom w:w="0" w:type="dxa"/>
              <w:right w:w="13" w:type="dxa"/>
            </w:tcMar>
            <w:vAlign w:val="bottom"/>
          </w:tcPr>
          <w:p w14:paraId="5481DD5F" w14:textId="77777777" w:rsidR="002F5087" w:rsidRPr="007C19A2" w:rsidRDefault="002F5087">
            <w:pPr>
              <w:tabs>
                <w:tab w:val="left" w:pos="360"/>
              </w:tabs>
              <w:rPr>
                <w:sz w:val="22"/>
                <w:szCs w:val="22"/>
                <w:lang w:val="sr-Latn-ME"/>
              </w:rPr>
            </w:pPr>
          </w:p>
        </w:tc>
        <w:tc>
          <w:tcPr>
            <w:tcW w:w="940"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15165F6E" w14:textId="77777777" w:rsidR="002F5087" w:rsidRPr="007C19A2" w:rsidRDefault="002F5087">
            <w:pPr>
              <w:jc w:val="center"/>
              <w:rPr>
                <w:i/>
                <w:sz w:val="22"/>
                <w:szCs w:val="22"/>
                <w:lang w:val="sr-Latn-ME"/>
              </w:rPr>
            </w:pPr>
            <w:r w:rsidRPr="007C19A2">
              <w:rPr>
                <w:bCs/>
                <w:sz w:val="22"/>
                <w:szCs w:val="22"/>
                <w:lang w:val="sr-Latn-ME"/>
              </w:rPr>
              <w:t>N=135</w:t>
            </w:r>
          </w:p>
        </w:tc>
        <w:tc>
          <w:tcPr>
            <w:tcW w:w="904"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1657B13E" w14:textId="77777777" w:rsidR="002F5087" w:rsidRPr="007C19A2" w:rsidRDefault="002F5087">
            <w:pPr>
              <w:jc w:val="center"/>
              <w:rPr>
                <w:i/>
                <w:sz w:val="22"/>
                <w:szCs w:val="22"/>
                <w:lang w:val="sr-Latn-ME"/>
              </w:rPr>
            </w:pPr>
            <w:r w:rsidRPr="007C19A2">
              <w:rPr>
                <w:bCs/>
                <w:sz w:val="22"/>
                <w:szCs w:val="22"/>
                <w:lang w:val="sr-Latn-ME"/>
              </w:rPr>
              <w:t>N=136</w:t>
            </w:r>
          </w:p>
        </w:tc>
        <w:tc>
          <w:tcPr>
            <w:tcW w:w="876"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3D37466E" w14:textId="77777777" w:rsidR="002F5087" w:rsidRPr="007C19A2" w:rsidRDefault="002F5087">
            <w:pPr>
              <w:tabs>
                <w:tab w:val="left" w:pos="360"/>
              </w:tabs>
              <w:jc w:val="center"/>
              <w:rPr>
                <w:sz w:val="22"/>
                <w:szCs w:val="22"/>
                <w:lang w:val="sr-Latn-ME"/>
              </w:rPr>
            </w:pPr>
          </w:p>
        </w:tc>
      </w:tr>
      <w:tr w:rsidR="002F5087" w:rsidRPr="007C19A2" w14:paraId="363791D3" w14:textId="77777777" w:rsidTr="002F5087">
        <w:trPr>
          <w:trHeight w:val="340"/>
        </w:trPr>
        <w:tc>
          <w:tcPr>
            <w:tcW w:w="2280" w:type="pct"/>
            <w:tcBorders>
              <w:top w:val="nil"/>
              <w:left w:val="single" w:sz="4"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66D6348B" w14:textId="77777777" w:rsidR="002F5087" w:rsidRPr="007C19A2" w:rsidRDefault="002F5087">
            <w:pPr>
              <w:tabs>
                <w:tab w:val="left" w:pos="360"/>
              </w:tabs>
              <w:rPr>
                <w:sz w:val="22"/>
                <w:szCs w:val="22"/>
                <w:lang w:val="sr-Latn-ME"/>
              </w:rPr>
            </w:pPr>
          </w:p>
        </w:tc>
        <w:tc>
          <w:tcPr>
            <w:tcW w:w="940" w:type="pct"/>
            <w:tcBorders>
              <w:top w:val="nil"/>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hideMark/>
          </w:tcPr>
          <w:p w14:paraId="42AA963B" w14:textId="77777777" w:rsidR="002F5087" w:rsidRPr="007C19A2" w:rsidRDefault="002F5087">
            <w:pPr>
              <w:jc w:val="center"/>
              <w:rPr>
                <w:i/>
                <w:sz w:val="22"/>
                <w:szCs w:val="22"/>
                <w:lang w:val="sr-Latn-ME"/>
              </w:rPr>
            </w:pPr>
            <w:r w:rsidRPr="007C19A2">
              <w:rPr>
                <w:bCs/>
                <w:sz w:val="22"/>
                <w:szCs w:val="22"/>
                <w:lang w:val="sr-Latn-ME"/>
              </w:rPr>
              <w:t>%</w:t>
            </w:r>
          </w:p>
        </w:tc>
        <w:tc>
          <w:tcPr>
            <w:tcW w:w="904" w:type="pct"/>
            <w:tcBorders>
              <w:top w:val="nil"/>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hideMark/>
          </w:tcPr>
          <w:p w14:paraId="25523831" w14:textId="77777777" w:rsidR="002F5087" w:rsidRPr="007C19A2" w:rsidRDefault="002F5087">
            <w:pPr>
              <w:jc w:val="center"/>
              <w:rPr>
                <w:i/>
                <w:sz w:val="22"/>
                <w:szCs w:val="22"/>
                <w:lang w:val="sr-Latn-ME"/>
              </w:rPr>
            </w:pPr>
            <w:r w:rsidRPr="007C19A2">
              <w:rPr>
                <w:bCs/>
                <w:sz w:val="22"/>
                <w:szCs w:val="22"/>
                <w:lang w:val="sr-Latn-ME"/>
              </w:rPr>
              <w:t>%</w:t>
            </w:r>
          </w:p>
        </w:tc>
        <w:tc>
          <w:tcPr>
            <w:tcW w:w="876" w:type="pct"/>
            <w:tcBorders>
              <w:top w:val="nil"/>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5E4272B6" w14:textId="77777777" w:rsidR="002F5087" w:rsidRPr="007C19A2" w:rsidRDefault="002F5087">
            <w:pPr>
              <w:jc w:val="center"/>
              <w:rPr>
                <w:i/>
                <w:sz w:val="22"/>
                <w:szCs w:val="22"/>
                <w:lang w:val="sr-Latn-ME"/>
              </w:rPr>
            </w:pPr>
          </w:p>
        </w:tc>
      </w:tr>
      <w:tr w:rsidR="002F5087" w:rsidRPr="007C19A2" w14:paraId="038E0A00" w14:textId="77777777" w:rsidTr="002F5087">
        <w:trPr>
          <w:trHeight w:val="340"/>
        </w:trPr>
        <w:tc>
          <w:tcPr>
            <w:tcW w:w="2280" w:type="pct"/>
            <w:tcBorders>
              <w:top w:val="single" w:sz="6" w:space="0" w:color="auto"/>
              <w:left w:val="single" w:sz="4" w:space="0" w:color="auto"/>
              <w:bottom w:val="single" w:sz="6" w:space="0" w:color="auto"/>
              <w:right w:val="single" w:sz="6" w:space="0" w:color="auto"/>
            </w:tcBorders>
            <w:shd w:val="clear" w:color="auto" w:fill="FFFFFF"/>
            <w:tcMar>
              <w:top w:w="13" w:type="dxa"/>
              <w:left w:w="13" w:type="dxa"/>
              <w:bottom w:w="0" w:type="dxa"/>
              <w:right w:w="13" w:type="dxa"/>
            </w:tcMar>
            <w:vAlign w:val="bottom"/>
            <w:hideMark/>
          </w:tcPr>
          <w:p w14:paraId="0CE2201A" w14:textId="6DBE538A" w:rsidR="002F5087" w:rsidRPr="007C19A2" w:rsidRDefault="002F5087">
            <w:pPr>
              <w:tabs>
                <w:tab w:val="left" w:pos="360"/>
              </w:tabs>
              <w:rPr>
                <w:sz w:val="22"/>
                <w:szCs w:val="22"/>
                <w:lang w:val="sr-Latn-ME"/>
              </w:rPr>
            </w:pPr>
            <w:r w:rsidRPr="007C19A2">
              <w:rPr>
                <w:bCs/>
                <w:sz w:val="22"/>
                <w:szCs w:val="22"/>
                <w:lang w:val="sr-Latn-ME"/>
              </w:rPr>
              <w:t xml:space="preserve">Primarni </w:t>
            </w:r>
            <w:r w:rsidR="00690BFE" w:rsidRPr="007C19A2">
              <w:rPr>
                <w:bCs/>
                <w:sz w:val="22"/>
                <w:szCs w:val="22"/>
                <w:lang w:val="sr-Latn-ME"/>
              </w:rPr>
              <w:t>parametar praćenja</w:t>
            </w:r>
          </w:p>
        </w:tc>
        <w:tc>
          <w:tcPr>
            <w:tcW w:w="940" w:type="pct"/>
            <w:tcBorders>
              <w:top w:val="single" w:sz="6" w:space="0" w:color="auto"/>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59F62DC1" w14:textId="77777777" w:rsidR="002F5087" w:rsidRPr="007C19A2" w:rsidRDefault="002F5087">
            <w:pPr>
              <w:tabs>
                <w:tab w:val="left" w:pos="360"/>
              </w:tabs>
              <w:jc w:val="center"/>
              <w:rPr>
                <w:sz w:val="22"/>
                <w:szCs w:val="22"/>
                <w:lang w:val="sr-Latn-ME"/>
              </w:rPr>
            </w:pPr>
          </w:p>
        </w:tc>
        <w:tc>
          <w:tcPr>
            <w:tcW w:w="904" w:type="pct"/>
            <w:tcBorders>
              <w:top w:val="single" w:sz="6" w:space="0" w:color="auto"/>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54463AAD" w14:textId="77777777" w:rsidR="002F5087" w:rsidRPr="007C19A2" w:rsidRDefault="002F5087">
            <w:pPr>
              <w:tabs>
                <w:tab w:val="left" w:pos="360"/>
              </w:tabs>
              <w:jc w:val="center"/>
              <w:rPr>
                <w:sz w:val="22"/>
                <w:szCs w:val="22"/>
                <w:lang w:val="sr-Latn-ME"/>
              </w:rPr>
            </w:pPr>
          </w:p>
        </w:tc>
        <w:tc>
          <w:tcPr>
            <w:tcW w:w="876" w:type="pct"/>
            <w:tcBorders>
              <w:top w:val="single" w:sz="6" w:space="0" w:color="auto"/>
              <w:left w:val="single" w:sz="6" w:space="0" w:color="auto"/>
              <w:bottom w:val="single" w:sz="6" w:space="0" w:color="auto"/>
              <w:right w:val="single" w:sz="4" w:space="0" w:color="auto"/>
            </w:tcBorders>
            <w:shd w:val="clear" w:color="auto" w:fill="FFFFFF"/>
            <w:tcMar>
              <w:top w:w="13" w:type="dxa"/>
              <w:left w:w="13" w:type="dxa"/>
              <w:bottom w:w="0" w:type="dxa"/>
              <w:right w:w="13" w:type="dxa"/>
            </w:tcMar>
            <w:vAlign w:val="bottom"/>
          </w:tcPr>
          <w:p w14:paraId="2545D877" w14:textId="77777777" w:rsidR="002F5087" w:rsidRPr="007C19A2" w:rsidRDefault="002F5087">
            <w:pPr>
              <w:tabs>
                <w:tab w:val="left" w:pos="360"/>
              </w:tabs>
              <w:jc w:val="center"/>
              <w:rPr>
                <w:sz w:val="22"/>
                <w:szCs w:val="22"/>
                <w:lang w:val="sr-Latn-ME"/>
              </w:rPr>
            </w:pPr>
          </w:p>
        </w:tc>
      </w:tr>
      <w:tr w:rsidR="002F5087" w:rsidRPr="007C19A2" w14:paraId="602F3ABB" w14:textId="77777777" w:rsidTr="002F5087">
        <w:trPr>
          <w:trHeight w:val="340"/>
        </w:trPr>
        <w:tc>
          <w:tcPr>
            <w:tcW w:w="2280" w:type="pct"/>
            <w:tcBorders>
              <w:top w:val="single" w:sz="6" w:space="0" w:color="auto"/>
              <w:left w:val="single" w:sz="4" w:space="0" w:color="auto"/>
              <w:bottom w:val="nil"/>
              <w:right w:val="single" w:sz="6" w:space="0" w:color="auto"/>
            </w:tcBorders>
            <w:shd w:val="clear" w:color="auto" w:fill="FFFFFF"/>
            <w:tcMar>
              <w:top w:w="13" w:type="dxa"/>
              <w:left w:w="13" w:type="dxa"/>
              <w:bottom w:w="0" w:type="dxa"/>
              <w:right w:w="13" w:type="dxa"/>
            </w:tcMar>
            <w:vAlign w:val="center"/>
            <w:hideMark/>
          </w:tcPr>
          <w:p w14:paraId="7B226163" w14:textId="77777777" w:rsidR="002F5087" w:rsidRPr="007C19A2" w:rsidRDefault="002F5087">
            <w:pPr>
              <w:tabs>
                <w:tab w:val="left" w:pos="360"/>
              </w:tabs>
              <w:rPr>
                <w:sz w:val="22"/>
                <w:szCs w:val="22"/>
                <w:lang w:val="sr-Latn-ME"/>
              </w:rPr>
            </w:pPr>
            <w:r w:rsidRPr="007C19A2">
              <w:rPr>
                <w:bCs/>
                <w:sz w:val="22"/>
                <w:szCs w:val="22"/>
                <w:lang w:val="sr-Latn-ME"/>
              </w:rPr>
              <w:t>Potpuni odgovor</w:t>
            </w:r>
          </w:p>
        </w:tc>
        <w:tc>
          <w:tcPr>
            <w:tcW w:w="940"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70FF066D" w14:textId="77777777" w:rsidR="002F5087" w:rsidRPr="007C19A2" w:rsidRDefault="002F5087">
            <w:pPr>
              <w:tabs>
                <w:tab w:val="left" w:pos="360"/>
              </w:tabs>
              <w:jc w:val="center"/>
              <w:rPr>
                <w:sz w:val="22"/>
                <w:szCs w:val="22"/>
                <w:lang w:val="sr-Latn-ME"/>
              </w:rPr>
            </w:pPr>
          </w:p>
        </w:tc>
        <w:tc>
          <w:tcPr>
            <w:tcW w:w="904"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02A6805B" w14:textId="77777777" w:rsidR="002F5087" w:rsidRPr="007C19A2" w:rsidRDefault="002F5087">
            <w:pPr>
              <w:tabs>
                <w:tab w:val="left" w:pos="360"/>
              </w:tabs>
              <w:jc w:val="center"/>
              <w:rPr>
                <w:sz w:val="22"/>
                <w:szCs w:val="22"/>
                <w:lang w:val="sr-Latn-ME"/>
              </w:rPr>
            </w:pPr>
          </w:p>
        </w:tc>
        <w:tc>
          <w:tcPr>
            <w:tcW w:w="876" w:type="pct"/>
            <w:tcBorders>
              <w:top w:val="single" w:sz="6" w:space="0" w:color="auto"/>
              <w:left w:val="single" w:sz="6" w:space="0" w:color="auto"/>
              <w:bottom w:val="nil"/>
              <w:right w:val="single" w:sz="4" w:space="0" w:color="auto"/>
            </w:tcBorders>
            <w:shd w:val="clear" w:color="auto" w:fill="FFFFFF"/>
            <w:tcMar>
              <w:top w:w="13" w:type="dxa"/>
              <w:left w:w="13" w:type="dxa"/>
              <w:bottom w:w="0" w:type="dxa"/>
              <w:right w:w="13" w:type="dxa"/>
            </w:tcMar>
            <w:vAlign w:val="bottom"/>
          </w:tcPr>
          <w:p w14:paraId="4896E72B" w14:textId="77777777" w:rsidR="002F5087" w:rsidRPr="007C19A2" w:rsidRDefault="002F5087">
            <w:pPr>
              <w:tabs>
                <w:tab w:val="left" w:pos="360"/>
              </w:tabs>
              <w:jc w:val="center"/>
              <w:rPr>
                <w:sz w:val="22"/>
                <w:szCs w:val="22"/>
                <w:lang w:val="sr-Latn-ME"/>
              </w:rPr>
            </w:pPr>
          </w:p>
        </w:tc>
      </w:tr>
      <w:tr w:rsidR="002F5087" w:rsidRPr="007C19A2" w14:paraId="20EB3446" w14:textId="77777777" w:rsidTr="002F5087">
        <w:trPr>
          <w:trHeight w:val="340"/>
        </w:trPr>
        <w:tc>
          <w:tcPr>
            <w:tcW w:w="2280" w:type="pct"/>
            <w:tcBorders>
              <w:top w:val="nil"/>
              <w:left w:val="single" w:sz="4" w:space="0" w:color="auto"/>
              <w:bottom w:val="single" w:sz="4" w:space="0" w:color="auto"/>
              <w:right w:val="single" w:sz="6" w:space="0" w:color="auto"/>
            </w:tcBorders>
            <w:shd w:val="clear" w:color="auto" w:fill="FFFFFF"/>
            <w:tcMar>
              <w:top w:w="13" w:type="dxa"/>
              <w:left w:w="13" w:type="dxa"/>
              <w:bottom w:w="0" w:type="dxa"/>
              <w:right w:w="13" w:type="dxa"/>
            </w:tcMar>
            <w:vAlign w:val="center"/>
            <w:hideMark/>
          </w:tcPr>
          <w:p w14:paraId="0EED0E2C" w14:textId="77777777" w:rsidR="002F5087" w:rsidRPr="007C19A2" w:rsidRDefault="002F5087">
            <w:pPr>
              <w:tabs>
                <w:tab w:val="left" w:pos="360"/>
              </w:tabs>
              <w:rPr>
                <w:sz w:val="22"/>
                <w:szCs w:val="22"/>
                <w:lang w:val="sr-Latn-ME"/>
              </w:rPr>
            </w:pPr>
            <w:r w:rsidRPr="007C19A2">
              <w:rPr>
                <w:bCs/>
                <w:sz w:val="22"/>
                <w:szCs w:val="22"/>
                <w:lang w:val="sr-Latn-ME"/>
              </w:rPr>
              <w:tab/>
              <w:t>Cijela faza</w:t>
            </w:r>
            <w:r w:rsidRPr="007C19A2">
              <w:rPr>
                <w:bCs/>
                <w:sz w:val="22"/>
                <w:szCs w:val="22"/>
                <w:vertAlign w:val="superscript"/>
                <w:lang w:val="sr-Latn-ME"/>
              </w:rPr>
              <w:t>§</w:t>
            </w:r>
          </w:p>
        </w:tc>
        <w:tc>
          <w:tcPr>
            <w:tcW w:w="940" w:type="pct"/>
            <w:tcBorders>
              <w:top w:val="nil"/>
              <w:left w:val="single" w:sz="6" w:space="0" w:color="auto"/>
              <w:bottom w:val="single" w:sz="4" w:space="0" w:color="auto"/>
              <w:right w:val="single" w:sz="6" w:space="0" w:color="auto"/>
            </w:tcBorders>
            <w:shd w:val="clear" w:color="auto" w:fill="FFFFFF"/>
            <w:tcMar>
              <w:top w:w="13" w:type="dxa"/>
              <w:left w:w="13" w:type="dxa"/>
              <w:bottom w:w="0" w:type="dxa"/>
              <w:right w:w="13" w:type="dxa"/>
            </w:tcMar>
            <w:vAlign w:val="bottom"/>
            <w:hideMark/>
          </w:tcPr>
          <w:p w14:paraId="37457996" w14:textId="77777777" w:rsidR="002F5087" w:rsidRPr="007C19A2" w:rsidRDefault="002F5087">
            <w:pPr>
              <w:jc w:val="center"/>
              <w:rPr>
                <w:i/>
                <w:sz w:val="22"/>
                <w:szCs w:val="22"/>
                <w:lang w:val="sr-Latn-ME"/>
              </w:rPr>
            </w:pPr>
            <w:r w:rsidRPr="007C19A2">
              <w:rPr>
                <w:bCs/>
                <w:sz w:val="22"/>
                <w:szCs w:val="22"/>
                <w:lang w:val="sr-Latn-ME"/>
              </w:rPr>
              <w:t>89,6</w:t>
            </w:r>
          </w:p>
        </w:tc>
        <w:tc>
          <w:tcPr>
            <w:tcW w:w="904" w:type="pct"/>
            <w:tcBorders>
              <w:top w:val="nil"/>
              <w:left w:val="single" w:sz="6" w:space="0" w:color="auto"/>
              <w:bottom w:val="single" w:sz="4" w:space="0" w:color="auto"/>
              <w:right w:val="single" w:sz="6" w:space="0" w:color="auto"/>
            </w:tcBorders>
            <w:shd w:val="clear" w:color="auto" w:fill="FFFFFF"/>
            <w:tcMar>
              <w:top w:w="13" w:type="dxa"/>
              <w:left w:w="13" w:type="dxa"/>
              <w:bottom w:w="0" w:type="dxa"/>
              <w:right w:w="13" w:type="dxa"/>
            </w:tcMar>
            <w:vAlign w:val="bottom"/>
            <w:hideMark/>
          </w:tcPr>
          <w:p w14:paraId="7F5653E4" w14:textId="77777777" w:rsidR="002F5087" w:rsidRPr="007C19A2" w:rsidRDefault="002F5087">
            <w:pPr>
              <w:jc w:val="center"/>
              <w:rPr>
                <w:i/>
                <w:sz w:val="22"/>
                <w:szCs w:val="22"/>
                <w:lang w:val="sr-Latn-ME"/>
              </w:rPr>
            </w:pPr>
            <w:r w:rsidRPr="007C19A2">
              <w:rPr>
                <w:bCs/>
                <w:sz w:val="22"/>
                <w:szCs w:val="22"/>
                <w:lang w:val="sr-Latn-ME"/>
              </w:rPr>
              <w:t>76,5</w:t>
            </w:r>
          </w:p>
        </w:tc>
        <w:tc>
          <w:tcPr>
            <w:tcW w:w="876" w:type="pct"/>
            <w:tcBorders>
              <w:top w:val="nil"/>
              <w:left w:val="single" w:sz="6" w:space="0" w:color="auto"/>
              <w:bottom w:val="single" w:sz="4" w:space="0" w:color="auto"/>
              <w:right w:val="single" w:sz="4" w:space="0" w:color="auto"/>
            </w:tcBorders>
            <w:shd w:val="clear" w:color="auto" w:fill="FFFFFF"/>
            <w:tcMar>
              <w:top w:w="13" w:type="dxa"/>
              <w:left w:w="13" w:type="dxa"/>
              <w:bottom w:w="0" w:type="dxa"/>
              <w:right w:w="13" w:type="dxa"/>
            </w:tcMar>
            <w:vAlign w:val="bottom"/>
            <w:hideMark/>
          </w:tcPr>
          <w:p w14:paraId="2DDD6151" w14:textId="77777777" w:rsidR="002F5087" w:rsidRPr="007C19A2" w:rsidRDefault="002F5087">
            <w:pPr>
              <w:ind w:left="283"/>
              <w:jc w:val="center"/>
              <w:rPr>
                <w:i/>
                <w:sz w:val="22"/>
                <w:szCs w:val="22"/>
                <w:lang w:val="sr-Latn-ME"/>
              </w:rPr>
            </w:pPr>
            <w:r w:rsidRPr="007C19A2">
              <w:rPr>
                <w:bCs/>
                <w:sz w:val="22"/>
                <w:szCs w:val="22"/>
                <w:lang w:val="sr-Latn-ME"/>
              </w:rPr>
              <w:t>0,004</w:t>
            </w:r>
          </w:p>
        </w:tc>
      </w:tr>
      <w:tr w:rsidR="002F5087" w:rsidRPr="007C19A2" w14:paraId="42745755" w14:textId="77777777" w:rsidTr="002F5087">
        <w:trPr>
          <w:trHeight w:val="340"/>
        </w:trPr>
        <w:tc>
          <w:tcPr>
            <w:tcW w:w="2280" w:type="pct"/>
            <w:tcBorders>
              <w:top w:val="single" w:sz="4" w:space="0" w:color="auto"/>
              <w:left w:val="single" w:sz="4" w:space="0" w:color="auto"/>
              <w:bottom w:val="single" w:sz="6" w:space="0" w:color="auto"/>
              <w:right w:val="single" w:sz="6" w:space="0" w:color="auto"/>
            </w:tcBorders>
            <w:shd w:val="clear" w:color="auto" w:fill="FFFFFF"/>
            <w:tcMar>
              <w:top w:w="13" w:type="dxa"/>
              <w:left w:w="13" w:type="dxa"/>
              <w:bottom w:w="0" w:type="dxa"/>
              <w:right w:w="13" w:type="dxa"/>
            </w:tcMar>
            <w:vAlign w:val="bottom"/>
            <w:hideMark/>
          </w:tcPr>
          <w:p w14:paraId="7A411EB8" w14:textId="3997CC92" w:rsidR="002F5087" w:rsidRPr="007C19A2" w:rsidRDefault="002F5087">
            <w:pPr>
              <w:tabs>
                <w:tab w:val="left" w:pos="360"/>
              </w:tabs>
              <w:spacing w:before="240"/>
              <w:rPr>
                <w:sz w:val="22"/>
                <w:szCs w:val="22"/>
                <w:lang w:val="sr-Latn-ME"/>
              </w:rPr>
            </w:pPr>
            <w:r w:rsidRPr="007C19A2">
              <w:rPr>
                <w:bCs/>
                <w:sz w:val="22"/>
                <w:szCs w:val="22"/>
                <w:lang w:val="sr-Latn-ME"/>
              </w:rPr>
              <w:t xml:space="preserve">Glavni sekundarni </w:t>
            </w:r>
            <w:r w:rsidR="00690BFE" w:rsidRPr="007C19A2">
              <w:rPr>
                <w:bCs/>
                <w:sz w:val="22"/>
                <w:szCs w:val="22"/>
                <w:lang w:val="sr-Latn-ME"/>
              </w:rPr>
              <w:t>parametri praćenja</w:t>
            </w:r>
          </w:p>
        </w:tc>
        <w:tc>
          <w:tcPr>
            <w:tcW w:w="940" w:type="pct"/>
            <w:tcBorders>
              <w:top w:val="single" w:sz="4" w:space="0" w:color="auto"/>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2F446903" w14:textId="77777777" w:rsidR="002F5087" w:rsidRPr="007C19A2" w:rsidRDefault="002F5087">
            <w:pPr>
              <w:tabs>
                <w:tab w:val="left" w:pos="360"/>
              </w:tabs>
              <w:spacing w:before="240"/>
              <w:jc w:val="center"/>
              <w:rPr>
                <w:sz w:val="22"/>
                <w:szCs w:val="22"/>
                <w:lang w:val="sr-Latn-ME"/>
              </w:rPr>
            </w:pPr>
          </w:p>
        </w:tc>
        <w:tc>
          <w:tcPr>
            <w:tcW w:w="904" w:type="pct"/>
            <w:tcBorders>
              <w:top w:val="single" w:sz="4" w:space="0" w:color="auto"/>
              <w:left w:val="single" w:sz="6" w:space="0" w:color="auto"/>
              <w:bottom w:val="single" w:sz="6" w:space="0" w:color="auto"/>
              <w:right w:val="single" w:sz="6" w:space="0" w:color="auto"/>
            </w:tcBorders>
            <w:shd w:val="clear" w:color="auto" w:fill="FFFFFF"/>
            <w:tcMar>
              <w:top w:w="13" w:type="dxa"/>
              <w:left w:w="13" w:type="dxa"/>
              <w:bottom w:w="0" w:type="dxa"/>
              <w:right w:w="13" w:type="dxa"/>
            </w:tcMar>
            <w:vAlign w:val="bottom"/>
          </w:tcPr>
          <w:p w14:paraId="6E7D6EC8" w14:textId="77777777" w:rsidR="002F5087" w:rsidRPr="007C19A2" w:rsidRDefault="002F5087">
            <w:pPr>
              <w:tabs>
                <w:tab w:val="left" w:pos="360"/>
              </w:tabs>
              <w:spacing w:before="240"/>
              <w:jc w:val="center"/>
              <w:rPr>
                <w:sz w:val="22"/>
                <w:szCs w:val="22"/>
                <w:lang w:val="sr-Latn-ME"/>
              </w:rPr>
            </w:pPr>
          </w:p>
        </w:tc>
        <w:tc>
          <w:tcPr>
            <w:tcW w:w="876" w:type="pct"/>
            <w:tcBorders>
              <w:top w:val="single" w:sz="4" w:space="0" w:color="auto"/>
              <w:left w:val="single" w:sz="6" w:space="0" w:color="auto"/>
              <w:bottom w:val="single" w:sz="6" w:space="0" w:color="auto"/>
              <w:right w:val="single" w:sz="4" w:space="0" w:color="auto"/>
            </w:tcBorders>
            <w:shd w:val="clear" w:color="auto" w:fill="FFFFFF"/>
            <w:tcMar>
              <w:top w:w="13" w:type="dxa"/>
              <w:left w:w="13" w:type="dxa"/>
              <w:bottom w:w="0" w:type="dxa"/>
              <w:right w:w="13" w:type="dxa"/>
            </w:tcMar>
            <w:vAlign w:val="bottom"/>
          </w:tcPr>
          <w:p w14:paraId="5D0FCE90" w14:textId="77777777" w:rsidR="002F5087" w:rsidRPr="007C19A2" w:rsidRDefault="002F5087">
            <w:pPr>
              <w:tabs>
                <w:tab w:val="left" w:pos="360"/>
              </w:tabs>
              <w:spacing w:before="240"/>
              <w:jc w:val="center"/>
              <w:rPr>
                <w:sz w:val="22"/>
                <w:szCs w:val="22"/>
                <w:lang w:val="sr-Latn-ME"/>
              </w:rPr>
            </w:pPr>
          </w:p>
        </w:tc>
      </w:tr>
      <w:tr w:rsidR="002F5087" w:rsidRPr="007C19A2" w14:paraId="64D09928" w14:textId="77777777" w:rsidTr="002F5087">
        <w:trPr>
          <w:trHeight w:val="340"/>
        </w:trPr>
        <w:tc>
          <w:tcPr>
            <w:tcW w:w="2280" w:type="pct"/>
            <w:tcBorders>
              <w:top w:val="single" w:sz="6" w:space="0" w:color="auto"/>
              <w:left w:val="single" w:sz="4" w:space="0" w:color="auto"/>
              <w:bottom w:val="nil"/>
              <w:right w:val="single" w:sz="6" w:space="0" w:color="auto"/>
            </w:tcBorders>
            <w:shd w:val="clear" w:color="auto" w:fill="FFFFFF"/>
            <w:tcMar>
              <w:top w:w="13" w:type="dxa"/>
              <w:left w:w="13" w:type="dxa"/>
              <w:bottom w:w="0" w:type="dxa"/>
              <w:right w:w="13" w:type="dxa"/>
            </w:tcMar>
            <w:vAlign w:val="center"/>
            <w:hideMark/>
          </w:tcPr>
          <w:p w14:paraId="04473CBD" w14:textId="77777777" w:rsidR="002F5087" w:rsidRPr="007C19A2" w:rsidRDefault="002F5087">
            <w:pPr>
              <w:tabs>
                <w:tab w:val="left" w:pos="360"/>
              </w:tabs>
              <w:rPr>
                <w:sz w:val="22"/>
                <w:szCs w:val="22"/>
                <w:lang w:val="sr-Latn-ME"/>
              </w:rPr>
            </w:pPr>
            <w:r w:rsidRPr="007C19A2">
              <w:rPr>
                <w:bCs/>
                <w:sz w:val="22"/>
                <w:szCs w:val="22"/>
                <w:lang w:val="sr-Latn-ME"/>
              </w:rPr>
              <w:t>Potpuni odgovor</w:t>
            </w:r>
          </w:p>
        </w:tc>
        <w:tc>
          <w:tcPr>
            <w:tcW w:w="940"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3BF1BE81" w14:textId="77777777" w:rsidR="002F5087" w:rsidRPr="007C19A2" w:rsidRDefault="002F5087">
            <w:pPr>
              <w:tabs>
                <w:tab w:val="left" w:pos="360"/>
              </w:tabs>
              <w:jc w:val="center"/>
              <w:rPr>
                <w:sz w:val="22"/>
                <w:szCs w:val="22"/>
                <w:lang w:val="sr-Latn-ME"/>
              </w:rPr>
            </w:pPr>
          </w:p>
        </w:tc>
        <w:tc>
          <w:tcPr>
            <w:tcW w:w="904"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44263C45" w14:textId="77777777" w:rsidR="002F5087" w:rsidRPr="007C19A2" w:rsidRDefault="002F5087">
            <w:pPr>
              <w:tabs>
                <w:tab w:val="left" w:pos="360"/>
              </w:tabs>
              <w:jc w:val="center"/>
              <w:rPr>
                <w:sz w:val="22"/>
                <w:szCs w:val="22"/>
                <w:lang w:val="sr-Latn-ME"/>
              </w:rPr>
            </w:pPr>
          </w:p>
        </w:tc>
        <w:tc>
          <w:tcPr>
            <w:tcW w:w="876" w:type="pct"/>
            <w:tcBorders>
              <w:top w:val="single" w:sz="6" w:space="0" w:color="auto"/>
              <w:left w:val="single" w:sz="6" w:space="0" w:color="auto"/>
              <w:bottom w:val="nil"/>
              <w:right w:val="single" w:sz="4" w:space="0" w:color="auto"/>
            </w:tcBorders>
            <w:shd w:val="clear" w:color="auto" w:fill="FFFFFF"/>
            <w:tcMar>
              <w:top w:w="13" w:type="dxa"/>
              <w:left w:w="13" w:type="dxa"/>
              <w:bottom w:w="0" w:type="dxa"/>
              <w:right w:w="13" w:type="dxa"/>
            </w:tcMar>
            <w:vAlign w:val="bottom"/>
          </w:tcPr>
          <w:p w14:paraId="09E30201" w14:textId="77777777" w:rsidR="002F5087" w:rsidRPr="007C19A2" w:rsidRDefault="002F5087">
            <w:pPr>
              <w:tabs>
                <w:tab w:val="left" w:pos="360"/>
              </w:tabs>
              <w:jc w:val="center"/>
              <w:rPr>
                <w:sz w:val="22"/>
                <w:szCs w:val="22"/>
                <w:lang w:val="sr-Latn-ME"/>
              </w:rPr>
            </w:pPr>
          </w:p>
        </w:tc>
      </w:tr>
      <w:tr w:rsidR="002F5087" w:rsidRPr="007C19A2" w14:paraId="06854569" w14:textId="77777777" w:rsidTr="002F5087">
        <w:trPr>
          <w:trHeight w:val="340"/>
        </w:trPr>
        <w:tc>
          <w:tcPr>
            <w:tcW w:w="2280" w:type="pct"/>
            <w:tcBorders>
              <w:top w:val="nil"/>
              <w:left w:val="single" w:sz="4" w:space="0" w:color="auto"/>
              <w:bottom w:val="nil"/>
              <w:right w:val="single" w:sz="6" w:space="0" w:color="auto"/>
            </w:tcBorders>
            <w:shd w:val="clear" w:color="auto" w:fill="FFFFFF"/>
            <w:hideMark/>
          </w:tcPr>
          <w:p w14:paraId="31908799" w14:textId="77777777" w:rsidR="002F5087" w:rsidRPr="007C19A2" w:rsidRDefault="002F5087">
            <w:pPr>
              <w:tabs>
                <w:tab w:val="left" w:pos="360"/>
              </w:tabs>
              <w:rPr>
                <w:sz w:val="22"/>
                <w:szCs w:val="22"/>
                <w:lang w:val="sr-Latn-ME"/>
              </w:rPr>
            </w:pPr>
            <w:r w:rsidRPr="007C19A2">
              <w:rPr>
                <w:bCs/>
                <w:sz w:val="22"/>
                <w:szCs w:val="22"/>
                <w:lang w:val="sr-Latn-ME"/>
              </w:rPr>
              <w:tab/>
              <w:t>Akutna faza</w:t>
            </w:r>
            <w:r w:rsidRPr="007C19A2">
              <w:rPr>
                <w:bCs/>
                <w:sz w:val="22"/>
                <w:szCs w:val="22"/>
                <w:vertAlign w:val="superscript"/>
                <w:lang w:val="sr-Latn-ME"/>
              </w:rPr>
              <w:t>‡</w:t>
            </w:r>
          </w:p>
        </w:tc>
        <w:tc>
          <w:tcPr>
            <w:tcW w:w="940" w:type="pct"/>
            <w:tcBorders>
              <w:top w:val="nil"/>
              <w:left w:val="single" w:sz="6" w:space="0" w:color="auto"/>
              <w:bottom w:val="nil"/>
              <w:right w:val="single" w:sz="6" w:space="0" w:color="auto"/>
            </w:tcBorders>
            <w:shd w:val="clear" w:color="auto" w:fill="FFFFFF"/>
            <w:hideMark/>
          </w:tcPr>
          <w:p w14:paraId="10AEB9EC" w14:textId="77777777" w:rsidR="002F5087" w:rsidRPr="007C19A2" w:rsidRDefault="002F5087">
            <w:pPr>
              <w:jc w:val="center"/>
              <w:rPr>
                <w:i/>
                <w:sz w:val="22"/>
                <w:szCs w:val="22"/>
                <w:lang w:val="sr-Latn-ME"/>
              </w:rPr>
            </w:pPr>
            <w:r w:rsidRPr="007C19A2">
              <w:rPr>
                <w:bCs/>
                <w:sz w:val="22"/>
                <w:szCs w:val="22"/>
                <w:lang w:val="sr-Latn-ME"/>
              </w:rPr>
              <w:t>98,5</w:t>
            </w:r>
          </w:p>
        </w:tc>
        <w:tc>
          <w:tcPr>
            <w:tcW w:w="904" w:type="pct"/>
            <w:tcBorders>
              <w:top w:val="nil"/>
              <w:left w:val="single" w:sz="6" w:space="0" w:color="auto"/>
              <w:bottom w:val="nil"/>
              <w:right w:val="single" w:sz="6" w:space="0" w:color="auto"/>
            </w:tcBorders>
            <w:shd w:val="clear" w:color="auto" w:fill="FFFFFF"/>
            <w:hideMark/>
          </w:tcPr>
          <w:p w14:paraId="1A1F5533" w14:textId="77777777" w:rsidR="002F5087" w:rsidRPr="007C19A2" w:rsidRDefault="002F5087">
            <w:pPr>
              <w:jc w:val="center"/>
              <w:rPr>
                <w:i/>
                <w:sz w:val="22"/>
                <w:szCs w:val="22"/>
                <w:lang w:val="sr-Latn-ME"/>
              </w:rPr>
            </w:pPr>
            <w:r w:rsidRPr="007C19A2">
              <w:rPr>
                <w:bCs/>
                <w:sz w:val="22"/>
                <w:szCs w:val="22"/>
                <w:lang w:val="sr-Latn-ME"/>
              </w:rPr>
              <w:t>89,7</w:t>
            </w:r>
          </w:p>
        </w:tc>
        <w:tc>
          <w:tcPr>
            <w:tcW w:w="876" w:type="pct"/>
            <w:tcBorders>
              <w:top w:val="nil"/>
              <w:left w:val="single" w:sz="6" w:space="0" w:color="auto"/>
              <w:bottom w:val="nil"/>
              <w:right w:val="single" w:sz="4" w:space="0" w:color="auto"/>
            </w:tcBorders>
            <w:shd w:val="clear" w:color="auto" w:fill="FFFFFF"/>
            <w:hideMark/>
          </w:tcPr>
          <w:p w14:paraId="3F143D6D" w14:textId="77777777" w:rsidR="002F5087" w:rsidRPr="007C19A2" w:rsidRDefault="002F5087">
            <w:pPr>
              <w:ind w:left="283"/>
              <w:jc w:val="center"/>
              <w:rPr>
                <w:b/>
                <w:i/>
                <w:sz w:val="22"/>
                <w:szCs w:val="22"/>
                <w:lang w:val="sr-Latn-ME"/>
              </w:rPr>
            </w:pPr>
            <w:r w:rsidRPr="007C19A2">
              <w:rPr>
                <w:bCs/>
                <w:sz w:val="22"/>
                <w:szCs w:val="22"/>
                <w:lang w:val="sr-Latn-ME"/>
              </w:rPr>
              <w:t>0,007</w:t>
            </w:r>
          </w:p>
        </w:tc>
      </w:tr>
      <w:tr w:rsidR="002F5087" w:rsidRPr="007C19A2" w14:paraId="0A6AB276" w14:textId="77777777" w:rsidTr="002F5087">
        <w:trPr>
          <w:trHeight w:val="340"/>
        </w:trPr>
        <w:tc>
          <w:tcPr>
            <w:tcW w:w="2280" w:type="pct"/>
            <w:tcBorders>
              <w:top w:val="nil"/>
              <w:left w:val="single" w:sz="4" w:space="0" w:color="auto"/>
              <w:bottom w:val="single" w:sz="6" w:space="0" w:color="auto"/>
              <w:right w:val="single" w:sz="6" w:space="0" w:color="auto"/>
            </w:tcBorders>
            <w:shd w:val="clear" w:color="auto" w:fill="FFFFFF"/>
            <w:hideMark/>
          </w:tcPr>
          <w:p w14:paraId="41C47335" w14:textId="77777777" w:rsidR="002F5087" w:rsidRPr="007C19A2" w:rsidRDefault="002F5087">
            <w:pPr>
              <w:tabs>
                <w:tab w:val="left" w:pos="360"/>
              </w:tabs>
              <w:rPr>
                <w:sz w:val="22"/>
                <w:szCs w:val="22"/>
                <w:lang w:val="sr-Latn-ME"/>
              </w:rPr>
            </w:pPr>
            <w:r w:rsidRPr="007C19A2">
              <w:rPr>
                <w:bCs/>
                <w:sz w:val="22"/>
                <w:szCs w:val="22"/>
                <w:lang w:val="sr-Latn-ME"/>
              </w:rPr>
              <w:tab/>
              <w:t>Odložena faza</w:t>
            </w:r>
            <w:r w:rsidRPr="007C19A2">
              <w:rPr>
                <w:bCs/>
                <w:sz w:val="22"/>
                <w:szCs w:val="22"/>
                <w:vertAlign w:val="superscript"/>
                <w:lang w:val="sr-Latn-ME"/>
              </w:rPr>
              <w:t>†</w:t>
            </w:r>
          </w:p>
        </w:tc>
        <w:tc>
          <w:tcPr>
            <w:tcW w:w="940" w:type="pct"/>
            <w:tcBorders>
              <w:top w:val="nil"/>
              <w:left w:val="single" w:sz="6" w:space="0" w:color="auto"/>
              <w:bottom w:val="single" w:sz="6" w:space="0" w:color="auto"/>
              <w:right w:val="single" w:sz="6" w:space="0" w:color="auto"/>
            </w:tcBorders>
            <w:shd w:val="clear" w:color="auto" w:fill="FFFFFF"/>
            <w:hideMark/>
          </w:tcPr>
          <w:p w14:paraId="28849C96" w14:textId="77777777" w:rsidR="002F5087" w:rsidRPr="007C19A2" w:rsidRDefault="002F5087">
            <w:pPr>
              <w:jc w:val="center"/>
              <w:rPr>
                <w:i/>
                <w:sz w:val="22"/>
                <w:szCs w:val="22"/>
                <w:lang w:val="sr-Latn-ME"/>
              </w:rPr>
            </w:pPr>
            <w:r w:rsidRPr="007C19A2">
              <w:rPr>
                <w:bCs/>
                <w:sz w:val="22"/>
                <w:szCs w:val="22"/>
                <w:lang w:val="sr-Latn-ME"/>
              </w:rPr>
              <w:t>90,4</w:t>
            </w:r>
          </w:p>
        </w:tc>
        <w:tc>
          <w:tcPr>
            <w:tcW w:w="904" w:type="pct"/>
            <w:tcBorders>
              <w:top w:val="nil"/>
              <w:left w:val="single" w:sz="6" w:space="0" w:color="auto"/>
              <w:bottom w:val="single" w:sz="6" w:space="0" w:color="auto"/>
              <w:right w:val="single" w:sz="6" w:space="0" w:color="auto"/>
            </w:tcBorders>
            <w:shd w:val="clear" w:color="auto" w:fill="FFFFFF"/>
            <w:hideMark/>
          </w:tcPr>
          <w:p w14:paraId="0277E24A" w14:textId="77777777" w:rsidR="002F5087" w:rsidRPr="007C19A2" w:rsidRDefault="002F5087">
            <w:pPr>
              <w:jc w:val="center"/>
              <w:rPr>
                <w:i/>
                <w:sz w:val="22"/>
                <w:szCs w:val="22"/>
                <w:lang w:val="sr-Latn-ME"/>
              </w:rPr>
            </w:pPr>
            <w:r w:rsidRPr="007C19A2">
              <w:rPr>
                <w:bCs/>
                <w:sz w:val="22"/>
                <w:szCs w:val="22"/>
                <w:lang w:val="sr-Latn-ME"/>
              </w:rPr>
              <w:t>80,1</w:t>
            </w:r>
          </w:p>
        </w:tc>
        <w:tc>
          <w:tcPr>
            <w:tcW w:w="876" w:type="pct"/>
            <w:tcBorders>
              <w:top w:val="nil"/>
              <w:left w:val="single" w:sz="6" w:space="0" w:color="auto"/>
              <w:bottom w:val="single" w:sz="6" w:space="0" w:color="auto"/>
              <w:right w:val="single" w:sz="4" w:space="0" w:color="auto"/>
            </w:tcBorders>
            <w:shd w:val="clear" w:color="auto" w:fill="FFFFFF"/>
            <w:hideMark/>
          </w:tcPr>
          <w:p w14:paraId="4C30E269" w14:textId="77777777" w:rsidR="002F5087" w:rsidRPr="007C19A2" w:rsidRDefault="002F5087">
            <w:pPr>
              <w:ind w:left="283"/>
              <w:jc w:val="center"/>
              <w:rPr>
                <w:i/>
                <w:sz w:val="22"/>
                <w:szCs w:val="22"/>
                <w:lang w:val="sr-Latn-ME"/>
              </w:rPr>
            </w:pPr>
            <w:r w:rsidRPr="007C19A2">
              <w:rPr>
                <w:bCs/>
                <w:sz w:val="22"/>
                <w:szCs w:val="22"/>
                <w:lang w:val="sr-Latn-ME"/>
              </w:rPr>
              <w:t>0,018</w:t>
            </w:r>
          </w:p>
        </w:tc>
      </w:tr>
      <w:tr w:rsidR="002F5087" w:rsidRPr="007C19A2" w14:paraId="3CB6D792" w14:textId="77777777" w:rsidTr="002F5087">
        <w:trPr>
          <w:trHeight w:val="340"/>
        </w:trPr>
        <w:tc>
          <w:tcPr>
            <w:tcW w:w="2280" w:type="pct"/>
            <w:tcBorders>
              <w:top w:val="single" w:sz="6" w:space="0" w:color="auto"/>
              <w:left w:val="single" w:sz="4" w:space="0" w:color="auto"/>
              <w:bottom w:val="nil"/>
              <w:right w:val="single" w:sz="4" w:space="0" w:color="auto"/>
            </w:tcBorders>
            <w:shd w:val="clear" w:color="auto" w:fill="FFFFFF"/>
            <w:tcMar>
              <w:top w:w="13" w:type="dxa"/>
              <w:left w:w="13" w:type="dxa"/>
              <w:bottom w:w="0" w:type="dxa"/>
              <w:right w:w="13" w:type="dxa"/>
            </w:tcMar>
            <w:vAlign w:val="center"/>
            <w:hideMark/>
          </w:tcPr>
          <w:p w14:paraId="3A4D1AF4" w14:textId="77777777" w:rsidR="002F5087" w:rsidRPr="007C19A2" w:rsidRDefault="002F5087">
            <w:pPr>
              <w:tabs>
                <w:tab w:val="left" w:pos="360"/>
              </w:tabs>
              <w:rPr>
                <w:sz w:val="22"/>
                <w:szCs w:val="22"/>
                <w:lang w:val="sr-Latn-ME"/>
              </w:rPr>
            </w:pPr>
            <w:r w:rsidRPr="007C19A2">
              <w:rPr>
                <w:bCs/>
                <w:sz w:val="22"/>
                <w:szCs w:val="22"/>
                <w:lang w:val="sr-Latn-ME"/>
              </w:rPr>
              <w:t>Bez emeze</w:t>
            </w:r>
          </w:p>
        </w:tc>
        <w:tc>
          <w:tcPr>
            <w:tcW w:w="940" w:type="pct"/>
            <w:tcBorders>
              <w:top w:val="single" w:sz="6" w:space="0" w:color="auto"/>
              <w:left w:val="single" w:sz="4" w:space="0" w:color="auto"/>
              <w:bottom w:val="nil"/>
              <w:right w:val="single" w:sz="4" w:space="0" w:color="auto"/>
            </w:tcBorders>
            <w:shd w:val="clear" w:color="auto" w:fill="FFFFFF"/>
            <w:tcMar>
              <w:top w:w="13" w:type="dxa"/>
              <w:left w:w="13" w:type="dxa"/>
              <w:bottom w:w="0" w:type="dxa"/>
              <w:right w:w="13" w:type="dxa"/>
            </w:tcMar>
            <w:vAlign w:val="bottom"/>
          </w:tcPr>
          <w:p w14:paraId="3B0FE46C" w14:textId="77777777" w:rsidR="002F5087" w:rsidRPr="007C19A2" w:rsidRDefault="002F5087">
            <w:pPr>
              <w:tabs>
                <w:tab w:val="left" w:pos="360"/>
              </w:tabs>
              <w:jc w:val="center"/>
              <w:rPr>
                <w:sz w:val="22"/>
                <w:szCs w:val="22"/>
                <w:lang w:val="sr-Latn-ME"/>
              </w:rPr>
            </w:pPr>
          </w:p>
        </w:tc>
        <w:tc>
          <w:tcPr>
            <w:tcW w:w="904" w:type="pct"/>
            <w:tcBorders>
              <w:top w:val="single" w:sz="6" w:space="0" w:color="auto"/>
              <w:left w:val="single" w:sz="4" w:space="0" w:color="auto"/>
              <w:bottom w:val="nil"/>
              <w:right w:val="single" w:sz="4" w:space="0" w:color="auto"/>
            </w:tcBorders>
            <w:shd w:val="clear" w:color="auto" w:fill="FFFFFF"/>
            <w:tcMar>
              <w:top w:w="13" w:type="dxa"/>
              <w:left w:w="13" w:type="dxa"/>
              <w:bottom w:w="0" w:type="dxa"/>
              <w:right w:w="13" w:type="dxa"/>
            </w:tcMar>
            <w:vAlign w:val="bottom"/>
          </w:tcPr>
          <w:p w14:paraId="6BBADEA5" w14:textId="77777777" w:rsidR="002F5087" w:rsidRPr="007C19A2" w:rsidRDefault="002F5087">
            <w:pPr>
              <w:tabs>
                <w:tab w:val="left" w:pos="360"/>
              </w:tabs>
              <w:jc w:val="center"/>
              <w:rPr>
                <w:sz w:val="22"/>
                <w:szCs w:val="22"/>
                <w:lang w:val="sr-Latn-ME"/>
              </w:rPr>
            </w:pPr>
          </w:p>
        </w:tc>
        <w:tc>
          <w:tcPr>
            <w:tcW w:w="876" w:type="pct"/>
            <w:tcBorders>
              <w:top w:val="single" w:sz="6" w:space="0" w:color="auto"/>
              <w:left w:val="single" w:sz="4" w:space="0" w:color="auto"/>
              <w:bottom w:val="nil"/>
              <w:right w:val="single" w:sz="4" w:space="0" w:color="auto"/>
            </w:tcBorders>
            <w:shd w:val="clear" w:color="auto" w:fill="FFFFFF"/>
            <w:tcMar>
              <w:top w:w="13" w:type="dxa"/>
              <w:left w:w="13" w:type="dxa"/>
              <w:bottom w:w="0" w:type="dxa"/>
              <w:right w:w="13" w:type="dxa"/>
            </w:tcMar>
            <w:vAlign w:val="bottom"/>
          </w:tcPr>
          <w:p w14:paraId="7AFC50DB" w14:textId="77777777" w:rsidR="002F5087" w:rsidRPr="007C19A2" w:rsidRDefault="002F5087">
            <w:pPr>
              <w:tabs>
                <w:tab w:val="left" w:pos="360"/>
              </w:tabs>
              <w:jc w:val="center"/>
              <w:rPr>
                <w:sz w:val="22"/>
                <w:szCs w:val="22"/>
                <w:lang w:val="sr-Latn-ME"/>
              </w:rPr>
            </w:pPr>
          </w:p>
        </w:tc>
      </w:tr>
      <w:tr w:rsidR="002F5087" w:rsidRPr="007C19A2" w14:paraId="664D769F" w14:textId="77777777" w:rsidTr="002F5087">
        <w:trPr>
          <w:trHeight w:val="340"/>
        </w:trPr>
        <w:tc>
          <w:tcPr>
            <w:tcW w:w="2280"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center"/>
            <w:hideMark/>
          </w:tcPr>
          <w:p w14:paraId="4D78D92D" w14:textId="77777777" w:rsidR="002F5087" w:rsidRPr="007C19A2" w:rsidRDefault="002F5087">
            <w:pPr>
              <w:tabs>
                <w:tab w:val="left" w:pos="360"/>
              </w:tabs>
              <w:rPr>
                <w:sz w:val="22"/>
                <w:szCs w:val="22"/>
                <w:lang w:val="sr-Latn-ME"/>
              </w:rPr>
            </w:pPr>
            <w:r w:rsidRPr="007C19A2">
              <w:rPr>
                <w:bCs/>
                <w:sz w:val="22"/>
                <w:szCs w:val="22"/>
                <w:lang w:val="sr-Latn-ME"/>
              </w:rPr>
              <w:tab/>
              <w:t>Akutna faza</w:t>
            </w:r>
          </w:p>
        </w:tc>
        <w:tc>
          <w:tcPr>
            <w:tcW w:w="940"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303064B9" w14:textId="77777777" w:rsidR="002F5087" w:rsidRPr="007C19A2" w:rsidRDefault="002F5087">
            <w:pPr>
              <w:jc w:val="center"/>
              <w:rPr>
                <w:i/>
                <w:sz w:val="22"/>
                <w:szCs w:val="22"/>
                <w:lang w:val="sr-Latn-ME"/>
              </w:rPr>
            </w:pPr>
            <w:r w:rsidRPr="007C19A2">
              <w:rPr>
                <w:bCs/>
                <w:sz w:val="22"/>
                <w:szCs w:val="22"/>
                <w:lang w:val="sr-Latn-ME"/>
              </w:rPr>
              <w:t>98,5</w:t>
            </w:r>
          </w:p>
        </w:tc>
        <w:tc>
          <w:tcPr>
            <w:tcW w:w="904"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4B94CAB9" w14:textId="77777777" w:rsidR="002F5087" w:rsidRPr="007C19A2" w:rsidRDefault="002F5087">
            <w:pPr>
              <w:jc w:val="center"/>
              <w:rPr>
                <w:i/>
                <w:sz w:val="22"/>
                <w:szCs w:val="22"/>
                <w:lang w:val="sr-Latn-ME"/>
              </w:rPr>
            </w:pPr>
            <w:r w:rsidRPr="007C19A2">
              <w:rPr>
                <w:bCs/>
                <w:sz w:val="22"/>
                <w:szCs w:val="22"/>
                <w:lang w:val="sr-Latn-ME"/>
              </w:rPr>
              <w:t>89,7</w:t>
            </w:r>
          </w:p>
        </w:tc>
        <w:tc>
          <w:tcPr>
            <w:tcW w:w="876"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2631F9EB" w14:textId="77777777" w:rsidR="002F5087" w:rsidRPr="007C19A2" w:rsidRDefault="002F5087">
            <w:pPr>
              <w:ind w:left="283"/>
              <w:jc w:val="center"/>
              <w:rPr>
                <w:i/>
                <w:sz w:val="22"/>
                <w:szCs w:val="22"/>
                <w:lang w:val="sr-Latn-ME"/>
              </w:rPr>
            </w:pPr>
            <w:r w:rsidRPr="007C19A2">
              <w:rPr>
                <w:bCs/>
                <w:sz w:val="22"/>
                <w:szCs w:val="22"/>
                <w:lang w:val="sr-Latn-ME"/>
              </w:rPr>
              <w:t>0,007</w:t>
            </w:r>
          </w:p>
        </w:tc>
      </w:tr>
      <w:tr w:rsidR="002F5087" w:rsidRPr="007C19A2" w14:paraId="1D4E8076" w14:textId="77777777" w:rsidTr="002F5087">
        <w:trPr>
          <w:trHeight w:val="340"/>
        </w:trPr>
        <w:tc>
          <w:tcPr>
            <w:tcW w:w="2280"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center"/>
            <w:hideMark/>
          </w:tcPr>
          <w:p w14:paraId="44CCB230" w14:textId="77777777" w:rsidR="002F5087" w:rsidRPr="007C19A2" w:rsidRDefault="002F5087">
            <w:pPr>
              <w:tabs>
                <w:tab w:val="left" w:pos="360"/>
              </w:tabs>
              <w:rPr>
                <w:sz w:val="22"/>
                <w:szCs w:val="22"/>
                <w:lang w:val="sr-Latn-ME"/>
              </w:rPr>
            </w:pPr>
            <w:r w:rsidRPr="007C19A2">
              <w:rPr>
                <w:bCs/>
                <w:sz w:val="22"/>
                <w:szCs w:val="22"/>
                <w:lang w:val="sr-Latn-ME"/>
              </w:rPr>
              <w:tab/>
              <w:t>Odložena faza</w:t>
            </w:r>
          </w:p>
        </w:tc>
        <w:tc>
          <w:tcPr>
            <w:tcW w:w="940"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7BDCC203" w14:textId="77777777" w:rsidR="002F5087" w:rsidRPr="007C19A2" w:rsidRDefault="002F5087">
            <w:pPr>
              <w:jc w:val="center"/>
              <w:rPr>
                <w:i/>
                <w:sz w:val="22"/>
                <w:szCs w:val="22"/>
                <w:lang w:val="sr-Latn-ME"/>
              </w:rPr>
            </w:pPr>
            <w:r w:rsidRPr="007C19A2">
              <w:rPr>
                <w:bCs/>
                <w:sz w:val="22"/>
                <w:szCs w:val="22"/>
                <w:lang w:val="sr-Latn-ME"/>
              </w:rPr>
              <w:t>91,9</w:t>
            </w:r>
          </w:p>
        </w:tc>
        <w:tc>
          <w:tcPr>
            <w:tcW w:w="904"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5F0BE07A" w14:textId="77777777" w:rsidR="002F5087" w:rsidRPr="007C19A2" w:rsidRDefault="002F5087">
            <w:pPr>
              <w:jc w:val="center"/>
              <w:rPr>
                <w:i/>
                <w:sz w:val="22"/>
                <w:szCs w:val="22"/>
                <w:lang w:val="sr-Latn-ME"/>
              </w:rPr>
            </w:pPr>
            <w:r w:rsidRPr="007C19A2">
              <w:rPr>
                <w:bCs/>
                <w:sz w:val="22"/>
                <w:szCs w:val="22"/>
                <w:lang w:val="sr-Latn-ME"/>
              </w:rPr>
              <w:t>80,1</w:t>
            </w:r>
          </w:p>
        </w:tc>
        <w:tc>
          <w:tcPr>
            <w:tcW w:w="876" w:type="pct"/>
            <w:tcBorders>
              <w:top w:val="nil"/>
              <w:left w:val="single" w:sz="4" w:space="0" w:color="auto"/>
              <w:bottom w:val="nil"/>
              <w:right w:val="single" w:sz="4" w:space="0" w:color="auto"/>
            </w:tcBorders>
            <w:shd w:val="clear" w:color="auto" w:fill="FFFFFF"/>
            <w:tcMar>
              <w:top w:w="13" w:type="dxa"/>
              <w:left w:w="13" w:type="dxa"/>
              <w:bottom w:w="0" w:type="dxa"/>
              <w:right w:w="13" w:type="dxa"/>
            </w:tcMar>
            <w:vAlign w:val="bottom"/>
            <w:hideMark/>
          </w:tcPr>
          <w:p w14:paraId="65AF9E08" w14:textId="77777777" w:rsidR="002F5087" w:rsidRPr="007C19A2" w:rsidRDefault="002F5087">
            <w:pPr>
              <w:ind w:left="283"/>
              <w:jc w:val="center"/>
              <w:rPr>
                <w:i/>
                <w:sz w:val="22"/>
                <w:szCs w:val="22"/>
                <w:lang w:val="sr-Latn-ME"/>
              </w:rPr>
            </w:pPr>
            <w:r w:rsidRPr="007C19A2">
              <w:rPr>
                <w:bCs/>
                <w:sz w:val="22"/>
                <w:szCs w:val="22"/>
                <w:lang w:val="sr-Latn-ME"/>
              </w:rPr>
              <w:t>0,006</w:t>
            </w:r>
          </w:p>
        </w:tc>
      </w:tr>
      <w:tr w:rsidR="002F5087" w:rsidRPr="007C19A2" w14:paraId="592F2794" w14:textId="77777777" w:rsidTr="002F5087">
        <w:trPr>
          <w:trHeight w:val="340"/>
        </w:trPr>
        <w:tc>
          <w:tcPr>
            <w:tcW w:w="2280" w:type="pct"/>
            <w:tcBorders>
              <w:top w:val="nil"/>
              <w:left w:val="single" w:sz="4" w:space="0" w:color="auto"/>
              <w:bottom w:val="single" w:sz="6" w:space="0" w:color="auto"/>
              <w:right w:val="single" w:sz="4" w:space="0" w:color="auto"/>
            </w:tcBorders>
            <w:shd w:val="clear" w:color="auto" w:fill="FFFFFF"/>
            <w:tcMar>
              <w:top w:w="13" w:type="dxa"/>
              <w:left w:w="13" w:type="dxa"/>
              <w:bottom w:w="0" w:type="dxa"/>
              <w:right w:w="13" w:type="dxa"/>
            </w:tcMar>
            <w:vAlign w:val="center"/>
            <w:hideMark/>
          </w:tcPr>
          <w:p w14:paraId="67A2E364" w14:textId="77777777" w:rsidR="002F5087" w:rsidRPr="007C19A2" w:rsidRDefault="002F5087">
            <w:pPr>
              <w:tabs>
                <w:tab w:val="left" w:pos="360"/>
              </w:tabs>
              <w:rPr>
                <w:sz w:val="22"/>
                <w:szCs w:val="22"/>
                <w:lang w:val="sr-Latn-ME"/>
              </w:rPr>
            </w:pPr>
            <w:r w:rsidRPr="007C19A2">
              <w:rPr>
                <w:bCs/>
                <w:sz w:val="22"/>
                <w:szCs w:val="22"/>
                <w:lang w:val="sr-Latn-ME"/>
              </w:rPr>
              <w:tab/>
              <w:t>Cijela faza</w:t>
            </w:r>
          </w:p>
        </w:tc>
        <w:tc>
          <w:tcPr>
            <w:tcW w:w="940" w:type="pct"/>
            <w:tcBorders>
              <w:top w:val="nil"/>
              <w:left w:val="single" w:sz="4" w:space="0" w:color="auto"/>
              <w:bottom w:val="single" w:sz="6" w:space="0" w:color="auto"/>
              <w:right w:val="single" w:sz="4" w:space="0" w:color="auto"/>
            </w:tcBorders>
            <w:shd w:val="clear" w:color="auto" w:fill="FFFFFF"/>
            <w:tcMar>
              <w:top w:w="13" w:type="dxa"/>
              <w:left w:w="13" w:type="dxa"/>
              <w:bottom w:w="0" w:type="dxa"/>
              <w:right w:w="13" w:type="dxa"/>
            </w:tcMar>
            <w:vAlign w:val="bottom"/>
            <w:hideMark/>
          </w:tcPr>
          <w:p w14:paraId="6EFA59D4" w14:textId="77777777" w:rsidR="002F5087" w:rsidRPr="007C19A2" w:rsidRDefault="002F5087">
            <w:pPr>
              <w:jc w:val="center"/>
              <w:rPr>
                <w:i/>
                <w:sz w:val="22"/>
                <w:szCs w:val="22"/>
                <w:lang w:val="sr-Latn-ME"/>
              </w:rPr>
            </w:pPr>
            <w:r w:rsidRPr="007C19A2">
              <w:rPr>
                <w:bCs/>
                <w:sz w:val="22"/>
                <w:szCs w:val="22"/>
                <w:lang w:val="sr-Latn-ME"/>
              </w:rPr>
              <w:t>91,1</w:t>
            </w:r>
          </w:p>
        </w:tc>
        <w:tc>
          <w:tcPr>
            <w:tcW w:w="904" w:type="pct"/>
            <w:tcBorders>
              <w:top w:val="nil"/>
              <w:left w:val="single" w:sz="4" w:space="0" w:color="auto"/>
              <w:bottom w:val="single" w:sz="6" w:space="0" w:color="auto"/>
              <w:right w:val="single" w:sz="4" w:space="0" w:color="auto"/>
            </w:tcBorders>
            <w:shd w:val="clear" w:color="auto" w:fill="FFFFFF"/>
            <w:tcMar>
              <w:top w:w="13" w:type="dxa"/>
              <w:left w:w="13" w:type="dxa"/>
              <w:bottom w:w="0" w:type="dxa"/>
              <w:right w:w="13" w:type="dxa"/>
            </w:tcMar>
            <w:vAlign w:val="bottom"/>
            <w:hideMark/>
          </w:tcPr>
          <w:p w14:paraId="15550671" w14:textId="77777777" w:rsidR="002F5087" w:rsidRPr="007C19A2" w:rsidRDefault="002F5087">
            <w:pPr>
              <w:jc w:val="center"/>
              <w:rPr>
                <w:i/>
                <w:sz w:val="22"/>
                <w:szCs w:val="22"/>
                <w:lang w:val="sr-Latn-ME"/>
              </w:rPr>
            </w:pPr>
            <w:r w:rsidRPr="007C19A2">
              <w:rPr>
                <w:bCs/>
                <w:sz w:val="22"/>
                <w:szCs w:val="22"/>
                <w:lang w:val="sr-Latn-ME"/>
              </w:rPr>
              <w:t>76,5</w:t>
            </w:r>
          </w:p>
        </w:tc>
        <w:tc>
          <w:tcPr>
            <w:tcW w:w="876" w:type="pct"/>
            <w:tcBorders>
              <w:top w:val="nil"/>
              <w:left w:val="single" w:sz="4" w:space="0" w:color="auto"/>
              <w:bottom w:val="single" w:sz="6" w:space="0" w:color="auto"/>
              <w:right w:val="single" w:sz="4" w:space="0" w:color="auto"/>
            </w:tcBorders>
            <w:shd w:val="clear" w:color="auto" w:fill="FFFFFF"/>
            <w:tcMar>
              <w:top w:w="13" w:type="dxa"/>
              <w:left w:w="13" w:type="dxa"/>
              <w:bottom w:w="0" w:type="dxa"/>
              <w:right w:w="13" w:type="dxa"/>
            </w:tcMar>
            <w:vAlign w:val="bottom"/>
            <w:hideMark/>
          </w:tcPr>
          <w:p w14:paraId="79E4CA3B" w14:textId="77777777" w:rsidR="002F5087" w:rsidRPr="007C19A2" w:rsidRDefault="002F5087">
            <w:pPr>
              <w:ind w:left="283"/>
              <w:jc w:val="center"/>
              <w:rPr>
                <w:i/>
                <w:sz w:val="22"/>
                <w:szCs w:val="22"/>
                <w:lang w:val="sr-Latn-ME"/>
              </w:rPr>
            </w:pPr>
            <w:r w:rsidRPr="007C19A2">
              <w:rPr>
                <w:bCs/>
                <w:sz w:val="22"/>
                <w:szCs w:val="22"/>
                <w:lang w:val="sr-Latn-ME"/>
              </w:rPr>
              <w:t>0,001</w:t>
            </w:r>
          </w:p>
        </w:tc>
      </w:tr>
      <w:tr w:rsidR="002F5087" w:rsidRPr="007C19A2" w14:paraId="12E7F34F" w14:textId="77777777" w:rsidTr="002F5087">
        <w:trPr>
          <w:trHeight w:val="340"/>
        </w:trPr>
        <w:tc>
          <w:tcPr>
            <w:tcW w:w="2280" w:type="pct"/>
            <w:tcBorders>
              <w:top w:val="single" w:sz="6" w:space="0" w:color="auto"/>
              <w:left w:val="single" w:sz="4" w:space="0" w:color="auto"/>
              <w:bottom w:val="nil"/>
              <w:right w:val="single" w:sz="6" w:space="0" w:color="auto"/>
            </w:tcBorders>
            <w:shd w:val="clear" w:color="auto" w:fill="FFFFFF"/>
            <w:tcMar>
              <w:top w:w="13" w:type="dxa"/>
              <w:left w:w="13" w:type="dxa"/>
              <w:bottom w:w="0" w:type="dxa"/>
              <w:right w:w="13" w:type="dxa"/>
            </w:tcMar>
            <w:vAlign w:val="center"/>
            <w:hideMark/>
          </w:tcPr>
          <w:p w14:paraId="010E3335" w14:textId="77777777" w:rsidR="002F5087" w:rsidRPr="007C19A2" w:rsidRDefault="002F5087">
            <w:pPr>
              <w:tabs>
                <w:tab w:val="left" w:pos="360"/>
              </w:tabs>
              <w:rPr>
                <w:sz w:val="22"/>
                <w:szCs w:val="22"/>
                <w:lang w:val="sr-Latn-ME"/>
              </w:rPr>
            </w:pPr>
            <w:r w:rsidRPr="007C19A2">
              <w:rPr>
                <w:bCs/>
                <w:sz w:val="22"/>
                <w:szCs w:val="22"/>
                <w:lang w:val="sr-Latn-ME"/>
              </w:rPr>
              <w:t>Bez značajne mučnine</w:t>
            </w:r>
          </w:p>
        </w:tc>
        <w:tc>
          <w:tcPr>
            <w:tcW w:w="940"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18CF34F3" w14:textId="77777777" w:rsidR="002F5087" w:rsidRPr="007C19A2" w:rsidRDefault="002F5087">
            <w:pPr>
              <w:tabs>
                <w:tab w:val="left" w:pos="360"/>
              </w:tabs>
              <w:jc w:val="center"/>
              <w:rPr>
                <w:sz w:val="22"/>
                <w:szCs w:val="22"/>
                <w:lang w:val="sr-Latn-ME"/>
              </w:rPr>
            </w:pPr>
          </w:p>
        </w:tc>
        <w:tc>
          <w:tcPr>
            <w:tcW w:w="904" w:type="pct"/>
            <w:tcBorders>
              <w:top w:val="single" w:sz="6" w:space="0" w:color="auto"/>
              <w:left w:val="single" w:sz="6" w:space="0" w:color="auto"/>
              <w:bottom w:val="nil"/>
              <w:right w:val="single" w:sz="6" w:space="0" w:color="auto"/>
            </w:tcBorders>
            <w:shd w:val="clear" w:color="auto" w:fill="FFFFFF"/>
            <w:tcMar>
              <w:top w:w="13" w:type="dxa"/>
              <w:left w:w="13" w:type="dxa"/>
              <w:bottom w:w="0" w:type="dxa"/>
              <w:right w:w="13" w:type="dxa"/>
            </w:tcMar>
            <w:vAlign w:val="bottom"/>
          </w:tcPr>
          <w:p w14:paraId="602F06B3" w14:textId="77777777" w:rsidR="002F5087" w:rsidRPr="007C19A2" w:rsidRDefault="002F5087">
            <w:pPr>
              <w:tabs>
                <w:tab w:val="left" w:pos="360"/>
              </w:tabs>
              <w:jc w:val="center"/>
              <w:rPr>
                <w:sz w:val="22"/>
                <w:szCs w:val="22"/>
                <w:lang w:val="sr-Latn-ME"/>
              </w:rPr>
            </w:pPr>
          </w:p>
        </w:tc>
        <w:tc>
          <w:tcPr>
            <w:tcW w:w="876" w:type="pct"/>
            <w:tcBorders>
              <w:top w:val="single" w:sz="6" w:space="0" w:color="auto"/>
              <w:left w:val="single" w:sz="6" w:space="0" w:color="auto"/>
              <w:bottom w:val="nil"/>
              <w:right w:val="single" w:sz="4" w:space="0" w:color="auto"/>
            </w:tcBorders>
            <w:shd w:val="clear" w:color="auto" w:fill="FFFFFF"/>
            <w:tcMar>
              <w:top w:w="13" w:type="dxa"/>
              <w:left w:w="13" w:type="dxa"/>
              <w:bottom w:w="0" w:type="dxa"/>
              <w:right w:w="13" w:type="dxa"/>
            </w:tcMar>
            <w:vAlign w:val="bottom"/>
          </w:tcPr>
          <w:p w14:paraId="0720DDC1" w14:textId="77777777" w:rsidR="002F5087" w:rsidRPr="007C19A2" w:rsidRDefault="002F5087">
            <w:pPr>
              <w:tabs>
                <w:tab w:val="left" w:pos="360"/>
              </w:tabs>
              <w:jc w:val="center"/>
              <w:rPr>
                <w:sz w:val="22"/>
                <w:szCs w:val="22"/>
                <w:lang w:val="sr-Latn-ME"/>
              </w:rPr>
            </w:pPr>
          </w:p>
        </w:tc>
      </w:tr>
      <w:tr w:rsidR="002F5087" w:rsidRPr="007C19A2" w14:paraId="0BA16C4C" w14:textId="77777777" w:rsidTr="002F5087">
        <w:trPr>
          <w:trHeight w:val="340"/>
        </w:trPr>
        <w:tc>
          <w:tcPr>
            <w:tcW w:w="2280" w:type="pct"/>
            <w:tcBorders>
              <w:top w:val="nil"/>
              <w:left w:val="single" w:sz="4" w:space="0" w:color="auto"/>
              <w:bottom w:val="nil"/>
              <w:right w:val="single" w:sz="6" w:space="0" w:color="auto"/>
            </w:tcBorders>
            <w:shd w:val="clear" w:color="auto" w:fill="FFFFFF"/>
            <w:tcMar>
              <w:top w:w="13" w:type="dxa"/>
              <w:left w:w="13" w:type="dxa"/>
              <w:bottom w:w="0" w:type="dxa"/>
              <w:right w:w="13" w:type="dxa"/>
            </w:tcMar>
            <w:vAlign w:val="center"/>
            <w:hideMark/>
          </w:tcPr>
          <w:p w14:paraId="676DC808" w14:textId="77777777" w:rsidR="002F5087" w:rsidRPr="007C19A2" w:rsidRDefault="002F5087">
            <w:pPr>
              <w:tabs>
                <w:tab w:val="left" w:pos="360"/>
              </w:tabs>
              <w:rPr>
                <w:sz w:val="22"/>
                <w:szCs w:val="22"/>
                <w:lang w:val="sr-Latn-ME"/>
              </w:rPr>
            </w:pPr>
            <w:r w:rsidRPr="007C19A2">
              <w:rPr>
                <w:bCs/>
                <w:sz w:val="22"/>
                <w:szCs w:val="22"/>
                <w:lang w:val="sr-Latn-ME"/>
              </w:rPr>
              <w:tab/>
              <w:t>Akutna faza</w:t>
            </w:r>
          </w:p>
        </w:tc>
        <w:tc>
          <w:tcPr>
            <w:tcW w:w="940"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799FCCCB" w14:textId="77777777" w:rsidR="002F5087" w:rsidRPr="007C19A2" w:rsidRDefault="002F5087">
            <w:pPr>
              <w:jc w:val="center"/>
              <w:rPr>
                <w:i/>
                <w:sz w:val="22"/>
                <w:szCs w:val="22"/>
                <w:lang w:val="sr-Latn-ME"/>
              </w:rPr>
            </w:pPr>
            <w:r w:rsidRPr="007C19A2">
              <w:rPr>
                <w:bCs/>
                <w:sz w:val="22"/>
                <w:szCs w:val="22"/>
                <w:lang w:val="sr-Latn-ME"/>
              </w:rPr>
              <w:t>98,5</w:t>
            </w:r>
          </w:p>
        </w:tc>
        <w:tc>
          <w:tcPr>
            <w:tcW w:w="904"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02808B8D" w14:textId="77777777" w:rsidR="002F5087" w:rsidRPr="007C19A2" w:rsidRDefault="002F5087">
            <w:pPr>
              <w:jc w:val="center"/>
              <w:rPr>
                <w:i/>
                <w:sz w:val="22"/>
                <w:szCs w:val="22"/>
                <w:lang w:val="sr-Latn-ME"/>
              </w:rPr>
            </w:pPr>
            <w:r w:rsidRPr="007C19A2">
              <w:rPr>
                <w:bCs/>
                <w:sz w:val="22"/>
                <w:szCs w:val="22"/>
                <w:lang w:val="sr-Latn-ME"/>
              </w:rPr>
              <w:t>93,4</w:t>
            </w:r>
          </w:p>
        </w:tc>
        <w:tc>
          <w:tcPr>
            <w:tcW w:w="876" w:type="pct"/>
            <w:tcBorders>
              <w:top w:val="nil"/>
              <w:left w:val="single" w:sz="6" w:space="0" w:color="auto"/>
              <w:bottom w:val="nil"/>
              <w:right w:val="single" w:sz="4" w:space="0" w:color="auto"/>
            </w:tcBorders>
            <w:shd w:val="clear" w:color="auto" w:fill="FFFFFF"/>
            <w:tcMar>
              <w:top w:w="13" w:type="dxa"/>
              <w:left w:w="13" w:type="dxa"/>
              <w:bottom w:w="0" w:type="dxa"/>
              <w:right w:w="13" w:type="dxa"/>
            </w:tcMar>
            <w:vAlign w:val="bottom"/>
            <w:hideMark/>
          </w:tcPr>
          <w:p w14:paraId="187640D2" w14:textId="77777777" w:rsidR="002F5087" w:rsidRPr="007C19A2" w:rsidRDefault="002F5087">
            <w:pPr>
              <w:ind w:left="283"/>
              <w:jc w:val="center"/>
              <w:rPr>
                <w:i/>
                <w:sz w:val="22"/>
                <w:szCs w:val="22"/>
                <w:lang w:val="sr-Latn-ME"/>
              </w:rPr>
            </w:pPr>
            <w:r w:rsidRPr="007C19A2">
              <w:rPr>
                <w:bCs/>
                <w:sz w:val="22"/>
                <w:szCs w:val="22"/>
                <w:lang w:val="sr-Latn-ME"/>
              </w:rPr>
              <w:t>0,050</w:t>
            </w:r>
          </w:p>
        </w:tc>
      </w:tr>
      <w:tr w:rsidR="002F5087" w:rsidRPr="007C19A2" w14:paraId="1DD6C416" w14:textId="77777777" w:rsidTr="002F5087">
        <w:trPr>
          <w:trHeight w:val="340"/>
        </w:trPr>
        <w:tc>
          <w:tcPr>
            <w:tcW w:w="2280" w:type="pct"/>
            <w:tcBorders>
              <w:top w:val="nil"/>
              <w:left w:val="single" w:sz="4" w:space="0" w:color="auto"/>
              <w:bottom w:val="nil"/>
              <w:right w:val="single" w:sz="6" w:space="0" w:color="auto"/>
            </w:tcBorders>
            <w:shd w:val="clear" w:color="auto" w:fill="FFFFFF"/>
            <w:tcMar>
              <w:top w:w="13" w:type="dxa"/>
              <w:left w:w="13" w:type="dxa"/>
              <w:bottom w:w="0" w:type="dxa"/>
              <w:right w:w="13" w:type="dxa"/>
            </w:tcMar>
            <w:vAlign w:val="center"/>
            <w:hideMark/>
          </w:tcPr>
          <w:p w14:paraId="4AC445F9" w14:textId="77777777" w:rsidR="002F5087" w:rsidRPr="007C19A2" w:rsidRDefault="002F5087">
            <w:pPr>
              <w:tabs>
                <w:tab w:val="left" w:pos="360"/>
              </w:tabs>
              <w:rPr>
                <w:sz w:val="22"/>
                <w:szCs w:val="22"/>
                <w:lang w:val="sr-Latn-ME"/>
              </w:rPr>
            </w:pPr>
            <w:r w:rsidRPr="007C19A2">
              <w:rPr>
                <w:bCs/>
                <w:sz w:val="22"/>
                <w:szCs w:val="22"/>
                <w:lang w:val="sr-Latn-ME"/>
              </w:rPr>
              <w:tab/>
              <w:t>Odložena faza</w:t>
            </w:r>
          </w:p>
        </w:tc>
        <w:tc>
          <w:tcPr>
            <w:tcW w:w="940"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66BD3B4B" w14:textId="77777777" w:rsidR="002F5087" w:rsidRPr="007C19A2" w:rsidRDefault="002F5087">
            <w:pPr>
              <w:jc w:val="center"/>
              <w:rPr>
                <w:i/>
                <w:sz w:val="22"/>
                <w:szCs w:val="22"/>
                <w:lang w:val="sr-Latn-ME"/>
              </w:rPr>
            </w:pPr>
            <w:r w:rsidRPr="007C19A2">
              <w:rPr>
                <w:bCs/>
                <w:sz w:val="22"/>
                <w:szCs w:val="22"/>
                <w:lang w:val="sr-Latn-ME"/>
              </w:rPr>
              <w:t>90,4</w:t>
            </w:r>
          </w:p>
        </w:tc>
        <w:tc>
          <w:tcPr>
            <w:tcW w:w="904" w:type="pct"/>
            <w:tcBorders>
              <w:top w:val="nil"/>
              <w:left w:val="single" w:sz="6" w:space="0" w:color="auto"/>
              <w:bottom w:val="nil"/>
              <w:right w:val="single" w:sz="6" w:space="0" w:color="auto"/>
            </w:tcBorders>
            <w:shd w:val="clear" w:color="auto" w:fill="FFFFFF"/>
            <w:tcMar>
              <w:top w:w="13" w:type="dxa"/>
              <w:left w:w="13" w:type="dxa"/>
              <w:bottom w:w="0" w:type="dxa"/>
              <w:right w:w="13" w:type="dxa"/>
            </w:tcMar>
            <w:vAlign w:val="bottom"/>
            <w:hideMark/>
          </w:tcPr>
          <w:p w14:paraId="0498A449" w14:textId="77777777" w:rsidR="002F5087" w:rsidRPr="007C19A2" w:rsidRDefault="002F5087">
            <w:pPr>
              <w:jc w:val="center"/>
              <w:rPr>
                <w:i/>
                <w:sz w:val="22"/>
                <w:szCs w:val="22"/>
                <w:lang w:val="sr-Latn-ME"/>
              </w:rPr>
            </w:pPr>
            <w:r w:rsidRPr="007C19A2">
              <w:rPr>
                <w:bCs/>
                <w:sz w:val="22"/>
                <w:szCs w:val="22"/>
                <w:lang w:val="sr-Latn-ME"/>
              </w:rPr>
              <w:t>80,9</w:t>
            </w:r>
          </w:p>
        </w:tc>
        <w:tc>
          <w:tcPr>
            <w:tcW w:w="876" w:type="pct"/>
            <w:tcBorders>
              <w:top w:val="nil"/>
              <w:left w:val="single" w:sz="6" w:space="0" w:color="auto"/>
              <w:bottom w:val="nil"/>
              <w:right w:val="single" w:sz="4" w:space="0" w:color="auto"/>
            </w:tcBorders>
            <w:shd w:val="clear" w:color="auto" w:fill="FFFFFF"/>
            <w:tcMar>
              <w:top w:w="13" w:type="dxa"/>
              <w:left w:w="13" w:type="dxa"/>
              <w:bottom w:w="0" w:type="dxa"/>
              <w:right w:w="13" w:type="dxa"/>
            </w:tcMar>
            <w:vAlign w:val="bottom"/>
            <w:hideMark/>
          </w:tcPr>
          <w:p w14:paraId="6EE3378B" w14:textId="77777777" w:rsidR="002F5087" w:rsidRPr="007C19A2" w:rsidRDefault="002F5087">
            <w:pPr>
              <w:ind w:left="283"/>
              <w:jc w:val="center"/>
              <w:rPr>
                <w:i/>
                <w:sz w:val="22"/>
                <w:szCs w:val="22"/>
                <w:lang w:val="sr-Latn-ME"/>
              </w:rPr>
            </w:pPr>
            <w:r w:rsidRPr="007C19A2">
              <w:rPr>
                <w:bCs/>
                <w:sz w:val="22"/>
                <w:szCs w:val="22"/>
                <w:lang w:val="sr-Latn-ME"/>
              </w:rPr>
              <w:t>0,004</w:t>
            </w:r>
          </w:p>
        </w:tc>
      </w:tr>
      <w:tr w:rsidR="002F5087" w:rsidRPr="007C19A2" w14:paraId="06812F3A" w14:textId="77777777" w:rsidTr="002F5087">
        <w:trPr>
          <w:trHeight w:val="340"/>
        </w:trPr>
        <w:tc>
          <w:tcPr>
            <w:tcW w:w="2280" w:type="pct"/>
            <w:tcBorders>
              <w:top w:val="nil"/>
              <w:left w:val="single" w:sz="4" w:space="0" w:color="auto"/>
              <w:bottom w:val="single" w:sz="4" w:space="0" w:color="auto"/>
              <w:right w:val="single" w:sz="6" w:space="0" w:color="auto"/>
            </w:tcBorders>
            <w:shd w:val="clear" w:color="auto" w:fill="FFFFFF"/>
            <w:tcMar>
              <w:top w:w="13" w:type="dxa"/>
              <w:left w:w="13" w:type="dxa"/>
              <w:bottom w:w="0" w:type="dxa"/>
              <w:right w:w="13" w:type="dxa"/>
            </w:tcMar>
            <w:vAlign w:val="center"/>
            <w:hideMark/>
          </w:tcPr>
          <w:p w14:paraId="532D4BBE" w14:textId="77777777" w:rsidR="002F5087" w:rsidRPr="007C19A2" w:rsidRDefault="002F5087">
            <w:pPr>
              <w:tabs>
                <w:tab w:val="left" w:pos="360"/>
              </w:tabs>
              <w:rPr>
                <w:sz w:val="22"/>
                <w:szCs w:val="22"/>
                <w:lang w:val="sr-Latn-ME"/>
              </w:rPr>
            </w:pPr>
            <w:r w:rsidRPr="007C19A2">
              <w:rPr>
                <w:bCs/>
                <w:sz w:val="22"/>
                <w:szCs w:val="22"/>
                <w:lang w:val="sr-Latn-ME"/>
              </w:rPr>
              <w:tab/>
              <w:t>Cijela faza</w:t>
            </w:r>
          </w:p>
        </w:tc>
        <w:tc>
          <w:tcPr>
            <w:tcW w:w="940" w:type="pct"/>
            <w:tcBorders>
              <w:top w:val="nil"/>
              <w:left w:val="single" w:sz="6" w:space="0" w:color="auto"/>
              <w:bottom w:val="single" w:sz="4" w:space="0" w:color="auto"/>
              <w:right w:val="single" w:sz="6" w:space="0" w:color="auto"/>
            </w:tcBorders>
            <w:shd w:val="clear" w:color="auto" w:fill="FFFFFF"/>
            <w:tcMar>
              <w:top w:w="13" w:type="dxa"/>
              <w:left w:w="13" w:type="dxa"/>
              <w:bottom w:w="0" w:type="dxa"/>
              <w:right w:w="13" w:type="dxa"/>
            </w:tcMar>
            <w:vAlign w:val="bottom"/>
            <w:hideMark/>
          </w:tcPr>
          <w:p w14:paraId="0BBFAA5E" w14:textId="77777777" w:rsidR="002F5087" w:rsidRPr="007C19A2" w:rsidRDefault="002F5087">
            <w:pPr>
              <w:jc w:val="center"/>
              <w:rPr>
                <w:i/>
                <w:sz w:val="22"/>
                <w:szCs w:val="22"/>
                <w:lang w:val="sr-Latn-ME"/>
              </w:rPr>
            </w:pPr>
            <w:r w:rsidRPr="007C19A2">
              <w:rPr>
                <w:bCs/>
                <w:sz w:val="22"/>
                <w:szCs w:val="22"/>
                <w:lang w:val="sr-Latn-ME"/>
              </w:rPr>
              <w:t>89,6</w:t>
            </w:r>
          </w:p>
        </w:tc>
        <w:tc>
          <w:tcPr>
            <w:tcW w:w="904" w:type="pct"/>
            <w:tcBorders>
              <w:top w:val="nil"/>
              <w:left w:val="single" w:sz="6" w:space="0" w:color="auto"/>
              <w:bottom w:val="single" w:sz="4" w:space="0" w:color="auto"/>
              <w:right w:val="single" w:sz="6" w:space="0" w:color="auto"/>
            </w:tcBorders>
            <w:shd w:val="clear" w:color="auto" w:fill="FFFFFF"/>
            <w:tcMar>
              <w:top w:w="13" w:type="dxa"/>
              <w:left w:w="13" w:type="dxa"/>
              <w:bottom w:w="0" w:type="dxa"/>
              <w:right w:w="13" w:type="dxa"/>
            </w:tcMar>
            <w:vAlign w:val="bottom"/>
            <w:hideMark/>
          </w:tcPr>
          <w:p w14:paraId="52F792AB" w14:textId="77777777" w:rsidR="002F5087" w:rsidRPr="007C19A2" w:rsidRDefault="002F5087">
            <w:pPr>
              <w:jc w:val="center"/>
              <w:rPr>
                <w:i/>
                <w:sz w:val="22"/>
                <w:szCs w:val="22"/>
                <w:lang w:val="sr-Latn-ME"/>
              </w:rPr>
            </w:pPr>
            <w:r w:rsidRPr="007C19A2">
              <w:rPr>
                <w:bCs/>
                <w:sz w:val="22"/>
                <w:szCs w:val="22"/>
                <w:lang w:val="sr-Latn-ME"/>
              </w:rPr>
              <w:t>79,4</w:t>
            </w:r>
          </w:p>
        </w:tc>
        <w:tc>
          <w:tcPr>
            <w:tcW w:w="876" w:type="pct"/>
            <w:tcBorders>
              <w:top w:val="nil"/>
              <w:left w:val="single" w:sz="6" w:space="0" w:color="auto"/>
              <w:bottom w:val="single" w:sz="4" w:space="0" w:color="auto"/>
              <w:right w:val="single" w:sz="4" w:space="0" w:color="auto"/>
            </w:tcBorders>
            <w:shd w:val="clear" w:color="auto" w:fill="FFFFFF"/>
            <w:tcMar>
              <w:top w:w="13" w:type="dxa"/>
              <w:left w:w="13" w:type="dxa"/>
              <w:bottom w:w="0" w:type="dxa"/>
              <w:right w:w="13" w:type="dxa"/>
            </w:tcMar>
            <w:vAlign w:val="bottom"/>
            <w:hideMark/>
          </w:tcPr>
          <w:p w14:paraId="7EC27EA3" w14:textId="77777777" w:rsidR="002F5087" w:rsidRPr="007C19A2" w:rsidRDefault="002F5087">
            <w:pPr>
              <w:ind w:left="294"/>
              <w:jc w:val="center"/>
              <w:rPr>
                <w:i/>
                <w:sz w:val="22"/>
                <w:szCs w:val="22"/>
                <w:lang w:val="sr-Latn-ME"/>
              </w:rPr>
            </w:pPr>
            <w:r w:rsidRPr="007C19A2">
              <w:rPr>
                <w:bCs/>
                <w:sz w:val="22"/>
                <w:szCs w:val="22"/>
                <w:lang w:val="sr-Latn-ME"/>
              </w:rPr>
              <w:t>0,021</w:t>
            </w:r>
          </w:p>
        </w:tc>
      </w:tr>
    </w:tbl>
    <w:p w14:paraId="24FD68DD" w14:textId="77777777" w:rsidR="002F5087" w:rsidRPr="007C19A2" w:rsidRDefault="002F5087" w:rsidP="002F5087">
      <w:pPr>
        <w:tabs>
          <w:tab w:val="left" w:pos="360"/>
        </w:tabs>
        <w:rPr>
          <w:color w:val="000000"/>
          <w:sz w:val="22"/>
          <w:szCs w:val="22"/>
          <w:lang w:val="sr-Latn-ME"/>
        </w:rPr>
      </w:pPr>
      <w:r w:rsidRPr="007C19A2">
        <w:rPr>
          <w:bCs/>
          <w:sz w:val="22"/>
          <w:szCs w:val="22"/>
          <w:vertAlign w:val="superscript"/>
          <w:lang w:val="sr-Latn-ME"/>
        </w:rPr>
        <w:t>‡</w:t>
      </w:r>
      <w:r w:rsidRPr="007C19A2">
        <w:rPr>
          <w:bCs/>
          <w:color w:val="000000"/>
          <w:sz w:val="22"/>
          <w:szCs w:val="22"/>
          <w:lang w:val="sr-Latn-ME"/>
        </w:rPr>
        <w:t>Akutna faza</w:t>
      </w:r>
      <w:r w:rsidRPr="007C19A2">
        <w:rPr>
          <w:color w:val="000000"/>
          <w:sz w:val="22"/>
          <w:szCs w:val="22"/>
          <w:lang w:val="sr-Latn-ME"/>
        </w:rPr>
        <w:t>: od 0 do 24 sata poslije terapije cisplatinom.</w:t>
      </w:r>
    </w:p>
    <w:p w14:paraId="28ACA0E1" w14:textId="77777777" w:rsidR="002F5087" w:rsidRPr="007C19A2" w:rsidRDefault="002F5087" w:rsidP="002F5087">
      <w:pPr>
        <w:tabs>
          <w:tab w:val="left" w:pos="360"/>
        </w:tabs>
        <w:rPr>
          <w:color w:val="000000"/>
          <w:sz w:val="22"/>
          <w:szCs w:val="22"/>
          <w:lang w:val="sr-Latn-ME"/>
        </w:rPr>
      </w:pPr>
      <w:r w:rsidRPr="007C19A2">
        <w:rPr>
          <w:bCs/>
          <w:sz w:val="22"/>
          <w:szCs w:val="22"/>
          <w:vertAlign w:val="superscript"/>
          <w:lang w:val="sr-Latn-ME"/>
        </w:rPr>
        <w:t>†</w:t>
      </w:r>
      <w:r w:rsidRPr="007C19A2">
        <w:rPr>
          <w:bCs/>
          <w:sz w:val="22"/>
          <w:szCs w:val="22"/>
          <w:lang w:val="sr-Latn-ME"/>
        </w:rPr>
        <w:t>Odložena faza</w:t>
      </w:r>
      <w:r w:rsidRPr="007C19A2">
        <w:rPr>
          <w:color w:val="000000"/>
          <w:sz w:val="22"/>
          <w:szCs w:val="22"/>
          <w:lang w:val="sr-Latn-ME"/>
        </w:rPr>
        <w:t>: od 25 do 120 sata poslije terapije cisplatinom.</w:t>
      </w:r>
    </w:p>
    <w:p w14:paraId="01A4B33B" w14:textId="77777777" w:rsidR="002F5087" w:rsidRPr="007C19A2" w:rsidRDefault="002F5087" w:rsidP="002F5087">
      <w:pPr>
        <w:tabs>
          <w:tab w:val="left" w:pos="360"/>
        </w:tabs>
        <w:rPr>
          <w:color w:val="000000"/>
          <w:sz w:val="22"/>
          <w:szCs w:val="22"/>
          <w:lang w:val="sr-Latn-ME"/>
        </w:rPr>
      </w:pPr>
      <w:r w:rsidRPr="007C19A2">
        <w:rPr>
          <w:bCs/>
          <w:sz w:val="22"/>
          <w:szCs w:val="22"/>
          <w:vertAlign w:val="superscript"/>
          <w:lang w:val="sr-Latn-ME"/>
        </w:rPr>
        <w:t>§</w:t>
      </w:r>
      <w:r w:rsidRPr="007C19A2">
        <w:rPr>
          <w:color w:val="000000"/>
          <w:sz w:val="22"/>
          <w:szCs w:val="22"/>
          <w:lang w:val="sr-Latn-ME"/>
        </w:rPr>
        <w:t>Cijela faza: od 0 do 120 sata poslije terapije cisplatinom.</w:t>
      </w:r>
    </w:p>
    <w:p w14:paraId="267C8998" w14:textId="77777777" w:rsidR="002F5087" w:rsidRPr="007C19A2" w:rsidRDefault="002F5087" w:rsidP="002F5087">
      <w:pPr>
        <w:rPr>
          <w:i/>
          <w:sz w:val="22"/>
          <w:szCs w:val="22"/>
          <w:lang w:val="sr-Latn-ME"/>
        </w:rPr>
      </w:pPr>
    </w:p>
    <w:p w14:paraId="12B757AD" w14:textId="54B9EDD4" w:rsidR="002F5087" w:rsidRPr="007C19A2" w:rsidRDefault="002F5087" w:rsidP="002F5087">
      <w:pPr>
        <w:keepNext/>
        <w:jc w:val="both"/>
        <w:rPr>
          <w:i/>
          <w:sz w:val="22"/>
          <w:szCs w:val="22"/>
          <w:lang w:val="sr-Latn-ME"/>
        </w:rPr>
      </w:pPr>
      <w:r w:rsidRPr="007C19A2">
        <w:rPr>
          <w:i/>
          <w:iCs/>
          <w:sz w:val="22"/>
          <w:szCs w:val="22"/>
          <w:lang w:val="sr-Latn-ME"/>
        </w:rPr>
        <w:t>Ispitivanje umjereno emetogene hem</w:t>
      </w:r>
      <w:r w:rsidR="00330615" w:rsidRPr="007C19A2">
        <w:rPr>
          <w:i/>
          <w:iCs/>
          <w:sz w:val="22"/>
          <w:szCs w:val="22"/>
          <w:lang w:val="sr-Latn-ME"/>
        </w:rPr>
        <w:t>i</w:t>
      </w:r>
      <w:r w:rsidRPr="007C19A2">
        <w:rPr>
          <w:i/>
          <w:iCs/>
          <w:sz w:val="22"/>
          <w:szCs w:val="22"/>
          <w:lang w:val="sr-Latn-ME"/>
        </w:rPr>
        <w:t xml:space="preserve">oterapije </w:t>
      </w:r>
      <w:r w:rsidRPr="007C19A2">
        <w:rPr>
          <w:i/>
          <w:sz w:val="22"/>
          <w:szCs w:val="22"/>
          <w:lang w:val="sr-Latn-ME"/>
        </w:rPr>
        <w:t>(MEC)</w:t>
      </w:r>
    </w:p>
    <w:p w14:paraId="1EAB4375" w14:textId="198CE5EF" w:rsidR="002F5087" w:rsidRPr="007C19A2" w:rsidRDefault="002F5087" w:rsidP="002F5087">
      <w:pPr>
        <w:jc w:val="both"/>
        <w:rPr>
          <w:sz w:val="22"/>
          <w:szCs w:val="22"/>
          <w:lang w:val="sr-Latn-ME"/>
        </w:rPr>
      </w:pPr>
      <w:r w:rsidRPr="007C19A2">
        <w:rPr>
          <w:sz w:val="22"/>
          <w:szCs w:val="22"/>
          <w:lang w:val="sr-Latn-ME"/>
        </w:rPr>
        <w:t>U multicentričnoj, randomizovanoj, paralelnoj, dvostruko slijepoj, kontrolisanoj studiji superiornosti sa aktivnom kontrolom, efikasnost i bezbjednost jedne oralne doze lijeka Akynzeo poređena je sa jednom oralnom dozom palonosetrona od 0,5 mg kod pacijenata sa rakom, za koje je bio planiran prvi ciklus protokola sa antraciklinom i ciklofosfamidom za liječenje solidnog malignog tumora. U vrijeme vršenja ispitivanja, hem</w:t>
      </w:r>
      <w:r w:rsidR="00330615" w:rsidRPr="007C19A2">
        <w:rPr>
          <w:sz w:val="22"/>
          <w:szCs w:val="22"/>
          <w:lang w:val="sr-Latn-ME"/>
        </w:rPr>
        <w:t>i</w:t>
      </w:r>
      <w:r w:rsidRPr="007C19A2">
        <w:rPr>
          <w:sz w:val="22"/>
          <w:szCs w:val="22"/>
          <w:lang w:val="sr-Latn-ME"/>
        </w:rPr>
        <w:t xml:space="preserve">oterapijski protokoli koji su sadržavali antraciklin i ciklofosfamid smatrali su se umjereno emetogenim. Novijim smjernicama ovi protokoli su promijenjeni u visoko emetogene. </w:t>
      </w:r>
    </w:p>
    <w:p w14:paraId="2B4792CB" w14:textId="4D5DC256" w:rsidR="002F5087" w:rsidRPr="007C19A2" w:rsidRDefault="002F5087" w:rsidP="002F5087">
      <w:pPr>
        <w:jc w:val="both"/>
        <w:rPr>
          <w:sz w:val="22"/>
          <w:szCs w:val="22"/>
          <w:lang w:val="sr-Latn-ME"/>
        </w:rPr>
      </w:pPr>
      <w:r w:rsidRPr="007C19A2">
        <w:rPr>
          <w:sz w:val="22"/>
          <w:szCs w:val="22"/>
          <w:lang w:val="sr-Latn-ME"/>
        </w:rPr>
        <w:t xml:space="preserve">Svi pacijenti primili su jednu oralnu dozu deksametazona. </w:t>
      </w:r>
    </w:p>
    <w:p w14:paraId="73D7492D"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251F3A39" w14:textId="20F54625" w:rsidR="002F5087" w:rsidRPr="007C19A2" w:rsidRDefault="0064188E"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szCs w:val="22"/>
          <w:lang w:val="sr-Latn-ME"/>
        </w:rPr>
      </w:pPr>
      <w:r w:rsidRPr="007C19A2">
        <w:rPr>
          <w:b/>
          <w:color w:val="000000"/>
          <w:sz w:val="22"/>
          <w:szCs w:val="22"/>
          <w:lang w:val="sr-Latn-ME"/>
        </w:rPr>
        <w:t xml:space="preserve">Tabela 4: </w:t>
      </w:r>
      <w:r w:rsidR="002F5087" w:rsidRPr="007C19A2">
        <w:rPr>
          <w:b/>
          <w:color w:val="000000"/>
          <w:sz w:val="22"/>
          <w:szCs w:val="22"/>
          <w:lang w:val="sr-Latn-ME"/>
        </w:rPr>
        <w:t>Režim liječenja oralnim antiemeticima –</w:t>
      </w:r>
      <w:r w:rsidR="002F5087" w:rsidRPr="007C19A2">
        <w:rPr>
          <w:b/>
          <w:sz w:val="22"/>
          <w:szCs w:val="22"/>
          <w:lang w:val="sr-Latn-ME"/>
        </w:rPr>
        <w:t xml:space="preserve"> ispitivanje umjereno emetogene hem</w:t>
      </w:r>
      <w:r w:rsidR="00330615" w:rsidRPr="007C19A2">
        <w:rPr>
          <w:b/>
          <w:sz w:val="22"/>
          <w:szCs w:val="22"/>
          <w:lang w:val="sr-Latn-ME"/>
        </w:rPr>
        <w:t>i</w:t>
      </w:r>
      <w:r w:rsidR="002F5087" w:rsidRPr="007C19A2">
        <w:rPr>
          <w:b/>
          <w:sz w:val="22"/>
          <w:szCs w:val="22"/>
          <w:lang w:val="sr-Latn-ME"/>
        </w:rPr>
        <w:t>oterapije (MEC)</w:t>
      </w:r>
    </w:p>
    <w:tbl>
      <w:tblPr>
        <w:tblW w:w="9075" w:type="dxa"/>
        <w:tblInd w:w="108" w:type="dxa"/>
        <w:tblLayout w:type="fixed"/>
        <w:tblLook w:val="04A0" w:firstRow="1" w:lastRow="0" w:firstColumn="1" w:lastColumn="0" w:noHBand="0" w:noVBand="1"/>
      </w:tblPr>
      <w:tblGrid>
        <w:gridCol w:w="1787"/>
        <w:gridCol w:w="4082"/>
        <w:gridCol w:w="3206"/>
      </w:tblGrid>
      <w:tr w:rsidR="002F5087" w:rsidRPr="007C19A2" w14:paraId="3BF4C3BE" w14:textId="77777777" w:rsidTr="002F5087">
        <w:trPr>
          <w:trHeight w:val="163"/>
        </w:trPr>
        <w:tc>
          <w:tcPr>
            <w:tcW w:w="1786" w:type="dxa"/>
            <w:tcBorders>
              <w:top w:val="single" w:sz="6" w:space="0" w:color="auto"/>
              <w:left w:val="single" w:sz="4" w:space="0" w:color="000000"/>
              <w:bottom w:val="single" w:sz="4" w:space="0" w:color="auto"/>
              <w:right w:val="single" w:sz="4" w:space="0" w:color="auto"/>
            </w:tcBorders>
            <w:hideMark/>
          </w:tcPr>
          <w:p w14:paraId="16388001"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Režim liječenja</w:t>
            </w:r>
          </w:p>
        </w:tc>
        <w:tc>
          <w:tcPr>
            <w:tcW w:w="4081" w:type="dxa"/>
            <w:tcBorders>
              <w:top w:val="single" w:sz="6" w:space="0" w:color="auto"/>
              <w:left w:val="single" w:sz="4" w:space="0" w:color="auto"/>
              <w:bottom w:val="single" w:sz="4" w:space="0" w:color="auto"/>
              <w:right w:val="single" w:sz="6" w:space="0" w:color="auto"/>
            </w:tcBorders>
            <w:hideMark/>
          </w:tcPr>
          <w:p w14:paraId="109352F3"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 xml:space="preserve">1. dan </w:t>
            </w:r>
          </w:p>
        </w:tc>
        <w:tc>
          <w:tcPr>
            <w:tcW w:w="3205" w:type="dxa"/>
            <w:tcBorders>
              <w:top w:val="single" w:sz="6" w:space="0" w:color="auto"/>
              <w:left w:val="single" w:sz="6" w:space="0" w:color="auto"/>
              <w:bottom w:val="single" w:sz="4" w:space="0" w:color="auto"/>
              <w:right w:val="single" w:sz="6" w:space="0" w:color="auto"/>
            </w:tcBorders>
            <w:hideMark/>
          </w:tcPr>
          <w:p w14:paraId="7EE1EAAC" w14:textId="77777777" w:rsidR="002F5087" w:rsidRPr="007C19A2" w:rsidRDefault="002F5087">
            <w:pPr>
              <w:autoSpaceDE w:val="0"/>
              <w:autoSpaceDN w:val="0"/>
              <w:adjustRightInd w:val="0"/>
              <w:jc w:val="both"/>
              <w:rPr>
                <w:b/>
                <w:color w:val="000000"/>
                <w:sz w:val="22"/>
                <w:szCs w:val="22"/>
                <w:lang w:val="sr-Latn-ME"/>
              </w:rPr>
            </w:pPr>
            <w:r w:rsidRPr="007C19A2">
              <w:rPr>
                <w:b/>
                <w:color w:val="000000"/>
                <w:sz w:val="22"/>
                <w:szCs w:val="22"/>
                <w:lang w:val="sr-Latn-ME"/>
              </w:rPr>
              <w:t xml:space="preserve">Od 2. do 3. dana </w:t>
            </w:r>
          </w:p>
        </w:tc>
      </w:tr>
      <w:tr w:rsidR="002F5087" w:rsidRPr="007C19A2" w14:paraId="7A4C19E2" w14:textId="77777777" w:rsidTr="002F5087">
        <w:trPr>
          <w:trHeight w:val="432"/>
        </w:trPr>
        <w:tc>
          <w:tcPr>
            <w:tcW w:w="1786" w:type="dxa"/>
            <w:tcBorders>
              <w:top w:val="single" w:sz="4" w:space="0" w:color="auto"/>
              <w:left w:val="single" w:sz="4" w:space="0" w:color="000000"/>
              <w:bottom w:val="single" w:sz="4" w:space="0" w:color="000000"/>
              <w:right w:val="single" w:sz="4" w:space="0" w:color="auto"/>
            </w:tcBorders>
            <w:hideMark/>
          </w:tcPr>
          <w:p w14:paraId="38062238"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 xml:space="preserve">Akynzeo </w:t>
            </w:r>
          </w:p>
        </w:tc>
        <w:tc>
          <w:tcPr>
            <w:tcW w:w="4081" w:type="dxa"/>
            <w:tcBorders>
              <w:top w:val="single" w:sz="4" w:space="0" w:color="auto"/>
              <w:left w:val="single" w:sz="4" w:space="0" w:color="auto"/>
              <w:bottom w:val="single" w:sz="4" w:space="0" w:color="000000"/>
              <w:right w:val="single" w:sz="6" w:space="0" w:color="auto"/>
            </w:tcBorders>
            <w:hideMark/>
          </w:tcPr>
          <w:p w14:paraId="5E5BA226"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 xml:space="preserve">Akynzeo (netupitant 300 mg </w:t>
            </w:r>
          </w:p>
          <w:p w14:paraId="7C68638B"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palonosetron 0,5 mg)</w:t>
            </w:r>
          </w:p>
          <w:p w14:paraId="4BBFC03C"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 xml:space="preserve">deksametazon 12 mg </w:t>
            </w:r>
          </w:p>
        </w:tc>
        <w:tc>
          <w:tcPr>
            <w:tcW w:w="3205" w:type="dxa"/>
            <w:tcBorders>
              <w:top w:val="single" w:sz="4" w:space="0" w:color="auto"/>
              <w:left w:val="single" w:sz="6" w:space="0" w:color="auto"/>
              <w:bottom w:val="single" w:sz="4" w:space="0" w:color="000000"/>
              <w:right w:val="single" w:sz="6" w:space="0" w:color="auto"/>
            </w:tcBorders>
            <w:hideMark/>
          </w:tcPr>
          <w:p w14:paraId="163E97A4"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bez antiemetičkog liječenja</w:t>
            </w:r>
          </w:p>
        </w:tc>
      </w:tr>
      <w:tr w:rsidR="002F5087" w:rsidRPr="007C19A2" w14:paraId="621F975D" w14:textId="77777777" w:rsidTr="002F5087">
        <w:trPr>
          <w:trHeight w:val="310"/>
        </w:trPr>
        <w:tc>
          <w:tcPr>
            <w:tcW w:w="1786" w:type="dxa"/>
            <w:tcBorders>
              <w:top w:val="single" w:sz="4" w:space="0" w:color="000000"/>
              <w:left w:val="single" w:sz="4" w:space="0" w:color="000000"/>
              <w:bottom w:val="single" w:sz="6" w:space="0" w:color="000000"/>
              <w:right w:val="single" w:sz="4" w:space="0" w:color="auto"/>
            </w:tcBorders>
            <w:hideMark/>
          </w:tcPr>
          <w:p w14:paraId="5489F2DA"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 xml:space="preserve">Palonosetron </w:t>
            </w:r>
          </w:p>
        </w:tc>
        <w:tc>
          <w:tcPr>
            <w:tcW w:w="4081" w:type="dxa"/>
            <w:tcBorders>
              <w:top w:val="single" w:sz="4" w:space="0" w:color="000000"/>
              <w:left w:val="single" w:sz="4" w:space="0" w:color="auto"/>
              <w:bottom w:val="single" w:sz="6" w:space="0" w:color="000000"/>
              <w:right w:val="single" w:sz="6" w:space="0" w:color="auto"/>
            </w:tcBorders>
            <w:hideMark/>
          </w:tcPr>
          <w:p w14:paraId="4B3689DC"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palonosetron 0,5 mg</w:t>
            </w:r>
          </w:p>
          <w:p w14:paraId="06538FA6"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deksametazon 20 mg</w:t>
            </w:r>
          </w:p>
        </w:tc>
        <w:tc>
          <w:tcPr>
            <w:tcW w:w="3205" w:type="dxa"/>
            <w:tcBorders>
              <w:top w:val="single" w:sz="4" w:space="0" w:color="000000"/>
              <w:left w:val="single" w:sz="6" w:space="0" w:color="auto"/>
              <w:bottom w:val="single" w:sz="6" w:space="0" w:color="000000"/>
              <w:right w:val="single" w:sz="6" w:space="0" w:color="auto"/>
            </w:tcBorders>
            <w:hideMark/>
          </w:tcPr>
          <w:p w14:paraId="4EBA74CC" w14:textId="77777777" w:rsidR="002F5087" w:rsidRPr="007C19A2" w:rsidRDefault="002F5087">
            <w:pPr>
              <w:autoSpaceDE w:val="0"/>
              <w:autoSpaceDN w:val="0"/>
              <w:adjustRightInd w:val="0"/>
              <w:jc w:val="both"/>
              <w:rPr>
                <w:sz w:val="22"/>
                <w:szCs w:val="22"/>
                <w:lang w:val="sr-Latn-ME"/>
              </w:rPr>
            </w:pPr>
            <w:r w:rsidRPr="007C19A2">
              <w:rPr>
                <w:sz w:val="22"/>
                <w:szCs w:val="22"/>
                <w:lang w:val="sr-Latn-ME"/>
              </w:rPr>
              <w:t>bez antiemetičkog liječenja</w:t>
            </w:r>
          </w:p>
        </w:tc>
      </w:tr>
    </w:tbl>
    <w:p w14:paraId="786AECD7"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lastRenderedPageBreak/>
        <w:t xml:space="preserve">Nakon završetka 1. ciklusa, pacijenti su imali mogućnost da izaberu da učestvuju u produžetku od nekoliko ciklusa, s tim da primaju istu terapiju koja im je dodijeljena u 1. ciklusu. Nije bilo unaprijed određene granice u broju ponavljanih uzastopnih ciklusa za bilo kog pacijenta. Ispitivani lijek primilo je ukupno 1450 pacijenata (lijek Akynzeo n = 725; palonosetron n = 725). Od njih, 1438 pacijenata (98,8%) završilo je 1. ciklus, a 1286 pacijenata (88,4%) nastavilo je liječenje u produžetku od više ciklusa. Ukupno 907 pacijenata (62,3%) završilo je produžetak ispitivanja od više ciklusa, do najviše osam ciklusa liječenja. </w:t>
      </w:r>
    </w:p>
    <w:p w14:paraId="390CE76C"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 xml:space="preserve">Ukupno 724 pacijenta (99,9%) liječeno je ciklofosfamidom. Svi pacijenti bili su dodatno liječeni ili doksorubicinom (68,0%) ili epirubicinom (32,0%). </w:t>
      </w:r>
    </w:p>
    <w:p w14:paraId="3F16E2B1"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6C036C93" w14:textId="7C90B84E"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 xml:space="preserve">Primarni </w:t>
      </w:r>
      <w:r w:rsidR="00CB0E6C" w:rsidRPr="007C19A2">
        <w:rPr>
          <w:sz w:val="22"/>
          <w:szCs w:val="22"/>
          <w:lang w:val="sr-Latn-ME"/>
        </w:rPr>
        <w:t>parametar praćenja</w:t>
      </w:r>
      <w:r w:rsidRPr="007C19A2">
        <w:rPr>
          <w:sz w:val="22"/>
          <w:szCs w:val="22"/>
          <w:lang w:val="sr-Latn-ME"/>
        </w:rPr>
        <w:t xml:space="preserve"> efikasnosti bila je stopa potpunog odgovora u odloženoj fazi, 25 – 120 sati nakon početka primjene hem</w:t>
      </w:r>
      <w:r w:rsidR="00330615" w:rsidRPr="007C19A2">
        <w:rPr>
          <w:sz w:val="22"/>
          <w:szCs w:val="22"/>
          <w:lang w:val="sr-Latn-ME"/>
        </w:rPr>
        <w:t>i</w:t>
      </w:r>
      <w:r w:rsidRPr="007C19A2">
        <w:rPr>
          <w:sz w:val="22"/>
          <w:szCs w:val="22"/>
          <w:lang w:val="sr-Latn-ME"/>
        </w:rPr>
        <w:t xml:space="preserve">oterapije. </w:t>
      </w:r>
    </w:p>
    <w:p w14:paraId="5A694028"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12CF2902" w14:textId="77777777" w:rsidR="002F5087" w:rsidRPr="007C19A2" w:rsidRDefault="002F5087" w:rsidP="002F508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Ključni rezultati iz ovog ispitivanja sažeto su prikazani u tabeli ispod</w:t>
      </w:r>
      <w:r w:rsidRPr="007C19A2">
        <w:rPr>
          <w:color w:val="000000"/>
          <w:sz w:val="22"/>
          <w:szCs w:val="22"/>
          <w:lang w:val="sr-Latn-ME"/>
        </w:rPr>
        <w:t xml:space="preserve">. </w:t>
      </w:r>
    </w:p>
    <w:p w14:paraId="3064E979" w14:textId="77777777" w:rsidR="002F5087" w:rsidRPr="007C19A2" w:rsidRDefault="002F5087" w:rsidP="002F5087">
      <w:pPr>
        <w:keepNext/>
        <w:jc w:val="both"/>
        <w:rPr>
          <w:b/>
          <w:bCs/>
          <w:color w:val="000000"/>
          <w:sz w:val="22"/>
          <w:szCs w:val="22"/>
          <w:lang w:val="sr-Latn-ME"/>
        </w:rPr>
      </w:pPr>
    </w:p>
    <w:p w14:paraId="65BD7A78" w14:textId="71FDD0A0" w:rsidR="002F5087" w:rsidRPr="007C19A2" w:rsidRDefault="00FD0F79" w:rsidP="00A05BCC">
      <w:pPr>
        <w:keepNext/>
        <w:jc w:val="both"/>
        <w:rPr>
          <w:b/>
          <w:color w:val="000000"/>
          <w:sz w:val="22"/>
          <w:szCs w:val="22"/>
          <w:lang w:val="sr-Latn-ME"/>
        </w:rPr>
      </w:pPr>
      <w:r w:rsidRPr="007C19A2">
        <w:rPr>
          <w:b/>
          <w:bCs/>
          <w:color w:val="000000"/>
          <w:sz w:val="22"/>
          <w:szCs w:val="22"/>
          <w:lang w:val="sr-Latn-ME"/>
        </w:rPr>
        <w:t xml:space="preserve">Tabela 5: </w:t>
      </w:r>
      <w:r w:rsidR="002F5087" w:rsidRPr="007C19A2">
        <w:rPr>
          <w:b/>
          <w:bCs/>
          <w:color w:val="000000"/>
          <w:sz w:val="22"/>
          <w:szCs w:val="22"/>
          <w:lang w:val="sr-Latn-ME"/>
        </w:rPr>
        <w:t>Udio pacijenata koji su primali hem</w:t>
      </w:r>
      <w:r w:rsidR="00330615" w:rsidRPr="007C19A2">
        <w:rPr>
          <w:b/>
          <w:bCs/>
          <w:color w:val="000000"/>
          <w:sz w:val="22"/>
          <w:szCs w:val="22"/>
          <w:lang w:val="sr-Latn-ME"/>
        </w:rPr>
        <w:t>i</w:t>
      </w:r>
      <w:r w:rsidR="002F5087" w:rsidRPr="007C19A2">
        <w:rPr>
          <w:b/>
          <w:bCs/>
          <w:color w:val="000000"/>
          <w:sz w:val="22"/>
          <w:szCs w:val="22"/>
          <w:lang w:val="sr-Latn-ME"/>
        </w:rPr>
        <w:t>oterapiju antraciklinom i ciklofosfamidom kod kojih je postignut odgovor, prema terapijskoj grupi i fazi – 1. ciklus</w:t>
      </w:r>
    </w:p>
    <w:tbl>
      <w:tblPr>
        <w:tblW w:w="46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88"/>
        <w:gridCol w:w="1659"/>
        <w:gridCol w:w="1507"/>
        <w:gridCol w:w="1475"/>
      </w:tblGrid>
      <w:tr w:rsidR="002F5087" w:rsidRPr="007C19A2" w14:paraId="66A5F49A" w14:textId="77777777" w:rsidTr="002F5087">
        <w:trPr>
          <w:trHeight w:hRule="exact" w:val="526"/>
        </w:trPr>
        <w:tc>
          <w:tcPr>
            <w:tcW w:w="2247" w:type="pct"/>
            <w:tcBorders>
              <w:top w:val="single" w:sz="4" w:space="0" w:color="auto"/>
              <w:left w:val="single" w:sz="4" w:space="0" w:color="auto"/>
              <w:bottom w:val="nil"/>
              <w:right w:val="single" w:sz="6" w:space="0" w:color="auto"/>
            </w:tcBorders>
          </w:tcPr>
          <w:p w14:paraId="3110312D" w14:textId="77777777" w:rsidR="002F5087" w:rsidRPr="007C19A2" w:rsidRDefault="002F5087">
            <w:pPr>
              <w:rPr>
                <w:color w:val="000000"/>
                <w:sz w:val="22"/>
                <w:szCs w:val="22"/>
                <w:lang w:val="sr-Latn-ME"/>
              </w:rPr>
            </w:pPr>
          </w:p>
        </w:tc>
        <w:tc>
          <w:tcPr>
            <w:tcW w:w="984" w:type="pct"/>
            <w:tcBorders>
              <w:top w:val="single" w:sz="4" w:space="0" w:color="auto"/>
              <w:left w:val="single" w:sz="6" w:space="0" w:color="auto"/>
              <w:bottom w:val="nil"/>
              <w:right w:val="single" w:sz="6" w:space="0" w:color="auto"/>
            </w:tcBorders>
            <w:hideMark/>
          </w:tcPr>
          <w:p w14:paraId="553B4E2F" w14:textId="77777777" w:rsidR="002F5087" w:rsidRPr="007C19A2" w:rsidRDefault="002F5087">
            <w:pPr>
              <w:jc w:val="center"/>
              <w:rPr>
                <w:color w:val="000000"/>
                <w:sz w:val="22"/>
                <w:szCs w:val="22"/>
                <w:lang w:val="sr-Latn-ME"/>
              </w:rPr>
            </w:pPr>
            <w:r w:rsidRPr="007C19A2">
              <w:rPr>
                <w:sz w:val="22"/>
                <w:szCs w:val="22"/>
                <w:lang w:val="sr-Latn-ME"/>
              </w:rPr>
              <w:t>Akynzeo</w:t>
            </w:r>
          </w:p>
        </w:tc>
        <w:tc>
          <w:tcPr>
            <w:tcW w:w="894" w:type="pct"/>
            <w:tcBorders>
              <w:top w:val="single" w:sz="4" w:space="0" w:color="auto"/>
              <w:left w:val="single" w:sz="6" w:space="0" w:color="auto"/>
              <w:bottom w:val="nil"/>
              <w:right w:val="single" w:sz="6" w:space="0" w:color="auto"/>
            </w:tcBorders>
            <w:hideMark/>
          </w:tcPr>
          <w:p w14:paraId="5F333BD0" w14:textId="77777777" w:rsidR="002F5087" w:rsidRPr="007C19A2" w:rsidRDefault="002F5087">
            <w:pPr>
              <w:jc w:val="center"/>
              <w:rPr>
                <w:color w:val="000000"/>
                <w:sz w:val="22"/>
                <w:szCs w:val="22"/>
                <w:lang w:val="sr-Latn-ME"/>
              </w:rPr>
            </w:pPr>
            <w:r w:rsidRPr="007C19A2">
              <w:rPr>
                <w:bCs/>
                <w:color w:val="000000"/>
                <w:sz w:val="22"/>
                <w:szCs w:val="22"/>
                <w:lang w:val="sr-Latn-ME"/>
              </w:rPr>
              <w:t>Palonosetron</w:t>
            </w:r>
          </w:p>
          <w:p w14:paraId="4B8A7321" w14:textId="77777777" w:rsidR="002F5087" w:rsidRPr="007C19A2" w:rsidRDefault="002F5087">
            <w:pPr>
              <w:jc w:val="center"/>
              <w:rPr>
                <w:color w:val="000000"/>
                <w:sz w:val="22"/>
                <w:szCs w:val="22"/>
                <w:lang w:val="sr-Latn-ME"/>
              </w:rPr>
            </w:pPr>
            <w:r w:rsidRPr="007C19A2">
              <w:rPr>
                <w:sz w:val="22"/>
                <w:szCs w:val="22"/>
                <w:lang w:val="sr-Latn-ME"/>
              </w:rPr>
              <w:t>0,5 mg</w:t>
            </w:r>
          </w:p>
        </w:tc>
        <w:tc>
          <w:tcPr>
            <w:tcW w:w="875" w:type="pct"/>
            <w:tcBorders>
              <w:top w:val="single" w:sz="4" w:space="0" w:color="auto"/>
              <w:left w:val="single" w:sz="6" w:space="0" w:color="auto"/>
              <w:bottom w:val="nil"/>
              <w:right w:val="single" w:sz="4" w:space="0" w:color="auto"/>
            </w:tcBorders>
            <w:hideMark/>
          </w:tcPr>
          <w:p w14:paraId="196F874B" w14:textId="77777777" w:rsidR="002F5087" w:rsidRPr="007C19A2" w:rsidRDefault="002F5087">
            <w:pPr>
              <w:jc w:val="center"/>
              <w:rPr>
                <w:color w:val="000000"/>
                <w:sz w:val="22"/>
                <w:szCs w:val="22"/>
                <w:lang w:val="sr-Latn-ME"/>
              </w:rPr>
            </w:pPr>
            <w:r w:rsidRPr="007C19A2">
              <w:rPr>
                <w:bCs/>
                <w:color w:val="000000"/>
                <w:sz w:val="22"/>
                <w:szCs w:val="22"/>
                <w:lang w:val="sr-Latn-ME"/>
              </w:rPr>
              <w:t>p-vrijednost*</w:t>
            </w:r>
          </w:p>
        </w:tc>
      </w:tr>
      <w:tr w:rsidR="002F5087" w:rsidRPr="007C19A2" w14:paraId="7CAFE71B" w14:textId="77777777" w:rsidTr="002F5087">
        <w:trPr>
          <w:trHeight w:hRule="exact" w:val="340"/>
        </w:trPr>
        <w:tc>
          <w:tcPr>
            <w:tcW w:w="2247" w:type="pct"/>
            <w:tcBorders>
              <w:top w:val="nil"/>
              <w:left w:val="single" w:sz="4" w:space="0" w:color="auto"/>
              <w:bottom w:val="nil"/>
              <w:right w:val="single" w:sz="6" w:space="0" w:color="auto"/>
            </w:tcBorders>
          </w:tcPr>
          <w:p w14:paraId="07A5A62B" w14:textId="77777777" w:rsidR="002F5087" w:rsidRPr="007C19A2" w:rsidRDefault="002F5087">
            <w:pPr>
              <w:rPr>
                <w:color w:val="000000"/>
                <w:sz w:val="22"/>
                <w:szCs w:val="22"/>
                <w:lang w:val="sr-Latn-ME"/>
              </w:rPr>
            </w:pPr>
          </w:p>
        </w:tc>
        <w:tc>
          <w:tcPr>
            <w:tcW w:w="984" w:type="pct"/>
            <w:tcBorders>
              <w:top w:val="nil"/>
              <w:left w:val="single" w:sz="6" w:space="0" w:color="auto"/>
              <w:bottom w:val="nil"/>
              <w:right w:val="single" w:sz="6" w:space="0" w:color="auto"/>
            </w:tcBorders>
            <w:hideMark/>
          </w:tcPr>
          <w:p w14:paraId="78E47A83"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N=724</w:t>
            </w:r>
          </w:p>
        </w:tc>
        <w:tc>
          <w:tcPr>
            <w:tcW w:w="894" w:type="pct"/>
            <w:tcBorders>
              <w:top w:val="nil"/>
              <w:left w:val="single" w:sz="6" w:space="0" w:color="auto"/>
              <w:bottom w:val="nil"/>
              <w:right w:val="single" w:sz="6" w:space="0" w:color="auto"/>
            </w:tcBorders>
            <w:hideMark/>
          </w:tcPr>
          <w:p w14:paraId="703CEAF3"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N=725</w:t>
            </w:r>
          </w:p>
        </w:tc>
        <w:tc>
          <w:tcPr>
            <w:tcW w:w="875" w:type="pct"/>
            <w:tcBorders>
              <w:top w:val="nil"/>
              <w:left w:val="single" w:sz="6" w:space="0" w:color="auto"/>
              <w:bottom w:val="nil"/>
              <w:right w:val="single" w:sz="4" w:space="0" w:color="auto"/>
            </w:tcBorders>
          </w:tcPr>
          <w:p w14:paraId="6C0E53C0" w14:textId="77777777" w:rsidR="002F5087" w:rsidRPr="007C19A2" w:rsidRDefault="002F5087">
            <w:pPr>
              <w:jc w:val="center"/>
              <w:rPr>
                <w:color w:val="000000"/>
                <w:sz w:val="22"/>
                <w:szCs w:val="22"/>
                <w:lang w:val="sr-Latn-ME"/>
              </w:rPr>
            </w:pPr>
          </w:p>
        </w:tc>
      </w:tr>
      <w:tr w:rsidR="002F5087" w:rsidRPr="007C19A2" w14:paraId="7E4CC00F" w14:textId="77777777" w:rsidTr="002F5087">
        <w:trPr>
          <w:trHeight w:hRule="exact" w:val="411"/>
        </w:trPr>
        <w:tc>
          <w:tcPr>
            <w:tcW w:w="2247" w:type="pct"/>
            <w:tcBorders>
              <w:top w:val="nil"/>
              <w:left w:val="single" w:sz="4" w:space="0" w:color="auto"/>
              <w:bottom w:val="single" w:sz="6" w:space="0" w:color="auto"/>
              <w:right w:val="single" w:sz="6" w:space="0" w:color="auto"/>
            </w:tcBorders>
          </w:tcPr>
          <w:p w14:paraId="0341E87B" w14:textId="77777777" w:rsidR="002F5087" w:rsidRPr="007C19A2" w:rsidRDefault="002F5087">
            <w:pPr>
              <w:rPr>
                <w:color w:val="000000"/>
                <w:sz w:val="22"/>
                <w:szCs w:val="22"/>
                <w:lang w:val="sr-Latn-ME"/>
              </w:rPr>
            </w:pPr>
          </w:p>
        </w:tc>
        <w:tc>
          <w:tcPr>
            <w:tcW w:w="984" w:type="pct"/>
            <w:tcBorders>
              <w:top w:val="nil"/>
              <w:left w:val="single" w:sz="6" w:space="0" w:color="auto"/>
              <w:bottom w:val="single" w:sz="6" w:space="0" w:color="auto"/>
              <w:right w:val="single" w:sz="6" w:space="0" w:color="auto"/>
            </w:tcBorders>
            <w:hideMark/>
          </w:tcPr>
          <w:p w14:paraId="128058EE"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w:t>
            </w:r>
          </w:p>
        </w:tc>
        <w:tc>
          <w:tcPr>
            <w:tcW w:w="894" w:type="pct"/>
            <w:tcBorders>
              <w:top w:val="nil"/>
              <w:left w:val="single" w:sz="6" w:space="0" w:color="auto"/>
              <w:bottom w:val="single" w:sz="6" w:space="0" w:color="auto"/>
              <w:right w:val="single" w:sz="6" w:space="0" w:color="auto"/>
            </w:tcBorders>
            <w:hideMark/>
          </w:tcPr>
          <w:p w14:paraId="60E05650"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w:t>
            </w:r>
          </w:p>
        </w:tc>
        <w:tc>
          <w:tcPr>
            <w:tcW w:w="875" w:type="pct"/>
            <w:tcBorders>
              <w:top w:val="nil"/>
              <w:left w:val="single" w:sz="6" w:space="0" w:color="auto"/>
              <w:bottom w:val="single" w:sz="6" w:space="0" w:color="auto"/>
              <w:right w:val="single" w:sz="4" w:space="0" w:color="auto"/>
            </w:tcBorders>
          </w:tcPr>
          <w:p w14:paraId="195C2038" w14:textId="77777777" w:rsidR="002F5087" w:rsidRPr="007C19A2" w:rsidRDefault="002F5087">
            <w:pPr>
              <w:jc w:val="center"/>
              <w:rPr>
                <w:i/>
                <w:color w:val="000000"/>
                <w:sz w:val="22"/>
                <w:szCs w:val="22"/>
                <w:lang w:val="sr-Latn-ME"/>
              </w:rPr>
            </w:pPr>
          </w:p>
        </w:tc>
      </w:tr>
      <w:tr w:rsidR="002F5087" w:rsidRPr="007C19A2" w14:paraId="000D1A22" w14:textId="77777777" w:rsidTr="002F5087">
        <w:trPr>
          <w:trHeight w:hRule="exact" w:val="340"/>
        </w:trPr>
        <w:tc>
          <w:tcPr>
            <w:tcW w:w="2247" w:type="pct"/>
            <w:tcBorders>
              <w:top w:val="single" w:sz="6" w:space="0" w:color="auto"/>
              <w:left w:val="single" w:sz="4" w:space="0" w:color="auto"/>
              <w:bottom w:val="single" w:sz="6" w:space="0" w:color="auto"/>
              <w:right w:val="single" w:sz="6" w:space="0" w:color="auto"/>
            </w:tcBorders>
            <w:vAlign w:val="center"/>
            <w:hideMark/>
          </w:tcPr>
          <w:p w14:paraId="6170F6BC" w14:textId="56FB7162" w:rsidR="002F5087" w:rsidRPr="007C19A2" w:rsidRDefault="002F5087">
            <w:pPr>
              <w:tabs>
                <w:tab w:val="left" w:pos="360"/>
              </w:tabs>
              <w:rPr>
                <w:sz w:val="22"/>
                <w:szCs w:val="22"/>
                <w:lang w:val="sr-Latn-ME"/>
              </w:rPr>
            </w:pPr>
            <w:r w:rsidRPr="007C19A2">
              <w:rPr>
                <w:sz w:val="22"/>
                <w:szCs w:val="22"/>
                <w:lang w:val="sr-Latn-ME"/>
              </w:rPr>
              <w:t xml:space="preserve">Primarni </w:t>
            </w:r>
            <w:r w:rsidR="00FD0F79" w:rsidRPr="007C19A2">
              <w:rPr>
                <w:sz w:val="22"/>
                <w:szCs w:val="22"/>
                <w:lang w:val="sr-Latn-ME"/>
              </w:rPr>
              <w:t>parametar praćanja</w:t>
            </w:r>
          </w:p>
        </w:tc>
        <w:tc>
          <w:tcPr>
            <w:tcW w:w="984" w:type="pct"/>
            <w:tcBorders>
              <w:top w:val="single" w:sz="6" w:space="0" w:color="auto"/>
              <w:left w:val="single" w:sz="6" w:space="0" w:color="auto"/>
              <w:bottom w:val="single" w:sz="6" w:space="0" w:color="auto"/>
              <w:right w:val="single" w:sz="6" w:space="0" w:color="auto"/>
            </w:tcBorders>
            <w:vAlign w:val="center"/>
          </w:tcPr>
          <w:p w14:paraId="45B66ABB" w14:textId="77777777" w:rsidR="002F5087" w:rsidRPr="007C19A2" w:rsidRDefault="002F5087">
            <w:pPr>
              <w:tabs>
                <w:tab w:val="left" w:pos="360"/>
              </w:tabs>
              <w:rPr>
                <w:sz w:val="22"/>
                <w:szCs w:val="22"/>
                <w:lang w:val="sr-Latn-ME"/>
              </w:rPr>
            </w:pPr>
          </w:p>
        </w:tc>
        <w:tc>
          <w:tcPr>
            <w:tcW w:w="894" w:type="pct"/>
            <w:tcBorders>
              <w:top w:val="single" w:sz="6" w:space="0" w:color="auto"/>
              <w:left w:val="single" w:sz="6" w:space="0" w:color="auto"/>
              <w:bottom w:val="single" w:sz="6" w:space="0" w:color="auto"/>
              <w:right w:val="single" w:sz="6" w:space="0" w:color="auto"/>
            </w:tcBorders>
            <w:vAlign w:val="center"/>
          </w:tcPr>
          <w:p w14:paraId="02295903" w14:textId="77777777" w:rsidR="002F5087" w:rsidRPr="007C19A2" w:rsidRDefault="002F5087">
            <w:pPr>
              <w:tabs>
                <w:tab w:val="left" w:pos="360"/>
              </w:tabs>
              <w:rPr>
                <w:sz w:val="22"/>
                <w:szCs w:val="22"/>
                <w:lang w:val="sr-Latn-ME"/>
              </w:rPr>
            </w:pPr>
          </w:p>
        </w:tc>
        <w:tc>
          <w:tcPr>
            <w:tcW w:w="875" w:type="pct"/>
            <w:tcBorders>
              <w:top w:val="single" w:sz="6" w:space="0" w:color="auto"/>
              <w:left w:val="single" w:sz="6" w:space="0" w:color="auto"/>
              <w:bottom w:val="single" w:sz="6" w:space="0" w:color="auto"/>
              <w:right w:val="single" w:sz="4" w:space="0" w:color="auto"/>
            </w:tcBorders>
            <w:vAlign w:val="center"/>
          </w:tcPr>
          <w:p w14:paraId="074869BD" w14:textId="77777777" w:rsidR="002F5087" w:rsidRPr="007C19A2" w:rsidRDefault="002F5087">
            <w:pPr>
              <w:tabs>
                <w:tab w:val="left" w:pos="360"/>
              </w:tabs>
              <w:rPr>
                <w:sz w:val="22"/>
                <w:szCs w:val="22"/>
                <w:lang w:val="sr-Latn-ME"/>
              </w:rPr>
            </w:pPr>
          </w:p>
        </w:tc>
      </w:tr>
      <w:tr w:rsidR="002F5087" w:rsidRPr="007C19A2" w14:paraId="1D3D8558" w14:textId="77777777" w:rsidTr="002F5087">
        <w:trPr>
          <w:trHeight w:hRule="exact" w:val="340"/>
        </w:trPr>
        <w:tc>
          <w:tcPr>
            <w:tcW w:w="2247" w:type="pct"/>
            <w:tcBorders>
              <w:top w:val="single" w:sz="6" w:space="0" w:color="auto"/>
              <w:left w:val="single" w:sz="6" w:space="0" w:color="auto"/>
              <w:bottom w:val="nil"/>
              <w:right w:val="single" w:sz="6" w:space="0" w:color="auto"/>
            </w:tcBorders>
            <w:vAlign w:val="center"/>
            <w:hideMark/>
          </w:tcPr>
          <w:p w14:paraId="11B043BE" w14:textId="77777777" w:rsidR="002F5087" w:rsidRPr="007C19A2" w:rsidRDefault="002F5087">
            <w:pPr>
              <w:rPr>
                <w:color w:val="000000"/>
                <w:sz w:val="22"/>
                <w:szCs w:val="22"/>
                <w:lang w:val="sr-Latn-ME"/>
              </w:rPr>
            </w:pPr>
            <w:r w:rsidRPr="007C19A2">
              <w:rPr>
                <w:bCs/>
                <w:color w:val="000000"/>
                <w:sz w:val="22"/>
                <w:szCs w:val="22"/>
                <w:lang w:val="sr-Latn-ME"/>
              </w:rPr>
              <w:t>Potpuni odgovor</w:t>
            </w:r>
          </w:p>
        </w:tc>
        <w:tc>
          <w:tcPr>
            <w:tcW w:w="984" w:type="pct"/>
            <w:tcBorders>
              <w:top w:val="single" w:sz="6" w:space="0" w:color="auto"/>
              <w:left w:val="single" w:sz="6" w:space="0" w:color="auto"/>
              <w:bottom w:val="nil"/>
              <w:right w:val="single" w:sz="6" w:space="0" w:color="auto"/>
            </w:tcBorders>
            <w:vAlign w:val="center"/>
          </w:tcPr>
          <w:p w14:paraId="3223797D" w14:textId="77777777" w:rsidR="002F5087" w:rsidRPr="007C19A2" w:rsidRDefault="002F5087">
            <w:pPr>
              <w:jc w:val="center"/>
              <w:rPr>
                <w:color w:val="000000"/>
                <w:sz w:val="22"/>
                <w:szCs w:val="22"/>
                <w:lang w:val="sr-Latn-ME"/>
              </w:rPr>
            </w:pPr>
          </w:p>
        </w:tc>
        <w:tc>
          <w:tcPr>
            <w:tcW w:w="894" w:type="pct"/>
            <w:tcBorders>
              <w:top w:val="single" w:sz="6" w:space="0" w:color="auto"/>
              <w:left w:val="single" w:sz="6" w:space="0" w:color="auto"/>
              <w:bottom w:val="nil"/>
              <w:right w:val="single" w:sz="6" w:space="0" w:color="auto"/>
            </w:tcBorders>
            <w:vAlign w:val="center"/>
          </w:tcPr>
          <w:p w14:paraId="15F88A1A" w14:textId="77777777" w:rsidR="002F5087" w:rsidRPr="007C19A2" w:rsidRDefault="002F5087">
            <w:pPr>
              <w:jc w:val="center"/>
              <w:rPr>
                <w:color w:val="000000"/>
                <w:sz w:val="22"/>
                <w:szCs w:val="22"/>
                <w:lang w:val="sr-Latn-ME"/>
              </w:rPr>
            </w:pPr>
          </w:p>
        </w:tc>
        <w:tc>
          <w:tcPr>
            <w:tcW w:w="875" w:type="pct"/>
            <w:tcBorders>
              <w:top w:val="single" w:sz="6" w:space="0" w:color="auto"/>
              <w:left w:val="single" w:sz="6" w:space="0" w:color="auto"/>
              <w:bottom w:val="nil"/>
              <w:right w:val="single" w:sz="4" w:space="0" w:color="auto"/>
            </w:tcBorders>
            <w:vAlign w:val="center"/>
          </w:tcPr>
          <w:p w14:paraId="7AD6CB2D" w14:textId="77777777" w:rsidR="002F5087" w:rsidRPr="007C19A2" w:rsidRDefault="002F5087">
            <w:pPr>
              <w:jc w:val="center"/>
              <w:rPr>
                <w:color w:val="000000"/>
                <w:sz w:val="22"/>
                <w:szCs w:val="22"/>
                <w:lang w:val="sr-Latn-ME"/>
              </w:rPr>
            </w:pPr>
          </w:p>
        </w:tc>
      </w:tr>
      <w:tr w:rsidR="002F5087" w:rsidRPr="007C19A2" w14:paraId="2A7EC22E" w14:textId="77777777" w:rsidTr="002F5087">
        <w:trPr>
          <w:trHeight w:hRule="exact" w:val="340"/>
        </w:trPr>
        <w:tc>
          <w:tcPr>
            <w:tcW w:w="2247" w:type="pct"/>
            <w:tcBorders>
              <w:top w:val="nil"/>
              <w:left w:val="single" w:sz="6" w:space="0" w:color="auto"/>
              <w:bottom w:val="nil"/>
              <w:right w:val="single" w:sz="6" w:space="0" w:color="auto"/>
            </w:tcBorders>
            <w:vAlign w:val="center"/>
            <w:hideMark/>
          </w:tcPr>
          <w:p w14:paraId="5C314E85" w14:textId="77777777" w:rsidR="002F5087" w:rsidRPr="007C19A2" w:rsidRDefault="002F5087">
            <w:pPr>
              <w:rPr>
                <w:color w:val="000000"/>
                <w:sz w:val="22"/>
                <w:szCs w:val="22"/>
                <w:lang w:val="sr-Latn-ME"/>
              </w:rPr>
            </w:pPr>
            <w:r w:rsidRPr="007C19A2">
              <w:rPr>
                <w:bCs/>
                <w:color w:val="000000"/>
                <w:sz w:val="22"/>
                <w:szCs w:val="22"/>
                <w:lang w:val="sr-Latn-ME"/>
              </w:rPr>
              <w:tab/>
              <w:t>Odložena faza</w:t>
            </w:r>
            <w:r w:rsidRPr="007C19A2">
              <w:rPr>
                <w:bCs/>
                <w:sz w:val="22"/>
                <w:szCs w:val="22"/>
                <w:vertAlign w:val="superscript"/>
                <w:lang w:val="sr-Latn-ME"/>
              </w:rPr>
              <w:t>†</w:t>
            </w:r>
          </w:p>
        </w:tc>
        <w:tc>
          <w:tcPr>
            <w:tcW w:w="984" w:type="pct"/>
            <w:tcBorders>
              <w:top w:val="nil"/>
              <w:left w:val="single" w:sz="6" w:space="0" w:color="auto"/>
              <w:bottom w:val="nil"/>
              <w:right w:val="single" w:sz="6" w:space="0" w:color="auto"/>
            </w:tcBorders>
            <w:vAlign w:val="center"/>
            <w:hideMark/>
          </w:tcPr>
          <w:p w14:paraId="6A9E1E14"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76,9</w:t>
            </w:r>
          </w:p>
        </w:tc>
        <w:tc>
          <w:tcPr>
            <w:tcW w:w="894" w:type="pct"/>
            <w:tcBorders>
              <w:top w:val="nil"/>
              <w:left w:val="single" w:sz="6" w:space="0" w:color="auto"/>
              <w:bottom w:val="nil"/>
              <w:right w:val="single" w:sz="6" w:space="0" w:color="auto"/>
            </w:tcBorders>
            <w:vAlign w:val="center"/>
            <w:hideMark/>
          </w:tcPr>
          <w:p w14:paraId="4EF4D655"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69,5</w:t>
            </w:r>
          </w:p>
        </w:tc>
        <w:tc>
          <w:tcPr>
            <w:tcW w:w="875" w:type="pct"/>
            <w:tcBorders>
              <w:top w:val="nil"/>
              <w:left w:val="single" w:sz="6" w:space="0" w:color="auto"/>
              <w:bottom w:val="nil"/>
              <w:right w:val="single" w:sz="4" w:space="0" w:color="auto"/>
            </w:tcBorders>
            <w:vAlign w:val="center"/>
            <w:hideMark/>
          </w:tcPr>
          <w:p w14:paraId="21CF5864"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0,001</w:t>
            </w:r>
          </w:p>
        </w:tc>
      </w:tr>
      <w:tr w:rsidR="002F5087" w:rsidRPr="007C19A2" w14:paraId="207895C9" w14:textId="77777777" w:rsidTr="00B51B64">
        <w:trPr>
          <w:trHeight w:hRule="exact" w:val="950"/>
        </w:trPr>
        <w:tc>
          <w:tcPr>
            <w:tcW w:w="2247" w:type="pct"/>
            <w:tcBorders>
              <w:top w:val="single" w:sz="6" w:space="0" w:color="auto"/>
              <w:left w:val="single" w:sz="4" w:space="0" w:color="auto"/>
              <w:bottom w:val="single" w:sz="6" w:space="0" w:color="auto"/>
              <w:right w:val="single" w:sz="6" w:space="0" w:color="auto"/>
            </w:tcBorders>
            <w:vAlign w:val="center"/>
            <w:hideMark/>
          </w:tcPr>
          <w:p w14:paraId="5BEC2DFC" w14:textId="0739AFEC" w:rsidR="002F5087" w:rsidRPr="007C19A2" w:rsidRDefault="002F5087">
            <w:pPr>
              <w:spacing w:before="240"/>
              <w:rPr>
                <w:color w:val="000000"/>
                <w:sz w:val="22"/>
                <w:szCs w:val="22"/>
                <w:lang w:val="sr-Latn-ME"/>
              </w:rPr>
            </w:pPr>
            <w:r w:rsidRPr="007C19A2">
              <w:rPr>
                <w:bCs/>
                <w:color w:val="000000"/>
                <w:sz w:val="22"/>
                <w:szCs w:val="22"/>
                <w:lang w:val="sr-Latn-ME"/>
              </w:rPr>
              <w:t xml:space="preserve">Glavni sekundarni </w:t>
            </w:r>
            <w:r w:rsidR="00FD0F79" w:rsidRPr="007C19A2">
              <w:rPr>
                <w:bCs/>
                <w:color w:val="000000"/>
                <w:sz w:val="22"/>
                <w:szCs w:val="22"/>
                <w:lang w:val="sr-Latn-ME"/>
              </w:rPr>
              <w:t>parametri praćanja</w:t>
            </w:r>
          </w:p>
        </w:tc>
        <w:tc>
          <w:tcPr>
            <w:tcW w:w="984" w:type="pct"/>
            <w:tcBorders>
              <w:top w:val="single" w:sz="6" w:space="0" w:color="auto"/>
              <w:left w:val="single" w:sz="6" w:space="0" w:color="auto"/>
              <w:bottom w:val="single" w:sz="6" w:space="0" w:color="auto"/>
              <w:right w:val="single" w:sz="6" w:space="0" w:color="auto"/>
            </w:tcBorders>
            <w:vAlign w:val="center"/>
          </w:tcPr>
          <w:p w14:paraId="0EACFD22" w14:textId="77777777" w:rsidR="002F5087" w:rsidRPr="007C19A2" w:rsidRDefault="002F5087">
            <w:pPr>
              <w:spacing w:before="240"/>
              <w:jc w:val="center"/>
              <w:rPr>
                <w:color w:val="000000"/>
                <w:sz w:val="22"/>
                <w:szCs w:val="22"/>
                <w:lang w:val="sr-Latn-ME"/>
              </w:rPr>
            </w:pPr>
          </w:p>
        </w:tc>
        <w:tc>
          <w:tcPr>
            <w:tcW w:w="894" w:type="pct"/>
            <w:tcBorders>
              <w:top w:val="single" w:sz="6" w:space="0" w:color="auto"/>
              <w:left w:val="single" w:sz="6" w:space="0" w:color="auto"/>
              <w:bottom w:val="single" w:sz="6" w:space="0" w:color="auto"/>
              <w:right w:val="single" w:sz="6" w:space="0" w:color="auto"/>
            </w:tcBorders>
            <w:vAlign w:val="center"/>
          </w:tcPr>
          <w:p w14:paraId="1D77BA00" w14:textId="77777777" w:rsidR="002F5087" w:rsidRPr="007C19A2" w:rsidRDefault="002F5087">
            <w:pPr>
              <w:spacing w:before="240"/>
              <w:jc w:val="center"/>
              <w:rPr>
                <w:color w:val="000000"/>
                <w:sz w:val="22"/>
                <w:szCs w:val="22"/>
                <w:lang w:val="sr-Latn-ME"/>
              </w:rPr>
            </w:pPr>
          </w:p>
        </w:tc>
        <w:tc>
          <w:tcPr>
            <w:tcW w:w="875" w:type="pct"/>
            <w:tcBorders>
              <w:top w:val="single" w:sz="6" w:space="0" w:color="auto"/>
              <w:left w:val="single" w:sz="6" w:space="0" w:color="auto"/>
              <w:bottom w:val="single" w:sz="6" w:space="0" w:color="auto"/>
              <w:right w:val="single" w:sz="4" w:space="0" w:color="auto"/>
            </w:tcBorders>
            <w:vAlign w:val="center"/>
          </w:tcPr>
          <w:p w14:paraId="152751C4" w14:textId="77777777" w:rsidR="002F5087" w:rsidRPr="007C19A2" w:rsidRDefault="002F5087">
            <w:pPr>
              <w:spacing w:before="240"/>
              <w:jc w:val="center"/>
              <w:rPr>
                <w:color w:val="000000"/>
                <w:sz w:val="22"/>
                <w:szCs w:val="22"/>
                <w:lang w:val="sr-Latn-ME"/>
              </w:rPr>
            </w:pPr>
          </w:p>
        </w:tc>
      </w:tr>
      <w:tr w:rsidR="002F5087" w:rsidRPr="007C19A2" w14:paraId="4EC90A7D" w14:textId="77777777" w:rsidTr="002F5087">
        <w:trPr>
          <w:trHeight w:hRule="exact" w:val="340"/>
        </w:trPr>
        <w:tc>
          <w:tcPr>
            <w:tcW w:w="2247" w:type="pct"/>
            <w:tcBorders>
              <w:top w:val="single" w:sz="6" w:space="0" w:color="auto"/>
              <w:left w:val="single" w:sz="4" w:space="0" w:color="auto"/>
              <w:bottom w:val="nil"/>
              <w:right w:val="single" w:sz="6" w:space="0" w:color="auto"/>
            </w:tcBorders>
            <w:vAlign w:val="center"/>
            <w:hideMark/>
          </w:tcPr>
          <w:p w14:paraId="4D1701BB" w14:textId="77777777" w:rsidR="002F5087" w:rsidRPr="007C19A2" w:rsidRDefault="002F5087">
            <w:pPr>
              <w:rPr>
                <w:color w:val="000000"/>
                <w:sz w:val="22"/>
                <w:szCs w:val="22"/>
                <w:lang w:val="sr-Latn-ME"/>
              </w:rPr>
            </w:pPr>
            <w:r w:rsidRPr="007C19A2">
              <w:rPr>
                <w:bCs/>
                <w:color w:val="000000"/>
                <w:sz w:val="22"/>
                <w:szCs w:val="22"/>
                <w:lang w:val="sr-Latn-ME"/>
              </w:rPr>
              <w:t>Potpuni odgovor</w:t>
            </w:r>
          </w:p>
        </w:tc>
        <w:tc>
          <w:tcPr>
            <w:tcW w:w="984" w:type="pct"/>
            <w:tcBorders>
              <w:top w:val="single" w:sz="6" w:space="0" w:color="auto"/>
              <w:left w:val="single" w:sz="6" w:space="0" w:color="auto"/>
              <w:bottom w:val="nil"/>
              <w:right w:val="single" w:sz="6" w:space="0" w:color="auto"/>
            </w:tcBorders>
            <w:vAlign w:val="center"/>
          </w:tcPr>
          <w:p w14:paraId="06AA483E" w14:textId="77777777" w:rsidR="002F5087" w:rsidRPr="007C19A2" w:rsidRDefault="002F5087">
            <w:pPr>
              <w:jc w:val="center"/>
              <w:rPr>
                <w:color w:val="000000"/>
                <w:sz w:val="22"/>
                <w:szCs w:val="22"/>
                <w:lang w:val="sr-Latn-ME"/>
              </w:rPr>
            </w:pPr>
          </w:p>
        </w:tc>
        <w:tc>
          <w:tcPr>
            <w:tcW w:w="894" w:type="pct"/>
            <w:tcBorders>
              <w:top w:val="single" w:sz="6" w:space="0" w:color="auto"/>
              <w:left w:val="single" w:sz="6" w:space="0" w:color="auto"/>
              <w:bottom w:val="nil"/>
              <w:right w:val="single" w:sz="6" w:space="0" w:color="auto"/>
            </w:tcBorders>
            <w:vAlign w:val="center"/>
          </w:tcPr>
          <w:p w14:paraId="4DA215D0" w14:textId="77777777" w:rsidR="002F5087" w:rsidRPr="007C19A2" w:rsidRDefault="002F5087">
            <w:pPr>
              <w:jc w:val="center"/>
              <w:rPr>
                <w:color w:val="000000"/>
                <w:sz w:val="22"/>
                <w:szCs w:val="22"/>
                <w:lang w:val="sr-Latn-ME"/>
              </w:rPr>
            </w:pPr>
          </w:p>
        </w:tc>
        <w:tc>
          <w:tcPr>
            <w:tcW w:w="875" w:type="pct"/>
            <w:tcBorders>
              <w:top w:val="single" w:sz="6" w:space="0" w:color="auto"/>
              <w:left w:val="single" w:sz="6" w:space="0" w:color="auto"/>
              <w:bottom w:val="nil"/>
              <w:right w:val="single" w:sz="4" w:space="0" w:color="auto"/>
            </w:tcBorders>
            <w:vAlign w:val="center"/>
          </w:tcPr>
          <w:p w14:paraId="5E2BBB9B" w14:textId="77777777" w:rsidR="002F5087" w:rsidRPr="007C19A2" w:rsidRDefault="002F5087">
            <w:pPr>
              <w:jc w:val="center"/>
              <w:rPr>
                <w:color w:val="000000"/>
                <w:sz w:val="22"/>
                <w:szCs w:val="22"/>
                <w:lang w:val="sr-Latn-ME"/>
              </w:rPr>
            </w:pPr>
          </w:p>
        </w:tc>
      </w:tr>
      <w:tr w:rsidR="002F5087" w:rsidRPr="007C19A2" w14:paraId="6CBD6403" w14:textId="77777777" w:rsidTr="002F5087">
        <w:trPr>
          <w:trHeight w:hRule="exact" w:val="340"/>
        </w:trPr>
        <w:tc>
          <w:tcPr>
            <w:tcW w:w="2247" w:type="pct"/>
            <w:tcBorders>
              <w:top w:val="nil"/>
              <w:left w:val="single" w:sz="4" w:space="0" w:color="auto"/>
              <w:bottom w:val="nil"/>
              <w:right w:val="single" w:sz="6" w:space="0" w:color="auto"/>
            </w:tcBorders>
            <w:vAlign w:val="center"/>
            <w:hideMark/>
          </w:tcPr>
          <w:p w14:paraId="11A44DCE" w14:textId="77777777" w:rsidR="002F5087" w:rsidRPr="007C19A2" w:rsidRDefault="002F5087">
            <w:pPr>
              <w:rPr>
                <w:color w:val="000000"/>
                <w:sz w:val="22"/>
                <w:szCs w:val="22"/>
                <w:lang w:val="sr-Latn-ME"/>
              </w:rPr>
            </w:pPr>
            <w:r w:rsidRPr="007C19A2">
              <w:rPr>
                <w:bCs/>
                <w:color w:val="000000"/>
                <w:sz w:val="22"/>
                <w:szCs w:val="22"/>
                <w:lang w:val="sr-Latn-ME"/>
              </w:rPr>
              <w:tab/>
              <w:t>Akutna faza</w:t>
            </w:r>
            <w:r w:rsidRPr="007C19A2">
              <w:rPr>
                <w:bCs/>
                <w:sz w:val="22"/>
                <w:szCs w:val="22"/>
                <w:vertAlign w:val="superscript"/>
                <w:lang w:val="sr-Latn-ME"/>
              </w:rPr>
              <w:t>‡</w:t>
            </w:r>
          </w:p>
        </w:tc>
        <w:tc>
          <w:tcPr>
            <w:tcW w:w="984" w:type="pct"/>
            <w:tcBorders>
              <w:top w:val="nil"/>
              <w:left w:val="single" w:sz="6" w:space="0" w:color="auto"/>
              <w:bottom w:val="nil"/>
              <w:right w:val="single" w:sz="6" w:space="0" w:color="auto"/>
            </w:tcBorders>
            <w:vAlign w:val="center"/>
            <w:hideMark/>
          </w:tcPr>
          <w:p w14:paraId="67499CFE"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88,4</w:t>
            </w:r>
          </w:p>
        </w:tc>
        <w:tc>
          <w:tcPr>
            <w:tcW w:w="894" w:type="pct"/>
            <w:tcBorders>
              <w:top w:val="nil"/>
              <w:left w:val="single" w:sz="6" w:space="0" w:color="auto"/>
              <w:bottom w:val="nil"/>
              <w:right w:val="single" w:sz="6" w:space="0" w:color="auto"/>
            </w:tcBorders>
            <w:vAlign w:val="center"/>
            <w:hideMark/>
          </w:tcPr>
          <w:p w14:paraId="0E18AF38"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85,0</w:t>
            </w:r>
          </w:p>
        </w:tc>
        <w:tc>
          <w:tcPr>
            <w:tcW w:w="875" w:type="pct"/>
            <w:tcBorders>
              <w:top w:val="nil"/>
              <w:left w:val="single" w:sz="6" w:space="0" w:color="auto"/>
              <w:bottom w:val="nil"/>
              <w:right w:val="single" w:sz="4" w:space="0" w:color="auto"/>
            </w:tcBorders>
            <w:vAlign w:val="center"/>
            <w:hideMark/>
          </w:tcPr>
          <w:p w14:paraId="64069CE2"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0,047</w:t>
            </w:r>
          </w:p>
        </w:tc>
      </w:tr>
      <w:tr w:rsidR="002F5087" w:rsidRPr="007C19A2" w14:paraId="08970A3B" w14:textId="77777777" w:rsidTr="002F5087">
        <w:trPr>
          <w:trHeight w:hRule="exact" w:val="340"/>
        </w:trPr>
        <w:tc>
          <w:tcPr>
            <w:tcW w:w="2247" w:type="pct"/>
            <w:tcBorders>
              <w:top w:val="nil"/>
              <w:left w:val="single" w:sz="4" w:space="0" w:color="auto"/>
              <w:bottom w:val="single" w:sz="6" w:space="0" w:color="auto"/>
              <w:right w:val="single" w:sz="6" w:space="0" w:color="auto"/>
            </w:tcBorders>
            <w:vAlign w:val="center"/>
            <w:hideMark/>
          </w:tcPr>
          <w:p w14:paraId="38B2C618" w14:textId="77777777" w:rsidR="002F5087" w:rsidRPr="007C19A2" w:rsidRDefault="002F5087">
            <w:pPr>
              <w:rPr>
                <w:color w:val="000000"/>
                <w:sz w:val="22"/>
                <w:szCs w:val="22"/>
                <w:lang w:val="sr-Latn-ME"/>
              </w:rPr>
            </w:pPr>
            <w:r w:rsidRPr="007C19A2">
              <w:rPr>
                <w:bCs/>
                <w:color w:val="000000"/>
                <w:sz w:val="22"/>
                <w:szCs w:val="22"/>
                <w:lang w:val="sr-Latn-ME"/>
              </w:rPr>
              <w:tab/>
              <w:t>Cijela faza</w:t>
            </w:r>
            <w:r w:rsidRPr="007C19A2">
              <w:rPr>
                <w:bCs/>
                <w:sz w:val="22"/>
                <w:szCs w:val="22"/>
                <w:vertAlign w:val="superscript"/>
                <w:lang w:val="sr-Latn-ME"/>
              </w:rPr>
              <w:t>§</w:t>
            </w:r>
          </w:p>
        </w:tc>
        <w:tc>
          <w:tcPr>
            <w:tcW w:w="984" w:type="pct"/>
            <w:tcBorders>
              <w:top w:val="nil"/>
              <w:left w:val="single" w:sz="6" w:space="0" w:color="auto"/>
              <w:bottom w:val="single" w:sz="6" w:space="0" w:color="auto"/>
              <w:right w:val="single" w:sz="6" w:space="0" w:color="auto"/>
            </w:tcBorders>
            <w:vAlign w:val="center"/>
            <w:hideMark/>
          </w:tcPr>
          <w:p w14:paraId="3D665C10"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74,3</w:t>
            </w:r>
          </w:p>
        </w:tc>
        <w:tc>
          <w:tcPr>
            <w:tcW w:w="894" w:type="pct"/>
            <w:tcBorders>
              <w:top w:val="nil"/>
              <w:left w:val="single" w:sz="6" w:space="0" w:color="auto"/>
              <w:bottom w:val="single" w:sz="6" w:space="0" w:color="auto"/>
              <w:right w:val="single" w:sz="6" w:space="0" w:color="auto"/>
            </w:tcBorders>
            <w:vAlign w:val="center"/>
            <w:hideMark/>
          </w:tcPr>
          <w:p w14:paraId="1AE6A762"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66,6</w:t>
            </w:r>
          </w:p>
        </w:tc>
        <w:tc>
          <w:tcPr>
            <w:tcW w:w="875" w:type="pct"/>
            <w:tcBorders>
              <w:top w:val="nil"/>
              <w:left w:val="single" w:sz="6" w:space="0" w:color="auto"/>
              <w:bottom w:val="single" w:sz="6" w:space="0" w:color="auto"/>
              <w:right w:val="single" w:sz="4" w:space="0" w:color="auto"/>
            </w:tcBorders>
            <w:vAlign w:val="center"/>
            <w:hideMark/>
          </w:tcPr>
          <w:p w14:paraId="1DB01EB7"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0,001</w:t>
            </w:r>
          </w:p>
        </w:tc>
      </w:tr>
      <w:tr w:rsidR="002F5087" w:rsidRPr="007C19A2" w14:paraId="19D74A7E" w14:textId="77777777" w:rsidTr="002F5087">
        <w:trPr>
          <w:trHeight w:hRule="exact" w:val="340"/>
        </w:trPr>
        <w:tc>
          <w:tcPr>
            <w:tcW w:w="2247" w:type="pct"/>
            <w:tcBorders>
              <w:top w:val="single" w:sz="6" w:space="0" w:color="auto"/>
              <w:left w:val="single" w:sz="4" w:space="0" w:color="auto"/>
              <w:bottom w:val="nil"/>
              <w:right w:val="single" w:sz="6" w:space="0" w:color="auto"/>
            </w:tcBorders>
            <w:vAlign w:val="center"/>
            <w:hideMark/>
          </w:tcPr>
          <w:p w14:paraId="2570324E" w14:textId="77777777" w:rsidR="002F5087" w:rsidRPr="007C19A2" w:rsidRDefault="002F5087">
            <w:pPr>
              <w:rPr>
                <w:color w:val="000000"/>
                <w:sz w:val="22"/>
                <w:szCs w:val="22"/>
                <w:lang w:val="sr-Latn-ME"/>
              </w:rPr>
            </w:pPr>
            <w:r w:rsidRPr="007C19A2">
              <w:rPr>
                <w:bCs/>
                <w:color w:val="000000"/>
                <w:sz w:val="22"/>
                <w:szCs w:val="22"/>
                <w:lang w:val="sr-Latn-ME"/>
              </w:rPr>
              <w:t>Bez emeze</w:t>
            </w:r>
          </w:p>
        </w:tc>
        <w:tc>
          <w:tcPr>
            <w:tcW w:w="984" w:type="pct"/>
            <w:tcBorders>
              <w:top w:val="single" w:sz="6" w:space="0" w:color="auto"/>
              <w:left w:val="single" w:sz="6" w:space="0" w:color="auto"/>
              <w:bottom w:val="nil"/>
              <w:right w:val="single" w:sz="6" w:space="0" w:color="auto"/>
            </w:tcBorders>
            <w:vAlign w:val="center"/>
          </w:tcPr>
          <w:p w14:paraId="5C46AF01" w14:textId="77777777" w:rsidR="002F5087" w:rsidRPr="007C19A2" w:rsidRDefault="002F5087">
            <w:pPr>
              <w:jc w:val="center"/>
              <w:rPr>
                <w:color w:val="000000"/>
                <w:sz w:val="22"/>
                <w:szCs w:val="22"/>
                <w:lang w:val="sr-Latn-ME"/>
              </w:rPr>
            </w:pPr>
          </w:p>
        </w:tc>
        <w:tc>
          <w:tcPr>
            <w:tcW w:w="894" w:type="pct"/>
            <w:tcBorders>
              <w:top w:val="single" w:sz="6" w:space="0" w:color="auto"/>
              <w:left w:val="single" w:sz="6" w:space="0" w:color="auto"/>
              <w:bottom w:val="nil"/>
              <w:right w:val="single" w:sz="6" w:space="0" w:color="auto"/>
            </w:tcBorders>
            <w:vAlign w:val="center"/>
          </w:tcPr>
          <w:p w14:paraId="1EB49CF2" w14:textId="77777777" w:rsidR="002F5087" w:rsidRPr="007C19A2" w:rsidRDefault="002F5087">
            <w:pPr>
              <w:jc w:val="center"/>
              <w:rPr>
                <w:color w:val="000000"/>
                <w:sz w:val="22"/>
                <w:szCs w:val="22"/>
                <w:lang w:val="sr-Latn-ME"/>
              </w:rPr>
            </w:pPr>
          </w:p>
        </w:tc>
        <w:tc>
          <w:tcPr>
            <w:tcW w:w="875" w:type="pct"/>
            <w:tcBorders>
              <w:top w:val="single" w:sz="6" w:space="0" w:color="auto"/>
              <w:left w:val="single" w:sz="6" w:space="0" w:color="auto"/>
              <w:bottom w:val="nil"/>
              <w:right w:val="single" w:sz="4" w:space="0" w:color="auto"/>
            </w:tcBorders>
            <w:vAlign w:val="center"/>
          </w:tcPr>
          <w:p w14:paraId="11F5B2C1" w14:textId="77777777" w:rsidR="002F5087" w:rsidRPr="007C19A2" w:rsidRDefault="002F5087">
            <w:pPr>
              <w:jc w:val="center"/>
              <w:rPr>
                <w:color w:val="000000"/>
                <w:sz w:val="22"/>
                <w:szCs w:val="22"/>
                <w:lang w:val="sr-Latn-ME"/>
              </w:rPr>
            </w:pPr>
          </w:p>
        </w:tc>
      </w:tr>
      <w:tr w:rsidR="002F5087" w:rsidRPr="007C19A2" w14:paraId="12698692" w14:textId="77777777" w:rsidTr="002F5087">
        <w:trPr>
          <w:trHeight w:hRule="exact" w:val="340"/>
        </w:trPr>
        <w:tc>
          <w:tcPr>
            <w:tcW w:w="2247" w:type="pct"/>
            <w:tcBorders>
              <w:top w:val="nil"/>
              <w:left w:val="single" w:sz="4" w:space="0" w:color="auto"/>
              <w:bottom w:val="nil"/>
              <w:right w:val="single" w:sz="6" w:space="0" w:color="auto"/>
            </w:tcBorders>
            <w:vAlign w:val="center"/>
            <w:hideMark/>
          </w:tcPr>
          <w:p w14:paraId="735175F9" w14:textId="77777777" w:rsidR="002F5087" w:rsidRPr="007C19A2" w:rsidRDefault="002F5087">
            <w:pPr>
              <w:rPr>
                <w:color w:val="000000"/>
                <w:sz w:val="22"/>
                <w:szCs w:val="22"/>
                <w:lang w:val="sr-Latn-ME"/>
              </w:rPr>
            </w:pPr>
            <w:r w:rsidRPr="007C19A2">
              <w:rPr>
                <w:bCs/>
                <w:color w:val="000000"/>
                <w:sz w:val="22"/>
                <w:szCs w:val="22"/>
                <w:lang w:val="sr-Latn-ME"/>
              </w:rPr>
              <w:tab/>
              <w:t>Akutna faza</w:t>
            </w:r>
          </w:p>
        </w:tc>
        <w:tc>
          <w:tcPr>
            <w:tcW w:w="984" w:type="pct"/>
            <w:tcBorders>
              <w:top w:val="nil"/>
              <w:left w:val="single" w:sz="6" w:space="0" w:color="auto"/>
              <w:bottom w:val="nil"/>
              <w:right w:val="single" w:sz="6" w:space="0" w:color="auto"/>
            </w:tcBorders>
            <w:vAlign w:val="center"/>
            <w:hideMark/>
          </w:tcPr>
          <w:p w14:paraId="1727C620"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90,9</w:t>
            </w:r>
          </w:p>
        </w:tc>
        <w:tc>
          <w:tcPr>
            <w:tcW w:w="894" w:type="pct"/>
            <w:tcBorders>
              <w:top w:val="nil"/>
              <w:left w:val="single" w:sz="6" w:space="0" w:color="auto"/>
              <w:bottom w:val="nil"/>
              <w:right w:val="single" w:sz="6" w:space="0" w:color="auto"/>
            </w:tcBorders>
            <w:vAlign w:val="center"/>
            <w:hideMark/>
          </w:tcPr>
          <w:p w14:paraId="6BE8660E"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87,3</w:t>
            </w:r>
          </w:p>
        </w:tc>
        <w:tc>
          <w:tcPr>
            <w:tcW w:w="875" w:type="pct"/>
            <w:tcBorders>
              <w:top w:val="nil"/>
              <w:left w:val="single" w:sz="6" w:space="0" w:color="auto"/>
              <w:bottom w:val="nil"/>
              <w:right w:val="single" w:sz="4" w:space="0" w:color="auto"/>
            </w:tcBorders>
            <w:vAlign w:val="center"/>
            <w:hideMark/>
          </w:tcPr>
          <w:p w14:paraId="4DA01C46"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0,025</w:t>
            </w:r>
          </w:p>
        </w:tc>
      </w:tr>
      <w:tr w:rsidR="002F5087" w:rsidRPr="007C19A2" w14:paraId="0333F188" w14:textId="77777777" w:rsidTr="002F5087">
        <w:trPr>
          <w:trHeight w:hRule="exact" w:val="340"/>
        </w:trPr>
        <w:tc>
          <w:tcPr>
            <w:tcW w:w="2247" w:type="pct"/>
            <w:tcBorders>
              <w:top w:val="nil"/>
              <w:left w:val="single" w:sz="4" w:space="0" w:color="auto"/>
              <w:bottom w:val="nil"/>
              <w:right w:val="single" w:sz="6" w:space="0" w:color="auto"/>
            </w:tcBorders>
            <w:vAlign w:val="center"/>
            <w:hideMark/>
          </w:tcPr>
          <w:p w14:paraId="755C3A0C" w14:textId="77777777" w:rsidR="002F5087" w:rsidRPr="007C19A2" w:rsidRDefault="002F5087">
            <w:pPr>
              <w:rPr>
                <w:color w:val="000000"/>
                <w:sz w:val="22"/>
                <w:szCs w:val="22"/>
                <w:lang w:val="sr-Latn-ME"/>
              </w:rPr>
            </w:pPr>
            <w:r w:rsidRPr="007C19A2">
              <w:rPr>
                <w:bCs/>
                <w:color w:val="000000"/>
                <w:sz w:val="22"/>
                <w:szCs w:val="22"/>
                <w:lang w:val="sr-Latn-ME"/>
              </w:rPr>
              <w:tab/>
              <w:t>Odložena faza</w:t>
            </w:r>
          </w:p>
        </w:tc>
        <w:tc>
          <w:tcPr>
            <w:tcW w:w="984" w:type="pct"/>
            <w:tcBorders>
              <w:top w:val="nil"/>
              <w:left w:val="single" w:sz="6" w:space="0" w:color="auto"/>
              <w:bottom w:val="nil"/>
              <w:right w:val="single" w:sz="6" w:space="0" w:color="auto"/>
            </w:tcBorders>
            <w:vAlign w:val="center"/>
            <w:hideMark/>
          </w:tcPr>
          <w:p w14:paraId="6E2BC23C"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81,8</w:t>
            </w:r>
          </w:p>
        </w:tc>
        <w:tc>
          <w:tcPr>
            <w:tcW w:w="894" w:type="pct"/>
            <w:tcBorders>
              <w:top w:val="nil"/>
              <w:left w:val="single" w:sz="6" w:space="0" w:color="auto"/>
              <w:bottom w:val="nil"/>
              <w:right w:val="single" w:sz="6" w:space="0" w:color="auto"/>
            </w:tcBorders>
            <w:vAlign w:val="center"/>
            <w:hideMark/>
          </w:tcPr>
          <w:p w14:paraId="1FC77CF2"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75,6</w:t>
            </w:r>
          </w:p>
        </w:tc>
        <w:tc>
          <w:tcPr>
            <w:tcW w:w="875" w:type="pct"/>
            <w:tcBorders>
              <w:top w:val="nil"/>
              <w:left w:val="single" w:sz="6" w:space="0" w:color="auto"/>
              <w:bottom w:val="nil"/>
              <w:right w:val="single" w:sz="4" w:space="0" w:color="auto"/>
            </w:tcBorders>
            <w:vAlign w:val="center"/>
            <w:hideMark/>
          </w:tcPr>
          <w:p w14:paraId="43112136"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0,004</w:t>
            </w:r>
          </w:p>
        </w:tc>
      </w:tr>
      <w:tr w:rsidR="002F5087" w:rsidRPr="007C19A2" w14:paraId="052BC0D0" w14:textId="77777777" w:rsidTr="002F5087">
        <w:trPr>
          <w:trHeight w:hRule="exact" w:val="340"/>
        </w:trPr>
        <w:tc>
          <w:tcPr>
            <w:tcW w:w="2247" w:type="pct"/>
            <w:tcBorders>
              <w:top w:val="nil"/>
              <w:left w:val="single" w:sz="4" w:space="0" w:color="auto"/>
              <w:bottom w:val="single" w:sz="6" w:space="0" w:color="auto"/>
              <w:right w:val="single" w:sz="6" w:space="0" w:color="auto"/>
            </w:tcBorders>
            <w:vAlign w:val="center"/>
            <w:hideMark/>
          </w:tcPr>
          <w:p w14:paraId="7AC5AADF" w14:textId="77777777" w:rsidR="002F5087" w:rsidRPr="007C19A2" w:rsidRDefault="002F5087">
            <w:pPr>
              <w:rPr>
                <w:color w:val="000000"/>
                <w:sz w:val="22"/>
                <w:szCs w:val="22"/>
                <w:lang w:val="sr-Latn-ME"/>
              </w:rPr>
            </w:pPr>
            <w:r w:rsidRPr="007C19A2">
              <w:rPr>
                <w:bCs/>
                <w:color w:val="000000"/>
                <w:sz w:val="22"/>
                <w:szCs w:val="22"/>
                <w:lang w:val="sr-Latn-ME"/>
              </w:rPr>
              <w:tab/>
              <w:t>Cijela faza</w:t>
            </w:r>
          </w:p>
        </w:tc>
        <w:tc>
          <w:tcPr>
            <w:tcW w:w="984" w:type="pct"/>
            <w:tcBorders>
              <w:top w:val="nil"/>
              <w:left w:val="single" w:sz="6" w:space="0" w:color="auto"/>
              <w:bottom w:val="single" w:sz="6" w:space="0" w:color="auto"/>
              <w:right w:val="single" w:sz="6" w:space="0" w:color="auto"/>
            </w:tcBorders>
            <w:vAlign w:val="center"/>
            <w:hideMark/>
          </w:tcPr>
          <w:p w14:paraId="0C391D43"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79,8</w:t>
            </w:r>
          </w:p>
        </w:tc>
        <w:tc>
          <w:tcPr>
            <w:tcW w:w="894" w:type="pct"/>
            <w:tcBorders>
              <w:top w:val="nil"/>
              <w:left w:val="single" w:sz="6" w:space="0" w:color="auto"/>
              <w:bottom w:val="single" w:sz="6" w:space="0" w:color="auto"/>
              <w:right w:val="single" w:sz="6" w:space="0" w:color="auto"/>
            </w:tcBorders>
            <w:vAlign w:val="center"/>
            <w:hideMark/>
          </w:tcPr>
          <w:p w14:paraId="06243B48"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72,1</w:t>
            </w:r>
          </w:p>
        </w:tc>
        <w:tc>
          <w:tcPr>
            <w:tcW w:w="875" w:type="pct"/>
            <w:tcBorders>
              <w:top w:val="nil"/>
              <w:left w:val="single" w:sz="6" w:space="0" w:color="auto"/>
              <w:bottom w:val="single" w:sz="6" w:space="0" w:color="auto"/>
              <w:right w:val="single" w:sz="4" w:space="0" w:color="auto"/>
            </w:tcBorders>
            <w:vAlign w:val="center"/>
            <w:hideMark/>
          </w:tcPr>
          <w:p w14:paraId="3702E584"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&lt;0,001</w:t>
            </w:r>
          </w:p>
        </w:tc>
      </w:tr>
      <w:tr w:rsidR="002F5087" w:rsidRPr="007C19A2" w14:paraId="351CDF49" w14:textId="77777777" w:rsidTr="002F5087">
        <w:trPr>
          <w:trHeight w:hRule="exact" w:val="340"/>
        </w:trPr>
        <w:tc>
          <w:tcPr>
            <w:tcW w:w="2247" w:type="pct"/>
            <w:tcBorders>
              <w:top w:val="single" w:sz="6" w:space="0" w:color="auto"/>
              <w:left w:val="single" w:sz="6" w:space="0" w:color="auto"/>
              <w:bottom w:val="nil"/>
              <w:right w:val="single" w:sz="6" w:space="0" w:color="auto"/>
            </w:tcBorders>
            <w:vAlign w:val="center"/>
            <w:hideMark/>
          </w:tcPr>
          <w:p w14:paraId="7A90A674" w14:textId="77777777" w:rsidR="002F5087" w:rsidRPr="007C19A2" w:rsidRDefault="002F5087">
            <w:pPr>
              <w:rPr>
                <w:color w:val="000000"/>
                <w:sz w:val="22"/>
                <w:szCs w:val="22"/>
                <w:lang w:val="sr-Latn-ME"/>
              </w:rPr>
            </w:pPr>
            <w:r w:rsidRPr="007C19A2">
              <w:rPr>
                <w:bCs/>
                <w:color w:val="000000"/>
                <w:sz w:val="22"/>
                <w:szCs w:val="22"/>
                <w:lang w:val="sr-Latn-ME"/>
              </w:rPr>
              <w:t>Bez značajne mučnine</w:t>
            </w:r>
          </w:p>
        </w:tc>
        <w:tc>
          <w:tcPr>
            <w:tcW w:w="984" w:type="pct"/>
            <w:tcBorders>
              <w:top w:val="single" w:sz="6" w:space="0" w:color="auto"/>
              <w:left w:val="single" w:sz="6" w:space="0" w:color="auto"/>
              <w:bottom w:val="nil"/>
              <w:right w:val="single" w:sz="6" w:space="0" w:color="auto"/>
            </w:tcBorders>
            <w:vAlign w:val="center"/>
          </w:tcPr>
          <w:p w14:paraId="1A4EA781" w14:textId="77777777" w:rsidR="002F5087" w:rsidRPr="007C19A2" w:rsidRDefault="002F5087">
            <w:pPr>
              <w:jc w:val="center"/>
              <w:rPr>
                <w:color w:val="000000"/>
                <w:sz w:val="22"/>
                <w:szCs w:val="22"/>
                <w:lang w:val="sr-Latn-ME"/>
              </w:rPr>
            </w:pPr>
          </w:p>
        </w:tc>
        <w:tc>
          <w:tcPr>
            <w:tcW w:w="894" w:type="pct"/>
            <w:tcBorders>
              <w:top w:val="single" w:sz="6" w:space="0" w:color="auto"/>
              <w:left w:val="single" w:sz="6" w:space="0" w:color="auto"/>
              <w:bottom w:val="nil"/>
              <w:right w:val="single" w:sz="6" w:space="0" w:color="auto"/>
            </w:tcBorders>
            <w:vAlign w:val="center"/>
          </w:tcPr>
          <w:p w14:paraId="567CC0FA" w14:textId="77777777" w:rsidR="002F5087" w:rsidRPr="007C19A2" w:rsidRDefault="002F5087">
            <w:pPr>
              <w:jc w:val="center"/>
              <w:rPr>
                <w:color w:val="000000"/>
                <w:sz w:val="22"/>
                <w:szCs w:val="22"/>
                <w:lang w:val="sr-Latn-ME"/>
              </w:rPr>
            </w:pPr>
          </w:p>
        </w:tc>
        <w:tc>
          <w:tcPr>
            <w:tcW w:w="875" w:type="pct"/>
            <w:tcBorders>
              <w:top w:val="single" w:sz="6" w:space="0" w:color="auto"/>
              <w:left w:val="single" w:sz="6" w:space="0" w:color="auto"/>
              <w:bottom w:val="nil"/>
              <w:right w:val="single" w:sz="4" w:space="0" w:color="auto"/>
            </w:tcBorders>
            <w:vAlign w:val="center"/>
          </w:tcPr>
          <w:p w14:paraId="0B040ABE" w14:textId="77777777" w:rsidR="002F5087" w:rsidRPr="007C19A2" w:rsidRDefault="002F5087">
            <w:pPr>
              <w:jc w:val="center"/>
              <w:rPr>
                <w:color w:val="000000"/>
                <w:sz w:val="22"/>
                <w:szCs w:val="22"/>
                <w:lang w:val="sr-Latn-ME"/>
              </w:rPr>
            </w:pPr>
          </w:p>
        </w:tc>
      </w:tr>
      <w:tr w:rsidR="002F5087" w:rsidRPr="007C19A2" w14:paraId="6527AC9F" w14:textId="77777777" w:rsidTr="002F5087">
        <w:trPr>
          <w:trHeight w:hRule="exact" w:val="340"/>
        </w:trPr>
        <w:tc>
          <w:tcPr>
            <w:tcW w:w="2247" w:type="pct"/>
            <w:tcBorders>
              <w:top w:val="nil"/>
              <w:left w:val="single" w:sz="6" w:space="0" w:color="auto"/>
              <w:bottom w:val="nil"/>
              <w:right w:val="single" w:sz="6" w:space="0" w:color="auto"/>
            </w:tcBorders>
            <w:vAlign w:val="center"/>
            <w:hideMark/>
          </w:tcPr>
          <w:p w14:paraId="2FAEB934" w14:textId="77777777" w:rsidR="002F5087" w:rsidRPr="007C19A2" w:rsidRDefault="002F5087">
            <w:pPr>
              <w:rPr>
                <w:color w:val="000000"/>
                <w:sz w:val="22"/>
                <w:szCs w:val="22"/>
                <w:lang w:val="sr-Latn-ME"/>
              </w:rPr>
            </w:pPr>
            <w:r w:rsidRPr="007C19A2">
              <w:rPr>
                <w:bCs/>
                <w:color w:val="000000"/>
                <w:sz w:val="22"/>
                <w:szCs w:val="22"/>
                <w:lang w:val="sr-Latn-ME"/>
              </w:rPr>
              <w:tab/>
              <w:t>Akutna faza</w:t>
            </w:r>
          </w:p>
        </w:tc>
        <w:tc>
          <w:tcPr>
            <w:tcW w:w="984" w:type="pct"/>
            <w:tcBorders>
              <w:top w:val="nil"/>
              <w:left w:val="single" w:sz="6" w:space="0" w:color="auto"/>
              <w:bottom w:val="nil"/>
              <w:right w:val="single" w:sz="6" w:space="0" w:color="auto"/>
            </w:tcBorders>
            <w:vAlign w:val="center"/>
            <w:hideMark/>
          </w:tcPr>
          <w:p w14:paraId="5D03D6E2"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87,3</w:t>
            </w:r>
          </w:p>
        </w:tc>
        <w:tc>
          <w:tcPr>
            <w:tcW w:w="894" w:type="pct"/>
            <w:tcBorders>
              <w:top w:val="nil"/>
              <w:left w:val="single" w:sz="6" w:space="0" w:color="auto"/>
              <w:bottom w:val="nil"/>
              <w:right w:val="single" w:sz="6" w:space="0" w:color="auto"/>
            </w:tcBorders>
            <w:vAlign w:val="center"/>
            <w:hideMark/>
          </w:tcPr>
          <w:p w14:paraId="77577184"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87,9</w:t>
            </w:r>
          </w:p>
        </w:tc>
        <w:tc>
          <w:tcPr>
            <w:tcW w:w="875" w:type="pct"/>
            <w:tcBorders>
              <w:top w:val="nil"/>
              <w:left w:val="single" w:sz="6" w:space="0" w:color="auto"/>
              <w:bottom w:val="nil"/>
              <w:right w:val="single" w:sz="4" w:space="0" w:color="auto"/>
            </w:tcBorders>
            <w:vAlign w:val="center"/>
            <w:hideMark/>
          </w:tcPr>
          <w:p w14:paraId="70AAD7DA"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nije značajno</w:t>
            </w:r>
          </w:p>
        </w:tc>
      </w:tr>
      <w:tr w:rsidR="002F5087" w:rsidRPr="007C19A2" w14:paraId="356F58DC" w14:textId="77777777" w:rsidTr="002F5087">
        <w:trPr>
          <w:trHeight w:hRule="exact" w:val="340"/>
        </w:trPr>
        <w:tc>
          <w:tcPr>
            <w:tcW w:w="2247" w:type="pct"/>
            <w:tcBorders>
              <w:top w:val="nil"/>
              <w:left w:val="single" w:sz="6" w:space="0" w:color="auto"/>
              <w:bottom w:val="nil"/>
              <w:right w:val="single" w:sz="6" w:space="0" w:color="auto"/>
            </w:tcBorders>
            <w:vAlign w:val="center"/>
            <w:hideMark/>
          </w:tcPr>
          <w:p w14:paraId="3E16354A" w14:textId="77777777" w:rsidR="002F5087" w:rsidRPr="007C19A2" w:rsidRDefault="002F5087">
            <w:pPr>
              <w:rPr>
                <w:color w:val="000000"/>
                <w:sz w:val="22"/>
                <w:szCs w:val="22"/>
                <w:lang w:val="sr-Latn-ME"/>
              </w:rPr>
            </w:pPr>
            <w:r w:rsidRPr="007C19A2">
              <w:rPr>
                <w:bCs/>
                <w:color w:val="000000"/>
                <w:sz w:val="22"/>
                <w:szCs w:val="22"/>
                <w:lang w:val="sr-Latn-ME"/>
              </w:rPr>
              <w:tab/>
              <w:t>Odložena faza</w:t>
            </w:r>
          </w:p>
        </w:tc>
        <w:tc>
          <w:tcPr>
            <w:tcW w:w="984" w:type="pct"/>
            <w:tcBorders>
              <w:top w:val="nil"/>
              <w:left w:val="single" w:sz="6" w:space="0" w:color="auto"/>
              <w:bottom w:val="nil"/>
              <w:right w:val="single" w:sz="6" w:space="0" w:color="auto"/>
            </w:tcBorders>
            <w:vAlign w:val="center"/>
            <w:hideMark/>
          </w:tcPr>
          <w:p w14:paraId="75073670"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76,9</w:t>
            </w:r>
          </w:p>
        </w:tc>
        <w:tc>
          <w:tcPr>
            <w:tcW w:w="894" w:type="pct"/>
            <w:tcBorders>
              <w:top w:val="nil"/>
              <w:left w:val="single" w:sz="6" w:space="0" w:color="auto"/>
              <w:bottom w:val="nil"/>
              <w:right w:val="single" w:sz="6" w:space="0" w:color="auto"/>
            </w:tcBorders>
            <w:vAlign w:val="center"/>
            <w:hideMark/>
          </w:tcPr>
          <w:p w14:paraId="30C06FBC"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71,3</w:t>
            </w:r>
          </w:p>
        </w:tc>
        <w:tc>
          <w:tcPr>
            <w:tcW w:w="875" w:type="pct"/>
            <w:tcBorders>
              <w:top w:val="nil"/>
              <w:left w:val="single" w:sz="6" w:space="0" w:color="auto"/>
              <w:bottom w:val="nil"/>
              <w:right w:val="single" w:sz="4" w:space="0" w:color="auto"/>
            </w:tcBorders>
            <w:vAlign w:val="center"/>
            <w:hideMark/>
          </w:tcPr>
          <w:p w14:paraId="618B3B50"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0,014</w:t>
            </w:r>
          </w:p>
        </w:tc>
      </w:tr>
      <w:tr w:rsidR="002F5087" w:rsidRPr="007C19A2" w14:paraId="43C76F31" w14:textId="77777777" w:rsidTr="002F5087">
        <w:trPr>
          <w:trHeight w:hRule="exact" w:val="340"/>
        </w:trPr>
        <w:tc>
          <w:tcPr>
            <w:tcW w:w="2247" w:type="pct"/>
            <w:tcBorders>
              <w:top w:val="nil"/>
              <w:left w:val="single" w:sz="6" w:space="0" w:color="auto"/>
              <w:bottom w:val="single" w:sz="6" w:space="0" w:color="auto"/>
              <w:right w:val="single" w:sz="6" w:space="0" w:color="auto"/>
            </w:tcBorders>
            <w:vAlign w:val="center"/>
            <w:hideMark/>
          </w:tcPr>
          <w:p w14:paraId="0BB0BFE0" w14:textId="77777777" w:rsidR="002F5087" w:rsidRPr="007C19A2" w:rsidRDefault="002F5087">
            <w:pPr>
              <w:rPr>
                <w:color w:val="000000"/>
                <w:sz w:val="22"/>
                <w:szCs w:val="22"/>
                <w:lang w:val="sr-Latn-ME"/>
              </w:rPr>
            </w:pPr>
            <w:r w:rsidRPr="007C19A2">
              <w:rPr>
                <w:bCs/>
                <w:color w:val="000000"/>
                <w:sz w:val="22"/>
                <w:szCs w:val="22"/>
                <w:lang w:val="sr-Latn-ME"/>
              </w:rPr>
              <w:tab/>
              <w:t>Cijela faza</w:t>
            </w:r>
          </w:p>
        </w:tc>
        <w:tc>
          <w:tcPr>
            <w:tcW w:w="984" w:type="pct"/>
            <w:tcBorders>
              <w:top w:val="nil"/>
              <w:left w:val="single" w:sz="6" w:space="0" w:color="auto"/>
              <w:bottom w:val="single" w:sz="6" w:space="0" w:color="auto"/>
              <w:right w:val="single" w:sz="6" w:space="0" w:color="auto"/>
            </w:tcBorders>
            <w:vAlign w:val="center"/>
            <w:hideMark/>
          </w:tcPr>
          <w:p w14:paraId="16BDA096"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74,6</w:t>
            </w:r>
          </w:p>
        </w:tc>
        <w:tc>
          <w:tcPr>
            <w:tcW w:w="894" w:type="pct"/>
            <w:tcBorders>
              <w:top w:val="nil"/>
              <w:left w:val="single" w:sz="6" w:space="0" w:color="auto"/>
              <w:bottom w:val="single" w:sz="6" w:space="0" w:color="auto"/>
              <w:right w:val="single" w:sz="6" w:space="0" w:color="auto"/>
            </w:tcBorders>
            <w:vAlign w:val="center"/>
            <w:hideMark/>
          </w:tcPr>
          <w:p w14:paraId="03C6546A"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69,1</w:t>
            </w:r>
          </w:p>
        </w:tc>
        <w:tc>
          <w:tcPr>
            <w:tcW w:w="875" w:type="pct"/>
            <w:tcBorders>
              <w:top w:val="nil"/>
              <w:left w:val="single" w:sz="6" w:space="0" w:color="auto"/>
              <w:bottom w:val="single" w:sz="6" w:space="0" w:color="auto"/>
              <w:right w:val="single" w:sz="4" w:space="0" w:color="auto"/>
            </w:tcBorders>
            <w:vAlign w:val="center"/>
            <w:hideMark/>
          </w:tcPr>
          <w:p w14:paraId="6AA129A4" w14:textId="77777777" w:rsidR="002F5087" w:rsidRPr="007C19A2" w:rsidRDefault="002F5087">
            <w:pPr>
              <w:tabs>
                <w:tab w:val="num" w:pos="426"/>
              </w:tabs>
              <w:jc w:val="center"/>
              <w:rPr>
                <w:i/>
                <w:color w:val="000000"/>
                <w:sz w:val="22"/>
                <w:szCs w:val="22"/>
                <w:lang w:val="sr-Latn-ME"/>
              </w:rPr>
            </w:pPr>
            <w:r w:rsidRPr="007C19A2">
              <w:rPr>
                <w:bCs/>
                <w:color w:val="000000"/>
                <w:sz w:val="22"/>
                <w:szCs w:val="22"/>
                <w:lang w:val="sr-Latn-ME"/>
              </w:rPr>
              <w:t>0,020</w:t>
            </w:r>
          </w:p>
        </w:tc>
      </w:tr>
    </w:tbl>
    <w:p w14:paraId="550172E1" w14:textId="77777777" w:rsidR="002F5087" w:rsidRPr="007C19A2" w:rsidRDefault="002F5087" w:rsidP="002F5087">
      <w:pPr>
        <w:keepNext/>
        <w:tabs>
          <w:tab w:val="left" w:pos="288"/>
          <w:tab w:val="left" w:pos="1080"/>
        </w:tabs>
        <w:rPr>
          <w:sz w:val="22"/>
          <w:szCs w:val="22"/>
          <w:lang w:val="sr-Latn-ME"/>
        </w:rPr>
      </w:pPr>
      <w:r w:rsidRPr="007C19A2">
        <w:rPr>
          <w:bCs/>
          <w:i/>
          <w:sz w:val="22"/>
          <w:szCs w:val="22"/>
          <w:lang w:val="sr-Latn-ME"/>
        </w:rPr>
        <w:t>*</w:t>
      </w:r>
      <w:r w:rsidRPr="007C19A2">
        <w:rPr>
          <w:i/>
          <w:sz w:val="22"/>
          <w:szCs w:val="22"/>
          <w:lang w:val="sr-Latn-ME"/>
        </w:rPr>
        <w:t xml:space="preserve"> </w:t>
      </w:r>
      <w:r w:rsidRPr="007C19A2">
        <w:rPr>
          <w:sz w:val="22"/>
          <w:szCs w:val="22"/>
          <w:lang w:val="sr-Latn-ME"/>
        </w:rPr>
        <w:t>p</w:t>
      </w:r>
      <w:r w:rsidRPr="007C19A2">
        <w:rPr>
          <w:sz w:val="22"/>
          <w:szCs w:val="22"/>
          <w:lang w:val="sr-Latn-ME"/>
        </w:rPr>
        <w:noBreakHyphen/>
        <w:t>vrijednost iz Cochran</w:t>
      </w:r>
      <w:r w:rsidRPr="007C19A2">
        <w:rPr>
          <w:sz w:val="22"/>
          <w:szCs w:val="22"/>
          <w:lang w:val="sr-Latn-ME"/>
        </w:rPr>
        <w:noBreakHyphen/>
        <w:t>Mantel</w:t>
      </w:r>
      <w:r w:rsidRPr="007C19A2">
        <w:rPr>
          <w:sz w:val="22"/>
          <w:szCs w:val="22"/>
          <w:lang w:val="sr-Latn-ME"/>
        </w:rPr>
        <w:noBreakHyphen/>
        <w:t>Haenszel testa, stratifikovana prema starosnoj grupi i regiji.</w:t>
      </w:r>
    </w:p>
    <w:p w14:paraId="33A117E7" w14:textId="77777777" w:rsidR="002F5087" w:rsidRPr="007C19A2" w:rsidRDefault="002F5087" w:rsidP="002F5087">
      <w:pPr>
        <w:tabs>
          <w:tab w:val="left" w:pos="360"/>
        </w:tabs>
        <w:rPr>
          <w:color w:val="000000"/>
          <w:sz w:val="22"/>
          <w:szCs w:val="22"/>
          <w:lang w:val="sr-Latn-ME"/>
        </w:rPr>
      </w:pPr>
      <w:r w:rsidRPr="007C19A2">
        <w:rPr>
          <w:bCs/>
          <w:sz w:val="22"/>
          <w:szCs w:val="22"/>
          <w:vertAlign w:val="superscript"/>
          <w:lang w:val="sr-Latn-ME"/>
        </w:rPr>
        <w:t>‡</w:t>
      </w:r>
      <w:r w:rsidRPr="007C19A2">
        <w:rPr>
          <w:color w:val="000000"/>
          <w:sz w:val="22"/>
          <w:szCs w:val="22"/>
          <w:lang w:val="sr-Latn-ME"/>
        </w:rPr>
        <w:t xml:space="preserve">Akutna faza: od 0 do 24 sata poslije režima sa </w:t>
      </w:r>
      <w:r w:rsidRPr="007C19A2">
        <w:rPr>
          <w:sz w:val="22"/>
          <w:szCs w:val="22"/>
          <w:lang w:val="sr-Latn-ME"/>
        </w:rPr>
        <w:t>antraciklinom i ciklofosfamidom</w:t>
      </w:r>
    </w:p>
    <w:p w14:paraId="461EBD8D" w14:textId="77777777" w:rsidR="002F5087" w:rsidRPr="007C19A2" w:rsidRDefault="002F5087" w:rsidP="002F5087">
      <w:pPr>
        <w:tabs>
          <w:tab w:val="left" w:pos="360"/>
        </w:tabs>
        <w:rPr>
          <w:sz w:val="22"/>
          <w:szCs w:val="22"/>
          <w:lang w:val="sr-Latn-ME"/>
        </w:rPr>
      </w:pPr>
      <w:r w:rsidRPr="007C19A2">
        <w:rPr>
          <w:bCs/>
          <w:sz w:val="22"/>
          <w:szCs w:val="22"/>
          <w:vertAlign w:val="superscript"/>
          <w:lang w:val="sr-Latn-ME"/>
        </w:rPr>
        <w:t>†</w:t>
      </w:r>
      <w:r w:rsidRPr="007C19A2">
        <w:rPr>
          <w:bCs/>
          <w:color w:val="000000"/>
          <w:sz w:val="22"/>
          <w:szCs w:val="22"/>
          <w:lang w:val="sr-Latn-ME"/>
        </w:rPr>
        <w:t>Odložena faza</w:t>
      </w:r>
      <w:r w:rsidRPr="007C19A2">
        <w:rPr>
          <w:color w:val="000000"/>
          <w:sz w:val="22"/>
          <w:szCs w:val="22"/>
          <w:lang w:val="sr-Latn-ME"/>
        </w:rPr>
        <w:t xml:space="preserve">: od 25 do 120 sati poslije režima sa </w:t>
      </w:r>
      <w:r w:rsidRPr="007C19A2">
        <w:rPr>
          <w:sz w:val="22"/>
          <w:szCs w:val="22"/>
          <w:lang w:val="sr-Latn-ME"/>
        </w:rPr>
        <w:t>antraciklinom i ciklofosfamidom</w:t>
      </w:r>
    </w:p>
    <w:p w14:paraId="245AB2C0" w14:textId="77777777" w:rsidR="002F5087" w:rsidRPr="007C19A2" w:rsidRDefault="002F5087" w:rsidP="002F5087">
      <w:pPr>
        <w:tabs>
          <w:tab w:val="left" w:pos="360"/>
        </w:tabs>
        <w:rPr>
          <w:color w:val="000000"/>
          <w:sz w:val="22"/>
          <w:szCs w:val="22"/>
          <w:lang w:val="sr-Latn-ME"/>
        </w:rPr>
      </w:pPr>
      <w:r w:rsidRPr="007C19A2">
        <w:rPr>
          <w:bCs/>
          <w:sz w:val="22"/>
          <w:szCs w:val="22"/>
          <w:vertAlign w:val="superscript"/>
          <w:lang w:val="sr-Latn-ME"/>
        </w:rPr>
        <w:t>§</w:t>
      </w:r>
      <w:r w:rsidRPr="007C19A2">
        <w:rPr>
          <w:bCs/>
          <w:color w:val="000000"/>
          <w:sz w:val="22"/>
          <w:szCs w:val="22"/>
          <w:lang w:val="sr-Latn-ME"/>
        </w:rPr>
        <w:t>Cijela faza</w:t>
      </w:r>
      <w:r w:rsidRPr="007C19A2">
        <w:rPr>
          <w:color w:val="000000"/>
          <w:sz w:val="22"/>
          <w:szCs w:val="22"/>
          <w:lang w:val="sr-Latn-ME"/>
        </w:rPr>
        <w:t xml:space="preserve">: od 0 do 120 sati poslije režima sa </w:t>
      </w:r>
      <w:r w:rsidRPr="007C19A2">
        <w:rPr>
          <w:sz w:val="22"/>
          <w:szCs w:val="22"/>
          <w:lang w:val="sr-Latn-ME"/>
        </w:rPr>
        <w:t>antraciklinom i ciklofosfamidom</w:t>
      </w:r>
    </w:p>
    <w:p w14:paraId="46883223" w14:textId="77777777" w:rsidR="002F5087" w:rsidRPr="007C19A2" w:rsidRDefault="002F5087" w:rsidP="002F5087">
      <w:pPr>
        <w:tabs>
          <w:tab w:val="left" w:pos="1080"/>
        </w:tabs>
        <w:suppressAutoHyphens/>
        <w:rPr>
          <w:i/>
          <w:color w:val="000000"/>
          <w:sz w:val="22"/>
          <w:szCs w:val="22"/>
          <w:lang w:val="sr-Latn-ME"/>
        </w:rPr>
      </w:pPr>
    </w:p>
    <w:p w14:paraId="71F84001" w14:textId="10185D9B" w:rsidR="002F5087" w:rsidRPr="007C19A2" w:rsidRDefault="002F5087" w:rsidP="002F5087">
      <w:pPr>
        <w:tabs>
          <w:tab w:val="left" w:pos="1080"/>
        </w:tabs>
        <w:suppressAutoHyphens/>
        <w:jc w:val="both"/>
        <w:rPr>
          <w:sz w:val="22"/>
          <w:szCs w:val="22"/>
          <w:lang w:val="sr-Latn-ME"/>
        </w:rPr>
      </w:pPr>
      <w:r w:rsidRPr="007C19A2">
        <w:rPr>
          <w:color w:val="000000"/>
          <w:sz w:val="22"/>
          <w:szCs w:val="22"/>
          <w:lang w:val="sr-Latn-ME"/>
        </w:rPr>
        <w:t>Pacijenti su nastavili u produžetku od više ciklusa do 7 dodatnih ciklusa hem</w:t>
      </w:r>
      <w:r w:rsidR="00330615" w:rsidRPr="007C19A2">
        <w:rPr>
          <w:color w:val="000000"/>
          <w:sz w:val="22"/>
          <w:szCs w:val="22"/>
          <w:lang w:val="sr-Latn-ME"/>
        </w:rPr>
        <w:t>i</w:t>
      </w:r>
      <w:r w:rsidRPr="007C19A2">
        <w:rPr>
          <w:color w:val="000000"/>
          <w:sz w:val="22"/>
          <w:szCs w:val="22"/>
          <w:lang w:val="sr-Latn-ME"/>
        </w:rPr>
        <w:t xml:space="preserve">oterapije. Antiemetičko djelovanje lijeka </w:t>
      </w:r>
      <w:r w:rsidRPr="007C19A2">
        <w:rPr>
          <w:sz w:val="22"/>
          <w:szCs w:val="22"/>
          <w:lang w:val="sr-Latn-ME"/>
        </w:rPr>
        <w:t>Akynzeo</w:t>
      </w:r>
      <w:r w:rsidRPr="007C19A2">
        <w:rPr>
          <w:color w:val="000000"/>
          <w:sz w:val="22"/>
          <w:szCs w:val="22"/>
          <w:lang w:val="sr-Latn-ME"/>
        </w:rPr>
        <w:t xml:space="preserve"> održalo se kroz sve ponavljane cikluse kod onih pacijenata koji su nastavili da učestvuju u svakom od višestrukih ciklusa.</w:t>
      </w:r>
    </w:p>
    <w:p w14:paraId="5BBC57A7" w14:textId="77777777" w:rsidR="002F5087" w:rsidRPr="007C19A2" w:rsidRDefault="002F5087" w:rsidP="002F5087">
      <w:pPr>
        <w:tabs>
          <w:tab w:val="left" w:pos="1080"/>
        </w:tabs>
        <w:suppressAutoHyphens/>
        <w:jc w:val="both"/>
        <w:rPr>
          <w:sz w:val="22"/>
          <w:szCs w:val="22"/>
          <w:lang w:val="sr-Latn-ME"/>
        </w:rPr>
      </w:pPr>
      <w:r w:rsidRPr="007C19A2">
        <w:rPr>
          <w:color w:val="000000"/>
          <w:sz w:val="22"/>
          <w:szCs w:val="22"/>
          <w:lang w:val="sr-Latn-ME"/>
        </w:rPr>
        <w:t>Uticaj mučnine i povraćanja na svakodnevni život pacijenata bio je procijenjen na osnovu FLIE upitnika (</w:t>
      </w:r>
      <w:r w:rsidRPr="007C19A2">
        <w:rPr>
          <w:i/>
          <w:color w:val="000000"/>
          <w:sz w:val="22"/>
          <w:szCs w:val="22"/>
          <w:lang w:val="sr-Latn-ME"/>
        </w:rPr>
        <w:t>Functional Living Index - Emesis</w:t>
      </w:r>
      <w:r w:rsidRPr="007C19A2">
        <w:rPr>
          <w:color w:val="000000"/>
          <w:sz w:val="22"/>
          <w:szCs w:val="22"/>
          <w:lang w:val="sr-Latn-ME"/>
        </w:rPr>
        <w:t xml:space="preserve">). Udio pacijenata bez sveobuhvatnog uticaja </w:t>
      </w:r>
      <w:r w:rsidRPr="007C19A2">
        <w:rPr>
          <w:sz w:val="22"/>
          <w:szCs w:val="22"/>
          <w:lang w:val="sr-Latn-ME"/>
        </w:rPr>
        <w:t xml:space="preserve">na svakodnevni život bio je 6,3% veći (p vrijednost =0,005) u grupi koja je primala lijek Akynzeo (78,5%) nego u grupi koja je primala palonosetron (72,1%). </w:t>
      </w:r>
    </w:p>
    <w:p w14:paraId="16ECD17B" w14:textId="4E8F15EF" w:rsidR="002F5087" w:rsidRPr="007C19A2" w:rsidRDefault="002F5087" w:rsidP="002F5087">
      <w:pPr>
        <w:autoSpaceDE w:val="0"/>
        <w:autoSpaceDN w:val="0"/>
        <w:adjustRightInd w:val="0"/>
        <w:jc w:val="both"/>
        <w:rPr>
          <w:i/>
          <w:color w:val="000000"/>
          <w:sz w:val="22"/>
          <w:szCs w:val="22"/>
          <w:lang w:val="sr-Latn-ME"/>
        </w:rPr>
      </w:pPr>
      <w:r w:rsidRPr="007C19A2">
        <w:rPr>
          <w:i/>
          <w:iCs/>
          <w:color w:val="000000"/>
          <w:sz w:val="22"/>
          <w:szCs w:val="22"/>
          <w:lang w:val="sr-Latn-ME"/>
        </w:rPr>
        <w:lastRenderedPageBreak/>
        <w:t>Ispitivanje bezbjednosti primjene u više ciklusa kod pacijenata koji su primali visoko emetogenu hem</w:t>
      </w:r>
      <w:r w:rsidR="00330615" w:rsidRPr="007C19A2">
        <w:rPr>
          <w:i/>
          <w:iCs/>
          <w:color w:val="000000"/>
          <w:sz w:val="22"/>
          <w:szCs w:val="22"/>
          <w:lang w:val="sr-Latn-ME"/>
        </w:rPr>
        <w:t>i</w:t>
      </w:r>
      <w:r w:rsidRPr="007C19A2">
        <w:rPr>
          <w:i/>
          <w:iCs/>
          <w:color w:val="000000"/>
          <w:sz w:val="22"/>
          <w:szCs w:val="22"/>
          <w:lang w:val="sr-Latn-ME"/>
        </w:rPr>
        <w:t>oterapiju ili umjereno emetogenu hem</w:t>
      </w:r>
      <w:r w:rsidR="00330615" w:rsidRPr="007C19A2">
        <w:rPr>
          <w:i/>
          <w:iCs/>
          <w:color w:val="000000"/>
          <w:sz w:val="22"/>
          <w:szCs w:val="22"/>
          <w:lang w:val="sr-Latn-ME"/>
        </w:rPr>
        <w:t>i</w:t>
      </w:r>
      <w:r w:rsidRPr="007C19A2">
        <w:rPr>
          <w:i/>
          <w:iCs/>
          <w:color w:val="000000"/>
          <w:sz w:val="22"/>
          <w:szCs w:val="22"/>
          <w:lang w:val="sr-Latn-ME"/>
        </w:rPr>
        <w:t>oterapiju</w:t>
      </w:r>
    </w:p>
    <w:p w14:paraId="162D2C16" w14:textId="62494BD0" w:rsidR="002F5087" w:rsidRPr="007C19A2" w:rsidRDefault="002F5087" w:rsidP="002F5087">
      <w:pPr>
        <w:tabs>
          <w:tab w:val="left" w:pos="1080"/>
        </w:tabs>
        <w:suppressAutoHyphens/>
        <w:jc w:val="both"/>
        <w:rPr>
          <w:color w:val="000000"/>
          <w:sz w:val="22"/>
          <w:szCs w:val="22"/>
          <w:lang w:val="sr-Latn-ME"/>
        </w:rPr>
      </w:pPr>
      <w:r w:rsidRPr="007C19A2">
        <w:rPr>
          <w:sz w:val="22"/>
          <w:szCs w:val="22"/>
          <w:lang w:val="sr-Latn-ME"/>
        </w:rPr>
        <w:t>U zasebnoj studiji, ukupno 413 pacijenata koji su primali početni i ponavljane cikluse hem</w:t>
      </w:r>
      <w:r w:rsidR="00330615" w:rsidRPr="007C19A2">
        <w:rPr>
          <w:sz w:val="22"/>
          <w:szCs w:val="22"/>
          <w:lang w:val="sr-Latn-ME"/>
        </w:rPr>
        <w:t>i</w:t>
      </w:r>
      <w:r w:rsidRPr="007C19A2">
        <w:rPr>
          <w:sz w:val="22"/>
          <w:szCs w:val="22"/>
          <w:lang w:val="sr-Latn-ME"/>
        </w:rPr>
        <w:t>oterapije (uključujući i režime sa karboplatinom, cisplatinom, oksaliplatinom i doksorubicinom) bilo je randomizovano i primali su ili lijek Akynzeo (n = 309) ili aprepitant i palonosetron (n = 104). Bezbjednost i efikasnost održale su se kroz sve cikluse</w:t>
      </w:r>
      <w:r w:rsidRPr="007C19A2">
        <w:rPr>
          <w:color w:val="000000"/>
          <w:sz w:val="22"/>
          <w:szCs w:val="22"/>
          <w:lang w:val="sr-Latn-ME"/>
        </w:rPr>
        <w:t>.</w:t>
      </w:r>
    </w:p>
    <w:p w14:paraId="5E00F7A5" w14:textId="77777777" w:rsidR="002F5087" w:rsidRPr="007C19A2" w:rsidRDefault="002F5087" w:rsidP="002F5087">
      <w:pPr>
        <w:autoSpaceDE w:val="0"/>
        <w:autoSpaceDN w:val="0"/>
        <w:adjustRightInd w:val="0"/>
        <w:jc w:val="both"/>
        <w:rPr>
          <w:i/>
          <w:color w:val="000000"/>
          <w:sz w:val="22"/>
          <w:szCs w:val="22"/>
          <w:lang w:val="sr-Latn-ME"/>
        </w:rPr>
      </w:pPr>
    </w:p>
    <w:p w14:paraId="662962DC" w14:textId="77777777" w:rsidR="002F5087" w:rsidRPr="007C19A2" w:rsidRDefault="002F5087" w:rsidP="002F5087">
      <w:pPr>
        <w:autoSpaceDE w:val="0"/>
        <w:autoSpaceDN w:val="0"/>
        <w:adjustRightInd w:val="0"/>
        <w:jc w:val="both"/>
        <w:rPr>
          <w:iCs/>
          <w:color w:val="000000"/>
          <w:sz w:val="22"/>
          <w:szCs w:val="22"/>
          <w:u w:val="single"/>
          <w:lang w:val="sr-Latn-ME"/>
        </w:rPr>
      </w:pPr>
      <w:r w:rsidRPr="007C19A2">
        <w:rPr>
          <w:iCs/>
          <w:color w:val="000000"/>
          <w:sz w:val="22"/>
          <w:szCs w:val="22"/>
          <w:u w:val="single"/>
          <w:lang w:val="sr-Latn-ME"/>
        </w:rPr>
        <w:t xml:space="preserve">Pedijatrijska populacija </w:t>
      </w:r>
    </w:p>
    <w:p w14:paraId="5CC27DAB" w14:textId="77777777" w:rsidR="002F5087" w:rsidRPr="007C19A2" w:rsidRDefault="002F5087" w:rsidP="002F5087">
      <w:pPr>
        <w:autoSpaceDE w:val="0"/>
        <w:autoSpaceDN w:val="0"/>
        <w:adjustRightInd w:val="0"/>
        <w:jc w:val="both"/>
        <w:rPr>
          <w:iCs/>
          <w:color w:val="000000"/>
          <w:sz w:val="22"/>
          <w:szCs w:val="22"/>
          <w:u w:val="single"/>
          <w:lang w:val="sr-Latn-ME"/>
        </w:rPr>
      </w:pPr>
    </w:p>
    <w:p w14:paraId="2C5BEA9B" w14:textId="3AF9E106" w:rsidR="002F5087" w:rsidRPr="007C19A2" w:rsidRDefault="002F5087" w:rsidP="002F5087">
      <w:pPr>
        <w:autoSpaceDE w:val="0"/>
        <w:autoSpaceDN w:val="0"/>
        <w:adjustRightInd w:val="0"/>
        <w:jc w:val="both"/>
        <w:rPr>
          <w:color w:val="000000"/>
          <w:sz w:val="22"/>
          <w:szCs w:val="22"/>
          <w:lang w:val="sr-Latn-ME"/>
        </w:rPr>
      </w:pPr>
      <w:r w:rsidRPr="007C19A2">
        <w:rPr>
          <w:color w:val="000000"/>
          <w:sz w:val="22"/>
          <w:szCs w:val="22"/>
          <w:lang w:val="sr-Latn-ME"/>
        </w:rPr>
        <w:t>Evropska agencija za ljekove je izuzela obavezu podnošenja rezultata ispitivanja lijeka Akynzeo u svim podgrupama pedijatrijske populacije u sprečavanju akutne i odložene mučnine i povraćanja povezanih sa visoko emetogenom hem</w:t>
      </w:r>
      <w:r w:rsidR="00330615" w:rsidRPr="007C19A2">
        <w:rPr>
          <w:color w:val="000000"/>
          <w:sz w:val="22"/>
          <w:szCs w:val="22"/>
          <w:lang w:val="sr-Latn-ME"/>
        </w:rPr>
        <w:t>i</w:t>
      </w:r>
      <w:r w:rsidRPr="007C19A2">
        <w:rPr>
          <w:color w:val="000000"/>
          <w:sz w:val="22"/>
          <w:szCs w:val="22"/>
          <w:lang w:val="sr-Latn-ME"/>
        </w:rPr>
        <w:t>oterapijom protiv raka baziranom na cisplatinu, i umjereno emetogenom hem</w:t>
      </w:r>
      <w:r w:rsidR="00330615" w:rsidRPr="007C19A2">
        <w:rPr>
          <w:color w:val="000000"/>
          <w:sz w:val="22"/>
          <w:szCs w:val="22"/>
          <w:lang w:val="sr-Latn-ME"/>
        </w:rPr>
        <w:t>i</w:t>
      </w:r>
      <w:r w:rsidRPr="007C19A2">
        <w:rPr>
          <w:color w:val="000000"/>
          <w:sz w:val="22"/>
          <w:szCs w:val="22"/>
          <w:lang w:val="sr-Latn-ME"/>
        </w:rPr>
        <w:t xml:space="preserve">oterapijom protiv raka (vidjeti </w:t>
      </w:r>
      <w:r w:rsidR="0049002B" w:rsidRPr="007C19A2">
        <w:rPr>
          <w:color w:val="000000"/>
          <w:sz w:val="22"/>
          <w:szCs w:val="22"/>
          <w:lang w:val="sr-Latn-ME"/>
        </w:rPr>
        <w:t xml:space="preserve">dio </w:t>
      </w:r>
      <w:r w:rsidRPr="007C19A2">
        <w:rPr>
          <w:color w:val="000000"/>
          <w:sz w:val="22"/>
          <w:szCs w:val="22"/>
          <w:lang w:val="sr-Latn-ME"/>
        </w:rPr>
        <w:t xml:space="preserve">4.2 za informacije o pedijatrijskoj primjeni). </w:t>
      </w:r>
    </w:p>
    <w:p w14:paraId="176A3C30" w14:textId="77777777" w:rsidR="002E37A5" w:rsidRPr="007C19A2" w:rsidRDefault="002E37A5" w:rsidP="00480FB1">
      <w:pPr>
        <w:tabs>
          <w:tab w:val="left" w:pos="540"/>
          <w:tab w:val="left" w:pos="569"/>
        </w:tabs>
        <w:rPr>
          <w:b/>
          <w:bCs/>
          <w:sz w:val="22"/>
          <w:szCs w:val="22"/>
          <w:lang w:val="sr-Latn-ME"/>
        </w:rPr>
      </w:pPr>
    </w:p>
    <w:p w14:paraId="176A3C31"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5.2. </w:t>
      </w:r>
      <w:r w:rsidR="00480FB1" w:rsidRPr="007C19A2">
        <w:rPr>
          <w:b/>
          <w:bCs/>
          <w:sz w:val="22"/>
          <w:szCs w:val="22"/>
          <w:lang w:val="sr-Latn-ME"/>
        </w:rPr>
        <w:tab/>
      </w:r>
      <w:r w:rsidRPr="007C19A2">
        <w:rPr>
          <w:b/>
          <w:bCs/>
          <w:sz w:val="22"/>
          <w:szCs w:val="22"/>
          <w:lang w:val="sr-Latn-ME"/>
        </w:rPr>
        <w:t>Farmakokinetički podaci</w:t>
      </w:r>
      <w:r w:rsidR="003A7059" w:rsidRPr="007C19A2">
        <w:rPr>
          <w:b/>
          <w:bCs/>
          <w:sz w:val="22"/>
          <w:szCs w:val="22"/>
          <w:lang w:val="sr-Latn-ME"/>
        </w:rPr>
        <w:t xml:space="preserve"> </w:t>
      </w:r>
    </w:p>
    <w:p w14:paraId="176A3C32" w14:textId="7FE2B82A" w:rsidR="0072020E" w:rsidRPr="007C19A2" w:rsidRDefault="0072020E" w:rsidP="00480FB1">
      <w:pPr>
        <w:tabs>
          <w:tab w:val="left" w:pos="540"/>
          <w:tab w:val="left" w:pos="569"/>
        </w:tabs>
        <w:rPr>
          <w:bCs/>
          <w:sz w:val="22"/>
          <w:szCs w:val="22"/>
          <w:lang w:val="sr-Latn-ME"/>
        </w:rPr>
      </w:pPr>
    </w:p>
    <w:p w14:paraId="36458ABB" w14:textId="77777777" w:rsidR="005546B3" w:rsidRPr="007C19A2" w:rsidRDefault="005546B3" w:rsidP="005546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r w:rsidRPr="007C19A2">
        <w:rPr>
          <w:sz w:val="22"/>
          <w:szCs w:val="22"/>
          <w:u w:val="single"/>
          <w:lang w:val="sr-Latn-ME"/>
        </w:rPr>
        <w:t>Resorpcija</w:t>
      </w:r>
    </w:p>
    <w:p w14:paraId="24E80A51" w14:textId="77777777" w:rsidR="005546B3" w:rsidRPr="007C19A2" w:rsidRDefault="005546B3" w:rsidP="005546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74E08BDB"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Netupitant</w:t>
      </w:r>
    </w:p>
    <w:p w14:paraId="656246DE" w14:textId="77777777" w:rsidR="005546B3" w:rsidRPr="007C19A2" w:rsidRDefault="005546B3" w:rsidP="005546B3">
      <w:pPr>
        <w:autoSpaceDE w:val="0"/>
        <w:autoSpaceDN w:val="0"/>
        <w:adjustRightInd w:val="0"/>
        <w:jc w:val="both"/>
        <w:rPr>
          <w:color w:val="000000"/>
          <w:sz w:val="22"/>
          <w:szCs w:val="22"/>
          <w:lang w:val="sr-Latn-ME"/>
        </w:rPr>
      </w:pPr>
      <w:r w:rsidRPr="007C19A2">
        <w:rPr>
          <w:color w:val="000000"/>
          <w:sz w:val="22"/>
          <w:szCs w:val="22"/>
          <w:lang w:val="sr-Latn-ME"/>
        </w:rPr>
        <w:t>Nema podataka za apsolutnu bioraspoloživost netupitanta kod ljudi; na osnovu podataka iz dva ispitivanja sa intravenskim netupitantom, procijenjeno je da je bioraspoloživost kod ljudi veća od 60%.</w:t>
      </w:r>
    </w:p>
    <w:p w14:paraId="0645ABA9" w14:textId="4B1E92C0" w:rsidR="005546B3" w:rsidRPr="007C19A2" w:rsidRDefault="005546B3" w:rsidP="005546B3">
      <w:pPr>
        <w:autoSpaceDE w:val="0"/>
        <w:autoSpaceDN w:val="0"/>
        <w:adjustRightInd w:val="0"/>
        <w:jc w:val="both"/>
        <w:rPr>
          <w:color w:val="000000"/>
          <w:sz w:val="22"/>
          <w:szCs w:val="22"/>
          <w:lang w:val="sr-Latn-ME"/>
        </w:rPr>
      </w:pPr>
      <w:r w:rsidRPr="007C19A2">
        <w:rPr>
          <w:color w:val="000000"/>
          <w:sz w:val="22"/>
          <w:szCs w:val="22"/>
          <w:lang w:val="sr-Latn-ME"/>
        </w:rPr>
        <w:t>U ispitivanjima sa jednom oralnom dozom, netupitant je bio mjerljiv u plazmi između 15 minuta i 3 sata nakon primljene doze. Koncentracije u plazmi pratile su proces resorpcije prema kinetici prvog reda i dostigle C</w:t>
      </w:r>
      <w:r w:rsidRPr="007C19A2">
        <w:rPr>
          <w:color w:val="000000"/>
          <w:sz w:val="22"/>
          <w:szCs w:val="22"/>
          <w:vertAlign w:val="subscript"/>
          <w:lang w:val="sr-Latn-ME"/>
        </w:rPr>
        <w:t>max</w:t>
      </w:r>
      <w:r w:rsidRPr="007C19A2">
        <w:rPr>
          <w:color w:val="000000"/>
          <w:sz w:val="22"/>
          <w:szCs w:val="22"/>
          <w:lang w:val="sr-Latn-ME"/>
        </w:rPr>
        <w:t xml:space="preserve"> za oko 5 sati. Postojao je supra-proporcionalan porast u parametrima C</w:t>
      </w:r>
      <w:r w:rsidRPr="007C19A2">
        <w:rPr>
          <w:color w:val="000000"/>
          <w:sz w:val="22"/>
          <w:szCs w:val="22"/>
          <w:vertAlign w:val="subscript"/>
          <w:lang w:val="sr-Latn-ME"/>
        </w:rPr>
        <w:t>max</w:t>
      </w:r>
      <w:r w:rsidRPr="007C19A2">
        <w:rPr>
          <w:color w:val="000000"/>
          <w:sz w:val="22"/>
          <w:szCs w:val="22"/>
          <w:lang w:val="sr-Latn-ME"/>
        </w:rPr>
        <w:t xml:space="preserve"> i PIK za doze od 10 mg do 300 mg.</w:t>
      </w:r>
    </w:p>
    <w:p w14:paraId="39D73348" w14:textId="6EF0BB6B" w:rsidR="005546B3" w:rsidRPr="007C19A2" w:rsidRDefault="005546B3" w:rsidP="005546B3">
      <w:pPr>
        <w:autoSpaceDE w:val="0"/>
        <w:autoSpaceDN w:val="0"/>
        <w:adjustRightInd w:val="0"/>
        <w:jc w:val="both"/>
        <w:rPr>
          <w:color w:val="000000"/>
          <w:sz w:val="22"/>
          <w:szCs w:val="22"/>
          <w:lang w:val="sr-Latn-ME"/>
        </w:rPr>
      </w:pPr>
      <w:r w:rsidRPr="007C19A2">
        <w:rPr>
          <w:color w:val="000000"/>
          <w:sz w:val="22"/>
          <w:szCs w:val="22"/>
          <w:lang w:val="sr-Latn-ME"/>
        </w:rPr>
        <w:t>Kod 82 zdrava ispitanika koji su primili jednu oralnu dozu netupitanta od 300 mg, maksimalna koncentracija netupitanta u plazmi (C</w:t>
      </w:r>
      <w:r w:rsidRPr="007C19A2">
        <w:rPr>
          <w:color w:val="000000"/>
          <w:sz w:val="22"/>
          <w:szCs w:val="22"/>
          <w:vertAlign w:val="subscript"/>
          <w:lang w:val="sr-Latn-ME"/>
        </w:rPr>
        <w:t>max</w:t>
      </w:r>
      <w:r w:rsidRPr="007C19A2">
        <w:rPr>
          <w:color w:val="000000"/>
          <w:sz w:val="22"/>
          <w:szCs w:val="22"/>
          <w:lang w:val="sr-Latn-ME"/>
        </w:rPr>
        <w:t>) bila je 486 ± 268 ng/ml (srednja vrijednost ± SD), medijana vremena do maksimalne koncentracije (T</w:t>
      </w:r>
      <w:r w:rsidRPr="007C19A2">
        <w:rPr>
          <w:color w:val="000000"/>
          <w:sz w:val="22"/>
          <w:szCs w:val="22"/>
          <w:vertAlign w:val="subscript"/>
          <w:lang w:val="sr-Latn-ME"/>
        </w:rPr>
        <w:t>max</w:t>
      </w:r>
      <w:r w:rsidRPr="007C19A2">
        <w:rPr>
          <w:color w:val="000000"/>
          <w:sz w:val="22"/>
          <w:szCs w:val="22"/>
          <w:lang w:val="sr-Latn-ME"/>
        </w:rPr>
        <w:t>) bila je 5,25 sati, a vrijednost PIK bila je 15032 ± 6858 h.ng/ml. U analizi objedinjenih podataka, izloženost netupitantu bila je viša kod žena nego kod muškaraca; zabilježeno je povećanje od 1,31 puta u C</w:t>
      </w:r>
      <w:r w:rsidRPr="007C19A2">
        <w:rPr>
          <w:color w:val="000000"/>
          <w:sz w:val="22"/>
          <w:szCs w:val="22"/>
          <w:vertAlign w:val="subscript"/>
          <w:lang w:val="sr-Latn-ME"/>
        </w:rPr>
        <w:t>max</w:t>
      </w:r>
      <w:r w:rsidRPr="007C19A2">
        <w:rPr>
          <w:color w:val="000000"/>
          <w:sz w:val="22"/>
          <w:szCs w:val="22"/>
          <w:lang w:val="sr-Latn-ME"/>
        </w:rPr>
        <w:t>, 1,02 puta za PIK, i 1,36 puta u poluvremenu eliminacije.</w:t>
      </w:r>
    </w:p>
    <w:p w14:paraId="0FD7368A" w14:textId="77777777" w:rsidR="005546B3" w:rsidRPr="007C19A2" w:rsidRDefault="005546B3" w:rsidP="005546B3">
      <w:pPr>
        <w:autoSpaceDE w:val="0"/>
        <w:autoSpaceDN w:val="0"/>
        <w:adjustRightInd w:val="0"/>
        <w:jc w:val="both"/>
        <w:rPr>
          <w:color w:val="000000"/>
          <w:sz w:val="22"/>
          <w:szCs w:val="22"/>
          <w:lang w:val="sr-Latn-ME"/>
        </w:rPr>
      </w:pPr>
      <w:r w:rsidRPr="007C19A2">
        <w:rPr>
          <w:color w:val="000000"/>
          <w:sz w:val="22"/>
          <w:szCs w:val="22"/>
          <w:lang w:val="sr-Latn-ME"/>
        </w:rPr>
        <w:t>PIK</w:t>
      </w:r>
      <w:r w:rsidRPr="007C19A2">
        <w:rPr>
          <w:color w:val="000000"/>
          <w:sz w:val="22"/>
          <w:szCs w:val="22"/>
          <w:vertAlign w:val="subscript"/>
          <w:lang w:val="sr-Latn-ME"/>
        </w:rPr>
        <w:t>0-∞</w:t>
      </w:r>
      <w:r w:rsidRPr="007C19A2">
        <w:rPr>
          <w:color w:val="000000"/>
          <w:sz w:val="22"/>
          <w:szCs w:val="22"/>
          <w:lang w:val="sr-Latn-ME"/>
        </w:rPr>
        <w:t xml:space="preserve"> i C</w:t>
      </w:r>
      <w:r w:rsidRPr="007C19A2">
        <w:rPr>
          <w:color w:val="000000"/>
          <w:sz w:val="22"/>
          <w:szCs w:val="22"/>
          <w:vertAlign w:val="subscript"/>
          <w:lang w:val="sr-Latn-ME"/>
        </w:rPr>
        <w:t>max</w:t>
      </w:r>
      <w:r w:rsidRPr="007C19A2">
        <w:rPr>
          <w:color w:val="000000"/>
          <w:sz w:val="22"/>
          <w:szCs w:val="22"/>
          <w:lang w:val="sr-Latn-ME"/>
        </w:rPr>
        <w:t xml:space="preserve"> netupitanta povećale su se 1,1 puta odnosno 1,2 puta nakon obroka sa visokim udjelom masti. </w:t>
      </w:r>
    </w:p>
    <w:p w14:paraId="4E53F664"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p>
    <w:p w14:paraId="06204541"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Palonosetron</w:t>
      </w:r>
    </w:p>
    <w:p w14:paraId="1F0D89CF" w14:textId="71C613CE"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Nakon oralne primjene, palonosetron se dobro resorbuje uz svoju apsolutnu bioraspoloživost koja dostiže 97%. Nakon jedne oralne doze puferovanog rastvora, prosječna maksimalna koncentracija palonosetrona (C</w:t>
      </w:r>
      <w:r w:rsidRPr="007C19A2">
        <w:rPr>
          <w:sz w:val="22"/>
          <w:szCs w:val="22"/>
          <w:vertAlign w:val="subscript"/>
          <w:lang w:val="sr-Latn-ME"/>
        </w:rPr>
        <w:t>max</w:t>
      </w:r>
      <w:r w:rsidRPr="007C19A2">
        <w:rPr>
          <w:sz w:val="22"/>
          <w:szCs w:val="22"/>
          <w:lang w:val="sr-Latn-ME"/>
        </w:rPr>
        <w:t>) i površina ispod krive koncentracija-vrijeme (PIK</w:t>
      </w:r>
      <w:r w:rsidRPr="007C19A2">
        <w:rPr>
          <w:sz w:val="22"/>
          <w:szCs w:val="22"/>
          <w:vertAlign w:val="subscript"/>
          <w:lang w:val="sr-Latn-ME"/>
        </w:rPr>
        <w:t>0-∞</w:t>
      </w:r>
      <w:r w:rsidRPr="007C19A2">
        <w:rPr>
          <w:sz w:val="22"/>
          <w:szCs w:val="22"/>
          <w:lang w:val="sr-Latn-ME"/>
        </w:rPr>
        <w:t>) bile su proporcionalne dozi za raspon doze od 3,0 do 80 μg/kg kod zdravih ispitanika.</w:t>
      </w:r>
    </w:p>
    <w:p w14:paraId="656C90B4" w14:textId="67DECC9F"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Kod 36 zdravih muškaraca i žena koji su primili jednu oralnu dozu palonosetrona od 0,5 mg, maksimalna koncentracija palonosetrona u plazmi (C</w:t>
      </w:r>
      <w:r w:rsidRPr="007C19A2">
        <w:rPr>
          <w:sz w:val="22"/>
          <w:szCs w:val="22"/>
          <w:vertAlign w:val="subscript"/>
          <w:lang w:val="sr-Latn-ME"/>
        </w:rPr>
        <w:t>max</w:t>
      </w:r>
      <w:r w:rsidRPr="007C19A2">
        <w:rPr>
          <w:sz w:val="22"/>
          <w:szCs w:val="22"/>
          <w:lang w:val="sr-Latn-ME"/>
        </w:rPr>
        <w:t>) bila je 0,81 ± 1,66 ng/ml (srednja vrijednost ± SD), a vrijeme do maksimalne koncentracije (T</w:t>
      </w:r>
      <w:r w:rsidRPr="007C19A2">
        <w:rPr>
          <w:sz w:val="22"/>
          <w:szCs w:val="22"/>
          <w:vertAlign w:val="subscript"/>
          <w:lang w:val="sr-Latn-ME"/>
        </w:rPr>
        <w:t>max</w:t>
      </w:r>
      <w:r w:rsidRPr="007C19A2">
        <w:rPr>
          <w:sz w:val="22"/>
          <w:szCs w:val="22"/>
          <w:lang w:val="sr-Latn-ME"/>
        </w:rPr>
        <w:t>) iznosilo je 5,1 ± 1,7 sati. Kod žena (n = 18), srednja vrijednost PIK bila je 35% viša, a srednja vrijednost C</w:t>
      </w:r>
      <w:r w:rsidRPr="007C19A2">
        <w:rPr>
          <w:sz w:val="22"/>
          <w:szCs w:val="22"/>
          <w:vertAlign w:val="subscript"/>
          <w:lang w:val="sr-Latn-ME"/>
        </w:rPr>
        <w:t>max</w:t>
      </w:r>
      <w:r w:rsidRPr="007C19A2">
        <w:rPr>
          <w:sz w:val="22"/>
          <w:szCs w:val="22"/>
          <w:lang w:val="sr-Latn-ME"/>
        </w:rPr>
        <w:t xml:space="preserve"> 26% viša nego kod muškaraca (n = 18). Kod 12 pacijenata sa rakom koji su primili jednu oralnu dozu palonosetrona u dozi od 0,5 mg jedan sat prije hem</w:t>
      </w:r>
      <w:r w:rsidR="00330615" w:rsidRPr="007C19A2">
        <w:rPr>
          <w:sz w:val="22"/>
          <w:szCs w:val="22"/>
          <w:lang w:val="sr-Latn-ME"/>
        </w:rPr>
        <w:t>i</w:t>
      </w:r>
      <w:r w:rsidRPr="007C19A2">
        <w:rPr>
          <w:sz w:val="22"/>
          <w:szCs w:val="22"/>
          <w:lang w:val="sr-Latn-ME"/>
        </w:rPr>
        <w:t>oterapije, C</w:t>
      </w:r>
      <w:r w:rsidRPr="007C19A2">
        <w:rPr>
          <w:sz w:val="22"/>
          <w:szCs w:val="22"/>
          <w:vertAlign w:val="subscript"/>
          <w:lang w:val="sr-Latn-ME"/>
        </w:rPr>
        <w:t>max</w:t>
      </w:r>
      <w:r w:rsidRPr="007C19A2">
        <w:rPr>
          <w:sz w:val="22"/>
          <w:szCs w:val="22"/>
          <w:lang w:val="sr-Latn-ME"/>
        </w:rPr>
        <w:t xml:space="preserve"> je iznosila 0,93 ± 0,34 ng/ml, a T</w:t>
      </w:r>
      <w:r w:rsidRPr="007C19A2">
        <w:rPr>
          <w:sz w:val="22"/>
          <w:szCs w:val="22"/>
          <w:vertAlign w:val="subscript"/>
          <w:lang w:val="sr-Latn-ME"/>
        </w:rPr>
        <w:t>max</w:t>
      </w:r>
      <w:r w:rsidRPr="007C19A2">
        <w:rPr>
          <w:sz w:val="22"/>
          <w:szCs w:val="22"/>
          <w:lang w:val="sr-Latn-ME"/>
        </w:rPr>
        <w:t xml:space="preserve"> 5,1 ± 5,9 sati. Vrijednost PIK bila je 30% veća kod pacijenata sa rakom nego kod zdravih ispitanika. Obrok sa visokim sadržajem masti nije uticao na C</w:t>
      </w:r>
      <w:r w:rsidRPr="007C19A2">
        <w:rPr>
          <w:sz w:val="22"/>
          <w:szCs w:val="22"/>
          <w:vertAlign w:val="subscript"/>
          <w:lang w:val="sr-Latn-ME"/>
        </w:rPr>
        <w:t>max</w:t>
      </w:r>
      <w:r w:rsidRPr="007C19A2">
        <w:rPr>
          <w:sz w:val="22"/>
          <w:szCs w:val="22"/>
          <w:lang w:val="sr-Latn-ME"/>
        </w:rPr>
        <w:t xml:space="preserve"> i PIK oralnog palonosetrona.</w:t>
      </w:r>
    </w:p>
    <w:p w14:paraId="26573900" w14:textId="77777777" w:rsidR="007C19A2" w:rsidRPr="007C19A2" w:rsidRDefault="007C19A2"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p>
    <w:p w14:paraId="1FBC02F0"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r w:rsidRPr="007C19A2">
        <w:rPr>
          <w:sz w:val="22"/>
          <w:szCs w:val="22"/>
          <w:u w:val="single"/>
          <w:lang w:val="sr-Latn-ME"/>
        </w:rPr>
        <w:t>Distribucija</w:t>
      </w:r>
    </w:p>
    <w:p w14:paraId="0AC96B7C"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6C2D33A9"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Netupitant</w:t>
      </w:r>
    </w:p>
    <w:p w14:paraId="1D23BC67" w14:textId="15CEC52E"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 xml:space="preserve">Nakon jedne oralne doze netupitanta od 300 mg kod pacijenata sa rakom, raspoređivanje netupitanta bilo je karakterisano modelom od dva odjeljka sa procijenjenom medijanom sistemskog klirensa od 20,5 l/h i velikim volumenom distribucije u </w:t>
      </w:r>
      <w:r w:rsidR="00D960A9" w:rsidRPr="007C19A2">
        <w:rPr>
          <w:sz w:val="22"/>
          <w:szCs w:val="22"/>
          <w:lang w:val="sr-Latn-ME"/>
        </w:rPr>
        <w:t xml:space="preserve">centralnom </w:t>
      </w:r>
      <w:r w:rsidRPr="007C19A2">
        <w:rPr>
          <w:sz w:val="22"/>
          <w:szCs w:val="22"/>
          <w:lang w:val="sr-Latn-ME"/>
        </w:rPr>
        <w:t>odjeljku (486 l). Vezivanje netupitanta i njegova dva glavna metabolita M1 i M3 za proteine u ljudskoj plazmi iznosi &gt; 99% pri koncentracijama u rasponu od 10 do 1500 ng/ml. Treći glavni metabolit, M2, vezan je za proteine plazme &gt; 97%.</w:t>
      </w:r>
    </w:p>
    <w:p w14:paraId="7EFF855E"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2BAC7211"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lastRenderedPageBreak/>
        <w:t xml:space="preserve">Palonosetron </w:t>
      </w:r>
    </w:p>
    <w:p w14:paraId="11A0C707"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Palonosetron ima volumen distribucije od oko 8,3 ± 2,5 l/kg. Oko 62% palonosetrona vezano je za proteine plazme.</w:t>
      </w:r>
    </w:p>
    <w:p w14:paraId="60000AA4"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szCs w:val="22"/>
          <w:lang w:val="sr-Latn-ME"/>
        </w:rPr>
      </w:pPr>
    </w:p>
    <w:p w14:paraId="7CA53122"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r w:rsidRPr="007C19A2">
        <w:rPr>
          <w:sz w:val="22"/>
          <w:szCs w:val="22"/>
          <w:u w:val="single"/>
          <w:lang w:val="sr-Latn-ME"/>
        </w:rPr>
        <w:t>Biotransformacija</w:t>
      </w:r>
    </w:p>
    <w:p w14:paraId="685AD358"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7F6AC9AE"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Netupitant</w:t>
      </w:r>
    </w:p>
    <w:p w14:paraId="3EC81BEF" w14:textId="3508BBED" w:rsidR="005546B3" w:rsidRPr="007C19A2" w:rsidRDefault="005546B3" w:rsidP="005546B3">
      <w:pPr>
        <w:autoSpaceDE w:val="0"/>
        <w:autoSpaceDN w:val="0"/>
        <w:adjustRightInd w:val="0"/>
        <w:jc w:val="both"/>
        <w:rPr>
          <w:color w:val="000000"/>
          <w:sz w:val="22"/>
          <w:szCs w:val="22"/>
          <w:lang w:val="sr-Latn-ME"/>
        </w:rPr>
      </w:pPr>
      <w:r w:rsidRPr="007C19A2">
        <w:rPr>
          <w:color w:val="000000"/>
          <w:sz w:val="22"/>
          <w:szCs w:val="22"/>
          <w:lang w:val="sr-Latn-ME"/>
        </w:rPr>
        <w:t xml:space="preserve">Kod oralnih doza netupitanta od 30 mg i više, u ljudskoj plazmi otkrivena su tri metabolita (dezmetil derivat, M1; N-oksid derivat, M2; OH-metil derivat, M3). Ispitivanja metabolizma </w:t>
      </w:r>
      <w:r w:rsidRPr="007C19A2">
        <w:rPr>
          <w:i/>
          <w:color w:val="000000"/>
          <w:sz w:val="22"/>
          <w:szCs w:val="22"/>
          <w:lang w:val="sr-Latn-ME"/>
        </w:rPr>
        <w:t>in vitro</w:t>
      </w:r>
      <w:r w:rsidRPr="007C19A2">
        <w:rPr>
          <w:color w:val="000000"/>
          <w:sz w:val="22"/>
          <w:szCs w:val="22"/>
          <w:lang w:val="sr-Latn-ME"/>
        </w:rPr>
        <w:t xml:space="preserve"> ukazala su na učešće CYP3A4, a u manjoj mjeri CYP2D6 i CYP2C9, u metabolizmu netupitanta. Nakon primjene jedne oralne doze od 300 mg netupitanta, prosječni odnosi netupitanta u plazmi/radioaktivnosti u plazmi kretali su se u rasponu od 0,13 do 0,49 tokom 96 sati poslije doze. Odnosi su zavisili od vremena, s tim da su se vrijednosti postepeno smanjivale nakon više od 24 sata poslije doze, što ukazuje na to da se netupitant brzo metaboliše. Srednja vrijednost C</w:t>
      </w:r>
      <w:r w:rsidRPr="007C19A2">
        <w:rPr>
          <w:color w:val="000000"/>
          <w:sz w:val="22"/>
          <w:szCs w:val="22"/>
          <w:vertAlign w:val="subscript"/>
          <w:lang w:val="sr-Latn-ME"/>
        </w:rPr>
        <w:t>max</w:t>
      </w:r>
      <w:r w:rsidRPr="007C19A2">
        <w:rPr>
          <w:color w:val="000000"/>
          <w:sz w:val="22"/>
          <w:szCs w:val="22"/>
          <w:lang w:val="sr-Latn-ME"/>
        </w:rPr>
        <w:t xml:space="preserve"> bila je oko 11%, 47% i 16% polaznog jedinjenja za M1, M2 odnosno M3; M2 je imao najniži PIK u odnosu na polazno jedinjenje (14%) dok su M1 i M3 imali PIK približno 29% odnosno 33% polaznog jedinjenja. Pokazalo se da su svi metaboliti M1, M2 i M3 farmakološki aktivni u životinjskom modelu farmakodinamike, pri čemu je M3 bio najpotentiji, a M2 najmanje aktivan.</w:t>
      </w:r>
    </w:p>
    <w:p w14:paraId="1DE48641"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p>
    <w:p w14:paraId="62FF2AB3"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 xml:space="preserve">Palonosetron </w:t>
      </w:r>
    </w:p>
    <w:p w14:paraId="721612FB"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 xml:space="preserve">Palonosetron se eliminiše višestrukim putevima, s tim da se približno 50% metaboliše i stvara dva primarna metabolita: N-oksid-palonosetron i 6-S-hidroksi-palonosetron. Svaki od ovih metabolita ima manje od 1% aktivnosti palonosetrona kao antagoniste receptora 5-HT3. Ispitivanja metabolizma </w:t>
      </w:r>
      <w:r w:rsidRPr="007C19A2">
        <w:rPr>
          <w:i/>
          <w:sz w:val="22"/>
          <w:szCs w:val="22"/>
          <w:lang w:val="sr-Latn-ME"/>
        </w:rPr>
        <w:t>in vitro</w:t>
      </w:r>
      <w:r w:rsidRPr="007C19A2">
        <w:rPr>
          <w:sz w:val="22"/>
          <w:szCs w:val="22"/>
          <w:lang w:val="sr-Latn-ME"/>
        </w:rPr>
        <w:t xml:space="preserve"> ukazala su na učešće CYP2D6, a u manjoj mjeri CYP3A4 i CYP1A2, u metabolizmu palonosetrona. Međutim, klinički farmakokinetički parametri nijesu značajno različiti između slabih i jakih metabolizatora supstrata CYP2D6.</w:t>
      </w:r>
    </w:p>
    <w:p w14:paraId="53E30DFC" w14:textId="77777777" w:rsidR="005546B3" w:rsidRPr="007C19A2" w:rsidRDefault="005546B3" w:rsidP="005546B3">
      <w:pPr>
        <w:jc w:val="both"/>
        <w:rPr>
          <w:sz w:val="22"/>
          <w:szCs w:val="22"/>
          <w:u w:val="single"/>
          <w:lang w:val="sr-Latn-ME"/>
        </w:rPr>
      </w:pPr>
    </w:p>
    <w:p w14:paraId="489C5E7A" w14:textId="77777777" w:rsidR="005546B3" w:rsidRPr="007C19A2" w:rsidRDefault="005546B3" w:rsidP="005546B3">
      <w:pPr>
        <w:jc w:val="both"/>
        <w:rPr>
          <w:sz w:val="22"/>
          <w:szCs w:val="22"/>
          <w:u w:val="single"/>
          <w:lang w:val="sr-Latn-ME"/>
        </w:rPr>
      </w:pPr>
      <w:r w:rsidRPr="007C19A2">
        <w:rPr>
          <w:sz w:val="22"/>
          <w:szCs w:val="22"/>
          <w:u w:val="single"/>
          <w:lang w:val="sr-Latn-ME"/>
        </w:rPr>
        <w:t xml:space="preserve">Eliminacija </w:t>
      </w:r>
    </w:p>
    <w:p w14:paraId="31E157AC" w14:textId="77777777" w:rsidR="005546B3" w:rsidRPr="007C19A2" w:rsidRDefault="005546B3" w:rsidP="005546B3">
      <w:pPr>
        <w:jc w:val="both"/>
        <w:rPr>
          <w:i/>
          <w:sz w:val="22"/>
          <w:szCs w:val="22"/>
          <w:lang w:val="sr-Latn-ME"/>
        </w:rPr>
      </w:pPr>
    </w:p>
    <w:p w14:paraId="2CED23CC"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Netupitant</w:t>
      </w:r>
    </w:p>
    <w:p w14:paraId="2083196F"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Nakon primjene jedne doze lijeka Akynzeo kod pacijenata sa rakom, netupitant se eliminiše iz tijela multi-eksponencijalno, sa srednjim poluvremenom eliminacije od 88 sati.</w:t>
      </w:r>
    </w:p>
    <w:p w14:paraId="6073865F" w14:textId="2B1E3124"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Klirens putem bubrega nije značajan put eliminacije za materije povezane sa netupitantom. Prosječna frakcija oralne doze netupitanta koji se izlučuje nepromijenjen u urin manja je od 1%; ukupno 3,95% radioaktivne doze nađeno je u urinu, a 70,7% u fecesu.</w:t>
      </w:r>
    </w:p>
    <w:p w14:paraId="4AF6DC8D" w14:textId="0E987625"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Približno pola radioaktivnosti primijenjene oralno kao [14C]-netupitant otkriveno je u urinu i fecesu u okviru 120 h od primjene doze. Procijenjeno je da je eliminacija na oba načina završ</w:t>
      </w:r>
      <w:r w:rsidR="00465177" w:rsidRPr="007C19A2">
        <w:rPr>
          <w:sz w:val="22"/>
          <w:szCs w:val="22"/>
          <w:lang w:val="sr-Latn-ME"/>
        </w:rPr>
        <w:t>ena</w:t>
      </w:r>
      <w:r w:rsidRPr="007C19A2">
        <w:rPr>
          <w:sz w:val="22"/>
          <w:szCs w:val="22"/>
          <w:lang w:val="sr-Latn-ME"/>
        </w:rPr>
        <w:t xml:space="preserve"> do 29</w:t>
      </w:r>
      <w:r w:rsidR="003A0F2F" w:rsidRPr="007C19A2">
        <w:rPr>
          <w:sz w:val="22"/>
          <w:szCs w:val="22"/>
          <w:lang w:val="sr-Latn-ME"/>
        </w:rPr>
        <w:t xml:space="preserve"> </w:t>
      </w:r>
      <w:r w:rsidRPr="007C19A2">
        <w:rPr>
          <w:sz w:val="22"/>
          <w:szCs w:val="22"/>
          <w:lang w:val="sr-Latn-ME"/>
        </w:rPr>
        <w:t>-</w:t>
      </w:r>
      <w:r w:rsidR="003A0F2F" w:rsidRPr="007C19A2">
        <w:rPr>
          <w:sz w:val="22"/>
          <w:szCs w:val="22"/>
          <w:lang w:val="sr-Latn-ME"/>
        </w:rPr>
        <w:t xml:space="preserve"> </w:t>
      </w:r>
      <w:r w:rsidRPr="007C19A2">
        <w:rPr>
          <w:sz w:val="22"/>
          <w:szCs w:val="22"/>
          <w:lang w:val="sr-Latn-ME"/>
        </w:rPr>
        <w:t>30. dana nakon doze.</w:t>
      </w:r>
    </w:p>
    <w:p w14:paraId="7B77F897"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p>
    <w:p w14:paraId="4488C439"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 xml:space="preserve">Palonosetron </w:t>
      </w:r>
    </w:p>
    <w:p w14:paraId="0731279A" w14:textId="0EBBC62F" w:rsidR="00465177"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r w:rsidRPr="007C19A2">
        <w:rPr>
          <w:sz w:val="22"/>
          <w:szCs w:val="22"/>
          <w:lang w:val="sr-Latn-ME"/>
        </w:rPr>
        <w:t>Nakon primjene jedne oralne doze od 0,75 mg [14C]-palonosetrona kod šest zdravih ispitanika, 85% do 93% ukupne radioaktivnosti bilo je izlučeno urinom, a 5% do 8% eliminisano fecesom. Količina nepromijenjenog palonosetrona izlučenog urinom predstavljala je približno 40% primijenjene doze. Kod zdravih ispitanika koji su uzeli kapsule palonosetrona od 0,5 mg, terminalno poluvrijeme eliminacije (t</w:t>
      </w:r>
      <w:r w:rsidRPr="007C19A2">
        <w:rPr>
          <w:sz w:val="22"/>
          <w:szCs w:val="22"/>
          <w:vertAlign w:val="subscript"/>
          <w:lang w:val="sr-Latn-ME"/>
        </w:rPr>
        <w:t>½</w:t>
      </w:r>
      <w:r w:rsidRPr="007C19A2">
        <w:rPr>
          <w:sz w:val="22"/>
          <w:szCs w:val="22"/>
          <w:lang w:val="sr-Latn-ME"/>
        </w:rPr>
        <w:t>) palonosetrona iznosilo je 37 ± 12 sati (srednja vrijednost ± SD), a kod pacijenata sa rakom, t</w:t>
      </w:r>
      <w:r w:rsidRPr="007C19A2">
        <w:rPr>
          <w:sz w:val="22"/>
          <w:szCs w:val="22"/>
          <w:vertAlign w:val="subscript"/>
          <w:lang w:val="sr-Latn-ME"/>
        </w:rPr>
        <w:t>½</w:t>
      </w:r>
      <w:r w:rsidRPr="007C19A2">
        <w:rPr>
          <w:sz w:val="22"/>
          <w:szCs w:val="22"/>
          <w:lang w:val="sr-Latn-ME"/>
        </w:rPr>
        <w:t xml:space="preserve"> je bio 48 ± 19 sati. Nakon jedne doze od približno 0,75 mg intravenski primijenjenog palonosetrona, ukupni tjelesni klirens palonosetrona kod zdravih ispitanika iznosio je 160 ± 35 ml/h/kg (srednja vrijednost ± SD), a bubrežni klirens 66,5 ± 18,2 ml/h/kg.</w:t>
      </w:r>
    </w:p>
    <w:p w14:paraId="796EC87A" w14:textId="77777777" w:rsidR="008F082F" w:rsidRDefault="008F082F"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p>
    <w:p w14:paraId="24343F1B" w14:textId="651533BD"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u w:val="single"/>
          <w:lang w:val="sr-Latn-ME"/>
        </w:rPr>
      </w:pPr>
      <w:r w:rsidRPr="007C19A2">
        <w:rPr>
          <w:sz w:val="22"/>
          <w:szCs w:val="22"/>
          <w:u w:val="single"/>
          <w:lang w:val="sr-Latn-ME"/>
        </w:rPr>
        <w:t>Posebne populacije</w:t>
      </w:r>
    </w:p>
    <w:p w14:paraId="0365C6EE" w14:textId="77777777" w:rsidR="005546B3" w:rsidRPr="007C19A2" w:rsidRDefault="005546B3" w:rsidP="005546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val="sr-Latn-ME"/>
        </w:rPr>
      </w:pPr>
    </w:p>
    <w:p w14:paraId="728D3CF3" w14:textId="77777777" w:rsidR="005546B3" w:rsidRPr="007C19A2" w:rsidRDefault="005546B3" w:rsidP="005546B3">
      <w:pPr>
        <w:autoSpaceDE w:val="0"/>
        <w:autoSpaceDN w:val="0"/>
        <w:adjustRightInd w:val="0"/>
        <w:jc w:val="both"/>
        <w:rPr>
          <w:sz w:val="22"/>
          <w:szCs w:val="22"/>
          <w:u w:val="single"/>
          <w:lang w:val="sr-Latn-ME"/>
        </w:rPr>
      </w:pPr>
      <w:r w:rsidRPr="007C19A2">
        <w:rPr>
          <w:sz w:val="22"/>
          <w:szCs w:val="22"/>
          <w:u w:val="single"/>
          <w:lang w:val="sr-Latn-ME"/>
        </w:rPr>
        <w:t>Oštećenje funkcije jetre</w:t>
      </w:r>
    </w:p>
    <w:p w14:paraId="2F6821BA" w14:textId="77777777" w:rsidR="005546B3" w:rsidRPr="007C19A2" w:rsidRDefault="005546B3" w:rsidP="005546B3">
      <w:pPr>
        <w:autoSpaceDE w:val="0"/>
        <w:autoSpaceDN w:val="0"/>
        <w:adjustRightInd w:val="0"/>
        <w:jc w:val="both"/>
        <w:rPr>
          <w:sz w:val="22"/>
          <w:szCs w:val="22"/>
          <w:lang w:val="sr-Latn-ME"/>
        </w:rPr>
      </w:pPr>
    </w:p>
    <w:p w14:paraId="48E2A254" w14:textId="77777777" w:rsidR="005546B3" w:rsidRPr="007C19A2" w:rsidRDefault="005546B3" w:rsidP="005546B3">
      <w:pPr>
        <w:autoSpaceDE w:val="0"/>
        <w:autoSpaceDN w:val="0"/>
        <w:adjustRightInd w:val="0"/>
        <w:jc w:val="both"/>
        <w:rPr>
          <w:i/>
          <w:sz w:val="22"/>
          <w:szCs w:val="22"/>
          <w:lang w:val="sr-Latn-ME"/>
        </w:rPr>
      </w:pPr>
      <w:r w:rsidRPr="007C19A2">
        <w:rPr>
          <w:i/>
          <w:sz w:val="22"/>
          <w:szCs w:val="22"/>
          <w:lang w:val="sr-Latn-ME"/>
        </w:rPr>
        <w:t>Netupitant</w:t>
      </w:r>
    </w:p>
    <w:p w14:paraId="397A4E7A" w14:textId="75A551EA" w:rsidR="005546B3" w:rsidRPr="007C19A2" w:rsidRDefault="005546B3" w:rsidP="005546B3">
      <w:pPr>
        <w:autoSpaceDE w:val="0"/>
        <w:autoSpaceDN w:val="0"/>
        <w:adjustRightInd w:val="0"/>
        <w:jc w:val="both"/>
        <w:rPr>
          <w:sz w:val="22"/>
          <w:szCs w:val="22"/>
          <w:lang w:val="sr-Latn-ME"/>
        </w:rPr>
      </w:pPr>
      <w:r w:rsidRPr="007C19A2">
        <w:rPr>
          <w:sz w:val="22"/>
          <w:szCs w:val="22"/>
          <w:lang w:val="sr-Latn-ME"/>
        </w:rPr>
        <w:t xml:space="preserve">Maksimalna koncentracija i ukupna izloženost netupitantu bile su povećane kod ispitanika sa blagim (n = 8), umjerenim (n = 8) i teškim (n = 2) oštećenjem funkcije jetre u poređenju sa </w:t>
      </w:r>
      <w:r w:rsidR="00465177" w:rsidRPr="007C19A2">
        <w:rPr>
          <w:sz w:val="22"/>
          <w:szCs w:val="22"/>
          <w:lang w:val="sr-Latn-ME"/>
        </w:rPr>
        <w:t xml:space="preserve">odgovarajućom grupom </w:t>
      </w:r>
      <w:r w:rsidRPr="007C19A2">
        <w:rPr>
          <w:sz w:val="22"/>
          <w:szCs w:val="22"/>
          <w:lang w:val="sr-Latn-ME"/>
        </w:rPr>
        <w:t>zdravi</w:t>
      </w:r>
      <w:r w:rsidR="00465177" w:rsidRPr="007C19A2">
        <w:rPr>
          <w:sz w:val="22"/>
          <w:szCs w:val="22"/>
          <w:lang w:val="sr-Latn-ME"/>
        </w:rPr>
        <w:t>h</w:t>
      </w:r>
      <w:r w:rsidRPr="007C19A2">
        <w:rPr>
          <w:sz w:val="22"/>
          <w:szCs w:val="22"/>
          <w:lang w:val="sr-Latn-ME"/>
        </w:rPr>
        <w:t xml:space="preserve"> ispitani</w:t>
      </w:r>
      <w:r w:rsidR="00465177" w:rsidRPr="007C19A2">
        <w:rPr>
          <w:sz w:val="22"/>
          <w:szCs w:val="22"/>
          <w:lang w:val="sr-Latn-ME"/>
        </w:rPr>
        <w:t>ka</w:t>
      </w:r>
      <w:r w:rsidRPr="007C19A2">
        <w:rPr>
          <w:sz w:val="22"/>
          <w:szCs w:val="22"/>
          <w:lang w:val="sr-Latn-ME"/>
        </w:rPr>
        <w:t xml:space="preserve">, iako je postojala naglašena individualna varijabilnost i kod ispitanika sa oštećenjem </w:t>
      </w:r>
      <w:r w:rsidRPr="007C19A2">
        <w:rPr>
          <w:sz w:val="22"/>
          <w:szCs w:val="22"/>
          <w:lang w:val="sr-Latn-ME"/>
        </w:rPr>
        <w:lastRenderedPageBreak/>
        <w:t xml:space="preserve">funkcije jetre i kod zdravih ispitanika. U poređenju sa </w:t>
      </w:r>
      <w:r w:rsidR="00465177" w:rsidRPr="007C19A2">
        <w:rPr>
          <w:sz w:val="22"/>
          <w:szCs w:val="22"/>
          <w:lang w:val="sr-Latn-ME"/>
        </w:rPr>
        <w:t>odgovarajućom grupom zdravih ispitanika</w:t>
      </w:r>
      <w:r w:rsidRPr="007C19A2">
        <w:rPr>
          <w:sz w:val="22"/>
          <w:szCs w:val="22"/>
          <w:lang w:val="sr-Latn-ME"/>
        </w:rPr>
        <w:t>, izloženost netupitantu (C</w:t>
      </w:r>
      <w:r w:rsidRPr="007C19A2">
        <w:rPr>
          <w:sz w:val="22"/>
          <w:szCs w:val="22"/>
          <w:vertAlign w:val="subscript"/>
          <w:lang w:val="sr-Latn-ME"/>
        </w:rPr>
        <w:t>max</w:t>
      </w:r>
      <w:r w:rsidRPr="007C19A2">
        <w:rPr>
          <w:sz w:val="22"/>
          <w:szCs w:val="22"/>
          <w:lang w:val="sr-Latn-ME"/>
        </w:rPr>
        <w:t>, PIK</w:t>
      </w:r>
      <w:r w:rsidRPr="007C19A2">
        <w:rPr>
          <w:sz w:val="22"/>
          <w:szCs w:val="22"/>
          <w:vertAlign w:val="subscript"/>
          <w:lang w:val="sr-Latn-ME"/>
        </w:rPr>
        <w:t>0-t</w:t>
      </w:r>
      <w:r w:rsidRPr="007C19A2">
        <w:rPr>
          <w:sz w:val="22"/>
          <w:szCs w:val="22"/>
          <w:lang w:val="sr-Latn-ME"/>
        </w:rPr>
        <w:t xml:space="preserve"> i PIK</w:t>
      </w:r>
      <w:r w:rsidRPr="007C19A2">
        <w:rPr>
          <w:sz w:val="22"/>
          <w:szCs w:val="22"/>
          <w:vertAlign w:val="subscript"/>
          <w:lang w:val="sr-Latn-ME"/>
        </w:rPr>
        <w:t>0-∞</w:t>
      </w:r>
      <w:r w:rsidRPr="007C19A2">
        <w:rPr>
          <w:sz w:val="22"/>
          <w:szCs w:val="22"/>
          <w:lang w:val="sr-Latn-ME"/>
        </w:rPr>
        <w:t>) bila je 11%, 28% i 19% viša kod ispitanika sa blagim oštećenjem funkcije jetre, i 70%, 88% odnosno 143% viša kod onih sa umjerenim oštećenjem funkcije jetre. S obzirom na to, prilagođavanje doze nije potrebno kod pacijenata sa blagim do umjerenim oštećenjem funkcije jetre. Ograničeni su podaci kod pacijenata sa teškim oštećenjem funkcije jetre (Child-Pugh rezultat ≥ 9).</w:t>
      </w:r>
    </w:p>
    <w:p w14:paraId="24216F9F" w14:textId="77777777" w:rsidR="005546B3" w:rsidRPr="007C19A2" w:rsidRDefault="005546B3" w:rsidP="005546B3">
      <w:pPr>
        <w:autoSpaceDE w:val="0"/>
        <w:autoSpaceDN w:val="0"/>
        <w:adjustRightInd w:val="0"/>
        <w:jc w:val="both"/>
        <w:rPr>
          <w:sz w:val="22"/>
          <w:szCs w:val="22"/>
          <w:lang w:val="sr-Latn-ME"/>
        </w:rPr>
      </w:pPr>
    </w:p>
    <w:p w14:paraId="31C3DD50" w14:textId="77777777" w:rsidR="005546B3" w:rsidRPr="007C19A2" w:rsidRDefault="005546B3" w:rsidP="005546B3">
      <w:pPr>
        <w:autoSpaceDE w:val="0"/>
        <w:autoSpaceDN w:val="0"/>
        <w:adjustRightInd w:val="0"/>
        <w:jc w:val="both"/>
        <w:rPr>
          <w:i/>
          <w:sz w:val="22"/>
          <w:szCs w:val="22"/>
          <w:lang w:val="sr-Latn-ME"/>
        </w:rPr>
      </w:pPr>
      <w:r w:rsidRPr="007C19A2">
        <w:rPr>
          <w:i/>
          <w:sz w:val="22"/>
          <w:szCs w:val="22"/>
          <w:lang w:val="sr-Latn-ME"/>
        </w:rPr>
        <w:t>Palonosetron</w:t>
      </w:r>
    </w:p>
    <w:p w14:paraId="420E0288" w14:textId="1555E62B" w:rsidR="005546B3" w:rsidRPr="007C19A2" w:rsidRDefault="005546B3" w:rsidP="005546B3">
      <w:pPr>
        <w:jc w:val="both"/>
        <w:rPr>
          <w:sz w:val="22"/>
          <w:szCs w:val="22"/>
          <w:lang w:val="sr-Latn-ME"/>
        </w:rPr>
      </w:pPr>
      <w:r w:rsidRPr="007C19A2">
        <w:rPr>
          <w:sz w:val="22"/>
          <w:szCs w:val="22"/>
          <w:lang w:val="sr-Latn-ME"/>
        </w:rPr>
        <w:t xml:space="preserve">Oštećenje funkcije jetre ne utiče značajno na ukupni tjelesni klirens palonosetrona u poređenju sa zdravim ispitanicima. Iako su terminalno poluvrijeme eliminacije i srednja sistemska izloženost </w:t>
      </w:r>
      <w:r w:rsidR="00124880" w:rsidRPr="007C19A2">
        <w:rPr>
          <w:sz w:val="22"/>
          <w:szCs w:val="22"/>
          <w:lang w:val="sr-Latn-ME"/>
        </w:rPr>
        <w:t xml:space="preserve">palonosetronu </w:t>
      </w:r>
      <w:r w:rsidRPr="007C19A2">
        <w:rPr>
          <w:sz w:val="22"/>
          <w:szCs w:val="22"/>
          <w:lang w:val="sr-Latn-ME"/>
        </w:rPr>
        <w:t>povećani kod ispitanika sa teškim oštećenjem jetre, to ne zahtijeva smanjenje doze.</w:t>
      </w:r>
    </w:p>
    <w:p w14:paraId="2E83E549" w14:textId="77777777" w:rsidR="005546B3" w:rsidRPr="007C19A2" w:rsidRDefault="005546B3" w:rsidP="005546B3">
      <w:pPr>
        <w:autoSpaceDE w:val="0"/>
        <w:autoSpaceDN w:val="0"/>
        <w:adjustRightInd w:val="0"/>
        <w:jc w:val="both"/>
        <w:rPr>
          <w:sz w:val="22"/>
          <w:szCs w:val="22"/>
          <w:lang w:val="sr-Latn-ME"/>
        </w:rPr>
      </w:pPr>
    </w:p>
    <w:p w14:paraId="14FFFF1C" w14:textId="77777777" w:rsidR="005546B3" w:rsidRPr="007C19A2" w:rsidRDefault="005546B3" w:rsidP="005546B3">
      <w:pPr>
        <w:autoSpaceDE w:val="0"/>
        <w:autoSpaceDN w:val="0"/>
        <w:adjustRightInd w:val="0"/>
        <w:jc w:val="both"/>
        <w:rPr>
          <w:sz w:val="22"/>
          <w:szCs w:val="22"/>
          <w:u w:val="single"/>
          <w:lang w:val="sr-Latn-ME"/>
        </w:rPr>
      </w:pPr>
      <w:r w:rsidRPr="007C19A2">
        <w:rPr>
          <w:sz w:val="22"/>
          <w:szCs w:val="22"/>
          <w:u w:val="single"/>
          <w:lang w:val="sr-Latn-ME"/>
        </w:rPr>
        <w:t>Oštećenje funkcije bubrega</w:t>
      </w:r>
    </w:p>
    <w:p w14:paraId="3BEA83A1" w14:textId="77777777" w:rsidR="005546B3" w:rsidRPr="007C19A2" w:rsidRDefault="005546B3" w:rsidP="005546B3">
      <w:pPr>
        <w:autoSpaceDE w:val="0"/>
        <w:autoSpaceDN w:val="0"/>
        <w:adjustRightInd w:val="0"/>
        <w:jc w:val="both"/>
        <w:rPr>
          <w:i/>
          <w:sz w:val="22"/>
          <w:szCs w:val="22"/>
          <w:lang w:val="sr-Latn-ME"/>
        </w:rPr>
      </w:pPr>
    </w:p>
    <w:p w14:paraId="2EC882A5" w14:textId="77777777" w:rsidR="005546B3" w:rsidRPr="007C19A2" w:rsidRDefault="005546B3" w:rsidP="005546B3">
      <w:pPr>
        <w:keepNext/>
        <w:autoSpaceDE w:val="0"/>
        <w:autoSpaceDN w:val="0"/>
        <w:adjustRightInd w:val="0"/>
        <w:jc w:val="both"/>
        <w:rPr>
          <w:i/>
          <w:sz w:val="22"/>
          <w:szCs w:val="22"/>
          <w:lang w:val="sr-Latn-ME"/>
        </w:rPr>
      </w:pPr>
      <w:r w:rsidRPr="007C19A2">
        <w:rPr>
          <w:i/>
          <w:sz w:val="22"/>
          <w:szCs w:val="22"/>
          <w:lang w:val="sr-Latn-ME"/>
        </w:rPr>
        <w:t>Netupitant</w:t>
      </w:r>
    </w:p>
    <w:p w14:paraId="5D48AE89" w14:textId="77777777" w:rsidR="005546B3" w:rsidRPr="007C19A2" w:rsidRDefault="005546B3" w:rsidP="005546B3">
      <w:pPr>
        <w:autoSpaceDE w:val="0"/>
        <w:autoSpaceDN w:val="0"/>
        <w:adjustRightInd w:val="0"/>
        <w:jc w:val="both"/>
        <w:rPr>
          <w:color w:val="000000"/>
          <w:sz w:val="22"/>
          <w:szCs w:val="22"/>
          <w:lang w:val="sr-Latn-ME"/>
        </w:rPr>
      </w:pPr>
      <w:r w:rsidRPr="007C19A2">
        <w:rPr>
          <w:sz w:val="22"/>
          <w:szCs w:val="22"/>
          <w:lang w:val="sr-Latn-ME"/>
        </w:rPr>
        <w:t>Nijesu sprovedena posebna ispitivanja za procjenu netupitanta kod pacijenata sa oštećenjem funkcije bubrega. U ispitivanju ADME, manje od 5% svih materija povezanih sa netupitantom izlučeno je u urin, a manje od 1% doze netupitanta izlučeno je nepromijenjeno u urin, tako da bi stoga sva akumulacija netupitanta ili metabolita poslije jedne doze trebalo da je zanemarljiva. Takođe, ispitivanje populacione farmakokinetike nije pokazalo korelaciju između farmakokinetičkih parametara netupitanta i markera poremećaja funkcije bubrega.</w:t>
      </w:r>
    </w:p>
    <w:p w14:paraId="485C9942" w14:textId="77777777" w:rsidR="005546B3" w:rsidRPr="007C19A2" w:rsidRDefault="005546B3" w:rsidP="005546B3">
      <w:pPr>
        <w:autoSpaceDE w:val="0"/>
        <w:autoSpaceDN w:val="0"/>
        <w:adjustRightInd w:val="0"/>
        <w:jc w:val="both"/>
        <w:rPr>
          <w:color w:val="000000"/>
          <w:sz w:val="22"/>
          <w:szCs w:val="22"/>
          <w:lang w:val="sr-Latn-ME"/>
        </w:rPr>
      </w:pPr>
    </w:p>
    <w:p w14:paraId="23704A80" w14:textId="77777777" w:rsidR="005546B3" w:rsidRPr="007C19A2" w:rsidRDefault="005546B3" w:rsidP="005546B3">
      <w:pPr>
        <w:autoSpaceDE w:val="0"/>
        <w:autoSpaceDN w:val="0"/>
        <w:adjustRightInd w:val="0"/>
        <w:jc w:val="both"/>
        <w:rPr>
          <w:i/>
          <w:sz w:val="22"/>
          <w:szCs w:val="22"/>
          <w:lang w:val="sr-Latn-ME"/>
        </w:rPr>
      </w:pPr>
      <w:r w:rsidRPr="007C19A2">
        <w:rPr>
          <w:i/>
          <w:sz w:val="22"/>
          <w:szCs w:val="22"/>
          <w:lang w:val="sr-Latn-ME"/>
        </w:rPr>
        <w:t>Palonosetron</w:t>
      </w:r>
    </w:p>
    <w:p w14:paraId="25E6DBF4" w14:textId="396E82B6" w:rsidR="005546B3" w:rsidRPr="007C19A2" w:rsidRDefault="005546B3" w:rsidP="005546B3">
      <w:pPr>
        <w:autoSpaceDE w:val="0"/>
        <w:autoSpaceDN w:val="0"/>
        <w:adjustRightInd w:val="0"/>
        <w:jc w:val="both"/>
        <w:rPr>
          <w:sz w:val="22"/>
          <w:szCs w:val="22"/>
          <w:lang w:val="sr-Latn-ME"/>
        </w:rPr>
      </w:pPr>
      <w:r w:rsidRPr="007C19A2">
        <w:rPr>
          <w:sz w:val="22"/>
          <w:szCs w:val="22"/>
          <w:lang w:val="sr-Latn-ME"/>
        </w:rPr>
        <w:t xml:space="preserve">Blago do umjereno oštećenje funkcije bubrega ne utiče značajno na farmakokinetičke parametre palonosetrona. Ukupna sistemska izloženost intravenskom palonosetronu povećala se za oko 28% kod pacijenata sa teškim oštećenjem funkcije bubrega u odnosu na zdrave ispitanike. U ispitivanju </w:t>
      </w:r>
      <w:r w:rsidR="00D077B4" w:rsidRPr="007C19A2">
        <w:rPr>
          <w:sz w:val="22"/>
          <w:szCs w:val="22"/>
          <w:lang w:val="sr-Latn-ME"/>
        </w:rPr>
        <w:t xml:space="preserve">populacione </w:t>
      </w:r>
      <w:r w:rsidRPr="007C19A2">
        <w:rPr>
          <w:sz w:val="22"/>
          <w:szCs w:val="22"/>
          <w:lang w:val="sr-Latn-ME"/>
        </w:rPr>
        <w:t>farmakokinetike, pacijenti sa smanjenim klirensom kreatinina (CL</w:t>
      </w:r>
      <w:r w:rsidRPr="007C19A2">
        <w:rPr>
          <w:sz w:val="22"/>
          <w:szCs w:val="22"/>
          <w:vertAlign w:val="subscript"/>
          <w:lang w:val="sr-Latn-ME"/>
        </w:rPr>
        <w:t>CR</w:t>
      </w:r>
      <w:r w:rsidRPr="007C19A2">
        <w:rPr>
          <w:sz w:val="22"/>
          <w:szCs w:val="22"/>
          <w:lang w:val="sr-Latn-ME"/>
        </w:rPr>
        <w:t>) imali su takođe smanjeni klirens palonosetrona, ali to smanjenje ne bi trebalo da rezultuje značajnom promjenom u izloženosti palonosetronu.</w:t>
      </w:r>
    </w:p>
    <w:p w14:paraId="2490F61C" w14:textId="77777777" w:rsidR="005546B3" w:rsidRPr="007C19A2" w:rsidRDefault="005546B3" w:rsidP="005546B3">
      <w:pPr>
        <w:autoSpaceDE w:val="0"/>
        <w:autoSpaceDN w:val="0"/>
        <w:adjustRightInd w:val="0"/>
        <w:jc w:val="both"/>
        <w:rPr>
          <w:sz w:val="22"/>
          <w:szCs w:val="22"/>
          <w:lang w:val="sr-Latn-ME"/>
        </w:rPr>
      </w:pPr>
    </w:p>
    <w:p w14:paraId="683E5B2C" w14:textId="77777777" w:rsidR="005546B3" w:rsidRPr="007C19A2" w:rsidRDefault="005546B3" w:rsidP="005546B3">
      <w:pPr>
        <w:autoSpaceDE w:val="0"/>
        <w:autoSpaceDN w:val="0"/>
        <w:adjustRightInd w:val="0"/>
        <w:jc w:val="both"/>
        <w:rPr>
          <w:sz w:val="22"/>
          <w:szCs w:val="22"/>
          <w:lang w:val="sr-Latn-ME"/>
        </w:rPr>
      </w:pPr>
      <w:r w:rsidRPr="007C19A2">
        <w:rPr>
          <w:sz w:val="22"/>
          <w:szCs w:val="22"/>
          <w:lang w:val="sr-Latn-ME"/>
        </w:rPr>
        <w:t>Stoga, kod pacijenata sa oštećenjem funkcije bubrega lijek Akynzeo može da se primjenjuje bez prilagođavanja doze.</w:t>
      </w:r>
    </w:p>
    <w:p w14:paraId="3B3CA05E" w14:textId="77777777" w:rsidR="005546B3" w:rsidRPr="007C19A2" w:rsidRDefault="005546B3" w:rsidP="005546B3">
      <w:pPr>
        <w:autoSpaceDE w:val="0"/>
        <w:autoSpaceDN w:val="0"/>
        <w:adjustRightInd w:val="0"/>
        <w:jc w:val="both"/>
        <w:rPr>
          <w:sz w:val="22"/>
          <w:szCs w:val="22"/>
          <w:lang w:val="sr-Latn-ME"/>
        </w:rPr>
      </w:pPr>
    </w:p>
    <w:p w14:paraId="1FE119E1" w14:textId="77777777" w:rsidR="005546B3" w:rsidRPr="007C19A2" w:rsidRDefault="005546B3" w:rsidP="005546B3">
      <w:pPr>
        <w:autoSpaceDE w:val="0"/>
        <w:autoSpaceDN w:val="0"/>
        <w:adjustRightInd w:val="0"/>
        <w:jc w:val="both"/>
        <w:rPr>
          <w:sz w:val="22"/>
          <w:szCs w:val="22"/>
          <w:lang w:val="sr-Latn-ME"/>
        </w:rPr>
      </w:pPr>
      <w:r w:rsidRPr="007C19A2">
        <w:rPr>
          <w:sz w:val="22"/>
          <w:szCs w:val="22"/>
          <w:lang w:val="sr-Latn-ME"/>
        </w:rPr>
        <w:t>Ni netupitant niti palonosetron nisu bili procijenjeni kod pacijenata sa završnim stadijumom bubrežnog oboljenja.</w:t>
      </w:r>
    </w:p>
    <w:p w14:paraId="19AA9D83" w14:textId="77777777" w:rsidR="005546B3" w:rsidRPr="007C19A2" w:rsidRDefault="005546B3" w:rsidP="005546B3">
      <w:pPr>
        <w:tabs>
          <w:tab w:val="left" w:pos="540"/>
          <w:tab w:val="left" w:pos="569"/>
        </w:tabs>
        <w:jc w:val="both"/>
        <w:rPr>
          <w:bCs/>
          <w:sz w:val="22"/>
          <w:szCs w:val="22"/>
          <w:lang w:val="sr-Latn-ME"/>
        </w:rPr>
      </w:pPr>
    </w:p>
    <w:p w14:paraId="176A3C33"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5.3. </w:t>
      </w:r>
      <w:r w:rsidR="00480FB1" w:rsidRPr="007C19A2">
        <w:rPr>
          <w:b/>
          <w:bCs/>
          <w:sz w:val="22"/>
          <w:szCs w:val="22"/>
          <w:lang w:val="sr-Latn-ME"/>
        </w:rPr>
        <w:tab/>
      </w:r>
      <w:r w:rsidRPr="007C19A2">
        <w:rPr>
          <w:b/>
          <w:bCs/>
          <w:sz w:val="22"/>
          <w:szCs w:val="22"/>
          <w:lang w:val="sr-Latn-ME"/>
        </w:rPr>
        <w:t xml:space="preserve">Pretklinički podaci o bezbjednosti </w:t>
      </w:r>
    </w:p>
    <w:p w14:paraId="176A3C34" w14:textId="77777777" w:rsidR="00836B35" w:rsidRPr="007C19A2" w:rsidRDefault="00836B35" w:rsidP="00480FB1">
      <w:pPr>
        <w:tabs>
          <w:tab w:val="left" w:pos="540"/>
          <w:tab w:val="left" w:pos="569"/>
        </w:tabs>
        <w:rPr>
          <w:bCs/>
          <w:sz w:val="22"/>
          <w:szCs w:val="22"/>
          <w:lang w:val="sr-Latn-ME"/>
        </w:rPr>
      </w:pPr>
    </w:p>
    <w:p w14:paraId="630C1E3E" w14:textId="77777777" w:rsidR="005546B3" w:rsidRPr="007C19A2" w:rsidRDefault="005546B3" w:rsidP="005546B3">
      <w:pPr>
        <w:autoSpaceDE w:val="0"/>
        <w:autoSpaceDN w:val="0"/>
        <w:adjustRightInd w:val="0"/>
        <w:jc w:val="both"/>
        <w:rPr>
          <w:sz w:val="22"/>
          <w:szCs w:val="22"/>
          <w:lang w:val="sr-Latn-ME" w:eastAsia="it-CH"/>
        </w:rPr>
      </w:pPr>
      <w:r w:rsidRPr="007C19A2">
        <w:rPr>
          <w:i/>
          <w:sz w:val="22"/>
          <w:szCs w:val="22"/>
          <w:lang w:val="sr-Latn-ME"/>
        </w:rPr>
        <w:t>Palonosetron</w:t>
      </w:r>
      <w:r w:rsidRPr="007C19A2">
        <w:rPr>
          <w:i/>
          <w:sz w:val="22"/>
          <w:szCs w:val="22"/>
          <w:lang w:val="sr-Latn-ME" w:eastAsia="it-CH"/>
        </w:rPr>
        <w:t xml:space="preserve"> </w:t>
      </w:r>
    </w:p>
    <w:p w14:paraId="62F11141" w14:textId="1B8DFB82" w:rsidR="005546B3" w:rsidRPr="007C19A2" w:rsidRDefault="005546B3" w:rsidP="005546B3">
      <w:pPr>
        <w:autoSpaceDE w:val="0"/>
        <w:autoSpaceDN w:val="0"/>
        <w:adjustRightInd w:val="0"/>
        <w:jc w:val="both"/>
        <w:rPr>
          <w:sz w:val="22"/>
          <w:szCs w:val="22"/>
          <w:lang w:val="sr-Latn-ME" w:eastAsia="it-CH"/>
        </w:rPr>
      </w:pPr>
      <w:r w:rsidRPr="007C19A2">
        <w:rPr>
          <w:sz w:val="22"/>
          <w:szCs w:val="22"/>
          <w:lang w:val="sr-Latn-ME" w:eastAsia="it-CH"/>
        </w:rPr>
        <w:t xml:space="preserve">U pretkliničkim ispitivanjima primijećeni su efekti samo pri izlaganjima dozama koje su znatno veće od maksimalnih dozvoljenih kod ljudi, što ukazuje na njihov mali značaj za kliničku primjenu. Pretklinička ispitivanja pokazuju da palonosetron samo u vrlo visokim koncentracijama može blokirati jonske kanale uključene u ventrikularnu depolarizaciju i repolarizaciju i produžiti trajanje akcionog potencijala. Degeneracija sjemenog epitela bila je povezana sa palonosetronom nakon mjesec dana ispitivanja toksičnosti ponovljenih oralnih doza kod pacova. Ispitivanja na životinjama ne ukazuju na direktne ili indirektne štetne efekte na trudnoću, razvoj embriona/fetusa, porođaj ili postnatalni razvoj. O prenosu kroz posteljicu postoje samo ograničeni podaci dobijeni u ispitivanjima na životinjama (vidjeti </w:t>
      </w:r>
      <w:r w:rsidR="004D30B0" w:rsidRPr="007C19A2">
        <w:rPr>
          <w:sz w:val="22"/>
          <w:szCs w:val="22"/>
          <w:lang w:val="sr-Latn-ME" w:eastAsia="it-CH"/>
        </w:rPr>
        <w:t xml:space="preserve">dio </w:t>
      </w:r>
      <w:r w:rsidRPr="007C19A2">
        <w:rPr>
          <w:sz w:val="22"/>
          <w:szCs w:val="22"/>
          <w:lang w:val="sr-Latn-ME" w:eastAsia="it-CH"/>
        </w:rPr>
        <w:t>4.6). Palonosetron nije mutagen. Visoke doze palonosetrona (svaka doza izazivala je najmanje 15 puta veću izloženost od terapijske izloženosti kod čovjeka) primijenjene svakodnevno tokom dvije godine, uzrokovale su povećanu stopu tumora jetre, neoplazme endokrinog sistema (u štitnoj žlijezdi, hipofizi, pankreasu, meduli nadbubrežne žlijezde) i tumora kože kod pacova, ali ne i kod miševa. Osnovni mehanizmi ni</w:t>
      </w:r>
      <w:r w:rsidR="00BC651A" w:rsidRPr="007C19A2">
        <w:rPr>
          <w:sz w:val="22"/>
          <w:szCs w:val="22"/>
          <w:lang w:val="sr-Latn-ME" w:eastAsia="it-CH"/>
        </w:rPr>
        <w:t>je</w:t>
      </w:r>
      <w:r w:rsidRPr="007C19A2">
        <w:rPr>
          <w:sz w:val="22"/>
          <w:szCs w:val="22"/>
          <w:lang w:val="sr-Latn-ME" w:eastAsia="it-CH"/>
        </w:rPr>
        <w:t>su sasvim poznati, ali s obzirom da se radilo o visokim dozama, a ovaj lijek je namijenjen za jednokratnu primjenu kod ljudi, ne smatra se da su ovi nalazi značajni za kliničku primjenu.</w:t>
      </w:r>
    </w:p>
    <w:p w14:paraId="552FD78F" w14:textId="77777777" w:rsidR="005546B3" w:rsidRPr="007C19A2" w:rsidRDefault="005546B3" w:rsidP="005546B3">
      <w:pPr>
        <w:autoSpaceDE w:val="0"/>
        <w:autoSpaceDN w:val="0"/>
        <w:adjustRightInd w:val="0"/>
        <w:jc w:val="both"/>
        <w:rPr>
          <w:sz w:val="22"/>
          <w:szCs w:val="22"/>
          <w:lang w:val="sr-Latn-ME" w:eastAsia="it-CH"/>
        </w:rPr>
      </w:pPr>
    </w:p>
    <w:p w14:paraId="276D66D6" w14:textId="77777777" w:rsidR="005546B3" w:rsidRPr="007C19A2" w:rsidRDefault="005546B3" w:rsidP="005546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sz w:val="22"/>
          <w:szCs w:val="22"/>
          <w:lang w:val="sr-Latn-ME"/>
        </w:rPr>
      </w:pPr>
      <w:r w:rsidRPr="007C19A2">
        <w:rPr>
          <w:i/>
          <w:sz w:val="22"/>
          <w:szCs w:val="22"/>
          <w:lang w:val="sr-Latn-ME"/>
        </w:rPr>
        <w:t>Netupitant i kombinacija sa palonosetronom</w:t>
      </w:r>
    </w:p>
    <w:p w14:paraId="2B0EEA13" w14:textId="77777777" w:rsidR="005546B3" w:rsidRPr="007C19A2" w:rsidRDefault="005546B3" w:rsidP="005546B3">
      <w:pPr>
        <w:autoSpaceDE w:val="0"/>
        <w:autoSpaceDN w:val="0"/>
        <w:adjustRightInd w:val="0"/>
        <w:jc w:val="both"/>
        <w:rPr>
          <w:sz w:val="22"/>
          <w:szCs w:val="22"/>
          <w:lang w:val="sr-Latn-ME"/>
        </w:rPr>
      </w:pPr>
      <w:r w:rsidRPr="007C19A2">
        <w:rPr>
          <w:sz w:val="22"/>
          <w:szCs w:val="22"/>
          <w:lang w:val="sr-Latn-ME" w:eastAsia="it-CH"/>
        </w:rPr>
        <w:t xml:space="preserve">Efekti u pretkliničkim ispitivanjima koja su zasnovana na bezbjednosnoj farmakologiji i toksičnosti jedne i ponovljenih doza bili su primijećeni samo kod izloženosti koje su se smatrale većim od </w:t>
      </w:r>
      <w:r w:rsidRPr="007C19A2">
        <w:rPr>
          <w:sz w:val="22"/>
          <w:szCs w:val="22"/>
          <w:lang w:val="sr-Latn-ME" w:eastAsia="it-CH"/>
        </w:rPr>
        <w:lastRenderedPageBreak/>
        <w:t>maksimalne ljudske izloženosti, što ukazuje na mali značaj za kliničku primjenu. Fosfolipidoza (pjenasti makrofagi) primijećena je uz primjenu netupitanta nakon ponavljane primjene kod pacova i pasa. Efekti su bili reverzibilni ili djelimično reverzibilni nakon perioda oporavka. Nije poznat značaj ovih nalaza kod ljudi</w:t>
      </w:r>
      <w:r w:rsidRPr="007C19A2">
        <w:rPr>
          <w:rFonts w:eastAsia="Arial Unicode MS"/>
          <w:sz w:val="22"/>
          <w:szCs w:val="22"/>
          <w:lang w:val="sr-Latn-ME"/>
        </w:rPr>
        <w:t>.</w:t>
      </w:r>
      <w:r w:rsidRPr="007C19A2">
        <w:rPr>
          <w:sz w:val="22"/>
          <w:szCs w:val="22"/>
          <w:lang w:val="sr-Latn-ME"/>
        </w:rPr>
        <w:t xml:space="preserve"> </w:t>
      </w:r>
    </w:p>
    <w:p w14:paraId="76369591" w14:textId="77777777" w:rsidR="005546B3" w:rsidRPr="007C19A2" w:rsidRDefault="005546B3" w:rsidP="005546B3">
      <w:pPr>
        <w:autoSpaceDE w:val="0"/>
        <w:autoSpaceDN w:val="0"/>
        <w:adjustRightInd w:val="0"/>
        <w:jc w:val="both"/>
        <w:rPr>
          <w:sz w:val="22"/>
          <w:szCs w:val="22"/>
          <w:lang w:val="sr-Latn-ME"/>
        </w:rPr>
      </w:pPr>
    </w:p>
    <w:p w14:paraId="2714E47F" w14:textId="77777777" w:rsidR="005546B3" w:rsidRPr="007C19A2" w:rsidRDefault="005546B3" w:rsidP="005546B3">
      <w:pPr>
        <w:autoSpaceDE w:val="0"/>
        <w:autoSpaceDN w:val="0"/>
        <w:adjustRightInd w:val="0"/>
        <w:jc w:val="both"/>
        <w:rPr>
          <w:sz w:val="22"/>
          <w:szCs w:val="22"/>
          <w:lang w:val="sr-Latn-ME" w:eastAsia="it-CH"/>
        </w:rPr>
      </w:pPr>
      <w:r w:rsidRPr="007C19A2">
        <w:rPr>
          <w:sz w:val="22"/>
          <w:szCs w:val="22"/>
          <w:lang w:val="sr-Latn-ME" w:eastAsia="it-CH"/>
        </w:rPr>
        <w:t xml:space="preserve">Pretklinička ispitivanja pokazuju da netupitant i njegovi metaboliti i kombinacija sa palonosetronom, samo u vrlo visokim koncentracijama mogu blokirati jonske kanale uključene u ventrikularnu depolarizaciju i repolarizaciju i produžiti trajanje akcionog potencijala. Ispitivanja reprodukcije kod životinja sa netupitantom ne ukazuju na direktne ili indirektne štetne efekte na plodnost, porođaj ili postnatalni razvoj. Povećana incidencija položajnih abnormalnosti udova i šapa kod fetusa, spojene sternebre i ageneze akcesornog režnja pluća, primijećena je nakon svakodnevne primjene netupitanta kod kunića u dozi od 10 mg/kg na dan i višoj u razdoblju organogeneze. U pilot ispitivanju određivanja raspona doze kod kunića, rascjep nepca, mikroftalmija i afakija primijećeni su kod četiri fetusa iz jednog legla u grupi koja je primala 30 mg/kg na dan. Značajnost tih nalaza kod ljudi nije poznata. Nema podataka iz ispitivanja na životinjama za netupitant u vezi sa prenosom kroz posteljicu i laktaciju. Netupitant nije mutagen. </w:t>
      </w:r>
    </w:p>
    <w:p w14:paraId="678EA9AF" w14:textId="77777777" w:rsidR="005546B3" w:rsidRPr="007C19A2" w:rsidRDefault="005546B3" w:rsidP="005546B3">
      <w:pPr>
        <w:tabs>
          <w:tab w:val="left" w:pos="540"/>
          <w:tab w:val="left" w:pos="569"/>
        </w:tabs>
        <w:rPr>
          <w:b/>
          <w:bCs/>
          <w:sz w:val="22"/>
          <w:szCs w:val="22"/>
          <w:lang w:val="sr-Latn-ME"/>
        </w:rPr>
      </w:pPr>
    </w:p>
    <w:p w14:paraId="176A3C35" w14:textId="77777777" w:rsidR="00396DFD" w:rsidRPr="007C19A2" w:rsidRDefault="00396DFD" w:rsidP="00480FB1">
      <w:pPr>
        <w:tabs>
          <w:tab w:val="left" w:pos="540"/>
          <w:tab w:val="left" w:pos="569"/>
        </w:tabs>
        <w:rPr>
          <w:b/>
          <w:bCs/>
          <w:sz w:val="22"/>
          <w:szCs w:val="22"/>
          <w:lang w:val="sr-Latn-ME"/>
        </w:rPr>
      </w:pPr>
    </w:p>
    <w:p w14:paraId="176A3C36"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 </w:t>
      </w:r>
      <w:r w:rsidR="00480FB1" w:rsidRPr="007C19A2">
        <w:rPr>
          <w:b/>
          <w:bCs/>
          <w:sz w:val="22"/>
          <w:szCs w:val="22"/>
          <w:lang w:val="sr-Latn-ME"/>
        </w:rPr>
        <w:tab/>
      </w:r>
      <w:r w:rsidRPr="007C19A2">
        <w:rPr>
          <w:b/>
          <w:bCs/>
          <w:sz w:val="22"/>
          <w:szCs w:val="22"/>
          <w:lang w:val="sr-Latn-ME"/>
        </w:rPr>
        <w:t>FARMACEUTSKI PODACI</w:t>
      </w:r>
    </w:p>
    <w:p w14:paraId="176A3C37" w14:textId="77777777" w:rsidR="00836B35" w:rsidRPr="007C19A2" w:rsidRDefault="00836B35" w:rsidP="00480FB1">
      <w:pPr>
        <w:tabs>
          <w:tab w:val="left" w:pos="540"/>
          <w:tab w:val="left" w:pos="569"/>
        </w:tabs>
        <w:rPr>
          <w:bCs/>
          <w:sz w:val="22"/>
          <w:szCs w:val="22"/>
          <w:lang w:val="sr-Latn-ME"/>
        </w:rPr>
      </w:pPr>
    </w:p>
    <w:p w14:paraId="176A3C38"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6.1. </w:t>
      </w:r>
      <w:r w:rsidR="00480FB1" w:rsidRPr="007C19A2">
        <w:rPr>
          <w:b/>
          <w:bCs/>
          <w:sz w:val="22"/>
          <w:szCs w:val="22"/>
          <w:lang w:val="sr-Latn-ME"/>
        </w:rPr>
        <w:tab/>
      </w:r>
      <w:r w:rsidRPr="007C19A2">
        <w:rPr>
          <w:b/>
          <w:bCs/>
          <w:sz w:val="22"/>
          <w:szCs w:val="22"/>
          <w:lang w:val="sr-Latn-ME"/>
        </w:rPr>
        <w:t>Lista pomoćnih supstanci</w:t>
      </w:r>
      <w:r w:rsidR="002E0135" w:rsidRPr="007C19A2">
        <w:rPr>
          <w:b/>
          <w:bCs/>
          <w:sz w:val="22"/>
          <w:szCs w:val="22"/>
          <w:lang w:val="sr-Latn-ME"/>
        </w:rPr>
        <w:t xml:space="preserve"> (ekscipijenasa)</w:t>
      </w:r>
    </w:p>
    <w:p w14:paraId="176A3C39" w14:textId="6A094002" w:rsidR="0072020E" w:rsidRPr="007C19A2" w:rsidRDefault="0072020E" w:rsidP="00480FB1">
      <w:pPr>
        <w:tabs>
          <w:tab w:val="left" w:pos="540"/>
          <w:tab w:val="left" w:pos="569"/>
        </w:tabs>
        <w:rPr>
          <w:bCs/>
          <w:sz w:val="22"/>
          <w:szCs w:val="22"/>
          <w:lang w:val="sr-Latn-ME"/>
        </w:rPr>
      </w:pPr>
    </w:p>
    <w:p w14:paraId="6C61C184" w14:textId="77777777" w:rsidR="005546B3" w:rsidRPr="007C19A2" w:rsidRDefault="005546B3" w:rsidP="005546B3">
      <w:pPr>
        <w:keepNext/>
        <w:autoSpaceDE w:val="0"/>
        <w:autoSpaceDN w:val="0"/>
        <w:adjustRightInd w:val="0"/>
        <w:rPr>
          <w:b/>
          <w:bCs/>
          <w:sz w:val="22"/>
          <w:szCs w:val="22"/>
          <w:u w:val="single"/>
          <w:lang w:val="sr-Latn-ME"/>
        </w:rPr>
      </w:pPr>
      <w:r w:rsidRPr="007C19A2">
        <w:rPr>
          <w:b/>
          <w:bCs/>
          <w:sz w:val="22"/>
          <w:szCs w:val="22"/>
          <w:u w:val="single"/>
          <w:lang w:val="sr-Latn-ME"/>
        </w:rPr>
        <w:t>Sadržaj kapsule, tvrde:</w:t>
      </w:r>
    </w:p>
    <w:p w14:paraId="7D49DAA9" w14:textId="77777777" w:rsidR="005546B3" w:rsidRPr="007C19A2" w:rsidRDefault="005546B3" w:rsidP="005546B3">
      <w:pPr>
        <w:autoSpaceDE w:val="0"/>
        <w:autoSpaceDN w:val="0"/>
        <w:adjustRightInd w:val="0"/>
        <w:rPr>
          <w:bCs/>
          <w:sz w:val="22"/>
          <w:szCs w:val="22"/>
          <w:u w:val="single"/>
          <w:lang w:val="sr-Latn-ME"/>
        </w:rPr>
      </w:pPr>
    </w:p>
    <w:p w14:paraId="15569363" w14:textId="77777777" w:rsidR="005546B3" w:rsidRPr="007C19A2" w:rsidRDefault="005546B3" w:rsidP="005546B3">
      <w:pPr>
        <w:autoSpaceDE w:val="0"/>
        <w:autoSpaceDN w:val="0"/>
        <w:adjustRightInd w:val="0"/>
        <w:rPr>
          <w:bCs/>
          <w:i/>
          <w:sz w:val="22"/>
          <w:szCs w:val="22"/>
          <w:lang w:val="sr-Latn-ME"/>
        </w:rPr>
      </w:pPr>
      <w:r w:rsidRPr="007C19A2">
        <w:rPr>
          <w:bCs/>
          <w:i/>
          <w:sz w:val="22"/>
          <w:szCs w:val="22"/>
          <w:lang w:val="sr-Latn-ME"/>
        </w:rPr>
        <w:t xml:space="preserve">Netupitant tablete </w:t>
      </w:r>
    </w:p>
    <w:p w14:paraId="3560F889"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Celuloza, mikrokristalna (E460)</w:t>
      </w:r>
    </w:p>
    <w:p w14:paraId="642B62C1"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 xml:space="preserve">Saharozni estri laurinske kiseline </w:t>
      </w:r>
    </w:p>
    <w:p w14:paraId="6F786EC9"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Povidon K 30</w:t>
      </w:r>
    </w:p>
    <w:p w14:paraId="7A3F0BB4"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 xml:space="preserve">Kroskarmeloza natrijum  </w:t>
      </w:r>
    </w:p>
    <w:p w14:paraId="5FB0EDCD"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Silicijum dioksid, koloidni, hidratisani</w:t>
      </w:r>
    </w:p>
    <w:p w14:paraId="219FC397"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 xml:space="preserve">Natrijum stearil fumarat </w:t>
      </w:r>
    </w:p>
    <w:p w14:paraId="091F43D6" w14:textId="77777777" w:rsidR="005546B3" w:rsidRPr="007C19A2" w:rsidRDefault="005546B3" w:rsidP="005546B3">
      <w:pPr>
        <w:autoSpaceDE w:val="0"/>
        <w:autoSpaceDN w:val="0"/>
        <w:adjustRightInd w:val="0"/>
        <w:rPr>
          <w:color w:val="000000"/>
          <w:sz w:val="22"/>
          <w:szCs w:val="22"/>
          <w:lang w:val="sr-Latn-ME"/>
        </w:rPr>
      </w:pPr>
      <w:r w:rsidRPr="007C19A2">
        <w:rPr>
          <w:color w:val="000000"/>
          <w:sz w:val="22"/>
          <w:szCs w:val="22"/>
          <w:lang w:val="sr-Latn-ME"/>
        </w:rPr>
        <w:t>Magnezijum stearat</w:t>
      </w:r>
    </w:p>
    <w:p w14:paraId="0F7A2344" w14:textId="77777777" w:rsidR="005546B3" w:rsidRPr="007C19A2" w:rsidRDefault="005546B3" w:rsidP="005546B3">
      <w:pPr>
        <w:autoSpaceDE w:val="0"/>
        <w:autoSpaceDN w:val="0"/>
        <w:adjustRightInd w:val="0"/>
        <w:rPr>
          <w:b/>
          <w:bCs/>
          <w:sz w:val="22"/>
          <w:szCs w:val="22"/>
          <w:lang w:val="sr-Latn-ME"/>
        </w:rPr>
      </w:pPr>
    </w:p>
    <w:p w14:paraId="5BA795DC" w14:textId="77777777" w:rsidR="005546B3" w:rsidRPr="007C19A2" w:rsidRDefault="005546B3" w:rsidP="005546B3">
      <w:pPr>
        <w:autoSpaceDE w:val="0"/>
        <w:rPr>
          <w:i/>
          <w:sz w:val="22"/>
          <w:szCs w:val="22"/>
          <w:lang w:val="sr-Latn-ME"/>
        </w:rPr>
      </w:pPr>
      <w:r w:rsidRPr="007C19A2">
        <w:rPr>
          <w:i/>
          <w:sz w:val="22"/>
          <w:szCs w:val="22"/>
          <w:lang w:val="sr-Latn-ME"/>
        </w:rPr>
        <w:t>Palonosetron kapsule, meke</w:t>
      </w:r>
    </w:p>
    <w:p w14:paraId="472CEE91" w14:textId="77777777" w:rsidR="005546B3" w:rsidRPr="007C19A2" w:rsidRDefault="005546B3" w:rsidP="005546B3">
      <w:pPr>
        <w:autoSpaceDE w:val="0"/>
        <w:rPr>
          <w:iCs/>
          <w:sz w:val="22"/>
          <w:szCs w:val="22"/>
          <w:u w:val="single"/>
          <w:lang w:val="sr-Latn-ME"/>
        </w:rPr>
      </w:pPr>
      <w:r w:rsidRPr="007C19A2">
        <w:rPr>
          <w:iCs/>
          <w:sz w:val="22"/>
          <w:szCs w:val="22"/>
          <w:u w:val="single"/>
          <w:lang w:val="sr-Latn-ME"/>
        </w:rPr>
        <w:t>Sadržaj kapsule, meke</w:t>
      </w:r>
    </w:p>
    <w:p w14:paraId="21C8FBC2"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Glicerol monokaprilokaprat (tip I)</w:t>
      </w:r>
    </w:p>
    <w:p w14:paraId="366EF51A" w14:textId="5FB447FE" w:rsidR="005546B3" w:rsidRPr="007C19A2" w:rsidRDefault="005546B3" w:rsidP="005546B3">
      <w:pPr>
        <w:autoSpaceDE w:val="0"/>
        <w:autoSpaceDN w:val="0"/>
        <w:adjustRightInd w:val="0"/>
        <w:rPr>
          <w:sz w:val="22"/>
          <w:szCs w:val="22"/>
          <w:lang w:val="sr-Latn-ME"/>
        </w:rPr>
      </w:pPr>
      <w:r w:rsidRPr="007C19A2">
        <w:rPr>
          <w:sz w:val="22"/>
          <w:szCs w:val="22"/>
          <w:lang w:val="sr-Latn-ME"/>
        </w:rPr>
        <w:t>Glicerol</w:t>
      </w:r>
    </w:p>
    <w:p w14:paraId="59BDC60D"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Poligliceril oleat</w:t>
      </w:r>
    </w:p>
    <w:p w14:paraId="6063D83B"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Voda, prečišćena</w:t>
      </w:r>
    </w:p>
    <w:p w14:paraId="716B44C5"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Butilhidroksianizol (E320)</w:t>
      </w:r>
    </w:p>
    <w:p w14:paraId="747D9B34" w14:textId="77777777" w:rsidR="00603C1A" w:rsidRPr="007C19A2" w:rsidRDefault="00603C1A" w:rsidP="005546B3">
      <w:pPr>
        <w:tabs>
          <w:tab w:val="left" w:pos="567"/>
          <w:tab w:val="left" w:pos="4518"/>
          <w:tab w:val="left" w:pos="6408"/>
        </w:tabs>
        <w:autoSpaceDE w:val="0"/>
        <w:rPr>
          <w:sz w:val="22"/>
          <w:szCs w:val="22"/>
          <w:u w:val="single"/>
          <w:lang w:val="sr-Latn-ME"/>
        </w:rPr>
      </w:pPr>
    </w:p>
    <w:p w14:paraId="409C70C9" w14:textId="77777777" w:rsidR="005546B3" w:rsidRPr="007C19A2" w:rsidRDefault="005546B3" w:rsidP="005546B3">
      <w:pPr>
        <w:tabs>
          <w:tab w:val="left" w:pos="567"/>
          <w:tab w:val="left" w:pos="4518"/>
          <w:tab w:val="left" w:pos="6408"/>
        </w:tabs>
        <w:autoSpaceDE w:val="0"/>
        <w:rPr>
          <w:iCs/>
          <w:sz w:val="22"/>
          <w:szCs w:val="22"/>
          <w:u w:val="single"/>
          <w:lang w:val="sr-Latn-ME"/>
        </w:rPr>
      </w:pPr>
      <w:r w:rsidRPr="007C19A2">
        <w:rPr>
          <w:iCs/>
          <w:sz w:val="22"/>
          <w:szCs w:val="22"/>
          <w:u w:val="single"/>
          <w:lang w:val="sr-Latn-ME"/>
        </w:rPr>
        <w:t>Omotač kapsule, meke</w:t>
      </w:r>
    </w:p>
    <w:p w14:paraId="4C9F9441" w14:textId="77777777"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Želatin</w:t>
      </w:r>
    </w:p>
    <w:p w14:paraId="21075529" w14:textId="77777777"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Glicerol</w:t>
      </w:r>
    </w:p>
    <w:p w14:paraId="315ACDAD" w14:textId="60C34B3A"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Sorbitol</w:t>
      </w:r>
      <w:r w:rsidR="002B63E9" w:rsidRPr="007C19A2">
        <w:rPr>
          <w:sz w:val="22"/>
          <w:szCs w:val="22"/>
          <w:lang w:val="sr-Latn-ME"/>
        </w:rPr>
        <w:t xml:space="preserve"> (E420)</w:t>
      </w:r>
    </w:p>
    <w:p w14:paraId="03914024" w14:textId="77777777"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1,4 sorbitan</w:t>
      </w:r>
    </w:p>
    <w:p w14:paraId="765653D5" w14:textId="6C071440"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Titan dioksid (E171)</w:t>
      </w:r>
    </w:p>
    <w:p w14:paraId="76190B28" w14:textId="3B1ECAD3" w:rsidR="00603C1A" w:rsidRPr="007C19A2" w:rsidRDefault="00603C1A" w:rsidP="005546B3">
      <w:pPr>
        <w:tabs>
          <w:tab w:val="left" w:pos="567"/>
          <w:tab w:val="left" w:pos="4518"/>
          <w:tab w:val="left" w:pos="6408"/>
        </w:tabs>
        <w:autoSpaceDE w:val="0"/>
        <w:rPr>
          <w:sz w:val="22"/>
          <w:szCs w:val="22"/>
          <w:lang w:val="sr-Latn-ME"/>
        </w:rPr>
      </w:pPr>
    </w:p>
    <w:p w14:paraId="2757D9F8" w14:textId="77777777" w:rsidR="00110009" w:rsidRPr="007C19A2" w:rsidRDefault="00110009" w:rsidP="005546B3">
      <w:pPr>
        <w:tabs>
          <w:tab w:val="left" w:pos="567"/>
          <w:tab w:val="left" w:pos="4518"/>
          <w:tab w:val="left" w:pos="6408"/>
        </w:tabs>
        <w:autoSpaceDE w:val="0"/>
        <w:rPr>
          <w:sz w:val="22"/>
          <w:szCs w:val="22"/>
          <w:lang w:val="sr-Latn-ME"/>
        </w:rPr>
      </w:pPr>
    </w:p>
    <w:p w14:paraId="339EDB55" w14:textId="7FED90BC" w:rsidR="005546B3" w:rsidRPr="007C19A2" w:rsidRDefault="005546B3" w:rsidP="005546B3">
      <w:pPr>
        <w:tabs>
          <w:tab w:val="left" w:pos="567"/>
          <w:tab w:val="left" w:pos="4518"/>
          <w:tab w:val="left" w:pos="6408"/>
        </w:tabs>
        <w:rPr>
          <w:b/>
          <w:sz w:val="22"/>
          <w:szCs w:val="22"/>
          <w:u w:val="single"/>
          <w:lang w:val="sr-Latn-ME"/>
        </w:rPr>
      </w:pPr>
      <w:r w:rsidRPr="007C19A2">
        <w:rPr>
          <w:b/>
          <w:sz w:val="22"/>
          <w:szCs w:val="22"/>
          <w:u w:val="single"/>
          <w:lang w:val="sr-Latn-ME"/>
        </w:rPr>
        <w:t>Omotač kapsule, tvrde:</w:t>
      </w:r>
    </w:p>
    <w:p w14:paraId="70510978" w14:textId="77777777" w:rsidR="005546B3" w:rsidRPr="007C19A2" w:rsidRDefault="005546B3" w:rsidP="005546B3">
      <w:pPr>
        <w:tabs>
          <w:tab w:val="left" w:pos="567"/>
          <w:tab w:val="left" w:pos="4518"/>
          <w:tab w:val="left" w:pos="6408"/>
        </w:tabs>
        <w:rPr>
          <w:sz w:val="22"/>
          <w:szCs w:val="22"/>
          <w:lang w:val="sr-Latn-ME"/>
        </w:rPr>
      </w:pPr>
      <w:r w:rsidRPr="007C19A2">
        <w:rPr>
          <w:sz w:val="22"/>
          <w:szCs w:val="22"/>
          <w:lang w:val="sr-Latn-ME"/>
        </w:rPr>
        <w:t>Želatin</w:t>
      </w:r>
    </w:p>
    <w:p w14:paraId="6FE52645" w14:textId="35C209DF" w:rsidR="005546B3" w:rsidRPr="007C19A2" w:rsidRDefault="005546B3" w:rsidP="005546B3">
      <w:pPr>
        <w:tabs>
          <w:tab w:val="left" w:pos="567"/>
          <w:tab w:val="left" w:pos="4518"/>
          <w:tab w:val="left" w:pos="6408"/>
        </w:tabs>
        <w:autoSpaceDE w:val="0"/>
        <w:rPr>
          <w:sz w:val="22"/>
          <w:szCs w:val="22"/>
          <w:lang w:val="sr-Latn-ME"/>
        </w:rPr>
      </w:pPr>
      <w:r w:rsidRPr="007C19A2">
        <w:rPr>
          <w:sz w:val="22"/>
          <w:szCs w:val="22"/>
          <w:lang w:val="sr-Latn-ME"/>
        </w:rPr>
        <w:t>Titan dioksid (E171)</w:t>
      </w:r>
    </w:p>
    <w:p w14:paraId="44FA11A3"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Gvožđe (III) oksid, žuti (E172)</w:t>
      </w:r>
    </w:p>
    <w:p w14:paraId="772D4190" w14:textId="6AE78452" w:rsidR="005546B3" w:rsidRPr="007C19A2" w:rsidRDefault="005546B3" w:rsidP="005546B3">
      <w:pPr>
        <w:autoSpaceDE w:val="0"/>
        <w:autoSpaceDN w:val="0"/>
        <w:adjustRightInd w:val="0"/>
        <w:rPr>
          <w:sz w:val="22"/>
          <w:szCs w:val="22"/>
          <w:u w:val="single"/>
          <w:lang w:val="sr-Latn-ME"/>
        </w:rPr>
      </w:pPr>
      <w:r w:rsidRPr="007C19A2">
        <w:rPr>
          <w:sz w:val="22"/>
          <w:szCs w:val="22"/>
          <w:lang w:val="sr-Latn-ME"/>
        </w:rPr>
        <w:t>Gvožđe (III) oksid, crveni (E172)</w:t>
      </w:r>
    </w:p>
    <w:p w14:paraId="700906AA" w14:textId="77777777" w:rsidR="00D61731" w:rsidRPr="007C19A2" w:rsidRDefault="00D61731" w:rsidP="005546B3">
      <w:pPr>
        <w:autoSpaceDE w:val="0"/>
        <w:autoSpaceDN w:val="0"/>
        <w:adjustRightInd w:val="0"/>
        <w:rPr>
          <w:i/>
          <w:sz w:val="22"/>
          <w:szCs w:val="22"/>
          <w:lang w:val="sr-Latn-ME"/>
        </w:rPr>
      </w:pPr>
    </w:p>
    <w:p w14:paraId="1E3932B7" w14:textId="1F1126C5" w:rsidR="005546B3" w:rsidRPr="007C19A2" w:rsidRDefault="005546B3" w:rsidP="005546B3">
      <w:pPr>
        <w:autoSpaceDE w:val="0"/>
        <w:autoSpaceDN w:val="0"/>
        <w:adjustRightInd w:val="0"/>
        <w:rPr>
          <w:sz w:val="22"/>
          <w:szCs w:val="22"/>
          <w:lang w:val="sr-Latn-ME"/>
        </w:rPr>
      </w:pPr>
      <w:r w:rsidRPr="007C19A2">
        <w:rPr>
          <w:i/>
          <w:sz w:val="22"/>
          <w:szCs w:val="22"/>
          <w:lang w:val="sr-Latn-ME"/>
        </w:rPr>
        <w:t>Mastilo</w:t>
      </w:r>
    </w:p>
    <w:p w14:paraId="135B64A2"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Šelak glazura (djelimično esterifikovana)</w:t>
      </w:r>
    </w:p>
    <w:p w14:paraId="34305FA3"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lastRenderedPageBreak/>
        <w:t>Gvožđe (III) oksid, crni (E172)</w:t>
      </w:r>
    </w:p>
    <w:p w14:paraId="64F21E7C" w14:textId="313232BB" w:rsidR="005C04A8" w:rsidRPr="007C19A2" w:rsidRDefault="005546B3" w:rsidP="005546B3">
      <w:pPr>
        <w:autoSpaceDE w:val="0"/>
        <w:autoSpaceDN w:val="0"/>
        <w:adjustRightInd w:val="0"/>
        <w:rPr>
          <w:sz w:val="22"/>
          <w:szCs w:val="22"/>
          <w:lang w:val="sr-Latn-ME"/>
        </w:rPr>
      </w:pPr>
      <w:r w:rsidRPr="007C19A2">
        <w:rPr>
          <w:sz w:val="22"/>
          <w:szCs w:val="22"/>
          <w:lang w:val="sr-Latn-ME"/>
        </w:rPr>
        <w:t>Propilen glikol (E1520)</w:t>
      </w:r>
    </w:p>
    <w:p w14:paraId="7FE97925" w14:textId="77777777" w:rsidR="005546B3" w:rsidRPr="007C19A2" w:rsidRDefault="005546B3" w:rsidP="00480FB1">
      <w:pPr>
        <w:tabs>
          <w:tab w:val="left" w:pos="540"/>
          <w:tab w:val="left" w:pos="569"/>
        </w:tabs>
        <w:rPr>
          <w:bCs/>
          <w:sz w:val="22"/>
          <w:szCs w:val="22"/>
          <w:lang w:val="sr-Latn-ME"/>
        </w:rPr>
      </w:pPr>
    </w:p>
    <w:p w14:paraId="176A3C3A"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6.2. </w:t>
      </w:r>
      <w:r w:rsidR="00480FB1" w:rsidRPr="007C19A2">
        <w:rPr>
          <w:b/>
          <w:bCs/>
          <w:sz w:val="22"/>
          <w:szCs w:val="22"/>
          <w:lang w:val="sr-Latn-ME"/>
        </w:rPr>
        <w:tab/>
      </w:r>
      <w:r w:rsidRPr="007C19A2">
        <w:rPr>
          <w:b/>
          <w:bCs/>
          <w:sz w:val="22"/>
          <w:szCs w:val="22"/>
          <w:lang w:val="sr-Latn-ME"/>
        </w:rPr>
        <w:t>Inkompatibilnost</w:t>
      </w:r>
      <w:r w:rsidR="002846DB" w:rsidRPr="007C19A2">
        <w:rPr>
          <w:b/>
          <w:bCs/>
          <w:sz w:val="22"/>
          <w:szCs w:val="22"/>
          <w:lang w:val="sr-Latn-ME"/>
        </w:rPr>
        <w:t>i</w:t>
      </w:r>
    </w:p>
    <w:p w14:paraId="176A3C3B" w14:textId="077445B8" w:rsidR="0072020E" w:rsidRPr="007C19A2" w:rsidRDefault="0072020E" w:rsidP="00480FB1">
      <w:pPr>
        <w:tabs>
          <w:tab w:val="left" w:pos="540"/>
          <w:tab w:val="left" w:pos="569"/>
        </w:tabs>
        <w:rPr>
          <w:bCs/>
          <w:sz w:val="22"/>
          <w:szCs w:val="22"/>
          <w:lang w:val="sr-Latn-ME"/>
        </w:rPr>
      </w:pPr>
    </w:p>
    <w:p w14:paraId="63F57231"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Nije primjenljivo.</w:t>
      </w:r>
    </w:p>
    <w:p w14:paraId="12A34F15" w14:textId="77777777" w:rsidR="005546B3" w:rsidRPr="007C19A2" w:rsidRDefault="005546B3" w:rsidP="00480FB1">
      <w:pPr>
        <w:tabs>
          <w:tab w:val="left" w:pos="540"/>
          <w:tab w:val="left" w:pos="569"/>
        </w:tabs>
        <w:rPr>
          <w:bCs/>
          <w:sz w:val="22"/>
          <w:szCs w:val="22"/>
          <w:lang w:val="sr-Latn-ME"/>
        </w:rPr>
      </w:pPr>
    </w:p>
    <w:p w14:paraId="176A3C3C"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6.3.</w:t>
      </w:r>
      <w:r w:rsidR="00C05DF8" w:rsidRPr="007C19A2">
        <w:rPr>
          <w:b/>
          <w:bCs/>
          <w:sz w:val="22"/>
          <w:szCs w:val="22"/>
          <w:lang w:val="sr-Latn-ME"/>
        </w:rPr>
        <w:t xml:space="preserve"> </w:t>
      </w:r>
      <w:r w:rsidR="00480FB1" w:rsidRPr="007C19A2">
        <w:rPr>
          <w:b/>
          <w:bCs/>
          <w:sz w:val="22"/>
          <w:szCs w:val="22"/>
          <w:lang w:val="sr-Latn-ME"/>
        </w:rPr>
        <w:tab/>
      </w:r>
      <w:r w:rsidRPr="007C19A2">
        <w:rPr>
          <w:b/>
          <w:bCs/>
          <w:sz w:val="22"/>
          <w:szCs w:val="22"/>
          <w:lang w:val="sr-Latn-ME"/>
        </w:rPr>
        <w:t>Rok upotrebe</w:t>
      </w:r>
    </w:p>
    <w:p w14:paraId="5DC3492D" w14:textId="77777777" w:rsidR="007A53F4" w:rsidRPr="007C19A2" w:rsidRDefault="007A53F4" w:rsidP="005546B3">
      <w:pPr>
        <w:autoSpaceDE w:val="0"/>
        <w:autoSpaceDN w:val="0"/>
        <w:adjustRightInd w:val="0"/>
        <w:rPr>
          <w:sz w:val="22"/>
          <w:szCs w:val="22"/>
          <w:lang w:val="sr-Latn-ME"/>
        </w:rPr>
      </w:pPr>
    </w:p>
    <w:p w14:paraId="73FF5CFC" w14:textId="2CF3E4EE" w:rsidR="005546B3" w:rsidRPr="007C19A2" w:rsidRDefault="00FC5DBE" w:rsidP="005546B3">
      <w:pPr>
        <w:autoSpaceDE w:val="0"/>
        <w:autoSpaceDN w:val="0"/>
        <w:adjustRightInd w:val="0"/>
        <w:rPr>
          <w:sz w:val="22"/>
          <w:szCs w:val="22"/>
          <w:lang w:val="sr-Latn-ME"/>
        </w:rPr>
      </w:pPr>
      <w:r w:rsidRPr="007C19A2">
        <w:rPr>
          <w:sz w:val="22"/>
          <w:szCs w:val="22"/>
          <w:lang w:val="sr-Latn-ME"/>
        </w:rPr>
        <w:t xml:space="preserve">5 </w:t>
      </w:r>
      <w:r w:rsidR="005546B3" w:rsidRPr="007C19A2">
        <w:rPr>
          <w:sz w:val="22"/>
          <w:szCs w:val="22"/>
          <w:lang w:val="sr-Latn-ME"/>
        </w:rPr>
        <w:t>godin</w:t>
      </w:r>
      <w:r w:rsidRPr="007C19A2">
        <w:rPr>
          <w:sz w:val="22"/>
          <w:szCs w:val="22"/>
          <w:lang w:val="sr-Latn-ME"/>
        </w:rPr>
        <w:t>a</w:t>
      </w:r>
      <w:r w:rsidR="005546B3" w:rsidRPr="007C19A2">
        <w:rPr>
          <w:sz w:val="22"/>
          <w:szCs w:val="22"/>
          <w:lang w:val="sr-Latn-ME"/>
        </w:rPr>
        <w:t>.</w:t>
      </w:r>
    </w:p>
    <w:p w14:paraId="176A3C3D" w14:textId="77777777" w:rsidR="0072020E" w:rsidRPr="007C19A2" w:rsidRDefault="0072020E" w:rsidP="00480FB1">
      <w:pPr>
        <w:tabs>
          <w:tab w:val="left" w:pos="540"/>
          <w:tab w:val="left" w:pos="569"/>
        </w:tabs>
        <w:rPr>
          <w:bCs/>
          <w:sz w:val="22"/>
          <w:szCs w:val="22"/>
          <w:lang w:val="sr-Latn-ME"/>
        </w:rPr>
      </w:pPr>
    </w:p>
    <w:p w14:paraId="176A3C3E"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6.4. </w:t>
      </w:r>
      <w:r w:rsidR="00480FB1" w:rsidRPr="007C19A2">
        <w:rPr>
          <w:b/>
          <w:bCs/>
          <w:sz w:val="22"/>
          <w:szCs w:val="22"/>
          <w:lang w:val="sr-Latn-ME"/>
        </w:rPr>
        <w:tab/>
      </w:r>
      <w:r w:rsidRPr="007C19A2">
        <w:rPr>
          <w:b/>
          <w:bCs/>
          <w:sz w:val="22"/>
          <w:szCs w:val="22"/>
          <w:lang w:val="sr-Latn-ME"/>
        </w:rPr>
        <w:t>Posebne mjere upozorenja pri čuvanju</w:t>
      </w:r>
      <w:r w:rsidR="00F8570A" w:rsidRPr="007C19A2">
        <w:rPr>
          <w:b/>
          <w:bCs/>
          <w:sz w:val="22"/>
          <w:szCs w:val="22"/>
          <w:lang w:val="sr-Latn-ME"/>
        </w:rPr>
        <w:t xml:space="preserve"> lijeka</w:t>
      </w:r>
    </w:p>
    <w:p w14:paraId="0A545C36" w14:textId="77777777" w:rsidR="005546B3" w:rsidRPr="007C19A2" w:rsidRDefault="005546B3" w:rsidP="005546B3">
      <w:pPr>
        <w:autoSpaceDE w:val="0"/>
        <w:autoSpaceDN w:val="0"/>
        <w:adjustRightInd w:val="0"/>
        <w:rPr>
          <w:sz w:val="22"/>
          <w:szCs w:val="22"/>
          <w:lang w:val="sr-Latn-ME"/>
        </w:rPr>
      </w:pPr>
    </w:p>
    <w:p w14:paraId="61624015" w14:textId="77777777" w:rsidR="005546B3" w:rsidRPr="007C19A2" w:rsidRDefault="005546B3" w:rsidP="005546B3">
      <w:pPr>
        <w:autoSpaceDE w:val="0"/>
        <w:autoSpaceDN w:val="0"/>
        <w:adjustRightInd w:val="0"/>
        <w:rPr>
          <w:sz w:val="22"/>
          <w:szCs w:val="22"/>
          <w:lang w:val="sr-Latn-ME"/>
        </w:rPr>
      </w:pPr>
      <w:r w:rsidRPr="007C19A2">
        <w:rPr>
          <w:sz w:val="22"/>
          <w:szCs w:val="22"/>
          <w:lang w:val="sr-Latn-ME"/>
        </w:rPr>
        <w:t>Lijek ne zahtijeva posebne uslove čuvanja.</w:t>
      </w:r>
    </w:p>
    <w:p w14:paraId="176A3C3F" w14:textId="77777777" w:rsidR="00EC2532" w:rsidRPr="007C19A2" w:rsidRDefault="00EC2532" w:rsidP="00480FB1">
      <w:pPr>
        <w:tabs>
          <w:tab w:val="left" w:pos="540"/>
          <w:tab w:val="left" w:pos="569"/>
        </w:tabs>
        <w:rPr>
          <w:bCs/>
          <w:sz w:val="22"/>
          <w:szCs w:val="22"/>
          <w:lang w:val="sr-Latn-ME"/>
        </w:rPr>
      </w:pPr>
    </w:p>
    <w:p w14:paraId="176A3C40"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6.5. </w:t>
      </w:r>
      <w:r w:rsidR="00480FB1" w:rsidRPr="007C19A2">
        <w:rPr>
          <w:b/>
          <w:bCs/>
          <w:sz w:val="22"/>
          <w:szCs w:val="22"/>
          <w:lang w:val="sr-Latn-ME"/>
        </w:rPr>
        <w:tab/>
      </w:r>
      <w:r w:rsidR="002846DB" w:rsidRPr="007C19A2">
        <w:rPr>
          <w:b/>
          <w:bCs/>
          <w:sz w:val="22"/>
          <w:szCs w:val="22"/>
          <w:lang w:val="sr-Latn-ME"/>
        </w:rPr>
        <w:t xml:space="preserve">Vrsta i sadržaj </w:t>
      </w:r>
      <w:r w:rsidR="00F8570A" w:rsidRPr="007C19A2">
        <w:rPr>
          <w:b/>
          <w:bCs/>
          <w:sz w:val="22"/>
          <w:szCs w:val="22"/>
          <w:lang w:val="sr-Latn-ME"/>
        </w:rPr>
        <w:t>pakovanja</w:t>
      </w:r>
      <w:r w:rsidR="00C06864" w:rsidRPr="007C19A2">
        <w:rPr>
          <w:b/>
          <w:bCs/>
          <w:sz w:val="22"/>
          <w:szCs w:val="22"/>
          <w:lang w:val="sr-Latn-ME"/>
        </w:rPr>
        <w:t xml:space="preserve"> </w:t>
      </w:r>
    </w:p>
    <w:p w14:paraId="176A3C41" w14:textId="7C28D52C" w:rsidR="0072020E" w:rsidRPr="007C19A2" w:rsidRDefault="0072020E" w:rsidP="00480FB1">
      <w:pPr>
        <w:tabs>
          <w:tab w:val="left" w:pos="540"/>
          <w:tab w:val="left" w:pos="569"/>
        </w:tabs>
        <w:rPr>
          <w:bCs/>
          <w:sz w:val="22"/>
          <w:szCs w:val="22"/>
          <w:lang w:val="sr-Latn-ME"/>
        </w:rPr>
      </w:pPr>
    </w:p>
    <w:p w14:paraId="64A47D69" w14:textId="77777777" w:rsidR="007A53F4" w:rsidRPr="007C19A2" w:rsidRDefault="007A53F4" w:rsidP="007A53F4">
      <w:pPr>
        <w:autoSpaceDE w:val="0"/>
        <w:autoSpaceDN w:val="0"/>
        <w:adjustRightInd w:val="0"/>
        <w:rPr>
          <w:color w:val="000000"/>
          <w:sz w:val="22"/>
          <w:szCs w:val="22"/>
          <w:lang w:val="sr-Latn-ME"/>
        </w:rPr>
      </w:pPr>
      <w:r w:rsidRPr="007C19A2">
        <w:rPr>
          <w:color w:val="000000"/>
          <w:sz w:val="22"/>
          <w:szCs w:val="22"/>
          <w:lang w:val="sr-Latn-ME"/>
        </w:rPr>
        <w:t xml:space="preserve">Unutrašnje pakovanje je Al/Al blister koji sadrži jednu kapsulu, tvrdu. </w:t>
      </w:r>
    </w:p>
    <w:p w14:paraId="156C1949" w14:textId="57D678E7" w:rsidR="007A53F4" w:rsidRPr="007C19A2" w:rsidRDefault="007A53F4" w:rsidP="007A53F4">
      <w:pPr>
        <w:autoSpaceDE w:val="0"/>
        <w:autoSpaceDN w:val="0"/>
        <w:adjustRightInd w:val="0"/>
        <w:rPr>
          <w:color w:val="000000"/>
          <w:sz w:val="22"/>
          <w:szCs w:val="22"/>
          <w:lang w:val="sr-Latn-ME"/>
        </w:rPr>
      </w:pPr>
      <w:r w:rsidRPr="007C19A2">
        <w:rPr>
          <w:color w:val="000000"/>
          <w:sz w:val="22"/>
          <w:szCs w:val="22"/>
          <w:lang w:val="sr-Latn-ME"/>
        </w:rPr>
        <w:t xml:space="preserve">Spoljašnje pakovanje je složiva kartonska kutija u kojoj se nalazi jedan blister i </w:t>
      </w:r>
      <w:r w:rsidR="005C04A8" w:rsidRPr="007C19A2">
        <w:rPr>
          <w:color w:val="000000"/>
          <w:sz w:val="22"/>
          <w:szCs w:val="22"/>
          <w:lang w:val="sr-Latn-ME"/>
        </w:rPr>
        <w:t>U</w:t>
      </w:r>
      <w:r w:rsidRPr="007C19A2">
        <w:rPr>
          <w:color w:val="000000"/>
          <w:sz w:val="22"/>
          <w:szCs w:val="22"/>
          <w:lang w:val="sr-Latn-ME"/>
        </w:rPr>
        <w:t>putstvo za lijek.</w:t>
      </w:r>
    </w:p>
    <w:p w14:paraId="1FD40DB2" w14:textId="77777777" w:rsidR="007A53F4" w:rsidRPr="007C19A2" w:rsidRDefault="007A53F4" w:rsidP="007A53F4">
      <w:pPr>
        <w:tabs>
          <w:tab w:val="left" w:pos="540"/>
          <w:tab w:val="left" w:pos="569"/>
        </w:tabs>
        <w:rPr>
          <w:bCs/>
          <w:sz w:val="22"/>
          <w:szCs w:val="22"/>
          <w:lang w:val="sr-Latn-ME"/>
        </w:rPr>
      </w:pPr>
    </w:p>
    <w:p w14:paraId="176A3C42" w14:textId="77777777" w:rsidR="002846DB"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6.6. </w:t>
      </w:r>
      <w:r w:rsidR="00480FB1" w:rsidRPr="007C19A2">
        <w:rPr>
          <w:b/>
          <w:bCs/>
          <w:sz w:val="22"/>
          <w:szCs w:val="22"/>
          <w:lang w:val="sr-Latn-ME"/>
        </w:rPr>
        <w:tab/>
      </w:r>
      <w:r w:rsidRPr="007C19A2">
        <w:rPr>
          <w:b/>
          <w:bCs/>
          <w:color w:val="000000"/>
          <w:sz w:val="22"/>
          <w:szCs w:val="22"/>
          <w:lang w:val="sr-Latn-ME"/>
        </w:rPr>
        <w:t>Posebne mjere opreza pri odlaganju materijala koji treba odbaciti nakon primjene lijeka</w:t>
      </w:r>
      <w:r w:rsidRPr="007C19A2">
        <w:rPr>
          <w:b/>
          <w:bCs/>
          <w:sz w:val="22"/>
          <w:szCs w:val="22"/>
          <w:lang w:val="sr-Latn-ME"/>
        </w:rPr>
        <w:t xml:space="preserve"> </w:t>
      </w:r>
      <w:r w:rsidR="00310F03" w:rsidRPr="007C19A2">
        <w:rPr>
          <w:b/>
          <w:bCs/>
          <w:sz w:val="22"/>
          <w:szCs w:val="22"/>
          <w:lang w:val="sr-Latn-ME"/>
        </w:rPr>
        <w:t>(i druga uputs</w:t>
      </w:r>
      <w:r w:rsidR="004109FA" w:rsidRPr="007C19A2">
        <w:rPr>
          <w:b/>
          <w:bCs/>
          <w:sz w:val="22"/>
          <w:szCs w:val="22"/>
          <w:lang w:val="sr-Latn-ME"/>
        </w:rPr>
        <w:t>t</w:t>
      </w:r>
      <w:r w:rsidR="00310F03" w:rsidRPr="007C19A2">
        <w:rPr>
          <w:b/>
          <w:bCs/>
          <w:sz w:val="22"/>
          <w:szCs w:val="22"/>
          <w:lang w:val="sr-Latn-ME"/>
        </w:rPr>
        <w:t xml:space="preserve">va za rukovanje lijekom) </w:t>
      </w:r>
    </w:p>
    <w:p w14:paraId="670F191F" w14:textId="77777777" w:rsidR="007A53F4" w:rsidRPr="007C19A2" w:rsidRDefault="007A53F4" w:rsidP="007A53F4">
      <w:pPr>
        <w:autoSpaceDE w:val="0"/>
        <w:autoSpaceDN w:val="0"/>
        <w:adjustRightInd w:val="0"/>
        <w:rPr>
          <w:sz w:val="22"/>
          <w:szCs w:val="22"/>
          <w:lang w:val="sr-Latn-ME"/>
        </w:rPr>
      </w:pPr>
    </w:p>
    <w:p w14:paraId="43C8F22F" w14:textId="0A1F1FAE" w:rsidR="007A53F4" w:rsidRPr="007C19A2" w:rsidRDefault="007A53F4" w:rsidP="007A53F4">
      <w:pPr>
        <w:autoSpaceDE w:val="0"/>
        <w:autoSpaceDN w:val="0"/>
        <w:adjustRightInd w:val="0"/>
        <w:rPr>
          <w:sz w:val="22"/>
          <w:szCs w:val="22"/>
          <w:lang w:val="sr-Latn-ME"/>
        </w:rPr>
      </w:pPr>
      <w:r w:rsidRPr="007C19A2">
        <w:rPr>
          <w:sz w:val="22"/>
          <w:szCs w:val="22"/>
          <w:lang w:val="sr-Latn-ME"/>
        </w:rPr>
        <w:t xml:space="preserve">Neupotrijebljeni lijek ili ostatak lijeka se uništava u skladu sa važećim propisima. </w:t>
      </w:r>
    </w:p>
    <w:p w14:paraId="176A3C43" w14:textId="77777777" w:rsidR="00B66A70" w:rsidRPr="007C19A2" w:rsidRDefault="00B66A70" w:rsidP="00480FB1">
      <w:pPr>
        <w:tabs>
          <w:tab w:val="left" w:pos="540"/>
          <w:tab w:val="left" w:pos="569"/>
        </w:tabs>
        <w:rPr>
          <w:b/>
          <w:bCs/>
          <w:sz w:val="22"/>
          <w:szCs w:val="22"/>
          <w:lang w:val="sr-Latn-ME"/>
        </w:rPr>
      </w:pPr>
    </w:p>
    <w:p w14:paraId="176A3C44" w14:textId="77777777" w:rsidR="0072020E" w:rsidRPr="007C19A2" w:rsidRDefault="0072020E" w:rsidP="00480FB1">
      <w:pPr>
        <w:tabs>
          <w:tab w:val="left" w:pos="540"/>
          <w:tab w:val="left" w:pos="569"/>
        </w:tabs>
        <w:rPr>
          <w:bCs/>
          <w:sz w:val="22"/>
          <w:szCs w:val="22"/>
          <w:lang w:val="sr-Latn-ME"/>
        </w:rPr>
      </w:pPr>
    </w:p>
    <w:p w14:paraId="176A3C45" w14:textId="77777777" w:rsidR="00F8570A"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7. </w:t>
      </w:r>
      <w:r w:rsidR="00480FB1" w:rsidRPr="007C19A2">
        <w:rPr>
          <w:b/>
          <w:bCs/>
          <w:sz w:val="22"/>
          <w:szCs w:val="22"/>
          <w:lang w:val="sr-Latn-ME"/>
        </w:rPr>
        <w:tab/>
      </w:r>
      <w:r w:rsidRPr="007C19A2">
        <w:rPr>
          <w:b/>
          <w:bCs/>
          <w:sz w:val="22"/>
          <w:szCs w:val="22"/>
          <w:lang w:val="sr-Latn-ME"/>
        </w:rPr>
        <w:t>NOSILAC DOZVOLE</w:t>
      </w:r>
      <w:r w:rsidR="00483928" w:rsidRPr="007C19A2">
        <w:rPr>
          <w:b/>
          <w:bCs/>
          <w:sz w:val="22"/>
          <w:szCs w:val="22"/>
          <w:lang w:val="sr-Latn-ME"/>
        </w:rPr>
        <w:t xml:space="preserve"> </w:t>
      </w:r>
    </w:p>
    <w:p w14:paraId="7436225C" w14:textId="77777777" w:rsidR="007A53F4" w:rsidRPr="007C19A2" w:rsidRDefault="007A53F4" w:rsidP="007A53F4">
      <w:pPr>
        <w:tabs>
          <w:tab w:val="left" w:pos="540"/>
          <w:tab w:val="left" w:pos="569"/>
        </w:tabs>
        <w:rPr>
          <w:bCs/>
          <w:sz w:val="22"/>
          <w:szCs w:val="22"/>
          <w:lang w:val="sr-Latn-ME"/>
        </w:rPr>
      </w:pPr>
    </w:p>
    <w:p w14:paraId="3AE996AB" w14:textId="7B25CCFE" w:rsidR="007A53F4" w:rsidRPr="007C19A2" w:rsidRDefault="007A53F4" w:rsidP="007A53F4">
      <w:pPr>
        <w:tabs>
          <w:tab w:val="left" w:pos="540"/>
          <w:tab w:val="left" w:pos="569"/>
        </w:tabs>
        <w:rPr>
          <w:bCs/>
          <w:sz w:val="22"/>
          <w:szCs w:val="22"/>
          <w:lang w:val="sr-Latn-ME"/>
        </w:rPr>
      </w:pPr>
      <w:r w:rsidRPr="007C19A2">
        <w:rPr>
          <w:bCs/>
          <w:sz w:val="22"/>
          <w:szCs w:val="22"/>
          <w:lang w:val="sr-Latn-ME"/>
        </w:rPr>
        <w:t>PharmaSwiss - Montenegro, PharmaSwiss doo Beograd, dio stranog društva u Podgorici</w:t>
      </w:r>
    </w:p>
    <w:p w14:paraId="2E45F0EB" w14:textId="77777777" w:rsidR="007A53F4" w:rsidRPr="007C19A2" w:rsidRDefault="007A53F4" w:rsidP="007A53F4">
      <w:pPr>
        <w:tabs>
          <w:tab w:val="left" w:pos="540"/>
          <w:tab w:val="left" w:pos="569"/>
        </w:tabs>
        <w:rPr>
          <w:bCs/>
          <w:sz w:val="22"/>
          <w:szCs w:val="22"/>
          <w:lang w:val="sr-Latn-ME"/>
        </w:rPr>
      </w:pPr>
      <w:r w:rsidRPr="007C19A2">
        <w:rPr>
          <w:bCs/>
          <w:sz w:val="22"/>
          <w:szCs w:val="22"/>
          <w:lang w:val="sr-Latn-ME"/>
        </w:rPr>
        <w:t>Rimski trg br. 16, Podgorica, Crna Gora</w:t>
      </w:r>
    </w:p>
    <w:p w14:paraId="176A3C46" w14:textId="77777777" w:rsidR="00C61BE0" w:rsidRPr="007C19A2" w:rsidRDefault="00C61BE0" w:rsidP="00480FB1">
      <w:pPr>
        <w:tabs>
          <w:tab w:val="left" w:pos="540"/>
          <w:tab w:val="left" w:pos="569"/>
        </w:tabs>
        <w:rPr>
          <w:bCs/>
          <w:sz w:val="22"/>
          <w:szCs w:val="22"/>
          <w:lang w:val="sr-Latn-ME"/>
        </w:rPr>
      </w:pPr>
    </w:p>
    <w:p w14:paraId="176A3C47" w14:textId="77777777" w:rsidR="00C37FD7" w:rsidRPr="007C19A2" w:rsidRDefault="00C37FD7" w:rsidP="00480FB1">
      <w:pPr>
        <w:tabs>
          <w:tab w:val="left" w:pos="540"/>
          <w:tab w:val="left" w:pos="569"/>
        </w:tabs>
        <w:rPr>
          <w:bCs/>
          <w:sz w:val="22"/>
          <w:szCs w:val="22"/>
          <w:lang w:val="sr-Latn-ME"/>
        </w:rPr>
      </w:pPr>
    </w:p>
    <w:p w14:paraId="176A3C48"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8. </w:t>
      </w:r>
      <w:r w:rsidR="00480FB1" w:rsidRPr="007C19A2">
        <w:rPr>
          <w:b/>
          <w:bCs/>
          <w:sz w:val="22"/>
          <w:szCs w:val="22"/>
          <w:lang w:val="sr-Latn-ME"/>
        </w:rPr>
        <w:tab/>
      </w:r>
      <w:r w:rsidRPr="007C19A2">
        <w:rPr>
          <w:b/>
          <w:bCs/>
          <w:sz w:val="22"/>
          <w:szCs w:val="22"/>
          <w:lang w:val="sr-Latn-ME"/>
        </w:rPr>
        <w:t>BROJ DOZVOLE</w:t>
      </w:r>
      <w:r w:rsidR="008A6D43" w:rsidRPr="007C19A2">
        <w:rPr>
          <w:b/>
          <w:bCs/>
          <w:sz w:val="22"/>
          <w:szCs w:val="22"/>
          <w:lang w:val="sr-Latn-ME"/>
        </w:rPr>
        <w:t xml:space="preserve"> ZA STAVLJANJE LIJEKA U PROMET</w:t>
      </w:r>
    </w:p>
    <w:p w14:paraId="176A3C4A" w14:textId="4119BA9A" w:rsidR="00F45F77" w:rsidRPr="007C19A2" w:rsidRDefault="00F45F77" w:rsidP="00480FB1">
      <w:pPr>
        <w:tabs>
          <w:tab w:val="left" w:pos="540"/>
          <w:tab w:val="left" w:pos="569"/>
        </w:tabs>
        <w:rPr>
          <w:bCs/>
          <w:sz w:val="22"/>
          <w:szCs w:val="22"/>
          <w:lang w:val="sr-Latn-ME"/>
        </w:rPr>
      </w:pPr>
    </w:p>
    <w:p w14:paraId="13186EB4" w14:textId="3FB4BDBF" w:rsidR="007A53F4" w:rsidRPr="007C19A2" w:rsidRDefault="007C19A2" w:rsidP="00480FB1">
      <w:pPr>
        <w:tabs>
          <w:tab w:val="left" w:pos="540"/>
          <w:tab w:val="left" w:pos="569"/>
        </w:tabs>
        <w:rPr>
          <w:bCs/>
          <w:sz w:val="22"/>
          <w:szCs w:val="22"/>
          <w:lang w:val="sr-Latn-ME"/>
        </w:rPr>
      </w:pPr>
      <w:r w:rsidRPr="007C19A2">
        <w:rPr>
          <w:bCs/>
          <w:sz w:val="22"/>
          <w:szCs w:val="22"/>
          <w:lang w:val="sr-Latn-ME"/>
        </w:rPr>
        <w:t xml:space="preserve">2030/25/2888 </w:t>
      </w:r>
      <w:r>
        <w:rPr>
          <w:bCs/>
          <w:sz w:val="22"/>
          <w:szCs w:val="22"/>
          <w:lang w:val="sr-Latn-ME"/>
        </w:rPr>
        <w:t>-</w:t>
      </w:r>
      <w:r w:rsidRPr="007C19A2">
        <w:rPr>
          <w:bCs/>
          <w:sz w:val="22"/>
          <w:szCs w:val="22"/>
          <w:lang w:val="sr-Latn-ME"/>
        </w:rPr>
        <w:t xml:space="preserve"> 6664</w:t>
      </w:r>
    </w:p>
    <w:p w14:paraId="1C84DD88" w14:textId="4CFEF8AC" w:rsidR="007C19A2" w:rsidRPr="007C19A2" w:rsidRDefault="007C19A2" w:rsidP="00480FB1">
      <w:pPr>
        <w:tabs>
          <w:tab w:val="left" w:pos="540"/>
          <w:tab w:val="left" w:pos="569"/>
        </w:tabs>
        <w:rPr>
          <w:bCs/>
          <w:sz w:val="22"/>
          <w:szCs w:val="22"/>
          <w:lang w:val="sr-Latn-ME"/>
        </w:rPr>
      </w:pPr>
    </w:p>
    <w:p w14:paraId="6C96B58C" w14:textId="77777777" w:rsidR="007C19A2" w:rsidRPr="007C19A2" w:rsidRDefault="007C19A2" w:rsidP="00480FB1">
      <w:pPr>
        <w:tabs>
          <w:tab w:val="left" w:pos="540"/>
          <w:tab w:val="left" w:pos="569"/>
        </w:tabs>
        <w:rPr>
          <w:bCs/>
          <w:sz w:val="22"/>
          <w:szCs w:val="22"/>
          <w:lang w:val="sr-Latn-ME"/>
        </w:rPr>
      </w:pPr>
    </w:p>
    <w:p w14:paraId="176A3C4B" w14:textId="77777777" w:rsidR="0072020E" w:rsidRPr="007C19A2" w:rsidRDefault="0072020E" w:rsidP="00480FB1">
      <w:pPr>
        <w:tabs>
          <w:tab w:val="left" w:pos="540"/>
          <w:tab w:val="left" w:pos="569"/>
        </w:tabs>
        <w:rPr>
          <w:b/>
          <w:bCs/>
          <w:sz w:val="22"/>
          <w:szCs w:val="22"/>
          <w:lang w:val="sr-Latn-ME"/>
        </w:rPr>
      </w:pPr>
      <w:r w:rsidRPr="007C19A2">
        <w:rPr>
          <w:b/>
          <w:bCs/>
          <w:sz w:val="22"/>
          <w:szCs w:val="22"/>
          <w:lang w:val="sr-Latn-ME"/>
        </w:rPr>
        <w:t xml:space="preserve">9. </w:t>
      </w:r>
      <w:r w:rsidR="00480FB1" w:rsidRPr="007C19A2">
        <w:rPr>
          <w:b/>
          <w:bCs/>
          <w:sz w:val="22"/>
          <w:szCs w:val="22"/>
          <w:lang w:val="sr-Latn-ME"/>
        </w:rPr>
        <w:tab/>
      </w:r>
      <w:r w:rsidRPr="007C19A2">
        <w:rPr>
          <w:b/>
          <w:bCs/>
          <w:sz w:val="22"/>
          <w:szCs w:val="22"/>
          <w:lang w:val="sr-Latn-ME"/>
        </w:rPr>
        <w:t xml:space="preserve">DATUM </w:t>
      </w:r>
      <w:r w:rsidR="00C05DF8" w:rsidRPr="007C19A2">
        <w:rPr>
          <w:b/>
          <w:bCs/>
          <w:sz w:val="22"/>
          <w:szCs w:val="22"/>
          <w:lang w:val="sr-Latn-ME"/>
        </w:rPr>
        <w:t xml:space="preserve">PRVE </w:t>
      </w:r>
      <w:r w:rsidR="008A6D43" w:rsidRPr="007C19A2">
        <w:rPr>
          <w:b/>
          <w:bCs/>
          <w:sz w:val="22"/>
          <w:szCs w:val="22"/>
          <w:lang w:val="sr-Latn-ME"/>
        </w:rPr>
        <w:t>DOZVOLE</w:t>
      </w:r>
      <w:r w:rsidR="00C05DF8" w:rsidRPr="007C19A2">
        <w:rPr>
          <w:b/>
          <w:bCs/>
          <w:sz w:val="22"/>
          <w:szCs w:val="22"/>
          <w:lang w:val="sr-Latn-ME"/>
        </w:rPr>
        <w:t>/OBNOVE DOZVOLE</w:t>
      </w:r>
      <w:r w:rsidR="008A6D43" w:rsidRPr="007C19A2">
        <w:rPr>
          <w:b/>
          <w:bCs/>
          <w:sz w:val="22"/>
          <w:szCs w:val="22"/>
          <w:lang w:val="sr-Latn-ME"/>
        </w:rPr>
        <w:t xml:space="preserve"> ZA STAVLJANJE LIJEKA U PROMET</w:t>
      </w:r>
    </w:p>
    <w:p w14:paraId="176A3C4C" w14:textId="77777777" w:rsidR="0072020E" w:rsidRPr="007C19A2" w:rsidRDefault="0072020E" w:rsidP="00480FB1">
      <w:pPr>
        <w:tabs>
          <w:tab w:val="left" w:pos="540"/>
          <w:tab w:val="left" w:pos="569"/>
        </w:tabs>
        <w:rPr>
          <w:bCs/>
          <w:sz w:val="22"/>
          <w:szCs w:val="22"/>
          <w:lang w:val="sr-Latn-ME"/>
        </w:rPr>
      </w:pPr>
    </w:p>
    <w:p w14:paraId="61FCAFA8" w14:textId="5D31C2FF" w:rsidR="007A53F4" w:rsidRPr="007C19A2" w:rsidRDefault="00603C1A" w:rsidP="007A53F4">
      <w:pPr>
        <w:rPr>
          <w:sz w:val="22"/>
          <w:szCs w:val="22"/>
          <w:lang w:val="sr-Latn-ME"/>
        </w:rPr>
      </w:pPr>
      <w:r w:rsidRPr="007C19A2">
        <w:rPr>
          <w:sz w:val="22"/>
          <w:szCs w:val="22"/>
          <w:lang w:val="sr-Latn-ME"/>
        </w:rPr>
        <w:t xml:space="preserve">Datum prve dozvole: </w:t>
      </w:r>
      <w:r w:rsidR="007A53F4" w:rsidRPr="007C19A2">
        <w:rPr>
          <w:sz w:val="22"/>
          <w:szCs w:val="22"/>
          <w:lang w:val="sr-Latn-ME"/>
        </w:rPr>
        <w:t>11.10.2017. godine</w:t>
      </w:r>
    </w:p>
    <w:p w14:paraId="176A3C4D" w14:textId="5E6D7396" w:rsidR="00836B35" w:rsidRPr="007C19A2" w:rsidRDefault="00603C1A" w:rsidP="00480FB1">
      <w:pPr>
        <w:tabs>
          <w:tab w:val="left" w:pos="540"/>
          <w:tab w:val="left" w:pos="569"/>
        </w:tabs>
        <w:rPr>
          <w:bCs/>
          <w:sz w:val="22"/>
          <w:szCs w:val="22"/>
          <w:lang w:val="sr-Latn-ME"/>
        </w:rPr>
      </w:pPr>
      <w:r w:rsidRPr="007C19A2">
        <w:rPr>
          <w:bCs/>
          <w:sz w:val="22"/>
          <w:szCs w:val="22"/>
          <w:lang w:val="sr-Latn-ME"/>
        </w:rPr>
        <w:t>Datum posljednje obnove dozvole:</w:t>
      </w:r>
      <w:r w:rsidR="007C19A2" w:rsidRPr="007C19A2">
        <w:rPr>
          <w:bCs/>
          <w:sz w:val="22"/>
          <w:szCs w:val="22"/>
          <w:lang w:val="sr-Latn-ME"/>
        </w:rPr>
        <w:t xml:space="preserve"> 21.08.2025. godine</w:t>
      </w:r>
    </w:p>
    <w:p w14:paraId="29DC18F5" w14:textId="77777777" w:rsidR="00603C1A" w:rsidRPr="007C19A2" w:rsidRDefault="00603C1A" w:rsidP="00480FB1">
      <w:pPr>
        <w:tabs>
          <w:tab w:val="left" w:pos="540"/>
          <w:tab w:val="left" w:pos="569"/>
        </w:tabs>
        <w:rPr>
          <w:bCs/>
          <w:sz w:val="22"/>
          <w:szCs w:val="22"/>
          <w:lang w:val="sr-Latn-ME"/>
        </w:rPr>
      </w:pPr>
    </w:p>
    <w:p w14:paraId="0FA4E0DB" w14:textId="77777777" w:rsidR="007A53F4" w:rsidRPr="007C19A2" w:rsidRDefault="007A53F4" w:rsidP="00480FB1">
      <w:pPr>
        <w:tabs>
          <w:tab w:val="left" w:pos="540"/>
          <w:tab w:val="left" w:pos="569"/>
        </w:tabs>
        <w:rPr>
          <w:bCs/>
          <w:sz w:val="22"/>
          <w:szCs w:val="22"/>
          <w:lang w:val="sr-Latn-ME"/>
        </w:rPr>
      </w:pPr>
    </w:p>
    <w:p w14:paraId="176A3C4E" w14:textId="77777777" w:rsidR="003F6A59" w:rsidRPr="007C19A2" w:rsidRDefault="0072020E" w:rsidP="00C05DF8">
      <w:pPr>
        <w:tabs>
          <w:tab w:val="left" w:pos="540"/>
          <w:tab w:val="left" w:pos="569"/>
        </w:tabs>
        <w:ind w:left="540" w:hanging="540"/>
        <w:rPr>
          <w:bCs/>
          <w:sz w:val="22"/>
          <w:szCs w:val="22"/>
          <w:lang w:val="sr-Latn-ME"/>
        </w:rPr>
      </w:pPr>
      <w:r w:rsidRPr="007C19A2">
        <w:rPr>
          <w:b/>
          <w:bCs/>
          <w:sz w:val="22"/>
          <w:szCs w:val="22"/>
          <w:lang w:val="sr-Latn-ME"/>
        </w:rPr>
        <w:t xml:space="preserve">10. </w:t>
      </w:r>
      <w:r w:rsidR="00480FB1" w:rsidRPr="007C19A2">
        <w:rPr>
          <w:b/>
          <w:bCs/>
          <w:sz w:val="22"/>
          <w:szCs w:val="22"/>
          <w:lang w:val="sr-Latn-ME"/>
        </w:rPr>
        <w:tab/>
      </w:r>
      <w:r w:rsidR="002846DB" w:rsidRPr="007C19A2">
        <w:rPr>
          <w:b/>
          <w:bCs/>
          <w:sz w:val="22"/>
          <w:szCs w:val="22"/>
          <w:lang w:val="sr-Latn-ME"/>
        </w:rPr>
        <w:t>D</w:t>
      </w:r>
      <w:r w:rsidR="00EC2532" w:rsidRPr="007C19A2">
        <w:rPr>
          <w:b/>
          <w:bCs/>
          <w:sz w:val="22"/>
          <w:szCs w:val="22"/>
          <w:lang w:val="sr-Latn-ME"/>
        </w:rPr>
        <w:t xml:space="preserve">ATUM REVIZIJE TEKSTA </w:t>
      </w:r>
    </w:p>
    <w:p w14:paraId="176A3C57" w14:textId="615FBEC7" w:rsidR="003F6A59" w:rsidRPr="007C19A2" w:rsidRDefault="003F6A59" w:rsidP="00DE3F5C">
      <w:pPr>
        <w:rPr>
          <w:sz w:val="22"/>
          <w:szCs w:val="22"/>
          <w:lang w:val="sr-Latn-ME"/>
        </w:rPr>
      </w:pPr>
    </w:p>
    <w:p w14:paraId="3126B727" w14:textId="2D909A18" w:rsidR="007C19A2" w:rsidRPr="007C19A2" w:rsidRDefault="007C19A2" w:rsidP="00DE3F5C">
      <w:pPr>
        <w:rPr>
          <w:sz w:val="22"/>
          <w:szCs w:val="22"/>
          <w:lang w:val="sr-Latn-ME"/>
        </w:rPr>
      </w:pPr>
      <w:r w:rsidRPr="007C19A2">
        <w:rPr>
          <w:sz w:val="22"/>
          <w:szCs w:val="22"/>
          <w:lang w:val="sr-Latn-ME"/>
        </w:rPr>
        <w:t>Avgust, 2025. godine</w:t>
      </w:r>
    </w:p>
    <w:sectPr w:rsidR="007C19A2" w:rsidRPr="007C19A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41A8" w14:textId="77777777" w:rsidR="003432DA" w:rsidRDefault="003432DA">
      <w:r>
        <w:separator/>
      </w:r>
    </w:p>
  </w:endnote>
  <w:endnote w:type="continuationSeparator" w:id="0">
    <w:p w14:paraId="0D37CBDB" w14:textId="77777777" w:rsidR="003432DA" w:rsidRDefault="0034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MT">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3C5E" w14:textId="0BB1766A" w:rsidR="00603C1A" w:rsidRPr="00B23F69" w:rsidRDefault="00603C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05BCC">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05BCC">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B793" w14:textId="77777777" w:rsidR="003432DA" w:rsidRDefault="003432DA">
      <w:r>
        <w:separator/>
      </w:r>
    </w:p>
  </w:footnote>
  <w:footnote w:type="continuationSeparator" w:id="0">
    <w:p w14:paraId="285DAB60" w14:textId="77777777" w:rsidR="003432DA" w:rsidRDefault="0034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AAA"/>
    <w:rsid w:val="00057BF6"/>
    <w:rsid w:val="00057E35"/>
    <w:rsid w:val="0007292A"/>
    <w:rsid w:val="000744B4"/>
    <w:rsid w:val="00076726"/>
    <w:rsid w:val="00080303"/>
    <w:rsid w:val="000938A5"/>
    <w:rsid w:val="000A3F58"/>
    <w:rsid w:val="000B7EAE"/>
    <w:rsid w:val="000D2343"/>
    <w:rsid w:val="000D3449"/>
    <w:rsid w:val="000D425A"/>
    <w:rsid w:val="000D4428"/>
    <w:rsid w:val="000D60CC"/>
    <w:rsid w:val="000E2084"/>
    <w:rsid w:val="000E6F55"/>
    <w:rsid w:val="000F77FA"/>
    <w:rsid w:val="00107BF7"/>
    <w:rsid w:val="00110009"/>
    <w:rsid w:val="00124880"/>
    <w:rsid w:val="00126F53"/>
    <w:rsid w:val="0014766D"/>
    <w:rsid w:val="00152566"/>
    <w:rsid w:val="001536CC"/>
    <w:rsid w:val="00170ED0"/>
    <w:rsid w:val="00176F34"/>
    <w:rsid w:val="001940A3"/>
    <w:rsid w:val="001A3FBA"/>
    <w:rsid w:val="001A5518"/>
    <w:rsid w:val="001B1C6A"/>
    <w:rsid w:val="001B3EC8"/>
    <w:rsid w:val="001B3F65"/>
    <w:rsid w:val="001C1263"/>
    <w:rsid w:val="001C1417"/>
    <w:rsid w:val="001D56B5"/>
    <w:rsid w:val="001E390B"/>
    <w:rsid w:val="001F42FB"/>
    <w:rsid w:val="001F719A"/>
    <w:rsid w:val="002031B3"/>
    <w:rsid w:val="00215931"/>
    <w:rsid w:val="002209FC"/>
    <w:rsid w:val="00224C91"/>
    <w:rsid w:val="00227BDB"/>
    <w:rsid w:val="002300AB"/>
    <w:rsid w:val="00234CB1"/>
    <w:rsid w:val="002352F8"/>
    <w:rsid w:val="002503F0"/>
    <w:rsid w:val="002510A5"/>
    <w:rsid w:val="00254A0A"/>
    <w:rsid w:val="00263610"/>
    <w:rsid w:val="00266046"/>
    <w:rsid w:val="002846DB"/>
    <w:rsid w:val="00284CCD"/>
    <w:rsid w:val="002B63E9"/>
    <w:rsid w:val="002C10CB"/>
    <w:rsid w:val="002C6637"/>
    <w:rsid w:val="002D52C0"/>
    <w:rsid w:val="002E0135"/>
    <w:rsid w:val="002E137B"/>
    <w:rsid w:val="002E37A5"/>
    <w:rsid w:val="002F0044"/>
    <w:rsid w:val="002F5087"/>
    <w:rsid w:val="00310F03"/>
    <w:rsid w:val="003121E2"/>
    <w:rsid w:val="003247D2"/>
    <w:rsid w:val="00330615"/>
    <w:rsid w:val="003432DA"/>
    <w:rsid w:val="003445C1"/>
    <w:rsid w:val="0034503B"/>
    <w:rsid w:val="00355B61"/>
    <w:rsid w:val="00361676"/>
    <w:rsid w:val="00361F6D"/>
    <w:rsid w:val="00362686"/>
    <w:rsid w:val="00371510"/>
    <w:rsid w:val="00396DFD"/>
    <w:rsid w:val="003A0F2F"/>
    <w:rsid w:val="003A7059"/>
    <w:rsid w:val="003B707F"/>
    <w:rsid w:val="003B7A36"/>
    <w:rsid w:val="003C17AB"/>
    <w:rsid w:val="003C7823"/>
    <w:rsid w:val="003E0A5B"/>
    <w:rsid w:val="003E1DCC"/>
    <w:rsid w:val="003E359F"/>
    <w:rsid w:val="003F11A1"/>
    <w:rsid w:val="003F6A59"/>
    <w:rsid w:val="004065C8"/>
    <w:rsid w:val="004109FA"/>
    <w:rsid w:val="00411B4B"/>
    <w:rsid w:val="00415BEE"/>
    <w:rsid w:val="00427F85"/>
    <w:rsid w:val="00430DC4"/>
    <w:rsid w:val="004313DB"/>
    <w:rsid w:val="00436F42"/>
    <w:rsid w:val="004378B4"/>
    <w:rsid w:val="00447E60"/>
    <w:rsid w:val="00451314"/>
    <w:rsid w:val="00452E9D"/>
    <w:rsid w:val="004534C7"/>
    <w:rsid w:val="00465177"/>
    <w:rsid w:val="00466839"/>
    <w:rsid w:val="004671AA"/>
    <w:rsid w:val="00474FAC"/>
    <w:rsid w:val="00480FB1"/>
    <w:rsid w:val="00483928"/>
    <w:rsid w:val="0049002B"/>
    <w:rsid w:val="004955FE"/>
    <w:rsid w:val="004B5170"/>
    <w:rsid w:val="004C331F"/>
    <w:rsid w:val="004D30B0"/>
    <w:rsid w:val="004D6103"/>
    <w:rsid w:val="004E3BCE"/>
    <w:rsid w:val="004E70AD"/>
    <w:rsid w:val="004F0E97"/>
    <w:rsid w:val="004F55B0"/>
    <w:rsid w:val="004F6EE8"/>
    <w:rsid w:val="00501DD1"/>
    <w:rsid w:val="0050720A"/>
    <w:rsid w:val="00515C21"/>
    <w:rsid w:val="00530BD7"/>
    <w:rsid w:val="00545CD2"/>
    <w:rsid w:val="005476F3"/>
    <w:rsid w:val="005505A6"/>
    <w:rsid w:val="005546B3"/>
    <w:rsid w:val="00572527"/>
    <w:rsid w:val="00573292"/>
    <w:rsid w:val="00573E40"/>
    <w:rsid w:val="00576348"/>
    <w:rsid w:val="005A0B2E"/>
    <w:rsid w:val="005A23D2"/>
    <w:rsid w:val="005A36CB"/>
    <w:rsid w:val="005B16C5"/>
    <w:rsid w:val="005B49B8"/>
    <w:rsid w:val="005C04A8"/>
    <w:rsid w:val="005C0741"/>
    <w:rsid w:val="005C5EF4"/>
    <w:rsid w:val="005E2E0B"/>
    <w:rsid w:val="005E7A7D"/>
    <w:rsid w:val="00602457"/>
    <w:rsid w:val="00603C1A"/>
    <w:rsid w:val="00630751"/>
    <w:rsid w:val="0064188E"/>
    <w:rsid w:val="00644258"/>
    <w:rsid w:val="00644FC3"/>
    <w:rsid w:val="00646BD1"/>
    <w:rsid w:val="006561C2"/>
    <w:rsid w:val="00666954"/>
    <w:rsid w:val="00671CB3"/>
    <w:rsid w:val="00674BAF"/>
    <w:rsid w:val="00682200"/>
    <w:rsid w:val="00687A78"/>
    <w:rsid w:val="00690BFE"/>
    <w:rsid w:val="00690DBE"/>
    <w:rsid w:val="00692BF6"/>
    <w:rsid w:val="006A1497"/>
    <w:rsid w:val="006A5E45"/>
    <w:rsid w:val="006B0BD1"/>
    <w:rsid w:val="006B5404"/>
    <w:rsid w:val="006D20A5"/>
    <w:rsid w:val="006D37BF"/>
    <w:rsid w:val="00702E22"/>
    <w:rsid w:val="0072020E"/>
    <w:rsid w:val="0073088F"/>
    <w:rsid w:val="00742689"/>
    <w:rsid w:val="0074564C"/>
    <w:rsid w:val="00765652"/>
    <w:rsid w:val="00775B25"/>
    <w:rsid w:val="00786071"/>
    <w:rsid w:val="00796C08"/>
    <w:rsid w:val="007A1727"/>
    <w:rsid w:val="007A3ECB"/>
    <w:rsid w:val="007A53F4"/>
    <w:rsid w:val="007B36EE"/>
    <w:rsid w:val="007C19A2"/>
    <w:rsid w:val="007D7BB3"/>
    <w:rsid w:val="007F14C7"/>
    <w:rsid w:val="007F6882"/>
    <w:rsid w:val="0080009E"/>
    <w:rsid w:val="00813A20"/>
    <w:rsid w:val="00824AB9"/>
    <w:rsid w:val="00824EB9"/>
    <w:rsid w:val="0083188E"/>
    <w:rsid w:val="00836B35"/>
    <w:rsid w:val="00843BDE"/>
    <w:rsid w:val="00844F4E"/>
    <w:rsid w:val="00872BCC"/>
    <w:rsid w:val="0087588C"/>
    <w:rsid w:val="0089705C"/>
    <w:rsid w:val="008A6D43"/>
    <w:rsid w:val="008B0A37"/>
    <w:rsid w:val="008B491E"/>
    <w:rsid w:val="008C1A28"/>
    <w:rsid w:val="008C2E98"/>
    <w:rsid w:val="008C7162"/>
    <w:rsid w:val="008D678D"/>
    <w:rsid w:val="008E0197"/>
    <w:rsid w:val="008E0FDC"/>
    <w:rsid w:val="008E49BD"/>
    <w:rsid w:val="008E53E9"/>
    <w:rsid w:val="008E5771"/>
    <w:rsid w:val="008F082F"/>
    <w:rsid w:val="008F4ACF"/>
    <w:rsid w:val="00924166"/>
    <w:rsid w:val="00940B9B"/>
    <w:rsid w:val="00944F14"/>
    <w:rsid w:val="009464E5"/>
    <w:rsid w:val="00950150"/>
    <w:rsid w:val="0095676E"/>
    <w:rsid w:val="00956983"/>
    <w:rsid w:val="00963CF0"/>
    <w:rsid w:val="00964BB1"/>
    <w:rsid w:val="009775D9"/>
    <w:rsid w:val="009858CE"/>
    <w:rsid w:val="00997175"/>
    <w:rsid w:val="009A1847"/>
    <w:rsid w:val="009B062A"/>
    <w:rsid w:val="009B738D"/>
    <w:rsid w:val="009C62BD"/>
    <w:rsid w:val="009D5985"/>
    <w:rsid w:val="009D5C15"/>
    <w:rsid w:val="009E1312"/>
    <w:rsid w:val="009E69F1"/>
    <w:rsid w:val="009E7C6F"/>
    <w:rsid w:val="009F1793"/>
    <w:rsid w:val="009F2D23"/>
    <w:rsid w:val="00A01D69"/>
    <w:rsid w:val="00A02335"/>
    <w:rsid w:val="00A05BCC"/>
    <w:rsid w:val="00A05EDC"/>
    <w:rsid w:val="00A46C9A"/>
    <w:rsid w:val="00A619F3"/>
    <w:rsid w:val="00A62A73"/>
    <w:rsid w:val="00A66B56"/>
    <w:rsid w:val="00A71C4E"/>
    <w:rsid w:val="00A87FF6"/>
    <w:rsid w:val="00A979B8"/>
    <w:rsid w:val="00AA091D"/>
    <w:rsid w:val="00AA0A3B"/>
    <w:rsid w:val="00AA12E3"/>
    <w:rsid w:val="00AA2763"/>
    <w:rsid w:val="00AA33B6"/>
    <w:rsid w:val="00AB50CA"/>
    <w:rsid w:val="00AB6D64"/>
    <w:rsid w:val="00AC53CE"/>
    <w:rsid w:val="00AD2193"/>
    <w:rsid w:val="00AF2AC7"/>
    <w:rsid w:val="00AF74CE"/>
    <w:rsid w:val="00B04E97"/>
    <w:rsid w:val="00B208DB"/>
    <w:rsid w:val="00B23F69"/>
    <w:rsid w:val="00B25F72"/>
    <w:rsid w:val="00B26FFD"/>
    <w:rsid w:val="00B34000"/>
    <w:rsid w:val="00B37C69"/>
    <w:rsid w:val="00B51B64"/>
    <w:rsid w:val="00B60619"/>
    <w:rsid w:val="00B66A70"/>
    <w:rsid w:val="00B67366"/>
    <w:rsid w:val="00B80EE1"/>
    <w:rsid w:val="00B8179B"/>
    <w:rsid w:val="00B84135"/>
    <w:rsid w:val="00BA4349"/>
    <w:rsid w:val="00BB6B79"/>
    <w:rsid w:val="00BC63E4"/>
    <w:rsid w:val="00BC651A"/>
    <w:rsid w:val="00BD1338"/>
    <w:rsid w:val="00C04D34"/>
    <w:rsid w:val="00C05DF8"/>
    <w:rsid w:val="00C06864"/>
    <w:rsid w:val="00C10F54"/>
    <w:rsid w:val="00C23D8D"/>
    <w:rsid w:val="00C30D32"/>
    <w:rsid w:val="00C343E8"/>
    <w:rsid w:val="00C36AC3"/>
    <w:rsid w:val="00C37AA3"/>
    <w:rsid w:val="00C37FD7"/>
    <w:rsid w:val="00C41E38"/>
    <w:rsid w:val="00C43419"/>
    <w:rsid w:val="00C44CF3"/>
    <w:rsid w:val="00C5269B"/>
    <w:rsid w:val="00C53901"/>
    <w:rsid w:val="00C60020"/>
    <w:rsid w:val="00C61BE0"/>
    <w:rsid w:val="00C6707E"/>
    <w:rsid w:val="00C70B0E"/>
    <w:rsid w:val="00C773CA"/>
    <w:rsid w:val="00C83785"/>
    <w:rsid w:val="00C93B89"/>
    <w:rsid w:val="00C94C0D"/>
    <w:rsid w:val="00CA1FEB"/>
    <w:rsid w:val="00CB0E6C"/>
    <w:rsid w:val="00CC5A25"/>
    <w:rsid w:val="00CD4F85"/>
    <w:rsid w:val="00CD6F02"/>
    <w:rsid w:val="00CE246D"/>
    <w:rsid w:val="00CF07A0"/>
    <w:rsid w:val="00CF3E03"/>
    <w:rsid w:val="00D0082A"/>
    <w:rsid w:val="00D077B4"/>
    <w:rsid w:val="00D17DD0"/>
    <w:rsid w:val="00D21455"/>
    <w:rsid w:val="00D2747F"/>
    <w:rsid w:val="00D400BF"/>
    <w:rsid w:val="00D47634"/>
    <w:rsid w:val="00D61731"/>
    <w:rsid w:val="00D709B3"/>
    <w:rsid w:val="00D71509"/>
    <w:rsid w:val="00D765C6"/>
    <w:rsid w:val="00D960A9"/>
    <w:rsid w:val="00DA2ED6"/>
    <w:rsid w:val="00DB257E"/>
    <w:rsid w:val="00DB76B8"/>
    <w:rsid w:val="00DC2207"/>
    <w:rsid w:val="00DC2EA1"/>
    <w:rsid w:val="00DC4F3F"/>
    <w:rsid w:val="00DD3F51"/>
    <w:rsid w:val="00DD6AAF"/>
    <w:rsid w:val="00DE3F5C"/>
    <w:rsid w:val="00DF1D20"/>
    <w:rsid w:val="00DF7BCF"/>
    <w:rsid w:val="00E07BFF"/>
    <w:rsid w:val="00E165C4"/>
    <w:rsid w:val="00E21324"/>
    <w:rsid w:val="00E246B9"/>
    <w:rsid w:val="00E31FEA"/>
    <w:rsid w:val="00E40E3D"/>
    <w:rsid w:val="00E45169"/>
    <w:rsid w:val="00E47787"/>
    <w:rsid w:val="00E51C30"/>
    <w:rsid w:val="00E64180"/>
    <w:rsid w:val="00E71EE9"/>
    <w:rsid w:val="00E74AEE"/>
    <w:rsid w:val="00E77E8D"/>
    <w:rsid w:val="00E868E5"/>
    <w:rsid w:val="00E90098"/>
    <w:rsid w:val="00E9237A"/>
    <w:rsid w:val="00E936A7"/>
    <w:rsid w:val="00E939FA"/>
    <w:rsid w:val="00EA5765"/>
    <w:rsid w:val="00EC2532"/>
    <w:rsid w:val="00ED7812"/>
    <w:rsid w:val="00EE34B9"/>
    <w:rsid w:val="00EE36F4"/>
    <w:rsid w:val="00EF3B86"/>
    <w:rsid w:val="00F227BA"/>
    <w:rsid w:val="00F317E9"/>
    <w:rsid w:val="00F34554"/>
    <w:rsid w:val="00F35FA0"/>
    <w:rsid w:val="00F45F77"/>
    <w:rsid w:val="00F5167F"/>
    <w:rsid w:val="00F52258"/>
    <w:rsid w:val="00F56E67"/>
    <w:rsid w:val="00F64E20"/>
    <w:rsid w:val="00F8570A"/>
    <w:rsid w:val="00F86701"/>
    <w:rsid w:val="00F91C7B"/>
    <w:rsid w:val="00FB477B"/>
    <w:rsid w:val="00FC4958"/>
    <w:rsid w:val="00FC5DBE"/>
    <w:rsid w:val="00FD0F79"/>
    <w:rsid w:val="00FD44F6"/>
    <w:rsid w:val="00FF59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A3BE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3E0A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7358">
      <w:bodyDiv w:val="1"/>
      <w:marLeft w:val="0"/>
      <w:marRight w:val="0"/>
      <w:marTop w:val="0"/>
      <w:marBottom w:val="0"/>
      <w:divBdr>
        <w:top w:val="none" w:sz="0" w:space="0" w:color="auto"/>
        <w:left w:val="none" w:sz="0" w:space="0" w:color="auto"/>
        <w:bottom w:val="none" w:sz="0" w:space="0" w:color="auto"/>
        <w:right w:val="none" w:sz="0" w:space="0" w:color="auto"/>
      </w:divBdr>
    </w:div>
    <w:div w:id="200439287">
      <w:bodyDiv w:val="1"/>
      <w:marLeft w:val="0"/>
      <w:marRight w:val="0"/>
      <w:marTop w:val="0"/>
      <w:marBottom w:val="0"/>
      <w:divBdr>
        <w:top w:val="none" w:sz="0" w:space="0" w:color="auto"/>
        <w:left w:val="none" w:sz="0" w:space="0" w:color="auto"/>
        <w:bottom w:val="none" w:sz="0" w:space="0" w:color="auto"/>
        <w:right w:val="none" w:sz="0" w:space="0" w:color="auto"/>
      </w:divBdr>
    </w:div>
    <w:div w:id="223300242">
      <w:bodyDiv w:val="1"/>
      <w:marLeft w:val="0"/>
      <w:marRight w:val="0"/>
      <w:marTop w:val="0"/>
      <w:marBottom w:val="0"/>
      <w:divBdr>
        <w:top w:val="none" w:sz="0" w:space="0" w:color="auto"/>
        <w:left w:val="none" w:sz="0" w:space="0" w:color="auto"/>
        <w:bottom w:val="none" w:sz="0" w:space="0" w:color="auto"/>
        <w:right w:val="none" w:sz="0" w:space="0" w:color="auto"/>
      </w:divBdr>
    </w:div>
    <w:div w:id="336465998">
      <w:bodyDiv w:val="1"/>
      <w:marLeft w:val="0"/>
      <w:marRight w:val="0"/>
      <w:marTop w:val="0"/>
      <w:marBottom w:val="0"/>
      <w:divBdr>
        <w:top w:val="none" w:sz="0" w:space="0" w:color="auto"/>
        <w:left w:val="none" w:sz="0" w:space="0" w:color="auto"/>
        <w:bottom w:val="none" w:sz="0" w:space="0" w:color="auto"/>
        <w:right w:val="none" w:sz="0" w:space="0" w:color="auto"/>
      </w:divBdr>
    </w:div>
    <w:div w:id="338504037">
      <w:bodyDiv w:val="1"/>
      <w:marLeft w:val="0"/>
      <w:marRight w:val="0"/>
      <w:marTop w:val="0"/>
      <w:marBottom w:val="0"/>
      <w:divBdr>
        <w:top w:val="none" w:sz="0" w:space="0" w:color="auto"/>
        <w:left w:val="none" w:sz="0" w:space="0" w:color="auto"/>
        <w:bottom w:val="none" w:sz="0" w:space="0" w:color="auto"/>
        <w:right w:val="none" w:sz="0" w:space="0" w:color="auto"/>
      </w:divBdr>
    </w:div>
    <w:div w:id="403843766">
      <w:bodyDiv w:val="1"/>
      <w:marLeft w:val="0"/>
      <w:marRight w:val="0"/>
      <w:marTop w:val="0"/>
      <w:marBottom w:val="0"/>
      <w:divBdr>
        <w:top w:val="none" w:sz="0" w:space="0" w:color="auto"/>
        <w:left w:val="none" w:sz="0" w:space="0" w:color="auto"/>
        <w:bottom w:val="none" w:sz="0" w:space="0" w:color="auto"/>
        <w:right w:val="none" w:sz="0" w:space="0" w:color="auto"/>
      </w:divBdr>
    </w:div>
    <w:div w:id="469444580">
      <w:bodyDiv w:val="1"/>
      <w:marLeft w:val="0"/>
      <w:marRight w:val="0"/>
      <w:marTop w:val="0"/>
      <w:marBottom w:val="0"/>
      <w:divBdr>
        <w:top w:val="none" w:sz="0" w:space="0" w:color="auto"/>
        <w:left w:val="none" w:sz="0" w:space="0" w:color="auto"/>
        <w:bottom w:val="none" w:sz="0" w:space="0" w:color="auto"/>
        <w:right w:val="none" w:sz="0" w:space="0" w:color="auto"/>
      </w:divBdr>
    </w:div>
    <w:div w:id="589655548">
      <w:bodyDiv w:val="1"/>
      <w:marLeft w:val="0"/>
      <w:marRight w:val="0"/>
      <w:marTop w:val="0"/>
      <w:marBottom w:val="0"/>
      <w:divBdr>
        <w:top w:val="none" w:sz="0" w:space="0" w:color="auto"/>
        <w:left w:val="none" w:sz="0" w:space="0" w:color="auto"/>
        <w:bottom w:val="none" w:sz="0" w:space="0" w:color="auto"/>
        <w:right w:val="none" w:sz="0" w:space="0" w:color="auto"/>
      </w:divBdr>
    </w:div>
    <w:div w:id="671614344">
      <w:bodyDiv w:val="1"/>
      <w:marLeft w:val="0"/>
      <w:marRight w:val="0"/>
      <w:marTop w:val="0"/>
      <w:marBottom w:val="0"/>
      <w:divBdr>
        <w:top w:val="none" w:sz="0" w:space="0" w:color="auto"/>
        <w:left w:val="none" w:sz="0" w:space="0" w:color="auto"/>
        <w:bottom w:val="none" w:sz="0" w:space="0" w:color="auto"/>
        <w:right w:val="none" w:sz="0" w:space="0" w:color="auto"/>
      </w:divBdr>
    </w:div>
    <w:div w:id="674259230">
      <w:bodyDiv w:val="1"/>
      <w:marLeft w:val="0"/>
      <w:marRight w:val="0"/>
      <w:marTop w:val="0"/>
      <w:marBottom w:val="0"/>
      <w:divBdr>
        <w:top w:val="none" w:sz="0" w:space="0" w:color="auto"/>
        <w:left w:val="none" w:sz="0" w:space="0" w:color="auto"/>
        <w:bottom w:val="none" w:sz="0" w:space="0" w:color="auto"/>
        <w:right w:val="none" w:sz="0" w:space="0" w:color="auto"/>
      </w:divBdr>
    </w:div>
    <w:div w:id="858159798">
      <w:bodyDiv w:val="1"/>
      <w:marLeft w:val="0"/>
      <w:marRight w:val="0"/>
      <w:marTop w:val="0"/>
      <w:marBottom w:val="0"/>
      <w:divBdr>
        <w:top w:val="none" w:sz="0" w:space="0" w:color="auto"/>
        <w:left w:val="none" w:sz="0" w:space="0" w:color="auto"/>
        <w:bottom w:val="none" w:sz="0" w:space="0" w:color="auto"/>
        <w:right w:val="none" w:sz="0" w:space="0" w:color="auto"/>
      </w:divBdr>
    </w:div>
    <w:div w:id="874542070">
      <w:bodyDiv w:val="1"/>
      <w:marLeft w:val="0"/>
      <w:marRight w:val="0"/>
      <w:marTop w:val="0"/>
      <w:marBottom w:val="0"/>
      <w:divBdr>
        <w:top w:val="none" w:sz="0" w:space="0" w:color="auto"/>
        <w:left w:val="none" w:sz="0" w:space="0" w:color="auto"/>
        <w:bottom w:val="none" w:sz="0" w:space="0" w:color="auto"/>
        <w:right w:val="none" w:sz="0" w:space="0" w:color="auto"/>
      </w:divBdr>
    </w:div>
    <w:div w:id="894660898">
      <w:bodyDiv w:val="1"/>
      <w:marLeft w:val="0"/>
      <w:marRight w:val="0"/>
      <w:marTop w:val="0"/>
      <w:marBottom w:val="0"/>
      <w:divBdr>
        <w:top w:val="none" w:sz="0" w:space="0" w:color="auto"/>
        <w:left w:val="none" w:sz="0" w:space="0" w:color="auto"/>
        <w:bottom w:val="none" w:sz="0" w:space="0" w:color="auto"/>
        <w:right w:val="none" w:sz="0" w:space="0" w:color="auto"/>
      </w:divBdr>
    </w:div>
    <w:div w:id="895580660">
      <w:bodyDiv w:val="1"/>
      <w:marLeft w:val="0"/>
      <w:marRight w:val="0"/>
      <w:marTop w:val="0"/>
      <w:marBottom w:val="0"/>
      <w:divBdr>
        <w:top w:val="none" w:sz="0" w:space="0" w:color="auto"/>
        <w:left w:val="none" w:sz="0" w:space="0" w:color="auto"/>
        <w:bottom w:val="none" w:sz="0" w:space="0" w:color="auto"/>
        <w:right w:val="none" w:sz="0" w:space="0" w:color="auto"/>
      </w:divBdr>
    </w:div>
    <w:div w:id="934938354">
      <w:bodyDiv w:val="1"/>
      <w:marLeft w:val="0"/>
      <w:marRight w:val="0"/>
      <w:marTop w:val="0"/>
      <w:marBottom w:val="0"/>
      <w:divBdr>
        <w:top w:val="none" w:sz="0" w:space="0" w:color="auto"/>
        <w:left w:val="none" w:sz="0" w:space="0" w:color="auto"/>
        <w:bottom w:val="none" w:sz="0" w:space="0" w:color="auto"/>
        <w:right w:val="none" w:sz="0" w:space="0" w:color="auto"/>
      </w:divBdr>
    </w:div>
    <w:div w:id="980040246">
      <w:bodyDiv w:val="1"/>
      <w:marLeft w:val="0"/>
      <w:marRight w:val="0"/>
      <w:marTop w:val="0"/>
      <w:marBottom w:val="0"/>
      <w:divBdr>
        <w:top w:val="none" w:sz="0" w:space="0" w:color="auto"/>
        <w:left w:val="none" w:sz="0" w:space="0" w:color="auto"/>
        <w:bottom w:val="none" w:sz="0" w:space="0" w:color="auto"/>
        <w:right w:val="none" w:sz="0" w:space="0" w:color="auto"/>
      </w:divBdr>
    </w:div>
    <w:div w:id="1069504137">
      <w:bodyDiv w:val="1"/>
      <w:marLeft w:val="0"/>
      <w:marRight w:val="0"/>
      <w:marTop w:val="0"/>
      <w:marBottom w:val="0"/>
      <w:divBdr>
        <w:top w:val="none" w:sz="0" w:space="0" w:color="auto"/>
        <w:left w:val="none" w:sz="0" w:space="0" w:color="auto"/>
        <w:bottom w:val="none" w:sz="0" w:space="0" w:color="auto"/>
        <w:right w:val="none" w:sz="0" w:space="0" w:color="auto"/>
      </w:divBdr>
    </w:div>
    <w:div w:id="1173691962">
      <w:bodyDiv w:val="1"/>
      <w:marLeft w:val="0"/>
      <w:marRight w:val="0"/>
      <w:marTop w:val="0"/>
      <w:marBottom w:val="0"/>
      <w:divBdr>
        <w:top w:val="none" w:sz="0" w:space="0" w:color="auto"/>
        <w:left w:val="none" w:sz="0" w:space="0" w:color="auto"/>
        <w:bottom w:val="none" w:sz="0" w:space="0" w:color="auto"/>
        <w:right w:val="none" w:sz="0" w:space="0" w:color="auto"/>
      </w:divBdr>
    </w:div>
    <w:div w:id="1182554079">
      <w:bodyDiv w:val="1"/>
      <w:marLeft w:val="0"/>
      <w:marRight w:val="0"/>
      <w:marTop w:val="0"/>
      <w:marBottom w:val="0"/>
      <w:divBdr>
        <w:top w:val="none" w:sz="0" w:space="0" w:color="auto"/>
        <w:left w:val="none" w:sz="0" w:space="0" w:color="auto"/>
        <w:bottom w:val="none" w:sz="0" w:space="0" w:color="auto"/>
        <w:right w:val="none" w:sz="0" w:space="0" w:color="auto"/>
      </w:divBdr>
    </w:div>
    <w:div w:id="1221820392">
      <w:bodyDiv w:val="1"/>
      <w:marLeft w:val="0"/>
      <w:marRight w:val="0"/>
      <w:marTop w:val="0"/>
      <w:marBottom w:val="0"/>
      <w:divBdr>
        <w:top w:val="none" w:sz="0" w:space="0" w:color="auto"/>
        <w:left w:val="none" w:sz="0" w:space="0" w:color="auto"/>
        <w:bottom w:val="none" w:sz="0" w:space="0" w:color="auto"/>
        <w:right w:val="none" w:sz="0" w:space="0" w:color="auto"/>
      </w:divBdr>
    </w:div>
    <w:div w:id="1318069872">
      <w:bodyDiv w:val="1"/>
      <w:marLeft w:val="0"/>
      <w:marRight w:val="0"/>
      <w:marTop w:val="0"/>
      <w:marBottom w:val="0"/>
      <w:divBdr>
        <w:top w:val="none" w:sz="0" w:space="0" w:color="auto"/>
        <w:left w:val="none" w:sz="0" w:space="0" w:color="auto"/>
        <w:bottom w:val="none" w:sz="0" w:space="0" w:color="auto"/>
        <w:right w:val="none" w:sz="0" w:space="0" w:color="auto"/>
      </w:divBdr>
    </w:div>
    <w:div w:id="1450539900">
      <w:bodyDiv w:val="1"/>
      <w:marLeft w:val="0"/>
      <w:marRight w:val="0"/>
      <w:marTop w:val="0"/>
      <w:marBottom w:val="0"/>
      <w:divBdr>
        <w:top w:val="none" w:sz="0" w:space="0" w:color="auto"/>
        <w:left w:val="none" w:sz="0" w:space="0" w:color="auto"/>
        <w:bottom w:val="none" w:sz="0" w:space="0" w:color="auto"/>
        <w:right w:val="none" w:sz="0" w:space="0" w:color="auto"/>
      </w:divBdr>
    </w:div>
    <w:div w:id="1589340573">
      <w:bodyDiv w:val="1"/>
      <w:marLeft w:val="0"/>
      <w:marRight w:val="0"/>
      <w:marTop w:val="0"/>
      <w:marBottom w:val="0"/>
      <w:divBdr>
        <w:top w:val="none" w:sz="0" w:space="0" w:color="auto"/>
        <w:left w:val="none" w:sz="0" w:space="0" w:color="auto"/>
        <w:bottom w:val="none" w:sz="0" w:space="0" w:color="auto"/>
        <w:right w:val="none" w:sz="0" w:space="0" w:color="auto"/>
      </w:divBdr>
    </w:div>
    <w:div w:id="1670867655">
      <w:bodyDiv w:val="1"/>
      <w:marLeft w:val="0"/>
      <w:marRight w:val="0"/>
      <w:marTop w:val="0"/>
      <w:marBottom w:val="0"/>
      <w:divBdr>
        <w:top w:val="none" w:sz="0" w:space="0" w:color="auto"/>
        <w:left w:val="none" w:sz="0" w:space="0" w:color="auto"/>
        <w:bottom w:val="none" w:sz="0" w:space="0" w:color="auto"/>
        <w:right w:val="none" w:sz="0" w:space="0" w:color="auto"/>
      </w:divBdr>
    </w:div>
    <w:div w:id="1678000077">
      <w:bodyDiv w:val="1"/>
      <w:marLeft w:val="0"/>
      <w:marRight w:val="0"/>
      <w:marTop w:val="0"/>
      <w:marBottom w:val="0"/>
      <w:divBdr>
        <w:top w:val="none" w:sz="0" w:space="0" w:color="auto"/>
        <w:left w:val="none" w:sz="0" w:space="0" w:color="auto"/>
        <w:bottom w:val="none" w:sz="0" w:space="0" w:color="auto"/>
        <w:right w:val="none" w:sz="0" w:space="0" w:color="auto"/>
      </w:divBdr>
    </w:div>
    <w:div w:id="1888377002">
      <w:bodyDiv w:val="1"/>
      <w:marLeft w:val="0"/>
      <w:marRight w:val="0"/>
      <w:marTop w:val="0"/>
      <w:marBottom w:val="0"/>
      <w:divBdr>
        <w:top w:val="none" w:sz="0" w:space="0" w:color="auto"/>
        <w:left w:val="none" w:sz="0" w:space="0" w:color="auto"/>
        <w:bottom w:val="none" w:sz="0" w:space="0" w:color="auto"/>
        <w:right w:val="none" w:sz="0" w:space="0" w:color="auto"/>
      </w:divBdr>
    </w:div>
    <w:div w:id="2037264568">
      <w:bodyDiv w:val="1"/>
      <w:marLeft w:val="0"/>
      <w:marRight w:val="0"/>
      <w:marTop w:val="0"/>
      <w:marBottom w:val="0"/>
      <w:divBdr>
        <w:top w:val="none" w:sz="0" w:space="0" w:color="auto"/>
        <w:left w:val="none" w:sz="0" w:space="0" w:color="auto"/>
        <w:bottom w:val="none" w:sz="0" w:space="0" w:color="auto"/>
        <w:right w:val="none" w:sz="0" w:space="0" w:color="auto"/>
      </w:divBdr>
    </w:div>
    <w:div w:id="20888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D69A-6066-494E-9103-15AE54492493}">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42732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2025-08-21T11:06:00Z</dcterms:created>
  <dcterms:modified xsi:type="dcterms:W3CDTF">2025-08-21T11:06:00Z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2022-09-25T18:41:54Z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5a5db3e3-0692-435c-b69b-2f1354e3710d</vt:lpwstr>
  </property>
  <property fmtid="{D5CDD505-2E9C-101B-9397-08002B2CF9AE}" pid="9" name="MSIP_Label_4c4f55c2-b9e5-4e04-bcc7-ae1efcea4b57_ContentBits">
    <vt:lpwstr>0</vt:lpwstr>
  </property>
</Properties>
</file>