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96DD2" w14:textId="77777777" w:rsidR="001A5518" w:rsidRPr="00CA3509" w:rsidRDefault="001A5518" w:rsidP="001A5518">
      <w:pPr>
        <w:rPr>
          <w:b/>
          <w:bCs/>
          <w:i/>
          <w:iCs/>
          <w:sz w:val="22"/>
          <w:szCs w:val="22"/>
          <w:u w:val="single"/>
        </w:rPr>
      </w:pPr>
    </w:p>
    <w:p w14:paraId="06A6DE52" w14:textId="77777777" w:rsidR="00F91C7B" w:rsidRPr="00CA3509" w:rsidRDefault="00F91C7B" w:rsidP="001A5518">
      <w:pPr>
        <w:rPr>
          <w:b/>
          <w:bCs/>
          <w:i/>
          <w:iCs/>
          <w:sz w:val="22"/>
          <w:szCs w:val="22"/>
          <w:u w:val="single"/>
        </w:rPr>
      </w:pPr>
    </w:p>
    <w:p w14:paraId="4AABA447" w14:textId="77777777" w:rsidR="002510A5" w:rsidRPr="00B32307" w:rsidRDefault="002510A5" w:rsidP="002510A5">
      <w:pPr>
        <w:jc w:val="center"/>
        <w:rPr>
          <w:b/>
          <w:bCs/>
          <w:iCs/>
          <w:sz w:val="22"/>
          <w:szCs w:val="22"/>
          <w:u w:val="single"/>
          <w:lang w:val="sr-Latn-RS"/>
        </w:rPr>
      </w:pPr>
      <w:r w:rsidRPr="00B32307">
        <w:rPr>
          <w:b/>
          <w:bCs/>
          <w:iCs/>
          <w:sz w:val="22"/>
          <w:szCs w:val="22"/>
          <w:u w:val="single"/>
          <w:lang w:val="sr-Latn-RS"/>
        </w:rPr>
        <w:t>SAŽETAK KARAKTERISTIKA LIJEKA</w:t>
      </w:r>
    </w:p>
    <w:p w14:paraId="35CA07A1" w14:textId="77777777" w:rsidR="003C17AB" w:rsidRPr="00B32307" w:rsidRDefault="003C17AB" w:rsidP="00F5167F">
      <w:pPr>
        <w:tabs>
          <w:tab w:val="left" w:pos="540"/>
          <w:tab w:val="left" w:pos="569"/>
        </w:tabs>
        <w:rPr>
          <w:noProof/>
          <w:sz w:val="22"/>
          <w:szCs w:val="22"/>
          <w:lang w:val="sr-Latn-RS"/>
        </w:rPr>
      </w:pPr>
    </w:p>
    <w:p w14:paraId="229386C1" w14:textId="77777777" w:rsidR="00C37FD7" w:rsidRPr="00B32307" w:rsidRDefault="00C37FD7" w:rsidP="00F5167F">
      <w:pPr>
        <w:tabs>
          <w:tab w:val="left" w:pos="540"/>
          <w:tab w:val="left" w:pos="569"/>
        </w:tabs>
        <w:rPr>
          <w:bCs/>
          <w:sz w:val="22"/>
          <w:szCs w:val="22"/>
          <w:lang w:val="sr-Latn-RS"/>
        </w:rPr>
      </w:pPr>
    </w:p>
    <w:p w14:paraId="10A556BC" w14:textId="77777777" w:rsidR="00411B4B" w:rsidRPr="00B32307" w:rsidRDefault="00411B4B" w:rsidP="00F5167F">
      <w:pPr>
        <w:tabs>
          <w:tab w:val="left" w:pos="540"/>
          <w:tab w:val="left" w:pos="569"/>
        </w:tabs>
        <w:rPr>
          <w:b/>
          <w:bCs/>
          <w:sz w:val="22"/>
          <w:szCs w:val="22"/>
          <w:lang w:val="sr-Latn-RS"/>
        </w:rPr>
      </w:pPr>
      <w:r w:rsidRPr="00B32307">
        <w:rPr>
          <w:b/>
          <w:bCs/>
          <w:sz w:val="22"/>
          <w:szCs w:val="22"/>
          <w:lang w:val="sr-Latn-RS"/>
        </w:rPr>
        <w:t>1.</w:t>
      </w:r>
      <w:r w:rsidR="00F5167F" w:rsidRPr="00B32307">
        <w:rPr>
          <w:b/>
          <w:bCs/>
          <w:sz w:val="22"/>
          <w:szCs w:val="22"/>
          <w:lang w:val="sr-Latn-RS"/>
        </w:rPr>
        <w:tab/>
      </w:r>
      <w:r w:rsidR="002846DB" w:rsidRPr="00B32307">
        <w:rPr>
          <w:b/>
          <w:bCs/>
          <w:sz w:val="22"/>
          <w:szCs w:val="22"/>
          <w:lang w:val="sr-Latn-RS"/>
        </w:rPr>
        <w:t xml:space="preserve">NAZIV </w:t>
      </w:r>
      <w:r w:rsidRPr="00B32307">
        <w:rPr>
          <w:b/>
          <w:bCs/>
          <w:sz w:val="22"/>
          <w:szCs w:val="22"/>
          <w:lang w:val="sr-Latn-RS"/>
        </w:rPr>
        <w:t>LIJEKA</w:t>
      </w:r>
    </w:p>
    <w:p w14:paraId="31FD1BC0" w14:textId="77777777" w:rsidR="00EC2532" w:rsidRPr="00B32307" w:rsidRDefault="00EC2532">
      <w:pPr>
        <w:rPr>
          <w:sz w:val="22"/>
          <w:szCs w:val="22"/>
          <w:lang w:val="sr-Latn-RS"/>
        </w:rPr>
      </w:pPr>
    </w:p>
    <w:p w14:paraId="561E6A18" w14:textId="24D6F9CD" w:rsidR="004F43C1" w:rsidRPr="00B32307" w:rsidRDefault="004F43C1" w:rsidP="004F43C1">
      <w:pPr>
        <w:pStyle w:val="Header"/>
        <w:tabs>
          <w:tab w:val="left" w:pos="284"/>
        </w:tabs>
        <w:jc w:val="both"/>
        <w:rPr>
          <w:sz w:val="22"/>
          <w:szCs w:val="22"/>
          <w:lang w:val="sr-Latn-RS"/>
        </w:rPr>
      </w:pPr>
      <w:r w:rsidRPr="00B32307">
        <w:rPr>
          <w:sz w:val="22"/>
          <w:szCs w:val="22"/>
          <w:lang w:val="sr-Latn-RS"/>
        </w:rPr>
        <w:t xml:space="preserve"> REQUIP MODUTAB, 2 mg</w:t>
      </w:r>
      <w:r w:rsidR="00BA0F0B" w:rsidRPr="00B32307">
        <w:rPr>
          <w:sz w:val="22"/>
          <w:szCs w:val="22"/>
          <w:lang w:val="sr-Latn-RS"/>
        </w:rPr>
        <w:t xml:space="preserve">, </w:t>
      </w:r>
      <w:r w:rsidRPr="00B32307">
        <w:rPr>
          <w:sz w:val="22"/>
          <w:szCs w:val="22"/>
          <w:lang w:val="sr-Latn-RS"/>
        </w:rPr>
        <w:t xml:space="preserve"> tablet</w:t>
      </w:r>
      <w:r w:rsidR="00BA0F0B" w:rsidRPr="00B32307">
        <w:rPr>
          <w:sz w:val="22"/>
          <w:szCs w:val="22"/>
          <w:lang w:val="sr-Latn-RS"/>
        </w:rPr>
        <w:t>a</w:t>
      </w:r>
      <w:r w:rsidRPr="00B32307">
        <w:rPr>
          <w:sz w:val="22"/>
          <w:szCs w:val="22"/>
          <w:lang w:val="sr-Latn-RS"/>
        </w:rPr>
        <w:t xml:space="preserve"> sa produženim oslobađanjem</w:t>
      </w:r>
    </w:p>
    <w:p w14:paraId="67D8F049" w14:textId="31D9005E" w:rsidR="004F43C1" w:rsidRPr="00B32307" w:rsidRDefault="004F43C1" w:rsidP="004F43C1">
      <w:pPr>
        <w:pStyle w:val="Header"/>
        <w:tabs>
          <w:tab w:val="left" w:pos="284"/>
        </w:tabs>
        <w:jc w:val="both"/>
        <w:rPr>
          <w:sz w:val="22"/>
          <w:szCs w:val="22"/>
          <w:lang w:val="sr-Latn-RS"/>
        </w:rPr>
      </w:pPr>
      <w:r w:rsidRPr="00B32307">
        <w:rPr>
          <w:sz w:val="22"/>
          <w:szCs w:val="22"/>
          <w:lang w:val="sr-Latn-RS"/>
        </w:rPr>
        <w:t xml:space="preserve"> REQUIP MODUTAB, 4 mg</w:t>
      </w:r>
      <w:r w:rsidR="00BA0F0B" w:rsidRPr="00B32307">
        <w:rPr>
          <w:sz w:val="22"/>
          <w:szCs w:val="22"/>
          <w:lang w:val="sr-Latn-RS"/>
        </w:rPr>
        <w:t>,</w:t>
      </w:r>
      <w:r w:rsidRPr="00B32307">
        <w:rPr>
          <w:sz w:val="22"/>
          <w:szCs w:val="22"/>
          <w:lang w:val="sr-Latn-RS"/>
        </w:rPr>
        <w:t xml:space="preserve"> tablet</w:t>
      </w:r>
      <w:r w:rsidR="00BA0F0B" w:rsidRPr="00B32307">
        <w:rPr>
          <w:sz w:val="22"/>
          <w:szCs w:val="22"/>
          <w:lang w:val="sr-Latn-RS"/>
        </w:rPr>
        <w:t>a</w:t>
      </w:r>
      <w:r w:rsidRPr="00B32307">
        <w:rPr>
          <w:sz w:val="22"/>
          <w:szCs w:val="22"/>
          <w:lang w:val="sr-Latn-RS"/>
        </w:rPr>
        <w:t xml:space="preserve"> sa produženim oslobađanjem</w:t>
      </w:r>
    </w:p>
    <w:p w14:paraId="08870AFF" w14:textId="7238A947" w:rsidR="004F43C1" w:rsidRPr="00B32307" w:rsidRDefault="004F43C1" w:rsidP="004F43C1">
      <w:pPr>
        <w:pStyle w:val="Header"/>
        <w:tabs>
          <w:tab w:val="left" w:pos="284"/>
        </w:tabs>
        <w:jc w:val="both"/>
        <w:rPr>
          <w:sz w:val="22"/>
          <w:szCs w:val="22"/>
          <w:lang w:val="sr-Latn-RS"/>
        </w:rPr>
      </w:pPr>
      <w:r w:rsidRPr="00B32307">
        <w:rPr>
          <w:sz w:val="22"/>
          <w:szCs w:val="22"/>
          <w:lang w:val="sr-Latn-RS"/>
        </w:rPr>
        <w:t xml:space="preserve"> REQUIP MODUTAB, 8 mg</w:t>
      </w:r>
      <w:r w:rsidR="00BA0F0B" w:rsidRPr="00B32307">
        <w:rPr>
          <w:sz w:val="22"/>
          <w:szCs w:val="22"/>
          <w:lang w:val="sr-Latn-RS"/>
        </w:rPr>
        <w:t>,</w:t>
      </w:r>
      <w:r w:rsidRPr="00B32307">
        <w:rPr>
          <w:sz w:val="22"/>
          <w:szCs w:val="22"/>
          <w:lang w:val="sr-Latn-RS"/>
        </w:rPr>
        <w:t xml:space="preserve"> tablet</w:t>
      </w:r>
      <w:r w:rsidR="00BA0F0B" w:rsidRPr="00B32307">
        <w:rPr>
          <w:sz w:val="22"/>
          <w:szCs w:val="22"/>
          <w:lang w:val="sr-Latn-RS"/>
        </w:rPr>
        <w:t>a</w:t>
      </w:r>
      <w:r w:rsidRPr="00B32307">
        <w:rPr>
          <w:sz w:val="22"/>
          <w:szCs w:val="22"/>
          <w:lang w:val="sr-Latn-RS"/>
        </w:rPr>
        <w:t xml:space="preserve"> sa produženim oslobađanjem</w:t>
      </w:r>
    </w:p>
    <w:p w14:paraId="3FBD9062" w14:textId="77777777" w:rsidR="004F43C1" w:rsidRPr="00B32307" w:rsidRDefault="004F43C1" w:rsidP="004F43C1">
      <w:pPr>
        <w:pStyle w:val="Header"/>
        <w:tabs>
          <w:tab w:val="left" w:pos="284"/>
        </w:tabs>
        <w:jc w:val="both"/>
        <w:rPr>
          <w:sz w:val="22"/>
          <w:szCs w:val="22"/>
          <w:lang w:val="sr-Latn-RS"/>
        </w:rPr>
      </w:pPr>
    </w:p>
    <w:p w14:paraId="6658DED5" w14:textId="77777777" w:rsidR="004F43C1" w:rsidRPr="00B32307" w:rsidRDefault="004F43C1" w:rsidP="004F43C1">
      <w:pPr>
        <w:pStyle w:val="Header"/>
        <w:tabs>
          <w:tab w:val="left" w:pos="828"/>
        </w:tabs>
        <w:jc w:val="both"/>
        <w:rPr>
          <w:sz w:val="22"/>
          <w:szCs w:val="22"/>
          <w:lang w:val="sr-Latn-RS"/>
        </w:rPr>
      </w:pPr>
      <w:r w:rsidRPr="00B32307">
        <w:rPr>
          <w:sz w:val="22"/>
          <w:szCs w:val="22"/>
          <w:lang w:val="sr-Latn-RS"/>
        </w:rPr>
        <w:t>INN: ropinirol</w:t>
      </w:r>
    </w:p>
    <w:p w14:paraId="7A698C68" w14:textId="10B58DC8" w:rsidR="00530BD7" w:rsidRPr="00B32307" w:rsidRDefault="00530BD7">
      <w:pPr>
        <w:rPr>
          <w:bCs/>
          <w:sz w:val="22"/>
          <w:szCs w:val="22"/>
          <w:lang w:val="sr-Latn-RS"/>
        </w:rPr>
      </w:pPr>
    </w:p>
    <w:p w14:paraId="200CF312" w14:textId="77777777" w:rsidR="00BA0F0B" w:rsidRPr="00B32307" w:rsidRDefault="00BA0F0B">
      <w:pPr>
        <w:rPr>
          <w:bCs/>
          <w:sz w:val="22"/>
          <w:szCs w:val="22"/>
          <w:lang w:val="sr-Latn-RS"/>
        </w:rPr>
      </w:pPr>
    </w:p>
    <w:p w14:paraId="3E3C7BBA" w14:textId="77777777" w:rsidR="00411B4B" w:rsidRPr="00B32307" w:rsidRDefault="00411B4B" w:rsidP="00F5167F">
      <w:pPr>
        <w:tabs>
          <w:tab w:val="left" w:pos="540"/>
          <w:tab w:val="left" w:pos="569"/>
        </w:tabs>
        <w:rPr>
          <w:b/>
          <w:bCs/>
          <w:sz w:val="22"/>
          <w:szCs w:val="22"/>
          <w:lang w:val="sr-Latn-RS"/>
        </w:rPr>
      </w:pPr>
      <w:r w:rsidRPr="00B32307">
        <w:rPr>
          <w:b/>
          <w:bCs/>
          <w:sz w:val="22"/>
          <w:szCs w:val="22"/>
          <w:lang w:val="sr-Latn-RS"/>
        </w:rPr>
        <w:t xml:space="preserve">2. </w:t>
      </w:r>
      <w:r w:rsidR="00F5167F" w:rsidRPr="00B32307">
        <w:rPr>
          <w:b/>
          <w:bCs/>
          <w:sz w:val="22"/>
          <w:szCs w:val="22"/>
          <w:lang w:val="sr-Latn-RS"/>
        </w:rPr>
        <w:tab/>
      </w:r>
      <w:r w:rsidRPr="00B32307">
        <w:rPr>
          <w:b/>
          <w:bCs/>
          <w:sz w:val="22"/>
          <w:szCs w:val="22"/>
          <w:lang w:val="sr-Latn-RS"/>
        </w:rPr>
        <w:t>KVALITATIVNI I KVANTITATIVNI SASTAV</w:t>
      </w:r>
    </w:p>
    <w:p w14:paraId="4575D049" w14:textId="77777777" w:rsidR="00BA0F0B" w:rsidRPr="00B32307" w:rsidRDefault="00BA0F0B" w:rsidP="004F43C1">
      <w:pPr>
        <w:pStyle w:val="Header"/>
        <w:tabs>
          <w:tab w:val="left" w:pos="284"/>
        </w:tabs>
        <w:jc w:val="both"/>
        <w:rPr>
          <w:bCs/>
          <w:sz w:val="22"/>
          <w:szCs w:val="22"/>
          <w:lang w:val="sr-Latn-RS"/>
        </w:rPr>
      </w:pPr>
    </w:p>
    <w:p w14:paraId="3163517C" w14:textId="02C2FFDC" w:rsidR="004F43C1" w:rsidRPr="00B32307" w:rsidRDefault="004F43C1" w:rsidP="004F43C1">
      <w:pPr>
        <w:pStyle w:val="Header"/>
        <w:tabs>
          <w:tab w:val="left" w:pos="284"/>
        </w:tabs>
        <w:jc w:val="both"/>
        <w:rPr>
          <w:bCs/>
          <w:sz w:val="22"/>
          <w:szCs w:val="22"/>
          <w:lang w:val="sr-Latn-RS"/>
        </w:rPr>
      </w:pPr>
      <w:r w:rsidRPr="00B32307">
        <w:rPr>
          <w:bCs/>
          <w:sz w:val="22"/>
          <w:szCs w:val="22"/>
          <w:lang w:val="sr-Latn-RS"/>
        </w:rPr>
        <w:t>REQUIP MODUTAB, tablet</w:t>
      </w:r>
      <w:r w:rsidR="00BA0F0B" w:rsidRPr="00B32307">
        <w:rPr>
          <w:bCs/>
          <w:sz w:val="22"/>
          <w:szCs w:val="22"/>
          <w:lang w:val="sr-Latn-RS"/>
        </w:rPr>
        <w:t>a</w:t>
      </w:r>
      <w:r w:rsidRPr="00B32307">
        <w:rPr>
          <w:bCs/>
          <w:sz w:val="22"/>
          <w:szCs w:val="22"/>
          <w:lang w:val="sr-Latn-RS"/>
        </w:rPr>
        <w:t xml:space="preserve"> sa produženim oslobađanjem, 2 mg:</w:t>
      </w:r>
    </w:p>
    <w:p w14:paraId="4A39BD64" w14:textId="77777777" w:rsidR="004F43C1" w:rsidRPr="00B32307" w:rsidRDefault="004F43C1" w:rsidP="004F43C1">
      <w:pPr>
        <w:pStyle w:val="Header"/>
        <w:tabs>
          <w:tab w:val="left" w:pos="284"/>
        </w:tabs>
        <w:jc w:val="both"/>
        <w:rPr>
          <w:bCs/>
          <w:sz w:val="22"/>
          <w:szCs w:val="22"/>
          <w:lang w:val="sr-Latn-RS"/>
        </w:rPr>
      </w:pPr>
      <w:r w:rsidRPr="00B32307">
        <w:rPr>
          <w:bCs/>
          <w:sz w:val="22"/>
          <w:szCs w:val="22"/>
          <w:lang w:val="sr-Latn-RS"/>
        </w:rPr>
        <w:t>Svaka tableta sa produženim oslobađanjem sadrži 2 mg ropinirola (u obliku ropinirol hidrohlorida).</w:t>
      </w:r>
    </w:p>
    <w:p w14:paraId="7EAC4737" w14:textId="1D320B14" w:rsidR="006B1E44" w:rsidRPr="00B32307" w:rsidRDefault="004F43C1" w:rsidP="004F43C1">
      <w:pPr>
        <w:pStyle w:val="Header"/>
        <w:tabs>
          <w:tab w:val="left" w:pos="284"/>
        </w:tabs>
        <w:jc w:val="both"/>
        <w:rPr>
          <w:bCs/>
          <w:sz w:val="22"/>
          <w:szCs w:val="22"/>
          <w:u w:val="single"/>
          <w:lang w:val="sr-Latn-RS"/>
        </w:rPr>
      </w:pPr>
      <w:r w:rsidRPr="00B32307">
        <w:rPr>
          <w:bCs/>
          <w:sz w:val="22"/>
          <w:szCs w:val="22"/>
          <w:u w:val="single"/>
          <w:lang w:val="sr-Latn-RS"/>
        </w:rPr>
        <w:t>Pomoćne supstance sa potvrđenim dejstvom</w:t>
      </w:r>
    </w:p>
    <w:p w14:paraId="242379C6" w14:textId="0DDE402A" w:rsidR="004F43C1" w:rsidRPr="00B32307" w:rsidRDefault="006B1E44" w:rsidP="004F43C1">
      <w:pPr>
        <w:pStyle w:val="Header"/>
        <w:tabs>
          <w:tab w:val="left" w:pos="284"/>
        </w:tabs>
        <w:jc w:val="both"/>
        <w:rPr>
          <w:bCs/>
          <w:sz w:val="22"/>
          <w:szCs w:val="22"/>
          <w:lang w:val="sr-Latn-RS"/>
        </w:rPr>
      </w:pPr>
      <w:r w:rsidRPr="00B32307">
        <w:rPr>
          <w:bCs/>
          <w:sz w:val="22"/>
          <w:szCs w:val="22"/>
          <w:lang w:val="sr-Latn-RS"/>
        </w:rPr>
        <w:t>Svaka tableta</w:t>
      </w:r>
      <w:r w:rsidR="004F43C1" w:rsidRPr="00B32307">
        <w:rPr>
          <w:bCs/>
          <w:sz w:val="22"/>
          <w:szCs w:val="22"/>
          <w:lang w:val="sr-Latn-RS"/>
        </w:rPr>
        <w:t xml:space="preserve"> </w:t>
      </w:r>
      <w:r w:rsidRPr="00B32307">
        <w:rPr>
          <w:bCs/>
          <w:sz w:val="22"/>
          <w:szCs w:val="22"/>
          <w:lang w:val="sr-Latn-RS"/>
        </w:rPr>
        <w:t xml:space="preserve">sadrži </w:t>
      </w:r>
      <w:r w:rsidR="004F43C1" w:rsidRPr="00B32307">
        <w:rPr>
          <w:bCs/>
          <w:sz w:val="22"/>
          <w:szCs w:val="22"/>
          <w:lang w:val="sr-Latn-RS"/>
        </w:rPr>
        <w:t>44.0 mg laktoze</w:t>
      </w:r>
      <w:r w:rsidR="00195721" w:rsidRPr="00B32307">
        <w:rPr>
          <w:bCs/>
          <w:sz w:val="22"/>
          <w:szCs w:val="22"/>
          <w:lang w:val="sr-Latn-RS"/>
        </w:rPr>
        <w:t>; ricinusovo ulje, hidrogenizovano.</w:t>
      </w:r>
    </w:p>
    <w:p w14:paraId="00036F9C" w14:textId="77777777" w:rsidR="004F43C1" w:rsidRPr="00B32307" w:rsidRDefault="004F43C1" w:rsidP="004F43C1">
      <w:pPr>
        <w:pStyle w:val="Header"/>
        <w:tabs>
          <w:tab w:val="left" w:pos="284"/>
        </w:tabs>
        <w:jc w:val="both"/>
        <w:rPr>
          <w:bCs/>
          <w:sz w:val="22"/>
          <w:szCs w:val="22"/>
          <w:lang w:val="sr-Latn-RS"/>
        </w:rPr>
      </w:pPr>
    </w:p>
    <w:p w14:paraId="1EDD5C83" w14:textId="2250494E" w:rsidR="004F43C1" w:rsidRPr="00B32307" w:rsidRDefault="004F43C1" w:rsidP="004F43C1">
      <w:pPr>
        <w:pStyle w:val="Header"/>
        <w:tabs>
          <w:tab w:val="left" w:pos="284"/>
        </w:tabs>
        <w:jc w:val="both"/>
        <w:rPr>
          <w:bCs/>
          <w:sz w:val="22"/>
          <w:szCs w:val="22"/>
          <w:lang w:val="sr-Latn-RS"/>
        </w:rPr>
      </w:pPr>
      <w:r w:rsidRPr="00B32307">
        <w:rPr>
          <w:bCs/>
          <w:sz w:val="22"/>
          <w:szCs w:val="22"/>
          <w:lang w:val="sr-Latn-RS"/>
        </w:rPr>
        <w:t>REQUIP MODUTAB, tablet</w:t>
      </w:r>
      <w:r w:rsidR="00BA0F0B" w:rsidRPr="00B32307">
        <w:rPr>
          <w:bCs/>
          <w:sz w:val="22"/>
          <w:szCs w:val="22"/>
          <w:lang w:val="sr-Latn-RS"/>
        </w:rPr>
        <w:t>a</w:t>
      </w:r>
      <w:r w:rsidRPr="00B32307">
        <w:rPr>
          <w:bCs/>
          <w:sz w:val="22"/>
          <w:szCs w:val="22"/>
          <w:lang w:val="sr-Latn-RS"/>
        </w:rPr>
        <w:t xml:space="preserve"> sa produženim oslobađanjem, 4 mg:</w:t>
      </w:r>
    </w:p>
    <w:p w14:paraId="2D32C0D8" w14:textId="77777777" w:rsidR="004F43C1" w:rsidRPr="00B32307" w:rsidRDefault="004F43C1" w:rsidP="004F43C1">
      <w:pPr>
        <w:pStyle w:val="Header"/>
        <w:tabs>
          <w:tab w:val="left" w:pos="284"/>
        </w:tabs>
        <w:jc w:val="both"/>
        <w:rPr>
          <w:bCs/>
          <w:sz w:val="22"/>
          <w:szCs w:val="22"/>
          <w:lang w:val="sr-Latn-RS"/>
        </w:rPr>
      </w:pPr>
      <w:r w:rsidRPr="00B32307">
        <w:rPr>
          <w:bCs/>
          <w:sz w:val="22"/>
          <w:szCs w:val="22"/>
          <w:lang w:val="sr-Latn-RS"/>
        </w:rPr>
        <w:t>Svaka tableta sa produženim oslobađanjem sadrži 4 mg ropinirola (u obliku ropinirol hidrohlorida).</w:t>
      </w:r>
    </w:p>
    <w:p w14:paraId="17CE8A4E" w14:textId="23DFAE26" w:rsidR="006B1E44" w:rsidRPr="00B32307" w:rsidRDefault="004F43C1" w:rsidP="004F43C1">
      <w:pPr>
        <w:pStyle w:val="Header"/>
        <w:tabs>
          <w:tab w:val="left" w:pos="284"/>
        </w:tabs>
        <w:jc w:val="both"/>
        <w:rPr>
          <w:bCs/>
          <w:sz w:val="22"/>
          <w:szCs w:val="22"/>
          <w:lang w:val="sr-Latn-RS"/>
        </w:rPr>
      </w:pPr>
      <w:r w:rsidRPr="00B32307">
        <w:rPr>
          <w:bCs/>
          <w:sz w:val="22"/>
          <w:szCs w:val="22"/>
          <w:u w:val="single"/>
          <w:lang w:val="sr-Latn-RS"/>
        </w:rPr>
        <w:t>Pomoćne supstance sa potvrđenim dejstvom</w:t>
      </w:r>
    </w:p>
    <w:p w14:paraId="0F1CE910" w14:textId="4490CBA2" w:rsidR="004F43C1" w:rsidRPr="00B32307" w:rsidRDefault="006B1E44" w:rsidP="004F43C1">
      <w:pPr>
        <w:pStyle w:val="Header"/>
        <w:tabs>
          <w:tab w:val="left" w:pos="284"/>
        </w:tabs>
        <w:jc w:val="both"/>
        <w:rPr>
          <w:bCs/>
          <w:sz w:val="22"/>
          <w:szCs w:val="22"/>
          <w:lang w:val="sr-Latn-RS"/>
        </w:rPr>
      </w:pPr>
      <w:r w:rsidRPr="00B32307">
        <w:rPr>
          <w:bCs/>
          <w:sz w:val="22"/>
          <w:szCs w:val="22"/>
          <w:lang w:val="sr-Latn-RS"/>
        </w:rPr>
        <w:t>Svaka tableta sadrži</w:t>
      </w:r>
      <w:r w:rsidR="00D250B5">
        <w:rPr>
          <w:bCs/>
          <w:sz w:val="22"/>
          <w:szCs w:val="22"/>
          <w:lang w:val="sr-Latn-RS"/>
        </w:rPr>
        <w:t xml:space="preserve"> 41.8 mg laktoze; </w:t>
      </w:r>
      <w:r w:rsidR="00195721" w:rsidRPr="00B32307">
        <w:rPr>
          <w:bCs/>
          <w:sz w:val="22"/>
          <w:szCs w:val="22"/>
          <w:lang w:val="sr-Latn-RS"/>
        </w:rPr>
        <w:t>1.24</w:t>
      </w:r>
      <w:r w:rsidR="004F43C1" w:rsidRPr="00B32307">
        <w:rPr>
          <w:bCs/>
          <w:sz w:val="22"/>
          <w:szCs w:val="22"/>
          <w:lang w:val="sr-Latn-RS"/>
        </w:rPr>
        <w:t xml:space="preserve"> mg boja sunset yellow FCF (E110)</w:t>
      </w:r>
      <w:r w:rsidR="00195721" w:rsidRPr="00B32307">
        <w:rPr>
          <w:bCs/>
          <w:sz w:val="22"/>
          <w:szCs w:val="22"/>
          <w:lang w:val="sr-Latn-RS"/>
        </w:rPr>
        <w:t>; ricinusovo ulje, hidrogenizovano.</w:t>
      </w:r>
    </w:p>
    <w:p w14:paraId="6325CAB0" w14:textId="77777777" w:rsidR="004F43C1" w:rsidRPr="00B32307" w:rsidRDefault="004F43C1" w:rsidP="004F43C1">
      <w:pPr>
        <w:pStyle w:val="Header"/>
        <w:tabs>
          <w:tab w:val="left" w:pos="284"/>
        </w:tabs>
        <w:jc w:val="both"/>
        <w:rPr>
          <w:bCs/>
          <w:sz w:val="22"/>
          <w:szCs w:val="22"/>
          <w:lang w:val="sr-Latn-RS"/>
        </w:rPr>
      </w:pPr>
    </w:p>
    <w:p w14:paraId="3BDDA927" w14:textId="77777777" w:rsidR="004F43C1" w:rsidRPr="00B32307" w:rsidRDefault="004F43C1" w:rsidP="004F43C1">
      <w:pPr>
        <w:pStyle w:val="Header"/>
        <w:tabs>
          <w:tab w:val="left" w:pos="284"/>
        </w:tabs>
        <w:jc w:val="both"/>
        <w:rPr>
          <w:bCs/>
          <w:sz w:val="22"/>
          <w:szCs w:val="22"/>
          <w:lang w:val="sr-Latn-RS"/>
        </w:rPr>
      </w:pPr>
      <w:r w:rsidRPr="00B32307">
        <w:rPr>
          <w:bCs/>
          <w:sz w:val="22"/>
          <w:szCs w:val="22"/>
          <w:lang w:val="sr-Latn-RS"/>
        </w:rPr>
        <w:t>REQUIP MODUTAB, tablete sa produženim oslobađanjem, 8 mg:</w:t>
      </w:r>
    </w:p>
    <w:p w14:paraId="41AF0BD8" w14:textId="77777777" w:rsidR="004F43C1" w:rsidRPr="00B32307" w:rsidRDefault="004F43C1" w:rsidP="004F43C1">
      <w:pPr>
        <w:pStyle w:val="Header"/>
        <w:tabs>
          <w:tab w:val="left" w:pos="284"/>
        </w:tabs>
        <w:jc w:val="both"/>
        <w:rPr>
          <w:bCs/>
          <w:sz w:val="22"/>
          <w:szCs w:val="22"/>
          <w:lang w:val="sr-Latn-RS"/>
        </w:rPr>
      </w:pPr>
      <w:r w:rsidRPr="00B32307">
        <w:rPr>
          <w:bCs/>
          <w:sz w:val="22"/>
          <w:szCs w:val="22"/>
          <w:lang w:val="sr-Latn-RS"/>
        </w:rPr>
        <w:t>Svaka tableta sa produženim oslobađanjem sadrži 8 mg ropinirola (u obliku ropinirol hidrohlorida).</w:t>
      </w:r>
    </w:p>
    <w:p w14:paraId="3F2B7E9E" w14:textId="57289DE7" w:rsidR="006B1E44" w:rsidRPr="00B32307" w:rsidRDefault="004F43C1" w:rsidP="004F43C1">
      <w:pPr>
        <w:pStyle w:val="Header"/>
        <w:tabs>
          <w:tab w:val="left" w:pos="284"/>
        </w:tabs>
        <w:jc w:val="both"/>
        <w:rPr>
          <w:bCs/>
          <w:sz w:val="22"/>
          <w:szCs w:val="22"/>
          <w:lang w:val="sr-Latn-RS"/>
        </w:rPr>
      </w:pPr>
      <w:r w:rsidRPr="00B32307">
        <w:rPr>
          <w:bCs/>
          <w:sz w:val="22"/>
          <w:szCs w:val="22"/>
          <w:u w:val="single"/>
          <w:lang w:val="sr-Latn-RS"/>
        </w:rPr>
        <w:t>Pomoćne supstance sa potvrđenim dejstvom</w:t>
      </w:r>
    </w:p>
    <w:p w14:paraId="73662CAA" w14:textId="3F1980C7" w:rsidR="004F43C1" w:rsidRPr="00B32307" w:rsidRDefault="006B1E44" w:rsidP="004F43C1">
      <w:pPr>
        <w:pStyle w:val="Header"/>
        <w:tabs>
          <w:tab w:val="left" w:pos="284"/>
        </w:tabs>
        <w:jc w:val="both"/>
        <w:rPr>
          <w:bCs/>
          <w:sz w:val="22"/>
          <w:szCs w:val="22"/>
          <w:lang w:val="sr-Latn-RS"/>
        </w:rPr>
      </w:pPr>
      <w:r w:rsidRPr="00B32307">
        <w:rPr>
          <w:bCs/>
          <w:sz w:val="22"/>
          <w:szCs w:val="22"/>
          <w:lang w:val="sr-Latn-RS"/>
        </w:rPr>
        <w:t>Svaka tableta sadrži</w:t>
      </w:r>
      <w:r w:rsidR="004F43C1" w:rsidRPr="00B32307">
        <w:rPr>
          <w:bCs/>
          <w:sz w:val="22"/>
          <w:szCs w:val="22"/>
          <w:lang w:val="sr-Latn-RS"/>
        </w:rPr>
        <w:t xml:space="preserve"> 37.5</w:t>
      </w:r>
      <w:r w:rsidR="00D250B5">
        <w:rPr>
          <w:bCs/>
          <w:sz w:val="22"/>
          <w:szCs w:val="22"/>
          <w:lang w:val="sr-Latn-RS"/>
        </w:rPr>
        <w:t xml:space="preserve"> </w:t>
      </w:r>
      <w:r w:rsidR="004F43C1" w:rsidRPr="00B32307">
        <w:rPr>
          <w:bCs/>
          <w:sz w:val="22"/>
          <w:szCs w:val="22"/>
          <w:lang w:val="sr-Latn-RS"/>
        </w:rPr>
        <w:t>mg laktoze</w:t>
      </w:r>
      <w:r w:rsidR="00195721" w:rsidRPr="00B32307">
        <w:rPr>
          <w:bCs/>
          <w:sz w:val="22"/>
          <w:szCs w:val="22"/>
          <w:lang w:val="sr-Latn-RS"/>
        </w:rPr>
        <w:t>; ricinusovo ulje, hidrogenizovano.</w:t>
      </w:r>
    </w:p>
    <w:p w14:paraId="31CC75BD" w14:textId="77777777" w:rsidR="005A0B2E" w:rsidRPr="00B32307" w:rsidRDefault="005A0B2E">
      <w:pPr>
        <w:rPr>
          <w:sz w:val="22"/>
          <w:szCs w:val="22"/>
          <w:lang w:val="sr-Latn-RS"/>
        </w:rPr>
      </w:pPr>
    </w:p>
    <w:p w14:paraId="0BCD906E" w14:textId="77777777" w:rsidR="0003793F" w:rsidRPr="00B32307" w:rsidRDefault="0003793F">
      <w:pPr>
        <w:rPr>
          <w:sz w:val="22"/>
          <w:szCs w:val="22"/>
          <w:lang w:val="sr-Latn-RS"/>
        </w:rPr>
      </w:pPr>
      <w:r w:rsidRPr="00B32307">
        <w:rPr>
          <w:sz w:val="22"/>
          <w:szCs w:val="22"/>
          <w:lang w:val="sr-Latn-RS"/>
        </w:rPr>
        <w:t>Za spisak svih ekscipijenasa, pogledati dio 6.1.</w:t>
      </w:r>
    </w:p>
    <w:p w14:paraId="682A8B59" w14:textId="6F7C5BDD" w:rsidR="00C37FD7" w:rsidRPr="00B32307" w:rsidRDefault="00C37FD7">
      <w:pPr>
        <w:rPr>
          <w:sz w:val="22"/>
          <w:szCs w:val="22"/>
          <w:lang w:val="sr-Latn-RS"/>
        </w:rPr>
      </w:pPr>
    </w:p>
    <w:p w14:paraId="10DD173D" w14:textId="77777777" w:rsidR="00BA0F0B" w:rsidRPr="00B32307" w:rsidRDefault="00BA0F0B">
      <w:pPr>
        <w:rPr>
          <w:sz w:val="22"/>
          <w:szCs w:val="22"/>
          <w:lang w:val="sr-Latn-RS"/>
        </w:rPr>
      </w:pPr>
    </w:p>
    <w:p w14:paraId="4330C8CC" w14:textId="77777777" w:rsidR="00411B4B" w:rsidRPr="00B32307" w:rsidRDefault="00411B4B" w:rsidP="00F5167F">
      <w:pPr>
        <w:tabs>
          <w:tab w:val="left" w:pos="540"/>
          <w:tab w:val="left" w:pos="569"/>
        </w:tabs>
        <w:rPr>
          <w:b/>
          <w:bCs/>
          <w:sz w:val="22"/>
          <w:szCs w:val="22"/>
          <w:lang w:val="sr-Latn-RS"/>
        </w:rPr>
      </w:pPr>
      <w:r w:rsidRPr="00B32307">
        <w:rPr>
          <w:b/>
          <w:bCs/>
          <w:sz w:val="22"/>
          <w:szCs w:val="22"/>
          <w:lang w:val="sr-Latn-RS"/>
        </w:rPr>
        <w:t xml:space="preserve">3. </w:t>
      </w:r>
      <w:r w:rsidR="00F5167F" w:rsidRPr="00B32307">
        <w:rPr>
          <w:b/>
          <w:bCs/>
          <w:sz w:val="22"/>
          <w:szCs w:val="22"/>
          <w:lang w:val="sr-Latn-RS"/>
        </w:rPr>
        <w:tab/>
      </w:r>
      <w:r w:rsidRPr="00B32307">
        <w:rPr>
          <w:b/>
          <w:bCs/>
          <w:sz w:val="22"/>
          <w:szCs w:val="22"/>
          <w:lang w:val="sr-Latn-RS"/>
        </w:rPr>
        <w:t>FARMACEUTSKI OBLIK</w:t>
      </w:r>
      <w:r w:rsidR="009F2D23" w:rsidRPr="00B32307">
        <w:rPr>
          <w:b/>
          <w:bCs/>
          <w:sz w:val="22"/>
          <w:szCs w:val="22"/>
          <w:lang w:val="sr-Latn-RS"/>
        </w:rPr>
        <w:t xml:space="preserve"> </w:t>
      </w:r>
    </w:p>
    <w:p w14:paraId="01ECC82D" w14:textId="77777777" w:rsidR="00BA0F0B" w:rsidRPr="00B32307" w:rsidRDefault="00BA0F0B" w:rsidP="002409B1">
      <w:pPr>
        <w:pStyle w:val="Header"/>
        <w:tabs>
          <w:tab w:val="left" w:pos="284"/>
        </w:tabs>
        <w:jc w:val="both"/>
        <w:rPr>
          <w:sz w:val="22"/>
          <w:szCs w:val="22"/>
          <w:lang w:val="sr-Latn-RS"/>
        </w:rPr>
      </w:pPr>
    </w:p>
    <w:p w14:paraId="4194106D" w14:textId="6E4C5885" w:rsidR="002409B1" w:rsidRPr="00B32307" w:rsidRDefault="002409B1" w:rsidP="002409B1">
      <w:pPr>
        <w:pStyle w:val="Header"/>
        <w:tabs>
          <w:tab w:val="left" w:pos="284"/>
        </w:tabs>
        <w:jc w:val="both"/>
        <w:rPr>
          <w:sz w:val="22"/>
          <w:szCs w:val="22"/>
          <w:lang w:val="sr-Latn-RS"/>
        </w:rPr>
      </w:pPr>
      <w:r w:rsidRPr="00B32307">
        <w:rPr>
          <w:sz w:val="22"/>
          <w:szCs w:val="22"/>
          <w:lang w:val="sr-Latn-RS"/>
        </w:rPr>
        <w:t>Tableta sa produženim oslobađanjem.</w:t>
      </w:r>
    </w:p>
    <w:p w14:paraId="68470906" w14:textId="77777777" w:rsidR="002409B1" w:rsidRPr="00B32307" w:rsidRDefault="002409B1" w:rsidP="002409B1">
      <w:pPr>
        <w:pStyle w:val="Header"/>
        <w:tabs>
          <w:tab w:val="left" w:pos="284"/>
        </w:tabs>
        <w:jc w:val="both"/>
        <w:rPr>
          <w:sz w:val="22"/>
          <w:szCs w:val="22"/>
          <w:lang w:val="sr-Latn-RS"/>
        </w:rPr>
      </w:pPr>
    </w:p>
    <w:p w14:paraId="08322CCF" w14:textId="77777777" w:rsidR="002409B1" w:rsidRPr="00B32307" w:rsidRDefault="002409B1" w:rsidP="002409B1">
      <w:pPr>
        <w:pStyle w:val="Header"/>
        <w:tabs>
          <w:tab w:val="left" w:pos="284"/>
        </w:tabs>
        <w:jc w:val="both"/>
        <w:rPr>
          <w:bCs/>
          <w:sz w:val="22"/>
          <w:szCs w:val="22"/>
          <w:lang w:val="sr-Latn-RS"/>
        </w:rPr>
      </w:pPr>
      <w:r w:rsidRPr="00B32307">
        <w:rPr>
          <w:bCs/>
          <w:sz w:val="22"/>
          <w:szCs w:val="22"/>
          <w:lang w:val="sr-Latn-RS"/>
        </w:rPr>
        <w:t>REQUIP MODUTAB, tablete sa produženim oslobađanjem, 2 mg:</w:t>
      </w:r>
    </w:p>
    <w:p w14:paraId="07EDBDD2" w14:textId="77777777" w:rsidR="002409B1" w:rsidRPr="00B32307" w:rsidRDefault="002409B1" w:rsidP="002409B1">
      <w:pPr>
        <w:contextualSpacing/>
        <w:jc w:val="both"/>
        <w:rPr>
          <w:bCs/>
          <w:sz w:val="22"/>
          <w:szCs w:val="22"/>
          <w:lang w:val="sr-Latn-RS"/>
        </w:rPr>
      </w:pPr>
      <w:r w:rsidRPr="00B32307">
        <w:rPr>
          <w:bCs/>
          <w:sz w:val="22"/>
          <w:szCs w:val="22"/>
          <w:lang w:val="sr-Latn-RS"/>
        </w:rPr>
        <w:t>Ružičaste bikonveksne film tablete duguljastog oblika, sa utisnutim oznakama "GS" sa jedne strane i "3V2" sa druge strane.</w:t>
      </w:r>
    </w:p>
    <w:p w14:paraId="4697D2BE" w14:textId="77777777" w:rsidR="002409B1" w:rsidRPr="00B32307" w:rsidRDefault="002409B1" w:rsidP="002409B1">
      <w:pPr>
        <w:contextualSpacing/>
        <w:jc w:val="both"/>
        <w:rPr>
          <w:bCs/>
          <w:sz w:val="22"/>
          <w:szCs w:val="22"/>
          <w:lang w:val="sr-Latn-RS"/>
        </w:rPr>
      </w:pPr>
    </w:p>
    <w:p w14:paraId="497C985E" w14:textId="77777777" w:rsidR="002409B1" w:rsidRPr="00B32307" w:rsidRDefault="002409B1" w:rsidP="002409B1">
      <w:pPr>
        <w:contextualSpacing/>
        <w:jc w:val="both"/>
        <w:rPr>
          <w:bCs/>
          <w:sz w:val="22"/>
          <w:szCs w:val="22"/>
          <w:lang w:val="sr-Latn-RS"/>
        </w:rPr>
      </w:pPr>
      <w:r w:rsidRPr="00B32307">
        <w:rPr>
          <w:bCs/>
          <w:sz w:val="22"/>
          <w:szCs w:val="22"/>
          <w:lang w:val="sr-Latn-RS"/>
        </w:rPr>
        <w:t>REQUIP MODUTAB, tablete sa produženim oslobađanjem, 4 mg:</w:t>
      </w:r>
    </w:p>
    <w:p w14:paraId="4BEE23B7" w14:textId="77777777" w:rsidR="002409B1" w:rsidRPr="00B32307" w:rsidRDefault="002409B1" w:rsidP="002409B1">
      <w:pPr>
        <w:pStyle w:val="Header"/>
        <w:tabs>
          <w:tab w:val="left" w:pos="284"/>
        </w:tabs>
        <w:jc w:val="both"/>
        <w:rPr>
          <w:bCs/>
          <w:sz w:val="22"/>
          <w:szCs w:val="22"/>
          <w:lang w:val="sr-Latn-RS"/>
        </w:rPr>
      </w:pPr>
      <w:r w:rsidRPr="00B32307">
        <w:rPr>
          <w:bCs/>
          <w:sz w:val="22"/>
          <w:szCs w:val="22"/>
          <w:lang w:val="sr-Latn-RS"/>
        </w:rPr>
        <w:t>Svjetlo braon bikonveksne film tablete duguljastog oblika, sa utisnutim oznakama "GS" sa jedne strane i "WXG" sa druge strane.</w:t>
      </w:r>
    </w:p>
    <w:p w14:paraId="09DD0DF5" w14:textId="77777777" w:rsidR="002409B1" w:rsidRPr="00B32307" w:rsidRDefault="002409B1" w:rsidP="002409B1">
      <w:pPr>
        <w:pStyle w:val="Header"/>
        <w:tabs>
          <w:tab w:val="left" w:pos="284"/>
        </w:tabs>
        <w:jc w:val="both"/>
        <w:rPr>
          <w:bCs/>
          <w:sz w:val="22"/>
          <w:szCs w:val="22"/>
          <w:lang w:val="sr-Latn-RS"/>
        </w:rPr>
      </w:pPr>
    </w:p>
    <w:p w14:paraId="006D27C1" w14:textId="77777777" w:rsidR="002409B1" w:rsidRPr="00B32307" w:rsidRDefault="002409B1" w:rsidP="002409B1">
      <w:pPr>
        <w:pStyle w:val="Header"/>
        <w:tabs>
          <w:tab w:val="left" w:pos="284"/>
        </w:tabs>
        <w:jc w:val="both"/>
        <w:rPr>
          <w:bCs/>
          <w:sz w:val="22"/>
          <w:szCs w:val="22"/>
          <w:lang w:val="sr-Latn-RS"/>
        </w:rPr>
      </w:pPr>
      <w:r w:rsidRPr="00B32307">
        <w:rPr>
          <w:bCs/>
          <w:sz w:val="22"/>
          <w:szCs w:val="22"/>
          <w:lang w:val="sr-Latn-RS"/>
        </w:rPr>
        <w:t>REQUIP MODUTAB, tablete sa produženim oslobađanjem, 8 mg:</w:t>
      </w:r>
    </w:p>
    <w:p w14:paraId="769ACFFB" w14:textId="77777777" w:rsidR="00411B4B" w:rsidRPr="00B32307" w:rsidRDefault="002409B1" w:rsidP="002409B1">
      <w:pPr>
        <w:pStyle w:val="Header"/>
        <w:tabs>
          <w:tab w:val="left" w:pos="284"/>
        </w:tabs>
        <w:jc w:val="both"/>
        <w:rPr>
          <w:bCs/>
          <w:sz w:val="22"/>
          <w:szCs w:val="22"/>
          <w:lang w:val="sr-Latn-RS"/>
        </w:rPr>
      </w:pPr>
      <w:r w:rsidRPr="00B32307">
        <w:rPr>
          <w:bCs/>
          <w:sz w:val="22"/>
          <w:szCs w:val="22"/>
          <w:lang w:val="sr-Latn-RS"/>
        </w:rPr>
        <w:t>Smeđe-crvene bikonveksne film tablete duguljastog oblika, sa utisnutim oznakama "GS" sa jedne strane i "5CC" sa druge strane.</w:t>
      </w:r>
    </w:p>
    <w:p w14:paraId="2C29CB38" w14:textId="164C7C3B" w:rsidR="00EC2532" w:rsidRPr="00B32307" w:rsidRDefault="00EC2532">
      <w:pPr>
        <w:rPr>
          <w:bCs/>
          <w:sz w:val="22"/>
          <w:szCs w:val="22"/>
          <w:lang w:val="sr-Latn-RS"/>
        </w:rPr>
      </w:pPr>
    </w:p>
    <w:p w14:paraId="0F469F4E" w14:textId="77777777" w:rsidR="00BA0F0B" w:rsidRPr="00B32307" w:rsidRDefault="00BA0F0B">
      <w:pPr>
        <w:rPr>
          <w:bCs/>
          <w:sz w:val="22"/>
          <w:szCs w:val="22"/>
          <w:lang w:val="sr-Latn-RS"/>
        </w:rPr>
      </w:pPr>
    </w:p>
    <w:p w14:paraId="5A65EC19" w14:textId="77777777" w:rsidR="00411B4B" w:rsidRPr="00B32307" w:rsidRDefault="00411B4B" w:rsidP="00F5167F">
      <w:pPr>
        <w:tabs>
          <w:tab w:val="left" w:pos="540"/>
          <w:tab w:val="left" w:pos="569"/>
        </w:tabs>
        <w:rPr>
          <w:b/>
          <w:bCs/>
          <w:sz w:val="22"/>
          <w:szCs w:val="22"/>
          <w:lang w:val="sr-Latn-RS"/>
        </w:rPr>
      </w:pPr>
      <w:r w:rsidRPr="00B32307">
        <w:rPr>
          <w:b/>
          <w:bCs/>
          <w:sz w:val="22"/>
          <w:szCs w:val="22"/>
          <w:lang w:val="sr-Latn-RS"/>
        </w:rPr>
        <w:t xml:space="preserve">4. </w:t>
      </w:r>
      <w:r w:rsidR="00480FB1" w:rsidRPr="00B32307">
        <w:rPr>
          <w:b/>
          <w:bCs/>
          <w:sz w:val="22"/>
          <w:szCs w:val="22"/>
          <w:lang w:val="sr-Latn-RS"/>
        </w:rPr>
        <w:tab/>
      </w:r>
      <w:r w:rsidRPr="00B32307">
        <w:rPr>
          <w:b/>
          <w:bCs/>
          <w:sz w:val="22"/>
          <w:szCs w:val="22"/>
          <w:lang w:val="sr-Latn-RS"/>
        </w:rPr>
        <w:t>KLINIČKI PODACI</w:t>
      </w:r>
    </w:p>
    <w:p w14:paraId="131F633C" w14:textId="77777777" w:rsidR="00CD6F02" w:rsidRPr="00B32307" w:rsidRDefault="00CD6F02" w:rsidP="00480FB1">
      <w:pPr>
        <w:tabs>
          <w:tab w:val="left" w:pos="540"/>
          <w:tab w:val="left" w:pos="569"/>
        </w:tabs>
        <w:rPr>
          <w:bCs/>
          <w:sz w:val="22"/>
          <w:szCs w:val="22"/>
          <w:lang w:val="sr-Latn-RS"/>
        </w:rPr>
      </w:pPr>
    </w:p>
    <w:p w14:paraId="362EBAB5" w14:textId="77777777" w:rsidR="00411B4B" w:rsidRPr="00B32307" w:rsidRDefault="00411B4B" w:rsidP="00480FB1">
      <w:pPr>
        <w:tabs>
          <w:tab w:val="left" w:pos="540"/>
          <w:tab w:val="left" w:pos="569"/>
        </w:tabs>
        <w:rPr>
          <w:b/>
          <w:bCs/>
          <w:sz w:val="22"/>
          <w:szCs w:val="22"/>
          <w:lang w:val="sr-Latn-RS"/>
        </w:rPr>
      </w:pPr>
      <w:r w:rsidRPr="00B32307">
        <w:rPr>
          <w:b/>
          <w:bCs/>
          <w:sz w:val="22"/>
          <w:szCs w:val="22"/>
          <w:lang w:val="sr-Latn-RS"/>
        </w:rPr>
        <w:t xml:space="preserve">4.1. </w:t>
      </w:r>
      <w:r w:rsidR="00480FB1" w:rsidRPr="00B32307">
        <w:rPr>
          <w:b/>
          <w:bCs/>
          <w:sz w:val="22"/>
          <w:szCs w:val="22"/>
          <w:lang w:val="sr-Latn-RS"/>
        </w:rPr>
        <w:tab/>
      </w:r>
      <w:r w:rsidRPr="00B32307">
        <w:rPr>
          <w:b/>
          <w:bCs/>
          <w:sz w:val="22"/>
          <w:szCs w:val="22"/>
          <w:lang w:val="sr-Latn-RS"/>
        </w:rPr>
        <w:t>Terapijske indikacije</w:t>
      </w:r>
    </w:p>
    <w:p w14:paraId="39BD774A" w14:textId="77777777" w:rsidR="001A36D3" w:rsidRPr="00B32307" w:rsidRDefault="001A36D3" w:rsidP="001A36D3">
      <w:pPr>
        <w:pStyle w:val="Header"/>
        <w:tabs>
          <w:tab w:val="left" w:pos="284"/>
        </w:tabs>
        <w:jc w:val="both"/>
        <w:rPr>
          <w:b/>
          <w:bCs/>
          <w:sz w:val="22"/>
          <w:szCs w:val="22"/>
          <w:lang w:val="sr-Latn-RS"/>
        </w:rPr>
      </w:pPr>
    </w:p>
    <w:p w14:paraId="34961AF0" w14:textId="77777777" w:rsidR="001A36D3" w:rsidRPr="00B32307" w:rsidRDefault="001A36D3" w:rsidP="001A36D3">
      <w:pPr>
        <w:contextualSpacing/>
        <w:jc w:val="both"/>
        <w:rPr>
          <w:sz w:val="22"/>
          <w:szCs w:val="22"/>
          <w:lang w:val="sr-Latn-RS"/>
        </w:rPr>
      </w:pPr>
      <w:r w:rsidRPr="00B32307">
        <w:rPr>
          <w:sz w:val="22"/>
          <w:szCs w:val="22"/>
          <w:lang w:val="sr-Latn-RS"/>
        </w:rPr>
        <w:t xml:space="preserve">Lijek </w:t>
      </w:r>
      <w:r w:rsidRPr="00B32307">
        <w:rPr>
          <w:bCs/>
          <w:sz w:val="22"/>
          <w:szCs w:val="22"/>
          <w:lang w:val="sr-Latn-RS"/>
        </w:rPr>
        <w:t>REQUIP MODUTAB</w:t>
      </w:r>
      <w:r w:rsidRPr="00B32307">
        <w:rPr>
          <w:sz w:val="22"/>
          <w:szCs w:val="22"/>
          <w:vertAlign w:val="superscript"/>
          <w:lang w:val="sr-Latn-RS"/>
        </w:rPr>
        <w:t xml:space="preserve"> </w:t>
      </w:r>
      <w:r w:rsidRPr="00B32307">
        <w:rPr>
          <w:sz w:val="22"/>
          <w:szCs w:val="22"/>
          <w:lang w:val="sr-Latn-RS"/>
        </w:rPr>
        <w:t xml:space="preserve">se koristi u terapiji </w:t>
      </w:r>
      <w:r w:rsidRPr="00B32307">
        <w:rPr>
          <w:bCs/>
          <w:sz w:val="22"/>
          <w:szCs w:val="22"/>
          <w:lang w:val="sr-Latn-RS"/>
        </w:rPr>
        <w:t>Parkinsonove bolesti u sljedećim slučajevima:</w:t>
      </w:r>
    </w:p>
    <w:p w14:paraId="7D9446D8" w14:textId="77777777" w:rsidR="001A36D3" w:rsidRPr="00B32307" w:rsidRDefault="001A36D3" w:rsidP="001A36D3">
      <w:pPr>
        <w:numPr>
          <w:ilvl w:val="0"/>
          <w:numId w:val="12"/>
        </w:numPr>
        <w:tabs>
          <w:tab w:val="num" w:pos="567"/>
        </w:tabs>
        <w:ind w:left="284" w:firstLine="0"/>
        <w:contextualSpacing/>
        <w:jc w:val="both"/>
        <w:rPr>
          <w:bCs/>
          <w:sz w:val="22"/>
          <w:szCs w:val="22"/>
          <w:lang w:val="sr-Latn-RS"/>
        </w:rPr>
      </w:pPr>
      <w:r w:rsidRPr="00B32307">
        <w:rPr>
          <w:bCs/>
          <w:sz w:val="22"/>
          <w:szCs w:val="22"/>
          <w:lang w:val="sr-Latn-RS"/>
        </w:rPr>
        <w:lastRenderedPageBreak/>
        <w:t>u inicijalnoj terapiji, kao monoterapija, u cilju odlaganja uvođenja levodope</w:t>
      </w:r>
    </w:p>
    <w:p w14:paraId="3C6ECE9F" w14:textId="77777777" w:rsidR="001A36D3" w:rsidRPr="00B32307" w:rsidRDefault="001A36D3" w:rsidP="001A36D3">
      <w:pPr>
        <w:numPr>
          <w:ilvl w:val="0"/>
          <w:numId w:val="12"/>
        </w:numPr>
        <w:tabs>
          <w:tab w:val="num" w:pos="567"/>
        </w:tabs>
        <w:ind w:left="567" w:hanging="283"/>
        <w:contextualSpacing/>
        <w:jc w:val="both"/>
        <w:rPr>
          <w:bCs/>
          <w:sz w:val="22"/>
          <w:szCs w:val="22"/>
          <w:lang w:val="sr-Latn-RS"/>
        </w:rPr>
      </w:pPr>
      <w:r w:rsidRPr="00B32307">
        <w:rPr>
          <w:bCs/>
          <w:sz w:val="22"/>
          <w:szCs w:val="22"/>
          <w:lang w:val="sr-Latn-RS"/>
        </w:rPr>
        <w:t>u kombinovanoj terapiji sa levodopom, kada u toku razvoja bolesti efekat levodope oslabi ili postane neadekvatan i jave se oscilacije u terapijskom efektu lijeka ("</w:t>
      </w:r>
      <w:r w:rsidRPr="00B32307">
        <w:rPr>
          <w:bCs/>
          <w:i/>
          <w:sz w:val="22"/>
          <w:szCs w:val="22"/>
          <w:lang w:val="sr-Latn-RS"/>
        </w:rPr>
        <w:t>end of dose</w:t>
      </w:r>
      <w:r w:rsidRPr="00B32307">
        <w:rPr>
          <w:bCs/>
          <w:sz w:val="22"/>
          <w:szCs w:val="22"/>
          <w:lang w:val="sr-Latn-RS"/>
        </w:rPr>
        <w:t>" ili "</w:t>
      </w:r>
      <w:r w:rsidRPr="00B32307">
        <w:rPr>
          <w:bCs/>
          <w:i/>
          <w:sz w:val="22"/>
          <w:szCs w:val="22"/>
          <w:lang w:val="sr-Latn-RS"/>
        </w:rPr>
        <w:t>on-off</w:t>
      </w:r>
      <w:r w:rsidRPr="00B32307">
        <w:rPr>
          <w:bCs/>
          <w:sz w:val="22"/>
          <w:szCs w:val="22"/>
          <w:lang w:val="sr-Latn-RS"/>
        </w:rPr>
        <w:t>" tipovi fluktuacija)</w:t>
      </w:r>
    </w:p>
    <w:p w14:paraId="01F970DF" w14:textId="77777777" w:rsidR="00411B4B" w:rsidRPr="00B32307" w:rsidRDefault="00411B4B" w:rsidP="00480FB1">
      <w:pPr>
        <w:tabs>
          <w:tab w:val="left" w:pos="540"/>
          <w:tab w:val="left" w:pos="569"/>
        </w:tabs>
        <w:rPr>
          <w:bCs/>
          <w:sz w:val="22"/>
          <w:szCs w:val="22"/>
          <w:lang w:val="sr-Latn-RS"/>
        </w:rPr>
      </w:pPr>
    </w:p>
    <w:p w14:paraId="596BDCF3" w14:textId="77777777" w:rsidR="00411B4B" w:rsidRPr="00B32307" w:rsidRDefault="00411B4B" w:rsidP="00480FB1">
      <w:pPr>
        <w:tabs>
          <w:tab w:val="left" w:pos="540"/>
          <w:tab w:val="left" w:pos="569"/>
        </w:tabs>
        <w:rPr>
          <w:b/>
          <w:bCs/>
          <w:sz w:val="22"/>
          <w:szCs w:val="22"/>
          <w:lang w:val="sr-Latn-RS"/>
        </w:rPr>
      </w:pPr>
      <w:r w:rsidRPr="00B32307">
        <w:rPr>
          <w:b/>
          <w:bCs/>
          <w:sz w:val="22"/>
          <w:szCs w:val="22"/>
          <w:lang w:val="sr-Latn-RS"/>
        </w:rPr>
        <w:t xml:space="preserve">4.2. </w:t>
      </w:r>
      <w:r w:rsidR="00480FB1" w:rsidRPr="00B32307">
        <w:rPr>
          <w:b/>
          <w:bCs/>
          <w:sz w:val="22"/>
          <w:szCs w:val="22"/>
          <w:lang w:val="sr-Latn-RS"/>
        </w:rPr>
        <w:tab/>
      </w:r>
      <w:r w:rsidRPr="00B32307">
        <w:rPr>
          <w:b/>
          <w:bCs/>
          <w:sz w:val="22"/>
          <w:szCs w:val="22"/>
          <w:lang w:val="sr-Latn-RS"/>
        </w:rPr>
        <w:t>Doziranje i način primjene</w:t>
      </w:r>
    </w:p>
    <w:p w14:paraId="1A082A21" w14:textId="77777777" w:rsidR="0072020E" w:rsidRPr="00B32307" w:rsidRDefault="0072020E" w:rsidP="00480FB1">
      <w:pPr>
        <w:tabs>
          <w:tab w:val="left" w:pos="540"/>
          <w:tab w:val="left" w:pos="569"/>
        </w:tabs>
        <w:rPr>
          <w:bCs/>
          <w:sz w:val="22"/>
          <w:szCs w:val="22"/>
          <w:lang w:val="sr-Latn-RS"/>
        </w:rPr>
      </w:pPr>
    </w:p>
    <w:p w14:paraId="4644E1EB" w14:textId="77777777" w:rsidR="00835BFF" w:rsidRPr="00B32307" w:rsidRDefault="00835BFF" w:rsidP="00835BFF">
      <w:pPr>
        <w:contextualSpacing/>
        <w:jc w:val="both"/>
        <w:rPr>
          <w:bCs/>
          <w:sz w:val="22"/>
          <w:szCs w:val="22"/>
          <w:lang w:val="sr-Latn-RS"/>
        </w:rPr>
      </w:pPr>
      <w:r w:rsidRPr="00B32307">
        <w:rPr>
          <w:bCs/>
          <w:sz w:val="22"/>
          <w:szCs w:val="22"/>
          <w:lang w:val="sr-Latn-RS"/>
        </w:rPr>
        <w:t>Za oralnu primjenu.</w:t>
      </w:r>
    </w:p>
    <w:p w14:paraId="5B9BDB79" w14:textId="77777777" w:rsidR="00835BFF" w:rsidRPr="00B32307" w:rsidRDefault="00835BFF" w:rsidP="00835BFF">
      <w:pPr>
        <w:contextualSpacing/>
        <w:jc w:val="both"/>
        <w:rPr>
          <w:bCs/>
          <w:sz w:val="22"/>
          <w:szCs w:val="22"/>
          <w:lang w:val="sr-Latn-RS"/>
        </w:rPr>
      </w:pPr>
    </w:p>
    <w:p w14:paraId="053F8867" w14:textId="77777777" w:rsidR="00835BFF" w:rsidRPr="00B32307" w:rsidRDefault="00835BFF" w:rsidP="00835BFF">
      <w:pPr>
        <w:contextualSpacing/>
        <w:jc w:val="both"/>
        <w:rPr>
          <w:bCs/>
          <w:sz w:val="22"/>
          <w:szCs w:val="22"/>
          <w:u w:val="single"/>
          <w:lang w:val="sr-Latn-RS"/>
        </w:rPr>
      </w:pPr>
      <w:r w:rsidRPr="00B32307">
        <w:rPr>
          <w:bCs/>
          <w:sz w:val="22"/>
          <w:szCs w:val="22"/>
          <w:u w:val="single"/>
          <w:lang w:val="sr-Latn-RS"/>
        </w:rPr>
        <w:t>Odrasli</w:t>
      </w:r>
    </w:p>
    <w:p w14:paraId="716089EB" w14:textId="512201B2" w:rsidR="00835BFF" w:rsidRPr="00B32307" w:rsidRDefault="00835BFF" w:rsidP="00835BFF">
      <w:pPr>
        <w:contextualSpacing/>
        <w:jc w:val="both"/>
        <w:rPr>
          <w:sz w:val="22"/>
          <w:szCs w:val="22"/>
          <w:lang w:val="sr-Latn-RS"/>
        </w:rPr>
      </w:pPr>
      <w:r w:rsidRPr="00B32307">
        <w:rPr>
          <w:bCs/>
          <w:sz w:val="22"/>
          <w:szCs w:val="22"/>
          <w:lang w:val="sr-Latn-RS"/>
        </w:rPr>
        <w:t xml:space="preserve">Preporučuje se individualno prilagođavanje doze u zavisnosti od efikasnosti i tolerancije na lijek. Lijek REQUIP MODUTAB se primjenjuje jednom dnevno, približno u isto vrijeme svakog dana. </w:t>
      </w:r>
      <w:r w:rsidRPr="00B32307">
        <w:rPr>
          <w:sz w:val="22"/>
          <w:szCs w:val="22"/>
          <w:lang w:val="sr-Latn-RS"/>
        </w:rPr>
        <w:t xml:space="preserve">Lijek </w:t>
      </w:r>
      <w:r w:rsidRPr="00B32307">
        <w:rPr>
          <w:bCs/>
          <w:sz w:val="22"/>
          <w:szCs w:val="22"/>
          <w:lang w:val="sr-Latn-RS"/>
        </w:rPr>
        <w:t xml:space="preserve">REQUIP MODUTAB </w:t>
      </w:r>
      <w:r w:rsidRPr="00B32307">
        <w:rPr>
          <w:sz w:val="22"/>
          <w:szCs w:val="22"/>
          <w:lang w:val="sr-Latn-RS"/>
        </w:rPr>
        <w:t xml:space="preserve">može biti primijenjen uz obrok ili nezavisno od njega (vidjeti </w:t>
      </w:r>
      <w:r w:rsidR="00AE48A4" w:rsidRPr="00B32307">
        <w:rPr>
          <w:sz w:val="22"/>
          <w:szCs w:val="22"/>
          <w:lang w:val="sr-Latn-RS"/>
        </w:rPr>
        <w:t>dio</w:t>
      </w:r>
      <w:r w:rsidRPr="00B32307">
        <w:rPr>
          <w:sz w:val="22"/>
          <w:szCs w:val="22"/>
          <w:lang w:val="sr-Latn-RS"/>
        </w:rPr>
        <w:t xml:space="preserve"> 5.2).</w:t>
      </w:r>
    </w:p>
    <w:p w14:paraId="1F97E68C" w14:textId="77777777" w:rsidR="00835BFF" w:rsidRPr="00B32307" w:rsidRDefault="00835BFF" w:rsidP="00835BFF">
      <w:pPr>
        <w:contextualSpacing/>
        <w:jc w:val="both"/>
        <w:rPr>
          <w:bCs/>
          <w:sz w:val="22"/>
          <w:szCs w:val="22"/>
          <w:lang w:val="sr-Latn-RS"/>
        </w:rPr>
      </w:pPr>
    </w:p>
    <w:p w14:paraId="21744B2C" w14:textId="77777777" w:rsidR="00835BFF" w:rsidRPr="00B32307" w:rsidRDefault="00835BFF" w:rsidP="00835BFF">
      <w:pPr>
        <w:pStyle w:val="Header"/>
        <w:tabs>
          <w:tab w:val="left" w:pos="284"/>
        </w:tabs>
        <w:jc w:val="both"/>
        <w:rPr>
          <w:sz w:val="22"/>
          <w:szCs w:val="22"/>
          <w:lang w:val="sr-Latn-RS"/>
        </w:rPr>
      </w:pPr>
      <w:r w:rsidRPr="00B32307">
        <w:rPr>
          <w:bCs/>
          <w:sz w:val="22"/>
          <w:szCs w:val="22"/>
          <w:lang w:val="sr-Latn-RS"/>
        </w:rPr>
        <w:t>REQUIP MODUTAB, tablete sa produženim oslobađanjem,</w:t>
      </w:r>
      <w:r w:rsidRPr="00B32307">
        <w:rPr>
          <w:sz w:val="22"/>
          <w:szCs w:val="22"/>
          <w:lang w:val="sr-Latn-RS"/>
        </w:rPr>
        <w:t xml:space="preserve"> je potrebno progutati cijele, ne žvakati ih, ne lomiti ili dijeliti.</w:t>
      </w:r>
    </w:p>
    <w:p w14:paraId="0574A750" w14:textId="77777777" w:rsidR="00835BFF" w:rsidRPr="00B32307" w:rsidRDefault="00835BFF" w:rsidP="00835BFF">
      <w:pPr>
        <w:contextualSpacing/>
        <w:jc w:val="both"/>
        <w:rPr>
          <w:bCs/>
          <w:sz w:val="22"/>
          <w:szCs w:val="22"/>
          <w:lang w:val="sr-Latn-RS"/>
        </w:rPr>
      </w:pPr>
    </w:p>
    <w:p w14:paraId="674350BF" w14:textId="77777777" w:rsidR="00835BFF" w:rsidRPr="00B32307" w:rsidRDefault="00835BFF" w:rsidP="00835BFF">
      <w:pPr>
        <w:contextualSpacing/>
        <w:jc w:val="both"/>
        <w:rPr>
          <w:bCs/>
          <w:i/>
          <w:sz w:val="22"/>
          <w:szCs w:val="22"/>
          <w:lang w:val="sr-Latn-RS"/>
        </w:rPr>
      </w:pPr>
      <w:r w:rsidRPr="00B32307">
        <w:rPr>
          <w:bCs/>
          <w:i/>
          <w:sz w:val="22"/>
          <w:szCs w:val="22"/>
          <w:lang w:val="sr-Latn-RS"/>
        </w:rPr>
        <w:t>Inicijalna titracija doze</w:t>
      </w:r>
    </w:p>
    <w:p w14:paraId="1C7DA16E" w14:textId="77777777" w:rsidR="00835BFF" w:rsidRPr="00B32307" w:rsidRDefault="00835BFF" w:rsidP="00835BFF">
      <w:pPr>
        <w:contextualSpacing/>
        <w:jc w:val="both"/>
        <w:rPr>
          <w:bCs/>
          <w:sz w:val="22"/>
          <w:szCs w:val="22"/>
          <w:lang w:val="sr-Latn-RS"/>
        </w:rPr>
      </w:pPr>
      <w:r w:rsidRPr="00B32307">
        <w:rPr>
          <w:bCs/>
          <w:sz w:val="22"/>
          <w:szCs w:val="22"/>
          <w:lang w:val="sr-Latn-RS"/>
        </w:rPr>
        <w:t>Početna doza ropinirola, u obliku tablete sa produženim oslobađanjem, iznosi 2 mg primijenjena jednom dnevno tokom prve nedjelje terapije; navedenu dozu treba povećati na 4 mg primijenjenu jednom dnevno, počev od druge nedjelje terapije. Terapijski odgovor se može uočiti pri primjeni doze od 4 mg ropinirola, u obliku tablete sa produženim oslobađanjem, jednom dnevno.</w:t>
      </w:r>
    </w:p>
    <w:p w14:paraId="1AA6BDF9" w14:textId="77777777" w:rsidR="00835BFF" w:rsidRPr="00B32307" w:rsidRDefault="00835BFF" w:rsidP="00835BFF">
      <w:pPr>
        <w:contextualSpacing/>
        <w:jc w:val="both"/>
        <w:rPr>
          <w:bCs/>
          <w:sz w:val="22"/>
          <w:szCs w:val="22"/>
          <w:lang w:val="sr-Latn-RS"/>
        </w:rPr>
      </w:pPr>
    </w:p>
    <w:p w14:paraId="09D2B81A" w14:textId="77777777" w:rsidR="00835BFF" w:rsidRPr="00B32307" w:rsidRDefault="00835BFF" w:rsidP="00835BFF">
      <w:pPr>
        <w:contextualSpacing/>
        <w:jc w:val="both"/>
        <w:rPr>
          <w:bCs/>
          <w:sz w:val="22"/>
          <w:szCs w:val="22"/>
          <w:lang w:val="sr-Latn-RS"/>
        </w:rPr>
      </w:pPr>
      <w:r w:rsidRPr="00B32307">
        <w:rPr>
          <w:bCs/>
          <w:sz w:val="22"/>
          <w:szCs w:val="22"/>
          <w:lang w:val="sr-Latn-RS"/>
        </w:rPr>
        <w:t>Kod pacijenata koji započnu terapiju primjenom ropinirola u obliku tableta sa produženim oslobađanjem, u dozi od 2 mg/dnevno, kod kojih se jave neželjena dejstva koja ne mogu da podnesu, može biti od koristi prelazak na terapiju ropinirolom u obliku film tableta sa trenutnim oslobađanjem u manjim dnevnim dozama, podijeljenim u tri jednake pojedinačne doze.</w:t>
      </w:r>
    </w:p>
    <w:p w14:paraId="73ED6B39" w14:textId="77777777" w:rsidR="00835BFF" w:rsidRPr="00B32307" w:rsidRDefault="00835BFF" w:rsidP="00835BFF">
      <w:pPr>
        <w:contextualSpacing/>
        <w:jc w:val="both"/>
        <w:rPr>
          <w:bCs/>
          <w:sz w:val="22"/>
          <w:szCs w:val="22"/>
          <w:lang w:val="sr-Latn-RS"/>
        </w:rPr>
      </w:pPr>
    </w:p>
    <w:p w14:paraId="7637693B" w14:textId="77777777" w:rsidR="00835BFF" w:rsidRPr="00B32307" w:rsidRDefault="00835BFF" w:rsidP="00835BFF">
      <w:pPr>
        <w:contextualSpacing/>
        <w:jc w:val="both"/>
        <w:rPr>
          <w:bCs/>
          <w:i/>
          <w:sz w:val="22"/>
          <w:szCs w:val="22"/>
          <w:lang w:val="sr-Latn-RS"/>
        </w:rPr>
      </w:pPr>
      <w:r w:rsidRPr="00B32307">
        <w:rPr>
          <w:bCs/>
          <w:i/>
          <w:sz w:val="22"/>
          <w:szCs w:val="22"/>
          <w:lang w:val="sr-Latn-RS"/>
        </w:rPr>
        <w:t>Terapijski režim</w:t>
      </w:r>
    </w:p>
    <w:p w14:paraId="46CD02A1" w14:textId="77777777" w:rsidR="00835BFF" w:rsidRPr="00B32307" w:rsidRDefault="00835BFF" w:rsidP="00835BFF">
      <w:pPr>
        <w:contextualSpacing/>
        <w:jc w:val="both"/>
        <w:rPr>
          <w:bCs/>
          <w:sz w:val="22"/>
          <w:szCs w:val="22"/>
          <w:lang w:val="sr-Latn-RS"/>
        </w:rPr>
      </w:pPr>
      <w:r w:rsidRPr="00B32307">
        <w:rPr>
          <w:bCs/>
          <w:sz w:val="22"/>
          <w:szCs w:val="22"/>
          <w:lang w:val="sr-Latn-RS"/>
        </w:rPr>
        <w:t xml:space="preserve">Preporučuje se održavanje terapije najmanjom dozom ropinirola u obliku tablete sa produženim oslobađanjem, kojom se postiže kontrola simptoma bolesti. </w:t>
      </w:r>
    </w:p>
    <w:p w14:paraId="41EAC09E" w14:textId="77777777" w:rsidR="00835BFF" w:rsidRPr="00B32307" w:rsidRDefault="00835BFF" w:rsidP="00835BFF">
      <w:pPr>
        <w:contextualSpacing/>
        <w:jc w:val="both"/>
        <w:rPr>
          <w:bCs/>
          <w:sz w:val="22"/>
          <w:szCs w:val="22"/>
          <w:lang w:val="sr-Latn-RS"/>
        </w:rPr>
      </w:pPr>
    </w:p>
    <w:p w14:paraId="65EC36FA" w14:textId="77777777" w:rsidR="00835BFF" w:rsidRPr="00B32307" w:rsidRDefault="00835BFF" w:rsidP="00835BFF">
      <w:pPr>
        <w:contextualSpacing/>
        <w:jc w:val="both"/>
        <w:rPr>
          <w:bCs/>
          <w:sz w:val="22"/>
          <w:szCs w:val="22"/>
          <w:lang w:val="sr-Latn-RS"/>
        </w:rPr>
      </w:pPr>
      <w:r w:rsidRPr="00B32307">
        <w:rPr>
          <w:bCs/>
          <w:sz w:val="22"/>
          <w:szCs w:val="22"/>
          <w:lang w:val="sr-Latn-RS"/>
        </w:rPr>
        <w:t xml:space="preserve">Ukoliko se ne postigne ili ne održi zadovoljavajuća kontrola simptoma bolesti primjenom ropinirola u obliku tableta sa produženim oslobađanjem u dozi od 4 mg jednom dnevno, dnevna doza se može povećavati za po 2 mg unutar perioda od nedjelju dana ili duže, do doze ropinirola od 8 mg primijenjene jednom dnevno u obliku tableta sa produženim oslobađanjem. </w:t>
      </w:r>
    </w:p>
    <w:p w14:paraId="3205FCE6" w14:textId="77777777" w:rsidR="00835BFF" w:rsidRPr="00B32307" w:rsidRDefault="00835BFF" w:rsidP="00835BFF">
      <w:pPr>
        <w:contextualSpacing/>
        <w:rPr>
          <w:bCs/>
          <w:sz w:val="22"/>
          <w:szCs w:val="22"/>
          <w:lang w:val="sr-Latn-RS"/>
        </w:rPr>
      </w:pPr>
    </w:p>
    <w:p w14:paraId="2AC3C27F" w14:textId="77777777" w:rsidR="00835BFF" w:rsidRPr="00B32307" w:rsidRDefault="00835BFF" w:rsidP="00835BFF">
      <w:pPr>
        <w:contextualSpacing/>
        <w:jc w:val="both"/>
        <w:rPr>
          <w:bCs/>
          <w:sz w:val="22"/>
          <w:szCs w:val="22"/>
          <w:lang w:val="sr-Latn-RS"/>
        </w:rPr>
      </w:pPr>
      <w:r w:rsidRPr="00B32307">
        <w:rPr>
          <w:bCs/>
          <w:sz w:val="22"/>
          <w:szCs w:val="22"/>
          <w:lang w:val="sr-Latn-RS"/>
        </w:rPr>
        <w:t>Ukoliko se ipak ne postigne ili ne održi zadovoljavajuća kontrola simptoma ni primjenom doze ropinirola od 8 mg jednom dnevno u obliku tableta sa produženim oslobađanjem, dnevna doza se može povećavati za po 2 mg do 4 mg u razmacima od dvije nedjelje ili duže. Maksimalna dnevna doza ropinirola u obliku tablete sa produženim oslobađanjem iznosi 24 mg.</w:t>
      </w:r>
    </w:p>
    <w:p w14:paraId="33094BCB" w14:textId="77777777" w:rsidR="00835BFF" w:rsidRPr="00B32307" w:rsidRDefault="00835BFF" w:rsidP="00835BFF">
      <w:pPr>
        <w:contextualSpacing/>
        <w:jc w:val="both"/>
        <w:rPr>
          <w:bCs/>
          <w:sz w:val="22"/>
          <w:szCs w:val="22"/>
          <w:lang w:val="sr-Latn-RS"/>
        </w:rPr>
      </w:pPr>
    </w:p>
    <w:p w14:paraId="06AD736E" w14:textId="77777777" w:rsidR="00835BFF" w:rsidRPr="00B32307" w:rsidRDefault="00835BFF" w:rsidP="00835BFF">
      <w:pPr>
        <w:contextualSpacing/>
        <w:jc w:val="both"/>
        <w:rPr>
          <w:bCs/>
          <w:sz w:val="22"/>
          <w:szCs w:val="22"/>
          <w:lang w:val="sr-Latn-RS"/>
        </w:rPr>
      </w:pPr>
      <w:r w:rsidRPr="00B32307">
        <w:rPr>
          <w:bCs/>
          <w:sz w:val="22"/>
          <w:szCs w:val="22"/>
          <w:lang w:val="sr-Latn-RS"/>
        </w:rPr>
        <w:t>Preporučuje se da se pacijentima propiše najmanja količina ropinirola u obliku tableta sa produženim oslobađanjem koja je neophodna za postizanje potrebne doze, primjenom najveće dostupne jačine tableta sa produženim oslobađanjem.</w:t>
      </w:r>
    </w:p>
    <w:p w14:paraId="4731FDC8" w14:textId="77777777" w:rsidR="00835BFF" w:rsidRPr="00B32307" w:rsidRDefault="00835BFF" w:rsidP="00835BFF">
      <w:pPr>
        <w:contextualSpacing/>
        <w:jc w:val="both"/>
        <w:rPr>
          <w:bCs/>
          <w:sz w:val="22"/>
          <w:szCs w:val="22"/>
          <w:lang w:val="sr-Latn-RS"/>
        </w:rPr>
      </w:pPr>
    </w:p>
    <w:p w14:paraId="63E1ABAF" w14:textId="77777777" w:rsidR="00835BFF" w:rsidRPr="00B32307" w:rsidRDefault="00835BFF" w:rsidP="00835BFF">
      <w:pPr>
        <w:contextualSpacing/>
        <w:jc w:val="both"/>
        <w:rPr>
          <w:bCs/>
          <w:sz w:val="22"/>
          <w:szCs w:val="22"/>
          <w:lang w:val="sr-Latn-RS"/>
        </w:rPr>
      </w:pPr>
      <w:r w:rsidRPr="00B32307">
        <w:rPr>
          <w:bCs/>
          <w:sz w:val="22"/>
          <w:szCs w:val="22"/>
          <w:lang w:val="sr-Latn-RS"/>
        </w:rPr>
        <w:t>Ukoliko se terapija prekine tokom jednog dana ili duže, potrebno je razmotriti mogućnost ponovnog otpočinjanja terapije uz odgovarajuću titraciju doze (vidjeti gorenavedeni tekst).</w:t>
      </w:r>
    </w:p>
    <w:p w14:paraId="63844418" w14:textId="77777777" w:rsidR="00835BFF" w:rsidRPr="00B32307" w:rsidRDefault="00835BFF" w:rsidP="00835BFF">
      <w:pPr>
        <w:contextualSpacing/>
        <w:jc w:val="both"/>
        <w:rPr>
          <w:bCs/>
          <w:sz w:val="22"/>
          <w:szCs w:val="22"/>
          <w:lang w:val="sr-Latn-RS"/>
        </w:rPr>
      </w:pPr>
    </w:p>
    <w:p w14:paraId="64353FA8" w14:textId="64C6D269" w:rsidR="00835BFF" w:rsidRPr="00B32307" w:rsidRDefault="00835BFF" w:rsidP="00835BFF">
      <w:pPr>
        <w:contextualSpacing/>
        <w:jc w:val="both"/>
        <w:rPr>
          <w:bCs/>
          <w:sz w:val="22"/>
          <w:szCs w:val="22"/>
          <w:lang w:val="sr-Latn-RS"/>
        </w:rPr>
      </w:pPr>
      <w:r w:rsidRPr="00B32307">
        <w:rPr>
          <w:bCs/>
          <w:sz w:val="22"/>
          <w:szCs w:val="22"/>
          <w:lang w:val="sr-Latn-RS"/>
        </w:rPr>
        <w:t xml:space="preserve">Ukoliko se lijek REQUIP MODUTAB primjenjuje kao adjuvantna terapija primjeni levodope, moguće je postepeno smanjivati dozu levodope, u zavisnosti od kliničkog odgovora. U kliničkim ispitivanjima, doza levodope smanjivana je postepeno za približno 30% od početne doze kod pacijenata koji su istovremeno primjenjivali lijek REQUIP MODUTAB. Kod pacijenata sa uznapredovalom Parkinsonovom bolešću, koji uzimaju lijek REQUIP MODUTAB u kombinovanoj terapiji sa levodopom, može se javiti diskinezija pri inicijalnoj titraciji doze lijeka REQUIP MODUTAB. U okviru kliničkih ispitivanja pokazano je da smanjenje doze levodope može dovesti do ublažavanja diskinezije (vidjeti </w:t>
      </w:r>
      <w:r w:rsidR="00AE48A4" w:rsidRPr="00B32307">
        <w:rPr>
          <w:bCs/>
          <w:sz w:val="22"/>
          <w:szCs w:val="22"/>
          <w:lang w:val="sr-Latn-RS"/>
        </w:rPr>
        <w:t>dio</w:t>
      </w:r>
      <w:r w:rsidRPr="00B32307">
        <w:rPr>
          <w:bCs/>
          <w:sz w:val="22"/>
          <w:szCs w:val="22"/>
          <w:lang w:val="sr-Latn-RS"/>
        </w:rPr>
        <w:t xml:space="preserve"> 4.8).</w:t>
      </w:r>
    </w:p>
    <w:p w14:paraId="69D8024B" w14:textId="77777777" w:rsidR="00835BFF" w:rsidRPr="00B32307" w:rsidRDefault="00835BFF" w:rsidP="00835BFF">
      <w:pPr>
        <w:contextualSpacing/>
        <w:jc w:val="both"/>
        <w:rPr>
          <w:bCs/>
          <w:sz w:val="22"/>
          <w:szCs w:val="22"/>
          <w:highlight w:val="yellow"/>
          <w:lang w:val="sr-Latn-RS"/>
        </w:rPr>
      </w:pPr>
    </w:p>
    <w:p w14:paraId="1EDCF787" w14:textId="77777777" w:rsidR="00835BFF" w:rsidRPr="00B32307" w:rsidRDefault="00835BFF" w:rsidP="00835BFF">
      <w:pPr>
        <w:contextualSpacing/>
        <w:jc w:val="both"/>
        <w:rPr>
          <w:bCs/>
          <w:sz w:val="22"/>
          <w:szCs w:val="22"/>
          <w:lang w:val="sr-Latn-RS"/>
        </w:rPr>
      </w:pPr>
      <w:r w:rsidRPr="00B32307">
        <w:rPr>
          <w:bCs/>
          <w:sz w:val="22"/>
          <w:szCs w:val="22"/>
          <w:lang w:val="sr-Latn-RS"/>
        </w:rPr>
        <w:t>Kada se prelazi sa terapijskog režima drugim agonistom dopamina na ropinirol, neophodno je pridržavati se uputstva nosioca dozvole za promet u vezi prekida primjene lijeka, prije početka primjene ropinirola.</w:t>
      </w:r>
    </w:p>
    <w:p w14:paraId="1E10A852" w14:textId="77777777" w:rsidR="00835BFF" w:rsidRPr="00B32307" w:rsidRDefault="00835BFF" w:rsidP="00835BFF">
      <w:pPr>
        <w:contextualSpacing/>
        <w:jc w:val="both"/>
        <w:rPr>
          <w:bCs/>
          <w:sz w:val="22"/>
          <w:szCs w:val="22"/>
          <w:lang w:val="sr-Latn-RS"/>
        </w:rPr>
      </w:pPr>
    </w:p>
    <w:p w14:paraId="00162710" w14:textId="4E27668F" w:rsidR="00835BFF" w:rsidRPr="00B32307" w:rsidRDefault="00835BFF" w:rsidP="00835BFF">
      <w:pPr>
        <w:contextualSpacing/>
        <w:jc w:val="both"/>
        <w:rPr>
          <w:bCs/>
          <w:sz w:val="22"/>
          <w:szCs w:val="22"/>
          <w:lang w:val="sr-Latn-RS"/>
        </w:rPr>
      </w:pPr>
      <w:r w:rsidRPr="00B32307">
        <w:rPr>
          <w:bCs/>
          <w:sz w:val="22"/>
          <w:szCs w:val="22"/>
          <w:lang w:val="sr-Latn-RS"/>
        </w:rPr>
        <w:t xml:space="preserve">Kao i u slučaju ostalih agonista dopamina, neohodno je postepeno prekidati terapiju ropinirolom, smanjenjem dnevne doze tokom perioda od nedjelju dana (vidjeti </w:t>
      </w:r>
      <w:r w:rsidR="00AE48A4" w:rsidRPr="00B32307">
        <w:rPr>
          <w:bCs/>
          <w:sz w:val="22"/>
          <w:szCs w:val="22"/>
          <w:lang w:val="sr-Latn-RS"/>
        </w:rPr>
        <w:t>dio</w:t>
      </w:r>
      <w:r w:rsidRPr="00B32307">
        <w:rPr>
          <w:bCs/>
          <w:sz w:val="22"/>
          <w:szCs w:val="22"/>
          <w:lang w:val="sr-Latn-RS"/>
        </w:rPr>
        <w:t xml:space="preserve"> 4.4).</w:t>
      </w:r>
    </w:p>
    <w:p w14:paraId="6CE5390C" w14:textId="77777777" w:rsidR="00835BFF" w:rsidRPr="00B32307" w:rsidRDefault="00835BFF" w:rsidP="00835BFF">
      <w:pPr>
        <w:contextualSpacing/>
        <w:jc w:val="both"/>
        <w:rPr>
          <w:bCs/>
          <w:sz w:val="22"/>
          <w:szCs w:val="22"/>
          <w:lang w:val="sr-Latn-RS"/>
        </w:rPr>
      </w:pPr>
    </w:p>
    <w:p w14:paraId="30CA6FF5" w14:textId="77777777" w:rsidR="00835BFF" w:rsidRPr="00B32307" w:rsidRDefault="00835BFF" w:rsidP="00835BFF">
      <w:pPr>
        <w:contextualSpacing/>
        <w:jc w:val="both"/>
        <w:rPr>
          <w:bCs/>
          <w:i/>
          <w:sz w:val="22"/>
          <w:szCs w:val="22"/>
          <w:lang w:val="sr-Latn-RS"/>
        </w:rPr>
      </w:pPr>
      <w:r w:rsidRPr="00B32307">
        <w:rPr>
          <w:bCs/>
          <w:i/>
          <w:sz w:val="22"/>
          <w:szCs w:val="22"/>
          <w:lang w:val="sr-Latn-RS"/>
        </w:rPr>
        <w:t>Prelazak sa terapije lijekom Requip (film tablete sa trenutnim oslobađanjem) na terapiju lijekom REQUIP MODUTAB (tablete sa produženim oslobađanjem)</w:t>
      </w:r>
    </w:p>
    <w:p w14:paraId="6135CF29" w14:textId="77777777" w:rsidR="00835BFF" w:rsidRPr="00B32307" w:rsidRDefault="00835BFF" w:rsidP="00835BFF">
      <w:pPr>
        <w:contextualSpacing/>
        <w:jc w:val="both"/>
        <w:rPr>
          <w:bCs/>
          <w:i/>
          <w:sz w:val="22"/>
          <w:szCs w:val="22"/>
          <w:lang w:val="sr-Latn-RS"/>
        </w:rPr>
      </w:pPr>
    </w:p>
    <w:p w14:paraId="68594AD5" w14:textId="77777777" w:rsidR="00835BFF" w:rsidRPr="00B32307" w:rsidRDefault="00835BFF" w:rsidP="00835BFF">
      <w:pPr>
        <w:contextualSpacing/>
        <w:jc w:val="both"/>
        <w:rPr>
          <w:bCs/>
          <w:sz w:val="22"/>
          <w:szCs w:val="22"/>
          <w:lang w:val="sr-Latn-RS"/>
        </w:rPr>
      </w:pPr>
      <w:r w:rsidRPr="00B32307">
        <w:rPr>
          <w:bCs/>
          <w:sz w:val="22"/>
          <w:szCs w:val="22"/>
          <w:lang w:val="sr-Latn-RS"/>
        </w:rPr>
        <w:t>Pacijenti mogu preći sa terapije lijekom Requip (film tablete sa trenutnim oslobađanjem) na terapiju lijekom REQUIP MODUTAB (tablete sa produženim oslobađanjem) unutar kratkog vremenskog perioda. Doza lijeka REQUIP MODUTAB (tablete sa produženim oslobađanjem) mora biti zasnovana na ukupnoj dnevnoj dozi lijeka Requip (film tablete sa trenutnim oslobađanjem) koju je pacijent primjenjivao. U tabeli navedenoj u daljem tekstu, prikazane su preporučene doze lijeka REQUIP MODUTAB (tablete sa produženim oslobađanjem) za pacijente koji prelaze sa terapije lijekom Requip (film tablete sa trenutnim oslobađanjem):</w:t>
      </w:r>
    </w:p>
    <w:p w14:paraId="4498BFA5" w14:textId="77777777" w:rsidR="00835BFF" w:rsidRPr="00B32307" w:rsidRDefault="00835BFF" w:rsidP="00835BFF">
      <w:pPr>
        <w:contextualSpacing/>
        <w:jc w:val="both"/>
        <w:rPr>
          <w:bCs/>
          <w:sz w:val="22"/>
          <w:szCs w:val="22"/>
          <w:lang w:val="sr-Latn-RS"/>
        </w:rPr>
      </w:pPr>
    </w:p>
    <w:p w14:paraId="32FCF6DB" w14:textId="77777777" w:rsidR="00835BFF" w:rsidRPr="00B32307" w:rsidRDefault="00835BFF" w:rsidP="00835BFF">
      <w:pPr>
        <w:contextualSpacing/>
        <w:jc w:val="both"/>
        <w:rPr>
          <w:bCs/>
          <w:i/>
          <w:sz w:val="22"/>
          <w:szCs w:val="22"/>
          <w:lang w:val="sr-Latn-RS"/>
        </w:rPr>
      </w:pPr>
      <w:r w:rsidRPr="00B32307">
        <w:rPr>
          <w:bCs/>
          <w:i/>
          <w:sz w:val="22"/>
          <w:szCs w:val="22"/>
          <w:lang w:val="sr-Latn-RS"/>
        </w:rPr>
        <w:t xml:space="preserve"> Prelazak sa terapije lijekom Requip, film tableta (sa trenutnim oslobađanjem) na terapiju lijekom REQUIP MODUTAB, tableta sa produženim oslobađanjem</w:t>
      </w:r>
    </w:p>
    <w:p w14:paraId="2D970833" w14:textId="77777777" w:rsidR="00835BFF" w:rsidRPr="00B32307" w:rsidRDefault="00835BFF" w:rsidP="00835BFF">
      <w:pPr>
        <w:contextualSpacing/>
        <w:rPr>
          <w:bCs/>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19"/>
      </w:tblGrid>
      <w:tr w:rsidR="00835BFF" w:rsidRPr="00B32307" w14:paraId="400661EE" w14:textId="77777777" w:rsidTr="00835BFF">
        <w:tc>
          <w:tcPr>
            <w:tcW w:w="4820" w:type="dxa"/>
            <w:tcBorders>
              <w:top w:val="single" w:sz="4" w:space="0" w:color="auto"/>
              <w:left w:val="single" w:sz="4" w:space="0" w:color="auto"/>
              <w:bottom w:val="single" w:sz="4" w:space="0" w:color="auto"/>
              <w:right w:val="single" w:sz="4" w:space="0" w:color="auto"/>
            </w:tcBorders>
            <w:vAlign w:val="center"/>
            <w:hideMark/>
          </w:tcPr>
          <w:p w14:paraId="162261CC" w14:textId="77777777" w:rsidR="00835BFF" w:rsidRPr="00B32307" w:rsidRDefault="00835BFF">
            <w:pPr>
              <w:pStyle w:val="Text"/>
              <w:keepLines/>
              <w:spacing w:after="0" w:line="240" w:lineRule="auto"/>
              <w:contextualSpacing/>
              <w:jc w:val="center"/>
              <w:outlineLvl w:val="0"/>
              <w:rPr>
                <w:b/>
                <w:bCs/>
                <w:sz w:val="22"/>
                <w:szCs w:val="22"/>
                <w:lang w:val="sr-Latn-RS" w:eastAsia="en-US"/>
              </w:rPr>
            </w:pPr>
            <w:r w:rsidRPr="00B32307">
              <w:rPr>
                <w:b/>
                <w:bCs/>
                <w:sz w:val="22"/>
                <w:szCs w:val="22"/>
                <w:lang w:val="sr-Latn-RS" w:eastAsia="en-US"/>
              </w:rPr>
              <w:t>Requip, film tableta sa trenutnim oslobađanjem</w:t>
            </w:r>
          </w:p>
          <w:p w14:paraId="400E9DB6" w14:textId="77777777" w:rsidR="00835BFF" w:rsidRPr="00B32307" w:rsidRDefault="00835BFF">
            <w:pPr>
              <w:pStyle w:val="Text"/>
              <w:keepLines/>
              <w:spacing w:after="0" w:line="240" w:lineRule="auto"/>
              <w:contextualSpacing/>
              <w:jc w:val="center"/>
              <w:outlineLvl w:val="0"/>
              <w:rPr>
                <w:b/>
                <w:bCs/>
                <w:sz w:val="22"/>
                <w:szCs w:val="22"/>
                <w:lang w:val="sr-Latn-RS" w:eastAsia="en-US"/>
              </w:rPr>
            </w:pPr>
            <w:r w:rsidRPr="00B32307">
              <w:rPr>
                <w:b/>
                <w:bCs/>
                <w:sz w:val="22"/>
                <w:szCs w:val="22"/>
                <w:lang w:val="sr-Latn-RS" w:eastAsia="en-US"/>
              </w:rPr>
              <w:t>Ukupna dnevna doza (mg)</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BC5175A" w14:textId="77777777" w:rsidR="00835BFF" w:rsidRPr="00B32307" w:rsidRDefault="00835BFF">
            <w:pPr>
              <w:pStyle w:val="Text"/>
              <w:keepLines/>
              <w:spacing w:after="0" w:line="240" w:lineRule="auto"/>
              <w:contextualSpacing/>
              <w:jc w:val="center"/>
              <w:outlineLvl w:val="0"/>
              <w:rPr>
                <w:b/>
                <w:bCs/>
                <w:sz w:val="22"/>
                <w:szCs w:val="22"/>
                <w:lang w:val="sr-Latn-RS"/>
              </w:rPr>
            </w:pPr>
            <w:r w:rsidRPr="00B32307">
              <w:rPr>
                <w:b/>
                <w:bCs/>
                <w:sz w:val="22"/>
                <w:szCs w:val="22"/>
                <w:lang w:val="sr-Latn-RS"/>
              </w:rPr>
              <w:t>REQUIP MODUTAB, tableta sa produženim oslobađanjem</w:t>
            </w:r>
          </w:p>
          <w:p w14:paraId="231D8F12" w14:textId="77777777" w:rsidR="00835BFF" w:rsidRPr="00B32307" w:rsidRDefault="00835BFF">
            <w:pPr>
              <w:pStyle w:val="Text"/>
              <w:keepLines/>
              <w:spacing w:after="0" w:line="240" w:lineRule="auto"/>
              <w:contextualSpacing/>
              <w:jc w:val="center"/>
              <w:outlineLvl w:val="0"/>
              <w:rPr>
                <w:b/>
                <w:bCs/>
                <w:sz w:val="22"/>
                <w:szCs w:val="22"/>
                <w:lang w:val="sr-Latn-RS" w:eastAsia="en-US"/>
              </w:rPr>
            </w:pPr>
            <w:r w:rsidRPr="00B32307">
              <w:rPr>
                <w:b/>
                <w:bCs/>
                <w:sz w:val="22"/>
                <w:szCs w:val="22"/>
                <w:lang w:val="sr-Latn-RS" w:eastAsia="en-US"/>
              </w:rPr>
              <w:t>Ukupna dnevna doza (mg)</w:t>
            </w:r>
          </w:p>
        </w:tc>
      </w:tr>
      <w:tr w:rsidR="00835BFF" w:rsidRPr="00B32307" w14:paraId="229D60CF"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4FE7D0BC" w14:textId="580C3F60"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0,7</w:t>
            </w:r>
            <w:r w:rsidR="001B5442" w:rsidRPr="00B32307">
              <w:rPr>
                <w:bCs/>
                <w:sz w:val="22"/>
                <w:szCs w:val="22"/>
                <w:lang w:val="sr-Latn-RS" w:eastAsia="en-US"/>
              </w:rPr>
              <w:t>5</w:t>
            </w:r>
            <w:r w:rsidRPr="00B32307">
              <w:rPr>
                <w:bCs/>
                <w:sz w:val="22"/>
                <w:szCs w:val="22"/>
                <w:lang w:val="sr-Latn-RS" w:eastAsia="en-US"/>
              </w:rPr>
              <w:t xml:space="preserve"> – 2,25</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B3F9E02"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2</w:t>
            </w:r>
          </w:p>
        </w:tc>
      </w:tr>
      <w:tr w:rsidR="00835BFF" w:rsidRPr="00B32307" w14:paraId="3A7E4C04"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0A97B3E1"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3 – 4,5</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8DC6792"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4</w:t>
            </w:r>
          </w:p>
        </w:tc>
      </w:tr>
      <w:tr w:rsidR="00835BFF" w:rsidRPr="00B32307" w14:paraId="5B6A3834"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1A371896"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6</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EB6F1E2"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6</w:t>
            </w:r>
          </w:p>
        </w:tc>
      </w:tr>
      <w:tr w:rsidR="00835BFF" w:rsidRPr="00B32307" w14:paraId="131299D7"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14FAF936"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7,5 – 9</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B3749AE"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8</w:t>
            </w:r>
          </w:p>
        </w:tc>
      </w:tr>
      <w:tr w:rsidR="00835BFF" w:rsidRPr="00B32307" w14:paraId="6F31CD4D"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4BA489DF"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12</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24A15C5"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12</w:t>
            </w:r>
          </w:p>
        </w:tc>
      </w:tr>
      <w:tr w:rsidR="00835BFF" w:rsidRPr="00B32307" w14:paraId="02582B84"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649DFFA7"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15 – 18</w:t>
            </w:r>
          </w:p>
        </w:tc>
        <w:tc>
          <w:tcPr>
            <w:tcW w:w="4819" w:type="dxa"/>
            <w:tcBorders>
              <w:top w:val="single" w:sz="4" w:space="0" w:color="auto"/>
              <w:left w:val="single" w:sz="4" w:space="0" w:color="auto"/>
              <w:bottom w:val="single" w:sz="4" w:space="0" w:color="auto"/>
              <w:right w:val="single" w:sz="4" w:space="0" w:color="auto"/>
            </w:tcBorders>
            <w:vAlign w:val="center"/>
            <w:hideMark/>
          </w:tcPr>
          <w:p w14:paraId="1C65A42E"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16</w:t>
            </w:r>
          </w:p>
        </w:tc>
      </w:tr>
      <w:tr w:rsidR="00835BFF" w:rsidRPr="00B32307" w14:paraId="524CDDB5"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0B8A2047"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21</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D04F58C"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20</w:t>
            </w:r>
          </w:p>
        </w:tc>
      </w:tr>
      <w:tr w:rsidR="00835BFF" w:rsidRPr="00B32307" w14:paraId="664BD40E" w14:textId="77777777" w:rsidTr="00835BFF">
        <w:trPr>
          <w:trHeight w:hRule="exact" w:val="454"/>
        </w:trPr>
        <w:tc>
          <w:tcPr>
            <w:tcW w:w="4820" w:type="dxa"/>
            <w:tcBorders>
              <w:top w:val="single" w:sz="4" w:space="0" w:color="auto"/>
              <w:left w:val="single" w:sz="4" w:space="0" w:color="auto"/>
              <w:bottom w:val="single" w:sz="4" w:space="0" w:color="auto"/>
              <w:right w:val="single" w:sz="4" w:space="0" w:color="auto"/>
            </w:tcBorders>
            <w:vAlign w:val="center"/>
            <w:hideMark/>
          </w:tcPr>
          <w:p w14:paraId="69E23BD9"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24</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71EDE88" w14:textId="77777777" w:rsidR="00835BFF" w:rsidRPr="00B32307" w:rsidRDefault="00835BFF">
            <w:pPr>
              <w:pStyle w:val="Text"/>
              <w:keepLines/>
              <w:spacing w:after="0" w:line="240" w:lineRule="auto"/>
              <w:contextualSpacing/>
              <w:jc w:val="center"/>
              <w:outlineLvl w:val="0"/>
              <w:rPr>
                <w:bCs/>
                <w:sz w:val="22"/>
                <w:szCs w:val="22"/>
                <w:lang w:val="sr-Latn-RS" w:eastAsia="en-US"/>
              </w:rPr>
            </w:pPr>
            <w:r w:rsidRPr="00B32307">
              <w:rPr>
                <w:bCs/>
                <w:sz w:val="22"/>
                <w:szCs w:val="22"/>
                <w:lang w:val="sr-Latn-RS" w:eastAsia="en-US"/>
              </w:rPr>
              <w:t>24</w:t>
            </w:r>
          </w:p>
        </w:tc>
      </w:tr>
    </w:tbl>
    <w:p w14:paraId="06131653" w14:textId="77777777" w:rsidR="00835BFF" w:rsidRPr="00B32307" w:rsidRDefault="00835BFF" w:rsidP="00835BFF">
      <w:pPr>
        <w:contextualSpacing/>
        <w:rPr>
          <w:bCs/>
          <w:sz w:val="22"/>
          <w:szCs w:val="22"/>
          <w:lang w:val="sr-Latn-RS"/>
        </w:rPr>
      </w:pPr>
    </w:p>
    <w:p w14:paraId="254C1D95" w14:textId="2D90FC40" w:rsidR="00835BFF" w:rsidRPr="00B32307" w:rsidRDefault="00835BFF" w:rsidP="00835BFF">
      <w:pPr>
        <w:contextualSpacing/>
        <w:jc w:val="both"/>
        <w:rPr>
          <w:bCs/>
          <w:i/>
          <w:sz w:val="22"/>
          <w:szCs w:val="22"/>
          <w:lang w:val="sr-Latn-RS"/>
        </w:rPr>
      </w:pPr>
      <w:r w:rsidRPr="00B32307">
        <w:rPr>
          <w:bCs/>
          <w:sz w:val="22"/>
          <w:szCs w:val="22"/>
          <w:lang w:val="sr-Latn-RS"/>
        </w:rPr>
        <w:t xml:space="preserve">Nakon prelaska na terapiju lijekom REQUIP MODUTAB, doza lijeka se može prilagoditi u skladu sa terapijskim odgovorom (vidjeti </w:t>
      </w:r>
      <w:r w:rsidR="00AE48A4" w:rsidRPr="00B32307">
        <w:rPr>
          <w:bCs/>
          <w:sz w:val="22"/>
          <w:szCs w:val="22"/>
          <w:lang w:val="sr-Latn-RS"/>
        </w:rPr>
        <w:t>djelov</w:t>
      </w:r>
      <w:r w:rsidRPr="00B32307">
        <w:rPr>
          <w:bCs/>
          <w:sz w:val="22"/>
          <w:szCs w:val="22"/>
          <w:lang w:val="sr-Latn-RS"/>
        </w:rPr>
        <w:t>e “Inicijalna titracija doze” i “Terapijski režim”).</w:t>
      </w:r>
    </w:p>
    <w:p w14:paraId="7417B624" w14:textId="77777777" w:rsidR="00835BFF" w:rsidRPr="00B32307" w:rsidRDefault="00835BFF" w:rsidP="00835BFF">
      <w:pPr>
        <w:contextualSpacing/>
        <w:jc w:val="both"/>
        <w:rPr>
          <w:bCs/>
          <w:sz w:val="22"/>
          <w:szCs w:val="22"/>
          <w:highlight w:val="yellow"/>
          <w:lang w:val="sr-Latn-RS"/>
        </w:rPr>
      </w:pPr>
    </w:p>
    <w:p w14:paraId="4CB37B30" w14:textId="77777777" w:rsidR="00835BFF" w:rsidRPr="00B32307" w:rsidRDefault="00835BFF" w:rsidP="00835BFF">
      <w:pPr>
        <w:contextualSpacing/>
        <w:jc w:val="both"/>
        <w:rPr>
          <w:bCs/>
          <w:sz w:val="22"/>
          <w:szCs w:val="22"/>
          <w:u w:val="single"/>
          <w:lang w:val="sr-Latn-RS"/>
        </w:rPr>
      </w:pPr>
      <w:r w:rsidRPr="00B32307">
        <w:rPr>
          <w:bCs/>
          <w:sz w:val="22"/>
          <w:szCs w:val="22"/>
          <w:u w:val="single"/>
          <w:lang w:val="sr-Latn-RS"/>
        </w:rPr>
        <w:t>Djeca i adolescenti</w:t>
      </w:r>
    </w:p>
    <w:p w14:paraId="1C89C0DF" w14:textId="77777777" w:rsidR="00835BFF" w:rsidRPr="00B32307" w:rsidRDefault="00835BFF" w:rsidP="00835BFF">
      <w:pPr>
        <w:contextualSpacing/>
        <w:jc w:val="both"/>
        <w:rPr>
          <w:bCs/>
          <w:sz w:val="22"/>
          <w:szCs w:val="22"/>
          <w:lang w:val="sr-Latn-RS"/>
        </w:rPr>
      </w:pPr>
    </w:p>
    <w:p w14:paraId="6BB8FC15" w14:textId="77777777" w:rsidR="00835BFF" w:rsidRPr="00B32307" w:rsidRDefault="00835BFF" w:rsidP="00835BFF">
      <w:pPr>
        <w:contextualSpacing/>
        <w:jc w:val="both"/>
        <w:rPr>
          <w:bCs/>
          <w:sz w:val="22"/>
          <w:szCs w:val="22"/>
          <w:lang w:val="sr-Latn-RS"/>
        </w:rPr>
      </w:pPr>
      <w:r w:rsidRPr="00B32307">
        <w:rPr>
          <w:bCs/>
          <w:sz w:val="22"/>
          <w:szCs w:val="22"/>
          <w:lang w:val="sr-Latn-RS"/>
        </w:rPr>
        <w:t xml:space="preserve">Ne preporučuje se primjena lijeka REQUIP MODUTAB kod djece uzrasta ispod 18 godina, usljed nedostatka podataka o efikasnosti i bezbjednosti primjene lijeka. </w:t>
      </w:r>
    </w:p>
    <w:p w14:paraId="32ABA000" w14:textId="77777777" w:rsidR="00835BFF" w:rsidRPr="00B32307" w:rsidRDefault="00835BFF" w:rsidP="00835BFF">
      <w:pPr>
        <w:contextualSpacing/>
        <w:jc w:val="both"/>
        <w:rPr>
          <w:bCs/>
          <w:sz w:val="22"/>
          <w:szCs w:val="22"/>
          <w:lang w:val="sr-Latn-RS"/>
        </w:rPr>
      </w:pPr>
    </w:p>
    <w:p w14:paraId="7D25E8E7" w14:textId="77777777" w:rsidR="00835BFF" w:rsidRPr="00B32307" w:rsidRDefault="00835BFF" w:rsidP="00835BFF">
      <w:pPr>
        <w:contextualSpacing/>
        <w:jc w:val="both"/>
        <w:rPr>
          <w:bCs/>
          <w:sz w:val="22"/>
          <w:szCs w:val="22"/>
          <w:u w:val="single"/>
          <w:lang w:val="sr-Latn-RS"/>
        </w:rPr>
      </w:pPr>
      <w:r w:rsidRPr="00B32307">
        <w:rPr>
          <w:bCs/>
          <w:sz w:val="22"/>
          <w:szCs w:val="22"/>
          <w:u w:val="single"/>
          <w:lang w:val="sr-Latn-RS"/>
        </w:rPr>
        <w:t>Starije osobe</w:t>
      </w:r>
    </w:p>
    <w:p w14:paraId="3264DC02" w14:textId="77777777" w:rsidR="00835BFF" w:rsidRPr="00B32307" w:rsidRDefault="00835BFF" w:rsidP="00835BFF">
      <w:pPr>
        <w:contextualSpacing/>
        <w:jc w:val="both"/>
        <w:rPr>
          <w:bCs/>
          <w:sz w:val="22"/>
          <w:szCs w:val="22"/>
          <w:lang w:val="sr-Latn-RS"/>
        </w:rPr>
      </w:pPr>
    </w:p>
    <w:p w14:paraId="6258F664" w14:textId="77777777" w:rsidR="00835BFF" w:rsidRPr="00B32307" w:rsidRDefault="00835BFF" w:rsidP="00835BFF">
      <w:pPr>
        <w:contextualSpacing/>
        <w:jc w:val="both"/>
        <w:rPr>
          <w:bCs/>
          <w:sz w:val="22"/>
          <w:szCs w:val="22"/>
          <w:lang w:val="sr-Latn-RS"/>
        </w:rPr>
      </w:pPr>
      <w:r w:rsidRPr="00B32307">
        <w:rPr>
          <w:bCs/>
          <w:sz w:val="22"/>
          <w:szCs w:val="22"/>
          <w:lang w:val="sr-Latn-RS"/>
        </w:rPr>
        <w:t>Klirens ropinirola je smanjen za približno 15% kod pacijenata starosti 65 godina ili više. Iako se ne zahtijeva prilagođavanje doze, potrebno je individualno odrediti dozu ropinirola, uz pažljivo praćenje podnošljivosti do postizanja optimalnog kliničkog odgovora. Kod pacijenata starosti 75 i više godina i starijih može se razmotriti sporija titracija doze na početku terapije.</w:t>
      </w:r>
    </w:p>
    <w:p w14:paraId="09F146FA" w14:textId="77777777" w:rsidR="00835BFF" w:rsidRPr="00B32307" w:rsidRDefault="00835BFF" w:rsidP="00835BFF">
      <w:pPr>
        <w:contextualSpacing/>
        <w:jc w:val="both"/>
        <w:rPr>
          <w:bCs/>
          <w:sz w:val="22"/>
          <w:szCs w:val="22"/>
          <w:lang w:val="sr-Latn-RS"/>
        </w:rPr>
      </w:pPr>
    </w:p>
    <w:p w14:paraId="20335758" w14:textId="77777777" w:rsidR="00BA0F0B" w:rsidRPr="00B32307" w:rsidRDefault="00BA0F0B" w:rsidP="00835BFF">
      <w:pPr>
        <w:contextualSpacing/>
        <w:jc w:val="both"/>
        <w:rPr>
          <w:bCs/>
          <w:sz w:val="22"/>
          <w:szCs w:val="22"/>
          <w:u w:val="single"/>
          <w:lang w:val="sr-Latn-RS"/>
        </w:rPr>
      </w:pPr>
      <w:bookmarkStart w:id="0" w:name="OLE_LINK1"/>
    </w:p>
    <w:p w14:paraId="65C5FEE3" w14:textId="77777777" w:rsidR="00BA0F0B" w:rsidRPr="00B32307" w:rsidRDefault="00BA0F0B" w:rsidP="00835BFF">
      <w:pPr>
        <w:contextualSpacing/>
        <w:jc w:val="both"/>
        <w:rPr>
          <w:bCs/>
          <w:sz w:val="22"/>
          <w:szCs w:val="22"/>
          <w:u w:val="single"/>
          <w:lang w:val="sr-Latn-RS"/>
        </w:rPr>
      </w:pPr>
    </w:p>
    <w:p w14:paraId="07D28A6D" w14:textId="77777777" w:rsidR="00BA0F0B" w:rsidRPr="00B32307" w:rsidRDefault="00BA0F0B" w:rsidP="00835BFF">
      <w:pPr>
        <w:contextualSpacing/>
        <w:jc w:val="both"/>
        <w:rPr>
          <w:bCs/>
          <w:sz w:val="22"/>
          <w:szCs w:val="22"/>
          <w:u w:val="single"/>
          <w:lang w:val="sr-Latn-RS"/>
        </w:rPr>
      </w:pPr>
    </w:p>
    <w:p w14:paraId="4291B2C2" w14:textId="77777777" w:rsidR="00BA0F0B" w:rsidRPr="00B32307" w:rsidRDefault="00BA0F0B" w:rsidP="00835BFF">
      <w:pPr>
        <w:contextualSpacing/>
        <w:jc w:val="both"/>
        <w:rPr>
          <w:bCs/>
          <w:sz w:val="22"/>
          <w:szCs w:val="22"/>
          <w:u w:val="single"/>
          <w:lang w:val="sr-Latn-RS"/>
        </w:rPr>
      </w:pPr>
    </w:p>
    <w:p w14:paraId="083CA6D6" w14:textId="44F693D2" w:rsidR="00835BFF" w:rsidRPr="00B32307" w:rsidRDefault="00835BFF" w:rsidP="00835BFF">
      <w:pPr>
        <w:contextualSpacing/>
        <w:jc w:val="both"/>
        <w:rPr>
          <w:bCs/>
          <w:sz w:val="22"/>
          <w:szCs w:val="22"/>
          <w:u w:val="single"/>
          <w:lang w:val="sr-Latn-RS"/>
        </w:rPr>
      </w:pPr>
      <w:r w:rsidRPr="00B32307">
        <w:rPr>
          <w:bCs/>
          <w:sz w:val="22"/>
          <w:szCs w:val="22"/>
          <w:u w:val="single"/>
          <w:lang w:val="sr-Latn-RS"/>
        </w:rPr>
        <w:t>Oštećenje bubrega</w:t>
      </w:r>
    </w:p>
    <w:p w14:paraId="19D91432" w14:textId="77777777" w:rsidR="00835BFF" w:rsidRPr="00B32307" w:rsidRDefault="00835BFF" w:rsidP="00835BFF">
      <w:pPr>
        <w:contextualSpacing/>
        <w:jc w:val="both"/>
        <w:rPr>
          <w:bCs/>
          <w:sz w:val="22"/>
          <w:szCs w:val="22"/>
          <w:lang w:val="sr-Latn-RS"/>
        </w:rPr>
      </w:pPr>
    </w:p>
    <w:p w14:paraId="37E87B56" w14:textId="472E7E5F" w:rsidR="00835BFF" w:rsidRPr="00B32307" w:rsidRDefault="00835BFF" w:rsidP="00835BFF">
      <w:pPr>
        <w:contextualSpacing/>
        <w:jc w:val="both"/>
        <w:rPr>
          <w:bCs/>
          <w:sz w:val="22"/>
          <w:szCs w:val="22"/>
          <w:lang w:val="sr-Latn-RS"/>
        </w:rPr>
      </w:pPr>
      <w:r w:rsidRPr="00B32307">
        <w:rPr>
          <w:bCs/>
          <w:sz w:val="22"/>
          <w:szCs w:val="22"/>
          <w:lang w:val="sr-Latn-RS"/>
        </w:rPr>
        <w:t>Kod pacijenata sa blagom do umjerenom bubrežnom insuficijencijom (klirens kreatinina između 30 i 50</w:t>
      </w:r>
      <w:r w:rsidR="001B5442" w:rsidRPr="00B32307">
        <w:rPr>
          <w:bCs/>
          <w:sz w:val="22"/>
          <w:szCs w:val="22"/>
          <w:lang w:val="sr-Latn-RS"/>
        </w:rPr>
        <w:t xml:space="preserve"> </w:t>
      </w:r>
      <w:r w:rsidRPr="00B32307">
        <w:rPr>
          <w:bCs/>
          <w:sz w:val="22"/>
          <w:szCs w:val="22"/>
          <w:lang w:val="sr-Latn-RS"/>
        </w:rPr>
        <w:t>m</w:t>
      </w:r>
      <w:r w:rsidR="001B5442" w:rsidRPr="00B32307">
        <w:rPr>
          <w:bCs/>
          <w:sz w:val="22"/>
          <w:szCs w:val="22"/>
          <w:lang w:val="sr-Latn-RS"/>
        </w:rPr>
        <w:t>l</w:t>
      </w:r>
      <w:r w:rsidRPr="00B32307">
        <w:rPr>
          <w:bCs/>
          <w:sz w:val="22"/>
          <w:szCs w:val="22"/>
          <w:lang w:val="sr-Latn-RS"/>
        </w:rPr>
        <w:t xml:space="preserve">/min) nije uočeno smanjenje klirensa ropinirola, što ukazuje da u ovoj populaciji nije neophodno prilagođavanje doze. </w:t>
      </w:r>
    </w:p>
    <w:p w14:paraId="6CD05C6B" w14:textId="77777777" w:rsidR="00835BFF" w:rsidRPr="00B32307" w:rsidRDefault="00835BFF" w:rsidP="00835BFF">
      <w:pPr>
        <w:contextualSpacing/>
        <w:jc w:val="both"/>
        <w:rPr>
          <w:bCs/>
          <w:sz w:val="22"/>
          <w:szCs w:val="22"/>
          <w:lang w:val="sr-Latn-RS"/>
        </w:rPr>
      </w:pPr>
    </w:p>
    <w:p w14:paraId="10766E55" w14:textId="18E4C963" w:rsidR="00835BFF" w:rsidRPr="00B32307" w:rsidRDefault="00835BFF" w:rsidP="00835BFF">
      <w:pPr>
        <w:contextualSpacing/>
        <w:jc w:val="both"/>
        <w:rPr>
          <w:bCs/>
          <w:sz w:val="22"/>
          <w:szCs w:val="22"/>
          <w:lang w:val="sr-Latn-RS"/>
        </w:rPr>
      </w:pPr>
      <w:r w:rsidRPr="00B32307">
        <w:rPr>
          <w:bCs/>
          <w:sz w:val="22"/>
          <w:szCs w:val="22"/>
          <w:lang w:val="sr-Latn-RS"/>
        </w:rPr>
        <w:t xml:space="preserve">U okviru ispitivanja primjene ropinirola kod pacijenata u krajnjem stadijumu bubrežne insuficijencije (pacijenti na hemodijalizi), pokazano je da se kod navedene grupe pacijenata zahtijeva sljedeće prilagođavanje doze: preporučena inicijalna doza lijeka REQUIP MODUTAB je 2 mg jednom dnevno. Prilikom daljeg povećanja doze treba uzeti u obzir podnošljivost i efikasnost. Preporučena maksimalna doza lijeka REQUIP MODUTAB je 18 mg/dan kod pacijenata koji su na redovnoj hemodijalizi. Ne zahtijeva se primjena dodatnih doza nakon hemodijalize (vidjeti </w:t>
      </w:r>
      <w:r w:rsidR="00AE48A4" w:rsidRPr="00B32307">
        <w:rPr>
          <w:bCs/>
          <w:sz w:val="22"/>
          <w:szCs w:val="22"/>
          <w:lang w:val="sr-Latn-RS"/>
        </w:rPr>
        <w:t>dio</w:t>
      </w:r>
      <w:r w:rsidRPr="00B32307">
        <w:rPr>
          <w:bCs/>
          <w:sz w:val="22"/>
          <w:szCs w:val="22"/>
          <w:lang w:val="sr-Latn-RS"/>
        </w:rPr>
        <w:t xml:space="preserve"> 5.2).</w:t>
      </w:r>
    </w:p>
    <w:p w14:paraId="2A73774A" w14:textId="77777777" w:rsidR="00835BFF" w:rsidRPr="00B32307" w:rsidRDefault="00835BFF" w:rsidP="00835BFF">
      <w:pPr>
        <w:contextualSpacing/>
        <w:jc w:val="both"/>
        <w:rPr>
          <w:bCs/>
          <w:sz w:val="22"/>
          <w:szCs w:val="22"/>
          <w:lang w:val="sr-Latn-RS"/>
        </w:rPr>
      </w:pPr>
    </w:p>
    <w:p w14:paraId="2AB42581" w14:textId="5DB2D754" w:rsidR="00835BFF" w:rsidRPr="00B32307" w:rsidRDefault="00835BFF" w:rsidP="00835BFF">
      <w:pPr>
        <w:contextualSpacing/>
        <w:jc w:val="both"/>
        <w:rPr>
          <w:sz w:val="22"/>
          <w:szCs w:val="22"/>
          <w:lang w:val="sr-Latn-RS"/>
        </w:rPr>
      </w:pPr>
      <w:r w:rsidRPr="00B32307">
        <w:rPr>
          <w:bCs/>
          <w:sz w:val="22"/>
          <w:szCs w:val="22"/>
          <w:lang w:val="sr-Latn-RS"/>
        </w:rPr>
        <w:t>Primjena ropinirola kod pacijenata sa teškim oštećenjem bubrega (klirens kreatinina &lt;30 m</w:t>
      </w:r>
      <w:r w:rsidR="001B5442" w:rsidRPr="00B32307">
        <w:rPr>
          <w:bCs/>
          <w:sz w:val="22"/>
          <w:szCs w:val="22"/>
          <w:lang w:val="sr-Latn-RS"/>
        </w:rPr>
        <w:t>l</w:t>
      </w:r>
      <w:r w:rsidRPr="00B32307">
        <w:rPr>
          <w:bCs/>
          <w:sz w:val="22"/>
          <w:szCs w:val="22"/>
          <w:lang w:val="sr-Latn-RS"/>
        </w:rPr>
        <w:t>/min) bez redovne hemodijalize nije ispitivana.</w:t>
      </w:r>
      <w:bookmarkEnd w:id="0"/>
    </w:p>
    <w:p w14:paraId="5C0F949D" w14:textId="77777777" w:rsidR="00835BFF" w:rsidRPr="00B32307" w:rsidRDefault="00835BFF" w:rsidP="00480FB1">
      <w:pPr>
        <w:tabs>
          <w:tab w:val="left" w:pos="540"/>
          <w:tab w:val="left" w:pos="569"/>
        </w:tabs>
        <w:rPr>
          <w:b/>
          <w:bCs/>
          <w:sz w:val="22"/>
          <w:szCs w:val="22"/>
          <w:lang w:val="sr-Latn-RS"/>
        </w:rPr>
      </w:pPr>
    </w:p>
    <w:p w14:paraId="5CC52134" w14:textId="1B08D56C" w:rsidR="00411B4B" w:rsidRPr="00B32307" w:rsidRDefault="00411B4B" w:rsidP="00480FB1">
      <w:pPr>
        <w:tabs>
          <w:tab w:val="left" w:pos="540"/>
          <w:tab w:val="left" w:pos="569"/>
        </w:tabs>
        <w:rPr>
          <w:b/>
          <w:bCs/>
          <w:sz w:val="22"/>
          <w:szCs w:val="22"/>
          <w:lang w:val="sr-Latn-RS"/>
        </w:rPr>
      </w:pPr>
      <w:r w:rsidRPr="00B32307">
        <w:rPr>
          <w:b/>
          <w:bCs/>
          <w:sz w:val="22"/>
          <w:szCs w:val="22"/>
          <w:lang w:val="sr-Latn-RS"/>
        </w:rPr>
        <w:t xml:space="preserve">4.3. </w:t>
      </w:r>
      <w:r w:rsidR="00480FB1" w:rsidRPr="00B32307">
        <w:rPr>
          <w:b/>
          <w:bCs/>
          <w:sz w:val="22"/>
          <w:szCs w:val="22"/>
          <w:lang w:val="sr-Latn-RS"/>
        </w:rPr>
        <w:tab/>
      </w:r>
      <w:r w:rsidRPr="00B32307">
        <w:rPr>
          <w:b/>
          <w:bCs/>
          <w:sz w:val="22"/>
          <w:szCs w:val="22"/>
          <w:lang w:val="sr-Latn-RS"/>
        </w:rPr>
        <w:t>Kontraindikacije</w:t>
      </w:r>
    </w:p>
    <w:p w14:paraId="3CF05B9D" w14:textId="77777777" w:rsidR="001B5442" w:rsidRPr="00B32307" w:rsidRDefault="001B5442" w:rsidP="00480FB1">
      <w:pPr>
        <w:tabs>
          <w:tab w:val="left" w:pos="540"/>
          <w:tab w:val="left" w:pos="569"/>
        </w:tabs>
        <w:rPr>
          <w:b/>
          <w:bCs/>
          <w:sz w:val="22"/>
          <w:szCs w:val="22"/>
          <w:lang w:val="sr-Latn-RS"/>
        </w:rPr>
      </w:pPr>
    </w:p>
    <w:p w14:paraId="11979D63" w14:textId="0DDC33F9" w:rsidR="00E35AA9" w:rsidRPr="00B32307" w:rsidRDefault="00E35AA9" w:rsidP="00406C24">
      <w:pPr>
        <w:pStyle w:val="ListParagraph"/>
        <w:numPr>
          <w:ilvl w:val="0"/>
          <w:numId w:val="17"/>
        </w:numPr>
        <w:jc w:val="both"/>
        <w:rPr>
          <w:bCs/>
          <w:sz w:val="22"/>
          <w:szCs w:val="22"/>
          <w:lang w:val="sr-Latn-RS"/>
        </w:rPr>
      </w:pPr>
      <w:r w:rsidRPr="00B32307">
        <w:rPr>
          <w:bCs/>
          <w:sz w:val="22"/>
          <w:szCs w:val="22"/>
          <w:lang w:val="sr-Latn-RS"/>
        </w:rPr>
        <w:t xml:space="preserve">Preosjetljivost na aktivnu supstancu ili na neku od pomoćnih supstanci navedenih u </w:t>
      </w:r>
      <w:r w:rsidR="00AE48A4" w:rsidRPr="00B32307">
        <w:rPr>
          <w:bCs/>
          <w:sz w:val="22"/>
          <w:szCs w:val="22"/>
          <w:lang w:val="sr-Latn-RS"/>
        </w:rPr>
        <w:t>dijelu</w:t>
      </w:r>
      <w:r w:rsidRPr="00B32307">
        <w:rPr>
          <w:bCs/>
          <w:sz w:val="22"/>
          <w:szCs w:val="22"/>
          <w:lang w:val="sr-Latn-RS"/>
        </w:rPr>
        <w:t xml:space="preserve"> 6.1.</w:t>
      </w:r>
    </w:p>
    <w:p w14:paraId="007D9C1C" w14:textId="4291D534" w:rsidR="00E35AA9" w:rsidRPr="00B32307" w:rsidRDefault="00E35AA9" w:rsidP="00406C24">
      <w:pPr>
        <w:pStyle w:val="ListParagraph"/>
        <w:numPr>
          <w:ilvl w:val="0"/>
          <w:numId w:val="17"/>
        </w:numPr>
        <w:tabs>
          <w:tab w:val="left" w:pos="142"/>
        </w:tabs>
        <w:jc w:val="both"/>
        <w:rPr>
          <w:bCs/>
          <w:sz w:val="22"/>
          <w:szCs w:val="22"/>
          <w:lang w:val="sr-Latn-RS"/>
        </w:rPr>
      </w:pPr>
      <w:r w:rsidRPr="00B32307">
        <w:rPr>
          <w:bCs/>
          <w:sz w:val="22"/>
          <w:szCs w:val="22"/>
          <w:lang w:val="sr-Latn-RS"/>
        </w:rPr>
        <w:t>Teška renalna insuficijencija (klirens kreatinina &lt; 30</w:t>
      </w:r>
      <w:r w:rsidR="001B5442" w:rsidRPr="00B32307">
        <w:rPr>
          <w:bCs/>
          <w:sz w:val="22"/>
          <w:szCs w:val="22"/>
          <w:lang w:val="sr-Latn-RS"/>
        </w:rPr>
        <w:t xml:space="preserve"> </w:t>
      </w:r>
      <w:r w:rsidRPr="00B32307">
        <w:rPr>
          <w:bCs/>
          <w:sz w:val="22"/>
          <w:szCs w:val="22"/>
          <w:lang w:val="sr-Latn-RS"/>
        </w:rPr>
        <w:t>m</w:t>
      </w:r>
      <w:r w:rsidR="001B5442" w:rsidRPr="00B32307">
        <w:rPr>
          <w:bCs/>
          <w:sz w:val="22"/>
          <w:szCs w:val="22"/>
          <w:lang w:val="sr-Latn-RS"/>
        </w:rPr>
        <w:t>l</w:t>
      </w:r>
      <w:r w:rsidRPr="00B32307">
        <w:rPr>
          <w:bCs/>
          <w:sz w:val="22"/>
          <w:szCs w:val="22"/>
          <w:lang w:val="sr-Latn-RS"/>
        </w:rPr>
        <w:t>/min) bez redovne hemodijalize.</w:t>
      </w:r>
    </w:p>
    <w:p w14:paraId="6DDA9A0A" w14:textId="6FACFC96" w:rsidR="00E35AA9" w:rsidRPr="00B32307" w:rsidRDefault="00E35AA9" w:rsidP="00406C24">
      <w:pPr>
        <w:pStyle w:val="ListParagraph"/>
        <w:numPr>
          <w:ilvl w:val="0"/>
          <w:numId w:val="17"/>
        </w:numPr>
        <w:jc w:val="both"/>
        <w:rPr>
          <w:bCs/>
          <w:sz w:val="22"/>
          <w:szCs w:val="22"/>
          <w:lang w:val="sr-Latn-RS"/>
        </w:rPr>
      </w:pPr>
      <w:r w:rsidRPr="00B32307">
        <w:rPr>
          <w:bCs/>
          <w:sz w:val="22"/>
          <w:szCs w:val="22"/>
          <w:lang w:val="sr-Latn-RS"/>
        </w:rPr>
        <w:t>Kod pacijenata sa oštećenjem jetre.</w:t>
      </w:r>
    </w:p>
    <w:p w14:paraId="7654507D" w14:textId="77777777" w:rsidR="0072020E" w:rsidRPr="00B32307" w:rsidRDefault="0072020E" w:rsidP="00480FB1">
      <w:pPr>
        <w:tabs>
          <w:tab w:val="left" w:pos="540"/>
          <w:tab w:val="left" w:pos="569"/>
        </w:tabs>
        <w:rPr>
          <w:bCs/>
          <w:sz w:val="22"/>
          <w:szCs w:val="22"/>
          <w:lang w:val="sr-Latn-RS"/>
        </w:rPr>
      </w:pPr>
    </w:p>
    <w:p w14:paraId="1BA0D581" w14:textId="77777777" w:rsidR="00411B4B" w:rsidRPr="00B32307" w:rsidRDefault="00411B4B" w:rsidP="00480FB1">
      <w:pPr>
        <w:tabs>
          <w:tab w:val="left" w:pos="540"/>
          <w:tab w:val="left" w:pos="569"/>
        </w:tabs>
        <w:rPr>
          <w:b/>
          <w:bCs/>
          <w:sz w:val="22"/>
          <w:szCs w:val="22"/>
          <w:lang w:val="sr-Latn-RS"/>
        </w:rPr>
      </w:pPr>
      <w:r w:rsidRPr="00B32307">
        <w:rPr>
          <w:b/>
          <w:bCs/>
          <w:sz w:val="22"/>
          <w:szCs w:val="22"/>
          <w:lang w:val="sr-Latn-RS"/>
        </w:rPr>
        <w:t xml:space="preserve">4.4. </w:t>
      </w:r>
      <w:r w:rsidR="00480FB1" w:rsidRPr="00B32307">
        <w:rPr>
          <w:b/>
          <w:bCs/>
          <w:sz w:val="22"/>
          <w:szCs w:val="22"/>
          <w:lang w:val="sr-Latn-RS"/>
        </w:rPr>
        <w:tab/>
      </w:r>
      <w:r w:rsidRPr="00B32307">
        <w:rPr>
          <w:b/>
          <w:bCs/>
          <w:sz w:val="22"/>
          <w:szCs w:val="22"/>
          <w:lang w:val="sr-Latn-RS"/>
        </w:rPr>
        <w:t>Posebna upozorenja i mjere opreza pri upotrebi lijeka</w:t>
      </w:r>
    </w:p>
    <w:p w14:paraId="25F583FD" w14:textId="77777777" w:rsidR="002750FD" w:rsidRPr="00B32307" w:rsidRDefault="002750FD" w:rsidP="00AA34BF">
      <w:pPr>
        <w:rPr>
          <w:bCs/>
          <w:sz w:val="22"/>
          <w:szCs w:val="22"/>
          <w:u w:val="single"/>
          <w:lang w:val="sr-Latn-RS"/>
        </w:rPr>
      </w:pPr>
    </w:p>
    <w:p w14:paraId="28BFF574" w14:textId="7AABA568" w:rsidR="00AA34BF" w:rsidRPr="00B32307" w:rsidRDefault="006B1E44" w:rsidP="00406C24">
      <w:pPr>
        <w:jc w:val="both"/>
        <w:rPr>
          <w:sz w:val="22"/>
          <w:szCs w:val="22"/>
          <w:u w:val="single"/>
          <w:lang w:val="sr-Latn-RS"/>
        </w:rPr>
      </w:pPr>
      <w:r w:rsidRPr="00B32307">
        <w:rPr>
          <w:bCs/>
          <w:sz w:val="22"/>
          <w:szCs w:val="22"/>
          <w:u w:val="single"/>
          <w:lang w:val="sr-Latn-RS"/>
        </w:rPr>
        <w:t>Pospanost i epizode iznenadnog padanja u san</w:t>
      </w:r>
    </w:p>
    <w:p w14:paraId="042B86B7" w14:textId="1D06CBAA" w:rsidR="00E35AA9" w:rsidRPr="00B32307" w:rsidRDefault="00E35AA9" w:rsidP="00406C24">
      <w:pPr>
        <w:jc w:val="both"/>
        <w:rPr>
          <w:sz w:val="22"/>
          <w:szCs w:val="22"/>
          <w:u w:val="single"/>
          <w:lang w:val="sr-Latn-RS"/>
        </w:rPr>
      </w:pPr>
      <w:r w:rsidRPr="00B32307">
        <w:rPr>
          <w:bCs/>
          <w:sz w:val="22"/>
          <w:szCs w:val="22"/>
          <w:lang w:val="sr-Latn-RS"/>
        </w:rPr>
        <w:t xml:space="preserve">Primjena ropinirola je bila udružena sa pospanošću i epizodama iznenadnog padanja u san, posebno kod pacijenata oboljelih od Parkinsonove bolesti. Zabilježen je nastanak iznenadnog padanja u san tokom dnevnih aktivnosti, u pojedinim slučajevima bez ikakvog znaka upozorenja (vidjeti </w:t>
      </w:r>
      <w:r w:rsidR="00AE48A4" w:rsidRPr="00B32307">
        <w:rPr>
          <w:bCs/>
          <w:sz w:val="22"/>
          <w:szCs w:val="22"/>
          <w:lang w:val="sr-Latn-RS"/>
        </w:rPr>
        <w:t>dio</w:t>
      </w:r>
      <w:r w:rsidRPr="00B32307">
        <w:rPr>
          <w:bCs/>
          <w:sz w:val="22"/>
          <w:szCs w:val="22"/>
          <w:lang w:val="sr-Latn-RS"/>
        </w:rPr>
        <w:t xml:space="preserve"> 4.8). Pacijenti moraju biti obaviješteni o navedenim pojavama i savjetovani na oprez ukoliko voze ili rukuju mašinama tokom terapije ropinirolom. Pacijenti koji osjete pospanost i/ili im se dogodila epizoda iznenadnog padanja u san ne smiju da voze ili rukuju mašinama. U navednom slučaju može se razmotriti smanjenje doze ili prekid terapije. </w:t>
      </w:r>
    </w:p>
    <w:p w14:paraId="14DBCD96" w14:textId="77777777" w:rsidR="00E35AA9" w:rsidRPr="00B32307" w:rsidRDefault="00E35AA9">
      <w:pPr>
        <w:contextualSpacing/>
        <w:jc w:val="both"/>
        <w:rPr>
          <w:bCs/>
          <w:sz w:val="22"/>
          <w:szCs w:val="22"/>
          <w:lang w:val="sr-Latn-RS"/>
        </w:rPr>
      </w:pPr>
    </w:p>
    <w:p w14:paraId="2D92E2DF" w14:textId="77777777" w:rsidR="00BF0E2A" w:rsidRPr="00B32307" w:rsidRDefault="00BF0E2A" w:rsidP="00406C24">
      <w:pPr>
        <w:jc w:val="both"/>
        <w:rPr>
          <w:sz w:val="22"/>
          <w:szCs w:val="22"/>
          <w:u w:val="single"/>
          <w:lang w:val="sr-Latn-RS"/>
        </w:rPr>
      </w:pPr>
      <w:r w:rsidRPr="00B32307">
        <w:rPr>
          <w:bCs/>
          <w:sz w:val="22"/>
          <w:szCs w:val="22"/>
          <w:u w:val="single"/>
          <w:lang w:val="sr-Latn-RS"/>
        </w:rPr>
        <w:t>Psihijatrijski ili psihotični poremećaji</w:t>
      </w:r>
    </w:p>
    <w:p w14:paraId="4F6AA252" w14:textId="3309E0A9" w:rsidR="00E35AA9" w:rsidRPr="00B32307" w:rsidRDefault="00E35AA9">
      <w:pPr>
        <w:contextualSpacing/>
        <w:jc w:val="both"/>
        <w:rPr>
          <w:bCs/>
          <w:sz w:val="22"/>
          <w:szCs w:val="22"/>
          <w:lang w:val="sr-Latn-RS"/>
        </w:rPr>
      </w:pPr>
      <w:r w:rsidRPr="00B32307">
        <w:rPr>
          <w:bCs/>
          <w:sz w:val="22"/>
          <w:szCs w:val="22"/>
          <w:lang w:val="sr-Latn-RS"/>
        </w:rPr>
        <w:t>Kod pacijenata sa izraženim psihijatrijskim ili psihotičnim poremećajima ili sa postojanjem ovih poremećaja u anamnezi ne treba primijeniti dopaminske agoniste osim ukoliko potencijalna korist prevazilazi moguće rizike primjene lijeka.</w:t>
      </w:r>
    </w:p>
    <w:p w14:paraId="48E211C9" w14:textId="77777777" w:rsidR="00E35AA9" w:rsidRPr="00B32307" w:rsidRDefault="00E35AA9">
      <w:pPr>
        <w:contextualSpacing/>
        <w:jc w:val="both"/>
        <w:rPr>
          <w:bCs/>
          <w:sz w:val="22"/>
          <w:szCs w:val="22"/>
          <w:lang w:val="sr-Latn-RS"/>
        </w:rPr>
      </w:pPr>
    </w:p>
    <w:p w14:paraId="23D11860" w14:textId="77777777" w:rsidR="00E35AA9" w:rsidRPr="00B32307" w:rsidRDefault="00E35AA9">
      <w:pPr>
        <w:contextualSpacing/>
        <w:jc w:val="both"/>
        <w:rPr>
          <w:bCs/>
          <w:sz w:val="22"/>
          <w:szCs w:val="22"/>
          <w:u w:val="single"/>
          <w:lang w:val="sr-Latn-RS"/>
        </w:rPr>
      </w:pPr>
      <w:r w:rsidRPr="00B32307">
        <w:rPr>
          <w:bCs/>
          <w:sz w:val="22"/>
          <w:szCs w:val="22"/>
          <w:u w:val="single"/>
          <w:lang w:val="sr-Latn-RS"/>
        </w:rPr>
        <w:t>Poremećaj kontrole impulsa</w:t>
      </w:r>
    </w:p>
    <w:p w14:paraId="27A0D1E0" w14:textId="77777777" w:rsidR="00E35AA9" w:rsidRPr="00B32307" w:rsidRDefault="00E35AA9">
      <w:pPr>
        <w:contextualSpacing/>
        <w:jc w:val="both"/>
        <w:rPr>
          <w:bCs/>
          <w:sz w:val="22"/>
          <w:szCs w:val="22"/>
          <w:lang w:val="sr-Latn-RS"/>
        </w:rPr>
      </w:pPr>
      <w:r w:rsidRPr="00B32307">
        <w:rPr>
          <w:bCs/>
          <w:sz w:val="22"/>
          <w:szCs w:val="22"/>
          <w:lang w:val="sr-Latn-RS"/>
        </w:rPr>
        <w:t>Potrebno je redovno pratiti stanje pacijenata u pogledu razvoja poremećaja kontrole impusa. Potrebno je da pacijenti, kao i osobe koje brinu o njima, budu svjesni da kod pacijenata koji su na terapiji agonistima dopamina uključujući i terapiju lijekom REQUIP MODUTAB može doći do pojave simptoma promjene ponašanja uključujući patološko kockanje, povišen libido, hiperseksualnost, epizode nekontrolisanog trošenja novca ili kupovine, impulsivno unošenje hrane (povećan unos hrane u kratkom vremenskom periodu) ili nekontrolisano unošenje hrane (unos veće količine hrane od količine potrebne da zadovolji glad). Ukoliko dođe do pojave navedenih simptoma, potrebno je razmotriti smanjenje doze ili postepeno ukidanje terapije.</w:t>
      </w:r>
    </w:p>
    <w:p w14:paraId="5FA03E4A" w14:textId="77777777" w:rsidR="00E35AA9" w:rsidRPr="00B32307" w:rsidRDefault="00E35AA9">
      <w:pPr>
        <w:contextualSpacing/>
        <w:jc w:val="both"/>
        <w:rPr>
          <w:bCs/>
          <w:sz w:val="22"/>
          <w:szCs w:val="22"/>
          <w:lang w:val="sr-Latn-RS"/>
        </w:rPr>
      </w:pPr>
    </w:p>
    <w:p w14:paraId="39697813" w14:textId="77777777" w:rsidR="00AA34BF" w:rsidRPr="00B32307" w:rsidRDefault="00AA34BF" w:rsidP="00406C24">
      <w:pPr>
        <w:jc w:val="both"/>
        <w:rPr>
          <w:sz w:val="22"/>
          <w:szCs w:val="22"/>
          <w:u w:val="single"/>
          <w:lang w:val="sr-Latn-RS"/>
        </w:rPr>
      </w:pPr>
      <w:r w:rsidRPr="00B32307">
        <w:rPr>
          <w:bCs/>
          <w:sz w:val="22"/>
          <w:szCs w:val="22"/>
          <w:u w:val="single"/>
          <w:lang w:val="sr-Latn-RS"/>
        </w:rPr>
        <w:t>Manija</w:t>
      </w:r>
    </w:p>
    <w:p w14:paraId="1E3036AA" w14:textId="049BE680" w:rsidR="00AA34BF" w:rsidRPr="00B32307" w:rsidRDefault="00AA34BF" w:rsidP="00406C24">
      <w:pPr>
        <w:jc w:val="both"/>
        <w:rPr>
          <w:bCs/>
          <w:sz w:val="22"/>
          <w:szCs w:val="22"/>
          <w:lang w:val="sr-Latn-RS"/>
        </w:rPr>
      </w:pPr>
      <w:r w:rsidRPr="00B32307">
        <w:rPr>
          <w:bCs/>
          <w:sz w:val="22"/>
          <w:szCs w:val="22"/>
          <w:lang w:val="sr-Latn-RS"/>
        </w:rPr>
        <w:t>Potrebno je redovno pratiti stanje pacijenta zbog mogućeg razvoja manije.</w:t>
      </w:r>
      <w:r w:rsidRPr="00B32307">
        <w:rPr>
          <w:sz w:val="22"/>
          <w:szCs w:val="22"/>
          <w:lang w:val="sr-Latn-RS"/>
        </w:rPr>
        <w:t xml:space="preserve"> Pacijente kao i one koji se staraju o njima treba upozoriti da se mogu javiti simptomi manije sa ili bez pojave simptoma poremećaja kontrole impulsa tokom primjene ovog lijeka. </w:t>
      </w:r>
      <w:r w:rsidRPr="00B32307">
        <w:rPr>
          <w:bCs/>
          <w:sz w:val="22"/>
          <w:szCs w:val="22"/>
          <w:lang w:val="sr-Latn-RS"/>
        </w:rPr>
        <w:t>Ukoliko dođe do pojave navedenih simptoma, potrebno je razmotriti smanjenje doze ili postepeno ukidanje terapije.</w:t>
      </w:r>
    </w:p>
    <w:p w14:paraId="4FC423AC" w14:textId="77777777" w:rsidR="00AA34BF" w:rsidRPr="00B32307" w:rsidRDefault="00AA34BF">
      <w:pPr>
        <w:contextualSpacing/>
        <w:jc w:val="both"/>
        <w:rPr>
          <w:sz w:val="22"/>
          <w:szCs w:val="22"/>
          <w:u w:val="single"/>
          <w:lang w:val="sr-Latn-RS" w:eastAsia="ja-JP"/>
        </w:rPr>
      </w:pPr>
    </w:p>
    <w:p w14:paraId="21827467" w14:textId="3E75FEFE" w:rsidR="00E35AA9" w:rsidRPr="00B32307" w:rsidRDefault="00E35AA9">
      <w:pPr>
        <w:contextualSpacing/>
        <w:jc w:val="both"/>
        <w:rPr>
          <w:sz w:val="22"/>
          <w:szCs w:val="22"/>
          <w:u w:val="single"/>
          <w:lang w:val="sr-Latn-RS" w:eastAsia="ja-JP"/>
        </w:rPr>
      </w:pPr>
      <w:r w:rsidRPr="00B32307">
        <w:rPr>
          <w:sz w:val="22"/>
          <w:szCs w:val="22"/>
          <w:u w:val="single"/>
          <w:lang w:val="sr-Latn-RS" w:eastAsia="ja-JP"/>
        </w:rPr>
        <w:t>Maligni neuroleptički sindrom</w:t>
      </w:r>
    </w:p>
    <w:p w14:paraId="24B84CE4" w14:textId="7537F7F8" w:rsidR="00E35AA9" w:rsidRPr="00B32307" w:rsidRDefault="00E35AA9">
      <w:pPr>
        <w:contextualSpacing/>
        <w:jc w:val="both"/>
        <w:rPr>
          <w:bCs/>
          <w:sz w:val="22"/>
          <w:szCs w:val="22"/>
          <w:lang w:val="sr-Latn-RS"/>
        </w:rPr>
      </w:pPr>
      <w:r w:rsidRPr="00B32307">
        <w:rPr>
          <w:sz w:val="22"/>
          <w:szCs w:val="22"/>
          <w:lang w:val="sr-Latn-RS" w:eastAsia="ja-JP"/>
        </w:rPr>
        <w:lastRenderedPageBreak/>
        <w:t xml:space="preserve">Prijavljena je pojava simptoma koji upućuju na maligni neuroleptički sindrom prilikom naglog ukidanja dopaminergičke terapije. Stoga se preporučuje postepeno smanjivanje doze (vidjeti </w:t>
      </w:r>
      <w:r w:rsidR="00AE48A4" w:rsidRPr="00B32307">
        <w:rPr>
          <w:sz w:val="22"/>
          <w:szCs w:val="22"/>
          <w:lang w:val="sr-Latn-RS" w:eastAsia="ja-JP"/>
        </w:rPr>
        <w:t>dio</w:t>
      </w:r>
      <w:r w:rsidRPr="00B32307">
        <w:rPr>
          <w:sz w:val="22"/>
          <w:szCs w:val="22"/>
          <w:lang w:val="sr-Latn-RS" w:eastAsia="ja-JP"/>
        </w:rPr>
        <w:t xml:space="preserve"> 4.2).</w:t>
      </w:r>
    </w:p>
    <w:p w14:paraId="4D6A8684" w14:textId="77777777" w:rsidR="00E35AA9" w:rsidRPr="00B32307" w:rsidRDefault="00E35AA9">
      <w:pPr>
        <w:contextualSpacing/>
        <w:jc w:val="both"/>
        <w:rPr>
          <w:bCs/>
          <w:sz w:val="22"/>
          <w:szCs w:val="22"/>
          <w:lang w:val="sr-Latn-RS"/>
        </w:rPr>
      </w:pPr>
    </w:p>
    <w:p w14:paraId="670B0FEA" w14:textId="25243B9D" w:rsidR="00AA34BF" w:rsidRPr="00B32307" w:rsidRDefault="00AA34BF" w:rsidP="00406C24">
      <w:pPr>
        <w:jc w:val="both"/>
        <w:rPr>
          <w:sz w:val="22"/>
          <w:szCs w:val="22"/>
          <w:u w:val="single"/>
          <w:lang w:val="sr-Latn-RS"/>
        </w:rPr>
      </w:pPr>
      <w:r w:rsidRPr="00B32307">
        <w:rPr>
          <w:bCs/>
          <w:sz w:val="22"/>
          <w:szCs w:val="22"/>
          <w:u w:val="single"/>
          <w:lang w:val="sr-Latn-RS"/>
        </w:rPr>
        <w:t>Brzi prolazak lijeka kroz gastrointestinalni trakt</w:t>
      </w:r>
    </w:p>
    <w:p w14:paraId="0AB75EEE" w14:textId="0FB66C7A" w:rsidR="00E35AA9" w:rsidRPr="00B32307" w:rsidRDefault="00E35AA9">
      <w:pPr>
        <w:contextualSpacing/>
        <w:jc w:val="both"/>
        <w:rPr>
          <w:bCs/>
          <w:sz w:val="22"/>
          <w:szCs w:val="22"/>
          <w:lang w:val="sr-Latn-RS"/>
        </w:rPr>
      </w:pPr>
      <w:r w:rsidRPr="00B32307">
        <w:rPr>
          <w:bCs/>
          <w:sz w:val="22"/>
          <w:szCs w:val="22"/>
          <w:lang w:val="sr-Latn-RS"/>
        </w:rPr>
        <w:t>Tablete lijeka REQUIP MODUTAB su formulisane u cilju postepenog oslobađanja aktivne supstance unutar perioda od 24h. Ukoliko dođe do brzog prolaska lijeka kroz gastrointestinalni trakt, postoji rizik od nepotpunog oslobađanja aktivne supstance pa se ostaci lijeka mogu naći u stolici.</w:t>
      </w:r>
    </w:p>
    <w:p w14:paraId="37C1964C" w14:textId="77777777" w:rsidR="00E35AA9" w:rsidRPr="00B32307" w:rsidRDefault="00E35AA9">
      <w:pPr>
        <w:contextualSpacing/>
        <w:jc w:val="both"/>
        <w:rPr>
          <w:bCs/>
          <w:sz w:val="22"/>
          <w:szCs w:val="22"/>
          <w:lang w:val="sr-Latn-RS"/>
        </w:rPr>
      </w:pPr>
    </w:p>
    <w:p w14:paraId="6FDE97E7" w14:textId="77777777" w:rsidR="00AA34BF" w:rsidRPr="00B32307" w:rsidRDefault="00AA34BF" w:rsidP="00AA34BF">
      <w:pPr>
        <w:rPr>
          <w:sz w:val="22"/>
          <w:szCs w:val="22"/>
          <w:u w:val="single"/>
          <w:lang w:val="sr-Latn-RS"/>
        </w:rPr>
      </w:pPr>
      <w:r w:rsidRPr="00B32307">
        <w:rPr>
          <w:bCs/>
          <w:sz w:val="22"/>
          <w:szCs w:val="22"/>
          <w:u w:val="single"/>
          <w:lang w:val="sr-Latn-RS"/>
        </w:rPr>
        <w:t>Hipotenzija</w:t>
      </w:r>
    </w:p>
    <w:p w14:paraId="18AFA02D" w14:textId="77E68E59" w:rsidR="00E35AA9" w:rsidRPr="00B32307" w:rsidRDefault="00E35AA9" w:rsidP="00AA34BF">
      <w:pPr>
        <w:contextualSpacing/>
        <w:jc w:val="both"/>
        <w:rPr>
          <w:bCs/>
          <w:sz w:val="22"/>
          <w:szCs w:val="22"/>
          <w:lang w:val="sr-Latn-RS"/>
        </w:rPr>
      </w:pPr>
      <w:r w:rsidRPr="00B32307">
        <w:rPr>
          <w:bCs/>
          <w:sz w:val="22"/>
          <w:szCs w:val="22"/>
          <w:lang w:val="sr-Latn-RS"/>
        </w:rPr>
        <w:t xml:space="preserve">Preporučuje se kontrola krvnog pritiska usljed rizika od hipotenzije, posebno na početku primjene terapije, kod pacijenata sa teškim kardiovaskularnim oboljenjima (posebno u slučaju koronarne insuficijencije). </w:t>
      </w:r>
    </w:p>
    <w:p w14:paraId="24A0AB87" w14:textId="77777777" w:rsidR="00E35AA9" w:rsidRPr="00B32307" w:rsidRDefault="00E35AA9" w:rsidP="00E35AA9">
      <w:pPr>
        <w:rPr>
          <w:bCs/>
          <w:sz w:val="22"/>
          <w:szCs w:val="22"/>
          <w:u w:val="single"/>
          <w:lang w:val="sr-Latn-RS"/>
        </w:rPr>
      </w:pPr>
    </w:p>
    <w:p w14:paraId="42E110F7" w14:textId="37FB87BA" w:rsidR="00E35AA9" w:rsidRPr="00B32307" w:rsidRDefault="00E35AA9" w:rsidP="00406C24">
      <w:pPr>
        <w:jc w:val="both"/>
        <w:rPr>
          <w:bCs/>
          <w:sz w:val="22"/>
          <w:szCs w:val="22"/>
          <w:u w:val="single"/>
          <w:lang w:val="sr-Latn-RS"/>
        </w:rPr>
      </w:pPr>
      <w:r w:rsidRPr="00B32307">
        <w:rPr>
          <w:bCs/>
          <w:sz w:val="22"/>
          <w:szCs w:val="22"/>
          <w:u w:val="single"/>
          <w:lang w:val="sr-Latn-RS"/>
        </w:rPr>
        <w:t>Sindrom obustave agonista dopamina</w:t>
      </w:r>
      <w:r w:rsidR="00AA34BF" w:rsidRPr="00B32307">
        <w:rPr>
          <w:bCs/>
          <w:sz w:val="22"/>
          <w:szCs w:val="22"/>
          <w:u w:val="single"/>
          <w:lang w:val="sr-Latn-RS"/>
        </w:rPr>
        <w:t xml:space="preserve"> (DAWS)</w:t>
      </w:r>
    </w:p>
    <w:p w14:paraId="3783D706" w14:textId="565DBF4F" w:rsidR="00421C09" w:rsidRPr="00B32307" w:rsidRDefault="00421C09" w:rsidP="00406C24">
      <w:pPr>
        <w:jc w:val="both"/>
        <w:rPr>
          <w:sz w:val="22"/>
          <w:szCs w:val="22"/>
          <w:lang w:val="sr-Latn-RS"/>
        </w:rPr>
      </w:pPr>
      <w:bookmarkStart w:id="1" w:name="_Hlk69842038"/>
      <w:r w:rsidRPr="00B32307">
        <w:rPr>
          <w:bCs/>
          <w:sz w:val="22"/>
          <w:szCs w:val="22"/>
          <w:lang w:val="sr-Latn-RS"/>
        </w:rPr>
        <w:t>Sindrom obustave agonista dopamina (engl. dopamine agonist withdrawal syndrome, DAWS) je bio prijavljen tokom primjene agonista dopamina, uključujući ropinirol (vidjeti dio 4.8). Da bi se</w:t>
      </w:r>
      <w:r w:rsidRPr="00B32307">
        <w:rPr>
          <w:sz w:val="22"/>
          <w:szCs w:val="22"/>
          <w:lang w:val="sr-Latn-RS"/>
        </w:rPr>
        <w:t xml:space="preserve"> </w:t>
      </w:r>
      <w:r w:rsidRPr="00B32307">
        <w:rPr>
          <w:bCs/>
          <w:sz w:val="22"/>
          <w:szCs w:val="22"/>
          <w:lang w:val="sr-Latn-RS"/>
        </w:rPr>
        <w:t>obustavila terapija kod pacijenata sa Parkinsonovom bolešću, dozu ropinirola je potrebno postepeno smanjivati (vidjeti dio 4.2). Ograničeni podaci sugerišu da pacijenti sa poremećajima kontrole impulsa i pacijenti koji primaju visoku dnevnu dozu i/ili visoke kumulativne doze agonista dopamina mogu imati veći rizik od razvoja sindroma obustave agonista dopamina. Simptomi obustave mogu da uključuju apatiju, anksioznost, depresiju, zamor, znojenje, bol i izostanak terapijskog odgovora na levodopu. Prije smanjenja doze i obustavljanja terapije ropinirolom, pacijente je neophodno obavijestiti o potencijalnim simptomima obustave terapije. Pacijente je potrebno pažljivo pratiti tokom postepenog smanjivanja doze i obustave terapije. U slučaju teških i/ili upornih simptoma obustave, može da se razmotri ponovna privremena primjena ropinirola u najnižoj efikasnoj dozi.</w:t>
      </w:r>
      <w:bookmarkEnd w:id="1"/>
    </w:p>
    <w:p w14:paraId="7F656244" w14:textId="77777777" w:rsidR="00E35AA9" w:rsidRPr="00B32307" w:rsidRDefault="00E35AA9" w:rsidP="00406C24">
      <w:pPr>
        <w:jc w:val="both"/>
        <w:rPr>
          <w:bCs/>
          <w:sz w:val="22"/>
          <w:szCs w:val="22"/>
          <w:lang w:val="sr-Latn-RS"/>
        </w:rPr>
      </w:pPr>
    </w:p>
    <w:p w14:paraId="6F77D086" w14:textId="77777777" w:rsidR="00E35AA9" w:rsidRPr="00B32307" w:rsidRDefault="00E35AA9" w:rsidP="00406C24">
      <w:pPr>
        <w:jc w:val="both"/>
        <w:rPr>
          <w:bCs/>
          <w:sz w:val="22"/>
          <w:szCs w:val="22"/>
          <w:u w:val="single"/>
          <w:lang w:val="sr-Latn-RS"/>
        </w:rPr>
      </w:pPr>
      <w:r w:rsidRPr="00B32307">
        <w:rPr>
          <w:bCs/>
          <w:sz w:val="22"/>
          <w:szCs w:val="22"/>
          <w:u w:val="single"/>
          <w:lang w:val="sr-Latn-RS"/>
        </w:rPr>
        <w:t>Halucinacije</w:t>
      </w:r>
    </w:p>
    <w:p w14:paraId="62878E67" w14:textId="77777777" w:rsidR="00E35AA9" w:rsidRPr="00B32307" w:rsidRDefault="00E35AA9" w:rsidP="00406C24">
      <w:pPr>
        <w:jc w:val="both"/>
        <w:rPr>
          <w:bCs/>
          <w:sz w:val="22"/>
          <w:szCs w:val="22"/>
          <w:lang w:val="sr-Latn-RS"/>
        </w:rPr>
      </w:pPr>
      <w:r w:rsidRPr="00B32307">
        <w:rPr>
          <w:bCs/>
          <w:sz w:val="22"/>
          <w:szCs w:val="22"/>
          <w:lang w:val="sr-Latn-RS"/>
        </w:rPr>
        <w:t>Halucinacije su poznato neželjeno dejstvo koje se javlja prilikom primjene agonista dopamina ili levodope. Pacijente je potrebno obavijestiti o mogućoj pojavi halucinacija.</w:t>
      </w:r>
    </w:p>
    <w:p w14:paraId="056EEAA6" w14:textId="77777777" w:rsidR="00E35AA9" w:rsidRPr="00B32307" w:rsidRDefault="00E35AA9" w:rsidP="00E35AA9">
      <w:pPr>
        <w:contextualSpacing/>
        <w:jc w:val="both"/>
        <w:rPr>
          <w:bCs/>
          <w:sz w:val="22"/>
          <w:szCs w:val="22"/>
          <w:lang w:val="sr-Latn-RS"/>
        </w:rPr>
      </w:pPr>
    </w:p>
    <w:p w14:paraId="1E5C6BAA" w14:textId="77777777" w:rsidR="00421C09" w:rsidRPr="00B32307" w:rsidRDefault="00421C09" w:rsidP="00406C24">
      <w:pPr>
        <w:jc w:val="both"/>
        <w:rPr>
          <w:sz w:val="22"/>
          <w:szCs w:val="22"/>
          <w:u w:val="single"/>
          <w:lang w:val="sr-Latn-RS"/>
        </w:rPr>
      </w:pPr>
      <w:r w:rsidRPr="00B32307">
        <w:rPr>
          <w:bCs/>
          <w:sz w:val="22"/>
          <w:szCs w:val="22"/>
          <w:u w:val="single"/>
          <w:lang w:val="sr-Latn-RS"/>
        </w:rPr>
        <w:t>Pomoćne supstance</w:t>
      </w:r>
    </w:p>
    <w:p w14:paraId="6DB66D03" w14:textId="77777777" w:rsidR="00421C09" w:rsidRPr="00B32307" w:rsidRDefault="00421C09" w:rsidP="00406C24">
      <w:pPr>
        <w:jc w:val="both"/>
        <w:rPr>
          <w:bCs/>
          <w:i/>
          <w:iCs/>
          <w:sz w:val="22"/>
          <w:szCs w:val="22"/>
          <w:u w:val="single"/>
          <w:lang w:val="sr-Latn-RS"/>
        </w:rPr>
      </w:pPr>
    </w:p>
    <w:p w14:paraId="0861D46D" w14:textId="08ACF16C" w:rsidR="00421C09" w:rsidRPr="00B32307" w:rsidRDefault="00421C09" w:rsidP="00406C24">
      <w:pPr>
        <w:jc w:val="both"/>
        <w:rPr>
          <w:sz w:val="22"/>
          <w:szCs w:val="22"/>
          <w:lang w:val="sr-Latn-RS"/>
        </w:rPr>
      </w:pPr>
      <w:r w:rsidRPr="00B32307">
        <w:rPr>
          <w:bCs/>
          <w:i/>
          <w:iCs/>
          <w:sz w:val="22"/>
          <w:szCs w:val="22"/>
          <w:lang w:val="sr-Latn-RS"/>
        </w:rPr>
        <w:t>Laktoza</w:t>
      </w:r>
    </w:p>
    <w:p w14:paraId="0B2CA4FF" w14:textId="5A9B08C9" w:rsidR="00E35AA9" w:rsidRPr="00B32307" w:rsidRDefault="00E35AA9">
      <w:pPr>
        <w:contextualSpacing/>
        <w:jc w:val="both"/>
        <w:rPr>
          <w:bCs/>
          <w:sz w:val="22"/>
          <w:szCs w:val="22"/>
          <w:lang w:val="sr-Latn-RS"/>
        </w:rPr>
      </w:pPr>
      <w:r w:rsidRPr="00B32307">
        <w:rPr>
          <w:bCs/>
          <w:sz w:val="22"/>
          <w:szCs w:val="22"/>
          <w:lang w:val="sr-Latn-RS"/>
        </w:rPr>
        <w:t>Ovaj lijek sadrži laktozu.</w:t>
      </w:r>
    </w:p>
    <w:p w14:paraId="4AC27113" w14:textId="329C6848" w:rsidR="00E35AA9" w:rsidRPr="00B32307" w:rsidRDefault="00E35AA9">
      <w:pPr>
        <w:contextualSpacing/>
        <w:jc w:val="both"/>
        <w:rPr>
          <w:bCs/>
          <w:sz w:val="22"/>
          <w:szCs w:val="22"/>
          <w:lang w:val="sr-Latn-RS"/>
        </w:rPr>
      </w:pPr>
      <w:r w:rsidRPr="00B32307">
        <w:rPr>
          <w:bCs/>
          <w:sz w:val="22"/>
          <w:szCs w:val="22"/>
          <w:lang w:val="sr-Latn-RS"/>
        </w:rPr>
        <w:t>Pacijenti sa rijetkim nasljednim poremećajem intolerancije galaktoze, nedostatkom Lapp laktaze ili malapsorpcijom glukozo</w:t>
      </w:r>
      <w:r w:rsidRPr="00B32307">
        <w:rPr>
          <w:bCs/>
          <w:sz w:val="22"/>
          <w:szCs w:val="22"/>
          <w:lang w:val="sr-Latn-RS"/>
        </w:rPr>
        <w:noBreakHyphen/>
        <w:t>galaktoze ne smiju da koriste ovaj lijek.</w:t>
      </w:r>
    </w:p>
    <w:p w14:paraId="355952F8" w14:textId="348FB52F" w:rsidR="00195721" w:rsidRPr="00B32307" w:rsidRDefault="00195721">
      <w:pPr>
        <w:contextualSpacing/>
        <w:jc w:val="both"/>
        <w:rPr>
          <w:bCs/>
          <w:sz w:val="22"/>
          <w:szCs w:val="22"/>
          <w:lang w:val="sr-Latn-RS"/>
        </w:rPr>
      </w:pPr>
    </w:p>
    <w:p w14:paraId="0826A2EB" w14:textId="4EBF6A92" w:rsidR="00195721" w:rsidRPr="00B32307" w:rsidRDefault="00195721">
      <w:pPr>
        <w:contextualSpacing/>
        <w:jc w:val="both"/>
        <w:rPr>
          <w:bCs/>
          <w:sz w:val="22"/>
          <w:szCs w:val="22"/>
          <w:lang w:val="sr-Latn-RS"/>
        </w:rPr>
      </w:pPr>
      <w:r w:rsidRPr="00B32307">
        <w:rPr>
          <w:bCs/>
          <w:sz w:val="22"/>
          <w:szCs w:val="22"/>
          <w:lang w:val="sr-Latn-RS"/>
        </w:rPr>
        <w:t>Ricinusovo ulje</w:t>
      </w:r>
    </w:p>
    <w:p w14:paraId="6887DBE1" w14:textId="1378A375" w:rsidR="00195721" w:rsidRPr="00B32307" w:rsidRDefault="00195721" w:rsidP="00195721">
      <w:pPr>
        <w:contextualSpacing/>
        <w:jc w:val="both"/>
        <w:rPr>
          <w:bCs/>
          <w:sz w:val="22"/>
          <w:szCs w:val="22"/>
          <w:lang w:val="sr-Latn-RS"/>
        </w:rPr>
      </w:pPr>
      <w:r w:rsidRPr="00B32307">
        <w:rPr>
          <w:bCs/>
          <w:sz w:val="22"/>
          <w:szCs w:val="22"/>
          <w:lang w:val="sr-Latn-RS"/>
        </w:rPr>
        <w:t>Ovaj lijek sadrži ricinusovo ulje.</w:t>
      </w:r>
    </w:p>
    <w:p w14:paraId="20683670" w14:textId="3F0B28BF" w:rsidR="00195721" w:rsidRPr="00B32307" w:rsidRDefault="00195721" w:rsidP="00195721">
      <w:pPr>
        <w:contextualSpacing/>
        <w:jc w:val="both"/>
        <w:rPr>
          <w:bCs/>
          <w:sz w:val="22"/>
          <w:szCs w:val="22"/>
          <w:lang w:val="sr-Latn-RS"/>
        </w:rPr>
      </w:pPr>
      <w:r w:rsidRPr="00B32307">
        <w:rPr>
          <w:bCs/>
          <w:sz w:val="22"/>
          <w:szCs w:val="22"/>
          <w:lang w:val="sr-Latn-RS"/>
        </w:rPr>
        <w:t>Ricinusovo ulje može izazvati stomačne probleme i dijareju.</w:t>
      </w:r>
    </w:p>
    <w:p w14:paraId="2078C6B6" w14:textId="77777777" w:rsidR="00E35AA9" w:rsidRPr="00B32307" w:rsidRDefault="00E35AA9">
      <w:pPr>
        <w:contextualSpacing/>
        <w:jc w:val="both"/>
        <w:rPr>
          <w:bCs/>
          <w:sz w:val="22"/>
          <w:szCs w:val="22"/>
          <w:lang w:val="sr-Latn-RS"/>
        </w:rPr>
      </w:pPr>
    </w:p>
    <w:p w14:paraId="7DC22A45" w14:textId="77777777" w:rsidR="00421C09" w:rsidRPr="00B32307" w:rsidRDefault="00421C09" w:rsidP="00406C24">
      <w:pPr>
        <w:jc w:val="both"/>
        <w:rPr>
          <w:i/>
          <w:iCs/>
          <w:sz w:val="22"/>
          <w:szCs w:val="22"/>
          <w:lang w:val="sr-Latn-RS"/>
        </w:rPr>
      </w:pPr>
      <w:r w:rsidRPr="00B32307">
        <w:rPr>
          <w:bCs/>
          <w:i/>
          <w:iCs/>
          <w:sz w:val="22"/>
          <w:szCs w:val="22"/>
          <w:lang w:val="sr-Latn-RS"/>
        </w:rPr>
        <w:t>Boja „Sunset yellow FCF Aluminium Lake”</w:t>
      </w:r>
    </w:p>
    <w:p w14:paraId="546C01AB" w14:textId="7CF5510F" w:rsidR="00E35AA9" w:rsidRPr="00B32307" w:rsidRDefault="00E35AA9">
      <w:pPr>
        <w:contextualSpacing/>
        <w:jc w:val="both"/>
        <w:rPr>
          <w:b/>
          <w:bCs/>
          <w:i/>
          <w:sz w:val="22"/>
          <w:szCs w:val="22"/>
          <w:lang w:val="sr-Latn-RS"/>
        </w:rPr>
      </w:pPr>
      <w:r w:rsidRPr="00B32307">
        <w:rPr>
          <w:b/>
          <w:bCs/>
          <w:i/>
          <w:sz w:val="22"/>
          <w:szCs w:val="22"/>
          <w:lang w:val="sr-Latn-RS"/>
        </w:rPr>
        <w:t xml:space="preserve">Napomena koja se odnosi isključivo na tablete sa produženim oslobađanjem, jačine 4 mg: </w:t>
      </w:r>
    </w:p>
    <w:p w14:paraId="4E88D6E2" w14:textId="77777777" w:rsidR="00E35AA9" w:rsidRPr="00B32307" w:rsidRDefault="00E35AA9">
      <w:pPr>
        <w:contextualSpacing/>
        <w:jc w:val="both"/>
        <w:rPr>
          <w:bCs/>
          <w:sz w:val="22"/>
          <w:szCs w:val="22"/>
          <w:lang w:val="sr-Latn-RS"/>
        </w:rPr>
      </w:pPr>
      <w:r w:rsidRPr="00B32307">
        <w:rPr>
          <w:bCs/>
          <w:sz w:val="22"/>
          <w:szCs w:val="22"/>
          <w:lang w:val="sr-Latn-RS"/>
        </w:rPr>
        <w:t>Lijek REQUIP MODUTAB, jačine 4 mg, sadrži azo boju Sunset yellow FCF (E110), koja može da izazove alergijske reakcije.</w:t>
      </w:r>
    </w:p>
    <w:p w14:paraId="354E962C" w14:textId="77777777" w:rsidR="00421C09" w:rsidRPr="00B32307" w:rsidRDefault="00421C09" w:rsidP="00406C24">
      <w:pPr>
        <w:jc w:val="both"/>
        <w:rPr>
          <w:bCs/>
          <w:i/>
          <w:iCs/>
          <w:sz w:val="22"/>
          <w:szCs w:val="22"/>
          <w:u w:val="single"/>
          <w:lang w:val="sr-Latn-RS"/>
        </w:rPr>
      </w:pPr>
    </w:p>
    <w:p w14:paraId="34CE4F5F" w14:textId="1EC98DB8" w:rsidR="00421C09" w:rsidRPr="00B32307" w:rsidRDefault="00421C09" w:rsidP="00406C24">
      <w:pPr>
        <w:jc w:val="both"/>
        <w:rPr>
          <w:i/>
          <w:iCs/>
          <w:sz w:val="22"/>
          <w:szCs w:val="22"/>
          <w:lang w:val="sr-Latn-RS"/>
        </w:rPr>
      </w:pPr>
      <w:r w:rsidRPr="00B32307">
        <w:rPr>
          <w:bCs/>
          <w:i/>
          <w:iCs/>
          <w:sz w:val="22"/>
          <w:szCs w:val="22"/>
          <w:lang w:val="sr-Latn-RS"/>
        </w:rPr>
        <w:t>Natrijum</w:t>
      </w:r>
    </w:p>
    <w:p w14:paraId="69C7B9EA" w14:textId="41309AD2" w:rsidR="00421C09" w:rsidRPr="00B32307" w:rsidRDefault="00421C09" w:rsidP="00406C24">
      <w:pPr>
        <w:jc w:val="both"/>
        <w:rPr>
          <w:bCs/>
          <w:sz w:val="22"/>
          <w:szCs w:val="22"/>
          <w:lang w:val="sr-Latn-RS"/>
        </w:rPr>
      </w:pPr>
      <w:r w:rsidRPr="00B32307">
        <w:rPr>
          <w:bCs/>
          <w:sz w:val="22"/>
          <w:szCs w:val="22"/>
          <w:lang w:val="sr-Latn-RS"/>
        </w:rPr>
        <w:t>Svaka REQUIP MODUTAB tableta sa produženim oslobađanjem (2, 4 i 8</w:t>
      </w:r>
      <w:r w:rsidR="00433343" w:rsidRPr="00B32307">
        <w:rPr>
          <w:bCs/>
          <w:sz w:val="22"/>
          <w:szCs w:val="22"/>
          <w:lang w:val="sr-Latn-RS"/>
        </w:rPr>
        <w:t xml:space="preserve"> </w:t>
      </w:r>
      <w:r w:rsidRPr="00B32307">
        <w:rPr>
          <w:bCs/>
          <w:sz w:val="22"/>
          <w:szCs w:val="22"/>
          <w:lang w:val="sr-Latn-RS"/>
        </w:rPr>
        <w:t>mg), sadrži manje od 1 mmol natrijuma (23 mg) po tableti, tj. suštinski je bez natrijuma.</w:t>
      </w:r>
    </w:p>
    <w:p w14:paraId="22FFD082" w14:textId="77777777" w:rsidR="002750FD" w:rsidRPr="00B32307" w:rsidRDefault="002750FD" w:rsidP="00421C09">
      <w:pPr>
        <w:rPr>
          <w:bCs/>
          <w:sz w:val="22"/>
          <w:szCs w:val="22"/>
          <w:lang w:val="sr-Latn-RS"/>
        </w:rPr>
      </w:pPr>
    </w:p>
    <w:p w14:paraId="473C8822" w14:textId="1C129F55" w:rsidR="00411B4B" w:rsidRPr="00B32307" w:rsidRDefault="00421C09" w:rsidP="00480FB1">
      <w:pPr>
        <w:tabs>
          <w:tab w:val="left" w:pos="540"/>
          <w:tab w:val="left" w:pos="569"/>
        </w:tabs>
        <w:rPr>
          <w:b/>
          <w:bCs/>
          <w:sz w:val="22"/>
          <w:szCs w:val="22"/>
          <w:lang w:val="sr-Latn-RS"/>
        </w:rPr>
      </w:pPr>
      <w:r w:rsidRPr="00B32307" w:rsidDel="00421C09">
        <w:rPr>
          <w:bCs/>
          <w:sz w:val="22"/>
          <w:szCs w:val="22"/>
          <w:lang w:val="sr-Latn-RS"/>
        </w:rPr>
        <w:t xml:space="preserve"> </w:t>
      </w:r>
      <w:r w:rsidR="00411B4B" w:rsidRPr="00B32307">
        <w:rPr>
          <w:b/>
          <w:bCs/>
          <w:sz w:val="22"/>
          <w:szCs w:val="22"/>
          <w:lang w:val="sr-Latn-RS"/>
        </w:rPr>
        <w:t>4.5.</w:t>
      </w:r>
      <w:r w:rsidR="000D60CC" w:rsidRPr="00B32307">
        <w:rPr>
          <w:b/>
          <w:bCs/>
          <w:sz w:val="22"/>
          <w:szCs w:val="22"/>
          <w:lang w:val="sr-Latn-RS"/>
        </w:rPr>
        <w:tab/>
      </w:r>
      <w:r w:rsidR="00411B4B" w:rsidRPr="00B32307">
        <w:rPr>
          <w:b/>
          <w:bCs/>
          <w:sz w:val="22"/>
          <w:szCs w:val="22"/>
          <w:lang w:val="sr-Latn-RS"/>
        </w:rPr>
        <w:t>Interakcije sa drugim ljekovima i druge vrste interakcija</w:t>
      </w:r>
    </w:p>
    <w:p w14:paraId="3D3B6929" w14:textId="77777777" w:rsidR="00433343" w:rsidRPr="00B32307" w:rsidRDefault="00433343" w:rsidP="00CE78C0">
      <w:pPr>
        <w:contextualSpacing/>
        <w:jc w:val="both"/>
        <w:rPr>
          <w:bCs/>
          <w:sz w:val="22"/>
          <w:szCs w:val="22"/>
          <w:lang w:val="sr-Latn-RS"/>
        </w:rPr>
      </w:pPr>
    </w:p>
    <w:p w14:paraId="783F4E33" w14:textId="5231028B" w:rsidR="00CE78C0" w:rsidRPr="00B32307" w:rsidRDefault="00CE78C0" w:rsidP="00CE78C0">
      <w:pPr>
        <w:contextualSpacing/>
        <w:jc w:val="both"/>
        <w:rPr>
          <w:bCs/>
          <w:sz w:val="22"/>
          <w:szCs w:val="22"/>
          <w:lang w:val="sr-Latn-RS"/>
        </w:rPr>
      </w:pPr>
      <w:r w:rsidRPr="00B32307">
        <w:rPr>
          <w:bCs/>
          <w:sz w:val="22"/>
          <w:szCs w:val="22"/>
          <w:lang w:val="sr-Latn-RS"/>
        </w:rPr>
        <w:t>Ne postoje farmakokinetičke interakcije između ropinirola i levodope ili domperidona koje bi dovele do neophodnog prilagođavanja doze ropinirola.</w:t>
      </w:r>
    </w:p>
    <w:p w14:paraId="2FA7F02B" w14:textId="77777777" w:rsidR="00CE78C0" w:rsidRPr="00B32307" w:rsidRDefault="00CE78C0" w:rsidP="00CE78C0">
      <w:pPr>
        <w:contextualSpacing/>
        <w:jc w:val="both"/>
        <w:rPr>
          <w:bCs/>
          <w:sz w:val="22"/>
          <w:szCs w:val="22"/>
          <w:lang w:val="sr-Latn-RS"/>
        </w:rPr>
      </w:pPr>
    </w:p>
    <w:p w14:paraId="58B55BFD" w14:textId="77777777" w:rsidR="00CE78C0" w:rsidRPr="00B32307" w:rsidRDefault="00CE78C0" w:rsidP="00CE78C0">
      <w:pPr>
        <w:contextualSpacing/>
        <w:jc w:val="both"/>
        <w:rPr>
          <w:bCs/>
          <w:sz w:val="22"/>
          <w:szCs w:val="22"/>
          <w:lang w:val="sr-Latn-RS"/>
        </w:rPr>
      </w:pPr>
      <w:r w:rsidRPr="00B32307">
        <w:rPr>
          <w:bCs/>
          <w:sz w:val="22"/>
          <w:szCs w:val="22"/>
          <w:lang w:val="sr-Latn-RS"/>
        </w:rPr>
        <w:lastRenderedPageBreak/>
        <w:t>Neuroleptici i drugi aktivni antagonisti dopamina koji djeluju centralno, kao što su sulpirid ili metoklopramid, mogu da umanje efikasnost ropinirola, pa stoga treba izbjegavati istovremenu upotrebu navedenih ljekova.</w:t>
      </w:r>
    </w:p>
    <w:p w14:paraId="4096E5DB" w14:textId="77777777" w:rsidR="00CE78C0" w:rsidRPr="00B32307" w:rsidRDefault="00CE78C0" w:rsidP="00CE78C0">
      <w:pPr>
        <w:contextualSpacing/>
        <w:jc w:val="both"/>
        <w:rPr>
          <w:bCs/>
          <w:sz w:val="22"/>
          <w:szCs w:val="22"/>
          <w:lang w:val="sr-Latn-RS"/>
        </w:rPr>
      </w:pPr>
    </w:p>
    <w:p w14:paraId="77FCE071" w14:textId="77777777" w:rsidR="00CE78C0" w:rsidRPr="00B32307" w:rsidRDefault="00CE78C0" w:rsidP="00CE78C0">
      <w:pPr>
        <w:contextualSpacing/>
        <w:jc w:val="both"/>
        <w:rPr>
          <w:bCs/>
          <w:sz w:val="22"/>
          <w:szCs w:val="22"/>
          <w:lang w:val="sr-Latn-RS"/>
        </w:rPr>
      </w:pPr>
      <w:r w:rsidRPr="00B32307">
        <w:rPr>
          <w:bCs/>
          <w:sz w:val="22"/>
          <w:szCs w:val="22"/>
          <w:lang w:val="sr-Latn-RS"/>
        </w:rPr>
        <w:t>Kod pacijenata liječenih visokim dozama estrogena zapažene su povišene koncentracije ropinirola u plazmi. Kod pacijenata koji već primaju hormosku supstitucionu terapiju (HST), ropinirol se u terapiju uvodi na uobičajen način. Međutim, ukoliko se prekine primjena HST ili se HST uvede tokom terapije ropinirolom, može biti neophodno prilagođavanje doze ropinirola, u skladu sa kliničkim odgovorom pacijenta.</w:t>
      </w:r>
    </w:p>
    <w:p w14:paraId="3B3B3FBE" w14:textId="77777777" w:rsidR="00CE78C0" w:rsidRPr="00B32307" w:rsidRDefault="00CE78C0" w:rsidP="00CE78C0">
      <w:pPr>
        <w:contextualSpacing/>
        <w:jc w:val="both"/>
        <w:rPr>
          <w:bCs/>
          <w:sz w:val="22"/>
          <w:szCs w:val="22"/>
          <w:lang w:val="sr-Latn-RS"/>
        </w:rPr>
      </w:pPr>
    </w:p>
    <w:p w14:paraId="6B093D0E" w14:textId="77777777" w:rsidR="00CE78C0" w:rsidRPr="00B32307" w:rsidRDefault="00CE78C0" w:rsidP="00CE78C0">
      <w:pPr>
        <w:contextualSpacing/>
        <w:jc w:val="both"/>
        <w:rPr>
          <w:bCs/>
          <w:sz w:val="22"/>
          <w:szCs w:val="22"/>
          <w:lang w:val="sr-Latn-RS"/>
        </w:rPr>
      </w:pPr>
      <w:r w:rsidRPr="00B32307">
        <w:rPr>
          <w:bCs/>
          <w:sz w:val="22"/>
          <w:szCs w:val="22"/>
          <w:lang w:val="sr-Latn-RS"/>
        </w:rPr>
        <w:t>Ropinirol se uglavnom metaboliše pomoću izoenzima CYP1A2 citohroma P450. Ispitivanje farmakokinetike sprovedeno kod pacijenata oboljelih od Parkinsonove bolesti uz primjenu ropinirola u obliku film tablete sa trenutnim oslobađanjem u dozi od 2 mg, tri puta dnevno, pokazalo je da ciprofloksacin povećava C</w:t>
      </w:r>
      <w:r w:rsidRPr="00B32307">
        <w:rPr>
          <w:bCs/>
          <w:sz w:val="22"/>
          <w:szCs w:val="22"/>
          <w:vertAlign w:val="subscript"/>
          <w:lang w:val="sr-Latn-RS"/>
        </w:rPr>
        <w:t>max</w:t>
      </w:r>
      <w:r w:rsidRPr="00B32307">
        <w:rPr>
          <w:bCs/>
          <w:sz w:val="22"/>
          <w:szCs w:val="22"/>
          <w:lang w:val="sr-Latn-RS"/>
        </w:rPr>
        <w:t xml:space="preserve"> za 60%, a PIK ropinirola za 84%, sa potencijalnim rizikom od pojave neželjenih događaja. Stoga je kod pacijenata koji primjenjuju ropinirol potrebno prilagoditi dozu ropinirola ukoliko se u terapiju uvode ili se prekida terapija ljekovima koji inhibiraju CYP1A2, npr. ciprofloksacin, enoksacin ili fluvoksamin.</w:t>
      </w:r>
    </w:p>
    <w:p w14:paraId="5C78248A" w14:textId="77777777" w:rsidR="00CE78C0" w:rsidRPr="00B32307" w:rsidRDefault="00CE78C0" w:rsidP="00CE78C0">
      <w:pPr>
        <w:contextualSpacing/>
        <w:jc w:val="both"/>
        <w:rPr>
          <w:bCs/>
          <w:sz w:val="22"/>
          <w:szCs w:val="22"/>
          <w:lang w:val="sr-Latn-RS"/>
        </w:rPr>
      </w:pPr>
      <w:r w:rsidRPr="00B32307">
        <w:rPr>
          <w:bCs/>
          <w:sz w:val="22"/>
          <w:szCs w:val="22"/>
          <w:lang w:val="sr-Latn-RS"/>
        </w:rPr>
        <w:t xml:space="preserve"> </w:t>
      </w:r>
    </w:p>
    <w:p w14:paraId="081EB60D" w14:textId="77777777" w:rsidR="00CE78C0" w:rsidRPr="00B32307" w:rsidRDefault="00CE78C0" w:rsidP="00CE78C0">
      <w:pPr>
        <w:contextualSpacing/>
        <w:jc w:val="both"/>
        <w:rPr>
          <w:bCs/>
          <w:sz w:val="22"/>
          <w:szCs w:val="22"/>
          <w:lang w:val="sr-Latn-RS"/>
        </w:rPr>
      </w:pPr>
      <w:r w:rsidRPr="00B32307">
        <w:rPr>
          <w:bCs/>
          <w:sz w:val="22"/>
          <w:szCs w:val="22"/>
          <w:lang w:val="sr-Latn-RS"/>
        </w:rPr>
        <w:t>Ispitivanje farmakokinetičkih interakcija kod pacijenata oboljelih od Parkinsonove bolesti između ropinirola primijenjenog u obliku film tableta sa trenutnim oslobađanjem u dozi od 2 mg, tri puta dnevno i teofilina, koji je supstrat CYP1A2, nije pokazalo promjenu farmakokinetike ni jednog od navedena dva lijeka.</w:t>
      </w:r>
    </w:p>
    <w:p w14:paraId="1D3AC420" w14:textId="77777777" w:rsidR="00CE78C0" w:rsidRPr="00B32307" w:rsidRDefault="00CE78C0" w:rsidP="00CE78C0">
      <w:pPr>
        <w:pStyle w:val="Header"/>
        <w:tabs>
          <w:tab w:val="left" w:pos="284"/>
        </w:tabs>
        <w:jc w:val="both"/>
        <w:rPr>
          <w:bCs/>
          <w:sz w:val="22"/>
          <w:szCs w:val="22"/>
          <w:lang w:val="sr-Latn-RS"/>
        </w:rPr>
      </w:pPr>
      <w:r w:rsidRPr="00B32307">
        <w:rPr>
          <w:bCs/>
          <w:sz w:val="22"/>
          <w:szCs w:val="22"/>
          <w:lang w:val="sr-Latn-RS"/>
        </w:rPr>
        <w:t>Poznato je da pušenje indukuje metabolizam CYP1A2, stoga može biti potrebno prilagođavanje doze ukoliko pacijent prestane ili počne da puši tokom terapije ropinirolom.</w:t>
      </w:r>
    </w:p>
    <w:p w14:paraId="7282CA53" w14:textId="77777777" w:rsidR="00CE78C0" w:rsidRPr="00B32307" w:rsidRDefault="00CE78C0" w:rsidP="00CE78C0">
      <w:pPr>
        <w:pStyle w:val="Header"/>
        <w:tabs>
          <w:tab w:val="left" w:pos="2131"/>
        </w:tabs>
        <w:jc w:val="both"/>
        <w:rPr>
          <w:b/>
          <w:bCs/>
          <w:sz w:val="22"/>
          <w:szCs w:val="22"/>
          <w:lang w:val="sr-Latn-RS"/>
        </w:rPr>
      </w:pPr>
      <w:r w:rsidRPr="00B32307">
        <w:rPr>
          <w:b/>
          <w:bCs/>
          <w:sz w:val="22"/>
          <w:szCs w:val="22"/>
          <w:lang w:val="sr-Latn-RS"/>
        </w:rPr>
        <w:tab/>
      </w:r>
    </w:p>
    <w:p w14:paraId="1E98D607" w14:textId="77777777" w:rsidR="00CE78C0" w:rsidRPr="00B32307" w:rsidRDefault="00CE78C0" w:rsidP="00CE78C0">
      <w:pPr>
        <w:pStyle w:val="Header"/>
        <w:tabs>
          <w:tab w:val="left" w:pos="284"/>
        </w:tabs>
        <w:jc w:val="both"/>
        <w:rPr>
          <w:bCs/>
          <w:sz w:val="22"/>
          <w:szCs w:val="22"/>
          <w:lang w:val="sr-Latn-RS"/>
        </w:rPr>
      </w:pPr>
      <w:r w:rsidRPr="00B32307">
        <w:rPr>
          <w:bCs/>
          <w:sz w:val="22"/>
          <w:szCs w:val="22"/>
          <w:lang w:val="sr-Latn-RS"/>
        </w:rPr>
        <w:t xml:space="preserve">Zabilježeni su slučajevi izmijenjene vrijednosti INR kod pacijenata koji u terapiji primjenjuju kombinaciju ropinirola i antagonista vitamina K. Neophodno je intenzivno praćenje kliničkih i bioloških parametara (INR). </w:t>
      </w:r>
    </w:p>
    <w:p w14:paraId="68579864" w14:textId="77777777" w:rsidR="0072020E" w:rsidRPr="00B32307" w:rsidRDefault="0072020E" w:rsidP="00480FB1">
      <w:pPr>
        <w:tabs>
          <w:tab w:val="left" w:pos="540"/>
          <w:tab w:val="left" w:pos="569"/>
        </w:tabs>
        <w:rPr>
          <w:bCs/>
          <w:sz w:val="22"/>
          <w:szCs w:val="22"/>
          <w:lang w:val="sr-Latn-RS"/>
        </w:rPr>
      </w:pPr>
    </w:p>
    <w:p w14:paraId="037E29F8" w14:textId="77777777" w:rsidR="002031B3" w:rsidRPr="00B32307" w:rsidRDefault="0072020E" w:rsidP="002031B3">
      <w:pPr>
        <w:tabs>
          <w:tab w:val="left" w:pos="540"/>
          <w:tab w:val="left" w:pos="569"/>
        </w:tabs>
        <w:rPr>
          <w:b/>
          <w:sz w:val="22"/>
          <w:szCs w:val="22"/>
          <w:lang w:val="sr-Latn-RS"/>
        </w:rPr>
      </w:pPr>
      <w:r w:rsidRPr="00B32307">
        <w:rPr>
          <w:b/>
          <w:bCs/>
          <w:sz w:val="22"/>
          <w:szCs w:val="22"/>
          <w:lang w:val="sr-Latn-RS"/>
        </w:rPr>
        <w:t xml:space="preserve">4.6. </w:t>
      </w:r>
      <w:r w:rsidR="00480FB1" w:rsidRPr="00B32307">
        <w:rPr>
          <w:b/>
          <w:bCs/>
          <w:sz w:val="22"/>
          <w:szCs w:val="22"/>
          <w:lang w:val="sr-Latn-RS"/>
        </w:rPr>
        <w:tab/>
      </w:r>
      <w:r w:rsidR="006D20A5" w:rsidRPr="00B32307">
        <w:rPr>
          <w:b/>
          <w:sz w:val="22"/>
          <w:szCs w:val="22"/>
          <w:lang w:val="sr-Latn-RS"/>
        </w:rPr>
        <w:t>Plodnost, trudnoća i dojenje</w:t>
      </w:r>
    </w:p>
    <w:p w14:paraId="43DDF410" w14:textId="77777777" w:rsidR="002B6854" w:rsidRPr="00B32307" w:rsidRDefault="002B6854" w:rsidP="0058759B">
      <w:pPr>
        <w:contextualSpacing/>
        <w:jc w:val="both"/>
        <w:rPr>
          <w:bCs/>
          <w:sz w:val="22"/>
          <w:szCs w:val="22"/>
          <w:u w:val="single"/>
          <w:lang w:val="sr-Latn-RS"/>
        </w:rPr>
      </w:pPr>
    </w:p>
    <w:p w14:paraId="1A1CC951" w14:textId="27535B2F" w:rsidR="0058759B" w:rsidRPr="00B32307" w:rsidRDefault="0058759B" w:rsidP="0058759B">
      <w:pPr>
        <w:contextualSpacing/>
        <w:jc w:val="both"/>
        <w:rPr>
          <w:bCs/>
          <w:sz w:val="22"/>
          <w:szCs w:val="22"/>
          <w:u w:val="single"/>
          <w:lang w:val="sr-Latn-RS"/>
        </w:rPr>
      </w:pPr>
      <w:r w:rsidRPr="00B32307">
        <w:rPr>
          <w:bCs/>
          <w:sz w:val="22"/>
          <w:szCs w:val="22"/>
          <w:u w:val="single"/>
          <w:lang w:val="sr-Latn-RS"/>
        </w:rPr>
        <w:t>Trudnoća</w:t>
      </w:r>
    </w:p>
    <w:p w14:paraId="5D63E112" w14:textId="43D85286" w:rsidR="0058759B" w:rsidRPr="00B32307" w:rsidRDefault="0058759B" w:rsidP="0058759B">
      <w:pPr>
        <w:contextualSpacing/>
        <w:jc w:val="both"/>
        <w:rPr>
          <w:bCs/>
          <w:sz w:val="22"/>
          <w:szCs w:val="22"/>
          <w:lang w:val="sr-Latn-RS"/>
        </w:rPr>
      </w:pPr>
      <w:r w:rsidRPr="00B32307">
        <w:rPr>
          <w:sz w:val="22"/>
          <w:szCs w:val="22"/>
          <w:lang w:val="sr-Latn-RS"/>
        </w:rPr>
        <w:t>Nijesu dostupni odgovarajući podaci o primjeni ropinirola kod žena u drugom stanju.</w:t>
      </w:r>
      <w:r w:rsidR="000126D7" w:rsidRPr="00B32307">
        <w:rPr>
          <w:sz w:val="22"/>
          <w:szCs w:val="22"/>
          <w:lang w:val="sr-Latn-RS"/>
        </w:rPr>
        <w:t xml:space="preserve"> U toku trudnoće može doći do postepenog povećanja koncentracije ropinirola (vidjeti dio 5.2).</w:t>
      </w:r>
    </w:p>
    <w:p w14:paraId="5BBE55AA" w14:textId="77777777" w:rsidR="0058759B" w:rsidRPr="00B32307" w:rsidRDefault="0058759B" w:rsidP="0058759B">
      <w:pPr>
        <w:contextualSpacing/>
        <w:jc w:val="both"/>
        <w:rPr>
          <w:bCs/>
          <w:sz w:val="22"/>
          <w:szCs w:val="22"/>
          <w:lang w:val="sr-Latn-RS"/>
        </w:rPr>
      </w:pPr>
    </w:p>
    <w:p w14:paraId="2FE94AB4" w14:textId="342C884C" w:rsidR="0058759B" w:rsidRPr="00B32307" w:rsidRDefault="0058759B" w:rsidP="0058759B">
      <w:pPr>
        <w:contextualSpacing/>
        <w:jc w:val="both"/>
        <w:rPr>
          <w:bCs/>
          <w:sz w:val="22"/>
          <w:szCs w:val="22"/>
          <w:lang w:val="sr-Latn-RS"/>
        </w:rPr>
      </w:pPr>
      <w:r w:rsidRPr="00B32307">
        <w:rPr>
          <w:bCs/>
          <w:sz w:val="22"/>
          <w:szCs w:val="22"/>
          <w:lang w:val="sr-Latn-RS"/>
        </w:rPr>
        <w:t xml:space="preserve">Ispitivanja na životinjama ukazala su na reproduktivnu toksičnost lijeka (vidjeti </w:t>
      </w:r>
      <w:r w:rsidR="00AE48A4" w:rsidRPr="00B32307">
        <w:rPr>
          <w:bCs/>
          <w:sz w:val="22"/>
          <w:szCs w:val="22"/>
          <w:lang w:val="sr-Latn-RS"/>
        </w:rPr>
        <w:t>dio</w:t>
      </w:r>
      <w:r w:rsidRPr="00B32307">
        <w:rPr>
          <w:bCs/>
          <w:sz w:val="22"/>
          <w:szCs w:val="22"/>
          <w:lang w:val="sr-Latn-RS"/>
        </w:rPr>
        <w:t> 5.3). S obzirom na to da nije poznat potencijalni rizik kod ljudi, ne preporučuje se primjena ropinirola tokom trudnoće, osim ukoliko potencijalna korist za pacijenta ne prevazilazi potencijalni rizik po fetus.</w:t>
      </w:r>
    </w:p>
    <w:p w14:paraId="23E39D1B" w14:textId="77777777" w:rsidR="0058759B" w:rsidRPr="00B32307" w:rsidRDefault="0058759B" w:rsidP="0058759B">
      <w:pPr>
        <w:contextualSpacing/>
        <w:jc w:val="both"/>
        <w:rPr>
          <w:bCs/>
          <w:sz w:val="22"/>
          <w:szCs w:val="22"/>
          <w:lang w:val="sr-Latn-RS"/>
        </w:rPr>
      </w:pPr>
    </w:p>
    <w:p w14:paraId="6E0ED3BF" w14:textId="77777777" w:rsidR="0058759B" w:rsidRPr="00B32307" w:rsidRDefault="0058759B" w:rsidP="0058759B">
      <w:pPr>
        <w:pStyle w:val="Header"/>
        <w:tabs>
          <w:tab w:val="left" w:pos="284"/>
        </w:tabs>
        <w:jc w:val="both"/>
        <w:rPr>
          <w:sz w:val="22"/>
          <w:szCs w:val="22"/>
          <w:u w:val="single"/>
          <w:lang w:val="sr-Latn-RS"/>
        </w:rPr>
      </w:pPr>
      <w:r w:rsidRPr="00B32307">
        <w:rPr>
          <w:sz w:val="22"/>
          <w:szCs w:val="22"/>
          <w:u w:val="single"/>
          <w:lang w:val="sr-Latn-RS"/>
        </w:rPr>
        <w:t>Dojenje</w:t>
      </w:r>
    </w:p>
    <w:p w14:paraId="49DE3667" w14:textId="77777777" w:rsidR="0058759B" w:rsidRPr="00B32307" w:rsidRDefault="0058759B" w:rsidP="00406C24">
      <w:pPr>
        <w:pStyle w:val="Header"/>
        <w:tabs>
          <w:tab w:val="left" w:pos="284"/>
        </w:tabs>
        <w:jc w:val="both"/>
        <w:rPr>
          <w:sz w:val="22"/>
          <w:szCs w:val="22"/>
          <w:lang w:val="sr-Latn-RS"/>
        </w:rPr>
      </w:pPr>
      <w:r w:rsidRPr="00B32307">
        <w:rPr>
          <w:sz w:val="22"/>
          <w:szCs w:val="22"/>
          <w:lang w:val="sr-Latn-RS"/>
        </w:rPr>
        <w:t xml:space="preserve">Pokazano je da se materije srodne ropirinolu prenose u mlijeko pacova u toku laktacije. Nepoznato je da li ropirinol i njegovi metaboliti prelaze u ljudsko mlijeko. Rizik po odojčad ne može biti isključen. </w:t>
      </w:r>
    </w:p>
    <w:p w14:paraId="6CD9FC89" w14:textId="77777777" w:rsidR="0058759B" w:rsidRPr="00B32307" w:rsidRDefault="0058759B">
      <w:pPr>
        <w:contextualSpacing/>
        <w:jc w:val="both"/>
        <w:rPr>
          <w:bCs/>
          <w:sz w:val="22"/>
          <w:szCs w:val="22"/>
          <w:lang w:val="sr-Latn-RS"/>
        </w:rPr>
      </w:pPr>
      <w:r w:rsidRPr="00B32307">
        <w:rPr>
          <w:bCs/>
          <w:sz w:val="22"/>
          <w:szCs w:val="22"/>
          <w:lang w:val="sr-Latn-RS"/>
        </w:rPr>
        <w:t>Ne preporučuje se primjena ropinirola kod majki koje doje, zbog mogućeg prekida laktacije.</w:t>
      </w:r>
    </w:p>
    <w:p w14:paraId="01B9FBED" w14:textId="77777777" w:rsidR="0058759B" w:rsidRPr="00B32307" w:rsidRDefault="0058759B" w:rsidP="0058759B">
      <w:pPr>
        <w:pStyle w:val="Header"/>
        <w:tabs>
          <w:tab w:val="left" w:pos="284"/>
        </w:tabs>
        <w:jc w:val="both"/>
        <w:rPr>
          <w:sz w:val="22"/>
          <w:szCs w:val="22"/>
          <w:lang w:val="sr-Latn-RS"/>
        </w:rPr>
      </w:pPr>
    </w:p>
    <w:p w14:paraId="570252CB" w14:textId="77777777" w:rsidR="0058759B" w:rsidRPr="00B32307" w:rsidRDefault="0058759B" w:rsidP="0058759B">
      <w:pPr>
        <w:tabs>
          <w:tab w:val="left" w:pos="540"/>
          <w:tab w:val="left" w:pos="569"/>
        </w:tabs>
        <w:rPr>
          <w:sz w:val="22"/>
          <w:szCs w:val="22"/>
          <w:u w:val="single"/>
          <w:lang w:val="sr-Latn-RS"/>
        </w:rPr>
      </w:pPr>
      <w:r w:rsidRPr="00B32307">
        <w:rPr>
          <w:sz w:val="22"/>
          <w:szCs w:val="22"/>
          <w:u w:val="single"/>
          <w:lang w:val="sr-Latn-RS"/>
        </w:rPr>
        <w:t>Plodnost</w:t>
      </w:r>
    </w:p>
    <w:p w14:paraId="0F2F0939" w14:textId="5AF462F9" w:rsidR="0058759B" w:rsidRPr="00B32307" w:rsidRDefault="0058759B" w:rsidP="00406C24">
      <w:pPr>
        <w:pStyle w:val="Header"/>
        <w:tabs>
          <w:tab w:val="left" w:pos="284"/>
        </w:tabs>
        <w:jc w:val="both"/>
        <w:rPr>
          <w:sz w:val="22"/>
          <w:szCs w:val="22"/>
          <w:lang w:val="sr-Latn-RS"/>
        </w:rPr>
      </w:pPr>
      <w:r w:rsidRPr="00B32307">
        <w:rPr>
          <w:sz w:val="22"/>
          <w:szCs w:val="22"/>
          <w:lang w:val="sr-Latn-RS"/>
        </w:rPr>
        <w:t xml:space="preserve">Nema podataka o uticaju ropirinola na fertilitet kod ljudi. Ispitivanjem fertiliteta kod ženki pacova uočen je uticaj na implantaciju, dok nije bilo efekta na fertilitet mužjaka (vidjeti </w:t>
      </w:r>
      <w:r w:rsidR="00AE48A4" w:rsidRPr="00B32307">
        <w:rPr>
          <w:sz w:val="22"/>
          <w:szCs w:val="22"/>
          <w:lang w:val="sr-Latn-RS"/>
        </w:rPr>
        <w:t>dio</w:t>
      </w:r>
      <w:r w:rsidRPr="00B32307">
        <w:rPr>
          <w:sz w:val="22"/>
          <w:szCs w:val="22"/>
          <w:lang w:val="sr-Latn-RS"/>
        </w:rPr>
        <w:t xml:space="preserve"> 5.3).</w:t>
      </w:r>
    </w:p>
    <w:p w14:paraId="1A81812A" w14:textId="77777777" w:rsidR="00227BDB" w:rsidRPr="00B32307" w:rsidRDefault="00227BDB" w:rsidP="00396DFD">
      <w:pPr>
        <w:tabs>
          <w:tab w:val="left" w:pos="540"/>
          <w:tab w:val="left" w:pos="569"/>
        </w:tabs>
        <w:ind w:left="540" w:hanging="540"/>
        <w:rPr>
          <w:b/>
          <w:bCs/>
          <w:sz w:val="22"/>
          <w:szCs w:val="22"/>
          <w:lang w:val="sr-Latn-RS"/>
        </w:rPr>
      </w:pPr>
    </w:p>
    <w:p w14:paraId="7544D73C" w14:textId="77777777" w:rsidR="0072020E" w:rsidRPr="00B32307" w:rsidRDefault="0072020E" w:rsidP="00396DFD">
      <w:pPr>
        <w:tabs>
          <w:tab w:val="left" w:pos="540"/>
          <w:tab w:val="left" w:pos="569"/>
        </w:tabs>
        <w:ind w:left="540" w:hanging="540"/>
        <w:rPr>
          <w:b/>
          <w:bCs/>
          <w:sz w:val="22"/>
          <w:szCs w:val="22"/>
          <w:lang w:val="sr-Latn-RS"/>
        </w:rPr>
      </w:pPr>
      <w:r w:rsidRPr="00B32307">
        <w:rPr>
          <w:b/>
          <w:bCs/>
          <w:sz w:val="22"/>
          <w:szCs w:val="22"/>
          <w:lang w:val="sr-Latn-RS"/>
        </w:rPr>
        <w:t xml:space="preserve">4.7. </w:t>
      </w:r>
      <w:r w:rsidR="00480FB1" w:rsidRPr="00B32307">
        <w:rPr>
          <w:b/>
          <w:bCs/>
          <w:sz w:val="22"/>
          <w:szCs w:val="22"/>
          <w:lang w:val="sr-Latn-RS"/>
        </w:rPr>
        <w:tab/>
      </w:r>
      <w:r w:rsidRPr="00B32307">
        <w:rPr>
          <w:b/>
          <w:bCs/>
          <w:sz w:val="22"/>
          <w:szCs w:val="22"/>
          <w:lang w:val="sr-Latn-RS"/>
        </w:rPr>
        <w:t xml:space="preserve">Uticaj na </w:t>
      </w:r>
      <w:r w:rsidR="002031B3" w:rsidRPr="00B32307">
        <w:rPr>
          <w:b/>
          <w:bCs/>
          <w:sz w:val="22"/>
          <w:szCs w:val="22"/>
          <w:lang w:val="sr-Latn-RS"/>
        </w:rPr>
        <w:t xml:space="preserve">sposobnost </w:t>
      </w:r>
      <w:r w:rsidR="00F34554" w:rsidRPr="00B32307">
        <w:rPr>
          <w:b/>
          <w:bCs/>
          <w:sz w:val="22"/>
          <w:szCs w:val="22"/>
          <w:lang w:val="sr-Latn-RS"/>
        </w:rPr>
        <w:t>upravljanja vozili</w:t>
      </w:r>
      <w:r w:rsidRPr="00B32307">
        <w:rPr>
          <w:b/>
          <w:bCs/>
          <w:sz w:val="22"/>
          <w:szCs w:val="22"/>
          <w:lang w:val="sr-Latn-RS"/>
        </w:rPr>
        <w:t>m</w:t>
      </w:r>
      <w:r w:rsidR="00F34554" w:rsidRPr="00B32307">
        <w:rPr>
          <w:b/>
          <w:bCs/>
          <w:sz w:val="22"/>
          <w:szCs w:val="22"/>
          <w:lang w:val="sr-Latn-RS"/>
        </w:rPr>
        <w:t>a</w:t>
      </w:r>
      <w:r w:rsidRPr="00B32307">
        <w:rPr>
          <w:b/>
          <w:bCs/>
          <w:sz w:val="22"/>
          <w:szCs w:val="22"/>
          <w:lang w:val="sr-Latn-RS"/>
        </w:rPr>
        <w:t xml:space="preserve"> i </w:t>
      </w:r>
      <w:r w:rsidR="000D3449" w:rsidRPr="00B32307">
        <w:rPr>
          <w:b/>
          <w:bCs/>
          <w:sz w:val="22"/>
          <w:szCs w:val="22"/>
          <w:lang w:val="sr-Latn-RS"/>
        </w:rPr>
        <w:t xml:space="preserve">rukovanje </w:t>
      </w:r>
      <w:r w:rsidRPr="00B32307">
        <w:rPr>
          <w:b/>
          <w:bCs/>
          <w:sz w:val="22"/>
          <w:szCs w:val="22"/>
          <w:lang w:val="sr-Latn-RS"/>
        </w:rPr>
        <w:t>mašinama</w:t>
      </w:r>
    </w:p>
    <w:p w14:paraId="5360FF23" w14:textId="77777777" w:rsidR="002B6854" w:rsidRPr="00B32307" w:rsidRDefault="002B6854" w:rsidP="00480FB1">
      <w:pPr>
        <w:tabs>
          <w:tab w:val="left" w:pos="540"/>
          <w:tab w:val="left" w:pos="569"/>
        </w:tabs>
        <w:rPr>
          <w:bCs/>
          <w:sz w:val="22"/>
          <w:szCs w:val="22"/>
          <w:lang w:val="sr-Latn-RS"/>
        </w:rPr>
      </w:pPr>
    </w:p>
    <w:p w14:paraId="6D0214BA" w14:textId="4557AAC8" w:rsidR="0072020E" w:rsidRPr="00B32307" w:rsidRDefault="002F57AF" w:rsidP="00406C24">
      <w:pPr>
        <w:tabs>
          <w:tab w:val="left" w:pos="540"/>
          <w:tab w:val="left" w:pos="569"/>
        </w:tabs>
        <w:jc w:val="both"/>
        <w:rPr>
          <w:b/>
          <w:bCs/>
          <w:sz w:val="22"/>
          <w:szCs w:val="22"/>
          <w:lang w:val="sr-Latn-RS"/>
        </w:rPr>
      </w:pPr>
      <w:r w:rsidRPr="00B32307">
        <w:rPr>
          <w:bCs/>
          <w:sz w:val="22"/>
          <w:szCs w:val="22"/>
          <w:lang w:val="sr-Latn-RS"/>
        </w:rPr>
        <w:t xml:space="preserve">Pacijenti kod kojih se tokom terapije ropinirolom javljaju </w:t>
      </w:r>
      <w:r w:rsidR="00657495" w:rsidRPr="00B32307">
        <w:rPr>
          <w:bCs/>
          <w:sz w:val="22"/>
          <w:szCs w:val="22"/>
          <w:lang w:val="sr-Latn-RS"/>
        </w:rPr>
        <w:t xml:space="preserve">halucinacije, </w:t>
      </w:r>
      <w:r w:rsidRPr="00B32307">
        <w:rPr>
          <w:bCs/>
          <w:sz w:val="22"/>
          <w:szCs w:val="22"/>
          <w:lang w:val="sr-Latn-RS"/>
        </w:rPr>
        <w:t>pospanost i epizode iznenadnog padanja u san, ne smiju upravljati motornim vozilom ili rukovati mašinama jer mogu dovesti u opasnost i sebe i druge, i to sve dok se navedeni neželjeni efekti ne povuku (vidjeti </w:t>
      </w:r>
      <w:r w:rsidR="00AE48A4" w:rsidRPr="00B32307">
        <w:rPr>
          <w:bCs/>
          <w:sz w:val="22"/>
          <w:szCs w:val="22"/>
          <w:lang w:val="sr-Latn-RS"/>
        </w:rPr>
        <w:t>dio</w:t>
      </w:r>
      <w:r w:rsidRPr="00B32307">
        <w:rPr>
          <w:bCs/>
          <w:sz w:val="22"/>
          <w:szCs w:val="22"/>
          <w:lang w:val="sr-Latn-RS"/>
        </w:rPr>
        <w:t xml:space="preserve"> 4.4)</w:t>
      </w:r>
      <w:r w:rsidR="002B6854" w:rsidRPr="00B32307">
        <w:rPr>
          <w:bCs/>
          <w:sz w:val="22"/>
          <w:szCs w:val="22"/>
          <w:lang w:val="sr-Latn-RS"/>
        </w:rPr>
        <w:t>.</w:t>
      </w:r>
    </w:p>
    <w:p w14:paraId="03E20E33" w14:textId="77777777" w:rsidR="002F57AF" w:rsidRPr="00B32307" w:rsidRDefault="002F57AF" w:rsidP="00480FB1">
      <w:pPr>
        <w:tabs>
          <w:tab w:val="left" w:pos="540"/>
          <w:tab w:val="left" w:pos="569"/>
        </w:tabs>
        <w:rPr>
          <w:b/>
          <w:bCs/>
          <w:sz w:val="22"/>
          <w:szCs w:val="22"/>
          <w:lang w:val="sr-Latn-RS"/>
        </w:rPr>
      </w:pPr>
    </w:p>
    <w:p w14:paraId="4B6A6DBF" w14:textId="77777777" w:rsidR="00D250B5" w:rsidRDefault="00D250B5" w:rsidP="00480FB1">
      <w:pPr>
        <w:tabs>
          <w:tab w:val="left" w:pos="540"/>
          <w:tab w:val="left" w:pos="569"/>
        </w:tabs>
        <w:rPr>
          <w:b/>
          <w:bCs/>
          <w:sz w:val="22"/>
          <w:szCs w:val="22"/>
          <w:lang w:val="sr-Latn-RS"/>
        </w:rPr>
      </w:pPr>
    </w:p>
    <w:p w14:paraId="538CB721" w14:textId="77777777" w:rsidR="00D250B5" w:rsidRDefault="00D250B5" w:rsidP="00480FB1">
      <w:pPr>
        <w:tabs>
          <w:tab w:val="left" w:pos="540"/>
          <w:tab w:val="left" w:pos="569"/>
        </w:tabs>
        <w:rPr>
          <w:b/>
          <w:bCs/>
          <w:sz w:val="22"/>
          <w:szCs w:val="22"/>
          <w:lang w:val="sr-Latn-RS"/>
        </w:rPr>
      </w:pPr>
    </w:p>
    <w:p w14:paraId="76DD0ACD" w14:textId="77777777" w:rsidR="00D250B5" w:rsidRDefault="00D250B5" w:rsidP="00480FB1">
      <w:pPr>
        <w:tabs>
          <w:tab w:val="left" w:pos="540"/>
          <w:tab w:val="left" w:pos="569"/>
        </w:tabs>
        <w:rPr>
          <w:b/>
          <w:bCs/>
          <w:sz w:val="22"/>
          <w:szCs w:val="22"/>
          <w:lang w:val="sr-Latn-RS"/>
        </w:rPr>
      </w:pPr>
    </w:p>
    <w:p w14:paraId="124759ED" w14:textId="1D3434DF" w:rsidR="0072020E" w:rsidRPr="00B32307" w:rsidRDefault="0072020E" w:rsidP="00480FB1">
      <w:pPr>
        <w:tabs>
          <w:tab w:val="left" w:pos="540"/>
          <w:tab w:val="left" w:pos="569"/>
        </w:tabs>
        <w:rPr>
          <w:b/>
          <w:bCs/>
          <w:sz w:val="22"/>
          <w:szCs w:val="22"/>
          <w:lang w:val="sr-Latn-RS"/>
        </w:rPr>
      </w:pPr>
      <w:r w:rsidRPr="00B32307">
        <w:rPr>
          <w:b/>
          <w:bCs/>
          <w:sz w:val="22"/>
          <w:szCs w:val="22"/>
          <w:lang w:val="sr-Latn-RS"/>
        </w:rPr>
        <w:lastRenderedPageBreak/>
        <w:t xml:space="preserve">4.8. </w:t>
      </w:r>
      <w:r w:rsidR="00480FB1" w:rsidRPr="00B32307">
        <w:rPr>
          <w:b/>
          <w:bCs/>
          <w:sz w:val="22"/>
          <w:szCs w:val="22"/>
          <w:lang w:val="sr-Latn-RS"/>
        </w:rPr>
        <w:tab/>
      </w:r>
      <w:r w:rsidRPr="00B32307">
        <w:rPr>
          <w:b/>
          <w:bCs/>
          <w:sz w:val="22"/>
          <w:szCs w:val="22"/>
          <w:lang w:val="sr-Latn-RS"/>
        </w:rPr>
        <w:t>Neželjena dejstva</w:t>
      </w:r>
    </w:p>
    <w:p w14:paraId="52797DE7" w14:textId="77777777" w:rsidR="002B6854" w:rsidRPr="00B32307" w:rsidRDefault="002B6854" w:rsidP="00826DFC">
      <w:pPr>
        <w:pStyle w:val="listssp"/>
        <w:tabs>
          <w:tab w:val="left" w:pos="567"/>
        </w:tabs>
        <w:jc w:val="both"/>
        <w:rPr>
          <w:sz w:val="22"/>
          <w:szCs w:val="22"/>
          <w:lang w:val="sr-Latn-RS"/>
        </w:rPr>
      </w:pPr>
    </w:p>
    <w:p w14:paraId="565190B2" w14:textId="284AA3C5" w:rsidR="00826DFC" w:rsidRPr="00B32307" w:rsidRDefault="00826DFC" w:rsidP="00826DFC">
      <w:pPr>
        <w:pStyle w:val="listssp"/>
        <w:tabs>
          <w:tab w:val="left" w:pos="567"/>
        </w:tabs>
        <w:jc w:val="both"/>
        <w:rPr>
          <w:sz w:val="22"/>
          <w:szCs w:val="22"/>
          <w:lang w:val="sr-Latn-RS"/>
        </w:rPr>
      </w:pPr>
      <w:r w:rsidRPr="00B32307">
        <w:rPr>
          <w:sz w:val="22"/>
          <w:szCs w:val="22"/>
          <w:lang w:val="sr-Latn-RS"/>
        </w:rPr>
        <w:t>Neželjena dejstva lijeka navedena su u daljem tekstu prema klasi sistema organa i učestalosti javljanja. Dodatno je obilježeno da li su ova neželjena dejstva prijavljena tokom kliničkih ispitivanja primjene ropinirola u monoterapiji, ili primjene adjuvantne terapije levodopi.</w:t>
      </w:r>
    </w:p>
    <w:p w14:paraId="1228CDF7" w14:textId="77777777" w:rsidR="00826DFC" w:rsidRPr="00B32307" w:rsidRDefault="00826DFC" w:rsidP="00826DFC">
      <w:pPr>
        <w:pStyle w:val="listssp"/>
        <w:tabs>
          <w:tab w:val="left" w:pos="567"/>
        </w:tabs>
        <w:jc w:val="both"/>
        <w:rPr>
          <w:sz w:val="22"/>
          <w:szCs w:val="22"/>
          <w:lang w:val="sr-Latn-RS"/>
        </w:rPr>
      </w:pPr>
    </w:p>
    <w:p w14:paraId="42723347" w14:textId="77777777" w:rsidR="00826DFC" w:rsidRPr="00B32307" w:rsidRDefault="00826DFC" w:rsidP="00826DFC">
      <w:pPr>
        <w:pStyle w:val="listssp"/>
        <w:tabs>
          <w:tab w:val="left" w:pos="567"/>
        </w:tabs>
        <w:jc w:val="both"/>
        <w:rPr>
          <w:bCs/>
          <w:sz w:val="22"/>
          <w:szCs w:val="22"/>
          <w:lang w:val="sr-Latn-RS"/>
        </w:rPr>
      </w:pPr>
      <w:r w:rsidRPr="00B32307">
        <w:rPr>
          <w:sz w:val="22"/>
          <w:szCs w:val="22"/>
          <w:lang w:val="sr-Latn-RS"/>
        </w:rPr>
        <w:t>Učestalost javljanja neželjenih dejstava definisana je kao: veoma česta (</w:t>
      </w:r>
      <w:r w:rsidRPr="00B32307">
        <w:rPr>
          <w:sz w:val="22"/>
          <w:szCs w:val="22"/>
          <w:lang w:val="sr-Latn-RS"/>
        </w:rPr>
        <w:sym w:font="Symbol" w:char="F0B3"/>
      </w:r>
      <w:r w:rsidRPr="00B32307">
        <w:rPr>
          <w:sz w:val="22"/>
          <w:szCs w:val="22"/>
          <w:lang w:val="sr-Latn-RS"/>
        </w:rPr>
        <w:t>1/10), česta (</w:t>
      </w:r>
      <w:r w:rsidRPr="00B32307">
        <w:rPr>
          <w:sz w:val="22"/>
          <w:szCs w:val="22"/>
          <w:lang w:val="sr-Latn-RS"/>
        </w:rPr>
        <w:sym w:font="Symbol" w:char="F0B3"/>
      </w:r>
      <w:r w:rsidRPr="00B32307">
        <w:rPr>
          <w:sz w:val="22"/>
          <w:szCs w:val="22"/>
          <w:lang w:val="sr-Latn-RS"/>
        </w:rPr>
        <w:t>1/100, &lt;1/10), povremena (</w:t>
      </w:r>
      <w:r w:rsidRPr="00B32307">
        <w:rPr>
          <w:sz w:val="22"/>
          <w:szCs w:val="22"/>
          <w:lang w:val="sr-Latn-RS"/>
        </w:rPr>
        <w:sym w:font="Symbol" w:char="F0B3"/>
      </w:r>
      <w:r w:rsidRPr="00B32307">
        <w:rPr>
          <w:sz w:val="22"/>
          <w:szCs w:val="22"/>
          <w:lang w:val="sr-Latn-RS"/>
        </w:rPr>
        <w:t>1/1.000, &lt;1/100), rijetka (</w:t>
      </w:r>
      <w:r w:rsidRPr="00B32307">
        <w:rPr>
          <w:sz w:val="22"/>
          <w:szCs w:val="22"/>
          <w:lang w:val="sr-Latn-RS"/>
        </w:rPr>
        <w:sym w:font="Symbol" w:char="F0B3"/>
      </w:r>
      <w:r w:rsidRPr="00B32307">
        <w:rPr>
          <w:sz w:val="22"/>
          <w:szCs w:val="22"/>
          <w:lang w:val="sr-Latn-RS"/>
        </w:rPr>
        <w:t>1/10.000, &lt;1/1.000), veoma rijetka (&lt;1/10.000), nepoznata (učestalost nije moguće procijeniti na osnovu dostupnih podataka).</w:t>
      </w:r>
    </w:p>
    <w:p w14:paraId="32260DA0" w14:textId="77777777" w:rsidR="00826DFC" w:rsidRPr="00B32307" w:rsidRDefault="00826DFC" w:rsidP="00826DFC">
      <w:pPr>
        <w:contextualSpacing/>
        <w:jc w:val="both"/>
        <w:rPr>
          <w:bCs/>
          <w:sz w:val="22"/>
          <w:szCs w:val="22"/>
          <w:lang w:val="sr-Latn-RS"/>
        </w:rPr>
      </w:pPr>
    </w:p>
    <w:p w14:paraId="78E57D00" w14:textId="77777777" w:rsidR="00826DFC" w:rsidRPr="00B32307" w:rsidRDefault="00826DFC" w:rsidP="00826DFC">
      <w:pPr>
        <w:contextualSpacing/>
        <w:jc w:val="both"/>
        <w:rPr>
          <w:sz w:val="22"/>
          <w:szCs w:val="22"/>
          <w:lang w:val="sr-Latn-RS"/>
        </w:rPr>
      </w:pPr>
      <w:r w:rsidRPr="00B32307">
        <w:rPr>
          <w:sz w:val="22"/>
          <w:szCs w:val="22"/>
          <w:lang w:val="sr-Latn-RS"/>
        </w:rPr>
        <w:t xml:space="preserve">Unutar svake grupe učestalosti, neželjena dejstva su prikazana prema opadajućoj ozbiljnosti. </w:t>
      </w:r>
    </w:p>
    <w:p w14:paraId="16F96CF4" w14:textId="77777777" w:rsidR="00826DFC" w:rsidRPr="00B32307" w:rsidRDefault="00826DFC" w:rsidP="00826DFC">
      <w:pPr>
        <w:pStyle w:val="Text"/>
        <w:spacing w:after="0" w:line="240" w:lineRule="auto"/>
        <w:contextualSpacing/>
        <w:jc w:val="both"/>
        <w:rPr>
          <w:bCs/>
          <w:sz w:val="22"/>
          <w:szCs w:val="22"/>
          <w:u w:val="single"/>
          <w:lang w:val="sr-Latn-RS" w:eastAsia="en-US"/>
        </w:rPr>
      </w:pPr>
    </w:p>
    <w:p w14:paraId="79D57B2B" w14:textId="77777777" w:rsidR="00826DFC" w:rsidRPr="00B32307" w:rsidRDefault="00826DFC" w:rsidP="00826DFC">
      <w:pPr>
        <w:pStyle w:val="Text"/>
        <w:spacing w:after="0" w:line="240" w:lineRule="auto"/>
        <w:contextualSpacing/>
        <w:jc w:val="both"/>
        <w:rPr>
          <w:bCs/>
          <w:sz w:val="22"/>
          <w:szCs w:val="22"/>
          <w:u w:val="single"/>
          <w:lang w:val="sr-Latn-RS" w:eastAsia="en-US"/>
        </w:rPr>
      </w:pPr>
      <w:r w:rsidRPr="00B32307">
        <w:rPr>
          <w:bCs/>
          <w:sz w:val="22"/>
          <w:szCs w:val="22"/>
          <w:u w:val="single"/>
          <w:lang w:val="sr-Latn-RS" w:eastAsia="en-US"/>
        </w:rPr>
        <w:t xml:space="preserve">Neželjena dejstva lijeka navedena u daljem tekstu prijavljena su ili tokom kliničkih ispitivanja Parkinsonove bolesti primjenom lijeka </w:t>
      </w:r>
      <w:r w:rsidRPr="00B32307">
        <w:rPr>
          <w:bCs/>
          <w:sz w:val="22"/>
          <w:szCs w:val="22"/>
          <w:u w:val="single"/>
          <w:lang w:val="sr-Latn-RS"/>
        </w:rPr>
        <w:t>REQUIP MODUTAB,</w:t>
      </w:r>
      <w:r w:rsidRPr="00B32307">
        <w:rPr>
          <w:bCs/>
          <w:sz w:val="22"/>
          <w:szCs w:val="22"/>
          <w:u w:val="single"/>
          <w:lang w:val="sr-Latn-RS" w:eastAsia="en-US"/>
        </w:rPr>
        <w:t xml:space="preserve"> tableta sa produženim oslobađanjem, ili primjenom lijeka Requip, film tableta sa trenutnim oslobađanjem u dozi do 24 mg/dnevno, ili tokom postmarketinškog praćenja.</w:t>
      </w:r>
    </w:p>
    <w:p w14:paraId="0DE3191C" w14:textId="77777777" w:rsidR="00826DFC" w:rsidRPr="00B32307" w:rsidRDefault="00826DFC" w:rsidP="00826DFC">
      <w:pPr>
        <w:contextualSpacing/>
        <w:jc w:val="both"/>
        <w:rPr>
          <w:bCs/>
          <w:sz w:val="22"/>
          <w:szCs w:val="22"/>
          <w:lang w:val="sr-Latn-RS"/>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9"/>
        <w:gridCol w:w="3233"/>
        <w:gridCol w:w="3233"/>
      </w:tblGrid>
      <w:tr w:rsidR="00826DFC" w:rsidRPr="00B32307" w14:paraId="7A2058F3" w14:textId="77777777" w:rsidTr="00FC563B">
        <w:tc>
          <w:tcPr>
            <w:tcW w:w="3239" w:type="dxa"/>
            <w:tcBorders>
              <w:top w:val="single" w:sz="4" w:space="0" w:color="auto"/>
              <w:left w:val="single" w:sz="4" w:space="0" w:color="auto"/>
              <w:bottom w:val="single" w:sz="4" w:space="0" w:color="auto"/>
              <w:right w:val="single" w:sz="4" w:space="0" w:color="auto"/>
            </w:tcBorders>
          </w:tcPr>
          <w:p w14:paraId="5C46FDA5" w14:textId="77777777" w:rsidR="00826DFC" w:rsidRPr="00B32307" w:rsidRDefault="00826DFC">
            <w:pPr>
              <w:contextualSpacing/>
              <w:rPr>
                <w:bCs/>
                <w:sz w:val="22"/>
                <w:szCs w:val="22"/>
                <w:lang w:val="sr-Latn-RS"/>
              </w:rPr>
            </w:pPr>
          </w:p>
        </w:tc>
        <w:tc>
          <w:tcPr>
            <w:tcW w:w="3233" w:type="dxa"/>
            <w:tcBorders>
              <w:top w:val="single" w:sz="4" w:space="0" w:color="auto"/>
              <w:left w:val="single" w:sz="4" w:space="0" w:color="auto"/>
              <w:bottom w:val="single" w:sz="4" w:space="0" w:color="auto"/>
              <w:right w:val="single" w:sz="4" w:space="0" w:color="auto"/>
            </w:tcBorders>
            <w:vAlign w:val="center"/>
            <w:hideMark/>
          </w:tcPr>
          <w:p w14:paraId="2A7D7ECE" w14:textId="77777777" w:rsidR="00826DFC" w:rsidRPr="00B32307" w:rsidRDefault="00826DFC">
            <w:pPr>
              <w:contextualSpacing/>
              <w:jc w:val="center"/>
              <w:rPr>
                <w:b/>
                <w:bCs/>
                <w:sz w:val="22"/>
                <w:szCs w:val="22"/>
                <w:lang w:val="sr-Latn-RS"/>
              </w:rPr>
            </w:pPr>
            <w:r w:rsidRPr="00B32307">
              <w:rPr>
                <w:b/>
                <w:bCs/>
                <w:sz w:val="22"/>
                <w:szCs w:val="22"/>
                <w:lang w:val="sr-Latn-RS"/>
              </w:rPr>
              <w:t>Monoterapija</w:t>
            </w:r>
          </w:p>
        </w:tc>
        <w:tc>
          <w:tcPr>
            <w:tcW w:w="3233" w:type="dxa"/>
            <w:tcBorders>
              <w:top w:val="single" w:sz="4" w:space="0" w:color="auto"/>
              <w:left w:val="single" w:sz="4" w:space="0" w:color="auto"/>
              <w:bottom w:val="single" w:sz="4" w:space="0" w:color="auto"/>
              <w:right w:val="single" w:sz="4" w:space="0" w:color="auto"/>
            </w:tcBorders>
            <w:vAlign w:val="center"/>
            <w:hideMark/>
          </w:tcPr>
          <w:p w14:paraId="2B7672D6" w14:textId="77777777" w:rsidR="00826DFC" w:rsidRPr="00B32307" w:rsidRDefault="00826DFC">
            <w:pPr>
              <w:contextualSpacing/>
              <w:jc w:val="center"/>
              <w:rPr>
                <w:b/>
                <w:bCs/>
                <w:sz w:val="22"/>
                <w:szCs w:val="22"/>
                <w:highlight w:val="yellow"/>
                <w:lang w:val="sr-Latn-RS"/>
              </w:rPr>
            </w:pPr>
            <w:r w:rsidRPr="00B32307">
              <w:rPr>
                <w:b/>
                <w:bCs/>
                <w:sz w:val="22"/>
                <w:szCs w:val="22"/>
                <w:lang w:val="sr-Latn-RS"/>
              </w:rPr>
              <w:t>Adjuvantna terapija</w:t>
            </w:r>
          </w:p>
        </w:tc>
      </w:tr>
      <w:tr w:rsidR="00826DFC" w:rsidRPr="00B32307" w14:paraId="3DF25D04" w14:textId="77777777" w:rsidTr="00FC563B">
        <w:tc>
          <w:tcPr>
            <w:tcW w:w="9705" w:type="dxa"/>
            <w:gridSpan w:val="3"/>
            <w:tcBorders>
              <w:top w:val="single" w:sz="4" w:space="0" w:color="auto"/>
              <w:left w:val="single" w:sz="4" w:space="0" w:color="auto"/>
              <w:bottom w:val="single" w:sz="4" w:space="0" w:color="auto"/>
              <w:right w:val="single" w:sz="4" w:space="0" w:color="auto"/>
            </w:tcBorders>
            <w:hideMark/>
          </w:tcPr>
          <w:p w14:paraId="460160FB" w14:textId="77777777" w:rsidR="00826DFC" w:rsidRPr="00B32307" w:rsidRDefault="00826DFC">
            <w:pPr>
              <w:contextualSpacing/>
              <w:rPr>
                <w:bCs/>
                <w:i/>
                <w:sz w:val="22"/>
                <w:szCs w:val="22"/>
                <w:lang w:val="sr-Latn-RS"/>
              </w:rPr>
            </w:pPr>
            <w:r w:rsidRPr="00B32307">
              <w:rPr>
                <w:bCs/>
                <w:i/>
                <w:sz w:val="22"/>
                <w:szCs w:val="22"/>
                <w:lang w:val="sr-Latn-RS"/>
              </w:rPr>
              <w:t>Imunološki poremećaji</w:t>
            </w:r>
          </w:p>
        </w:tc>
      </w:tr>
      <w:tr w:rsidR="00826DFC" w:rsidRPr="00B32307" w14:paraId="69B0AEF0"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15E74882" w14:textId="77777777" w:rsidR="00826DFC" w:rsidRPr="00B32307" w:rsidRDefault="00826DFC">
            <w:pPr>
              <w:contextualSpacing/>
              <w:rPr>
                <w:bCs/>
                <w:sz w:val="22"/>
                <w:szCs w:val="22"/>
                <w:lang w:val="sr-Latn-RS"/>
              </w:rPr>
            </w:pPr>
            <w:r w:rsidRPr="00B32307">
              <w:rPr>
                <w:bCs/>
                <w:sz w:val="22"/>
                <w:szCs w:val="22"/>
                <w:lang w:val="sr-Latn-RS"/>
              </w:rPr>
              <w:t>Nepoznata</w:t>
            </w:r>
          </w:p>
        </w:tc>
        <w:tc>
          <w:tcPr>
            <w:tcW w:w="6466" w:type="dxa"/>
            <w:gridSpan w:val="2"/>
            <w:tcBorders>
              <w:top w:val="single" w:sz="4" w:space="0" w:color="auto"/>
              <w:left w:val="single" w:sz="4" w:space="0" w:color="auto"/>
              <w:bottom w:val="single" w:sz="4" w:space="0" w:color="auto"/>
              <w:right w:val="single" w:sz="4" w:space="0" w:color="auto"/>
            </w:tcBorders>
            <w:hideMark/>
          </w:tcPr>
          <w:p w14:paraId="64D565D6" w14:textId="77777777" w:rsidR="00826DFC" w:rsidRPr="00B32307" w:rsidRDefault="00826DFC">
            <w:pPr>
              <w:contextualSpacing/>
              <w:rPr>
                <w:bCs/>
                <w:sz w:val="22"/>
                <w:szCs w:val="22"/>
                <w:lang w:val="sr-Latn-RS"/>
              </w:rPr>
            </w:pPr>
            <w:r w:rsidRPr="00B32307">
              <w:rPr>
                <w:bCs/>
                <w:sz w:val="22"/>
                <w:szCs w:val="22"/>
                <w:lang w:val="sr-Latn-RS"/>
              </w:rPr>
              <w:t>Reakcije preosjetljivosti (uključujući urtikariju, angioedem, osip, pruritus)</w:t>
            </w:r>
          </w:p>
        </w:tc>
      </w:tr>
      <w:tr w:rsidR="00826DFC" w:rsidRPr="00B32307" w14:paraId="7AA7D612" w14:textId="77777777" w:rsidTr="00FC563B">
        <w:tc>
          <w:tcPr>
            <w:tcW w:w="9705" w:type="dxa"/>
            <w:gridSpan w:val="3"/>
            <w:tcBorders>
              <w:top w:val="single" w:sz="4" w:space="0" w:color="auto"/>
              <w:left w:val="single" w:sz="4" w:space="0" w:color="auto"/>
              <w:bottom w:val="single" w:sz="4" w:space="0" w:color="auto"/>
              <w:right w:val="single" w:sz="4" w:space="0" w:color="auto"/>
            </w:tcBorders>
            <w:hideMark/>
          </w:tcPr>
          <w:p w14:paraId="3A34121E" w14:textId="77777777" w:rsidR="00826DFC" w:rsidRPr="00B32307" w:rsidRDefault="00826DFC">
            <w:pPr>
              <w:contextualSpacing/>
              <w:rPr>
                <w:bCs/>
                <w:i/>
                <w:sz w:val="22"/>
                <w:szCs w:val="22"/>
                <w:lang w:val="sr-Latn-RS"/>
              </w:rPr>
            </w:pPr>
            <w:r w:rsidRPr="00B32307">
              <w:rPr>
                <w:bCs/>
                <w:i/>
                <w:sz w:val="22"/>
                <w:szCs w:val="22"/>
                <w:lang w:val="sr-Latn-RS"/>
              </w:rPr>
              <w:t>Psihijatrijski poremećaji</w:t>
            </w:r>
          </w:p>
        </w:tc>
      </w:tr>
      <w:tr w:rsidR="00826DFC" w:rsidRPr="00B32307" w14:paraId="75013EE4" w14:textId="77777777" w:rsidTr="00FC563B">
        <w:tc>
          <w:tcPr>
            <w:tcW w:w="3239" w:type="dxa"/>
            <w:vMerge w:val="restart"/>
            <w:tcBorders>
              <w:top w:val="single" w:sz="4" w:space="0" w:color="auto"/>
              <w:left w:val="single" w:sz="4" w:space="0" w:color="auto"/>
              <w:bottom w:val="single" w:sz="4" w:space="0" w:color="auto"/>
              <w:right w:val="single" w:sz="4" w:space="0" w:color="auto"/>
            </w:tcBorders>
            <w:hideMark/>
          </w:tcPr>
          <w:p w14:paraId="13CC7431" w14:textId="77777777" w:rsidR="00826DFC" w:rsidRPr="00B32307" w:rsidRDefault="00826DFC">
            <w:pPr>
              <w:contextualSpacing/>
              <w:rPr>
                <w:bCs/>
                <w:sz w:val="22"/>
                <w:szCs w:val="22"/>
                <w:lang w:val="sr-Latn-RS"/>
              </w:rPr>
            </w:pPr>
            <w:r w:rsidRPr="00B32307">
              <w:rPr>
                <w:bCs/>
                <w:sz w:val="22"/>
                <w:szCs w:val="22"/>
                <w:lang w:val="sr-Latn-RS"/>
              </w:rPr>
              <w:t>Česta</w:t>
            </w:r>
          </w:p>
        </w:tc>
        <w:tc>
          <w:tcPr>
            <w:tcW w:w="6466" w:type="dxa"/>
            <w:gridSpan w:val="2"/>
            <w:tcBorders>
              <w:top w:val="single" w:sz="4" w:space="0" w:color="auto"/>
              <w:left w:val="single" w:sz="4" w:space="0" w:color="auto"/>
              <w:bottom w:val="single" w:sz="4" w:space="0" w:color="auto"/>
              <w:right w:val="single" w:sz="4" w:space="0" w:color="auto"/>
            </w:tcBorders>
            <w:hideMark/>
          </w:tcPr>
          <w:p w14:paraId="259234D3" w14:textId="77777777" w:rsidR="00826DFC" w:rsidRPr="00B32307" w:rsidRDefault="00826DFC">
            <w:pPr>
              <w:contextualSpacing/>
              <w:rPr>
                <w:bCs/>
                <w:sz w:val="22"/>
                <w:szCs w:val="22"/>
                <w:lang w:val="sr-Latn-RS"/>
              </w:rPr>
            </w:pPr>
            <w:r w:rsidRPr="00B32307">
              <w:rPr>
                <w:bCs/>
                <w:sz w:val="22"/>
                <w:szCs w:val="22"/>
                <w:lang w:val="sr-Latn-RS"/>
              </w:rPr>
              <w:t>Halucinacije</w:t>
            </w:r>
          </w:p>
        </w:tc>
      </w:tr>
      <w:tr w:rsidR="00826DFC" w:rsidRPr="00B32307" w14:paraId="05819EB5" w14:textId="77777777" w:rsidTr="00FC563B">
        <w:tc>
          <w:tcPr>
            <w:tcW w:w="3239" w:type="dxa"/>
            <w:vMerge/>
            <w:tcBorders>
              <w:top w:val="single" w:sz="4" w:space="0" w:color="auto"/>
              <w:left w:val="single" w:sz="4" w:space="0" w:color="auto"/>
              <w:bottom w:val="single" w:sz="4" w:space="0" w:color="auto"/>
              <w:right w:val="single" w:sz="4" w:space="0" w:color="auto"/>
            </w:tcBorders>
            <w:vAlign w:val="center"/>
            <w:hideMark/>
          </w:tcPr>
          <w:p w14:paraId="4BD6B287" w14:textId="77777777" w:rsidR="00826DFC" w:rsidRPr="00B32307" w:rsidRDefault="00826DFC">
            <w:pPr>
              <w:spacing w:line="276" w:lineRule="auto"/>
              <w:rPr>
                <w:bCs/>
                <w:sz w:val="22"/>
                <w:szCs w:val="22"/>
                <w:lang w:val="sr-Latn-RS"/>
              </w:rPr>
            </w:pPr>
          </w:p>
        </w:tc>
        <w:tc>
          <w:tcPr>
            <w:tcW w:w="3233" w:type="dxa"/>
            <w:tcBorders>
              <w:top w:val="single" w:sz="4" w:space="0" w:color="auto"/>
              <w:left w:val="single" w:sz="4" w:space="0" w:color="auto"/>
              <w:bottom w:val="single" w:sz="4" w:space="0" w:color="auto"/>
              <w:right w:val="single" w:sz="4" w:space="0" w:color="auto"/>
            </w:tcBorders>
          </w:tcPr>
          <w:p w14:paraId="068BCF12" w14:textId="77777777" w:rsidR="00826DFC" w:rsidRPr="00B32307" w:rsidRDefault="00826DFC">
            <w:pPr>
              <w:contextualSpacing/>
              <w:rPr>
                <w:bCs/>
                <w:sz w:val="22"/>
                <w:szCs w:val="22"/>
                <w:lang w:val="sr-Latn-RS"/>
              </w:rPr>
            </w:pPr>
          </w:p>
        </w:tc>
        <w:tc>
          <w:tcPr>
            <w:tcW w:w="3233" w:type="dxa"/>
            <w:tcBorders>
              <w:top w:val="single" w:sz="4" w:space="0" w:color="auto"/>
              <w:left w:val="single" w:sz="4" w:space="0" w:color="auto"/>
              <w:bottom w:val="single" w:sz="4" w:space="0" w:color="auto"/>
              <w:right w:val="single" w:sz="4" w:space="0" w:color="auto"/>
            </w:tcBorders>
            <w:hideMark/>
          </w:tcPr>
          <w:p w14:paraId="3C9399D7" w14:textId="77777777" w:rsidR="00826DFC" w:rsidRPr="00B32307" w:rsidRDefault="00826DFC">
            <w:pPr>
              <w:contextualSpacing/>
              <w:rPr>
                <w:bCs/>
                <w:sz w:val="22"/>
                <w:szCs w:val="22"/>
                <w:lang w:val="sr-Latn-RS"/>
              </w:rPr>
            </w:pPr>
            <w:r w:rsidRPr="00B32307">
              <w:rPr>
                <w:bCs/>
                <w:sz w:val="22"/>
                <w:szCs w:val="22"/>
                <w:lang w:val="sr-Latn-RS"/>
              </w:rPr>
              <w:t>Konfuzija</w:t>
            </w:r>
          </w:p>
        </w:tc>
      </w:tr>
      <w:tr w:rsidR="00826DFC" w:rsidRPr="00B32307" w14:paraId="42CE1806"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58B231D0" w14:textId="77777777" w:rsidR="00826DFC" w:rsidRPr="00B32307" w:rsidRDefault="00826DFC">
            <w:pPr>
              <w:contextualSpacing/>
              <w:rPr>
                <w:bCs/>
                <w:sz w:val="22"/>
                <w:szCs w:val="22"/>
                <w:lang w:val="sr-Latn-RS"/>
              </w:rPr>
            </w:pPr>
            <w:r w:rsidRPr="00B32307">
              <w:rPr>
                <w:bCs/>
                <w:sz w:val="22"/>
                <w:szCs w:val="22"/>
                <w:lang w:val="sr-Latn-RS"/>
              </w:rPr>
              <w:t>Povremena</w:t>
            </w:r>
          </w:p>
        </w:tc>
        <w:tc>
          <w:tcPr>
            <w:tcW w:w="6466" w:type="dxa"/>
            <w:gridSpan w:val="2"/>
            <w:tcBorders>
              <w:top w:val="single" w:sz="4" w:space="0" w:color="auto"/>
              <w:left w:val="single" w:sz="4" w:space="0" w:color="auto"/>
              <w:bottom w:val="single" w:sz="4" w:space="0" w:color="auto"/>
              <w:right w:val="single" w:sz="4" w:space="0" w:color="auto"/>
            </w:tcBorders>
            <w:hideMark/>
          </w:tcPr>
          <w:p w14:paraId="472DCAE9" w14:textId="77777777" w:rsidR="00826DFC" w:rsidRPr="00B32307" w:rsidRDefault="00826DFC">
            <w:pPr>
              <w:contextualSpacing/>
              <w:rPr>
                <w:bCs/>
                <w:sz w:val="22"/>
                <w:szCs w:val="22"/>
                <w:lang w:val="sr-Latn-RS"/>
              </w:rPr>
            </w:pPr>
            <w:r w:rsidRPr="00B32307">
              <w:rPr>
                <w:bCs/>
                <w:sz w:val="22"/>
                <w:szCs w:val="22"/>
                <w:lang w:val="sr-Latn-RS"/>
              </w:rPr>
              <w:t>Psihotične reakcije (izuzev halucinacija), uključujući delirijum, deluzije, paranoju</w:t>
            </w:r>
          </w:p>
        </w:tc>
      </w:tr>
      <w:tr w:rsidR="00826DFC" w:rsidRPr="00B32307" w14:paraId="4A5B3FCA" w14:textId="77777777" w:rsidTr="00FC563B">
        <w:tc>
          <w:tcPr>
            <w:tcW w:w="3239" w:type="dxa"/>
            <w:vMerge w:val="restart"/>
            <w:tcBorders>
              <w:top w:val="single" w:sz="4" w:space="0" w:color="auto"/>
              <w:left w:val="single" w:sz="4" w:space="0" w:color="auto"/>
              <w:bottom w:val="single" w:sz="4" w:space="0" w:color="auto"/>
              <w:right w:val="single" w:sz="4" w:space="0" w:color="auto"/>
            </w:tcBorders>
          </w:tcPr>
          <w:p w14:paraId="777C6DAD" w14:textId="77777777" w:rsidR="00826DFC" w:rsidRPr="00B32307" w:rsidRDefault="00826DFC">
            <w:pPr>
              <w:contextualSpacing/>
              <w:rPr>
                <w:bCs/>
                <w:sz w:val="22"/>
                <w:szCs w:val="22"/>
                <w:lang w:val="sr-Latn-RS"/>
              </w:rPr>
            </w:pPr>
            <w:r w:rsidRPr="00B32307">
              <w:rPr>
                <w:bCs/>
                <w:sz w:val="22"/>
                <w:szCs w:val="22"/>
                <w:lang w:val="sr-Latn-RS"/>
              </w:rPr>
              <w:t>Nepoznata</w:t>
            </w:r>
          </w:p>
          <w:p w14:paraId="7B887B55" w14:textId="77777777" w:rsidR="00826DFC" w:rsidRPr="00B32307" w:rsidRDefault="00826DFC">
            <w:pPr>
              <w:contextualSpacing/>
              <w:rPr>
                <w:bCs/>
                <w:sz w:val="22"/>
                <w:szCs w:val="22"/>
                <w:lang w:val="sr-Latn-RS"/>
              </w:rPr>
            </w:pPr>
          </w:p>
        </w:tc>
        <w:tc>
          <w:tcPr>
            <w:tcW w:w="6466" w:type="dxa"/>
            <w:gridSpan w:val="2"/>
            <w:tcBorders>
              <w:top w:val="single" w:sz="4" w:space="0" w:color="auto"/>
              <w:left w:val="single" w:sz="4" w:space="0" w:color="auto"/>
              <w:bottom w:val="single" w:sz="4" w:space="0" w:color="auto"/>
              <w:right w:val="single" w:sz="4" w:space="0" w:color="auto"/>
            </w:tcBorders>
            <w:hideMark/>
          </w:tcPr>
          <w:p w14:paraId="3DF064E3" w14:textId="117739A7" w:rsidR="00826DFC" w:rsidRPr="00B32307" w:rsidRDefault="00826DFC">
            <w:pPr>
              <w:contextualSpacing/>
              <w:rPr>
                <w:bCs/>
                <w:sz w:val="22"/>
                <w:szCs w:val="22"/>
                <w:lang w:val="sr-Latn-RS"/>
              </w:rPr>
            </w:pPr>
            <w:r w:rsidRPr="00B32307">
              <w:rPr>
                <w:bCs/>
                <w:sz w:val="22"/>
                <w:szCs w:val="22"/>
                <w:lang w:val="sr-Latn-RS"/>
              </w:rPr>
              <w:t>P</w:t>
            </w:r>
            <w:r w:rsidR="00611034" w:rsidRPr="00B32307">
              <w:rPr>
                <w:bCs/>
                <w:sz w:val="22"/>
                <w:szCs w:val="22"/>
                <w:lang w:val="sr-Latn-RS"/>
              </w:rPr>
              <w:t>oremećaji kontrole impulsa: p</w:t>
            </w:r>
            <w:r w:rsidRPr="00B32307">
              <w:rPr>
                <w:bCs/>
                <w:sz w:val="22"/>
                <w:szCs w:val="22"/>
                <w:lang w:val="sr-Latn-RS"/>
              </w:rPr>
              <w:t xml:space="preserve">atološko kockanje, povišen libido, hiperseksualnost, epizode nekontrolisanog trošenja novca ili kupovine, impulsivno unošenje hrane (povećan unos hrane u kratkom vremenskom periodu) ili nekontrolisano unošenje hrane (unos veće količine hrane od količine potrebne da zadovolji glad) se mogu javiti kod pacijenata koji su na terapiji agonistima dopamina, uključujući i terapiju lijekom REQUIP MODUTAB (vidjeti </w:t>
            </w:r>
            <w:r w:rsidR="00AE48A4" w:rsidRPr="00B32307">
              <w:rPr>
                <w:bCs/>
                <w:sz w:val="22"/>
                <w:szCs w:val="22"/>
                <w:lang w:val="sr-Latn-RS"/>
              </w:rPr>
              <w:t>dio</w:t>
            </w:r>
            <w:r w:rsidRPr="00B32307">
              <w:rPr>
                <w:bCs/>
                <w:sz w:val="22"/>
                <w:szCs w:val="22"/>
                <w:lang w:val="sr-Latn-RS"/>
              </w:rPr>
              <w:t xml:space="preserve"> 4.4)</w:t>
            </w:r>
          </w:p>
        </w:tc>
      </w:tr>
      <w:tr w:rsidR="00611034" w:rsidRPr="00B32307" w14:paraId="61FBC89F" w14:textId="77777777" w:rsidTr="00FC563B">
        <w:tc>
          <w:tcPr>
            <w:tcW w:w="3239" w:type="dxa"/>
            <w:vMerge/>
            <w:tcBorders>
              <w:top w:val="single" w:sz="4" w:space="0" w:color="auto"/>
              <w:left w:val="single" w:sz="4" w:space="0" w:color="auto"/>
              <w:bottom w:val="single" w:sz="4" w:space="0" w:color="auto"/>
              <w:right w:val="single" w:sz="4" w:space="0" w:color="auto"/>
            </w:tcBorders>
            <w:vAlign w:val="center"/>
          </w:tcPr>
          <w:p w14:paraId="02764073" w14:textId="77777777" w:rsidR="00611034" w:rsidRPr="00B32307" w:rsidRDefault="00611034">
            <w:pPr>
              <w:spacing w:line="276" w:lineRule="auto"/>
              <w:rPr>
                <w:bCs/>
                <w:sz w:val="22"/>
                <w:szCs w:val="22"/>
                <w:lang w:val="sr-Latn-RS"/>
              </w:rPr>
            </w:pPr>
          </w:p>
        </w:tc>
        <w:tc>
          <w:tcPr>
            <w:tcW w:w="6466" w:type="dxa"/>
            <w:gridSpan w:val="2"/>
            <w:tcBorders>
              <w:top w:val="single" w:sz="4" w:space="0" w:color="auto"/>
              <w:left w:val="single" w:sz="4" w:space="0" w:color="auto"/>
              <w:bottom w:val="single" w:sz="4" w:space="0" w:color="auto"/>
              <w:right w:val="single" w:sz="4" w:space="0" w:color="auto"/>
            </w:tcBorders>
          </w:tcPr>
          <w:p w14:paraId="0D932B96" w14:textId="24115DCF" w:rsidR="00611034" w:rsidRPr="00B32307" w:rsidRDefault="00611034" w:rsidP="002750FD">
            <w:pPr>
              <w:contextualSpacing/>
              <w:rPr>
                <w:bCs/>
                <w:sz w:val="22"/>
                <w:szCs w:val="22"/>
                <w:lang w:val="sr-Latn-RS"/>
              </w:rPr>
            </w:pPr>
            <w:r w:rsidRPr="00B32307">
              <w:rPr>
                <w:bCs/>
                <w:sz w:val="22"/>
                <w:szCs w:val="22"/>
                <w:lang w:val="sr-Latn-RS"/>
              </w:rPr>
              <w:t>Manija (vidjeti dio 4.4)</w:t>
            </w:r>
          </w:p>
        </w:tc>
      </w:tr>
      <w:tr w:rsidR="00826DFC" w:rsidRPr="00B32307" w14:paraId="79348B9E" w14:textId="77777777" w:rsidTr="00FC563B">
        <w:tc>
          <w:tcPr>
            <w:tcW w:w="3239" w:type="dxa"/>
            <w:vMerge/>
            <w:tcBorders>
              <w:top w:val="single" w:sz="4" w:space="0" w:color="auto"/>
              <w:left w:val="single" w:sz="4" w:space="0" w:color="auto"/>
              <w:bottom w:val="single" w:sz="4" w:space="0" w:color="auto"/>
              <w:right w:val="single" w:sz="4" w:space="0" w:color="auto"/>
            </w:tcBorders>
            <w:vAlign w:val="center"/>
            <w:hideMark/>
          </w:tcPr>
          <w:p w14:paraId="29AB14BB" w14:textId="77777777" w:rsidR="00826DFC" w:rsidRPr="00B32307" w:rsidRDefault="00826DFC">
            <w:pPr>
              <w:spacing w:line="276" w:lineRule="auto"/>
              <w:rPr>
                <w:bCs/>
                <w:sz w:val="22"/>
                <w:szCs w:val="22"/>
                <w:lang w:val="sr-Latn-RS"/>
              </w:rPr>
            </w:pPr>
          </w:p>
        </w:tc>
        <w:tc>
          <w:tcPr>
            <w:tcW w:w="6466" w:type="dxa"/>
            <w:gridSpan w:val="2"/>
            <w:tcBorders>
              <w:top w:val="single" w:sz="4" w:space="0" w:color="auto"/>
              <w:left w:val="single" w:sz="4" w:space="0" w:color="auto"/>
              <w:bottom w:val="single" w:sz="4" w:space="0" w:color="auto"/>
              <w:right w:val="single" w:sz="4" w:space="0" w:color="auto"/>
            </w:tcBorders>
            <w:hideMark/>
          </w:tcPr>
          <w:p w14:paraId="23471670" w14:textId="480538FA" w:rsidR="00826DFC" w:rsidRPr="00B32307" w:rsidRDefault="00826DFC">
            <w:pPr>
              <w:contextualSpacing/>
              <w:rPr>
                <w:bCs/>
                <w:sz w:val="22"/>
                <w:szCs w:val="22"/>
                <w:lang w:val="sr-Latn-RS"/>
              </w:rPr>
            </w:pPr>
            <w:r w:rsidRPr="00B32307">
              <w:rPr>
                <w:bCs/>
                <w:sz w:val="22"/>
                <w:szCs w:val="22"/>
                <w:lang w:val="sr-Latn-RS"/>
              </w:rPr>
              <w:t>Agresivno ponašanje*</w:t>
            </w:r>
          </w:p>
        </w:tc>
      </w:tr>
      <w:tr w:rsidR="00826DFC" w:rsidRPr="00B32307" w14:paraId="72403FB9" w14:textId="77777777" w:rsidTr="00FC563B">
        <w:tc>
          <w:tcPr>
            <w:tcW w:w="3239" w:type="dxa"/>
            <w:vMerge/>
            <w:tcBorders>
              <w:top w:val="single" w:sz="4" w:space="0" w:color="auto"/>
              <w:left w:val="single" w:sz="4" w:space="0" w:color="auto"/>
              <w:bottom w:val="single" w:sz="4" w:space="0" w:color="auto"/>
              <w:right w:val="single" w:sz="4" w:space="0" w:color="auto"/>
            </w:tcBorders>
            <w:vAlign w:val="center"/>
            <w:hideMark/>
          </w:tcPr>
          <w:p w14:paraId="6FDD30CB" w14:textId="77777777" w:rsidR="00826DFC" w:rsidRPr="00B32307" w:rsidRDefault="00826DFC">
            <w:pPr>
              <w:spacing w:line="276" w:lineRule="auto"/>
              <w:rPr>
                <w:bCs/>
                <w:sz w:val="22"/>
                <w:szCs w:val="22"/>
                <w:lang w:val="sr-Latn-RS"/>
              </w:rPr>
            </w:pPr>
          </w:p>
        </w:tc>
        <w:tc>
          <w:tcPr>
            <w:tcW w:w="6466" w:type="dxa"/>
            <w:gridSpan w:val="2"/>
            <w:tcBorders>
              <w:top w:val="single" w:sz="4" w:space="0" w:color="auto"/>
              <w:left w:val="single" w:sz="4" w:space="0" w:color="auto"/>
              <w:bottom w:val="single" w:sz="4" w:space="0" w:color="auto"/>
              <w:right w:val="single" w:sz="4" w:space="0" w:color="auto"/>
            </w:tcBorders>
          </w:tcPr>
          <w:p w14:paraId="5CBA4D9C" w14:textId="0A772B61" w:rsidR="00826DFC" w:rsidRPr="00B32307" w:rsidRDefault="00826DFC">
            <w:pPr>
              <w:rPr>
                <w:bCs/>
                <w:sz w:val="22"/>
                <w:szCs w:val="22"/>
                <w:lang w:val="sr-Latn-RS"/>
              </w:rPr>
            </w:pPr>
            <w:r w:rsidRPr="00B32307">
              <w:rPr>
                <w:bCs/>
                <w:sz w:val="22"/>
                <w:szCs w:val="22"/>
                <w:lang w:val="sr-Latn-RS"/>
              </w:rPr>
              <w:t>Sindrom disregulacije dopamina</w:t>
            </w:r>
          </w:p>
        </w:tc>
      </w:tr>
      <w:tr w:rsidR="00826DFC" w:rsidRPr="00B32307" w14:paraId="24D721FC" w14:textId="77777777" w:rsidTr="00FC563B">
        <w:tc>
          <w:tcPr>
            <w:tcW w:w="9705" w:type="dxa"/>
            <w:gridSpan w:val="3"/>
            <w:tcBorders>
              <w:top w:val="single" w:sz="4" w:space="0" w:color="auto"/>
              <w:left w:val="single" w:sz="4" w:space="0" w:color="auto"/>
              <w:bottom w:val="single" w:sz="4" w:space="0" w:color="auto"/>
              <w:right w:val="single" w:sz="4" w:space="0" w:color="auto"/>
            </w:tcBorders>
            <w:hideMark/>
          </w:tcPr>
          <w:p w14:paraId="25D9852F" w14:textId="77777777" w:rsidR="00826DFC" w:rsidRPr="00B32307" w:rsidRDefault="00826DFC">
            <w:pPr>
              <w:contextualSpacing/>
              <w:rPr>
                <w:bCs/>
                <w:i/>
                <w:sz w:val="22"/>
                <w:szCs w:val="22"/>
                <w:lang w:val="sr-Latn-RS"/>
              </w:rPr>
            </w:pPr>
            <w:r w:rsidRPr="00B32307">
              <w:rPr>
                <w:bCs/>
                <w:i/>
                <w:sz w:val="22"/>
                <w:szCs w:val="22"/>
                <w:lang w:val="sr-Latn-RS"/>
              </w:rPr>
              <w:t>Poremećaji nervnog sistema</w:t>
            </w:r>
          </w:p>
        </w:tc>
      </w:tr>
      <w:tr w:rsidR="00826DFC" w:rsidRPr="00B32307" w14:paraId="3AF41337"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6C3F8614" w14:textId="77777777" w:rsidR="00826DFC" w:rsidRPr="00B32307" w:rsidRDefault="00826DFC">
            <w:pPr>
              <w:contextualSpacing/>
              <w:rPr>
                <w:bCs/>
                <w:sz w:val="22"/>
                <w:szCs w:val="22"/>
                <w:lang w:val="sr-Latn-RS"/>
              </w:rPr>
            </w:pPr>
            <w:r w:rsidRPr="00B32307">
              <w:rPr>
                <w:bCs/>
                <w:sz w:val="22"/>
                <w:szCs w:val="22"/>
                <w:lang w:val="sr-Latn-RS"/>
              </w:rPr>
              <w:t>Veoma česta</w:t>
            </w:r>
          </w:p>
        </w:tc>
        <w:tc>
          <w:tcPr>
            <w:tcW w:w="3233" w:type="dxa"/>
            <w:tcBorders>
              <w:top w:val="single" w:sz="4" w:space="0" w:color="auto"/>
              <w:left w:val="single" w:sz="4" w:space="0" w:color="auto"/>
              <w:bottom w:val="single" w:sz="4" w:space="0" w:color="auto"/>
              <w:right w:val="single" w:sz="4" w:space="0" w:color="auto"/>
            </w:tcBorders>
            <w:hideMark/>
          </w:tcPr>
          <w:p w14:paraId="5C079CAF" w14:textId="77777777" w:rsidR="00826DFC" w:rsidRPr="00B32307" w:rsidRDefault="00826DFC">
            <w:pPr>
              <w:contextualSpacing/>
              <w:rPr>
                <w:bCs/>
                <w:sz w:val="22"/>
                <w:szCs w:val="22"/>
                <w:lang w:val="sr-Latn-RS"/>
              </w:rPr>
            </w:pPr>
            <w:r w:rsidRPr="00B32307">
              <w:rPr>
                <w:bCs/>
                <w:sz w:val="22"/>
                <w:szCs w:val="22"/>
                <w:lang w:val="sr-Latn-RS"/>
              </w:rPr>
              <w:t>Somnolencija</w:t>
            </w:r>
          </w:p>
          <w:p w14:paraId="2B12C350" w14:textId="77777777" w:rsidR="00826DFC" w:rsidRPr="00B32307" w:rsidRDefault="00826DFC">
            <w:pPr>
              <w:contextualSpacing/>
              <w:rPr>
                <w:bCs/>
                <w:sz w:val="22"/>
                <w:szCs w:val="22"/>
                <w:lang w:val="sr-Latn-RS"/>
              </w:rPr>
            </w:pPr>
            <w:r w:rsidRPr="00B32307">
              <w:rPr>
                <w:bCs/>
                <w:sz w:val="22"/>
                <w:szCs w:val="22"/>
                <w:lang w:val="sr-Latn-RS"/>
              </w:rPr>
              <w:t>Sinkopa</w:t>
            </w:r>
          </w:p>
        </w:tc>
        <w:tc>
          <w:tcPr>
            <w:tcW w:w="3233" w:type="dxa"/>
            <w:tcBorders>
              <w:top w:val="single" w:sz="4" w:space="0" w:color="auto"/>
              <w:left w:val="single" w:sz="4" w:space="0" w:color="auto"/>
              <w:bottom w:val="single" w:sz="4" w:space="0" w:color="auto"/>
              <w:right w:val="single" w:sz="4" w:space="0" w:color="auto"/>
            </w:tcBorders>
            <w:hideMark/>
          </w:tcPr>
          <w:p w14:paraId="09DB9075" w14:textId="77777777" w:rsidR="00826DFC" w:rsidRPr="00B32307" w:rsidRDefault="00826DFC">
            <w:pPr>
              <w:contextualSpacing/>
              <w:rPr>
                <w:bCs/>
                <w:sz w:val="22"/>
                <w:szCs w:val="22"/>
                <w:lang w:val="sr-Latn-RS"/>
              </w:rPr>
            </w:pPr>
            <w:r w:rsidRPr="00B32307">
              <w:rPr>
                <w:bCs/>
                <w:sz w:val="22"/>
                <w:szCs w:val="22"/>
                <w:lang w:val="sr-Latn-RS"/>
              </w:rPr>
              <w:t>Somnolencija**</w:t>
            </w:r>
          </w:p>
          <w:p w14:paraId="47419B6A" w14:textId="77777777" w:rsidR="00826DFC" w:rsidRPr="00B32307" w:rsidRDefault="00826DFC">
            <w:pPr>
              <w:contextualSpacing/>
              <w:rPr>
                <w:bCs/>
                <w:sz w:val="22"/>
                <w:szCs w:val="22"/>
                <w:lang w:val="sr-Latn-RS"/>
              </w:rPr>
            </w:pPr>
            <w:r w:rsidRPr="00B32307">
              <w:rPr>
                <w:bCs/>
                <w:sz w:val="22"/>
                <w:szCs w:val="22"/>
                <w:lang w:val="sr-Latn-RS"/>
              </w:rPr>
              <w:t>Diskinezija***</w:t>
            </w:r>
          </w:p>
        </w:tc>
      </w:tr>
      <w:tr w:rsidR="00826DFC" w:rsidRPr="00B32307" w14:paraId="0676E1A2"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4091F96D" w14:textId="77777777" w:rsidR="00826DFC" w:rsidRPr="00B32307" w:rsidRDefault="00826DFC">
            <w:pPr>
              <w:contextualSpacing/>
              <w:rPr>
                <w:bCs/>
                <w:sz w:val="22"/>
                <w:szCs w:val="22"/>
                <w:lang w:val="sr-Latn-RS"/>
              </w:rPr>
            </w:pPr>
            <w:r w:rsidRPr="00B32307">
              <w:rPr>
                <w:bCs/>
                <w:sz w:val="22"/>
                <w:szCs w:val="22"/>
                <w:lang w:val="sr-Latn-RS"/>
              </w:rPr>
              <w:t>Česta</w:t>
            </w:r>
          </w:p>
        </w:tc>
        <w:tc>
          <w:tcPr>
            <w:tcW w:w="6466" w:type="dxa"/>
            <w:gridSpan w:val="2"/>
            <w:tcBorders>
              <w:top w:val="single" w:sz="4" w:space="0" w:color="auto"/>
              <w:left w:val="single" w:sz="4" w:space="0" w:color="auto"/>
              <w:bottom w:val="single" w:sz="4" w:space="0" w:color="auto"/>
              <w:right w:val="single" w:sz="4" w:space="0" w:color="auto"/>
            </w:tcBorders>
            <w:hideMark/>
          </w:tcPr>
          <w:p w14:paraId="3B1A9946" w14:textId="77777777" w:rsidR="00826DFC" w:rsidRPr="00B32307" w:rsidRDefault="00826DFC">
            <w:pPr>
              <w:contextualSpacing/>
              <w:rPr>
                <w:bCs/>
                <w:sz w:val="22"/>
                <w:szCs w:val="22"/>
                <w:lang w:val="sr-Latn-RS"/>
              </w:rPr>
            </w:pPr>
            <w:r w:rsidRPr="00B32307">
              <w:rPr>
                <w:bCs/>
                <w:sz w:val="22"/>
                <w:szCs w:val="22"/>
                <w:lang w:val="sr-Latn-RS"/>
              </w:rPr>
              <w:t>Vrtoglavica (uključujući vertigo), iznenadno padanje u san</w:t>
            </w:r>
          </w:p>
        </w:tc>
      </w:tr>
      <w:tr w:rsidR="00826DFC" w:rsidRPr="00B32307" w14:paraId="03A04429"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19BAB71B" w14:textId="77777777" w:rsidR="00826DFC" w:rsidRPr="00B32307" w:rsidRDefault="00826DFC">
            <w:pPr>
              <w:contextualSpacing/>
              <w:rPr>
                <w:bCs/>
                <w:sz w:val="22"/>
                <w:szCs w:val="22"/>
                <w:lang w:val="sr-Latn-RS"/>
              </w:rPr>
            </w:pPr>
            <w:r w:rsidRPr="00B32307">
              <w:rPr>
                <w:bCs/>
                <w:sz w:val="22"/>
                <w:szCs w:val="22"/>
                <w:lang w:val="sr-Latn-RS"/>
              </w:rPr>
              <w:t>Povremena</w:t>
            </w:r>
          </w:p>
        </w:tc>
        <w:tc>
          <w:tcPr>
            <w:tcW w:w="6466" w:type="dxa"/>
            <w:gridSpan w:val="2"/>
            <w:tcBorders>
              <w:top w:val="single" w:sz="4" w:space="0" w:color="auto"/>
              <w:left w:val="single" w:sz="4" w:space="0" w:color="auto"/>
              <w:bottom w:val="single" w:sz="4" w:space="0" w:color="auto"/>
              <w:right w:val="single" w:sz="4" w:space="0" w:color="auto"/>
            </w:tcBorders>
            <w:hideMark/>
          </w:tcPr>
          <w:p w14:paraId="2B0F4394" w14:textId="77777777" w:rsidR="00826DFC" w:rsidRPr="00B32307" w:rsidRDefault="00826DFC">
            <w:pPr>
              <w:contextualSpacing/>
              <w:rPr>
                <w:bCs/>
                <w:sz w:val="22"/>
                <w:szCs w:val="22"/>
                <w:lang w:val="sr-Latn-RS"/>
              </w:rPr>
            </w:pPr>
            <w:r w:rsidRPr="00B32307">
              <w:rPr>
                <w:bCs/>
                <w:sz w:val="22"/>
                <w:szCs w:val="22"/>
                <w:lang w:val="sr-Latn-RS"/>
              </w:rPr>
              <w:t>Pretjerana pospanost tokom dana</w:t>
            </w:r>
          </w:p>
        </w:tc>
      </w:tr>
      <w:tr w:rsidR="00826DFC" w:rsidRPr="00B32307" w14:paraId="2224402C" w14:textId="77777777" w:rsidTr="00FC563B">
        <w:tc>
          <w:tcPr>
            <w:tcW w:w="9705" w:type="dxa"/>
            <w:gridSpan w:val="3"/>
            <w:tcBorders>
              <w:top w:val="single" w:sz="4" w:space="0" w:color="auto"/>
              <w:left w:val="single" w:sz="4" w:space="0" w:color="auto"/>
              <w:bottom w:val="single" w:sz="4" w:space="0" w:color="auto"/>
              <w:right w:val="single" w:sz="4" w:space="0" w:color="auto"/>
            </w:tcBorders>
            <w:hideMark/>
          </w:tcPr>
          <w:p w14:paraId="36637FA2" w14:textId="77777777" w:rsidR="00826DFC" w:rsidRPr="00B32307" w:rsidRDefault="00826DFC">
            <w:pPr>
              <w:contextualSpacing/>
              <w:rPr>
                <w:bCs/>
                <w:i/>
                <w:sz w:val="22"/>
                <w:szCs w:val="22"/>
                <w:lang w:val="sr-Latn-RS"/>
              </w:rPr>
            </w:pPr>
            <w:r w:rsidRPr="00B32307">
              <w:rPr>
                <w:bCs/>
                <w:i/>
                <w:sz w:val="22"/>
                <w:szCs w:val="22"/>
                <w:lang w:val="sr-Latn-RS"/>
              </w:rPr>
              <w:t>Vaskularni poremećaji</w:t>
            </w:r>
          </w:p>
        </w:tc>
      </w:tr>
      <w:tr w:rsidR="00826DFC" w:rsidRPr="00B32307" w14:paraId="46443EDC"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63BE950D" w14:textId="77777777" w:rsidR="00826DFC" w:rsidRPr="00B32307" w:rsidRDefault="00826DFC">
            <w:pPr>
              <w:contextualSpacing/>
              <w:rPr>
                <w:bCs/>
                <w:sz w:val="22"/>
                <w:szCs w:val="22"/>
                <w:lang w:val="sr-Latn-RS"/>
              </w:rPr>
            </w:pPr>
            <w:r w:rsidRPr="00B32307">
              <w:rPr>
                <w:bCs/>
                <w:sz w:val="22"/>
                <w:szCs w:val="22"/>
                <w:lang w:val="sr-Latn-RS"/>
              </w:rPr>
              <w:t>Česta</w:t>
            </w:r>
          </w:p>
        </w:tc>
        <w:tc>
          <w:tcPr>
            <w:tcW w:w="3233" w:type="dxa"/>
            <w:tcBorders>
              <w:top w:val="single" w:sz="4" w:space="0" w:color="auto"/>
              <w:left w:val="single" w:sz="4" w:space="0" w:color="auto"/>
              <w:bottom w:val="single" w:sz="4" w:space="0" w:color="auto"/>
              <w:right w:val="single" w:sz="4" w:space="0" w:color="auto"/>
            </w:tcBorders>
          </w:tcPr>
          <w:p w14:paraId="2168EEFD" w14:textId="77777777" w:rsidR="00826DFC" w:rsidRPr="00B32307" w:rsidRDefault="00826DFC">
            <w:pPr>
              <w:contextualSpacing/>
              <w:rPr>
                <w:bCs/>
                <w:sz w:val="22"/>
                <w:szCs w:val="22"/>
                <w:lang w:val="sr-Latn-RS"/>
              </w:rPr>
            </w:pPr>
          </w:p>
        </w:tc>
        <w:tc>
          <w:tcPr>
            <w:tcW w:w="3233" w:type="dxa"/>
            <w:tcBorders>
              <w:top w:val="single" w:sz="4" w:space="0" w:color="auto"/>
              <w:left w:val="single" w:sz="4" w:space="0" w:color="auto"/>
              <w:bottom w:val="single" w:sz="4" w:space="0" w:color="auto"/>
              <w:right w:val="single" w:sz="4" w:space="0" w:color="auto"/>
            </w:tcBorders>
            <w:hideMark/>
          </w:tcPr>
          <w:p w14:paraId="51A51C87" w14:textId="77777777" w:rsidR="00826DFC" w:rsidRPr="00B32307" w:rsidRDefault="00826DFC">
            <w:pPr>
              <w:contextualSpacing/>
              <w:rPr>
                <w:bCs/>
                <w:sz w:val="22"/>
                <w:szCs w:val="22"/>
                <w:lang w:val="sr-Latn-RS"/>
              </w:rPr>
            </w:pPr>
            <w:r w:rsidRPr="00B32307">
              <w:rPr>
                <w:bCs/>
                <w:sz w:val="22"/>
                <w:szCs w:val="22"/>
                <w:lang w:val="sr-Latn-RS"/>
              </w:rPr>
              <w:t xml:space="preserve">Posturalna hipotenzija, hipotenzija </w:t>
            </w:r>
          </w:p>
        </w:tc>
      </w:tr>
      <w:tr w:rsidR="00826DFC" w:rsidRPr="00B32307" w14:paraId="7E717E3D"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432C5344" w14:textId="77777777" w:rsidR="00826DFC" w:rsidRPr="00B32307" w:rsidRDefault="00826DFC">
            <w:pPr>
              <w:contextualSpacing/>
              <w:rPr>
                <w:bCs/>
                <w:sz w:val="22"/>
                <w:szCs w:val="22"/>
                <w:lang w:val="sr-Latn-RS"/>
              </w:rPr>
            </w:pPr>
            <w:r w:rsidRPr="00B32307">
              <w:rPr>
                <w:bCs/>
                <w:sz w:val="22"/>
                <w:szCs w:val="22"/>
                <w:lang w:val="sr-Latn-RS"/>
              </w:rPr>
              <w:t>Povremena</w:t>
            </w:r>
          </w:p>
        </w:tc>
        <w:tc>
          <w:tcPr>
            <w:tcW w:w="3233" w:type="dxa"/>
            <w:tcBorders>
              <w:top w:val="single" w:sz="4" w:space="0" w:color="auto"/>
              <w:left w:val="single" w:sz="4" w:space="0" w:color="auto"/>
              <w:bottom w:val="single" w:sz="4" w:space="0" w:color="auto"/>
              <w:right w:val="single" w:sz="4" w:space="0" w:color="auto"/>
            </w:tcBorders>
            <w:hideMark/>
          </w:tcPr>
          <w:p w14:paraId="16832D46" w14:textId="77777777" w:rsidR="00826DFC" w:rsidRPr="00B32307" w:rsidRDefault="00826DFC">
            <w:pPr>
              <w:contextualSpacing/>
              <w:rPr>
                <w:bCs/>
                <w:sz w:val="22"/>
                <w:szCs w:val="22"/>
                <w:lang w:val="sr-Latn-RS"/>
              </w:rPr>
            </w:pPr>
            <w:r w:rsidRPr="00B32307">
              <w:rPr>
                <w:bCs/>
                <w:sz w:val="22"/>
                <w:szCs w:val="22"/>
                <w:lang w:val="sr-Latn-RS"/>
              </w:rPr>
              <w:t>Posturalna hipotenzija, hipotenzija</w:t>
            </w:r>
          </w:p>
        </w:tc>
        <w:tc>
          <w:tcPr>
            <w:tcW w:w="3233" w:type="dxa"/>
            <w:tcBorders>
              <w:top w:val="single" w:sz="4" w:space="0" w:color="auto"/>
              <w:left w:val="single" w:sz="4" w:space="0" w:color="auto"/>
              <w:bottom w:val="single" w:sz="4" w:space="0" w:color="auto"/>
              <w:right w:val="single" w:sz="4" w:space="0" w:color="auto"/>
            </w:tcBorders>
          </w:tcPr>
          <w:p w14:paraId="416C9A8A" w14:textId="77777777" w:rsidR="00826DFC" w:rsidRPr="00B32307" w:rsidRDefault="00826DFC">
            <w:pPr>
              <w:contextualSpacing/>
              <w:rPr>
                <w:bCs/>
                <w:sz w:val="22"/>
                <w:szCs w:val="22"/>
                <w:lang w:val="sr-Latn-RS"/>
              </w:rPr>
            </w:pPr>
          </w:p>
        </w:tc>
      </w:tr>
      <w:tr w:rsidR="00FC563B" w:rsidRPr="00B32307" w14:paraId="26EB94BC" w14:textId="77777777" w:rsidTr="00D57CA9">
        <w:tc>
          <w:tcPr>
            <w:tcW w:w="9705" w:type="dxa"/>
            <w:gridSpan w:val="3"/>
            <w:tcBorders>
              <w:top w:val="single" w:sz="4" w:space="0" w:color="auto"/>
              <w:left w:val="single" w:sz="4" w:space="0" w:color="auto"/>
              <w:bottom w:val="single" w:sz="4" w:space="0" w:color="auto"/>
              <w:right w:val="single" w:sz="4" w:space="0" w:color="auto"/>
            </w:tcBorders>
          </w:tcPr>
          <w:p w14:paraId="5CEA632D" w14:textId="0596C398" w:rsidR="00FC563B" w:rsidRPr="00B32307" w:rsidRDefault="00FC563B">
            <w:pPr>
              <w:contextualSpacing/>
              <w:rPr>
                <w:bCs/>
                <w:i/>
                <w:iCs/>
                <w:sz w:val="22"/>
                <w:szCs w:val="22"/>
                <w:lang w:val="sr-Latn-RS"/>
              </w:rPr>
            </w:pPr>
            <w:r w:rsidRPr="00B32307">
              <w:rPr>
                <w:bCs/>
                <w:i/>
                <w:iCs/>
                <w:sz w:val="22"/>
                <w:szCs w:val="22"/>
                <w:lang w:val="sr-Latn-RS"/>
              </w:rPr>
              <w:t>Respiratorni, torakalni i medijastinalni poremećaji</w:t>
            </w:r>
          </w:p>
        </w:tc>
      </w:tr>
      <w:tr w:rsidR="00FC563B" w:rsidRPr="00B32307" w14:paraId="3C2CC2C2" w14:textId="77777777" w:rsidTr="00FC563B">
        <w:tc>
          <w:tcPr>
            <w:tcW w:w="3239" w:type="dxa"/>
            <w:tcBorders>
              <w:top w:val="single" w:sz="4" w:space="0" w:color="auto"/>
              <w:left w:val="single" w:sz="4" w:space="0" w:color="auto"/>
              <w:bottom w:val="single" w:sz="4" w:space="0" w:color="auto"/>
              <w:right w:val="single" w:sz="4" w:space="0" w:color="auto"/>
            </w:tcBorders>
          </w:tcPr>
          <w:p w14:paraId="3B4CE62B" w14:textId="2D84EE2E" w:rsidR="00FC563B" w:rsidRPr="00B32307" w:rsidRDefault="00FC563B">
            <w:pPr>
              <w:contextualSpacing/>
              <w:rPr>
                <w:bCs/>
                <w:sz w:val="22"/>
                <w:szCs w:val="22"/>
                <w:lang w:val="sr-Latn-RS"/>
              </w:rPr>
            </w:pPr>
            <w:r w:rsidRPr="00B32307">
              <w:rPr>
                <w:bCs/>
                <w:sz w:val="22"/>
                <w:szCs w:val="22"/>
                <w:lang w:val="sr-Latn-RS"/>
              </w:rPr>
              <w:t xml:space="preserve">Povremena </w:t>
            </w:r>
          </w:p>
        </w:tc>
        <w:tc>
          <w:tcPr>
            <w:tcW w:w="3233" w:type="dxa"/>
            <w:tcBorders>
              <w:top w:val="single" w:sz="4" w:space="0" w:color="auto"/>
              <w:left w:val="single" w:sz="4" w:space="0" w:color="auto"/>
              <w:bottom w:val="single" w:sz="4" w:space="0" w:color="auto"/>
              <w:right w:val="single" w:sz="4" w:space="0" w:color="auto"/>
            </w:tcBorders>
          </w:tcPr>
          <w:p w14:paraId="1026C7A2" w14:textId="4B0BDB7D" w:rsidR="00FC563B" w:rsidRPr="00B32307" w:rsidRDefault="00FC563B">
            <w:pPr>
              <w:contextualSpacing/>
              <w:rPr>
                <w:bCs/>
                <w:sz w:val="22"/>
                <w:szCs w:val="22"/>
                <w:lang w:val="sr-Latn-RS"/>
              </w:rPr>
            </w:pPr>
            <w:r w:rsidRPr="00B32307">
              <w:rPr>
                <w:bCs/>
                <w:sz w:val="22"/>
                <w:szCs w:val="22"/>
                <w:lang w:val="sr-Latn-RS"/>
              </w:rPr>
              <w:t>Štucanje</w:t>
            </w:r>
          </w:p>
        </w:tc>
        <w:tc>
          <w:tcPr>
            <w:tcW w:w="3233" w:type="dxa"/>
            <w:tcBorders>
              <w:top w:val="single" w:sz="4" w:space="0" w:color="auto"/>
              <w:left w:val="single" w:sz="4" w:space="0" w:color="auto"/>
              <w:bottom w:val="single" w:sz="4" w:space="0" w:color="auto"/>
              <w:right w:val="single" w:sz="4" w:space="0" w:color="auto"/>
            </w:tcBorders>
          </w:tcPr>
          <w:p w14:paraId="3AC53FC9" w14:textId="77777777" w:rsidR="00FC563B" w:rsidRPr="00B32307" w:rsidRDefault="00FC563B">
            <w:pPr>
              <w:contextualSpacing/>
              <w:rPr>
                <w:bCs/>
                <w:sz w:val="22"/>
                <w:szCs w:val="22"/>
                <w:lang w:val="sr-Latn-RS"/>
              </w:rPr>
            </w:pPr>
          </w:p>
        </w:tc>
      </w:tr>
      <w:tr w:rsidR="00FC563B" w:rsidRPr="00B32307" w14:paraId="3934EA15" w14:textId="77777777" w:rsidTr="005175B9">
        <w:tc>
          <w:tcPr>
            <w:tcW w:w="9705" w:type="dxa"/>
            <w:gridSpan w:val="3"/>
            <w:tcBorders>
              <w:top w:val="single" w:sz="4" w:space="0" w:color="auto"/>
              <w:left w:val="single" w:sz="4" w:space="0" w:color="auto"/>
              <w:bottom w:val="single" w:sz="4" w:space="0" w:color="auto"/>
              <w:right w:val="single" w:sz="4" w:space="0" w:color="auto"/>
            </w:tcBorders>
          </w:tcPr>
          <w:p w14:paraId="44923CD7" w14:textId="3192C5E6" w:rsidR="00FC563B" w:rsidRPr="00B32307" w:rsidRDefault="00FC563B">
            <w:pPr>
              <w:contextualSpacing/>
              <w:rPr>
                <w:bCs/>
                <w:sz w:val="22"/>
                <w:szCs w:val="22"/>
                <w:lang w:val="sr-Latn-RS"/>
              </w:rPr>
            </w:pPr>
            <w:r w:rsidRPr="00B32307">
              <w:rPr>
                <w:bCs/>
                <w:i/>
                <w:sz w:val="22"/>
                <w:szCs w:val="22"/>
                <w:lang w:val="sr-Latn-RS"/>
              </w:rPr>
              <w:t>Gastrointestinalni poremećaji</w:t>
            </w:r>
          </w:p>
        </w:tc>
      </w:tr>
      <w:tr w:rsidR="00826DFC" w:rsidRPr="00B32307" w14:paraId="709EE1BB"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65EAE0E4" w14:textId="77777777" w:rsidR="00826DFC" w:rsidRPr="00B32307" w:rsidRDefault="00826DFC">
            <w:pPr>
              <w:contextualSpacing/>
              <w:rPr>
                <w:bCs/>
                <w:sz w:val="22"/>
                <w:szCs w:val="22"/>
                <w:lang w:val="sr-Latn-RS"/>
              </w:rPr>
            </w:pPr>
            <w:r w:rsidRPr="00B32307">
              <w:rPr>
                <w:bCs/>
                <w:sz w:val="22"/>
                <w:szCs w:val="22"/>
                <w:lang w:val="sr-Latn-RS"/>
              </w:rPr>
              <w:t>Veoma česta</w:t>
            </w:r>
          </w:p>
        </w:tc>
        <w:tc>
          <w:tcPr>
            <w:tcW w:w="3233" w:type="dxa"/>
            <w:tcBorders>
              <w:top w:val="single" w:sz="4" w:space="0" w:color="auto"/>
              <w:left w:val="single" w:sz="4" w:space="0" w:color="auto"/>
              <w:bottom w:val="single" w:sz="4" w:space="0" w:color="auto"/>
              <w:right w:val="single" w:sz="4" w:space="0" w:color="auto"/>
            </w:tcBorders>
            <w:hideMark/>
          </w:tcPr>
          <w:p w14:paraId="7EC26FE7" w14:textId="77777777" w:rsidR="00826DFC" w:rsidRPr="00B32307" w:rsidRDefault="00826DFC">
            <w:pPr>
              <w:contextualSpacing/>
              <w:rPr>
                <w:bCs/>
                <w:sz w:val="22"/>
                <w:szCs w:val="22"/>
                <w:lang w:val="sr-Latn-RS"/>
              </w:rPr>
            </w:pPr>
            <w:r w:rsidRPr="00B32307">
              <w:rPr>
                <w:bCs/>
                <w:sz w:val="22"/>
                <w:szCs w:val="22"/>
                <w:lang w:val="sr-Latn-RS"/>
              </w:rPr>
              <w:t>Mučnina</w:t>
            </w:r>
          </w:p>
        </w:tc>
        <w:tc>
          <w:tcPr>
            <w:tcW w:w="3233" w:type="dxa"/>
            <w:tcBorders>
              <w:top w:val="single" w:sz="4" w:space="0" w:color="auto"/>
              <w:left w:val="single" w:sz="4" w:space="0" w:color="auto"/>
              <w:bottom w:val="single" w:sz="4" w:space="0" w:color="auto"/>
              <w:right w:val="single" w:sz="4" w:space="0" w:color="auto"/>
            </w:tcBorders>
            <w:hideMark/>
          </w:tcPr>
          <w:p w14:paraId="044BF266" w14:textId="77777777" w:rsidR="00826DFC" w:rsidRPr="00B32307" w:rsidRDefault="00826DFC">
            <w:pPr>
              <w:contextualSpacing/>
              <w:rPr>
                <w:bCs/>
                <w:sz w:val="22"/>
                <w:szCs w:val="22"/>
                <w:lang w:val="sr-Latn-RS"/>
              </w:rPr>
            </w:pPr>
            <w:r w:rsidRPr="00B32307">
              <w:rPr>
                <w:bCs/>
                <w:sz w:val="22"/>
                <w:szCs w:val="22"/>
                <w:lang w:val="sr-Latn-RS"/>
              </w:rPr>
              <w:t>Mučnina****</w:t>
            </w:r>
          </w:p>
        </w:tc>
      </w:tr>
      <w:tr w:rsidR="00826DFC" w:rsidRPr="00B32307" w14:paraId="3C6BAF05" w14:textId="77777777" w:rsidTr="00FC563B">
        <w:tc>
          <w:tcPr>
            <w:tcW w:w="3239" w:type="dxa"/>
            <w:vMerge w:val="restart"/>
            <w:tcBorders>
              <w:top w:val="single" w:sz="4" w:space="0" w:color="auto"/>
              <w:left w:val="single" w:sz="4" w:space="0" w:color="auto"/>
              <w:bottom w:val="single" w:sz="4" w:space="0" w:color="auto"/>
              <w:right w:val="single" w:sz="4" w:space="0" w:color="auto"/>
            </w:tcBorders>
            <w:hideMark/>
          </w:tcPr>
          <w:p w14:paraId="1A46C95C" w14:textId="77777777" w:rsidR="00826DFC" w:rsidRPr="00B32307" w:rsidRDefault="00826DFC">
            <w:pPr>
              <w:contextualSpacing/>
              <w:rPr>
                <w:bCs/>
                <w:sz w:val="22"/>
                <w:szCs w:val="22"/>
                <w:lang w:val="sr-Latn-RS"/>
              </w:rPr>
            </w:pPr>
            <w:r w:rsidRPr="00B32307">
              <w:rPr>
                <w:bCs/>
                <w:sz w:val="22"/>
                <w:szCs w:val="22"/>
                <w:lang w:val="sr-Latn-RS"/>
              </w:rPr>
              <w:t>Česta</w:t>
            </w:r>
          </w:p>
        </w:tc>
        <w:tc>
          <w:tcPr>
            <w:tcW w:w="6466" w:type="dxa"/>
            <w:gridSpan w:val="2"/>
            <w:tcBorders>
              <w:top w:val="single" w:sz="4" w:space="0" w:color="auto"/>
              <w:left w:val="single" w:sz="4" w:space="0" w:color="auto"/>
              <w:bottom w:val="single" w:sz="4" w:space="0" w:color="auto"/>
              <w:right w:val="single" w:sz="4" w:space="0" w:color="auto"/>
            </w:tcBorders>
            <w:hideMark/>
          </w:tcPr>
          <w:p w14:paraId="28A77CCE" w14:textId="77777777" w:rsidR="00826DFC" w:rsidRPr="00B32307" w:rsidRDefault="00826DFC">
            <w:pPr>
              <w:contextualSpacing/>
              <w:rPr>
                <w:bCs/>
                <w:sz w:val="22"/>
                <w:szCs w:val="22"/>
                <w:lang w:val="sr-Latn-RS"/>
              </w:rPr>
            </w:pPr>
            <w:r w:rsidRPr="00B32307">
              <w:rPr>
                <w:bCs/>
                <w:sz w:val="22"/>
                <w:szCs w:val="22"/>
                <w:lang w:val="sr-Latn-RS"/>
              </w:rPr>
              <w:t>Opstipacija, gorušica</w:t>
            </w:r>
          </w:p>
        </w:tc>
      </w:tr>
      <w:tr w:rsidR="00826DFC" w:rsidRPr="00B32307" w14:paraId="78FE595E" w14:textId="77777777" w:rsidTr="00FC563B">
        <w:tc>
          <w:tcPr>
            <w:tcW w:w="3239" w:type="dxa"/>
            <w:vMerge/>
            <w:tcBorders>
              <w:top w:val="single" w:sz="4" w:space="0" w:color="auto"/>
              <w:left w:val="single" w:sz="4" w:space="0" w:color="auto"/>
              <w:bottom w:val="single" w:sz="4" w:space="0" w:color="auto"/>
              <w:right w:val="single" w:sz="4" w:space="0" w:color="auto"/>
            </w:tcBorders>
            <w:vAlign w:val="center"/>
            <w:hideMark/>
          </w:tcPr>
          <w:p w14:paraId="0A2637E6" w14:textId="77777777" w:rsidR="00826DFC" w:rsidRPr="00B32307" w:rsidRDefault="00826DFC">
            <w:pPr>
              <w:spacing w:line="276" w:lineRule="auto"/>
              <w:rPr>
                <w:bCs/>
                <w:sz w:val="22"/>
                <w:szCs w:val="22"/>
                <w:lang w:val="sr-Latn-RS"/>
              </w:rPr>
            </w:pPr>
          </w:p>
        </w:tc>
        <w:tc>
          <w:tcPr>
            <w:tcW w:w="3233" w:type="dxa"/>
            <w:tcBorders>
              <w:top w:val="single" w:sz="4" w:space="0" w:color="auto"/>
              <w:left w:val="single" w:sz="4" w:space="0" w:color="auto"/>
              <w:bottom w:val="single" w:sz="4" w:space="0" w:color="auto"/>
              <w:right w:val="single" w:sz="4" w:space="0" w:color="auto"/>
            </w:tcBorders>
            <w:hideMark/>
          </w:tcPr>
          <w:p w14:paraId="773B274D" w14:textId="77777777" w:rsidR="00826DFC" w:rsidRPr="00B32307" w:rsidRDefault="00826DFC">
            <w:pPr>
              <w:contextualSpacing/>
              <w:rPr>
                <w:bCs/>
                <w:sz w:val="22"/>
                <w:szCs w:val="22"/>
                <w:lang w:val="sr-Latn-RS"/>
              </w:rPr>
            </w:pPr>
            <w:r w:rsidRPr="00B32307">
              <w:rPr>
                <w:bCs/>
                <w:sz w:val="22"/>
                <w:szCs w:val="22"/>
                <w:lang w:val="sr-Latn-RS"/>
              </w:rPr>
              <w:t>Povraćanje, abdominalni bol</w:t>
            </w:r>
          </w:p>
        </w:tc>
        <w:tc>
          <w:tcPr>
            <w:tcW w:w="3233" w:type="dxa"/>
            <w:tcBorders>
              <w:top w:val="single" w:sz="4" w:space="0" w:color="auto"/>
              <w:left w:val="single" w:sz="4" w:space="0" w:color="auto"/>
              <w:bottom w:val="single" w:sz="4" w:space="0" w:color="auto"/>
              <w:right w:val="single" w:sz="4" w:space="0" w:color="auto"/>
            </w:tcBorders>
          </w:tcPr>
          <w:p w14:paraId="335FB061" w14:textId="77777777" w:rsidR="00826DFC" w:rsidRPr="00B32307" w:rsidRDefault="00826DFC">
            <w:pPr>
              <w:contextualSpacing/>
              <w:rPr>
                <w:bCs/>
                <w:sz w:val="22"/>
                <w:szCs w:val="22"/>
                <w:highlight w:val="yellow"/>
                <w:lang w:val="sr-Latn-RS"/>
              </w:rPr>
            </w:pPr>
          </w:p>
        </w:tc>
      </w:tr>
      <w:tr w:rsidR="00826DFC" w:rsidRPr="00B32307" w14:paraId="27E04A8B" w14:textId="77777777" w:rsidTr="00FC563B">
        <w:tc>
          <w:tcPr>
            <w:tcW w:w="9705" w:type="dxa"/>
            <w:gridSpan w:val="3"/>
            <w:tcBorders>
              <w:top w:val="single" w:sz="4" w:space="0" w:color="auto"/>
              <w:left w:val="single" w:sz="4" w:space="0" w:color="auto"/>
              <w:bottom w:val="single" w:sz="4" w:space="0" w:color="auto"/>
              <w:right w:val="single" w:sz="4" w:space="0" w:color="auto"/>
            </w:tcBorders>
            <w:hideMark/>
          </w:tcPr>
          <w:p w14:paraId="50B76D13" w14:textId="63DBD1E4" w:rsidR="00826DFC" w:rsidRPr="00B32307" w:rsidRDefault="00826DFC">
            <w:pPr>
              <w:contextualSpacing/>
              <w:rPr>
                <w:bCs/>
                <w:i/>
                <w:sz w:val="22"/>
                <w:szCs w:val="22"/>
                <w:lang w:val="sr-Latn-RS"/>
              </w:rPr>
            </w:pPr>
            <w:r w:rsidRPr="00B32307">
              <w:rPr>
                <w:bCs/>
                <w:i/>
                <w:sz w:val="22"/>
                <w:szCs w:val="22"/>
                <w:lang w:val="sr-Latn-RS"/>
              </w:rPr>
              <w:t>Hepatobilijarni poremećaji</w:t>
            </w:r>
          </w:p>
        </w:tc>
      </w:tr>
      <w:tr w:rsidR="0031638E" w:rsidRPr="00B32307" w14:paraId="182BDF68" w14:textId="77777777" w:rsidTr="00FC563B">
        <w:tc>
          <w:tcPr>
            <w:tcW w:w="3239" w:type="dxa"/>
            <w:tcBorders>
              <w:top w:val="single" w:sz="4" w:space="0" w:color="auto"/>
              <w:left w:val="single" w:sz="4" w:space="0" w:color="auto"/>
              <w:bottom w:val="single" w:sz="4" w:space="0" w:color="auto"/>
              <w:right w:val="single" w:sz="4" w:space="0" w:color="auto"/>
            </w:tcBorders>
          </w:tcPr>
          <w:p w14:paraId="1756F357" w14:textId="10F2C97E" w:rsidR="0031638E" w:rsidRPr="00B32307" w:rsidRDefault="0031638E" w:rsidP="0031638E">
            <w:pPr>
              <w:contextualSpacing/>
              <w:rPr>
                <w:bCs/>
                <w:sz w:val="22"/>
                <w:szCs w:val="22"/>
                <w:lang w:val="sr-Latn-RS"/>
              </w:rPr>
            </w:pPr>
            <w:r w:rsidRPr="00B32307">
              <w:rPr>
                <w:bCs/>
                <w:sz w:val="22"/>
                <w:szCs w:val="22"/>
                <w:lang w:val="sr-Latn-RS"/>
              </w:rPr>
              <w:t>Nepoznata</w:t>
            </w:r>
          </w:p>
        </w:tc>
        <w:tc>
          <w:tcPr>
            <w:tcW w:w="6466" w:type="dxa"/>
            <w:gridSpan w:val="2"/>
            <w:tcBorders>
              <w:top w:val="single" w:sz="4" w:space="0" w:color="auto"/>
              <w:left w:val="single" w:sz="4" w:space="0" w:color="auto"/>
              <w:bottom w:val="single" w:sz="4" w:space="0" w:color="auto"/>
              <w:right w:val="single" w:sz="4" w:space="0" w:color="auto"/>
            </w:tcBorders>
          </w:tcPr>
          <w:p w14:paraId="7DC20AF9" w14:textId="4D28B346" w:rsidR="0031638E" w:rsidRPr="00B32307" w:rsidRDefault="0031638E" w:rsidP="0031638E">
            <w:pPr>
              <w:contextualSpacing/>
              <w:rPr>
                <w:bCs/>
                <w:sz w:val="22"/>
                <w:szCs w:val="22"/>
                <w:lang w:val="sr-Latn-RS"/>
              </w:rPr>
            </w:pPr>
            <w:r w:rsidRPr="00B32307">
              <w:rPr>
                <w:bCs/>
                <w:sz w:val="22"/>
                <w:szCs w:val="22"/>
                <w:lang w:val="sr-Latn-RS"/>
              </w:rPr>
              <w:t>Hepatičke reakcije, uglavnom porast vrijednosti enzima jetre</w:t>
            </w:r>
          </w:p>
        </w:tc>
      </w:tr>
      <w:tr w:rsidR="0031638E" w:rsidRPr="00B32307" w14:paraId="6FB8842C" w14:textId="77777777" w:rsidTr="00574E44">
        <w:tc>
          <w:tcPr>
            <w:tcW w:w="9705" w:type="dxa"/>
            <w:gridSpan w:val="3"/>
            <w:tcBorders>
              <w:top w:val="single" w:sz="4" w:space="0" w:color="auto"/>
              <w:left w:val="single" w:sz="4" w:space="0" w:color="auto"/>
              <w:bottom w:val="single" w:sz="4" w:space="0" w:color="auto"/>
              <w:right w:val="single" w:sz="4" w:space="0" w:color="auto"/>
            </w:tcBorders>
          </w:tcPr>
          <w:p w14:paraId="1F4D335F" w14:textId="47C602F4" w:rsidR="0031638E" w:rsidRPr="00B32307" w:rsidRDefault="0031638E">
            <w:pPr>
              <w:contextualSpacing/>
              <w:rPr>
                <w:bCs/>
                <w:i/>
                <w:iCs/>
                <w:sz w:val="22"/>
                <w:szCs w:val="22"/>
                <w:lang w:val="sr-Latn-RS"/>
              </w:rPr>
            </w:pPr>
            <w:r w:rsidRPr="00B32307">
              <w:rPr>
                <w:bCs/>
                <w:i/>
                <w:iCs/>
                <w:sz w:val="22"/>
                <w:szCs w:val="22"/>
                <w:lang w:val="sr-Latn-RS"/>
              </w:rPr>
              <w:t>Poremećaji reproduktivnog sistema i dojki</w:t>
            </w:r>
          </w:p>
        </w:tc>
      </w:tr>
      <w:tr w:rsidR="00826DFC" w:rsidRPr="00B32307" w14:paraId="79902310" w14:textId="77777777" w:rsidTr="0026646E">
        <w:tc>
          <w:tcPr>
            <w:tcW w:w="3239" w:type="dxa"/>
            <w:tcBorders>
              <w:top w:val="single" w:sz="4" w:space="0" w:color="auto"/>
              <w:left w:val="single" w:sz="4" w:space="0" w:color="auto"/>
              <w:bottom w:val="single" w:sz="4" w:space="0" w:color="auto"/>
              <w:right w:val="single" w:sz="4" w:space="0" w:color="auto"/>
            </w:tcBorders>
          </w:tcPr>
          <w:p w14:paraId="62988BC3" w14:textId="7AB4E9C3" w:rsidR="00826DFC" w:rsidRPr="00B32307" w:rsidRDefault="0031638E">
            <w:pPr>
              <w:contextualSpacing/>
              <w:rPr>
                <w:bCs/>
                <w:sz w:val="22"/>
                <w:szCs w:val="22"/>
                <w:lang w:val="sr-Latn-RS"/>
              </w:rPr>
            </w:pPr>
            <w:r w:rsidRPr="00B32307">
              <w:rPr>
                <w:bCs/>
                <w:sz w:val="22"/>
                <w:szCs w:val="22"/>
                <w:lang w:val="sr-Latn-RS"/>
              </w:rPr>
              <w:t>Nepoznato</w:t>
            </w:r>
          </w:p>
        </w:tc>
        <w:tc>
          <w:tcPr>
            <w:tcW w:w="6466" w:type="dxa"/>
            <w:gridSpan w:val="2"/>
            <w:tcBorders>
              <w:top w:val="single" w:sz="4" w:space="0" w:color="auto"/>
              <w:left w:val="single" w:sz="4" w:space="0" w:color="auto"/>
              <w:bottom w:val="single" w:sz="4" w:space="0" w:color="auto"/>
              <w:right w:val="single" w:sz="4" w:space="0" w:color="auto"/>
            </w:tcBorders>
          </w:tcPr>
          <w:p w14:paraId="1136ACCE" w14:textId="5372F3CB" w:rsidR="00826DFC" w:rsidRPr="00B32307" w:rsidRDefault="0031638E">
            <w:pPr>
              <w:contextualSpacing/>
              <w:rPr>
                <w:bCs/>
                <w:sz w:val="22"/>
                <w:szCs w:val="22"/>
                <w:lang w:val="sr-Latn-RS"/>
              </w:rPr>
            </w:pPr>
            <w:r w:rsidRPr="00B32307">
              <w:rPr>
                <w:bCs/>
                <w:sz w:val="22"/>
                <w:szCs w:val="22"/>
                <w:lang w:val="sr-Latn-RS"/>
              </w:rPr>
              <w:t>Spontana erekcija penisa</w:t>
            </w:r>
          </w:p>
        </w:tc>
      </w:tr>
      <w:tr w:rsidR="00826DFC" w:rsidRPr="00B32307" w14:paraId="32616D7A" w14:textId="77777777" w:rsidTr="00FC563B">
        <w:tc>
          <w:tcPr>
            <w:tcW w:w="9705" w:type="dxa"/>
            <w:gridSpan w:val="3"/>
            <w:tcBorders>
              <w:top w:val="single" w:sz="4" w:space="0" w:color="auto"/>
              <w:left w:val="single" w:sz="4" w:space="0" w:color="auto"/>
              <w:bottom w:val="single" w:sz="4" w:space="0" w:color="auto"/>
              <w:right w:val="single" w:sz="4" w:space="0" w:color="auto"/>
            </w:tcBorders>
            <w:hideMark/>
          </w:tcPr>
          <w:p w14:paraId="299E20EA" w14:textId="77777777" w:rsidR="00826DFC" w:rsidRPr="00B32307" w:rsidRDefault="00826DFC">
            <w:pPr>
              <w:contextualSpacing/>
              <w:rPr>
                <w:bCs/>
                <w:i/>
                <w:sz w:val="22"/>
                <w:szCs w:val="22"/>
                <w:lang w:val="sr-Latn-RS"/>
              </w:rPr>
            </w:pPr>
            <w:r w:rsidRPr="00B32307">
              <w:rPr>
                <w:bCs/>
                <w:i/>
                <w:sz w:val="22"/>
                <w:szCs w:val="22"/>
                <w:lang w:val="sr-Latn-RS"/>
              </w:rPr>
              <w:lastRenderedPageBreak/>
              <w:t>Opšti poremećaji i reakcije na mjestu primjene</w:t>
            </w:r>
          </w:p>
        </w:tc>
      </w:tr>
      <w:tr w:rsidR="00826DFC" w:rsidRPr="00B32307" w14:paraId="168EAA5B" w14:textId="77777777" w:rsidTr="00FC563B">
        <w:tc>
          <w:tcPr>
            <w:tcW w:w="3239" w:type="dxa"/>
            <w:vMerge w:val="restart"/>
            <w:tcBorders>
              <w:top w:val="single" w:sz="4" w:space="0" w:color="auto"/>
              <w:left w:val="single" w:sz="4" w:space="0" w:color="auto"/>
              <w:bottom w:val="single" w:sz="4" w:space="0" w:color="auto"/>
              <w:right w:val="single" w:sz="4" w:space="0" w:color="auto"/>
            </w:tcBorders>
            <w:hideMark/>
          </w:tcPr>
          <w:p w14:paraId="5EB1AB33" w14:textId="77777777" w:rsidR="00826DFC" w:rsidRPr="00B32307" w:rsidRDefault="00826DFC">
            <w:pPr>
              <w:contextualSpacing/>
              <w:rPr>
                <w:bCs/>
                <w:sz w:val="22"/>
                <w:szCs w:val="22"/>
                <w:lang w:val="sr-Latn-RS"/>
              </w:rPr>
            </w:pPr>
            <w:r w:rsidRPr="00B32307">
              <w:rPr>
                <w:bCs/>
                <w:sz w:val="22"/>
                <w:szCs w:val="22"/>
                <w:lang w:val="sr-Latn-RS"/>
              </w:rPr>
              <w:t>Česta</w:t>
            </w:r>
          </w:p>
        </w:tc>
        <w:tc>
          <w:tcPr>
            <w:tcW w:w="6466" w:type="dxa"/>
            <w:gridSpan w:val="2"/>
            <w:tcBorders>
              <w:top w:val="single" w:sz="4" w:space="0" w:color="auto"/>
              <w:left w:val="single" w:sz="4" w:space="0" w:color="auto"/>
              <w:bottom w:val="single" w:sz="4" w:space="0" w:color="auto"/>
              <w:right w:val="single" w:sz="4" w:space="0" w:color="auto"/>
            </w:tcBorders>
            <w:hideMark/>
          </w:tcPr>
          <w:p w14:paraId="6101A11C" w14:textId="77777777" w:rsidR="00826DFC" w:rsidRPr="00B32307" w:rsidRDefault="00826DFC">
            <w:pPr>
              <w:contextualSpacing/>
              <w:rPr>
                <w:bCs/>
                <w:sz w:val="22"/>
                <w:szCs w:val="22"/>
                <w:lang w:val="sr-Latn-RS"/>
              </w:rPr>
            </w:pPr>
            <w:r w:rsidRPr="00B32307">
              <w:rPr>
                <w:bCs/>
                <w:sz w:val="22"/>
                <w:szCs w:val="22"/>
                <w:lang w:val="sr-Latn-RS"/>
              </w:rPr>
              <w:t>Periferni edemi</w:t>
            </w:r>
          </w:p>
        </w:tc>
      </w:tr>
      <w:tr w:rsidR="00826DFC" w:rsidRPr="00B32307" w14:paraId="534E7E17" w14:textId="77777777" w:rsidTr="00FC563B">
        <w:tc>
          <w:tcPr>
            <w:tcW w:w="3239" w:type="dxa"/>
            <w:vMerge/>
            <w:tcBorders>
              <w:top w:val="single" w:sz="4" w:space="0" w:color="auto"/>
              <w:left w:val="single" w:sz="4" w:space="0" w:color="auto"/>
              <w:bottom w:val="single" w:sz="4" w:space="0" w:color="auto"/>
              <w:right w:val="single" w:sz="4" w:space="0" w:color="auto"/>
            </w:tcBorders>
            <w:vAlign w:val="center"/>
            <w:hideMark/>
          </w:tcPr>
          <w:p w14:paraId="7A2A3035" w14:textId="77777777" w:rsidR="00826DFC" w:rsidRPr="00B32307" w:rsidRDefault="00826DFC">
            <w:pPr>
              <w:spacing w:line="276" w:lineRule="auto"/>
              <w:rPr>
                <w:bCs/>
                <w:sz w:val="22"/>
                <w:szCs w:val="22"/>
                <w:lang w:val="sr-Latn-RS"/>
              </w:rPr>
            </w:pPr>
          </w:p>
        </w:tc>
        <w:tc>
          <w:tcPr>
            <w:tcW w:w="3233" w:type="dxa"/>
            <w:tcBorders>
              <w:top w:val="single" w:sz="4" w:space="0" w:color="auto"/>
              <w:left w:val="single" w:sz="4" w:space="0" w:color="auto"/>
              <w:bottom w:val="single" w:sz="4" w:space="0" w:color="auto"/>
              <w:right w:val="single" w:sz="4" w:space="0" w:color="auto"/>
            </w:tcBorders>
            <w:hideMark/>
          </w:tcPr>
          <w:p w14:paraId="3F886893" w14:textId="77777777" w:rsidR="00826DFC" w:rsidRPr="00B32307" w:rsidRDefault="00826DFC">
            <w:pPr>
              <w:contextualSpacing/>
              <w:rPr>
                <w:bCs/>
                <w:sz w:val="22"/>
                <w:szCs w:val="22"/>
                <w:lang w:val="sr-Latn-RS"/>
              </w:rPr>
            </w:pPr>
            <w:r w:rsidRPr="00B32307">
              <w:rPr>
                <w:bCs/>
                <w:sz w:val="22"/>
                <w:szCs w:val="22"/>
                <w:lang w:val="sr-Latn-RS"/>
              </w:rPr>
              <w:t>Otok nogu</w:t>
            </w:r>
          </w:p>
        </w:tc>
        <w:tc>
          <w:tcPr>
            <w:tcW w:w="3233" w:type="dxa"/>
            <w:tcBorders>
              <w:top w:val="single" w:sz="4" w:space="0" w:color="auto"/>
              <w:left w:val="single" w:sz="4" w:space="0" w:color="auto"/>
              <w:bottom w:val="single" w:sz="4" w:space="0" w:color="auto"/>
              <w:right w:val="single" w:sz="4" w:space="0" w:color="auto"/>
            </w:tcBorders>
          </w:tcPr>
          <w:p w14:paraId="6F20AB09" w14:textId="77777777" w:rsidR="00826DFC" w:rsidRPr="00B32307" w:rsidRDefault="00826DFC">
            <w:pPr>
              <w:contextualSpacing/>
              <w:rPr>
                <w:bCs/>
                <w:sz w:val="22"/>
                <w:szCs w:val="22"/>
                <w:highlight w:val="yellow"/>
                <w:lang w:val="sr-Latn-RS"/>
              </w:rPr>
            </w:pPr>
          </w:p>
        </w:tc>
      </w:tr>
      <w:tr w:rsidR="00826DFC" w:rsidRPr="00B32307" w14:paraId="51351190" w14:textId="77777777" w:rsidTr="00FC563B">
        <w:tc>
          <w:tcPr>
            <w:tcW w:w="3239" w:type="dxa"/>
            <w:tcBorders>
              <w:top w:val="single" w:sz="4" w:space="0" w:color="auto"/>
              <w:left w:val="single" w:sz="4" w:space="0" w:color="auto"/>
              <w:bottom w:val="single" w:sz="4" w:space="0" w:color="auto"/>
              <w:right w:val="single" w:sz="4" w:space="0" w:color="auto"/>
            </w:tcBorders>
            <w:hideMark/>
          </w:tcPr>
          <w:p w14:paraId="05482215" w14:textId="77777777" w:rsidR="00826DFC" w:rsidRPr="00B32307" w:rsidRDefault="00826DFC">
            <w:pPr>
              <w:contextualSpacing/>
              <w:rPr>
                <w:bCs/>
                <w:sz w:val="22"/>
                <w:szCs w:val="22"/>
                <w:lang w:val="sr-Latn-RS"/>
              </w:rPr>
            </w:pPr>
            <w:r w:rsidRPr="00B32307">
              <w:rPr>
                <w:bCs/>
                <w:sz w:val="22"/>
                <w:szCs w:val="22"/>
                <w:lang w:val="sr-Latn-RS"/>
              </w:rPr>
              <w:t>Nepoznata</w:t>
            </w:r>
          </w:p>
        </w:tc>
        <w:tc>
          <w:tcPr>
            <w:tcW w:w="6466" w:type="dxa"/>
            <w:gridSpan w:val="2"/>
            <w:tcBorders>
              <w:top w:val="single" w:sz="4" w:space="0" w:color="auto"/>
              <w:left w:val="single" w:sz="4" w:space="0" w:color="auto"/>
              <w:bottom w:val="single" w:sz="4" w:space="0" w:color="auto"/>
              <w:right w:val="single" w:sz="4" w:space="0" w:color="auto"/>
            </w:tcBorders>
          </w:tcPr>
          <w:p w14:paraId="3B503E6B" w14:textId="77777777" w:rsidR="00826DFC" w:rsidRPr="00B32307" w:rsidRDefault="00826DFC">
            <w:pPr>
              <w:rPr>
                <w:bCs/>
                <w:sz w:val="22"/>
                <w:szCs w:val="22"/>
                <w:u w:val="single"/>
                <w:lang w:val="sr-Latn-RS"/>
              </w:rPr>
            </w:pPr>
            <w:r w:rsidRPr="00B32307">
              <w:rPr>
                <w:bCs/>
                <w:sz w:val="22"/>
                <w:szCs w:val="22"/>
                <w:u w:val="single"/>
                <w:lang w:val="sr-Latn-RS"/>
              </w:rPr>
              <w:t>Sindrom obustave agonista dopamina (</w:t>
            </w:r>
            <w:r w:rsidRPr="00B32307">
              <w:rPr>
                <w:bCs/>
                <w:sz w:val="22"/>
                <w:szCs w:val="22"/>
                <w:lang w:val="sr-Latn-RS"/>
              </w:rPr>
              <w:t>uključuje pojavu apatije, anksioznosti, depresije, umora, preznojavanja i bola)*****</w:t>
            </w:r>
          </w:p>
          <w:p w14:paraId="107770F5" w14:textId="77777777" w:rsidR="00826DFC" w:rsidRPr="00B32307" w:rsidRDefault="00826DFC">
            <w:pPr>
              <w:contextualSpacing/>
              <w:rPr>
                <w:bCs/>
                <w:sz w:val="22"/>
                <w:szCs w:val="22"/>
                <w:lang w:val="sr-Latn-RS"/>
              </w:rPr>
            </w:pPr>
          </w:p>
        </w:tc>
      </w:tr>
    </w:tbl>
    <w:p w14:paraId="7BEFA1BE" w14:textId="77777777" w:rsidR="00826DFC" w:rsidRPr="00B32307" w:rsidRDefault="00826DFC" w:rsidP="00826DFC">
      <w:pPr>
        <w:contextualSpacing/>
        <w:rPr>
          <w:bCs/>
          <w:i/>
          <w:sz w:val="22"/>
          <w:szCs w:val="22"/>
          <w:lang w:val="sr-Latn-RS"/>
        </w:rPr>
      </w:pPr>
      <w:r w:rsidRPr="00B32307">
        <w:rPr>
          <w:bCs/>
          <w:i/>
          <w:sz w:val="22"/>
          <w:szCs w:val="22"/>
          <w:lang w:val="sr-Latn-RS"/>
        </w:rPr>
        <w:t>* Agresivno ponašanje je bilo udruženo sa psihotičnim reakcijama, kao i sa simptomima kompulsivnog ponašanja.</w:t>
      </w:r>
    </w:p>
    <w:p w14:paraId="331CED76" w14:textId="77777777" w:rsidR="00826DFC" w:rsidRPr="00B32307" w:rsidRDefault="00826DFC" w:rsidP="00826DFC">
      <w:pPr>
        <w:contextualSpacing/>
        <w:jc w:val="both"/>
        <w:rPr>
          <w:bCs/>
          <w:i/>
          <w:sz w:val="22"/>
          <w:szCs w:val="22"/>
          <w:lang w:val="sr-Latn-RS"/>
        </w:rPr>
      </w:pPr>
      <w:r w:rsidRPr="00B32307">
        <w:rPr>
          <w:bCs/>
          <w:i/>
          <w:sz w:val="22"/>
          <w:szCs w:val="22"/>
          <w:lang w:val="sr-Latn-RS"/>
        </w:rPr>
        <w:t>** Somnolencija je bila prijavljena veoma često u okviru kliničkih ispitivanja primjene adjuvantne terapije uz primjenu film tableta sa trenutnim oslobađanjem, a često u okviru kliničkih ispitivanja primjene adjuvantne terapije uz primjenu tableta sa produženim oslobađanjem.</w:t>
      </w:r>
    </w:p>
    <w:p w14:paraId="77CE9005" w14:textId="1D4CE8BC" w:rsidR="00826DFC" w:rsidRPr="00B32307" w:rsidRDefault="00826DFC" w:rsidP="00826DFC">
      <w:pPr>
        <w:contextualSpacing/>
        <w:jc w:val="both"/>
        <w:rPr>
          <w:bCs/>
          <w:i/>
          <w:sz w:val="22"/>
          <w:szCs w:val="22"/>
          <w:lang w:val="sr-Latn-RS"/>
        </w:rPr>
      </w:pPr>
      <w:r w:rsidRPr="00B32307">
        <w:rPr>
          <w:bCs/>
          <w:i/>
          <w:sz w:val="22"/>
          <w:szCs w:val="22"/>
          <w:lang w:val="sr-Latn-RS"/>
        </w:rPr>
        <w:t>***</w:t>
      </w:r>
      <w:r w:rsidRPr="00B32307">
        <w:rPr>
          <w:sz w:val="22"/>
          <w:szCs w:val="22"/>
          <w:lang w:val="sr-Latn-RS"/>
        </w:rPr>
        <w:t xml:space="preserve"> </w:t>
      </w:r>
      <w:r w:rsidRPr="00B32307">
        <w:rPr>
          <w:bCs/>
          <w:i/>
          <w:sz w:val="22"/>
          <w:szCs w:val="22"/>
          <w:lang w:val="sr-Latn-RS"/>
        </w:rPr>
        <w:t xml:space="preserve">Kod pacijenata sa uznapredovalom Parkinsonovom bolešću, može se javiti diskinezija pri inicijalnoj titraciji doze ropinirola. U okviru kliničkih ispitivanja pokazano je da smanjenje doze levodope može dovesti do ublažavanja diskinezije (vidjeti </w:t>
      </w:r>
      <w:r w:rsidR="00AE48A4" w:rsidRPr="00B32307">
        <w:rPr>
          <w:bCs/>
          <w:i/>
          <w:sz w:val="22"/>
          <w:szCs w:val="22"/>
          <w:lang w:val="sr-Latn-RS"/>
        </w:rPr>
        <w:t>dio</w:t>
      </w:r>
      <w:r w:rsidRPr="00B32307">
        <w:rPr>
          <w:bCs/>
          <w:i/>
          <w:sz w:val="22"/>
          <w:szCs w:val="22"/>
          <w:lang w:val="sr-Latn-RS"/>
        </w:rPr>
        <w:t xml:space="preserve"> 4.2.).</w:t>
      </w:r>
    </w:p>
    <w:p w14:paraId="4A780CF2" w14:textId="77777777" w:rsidR="00826DFC" w:rsidRPr="00B32307" w:rsidRDefault="00826DFC" w:rsidP="00826DFC">
      <w:pPr>
        <w:contextualSpacing/>
        <w:jc w:val="both"/>
        <w:rPr>
          <w:bCs/>
          <w:i/>
          <w:sz w:val="22"/>
          <w:szCs w:val="22"/>
          <w:lang w:val="sr-Latn-RS"/>
        </w:rPr>
      </w:pPr>
      <w:r w:rsidRPr="00B32307">
        <w:rPr>
          <w:bCs/>
          <w:i/>
          <w:sz w:val="22"/>
          <w:szCs w:val="22"/>
          <w:lang w:val="sr-Latn-RS"/>
        </w:rPr>
        <w:t>**** Mučnina je bila prijavljena veoma često u okviru kliničkih ispitivanja primjene adjuvantne terapije uz primjenu film tableta trenutnim oslobađanjem, a često u okviru kliničkih ispitivanja primjene adjuvantne terapije uz primjenu tableta sa produženim oslobađanjem.</w:t>
      </w:r>
    </w:p>
    <w:p w14:paraId="7A9586F0" w14:textId="6F56B418" w:rsidR="00826DFC" w:rsidRPr="00B32307" w:rsidRDefault="00826DFC" w:rsidP="00826DFC">
      <w:pPr>
        <w:rPr>
          <w:bCs/>
          <w:i/>
          <w:sz w:val="22"/>
          <w:szCs w:val="22"/>
          <w:lang w:val="sr-Latn-RS"/>
        </w:rPr>
      </w:pPr>
      <w:r w:rsidRPr="00B32307">
        <w:rPr>
          <w:bCs/>
          <w:i/>
          <w:sz w:val="22"/>
          <w:szCs w:val="22"/>
          <w:lang w:val="sr-Latn-RS"/>
        </w:rPr>
        <w:t>*****</w:t>
      </w:r>
      <w:r w:rsidRPr="00B32307">
        <w:rPr>
          <w:bCs/>
          <w:sz w:val="22"/>
          <w:szCs w:val="22"/>
          <w:lang w:val="sr-Latn-RS"/>
        </w:rPr>
        <w:t xml:space="preserve"> </w:t>
      </w:r>
      <w:r w:rsidRPr="00B32307">
        <w:rPr>
          <w:bCs/>
          <w:i/>
          <w:sz w:val="22"/>
          <w:szCs w:val="22"/>
          <w:lang w:val="sr-Latn-RS"/>
        </w:rPr>
        <w:t xml:space="preserve">Prilikom smanjenja doze ili obustave primjene agonista dopamina, uključujući i ropirinol, mogu se javiti ne-motorna neželjena dejstva (vidjeti </w:t>
      </w:r>
      <w:r w:rsidR="00AE48A4" w:rsidRPr="00B32307">
        <w:rPr>
          <w:bCs/>
          <w:i/>
          <w:sz w:val="22"/>
          <w:szCs w:val="22"/>
          <w:lang w:val="sr-Latn-RS"/>
        </w:rPr>
        <w:t>dio</w:t>
      </w:r>
      <w:r w:rsidRPr="00B32307">
        <w:rPr>
          <w:bCs/>
          <w:i/>
          <w:sz w:val="22"/>
          <w:szCs w:val="22"/>
          <w:lang w:val="sr-Latn-RS"/>
        </w:rPr>
        <w:t xml:space="preserve"> 4.4).</w:t>
      </w:r>
    </w:p>
    <w:p w14:paraId="55669C06" w14:textId="77777777" w:rsidR="00826DFC" w:rsidRPr="00B32307" w:rsidRDefault="00826DFC" w:rsidP="00A46C9A">
      <w:pPr>
        <w:spacing w:after="200" w:line="276" w:lineRule="auto"/>
        <w:rPr>
          <w:rFonts w:eastAsia="Calibri"/>
          <w:sz w:val="22"/>
          <w:szCs w:val="22"/>
          <w:u w:val="single"/>
          <w:lang w:val="sr-Latn-RS"/>
        </w:rPr>
      </w:pPr>
    </w:p>
    <w:p w14:paraId="12D64676" w14:textId="77777777" w:rsidR="00C6357D" w:rsidRPr="00B32307" w:rsidRDefault="00C6357D" w:rsidP="00C6357D">
      <w:pPr>
        <w:spacing w:after="200" w:line="276" w:lineRule="auto"/>
        <w:rPr>
          <w:rFonts w:eastAsia="Calibri"/>
          <w:sz w:val="22"/>
          <w:szCs w:val="22"/>
          <w:u w:val="single"/>
          <w:lang w:val="sr-Latn-RS"/>
        </w:rPr>
      </w:pPr>
      <w:r w:rsidRPr="00B32307">
        <w:rPr>
          <w:rFonts w:eastAsia="Calibri"/>
          <w:sz w:val="22"/>
          <w:szCs w:val="22"/>
          <w:u w:val="single"/>
          <w:lang w:val="sr-Latn-RS"/>
        </w:rPr>
        <w:t>Prijavljivanje sumnji na neželjena dejstva</w:t>
      </w:r>
    </w:p>
    <w:p w14:paraId="4159CF5E" w14:textId="77777777" w:rsidR="00C6357D" w:rsidRPr="00B32307" w:rsidRDefault="00C6357D" w:rsidP="00C6357D">
      <w:pPr>
        <w:spacing w:after="200"/>
        <w:jc w:val="both"/>
        <w:rPr>
          <w:rFonts w:eastAsia="Calibri"/>
          <w:sz w:val="22"/>
          <w:szCs w:val="22"/>
          <w:lang w:val="sr-Latn-RS"/>
        </w:rPr>
      </w:pPr>
      <w:r w:rsidRPr="00B32307">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D753353" w14:textId="77777777" w:rsidR="00C6357D" w:rsidRPr="00B32307" w:rsidRDefault="00C6357D" w:rsidP="00C6357D">
      <w:pPr>
        <w:pStyle w:val="NoSpacing"/>
        <w:jc w:val="both"/>
        <w:rPr>
          <w:rFonts w:eastAsia="Calibri"/>
          <w:sz w:val="22"/>
          <w:szCs w:val="22"/>
          <w:lang w:val="sr-Latn-RS"/>
        </w:rPr>
      </w:pPr>
      <w:r w:rsidRPr="00B32307">
        <w:rPr>
          <w:rFonts w:eastAsia="Calibri"/>
          <w:sz w:val="22"/>
          <w:szCs w:val="22"/>
          <w:lang w:val="sr-Latn-RS"/>
        </w:rPr>
        <w:t xml:space="preserve">Institut za ljekove i medicinska sredstva </w:t>
      </w:r>
    </w:p>
    <w:p w14:paraId="043EB965" w14:textId="77777777" w:rsidR="00C6357D" w:rsidRPr="00B32307" w:rsidRDefault="00C6357D" w:rsidP="00C6357D">
      <w:pPr>
        <w:pStyle w:val="NoSpacing"/>
        <w:jc w:val="both"/>
        <w:rPr>
          <w:rFonts w:eastAsia="Calibri"/>
          <w:sz w:val="22"/>
          <w:szCs w:val="22"/>
          <w:lang w:val="sr-Latn-RS"/>
        </w:rPr>
      </w:pPr>
      <w:r w:rsidRPr="00B32307">
        <w:rPr>
          <w:rFonts w:eastAsia="Calibri"/>
          <w:sz w:val="22"/>
          <w:szCs w:val="22"/>
          <w:lang w:val="sr-Latn-RS"/>
        </w:rPr>
        <w:t>Odjeljenje za farmakovigilancu</w:t>
      </w:r>
    </w:p>
    <w:p w14:paraId="755AFAAE" w14:textId="77777777" w:rsidR="00C6357D" w:rsidRPr="00B32307" w:rsidRDefault="00C6357D" w:rsidP="00C6357D">
      <w:pPr>
        <w:pStyle w:val="NoSpacing"/>
        <w:jc w:val="both"/>
        <w:rPr>
          <w:rFonts w:eastAsia="Calibri"/>
          <w:sz w:val="22"/>
          <w:szCs w:val="22"/>
          <w:lang w:val="sr-Latn-RS"/>
        </w:rPr>
      </w:pPr>
      <w:r w:rsidRPr="00B32307">
        <w:rPr>
          <w:rFonts w:eastAsia="Calibri"/>
          <w:sz w:val="22"/>
          <w:szCs w:val="22"/>
          <w:lang w:val="sr-Latn-RS"/>
        </w:rPr>
        <w:t>Bulevar Ivana Crnojevića 64a, 81000 Podgorica</w:t>
      </w:r>
    </w:p>
    <w:p w14:paraId="3E4FDEBF" w14:textId="77777777" w:rsidR="00C6357D" w:rsidRPr="00B32307" w:rsidRDefault="00C6357D" w:rsidP="00C6357D">
      <w:pPr>
        <w:pStyle w:val="NoSpacing"/>
        <w:rPr>
          <w:rFonts w:eastAsia="Calibri"/>
          <w:sz w:val="22"/>
          <w:szCs w:val="22"/>
          <w:lang w:val="sr-Latn-RS"/>
        </w:rPr>
      </w:pPr>
    </w:p>
    <w:p w14:paraId="192110D8" w14:textId="77777777" w:rsidR="00C6357D" w:rsidRPr="00B32307" w:rsidRDefault="00C6357D" w:rsidP="00C6357D">
      <w:pPr>
        <w:pStyle w:val="NoSpacing"/>
        <w:jc w:val="both"/>
        <w:rPr>
          <w:rFonts w:eastAsia="Calibri"/>
          <w:sz w:val="22"/>
          <w:szCs w:val="22"/>
          <w:lang w:val="sr-Latn-RS"/>
        </w:rPr>
      </w:pPr>
      <w:r w:rsidRPr="00B32307">
        <w:rPr>
          <w:rFonts w:eastAsia="Calibri"/>
          <w:sz w:val="22"/>
          <w:szCs w:val="22"/>
          <w:lang w:val="sr-Latn-RS"/>
        </w:rPr>
        <w:t>tel: +382 (0) 20 310 280</w:t>
      </w:r>
    </w:p>
    <w:p w14:paraId="248FDE93" w14:textId="77777777" w:rsidR="00C6357D" w:rsidRPr="00B32307" w:rsidRDefault="00C6357D" w:rsidP="00C6357D">
      <w:pPr>
        <w:pStyle w:val="NoSpacing"/>
        <w:jc w:val="both"/>
        <w:rPr>
          <w:rFonts w:eastAsia="Calibri"/>
          <w:sz w:val="22"/>
          <w:szCs w:val="22"/>
          <w:lang w:val="sr-Latn-RS"/>
        </w:rPr>
      </w:pPr>
      <w:r w:rsidRPr="00B32307">
        <w:rPr>
          <w:rFonts w:eastAsia="Calibri"/>
          <w:sz w:val="22"/>
          <w:szCs w:val="22"/>
          <w:lang w:val="sr-Latn-RS"/>
        </w:rPr>
        <w:t>fax: +382 (0) 20 310 581</w:t>
      </w:r>
    </w:p>
    <w:p w14:paraId="3E5A7868" w14:textId="77777777" w:rsidR="00C6357D" w:rsidRPr="00B32307" w:rsidRDefault="004B33CA" w:rsidP="00C6357D">
      <w:pPr>
        <w:pStyle w:val="NoSpacing"/>
        <w:jc w:val="both"/>
        <w:rPr>
          <w:rFonts w:eastAsia="Calibri"/>
          <w:sz w:val="22"/>
          <w:szCs w:val="22"/>
          <w:lang w:val="sr-Latn-RS"/>
        </w:rPr>
      </w:pPr>
      <w:hyperlink r:id="rId8" w:history="1">
        <w:r w:rsidR="00C6357D" w:rsidRPr="00B32307">
          <w:rPr>
            <w:rStyle w:val="Hyperlink"/>
            <w:rFonts w:eastAsia="Calibri"/>
            <w:sz w:val="22"/>
            <w:szCs w:val="22"/>
            <w:lang w:val="sr-Latn-RS"/>
          </w:rPr>
          <w:t>www.cinmed.me</w:t>
        </w:r>
      </w:hyperlink>
    </w:p>
    <w:p w14:paraId="2FCA00CE" w14:textId="77777777" w:rsidR="00C6357D" w:rsidRPr="00B32307" w:rsidRDefault="004B33CA" w:rsidP="00C6357D">
      <w:pPr>
        <w:pStyle w:val="NoSpacing"/>
        <w:jc w:val="both"/>
        <w:rPr>
          <w:rFonts w:eastAsia="Calibri"/>
          <w:color w:val="0000FF"/>
          <w:sz w:val="22"/>
          <w:szCs w:val="22"/>
          <w:u w:val="single"/>
          <w:lang w:val="sr-Latn-RS"/>
        </w:rPr>
      </w:pPr>
      <w:hyperlink r:id="rId9" w:history="1">
        <w:r w:rsidR="00C6357D" w:rsidRPr="00B32307">
          <w:rPr>
            <w:rStyle w:val="Hyperlink"/>
            <w:rFonts w:eastAsia="Calibri"/>
            <w:sz w:val="22"/>
            <w:szCs w:val="22"/>
            <w:lang w:val="sr-Latn-RS"/>
          </w:rPr>
          <w:t>nezeljenadejstva@cinmed.me</w:t>
        </w:r>
      </w:hyperlink>
    </w:p>
    <w:p w14:paraId="738D9C33" w14:textId="77777777" w:rsidR="00C6357D" w:rsidRPr="00B32307" w:rsidRDefault="00C6357D" w:rsidP="00C6357D">
      <w:pPr>
        <w:pStyle w:val="NoSpacing"/>
        <w:jc w:val="both"/>
        <w:rPr>
          <w:rFonts w:eastAsia="Calibri"/>
          <w:sz w:val="22"/>
          <w:szCs w:val="22"/>
          <w:lang w:val="sr-Latn-RS"/>
        </w:rPr>
      </w:pPr>
      <w:r w:rsidRPr="00B32307">
        <w:rPr>
          <w:rFonts w:eastAsia="Calibri"/>
          <w:sz w:val="22"/>
          <w:szCs w:val="22"/>
          <w:lang w:val="sr-Latn-RS"/>
        </w:rPr>
        <w:t>putem IS zdravstvene zaštite</w:t>
      </w:r>
    </w:p>
    <w:p w14:paraId="08FCEBCA" w14:textId="77777777" w:rsidR="00B30985" w:rsidRPr="00B32307" w:rsidRDefault="00B30985" w:rsidP="00B30985">
      <w:pPr>
        <w:pStyle w:val="NoSpacing"/>
        <w:jc w:val="both"/>
        <w:rPr>
          <w:rFonts w:eastAsia="Calibri"/>
          <w:sz w:val="22"/>
          <w:szCs w:val="22"/>
          <w:lang w:val="sr-Latn-RS"/>
        </w:rPr>
      </w:pPr>
      <w:r w:rsidRPr="00B32307">
        <w:rPr>
          <w:rFonts w:eastAsia="Calibri"/>
          <w:sz w:val="22"/>
          <w:szCs w:val="22"/>
          <w:lang w:val="sr-Latn-RS"/>
        </w:rPr>
        <w:t>QR kod za online prijavu sumnje na neželjeno dejstvo lijeka:</w:t>
      </w:r>
    </w:p>
    <w:p w14:paraId="3BCE683D" w14:textId="77777777" w:rsidR="00B30985" w:rsidRPr="00B32307" w:rsidRDefault="00B30985" w:rsidP="00B30985">
      <w:pPr>
        <w:pStyle w:val="NoSpacing"/>
        <w:jc w:val="both"/>
        <w:rPr>
          <w:rFonts w:eastAsia="Calibri"/>
          <w:sz w:val="22"/>
          <w:szCs w:val="22"/>
          <w:lang w:val="sr-Latn-RS"/>
        </w:rPr>
      </w:pPr>
    </w:p>
    <w:p w14:paraId="188B5D99" w14:textId="06D9706D" w:rsidR="00B30985" w:rsidRPr="00B32307" w:rsidRDefault="00B30985" w:rsidP="00C6357D">
      <w:pPr>
        <w:pStyle w:val="NoSpacing"/>
        <w:jc w:val="both"/>
        <w:rPr>
          <w:rFonts w:eastAsia="Calibri"/>
          <w:sz w:val="22"/>
          <w:szCs w:val="22"/>
          <w:lang w:val="sr-Latn-RS"/>
        </w:rPr>
      </w:pPr>
      <w:r w:rsidRPr="00B32307">
        <w:rPr>
          <w:rFonts w:eastAsia="Calibri"/>
          <w:noProof/>
          <w:sz w:val="22"/>
          <w:szCs w:val="22"/>
        </w:rPr>
        <w:drawing>
          <wp:inline distT="0" distB="0" distL="0" distR="0" wp14:anchorId="0943ED60" wp14:editId="383FE8F9">
            <wp:extent cx="981710" cy="969645"/>
            <wp:effectExtent l="0" t="0" r="8890" b="1905"/>
            <wp:docPr id="1063931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710" cy="969645"/>
                    </a:xfrm>
                    <a:prstGeom prst="rect">
                      <a:avLst/>
                    </a:prstGeom>
                    <a:noFill/>
                  </pic:spPr>
                </pic:pic>
              </a:graphicData>
            </a:graphic>
          </wp:inline>
        </w:drawing>
      </w:r>
    </w:p>
    <w:p w14:paraId="68ED3045" w14:textId="77777777" w:rsidR="00836B35" w:rsidRPr="00B32307" w:rsidRDefault="00836B35" w:rsidP="00480FB1">
      <w:pPr>
        <w:tabs>
          <w:tab w:val="left" w:pos="540"/>
          <w:tab w:val="left" w:pos="569"/>
        </w:tabs>
        <w:rPr>
          <w:b/>
          <w:bCs/>
          <w:sz w:val="22"/>
          <w:szCs w:val="22"/>
          <w:lang w:val="sr-Latn-RS"/>
        </w:rPr>
      </w:pPr>
    </w:p>
    <w:p w14:paraId="6E61C11F" w14:textId="77777777" w:rsidR="00CD6F02"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4.9. </w:t>
      </w:r>
      <w:r w:rsidR="00480FB1" w:rsidRPr="00B32307">
        <w:rPr>
          <w:b/>
          <w:bCs/>
          <w:sz w:val="22"/>
          <w:szCs w:val="22"/>
          <w:lang w:val="sr-Latn-RS"/>
        </w:rPr>
        <w:tab/>
      </w:r>
      <w:r w:rsidRPr="00B32307">
        <w:rPr>
          <w:b/>
          <w:bCs/>
          <w:sz w:val="22"/>
          <w:szCs w:val="22"/>
          <w:lang w:val="sr-Latn-RS"/>
        </w:rPr>
        <w:t>Predoziranje</w:t>
      </w:r>
      <w:r w:rsidR="002846DB" w:rsidRPr="00B32307">
        <w:rPr>
          <w:b/>
          <w:bCs/>
          <w:sz w:val="22"/>
          <w:szCs w:val="22"/>
          <w:lang w:val="sr-Latn-RS"/>
        </w:rPr>
        <w:t xml:space="preserve"> </w:t>
      </w:r>
    </w:p>
    <w:p w14:paraId="00707F17" w14:textId="77777777" w:rsidR="003D602E" w:rsidRPr="00B32307" w:rsidRDefault="003D602E" w:rsidP="00001F10">
      <w:pPr>
        <w:pStyle w:val="Text"/>
        <w:spacing w:after="0" w:line="240" w:lineRule="auto"/>
        <w:contextualSpacing/>
        <w:jc w:val="both"/>
        <w:rPr>
          <w:sz w:val="22"/>
          <w:szCs w:val="22"/>
          <w:lang w:val="sr-Latn-RS"/>
        </w:rPr>
      </w:pPr>
    </w:p>
    <w:p w14:paraId="373ABE58" w14:textId="1B17F075" w:rsidR="00001F10" w:rsidRPr="00B32307" w:rsidRDefault="00001F10" w:rsidP="00001F10">
      <w:pPr>
        <w:pStyle w:val="Text"/>
        <w:spacing w:after="0" w:line="240" w:lineRule="auto"/>
        <w:contextualSpacing/>
        <w:jc w:val="both"/>
        <w:rPr>
          <w:sz w:val="22"/>
          <w:szCs w:val="22"/>
          <w:lang w:val="sr-Latn-RS"/>
        </w:rPr>
      </w:pPr>
      <w:r w:rsidRPr="00B32307">
        <w:rPr>
          <w:sz w:val="22"/>
          <w:szCs w:val="22"/>
          <w:lang w:val="sr-Latn-RS"/>
        </w:rPr>
        <w:t>Simptomi predoziranja ropinirolom su povezani sa njegovom dopaminergičkom aktivnošću. Simptomi predoziranja se mogu ublažiti odgovarajućom terapijom antagonistima dopamina, kao što su neuroleptici ili metoklopramid.</w:t>
      </w:r>
    </w:p>
    <w:p w14:paraId="63A50803" w14:textId="68F51C97" w:rsidR="00227BDB" w:rsidRPr="00B32307" w:rsidRDefault="00227BDB" w:rsidP="00480FB1">
      <w:pPr>
        <w:tabs>
          <w:tab w:val="left" w:pos="540"/>
          <w:tab w:val="left" w:pos="569"/>
        </w:tabs>
        <w:rPr>
          <w:b/>
          <w:bCs/>
          <w:sz w:val="22"/>
          <w:szCs w:val="22"/>
          <w:lang w:val="sr-Latn-RS"/>
        </w:rPr>
      </w:pPr>
    </w:p>
    <w:p w14:paraId="1E56AB7E" w14:textId="77777777" w:rsidR="00BA0F0B" w:rsidRPr="00B32307" w:rsidRDefault="00BA0F0B" w:rsidP="00480FB1">
      <w:pPr>
        <w:tabs>
          <w:tab w:val="left" w:pos="540"/>
          <w:tab w:val="left" w:pos="569"/>
        </w:tabs>
        <w:rPr>
          <w:b/>
          <w:bCs/>
          <w:sz w:val="22"/>
          <w:szCs w:val="22"/>
          <w:lang w:val="sr-Latn-RS"/>
        </w:rPr>
      </w:pPr>
    </w:p>
    <w:p w14:paraId="4D315752"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5. </w:t>
      </w:r>
      <w:r w:rsidR="00480FB1" w:rsidRPr="00B32307">
        <w:rPr>
          <w:b/>
          <w:bCs/>
          <w:sz w:val="22"/>
          <w:szCs w:val="22"/>
          <w:lang w:val="sr-Latn-RS"/>
        </w:rPr>
        <w:tab/>
      </w:r>
      <w:r w:rsidRPr="00B32307">
        <w:rPr>
          <w:b/>
          <w:bCs/>
          <w:sz w:val="22"/>
          <w:szCs w:val="22"/>
          <w:lang w:val="sr-Latn-RS"/>
        </w:rPr>
        <w:t>FARMAKOLOŠK</w:t>
      </w:r>
      <w:r w:rsidR="000D425A" w:rsidRPr="00B32307">
        <w:rPr>
          <w:b/>
          <w:bCs/>
          <w:sz w:val="22"/>
          <w:szCs w:val="22"/>
          <w:lang w:val="sr-Latn-RS"/>
        </w:rPr>
        <w:t>I</w:t>
      </w:r>
      <w:r w:rsidRPr="00B32307">
        <w:rPr>
          <w:b/>
          <w:bCs/>
          <w:sz w:val="22"/>
          <w:szCs w:val="22"/>
          <w:lang w:val="sr-Latn-RS"/>
        </w:rPr>
        <w:t xml:space="preserve"> PODACI</w:t>
      </w:r>
    </w:p>
    <w:p w14:paraId="78EFC4C5" w14:textId="77777777" w:rsidR="0072020E" w:rsidRPr="00B32307" w:rsidRDefault="0072020E" w:rsidP="00480FB1">
      <w:pPr>
        <w:tabs>
          <w:tab w:val="left" w:pos="540"/>
          <w:tab w:val="left" w:pos="569"/>
        </w:tabs>
        <w:rPr>
          <w:b/>
          <w:bCs/>
          <w:sz w:val="22"/>
          <w:szCs w:val="22"/>
          <w:lang w:val="sr-Latn-RS"/>
        </w:rPr>
      </w:pPr>
    </w:p>
    <w:p w14:paraId="215CAD8F"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5.1. </w:t>
      </w:r>
      <w:r w:rsidR="00480FB1" w:rsidRPr="00B32307">
        <w:rPr>
          <w:b/>
          <w:bCs/>
          <w:sz w:val="22"/>
          <w:szCs w:val="22"/>
          <w:lang w:val="sr-Latn-RS"/>
        </w:rPr>
        <w:tab/>
      </w:r>
      <w:r w:rsidRPr="00B32307">
        <w:rPr>
          <w:b/>
          <w:bCs/>
          <w:sz w:val="22"/>
          <w:szCs w:val="22"/>
          <w:lang w:val="sr-Latn-RS"/>
        </w:rPr>
        <w:t>Farmakodinamski podaci</w:t>
      </w:r>
      <w:r w:rsidR="003A7059" w:rsidRPr="00B32307">
        <w:rPr>
          <w:b/>
          <w:bCs/>
          <w:sz w:val="22"/>
          <w:szCs w:val="22"/>
          <w:lang w:val="sr-Latn-RS"/>
        </w:rPr>
        <w:t xml:space="preserve"> </w:t>
      </w:r>
    </w:p>
    <w:p w14:paraId="7B7B0151" w14:textId="77777777" w:rsidR="00F45F77" w:rsidRPr="00B32307" w:rsidRDefault="00F45F77" w:rsidP="00480FB1">
      <w:pPr>
        <w:tabs>
          <w:tab w:val="left" w:pos="540"/>
          <w:tab w:val="left" w:pos="569"/>
        </w:tabs>
        <w:rPr>
          <w:b/>
          <w:bCs/>
          <w:sz w:val="22"/>
          <w:szCs w:val="22"/>
          <w:lang w:val="sr-Latn-RS"/>
        </w:rPr>
      </w:pPr>
    </w:p>
    <w:p w14:paraId="38EE6D5F" w14:textId="77777777" w:rsidR="00673769" w:rsidRPr="00B32307" w:rsidRDefault="00673769" w:rsidP="00673769">
      <w:pPr>
        <w:pStyle w:val="Header"/>
        <w:tabs>
          <w:tab w:val="left" w:pos="2808"/>
        </w:tabs>
        <w:jc w:val="both"/>
        <w:rPr>
          <w:sz w:val="22"/>
          <w:szCs w:val="22"/>
          <w:lang w:val="sr-Latn-RS"/>
        </w:rPr>
      </w:pPr>
      <w:r w:rsidRPr="00B32307">
        <w:rPr>
          <w:bCs/>
          <w:sz w:val="22"/>
          <w:szCs w:val="22"/>
          <w:lang w:val="sr-Latn-RS"/>
        </w:rPr>
        <w:t>Farmakoterapijska grupa:</w:t>
      </w:r>
      <w:r w:rsidRPr="00B32307">
        <w:rPr>
          <w:b/>
          <w:bCs/>
          <w:sz w:val="22"/>
          <w:szCs w:val="22"/>
          <w:lang w:val="sr-Latn-RS"/>
        </w:rPr>
        <w:t xml:space="preserve"> </w:t>
      </w:r>
      <w:r w:rsidRPr="00B32307">
        <w:rPr>
          <w:sz w:val="22"/>
          <w:szCs w:val="22"/>
          <w:lang w:val="sr-Latn-RS"/>
        </w:rPr>
        <w:t>Agonisti dopamina</w:t>
      </w:r>
    </w:p>
    <w:p w14:paraId="2DE6B38C" w14:textId="77777777" w:rsidR="00673769" w:rsidRPr="00B32307" w:rsidRDefault="00673769" w:rsidP="00673769">
      <w:pPr>
        <w:pStyle w:val="Header"/>
        <w:tabs>
          <w:tab w:val="left" w:pos="1188"/>
        </w:tabs>
        <w:jc w:val="both"/>
        <w:rPr>
          <w:b/>
          <w:bCs/>
          <w:sz w:val="22"/>
          <w:szCs w:val="22"/>
          <w:lang w:val="sr-Latn-RS"/>
        </w:rPr>
      </w:pPr>
    </w:p>
    <w:p w14:paraId="0682DA21" w14:textId="77777777" w:rsidR="00673769" w:rsidRPr="00B32307" w:rsidRDefault="00673769" w:rsidP="00673769">
      <w:pPr>
        <w:pStyle w:val="Header"/>
        <w:tabs>
          <w:tab w:val="left" w:pos="1188"/>
        </w:tabs>
        <w:jc w:val="both"/>
        <w:rPr>
          <w:sz w:val="22"/>
          <w:szCs w:val="22"/>
          <w:lang w:val="sr-Latn-RS"/>
        </w:rPr>
      </w:pPr>
      <w:r w:rsidRPr="00B32307">
        <w:rPr>
          <w:bCs/>
          <w:sz w:val="22"/>
          <w:szCs w:val="22"/>
          <w:lang w:val="sr-Latn-RS"/>
        </w:rPr>
        <w:t>ATC kod:</w:t>
      </w:r>
      <w:r w:rsidRPr="00B32307">
        <w:rPr>
          <w:b/>
          <w:bCs/>
          <w:sz w:val="22"/>
          <w:szCs w:val="22"/>
          <w:lang w:val="sr-Latn-RS"/>
        </w:rPr>
        <w:t xml:space="preserve"> </w:t>
      </w:r>
      <w:r w:rsidRPr="00B32307">
        <w:rPr>
          <w:sz w:val="22"/>
          <w:szCs w:val="22"/>
          <w:lang w:val="sr-Latn-RS"/>
        </w:rPr>
        <w:t>N04BC04</w:t>
      </w:r>
    </w:p>
    <w:p w14:paraId="64F6D66A" w14:textId="77777777" w:rsidR="002E37A5" w:rsidRPr="00B32307" w:rsidRDefault="002E37A5" w:rsidP="00480FB1">
      <w:pPr>
        <w:tabs>
          <w:tab w:val="left" w:pos="540"/>
          <w:tab w:val="left" w:pos="569"/>
        </w:tabs>
        <w:rPr>
          <w:b/>
          <w:bCs/>
          <w:sz w:val="22"/>
          <w:szCs w:val="22"/>
          <w:lang w:val="sr-Latn-RS"/>
        </w:rPr>
      </w:pPr>
    </w:p>
    <w:p w14:paraId="6C8C83B6" w14:textId="77777777" w:rsidR="00673769" w:rsidRPr="00B32307" w:rsidRDefault="00673769" w:rsidP="00673769">
      <w:pPr>
        <w:contextualSpacing/>
        <w:jc w:val="both"/>
        <w:rPr>
          <w:sz w:val="22"/>
          <w:szCs w:val="22"/>
          <w:u w:val="single"/>
          <w:lang w:val="sr-Latn-RS" w:eastAsia="en-GB"/>
        </w:rPr>
      </w:pPr>
      <w:r w:rsidRPr="00B32307">
        <w:rPr>
          <w:sz w:val="22"/>
          <w:szCs w:val="22"/>
          <w:u w:val="single"/>
          <w:lang w:val="sr-Latn-RS" w:eastAsia="en-GB"/>
        </w:rPr>
        <w:t>Mehanizam dejstva</w:t>
      </w:r>
    </w:p>
    <w:p w14:paraId="65A5C9D6"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 xml:space="preserve">Ropinirol je neergolinski D2/D3 agonist dopamina koji stimuliše strijatalne dopaminske receptore. </w:t>
      </w:r>
    </w:p>
    <w:p w14:paraId="243D062A" w14:textId="77777777" w:rsidR="00673769" w:rsidRPr="00B32307" w:rsidRDefault="00673769" w:rsidP="00673769">
      <w:pPr>
        <w:contextualSpacing/>
        <w:rPr>
          <w:sz w:val="22"/>
          <w:szCs w:val="22"/>
          <w:lang w:val="sr-Latn-RS" w:eastAsia="en-GB"/>
        </w:rPr>
      </w:pPr>
    </w:p>
    <w:p w14:paraId="5422308E"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Ropinirol ublažava deficit dopamina, koji je karakterističan za Parkinsonovu bolest, stimulacijom strijatalnih dopaminskih receptora.</w:t>
      </w:r>
    </w:p>
    <w:p w14:paraId="3EAD9360" w14:textId="77777777" w:rsidR="00673769" w:rsidRPr="00B32307" w:rsidRDefault="00673769" w:rsidP="00673769">
      <w:pPr>
        <w:contextualSpacing/>
        <w:jc w:val="both"/>
        <w:rPr>
          <w:sz w:val="22"/>
          <w:szCs w:val="22"/>
          <w:lang w:val="sr-Latn-RS" w:eastAsia="en-GB"/>
        </w:rPr>
      </w:pPr>
    </w:p>
    <w:p w14:paraId="23FB90E9"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Ropinirol inhibira sekreciju prolaktina dejstvom na hipotalamus i hipofizu.</w:t>
      </w:r>
    </w:p>
    <w:p w14:paraId="04F2F59E" w14:textId="77777777" w:rsidR="00673769" w:rsidRPr="00B32307" w:rsidRDefault="00673769" w:rsidP="00673769">
      <w:pPr>
        <w:contextualSpacing/>
        <w:jc w:val="both"/>
        <w:rPr>
          <w:sz w:val="22"/>
          <w:szCs w:val="22"/>
          <w:lang w:val="sr-Latn-RS" w:eastAsia="en-GB"/>
        </w:rPr>
      </w:pPr>
    </w:p>
    <w:p w14:paraId="77C55FFF" w14:textId="77777777" w:rsidR="00673769" w:rsidRPr="00B32307" w:rsidRDefault="00673769" w:rsidP="00673769">
      <w:pPr>
        <w:contextualSpacing/>
        <w:jc w:val="both"/>
        <w:rPr>
          <w:sz w:val="22"/>
          <w:szCs w:val="22"/>
          <w:u w:val="single"/>
          <w:lang w:val="sr-Latn-RS" w:eastAsia="en-GB"/>
        </w:rPr>
      </w:pPr>
      <w:r w:rsidRPr="00B32307">
        <w:rPr>
          <w:sz w:val="22"/>
          <w:szCs w:val="22"/>
          <w:u w:val="single"/>
          <w:lang w:val="sr-Latn-RS" w:eastAsia="en-GB"/>
        </w:rPr>
        <w:t>Klinička efikasnost</w:t>
      </w:r>
    </w:p>
    <w:p w14:paraId="6A00C347"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 xml:space="preserve">U okviru, dvostruko slijepog, unakrsnog ispitivanja tokom tri vremenska perioda, u trajanju od 36 nedjelja, pri primjeni lijeka kao monoterapije kod 161 pacijenta u ranom stadijumu Parkinsonove bolesti, pokazano je da lijek </w:t>
      </w:r>
      <w:r w:rsidRPr="00B32307">
        <w:rPr>
          <w:bCs/>
          <w:sz w:val="22"/>
          <w:szCs w:val="22"/>
          <w:lang w:val="sr-Latn-RS"/>
        </w:rPr>
        <w:t>REQUIP MODUTAB</w:t>
      </w:r>
      <w:r w:rsidRPr="00B32307">
        <w:rPr>
          <w:bCs/>
          <w:sz w:val="22"/>
          <w:szCs w:val="22"/>
          <w:vertAlign w:val="superscript"/>
          <w:lang w:val="sr-Latn-RS"/>
        </w:rPr>
        <w:t xml:space="preserve"> </w:t>
      </w:r>
      <w:r w:rsidRPr="00B32307">
        <w:rPr>
          <w:bCs/>
          <w:sz w:val="22"/>
          <w:szCs w:val="22"/>
          <w:lang w:val="sr-Latn-RS"/>
        </w:rPr>
        <w:t xml:space="preserve">(tableta sa produženim oslobađanjem) </w:t>
      </w:r>
      <w:r w:rsidRPr="00B32307">
        <w:rPr>
          <w:sz w:val="22"/>
          <w:szCs w:val="22"/>
          <w:lang w:val="sr-Latn-RS" w:eastAsia="en-GB"/>
        </w:rPr>
        <w:t>nema inferiorno dejstvo u odnosu na lijek Requip (film tableta sa trenutnim oslobađanjem) u odnosu na primarni parametar praćenja, terapijsku razliku definisanu kao promjenu u odnosu na početnu vrijednost motornog skora UPDRS-a (</w:t>
      </w:r>
      <w:r w:rsidRPr="00B32307">
        <w:rPr>
          <w:i/>
          <w:sz w:val="22"/>
          <w:szCs w:val="22"/>
          <w:lang w:val="sr-Latn-RS" w:eastAsia="en-GB"/>
        </w:rPr>
        <w:t>Unified Parkinson’s Disease Rating Scale</w:t>
      </w:r>
      <w:r w:rsidRPr="00B32307">
        <w:rPr>
          <w:sz w:val="22"/>
          <w:szCs w:val="22"/>
          <w:lang w:val="sr-Latn-RS" w:eastAsia="en-GB"/>
        </w:rPr>
        <w:t xml:space="preserve">) (definisana razlika ne smije da bude veća od tri poena kako bi se prihvatio zaključak da jedan lijek nije inferioran u odnosu na drugi). Prilagođena srednja vrijednost razlike između lijeka </w:t>
      </w:r>
      <w:r w:rsidRPr="00B32307">
        <w:rPr>
          <w:bCs/>
          <w:sz w:val="22"/>
          <w:szCs w:val="22"/>
          <w:lang w:val="sr-Latn-RS"/>
        </w:rPr>
        <w:t xml:space="preserve">REQUIP MODUTAB </w:t>
      </w:r>
      <w:r w:rsidRPr="00B32307">
        <w:rPr>
          <w:sz w:val="22"/>
          <w:szCs w:val="22"/>
          <w:lang w:val="sr-Latn-RS" w:eastAsia="en-GB"/>
        </w:rPr>
        <w:t xml:space="preserve">i </w:t>
      </w:r>
      <w:r w:rsidRPr="00B32307">
        <w:rPr>
          <w:bCs/>
          <w:sz w:val="22"/>
          <w:szCs w:val="22"/>
          <w:lang w:val="sr-Latn-RS"/>
        </w:rPr>
        <w:t xml:space="preserve">lijeka Requip </w:t>
      </w:r>
      <w:r w:rsidRPr="00B32307">
        <w:rPr>
          <w:sz w:val="22"/>
          <w:szCs w:val="22"/>
          <w:lang w:val="sr-Latn-RS" w:eastAsia="en-GB"/>
        </w:rPr>
        <w:t>na kraju studije iznosila je -0,7 poena (95% CI: [-1,51, 0,10], p=0,0842).</w:t>
      </w:r>
    </w:p>
    <w:p w14:paraId="3A506E8F" w14:textId="77777777" w:rsidR="00673769" w:rsidRPr="00B32307" w:rsidRDefault="00673769" w:rsidP="00673769">
      <w:pPr>
        <w:contextualSpacing/>
        <w:jc w:val="both"/>
        <w:rPr>
          <w:sz w:val="22"/>
          <w:szCs w:val="22"/>
          <w:lang w:val="sr-Latn-RS" w:eastAsia="en-GB"/>
        </w:rPr>
      </w:pPr>
    </w:p>
    <w:p w14:paraId="3AAE2FC7"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 xml:space="preserve">Nakon brzog prelaska na podjednaku dozu lijeka u obliku alternativne formulacije tableta, nije uočena razlika u profilu neželjenih dejstava i kod manje od 3% pacijenata bilo je neophodno prilagođavanje doze (sva prilagođavanja doze sastojala su se u povećanju doze do sljedeće jačine lijeka. Ni kod jednog pacijenta nije bilo neophodno smanjenje doze). </w:t>
      </w:r>
    </w:p>
    <w:p w14:paraId="476BB83D" w14:textId="77777777" w:rsidR="00673769" w:rsidRPr="00B32307" w:rsidRDefault="00673769" w:rsidP="00673769">
      <w:pPr>
        <w:contextualSpacing/>
        <w:jc w:val="both"/>
        <w:rPr>
          <w:sz w:val="22"/>
          <w:szCs w:val="22"/>
          <w:lang w:val="sr-Latn-RS" w:eastAsia="en-GB"/>
        </w:rPr>
      </w:pPr>
    </w:p>
    <w:p w14:paraId="0A87D8ED"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 xml:space="preserve">U okviru dvostruko slijepog, placebo kontrolisanog ispitivanja sa paralelnim grupama u trajanju od 24 nedjelje, pri primjeni lijeka </w:t>
      </w:r>
      <w:r w:rsidRPr="00B32307">
        <w:rPr>
          <w:bCs/>
          <w:sz w:val="22"/>
          <w:szCs w:val="22"/>
          <w:lang w:val="sr-Latn-RS"/>
        </w:rPr>
        <w:t>REQUIP MODUTAB</w:t>
      </w:r>
      <w:r w:rsidRPr="00B32307">
        <w:rPr>
          <w:sz w:val="22"/>
          <w:szCs w:val="22"/>
          <w:lang w:val="sr-Latn-RS" w:eastAsia="en-GB"/>
        </w:rPr>
        <w:t>, kod pacijenata sa Parkinsonovom bolešću kod kojih nije postignuta optimalna kontrola bolesti primjenom levodope, pokazana je klinički relevantna i statistički značajna superiornost lijeka u odnosu na placebo u pogledu primarnog parametra praćenja, promjene u odnosu na početnu vrijednost ,,</w:t>
      </w:r>
      <w:r w:rsidRPr="00B32307">
        <w:rPr>
          <w:i/>
          <w:sz w:val="22"/>
          <w:szCs w:val="22"/>
          <w:lang w:val="sr-Latn-RS" w:eastAsia="en-GB"/>
        </w:rPr>
        <w:t>off</w:t>
      </w:r>
      <w:r w:rsidRPr="00B32307">
        <w:rPr>
          <w:sz w:val="22"/>
          <w:szCs w:val="22"/>
          <w:lang w:val="sr-Latn-RS" w:eastAsia="en-GB"/>
        </w:rPr>
        <w:t>” vremena u budnosti (prilagođena prosječna terapijska razlika -1,7 sati (95% CI: [-2,34; -1,09], p&lt;0,0001). U prilog navedenom, pokazani su parametri sekundarne efikasnosti promjene u odnosu na početnu vrijednost “</w:t>
      </w:r>
      <w:r w:rsidRPr="00B32307">
        <w:rPr>
          <w:i/>
          <w:sz w:val="22"/>
          <w:szCs w:val="22"/>
          <w:lang w:val="sr-Latn-RS" w:eastAsia="en-GB"/>
        </w:rPr>
        <w:t>on</w:t>
      </w:r>
      <w:r w:rsidRPr="00B32307">
        <w:rPr>
          <w:sz w:val="22"/>
          <w:szCs w:val="22"/>
          <w:lang w:val="sr-Latn-RS" w:eastAsia="en-GB"/>
        </w:rPr>
        <w:t>” vremena u ukupnom vremenu budnosti (+1,7 sati (95% CI: [1,06; 2,33], p&lt;0,0001) i ukupnom vremenu budnosti ,,</w:t>
      </w:r>
      <w:r w:rsidRPr="00B32307">
        <w:rPr>
          <w:i/>
          <w:sz w:val="22"/>
          <w:szCs w:val="22"/>
          <w:lang w:val="sr-Latn-RS" w:eastAsia="en-GB"/>
        </w:rPr>
        <w:t>on</w:t>
      </w:r>
      <w:r w:rsidRPr="00B32307">
        <w:rPr>
          <w:sz w:val="22"/>
          <w:szCs w:val="22"/>
          <w:lang w:val="sr-Latn-RS" w:eastAsia="en-GB"/>
        </w:rPr>
        <w:t xml:space="preserve">” bez onesposobljavajućih diskinezija (+1,5 sati (95% CI: [0,85; 2,13], p&lt;0,0001). </w:t>
      </w:r>
    </w:p>
    <w:p w14:paraId="1899AAA2" w14:textId="77777777" w:rsidR="00673769" w:rsidRPr="00B32307" w:rsidRDefault="00673769" w:rsidP="00673769">
      <w:pPr>
        <w:contextualSpacing/>
        <w:jc w:val="both"/>
        <w:rPr>
          <w:sz w:val="22"/>
          <w:szCs w:val="22"/>
          <w:lang w:val="sr-Latn-RS" w:eastAsia="en-GB"/>
        </w:rPr>
      </w:pPr>
      <w:r w:rsidRPr="00B32307">
        <w:rPr>
          <w:sz w:val="22"/>
          <w:szCs w:val="22"/>
          <w:lang w:val="sr-Latn-RS" w:eastAsia="en-GB"/>
        </w:rPr>
        <w:t>Značajno je da u odnosu na početnu vrijednost nije bilo povećanja vrijednosti “</w:t>
      </w:r>
      <w:r w:rsidRPr="00B32307">
        <w:rPr>
          <w:i/>
          <w:sz w:val="22"/>
          <w:szCs w:val="22"/>
          <w:lang w:val="sr-Latn-RS" w:eastAsia="en-GB"/>
        </w:rPr>
        <w:t>on</w:t>
      </w:r>
      <w:r w:rsidRPr="00B32307">
        <w:rPr>
          <w:sz w:val="22"/>
          <w:szCs w:val="22"/>
          <w:lang w:val="sr-Latn-RS" w:eastAsia="en-GB"/>
        </w:rPr>
        <w:t>” vremena sa onesposobljavajućim diskinezijama, na osnovu podataka iz dnevnog protokola ili na osnovu podataka UPDRS skale.</w:t>
      </w:r>
    </w:p>
    <w:p w14:paraId="5A33B49C" w14:textId="77777777" w:rsidR="00673769" w:rsidRPr="00B32307" w:rsidRDefault="00673769" w:rsidP="00673769">
      <w:pPr>
        <w:contextualSpacing/>
        <w:jc w:val="both"/>
        <w:rPr>
          <w:sz w:val="22"/>
          <w:szCs w:val="22"/>
          <w:lang w:val="sr-Latn-RS"/>
        </w:rPr>
      </w:pPr>
    </w:p>
    <w:p w14:paraId="0CA4A183" w14:textId="77777777" w:rsidR="00673769" w:rsidRPr="00B32307" w:rsidRDefault="00673769" w:rsidP="00673769">
      <w:pPr>
        <w:pStyle w:val="Header"/>
        <w:tabs>
          <w:tab w:val="left" w:pos="284"/>
        </w:tabs>
        <w:jc w:val="both"/>
        <w:rPr>
          <w:sz w:val="22"/>
          <w:szCs w:val="22"/>
          <w:u w:val="single"/>
          <w:lang w:val="sr-Latn-RS" w:eastAsia="en-GB"/>
        </w:rPr>
      </w:pPr>
      <w:r w:rsidRPr="00B32307">
        <w:rPr>
          <w:sz w:val="22"/>
          <w:szCs w:val="22"/>
          <w:u w:val="single"/>
          <w:lang w:val="sr-Latn-RS" w:eastAsia="en-GB"/>
        </w:rPr>
        <w:t>Istraživanje uticaja ropinirola na repolarizaciju srca</w:t>
      </w:r>
    </w:p>
    <w:p w14:paraId="22D4D417" w14:textId="77777777" w:rsidR="00673769" w:rsidRPr="00B32307" w:rsidRDefault="00673769" w:rsidP="00673769">
      <w:pPr>
        <w:pStyle w:val="Header"/>
        <w:tabs>
          <w:tab w:val="left" w:pos="284"/>
        </w:tabs>
        <w:jc w:val="both"/>
        <w:rPr>
          <w:color w:val="000000"/>
          <w:sz w:val="22"/>
          <w:szCs w:val="22"/>
          <w:lang w:val="sr-Latn-RS" w:eastAsia="en-GB"/>
        </w:rPr>
      </w:pPr>
      <w:r w:rsidRPr="00B32307">
        <w:rPr>
          <w:sz w:val="22"/>
          <w:szCs w:val="22"/>
          <w:lang w:val="sr-Latn-RS" w:eastAsia="en-GB"/>
        </w:rPr>
        <w:t>Detaljno ispitivanje QT intervala sprovedeno kod zdravih dobrovoljaca muškog i ženskog pola kod kojih je primijenjena doza od 0,5, 1, 2 i 4 mg ropinirola u obliku film tablete sa trenutnim oslobađanjem, jednom dnevno, pokazalo je da je pri primjeni doze lijeka od 1 mg zabilježeno maksimalno produženje intervala od 3,46 milisekundi (tačkasta ocjena) u odnosu na placebo</w:t>
      </w:r>
      <w:r w:rsidRPr="00B32307">
        <w:rPr>
          <w:color w:val="000000"/>
          <w:sz w:val="22"/>
          <w:szCs w:val="22"/>
          <w:lang w:val="sr-Latn-RS" w:eastAsia="en-GB"/>
        </w:rPr>
        <w:t>. Gornja granica asimetričnog 95% intervala pouzdanosti za najveću srednju vrijednost uticaja bila je manja od 7,5 milisekundi. Nije procjenjivan uticaj primjene viših doza ropinirola.</w:t>
      </w:r>
    </w:p>
    <w:p w14:paraId="59D9445B" w14:textId="77777777" w:rsidR="00673769" w:rsidRPr="00B32307" w:rsidRDefault="00673769" w:rsidP="00673769">
      <w:pPr>
        <w:pStyle w:val="Header"/>
        <w:tabs>
          <w:tab w:val="left" w:pos="284"/>
        </w:tabs>
        <w:jc w:val="both"/>
        <w:rPr>
          <w:color w:val="000000"/>
          <w:sz w:val="22"/>
          <w:szCs w:val="22"/>
          <w:lang w:val="sr-Latn-RS" w:eastAsia="en-GB"/>
        </w:rPr>
      </w:pPr>
      <w:r w:rsidRPr="00B32307">
        <w:rPr>
          <w:color w:val="000000"/>
          <w:sz w:val="22"/>
          <w:szCs w:val="22"/>
          <w:lang w:val="sr-Latn-RS" w:eastAsia="en-GB"/>
        </w:rPr>
        <w:t xml:space="preserve">Dostupni klinički podaci na osnovu detaljnog ispitivanja QT intervala ne ukazuju na rizik od produženja QT intervala pri primjeni ropinirola u dozama do 4 mg dnevno. Ne može se isključiti rizik od produženja QT intervala, budući da nije sprovedeno detaljno ispitivanje QT intervala pri primjeni doza do 24 mg dnevno. </w:t>
      </w:r>
    </w:p>
    <w:p w14:paraId="7F203444" w14:textId="77777777" w:rsidR="004A4944" w:rsidRPr="00B32307" w:rsidRDefault="004A4944" w:rsidP="004A4944">
      <w:pPr>
        <w:tabs>
          <w:tab w:val="left" w:pos="540"/>
          <w:tab w:val="left" w:pos="569"/>
        </w:tabs>
        <w:rPr>
          <w:b/>
          <w:bCs/>
          <w:sz w:val="22"/>
          <w:szCs w:val="22"/>
          <w:lang w:val="sr-Latn-RS"/>
        </w:rPr>
      </w:pPr>
    </w:p>
    <w:p w14:paraId="116E7A4C" w14:textId="77777777" w:rsidR="00D250B5" w:rsidRDefault="00D250B5" w:rsidP="004A4944">
      <w:pPr>
        <w:tabs>
          <w:tab w:val="left" w:pos="540"/>
          <w:tab w:val="left" w:pos="569"/>
        </w:tabs>
        <w:rPr>
          <w:b/>
          <w:bCs/>
          <w:sz w:val="22"/>
          <w:szCs w:val="22"/>
          <w:lang w:val="sr-Latn-RS"/>
        </w:rPr>
      </w:pPr>
    </w:p>
    <w:p w14:paraId="4126A973" w14:textId="77777777" w:rsidR="00D250B5" w:rsidRDefault="00D250B5" w:rsidP="004A4944">
      <w:pPr>
        <w:tabs>
          <w:tab w:val="left" w:pos="540"/>
          <w:tab w:val="left" w:pos="569"/>
        </w:tabs>
        <w:rPr>
          <w:b/>
          <w:bCs/>
          <w:sz w:val="22"/>
          <w:szCs w:val="22"/>
          <w:lang w:val="sr-Latn-RS"/>
        </w:rPr>
      </w:pPr>
    </w:p>
    <w:p w14:paraId="3CA1B275" w14:textId="77777777" w:rsidR="00D250B5" w:rsidRDefault="00D250B5" w:rsidP="004A4944">
      <w:pPr>
        <w:tabs>
          <w:tab w:val="left" w:pos="540"/>
          <w:tab w:val="left" w:pos="569"/>
        </w:tabs>
        <w:rPr>
          <w:b/>
          <w:bCs/>
          <w:sz w:val="22"/>
          <w:szCs w:val="22"/>
          <w:lang w:val="sr-Latn-RS"/>
        </w:rPr>
      </w:pPr>
    </w:p>
    <w:p w14:paraId="3505887A" w14:textId="77777777" w:rsidR="00D250B5" w:rsidRDefault="00D250B5" w:rsidP="004A4944">
      <w:pPr>
        <w:tabs>
          <w:tab w:val="left" w:pos="540"/>
          <w:tab w:val="left" w:pos="569"/>
        </w:tabs>
        <w:rPr>
          <w:b/>
          <w:bCs/>
          <w:sz w:val="22"/>
          <w:szCs w:val="22"/>
          <w:lang w:val="sr-Latn-RS"/>
        </w:rPr>
      </w:pPr>
    </w:p>
    <w:p w14:paraId="29100793" w14:textId="77777777" w:rsidR="00D250B5" w:rsidRDefault="00D250B5" w:rsidP="004A4944">
      <w:pPr>
        <w:tabs>
          <w:tab w:val="left" w:pos="540"/>
          <w:tab w:val="left" w:pos="569"/>
        </w:tabs>
        <w:rPr>
          <w:b/>
          <w:bCs/>
          <w:sz w:val="22"/>
          <w:szCs w:val="22"/>
          <w:lang w:val="sr-Latn-RS"/>
        </w:rPr>
      </w:pPr>
    </w:p>
    <w:p w14:paraId="11821369" w14:textId="6472F438" w:rsidR="00673769" w:rsidRPr="00B32307" w:rsidRDefault="004A4944" w:rsidP="004A4944">
      <w:pPr>
        <w:tabs>
          <w:tab w:val="left" w:pos="540"/>
          <w:tab w:val="left" w:pos="569"/>
        </w:tabs>
        <w:rPr>
          <w:b/>
          <w:bCs/>
          <w:sz w:val="22"/>
          <w:szCs w:val="22"/>
          <w:lang w:val="sr-Latn-RS"/>
        </w:rPr>
      </w:pPr>
      <w:r w:rsidRPr="00B32307">
        <w:rPr>
          <w:b/>
          <w:bCs/>
          <w:sz w:val="22"/>
          <w:szCs w:val="22"/>
          <w:lang w:val="sr-Latn-RS"/>
        </w:rPr>
        <w:lastRenderedPageBreak/>
        <w:t xml:space="preserve">5.2. </w:t>
      </w:r>
      <w:r w:rsidRPr="00B32307">
        <w:rPr>
          <w:b/>
          <w:bCs/>
          <w:sz w:val="22"/>
          <w:szCs w:val="22"/>
          <w:lang w:val="sr-Latn-RS"/>
        </w:rPr>
        <w:tab/>
        <w:t xml:space="preserve">Farmakokinetički podaci </w:t>
      </w:r>
    </w:p>
    <w:p w14:paraId="462F5C9D" w14:textId="77777777" w:rsidR="004A4944" w:rsidRPr="00B32307" w:rsidRDefault="004A4944" w:rsidP="00861284">
      <w:pPr>
        <w:contextualSpacing/>
        <w:jc w:val="both"/>
        <w:rPr>
          <w:b/>
          <w:sz w:val="22"/>
          <w:szCs w:val="22"/>
          <w:u w:val="single"/>
          <w:lang w:val="sr-Latn-RS" w:eastAsia="en-GB"/>
        </w:rPr>
      </w:pPr>
    </w:p>
    <w:p w14:paraId="2200D917" w14:textId="77777777" w:rsidR="00861284" w:rsidRPr="00B32307" w:rsidRDefault="00861284" w:rsidP="00861284">
      <w:pPr>
        <w:contextualSpacing/>
        <w:jc w:val="both"/>
        <w:rPr>
          <w:b/>
          <w:sz w:val="22"/>
          <w:szCs w:val="22"/>
          <w:u w:val="single"/>
          <w:lang w:val="sr-Latn-RS" w:eastAsia="en-GB"/>
        </w:rPr>
      </w:pPr>
      <w:r w:rsidRPr="00B32307">
        <w:rPr>
          <w:b/>
          <w:sz w:val="22"/>
          <w:szCs w:val="22"/>
          <w:u w:val="single"/>
          <w:lang w:val="sr-Latn-RS" w:eastAsia="en-GB"/>
        </w:rPr>
        <w:t>Resorpcija</w:t>
      </w:r>
    </w:p>
    <w:p w14:paraId="159509F8" w14:textId="77777777" w:rsidR="00861284" w:rsidRPr="00B32307" w:rsidRDefault="00861284" w:rsidP="00861284">
      <w:pPr>
        <w:contextualSpacing/>
        <w:jc w:val="both"/>
        <w:rPr>
          <w:b/>
          <w:sz w:val="22"/>
          <w:szCs w:val="22"/>
          <w:u w:val="single"/>
          <w:lang w:val="sr-Latn-RS" w:eastAsia="en-GB"/>
        </w:rPr>
      </w:pPr>
    </w:p>
    <w:p w14:paraId="11AC34EE" w14:textId="77777777" w:rsidR="00861284" w:rsidRPr="00B32307" w:rsidRDefault="00861284" w:rsidP="00861284">
      <w:pPr>
        <w:contextualSpacing/>
        <w:jc w:val="both"/>
        <w:rPr>
          <w:sz w:val="22"/>
          <w:szCs w:val="22"/>
          <w:lang w:val="sr-Latn-RS" w:eastAsia="en-GB"/>
        </w:rPr>
      </w:pPr>
      <w:r w:rsidRPr="00B32307">
        <w:rPr>
          <w:sz w:val="22"/>
          <w:szCs w:val="22"/>
          <w:lang w:val="sr-Latn-RS" w:eastAsia="en-GB"/>
        </w:rPr>
        <w:t>Bioraspoloživost ropinirola iznosi približno 50% (36–57%). Nakon oralne primjene ropinirola u obliku tableta sa produženim oslobađanjem, dolazi do postepenog povećanja koncentracije u plazmi, sa prosječnim vremenom do postizanja C</w:t>
      </w:r>
      <w:r w:rsidRPr="00B32307">
        <w:rPr>
          <w:sz w:val="22"/>
          <w:szCs w:val="22"/>
          <w:vertAlign w:val="subscript"/>
          <w:lang w:val="sr-Latn-RS" w:eastAsia="en-GB"/>
        </w:rPr>
        <w:t>max</w:t>
      </w:r>
      <w:r w:rsidRPr="00B32307">
        <w:rPr>
          <w:sz w:val="22"/>
          <w:szCs w:val="22"/>
          <w:lang w:val="sr-Latn-RS" w:eastAsia="en-GB"/>
        </w:rPr>
        <w:t xml:space="preserve"> uglavnom između 6 i 10 sati. </w:t>
      </w:r>
    </w:p>
    <w:p w14:paraId="16774D07" w14:textId="77777777" w:rsidR="00861284" w:rsidRPr="00B32307" w:rsidRDefault="00861284" w:rsidP="00861284">
      <w:pPr>
        <w:contextualSpacing/>
        <w:jc w:val="both"/>
        <w:rPr>
          <w:sz w:val="22"/>
          <w:szCs w:val="22"/>
          <w:lang w:val="sr-Latn-RS" w:eastAsia="en-GB"/>
        </w:rPr>
      </w:pPr>
      <w:r w:rsidRPr="00B32307">
        <w:rPr>
          <w:sz w:val="22"/>
          <w:szCs w:val="22"/>
          <w:lang w:val="sr-Latn-RS" w:eastAsia="en-GB"/>
        </w:rPr>
        <w:t>U stanju dinamičke ravnoteže, kod 25 pacijenata sa Parkinsonovom bolešću koji su jednom dnevno primjenjivali 12 mg ropinirola u obliku tablete sa produženim oslobađanjem, uzimanje obroka sa visokim sadržajem masti je povećao sistemsku izloženost ropinirolu, što je pokazano prosječnim povećanjem od 20% vrijednosti PIK-a i prosječnim povećanjem vrijednosti C</w:t>
      </w:r>
      <w:r w:rsidRPr="00B32307">
        <w:rPr>
          <w:sz w:val="22"/>
          <w:szCs w:val="22"/>
          <w:vertAlign w:val="subscript"/>
          <w:lang w:val="sr-Latn-RS" w:eastAsia="en-GB"/>
        </w:rPr>
        <w:t>max</w:t>
      </w:r>
      <w:r w:rsidRPr="00B32307">
        <w:rPr>
          <w:sz w:val="22"/>
          <w:szCs w:val="22"/>
          <w:lang w:val="sr-Latn-RS" w:eastAsia="en-GB"/>
        </w:rPr>
        <w:t xml:space="preserve"> od 44%. T</w:t>
      </w:r>
      <w:r w:rsidRPr="00B32307">
        <w:rPr>
          <w:sz w:val="22"/>
          <w:szCs w:val="22"/>
          <w:vertAlign w:val="subscript"/>
          <w:lang w:val="sr-Latn-RS" w:eastAsia="en-GB"/>
        </w:rPr>
        <w:t>max</w:t>
      </w:r>
      <w:r w:rsidRPr="00B32307">
        <w:rPr>
          <w:sz w:val="22"/>
          <w:szCs w:val="22"/>
          <w:lang w:val="sr-Latn-RS" w:eastAsia="en-GB"/>
        </w:rPr>
        <w:t xml:space="preserve"> je bilo odloženo za 3 sata. Ipak, malo je vjerovatno da su navedene izmjene klinički značajne (na primjer, da dovode do povećanja incidence pojave neželjenih dejstava).</w:t>
      </w:r>
    </w:p>
    <w:p w14:paraId="79D2D2B7" w14:textId="0EAD17B8" w:rsidR="00861284" w:rsidRPr="00B32307" w:rsidRDefault="00861284" w:rsidP="00861284">
      <w:pPr>
        <w:contextualSpacing/>
        <w:jc w:val="both"/>
        <w:rPr>
          <w:sz w:val="22"/>
          <w:szCs w:val="22"/>
          <w:lang w:val="sr-Latn-RS" w:eastAsia="en-GB"/>
        </w:rPr>
      </w:pPr>
      <w:r w:rsidRPr="00B32307">
        <w:rPr>
          <w:sz w:val="22"/>
          <w:szCs w:val="22"/>
          <w:lang w:val="sr-Latn-RS" w:eastAsia="en-GB"/>
        </w:rPr>
        <w:t>Pri primjeni jednakih dnevnih doza, sistemska izloženost ropinirolu je uporediva za ropinirol primijenjen u obliku tableta sa produženim oslobađanjem i ropinirol u obliku film tableta sa trenutnim oslobađanjem.</w:t>
      </w:r>
    </w:p>
    <w:p w14:paraId="27EABA22" w14:textId="77777777" w:rsidR="00861284" w:rsidRPr="00B32307" w:rsidRDefault="00861284" w:rsidP="00861284">
      <w:pPr>
        <w:contextualSpacing/>
        <w:jc w:val="both"/>
        <w:rPr>
          <w:sz w:val="22"/>
          <w:szCs w:val="22"/>
          <w:lang w:val="sr-Latn-RS" w:eastAsia="en-GB"/>
        </w:rPr>
      </w:pPr>
    </w:p>
    <w:p w14:paraId="72F3635F" w14:textId="77777777" w:rsidR="00861284" w:rsidRPr="00B32307" w:rsidRDefault="00861284" w:rsidP="00861284">
      <w:pPr>
        <w:contextualSpacing/>
        <w:jc w:val="both"/>
        <w:rPr>
          <w:b/>
          <w:sz w:val="22"/>
          <w:szCs w:val="22"/>
          <w:u w:val="single"/>
          <w:lang w:val="sr-Latn-RS" w:eastAsia="en-GB"/>
        </w:rPr>
      </w:pPr>
      <w:r w:rsidRPr="00B32307">
        <w:rPr>
          <w:b/>
          <w:sz w:val="22"/>
          <w:szCs w:val="22"/>
          <w:u w:val="single"/>
          <w:lang w:val="sr-Latn-RS" w:eastAsia="en-GB"/>
        </w:rPr>
        <w:t>Distribucija</w:t>
      </w:r>
    </w:p>
    <w:p w14:paraId="7E38161D" w14:textId="77777777" w:rsidR="00861284" w:rsidRPr="00B32307" w:rsidRDefault="00861284" w:rsidP="00861284">
      <w:pPr>
        <w:contextualSpacing/>
        <w:jc w:val="both"/>
        <w:rPr>
          <w:b/>
          <w:sz w:val="22"/>
          <w:szCs w:val="22"/>
          <w:u w:val="single"/>
          <w:lang w:val="sr-Latn-RS" w:eastAsia="en-GB"/>
        </w:rPr>
      </w:pPr>
    </w:p>
    <w:p w14:paraId="48B5583C" w14:textId="72EDF220" w:rsidR="00861284" w:rsidRPr="00B32307" w:rsidRDefault="00861284" w:rsidP="00861284">
      <w:pPr>
        <w:contextualSpacing/>
        <w:jc w:val="both"/>
        <w:rPr>
          <w:sz w:val="22"/>
          <w:szCs w:val="22"/>
          <w:lang w:val="sr-Latn-RS" w:eastAsia="en-GB"/>
        </w:rPr>
      </w:pPr>
      <w:r w:rsidRPr="00B32307">
        <w:rPr>
          <w:sz w:val="22"/>
          <w:szCs w:val="22"/>
          <w:lang w:val="sr-Latn-RS" w:eastAsia="en-GB"/>
        </w:rPr>
        <w:t xml:space="preserve">Vezivanje ropinirola za proteine plazme je nisko (10–40%). U skladu sa izraženom lipofilnošću ropinirola, ropinirol pokazuje veliki volumen distribucije (približno 7 </w:t>
      </w:r>
      <w:r w:rsidR="005A0DE2" w:rsidRPr="00B32307">
        <w:rPr>
          <w:sz w:val="22"/>
          <w:szCs w:val="22"/>
          <w:lang w:val="sr-Latn-RS" w:eastAsia="en-GB"/>
        </w:rPr>
        <w:t>l</w:t>
      </w:r>
      <w:r w:rsidRPr="00B32307">
        <w:rPr>
          <w:sz w:val="22"/>
          <w:szCs w:val="22"/>
          <w:lang w:val="sr-Latn-RS" w:eastAsia="en-GB"/>
        </w:rPr>
        <w:t xml:space="preserve">/kg). </w:t>
      </w:r>
    </w:p>
    <w:p w14:paraId="7006DFD1" w14:textId="77777777" w:rsidR="00861284" w:rsidRPr="00B32307" w:rsidRDefault="00861284" w:rsidP="00861284">
      <w:pPr>
        <w:contextualSpacing/>
        <w:jc w:val="both"/>
        <w:rPr>
          <w:sz w:val="22"/>
          <w:szCs w:val="22"/>
          <w:lang w:val="sr-Latn-RS" w:eastAsia="en-GB"/>
        </w:rPr>
      </w:pPr>
    </w:p>
    <w:p w14:paraId="52C555F4" w14:textId="77777777" w:rsidR="00861284" w:rsidRPr="00B32307" w:rsidRDefault="00861284" w:rsidP="00861284">
      <w:pPr>
        <w:contextualSpacing/>
        <w:jc w:val="both"/>
        <w:rPr>
          <w:b/>
          <w:sz w:val="22"/>
          <w:szCs w:val="22"/>
          <w:u w:val="single"/>
          <w:lang w:val="sr-Latn-RS" w:eastAsia="en-GB"/>
        </w:rPr>
      </w:pPr>
      <w:r w:rsidRPr="00B32307">
        <w:rPr>
          <w:b/>
          <w:sz w:val="22"/>
          <w:szCs w:val="22"/>
          <w:u w:val="single"/>
          <w:lang w:val="sr-Latn-RS" w:eastAsia="en-GB"/>
        </w:rPr>
        <w:t>Biotransformacija</w:t>
      </w:r>
    </w:p>
    <w:p w14:paraId="777F4362" w14:textId="77777777" w:rsidR="00861284" w:rsidRPr="00B32307" w:rsidRDefault="00861284" w:rsidP="00861284">
      <w:pPr>
        <w:contextualSpacing/>
        <w:jc w:val="both"/>
        <w:rPr>
          <w:b/>
          <w:sz w:val="22"/>
          <w:szCs w:val="22"/>
          <w:u w:val="single"/>
          <w:lang w:val="sr-Latn-RS" w:eastAsia="en-GB"/>
        </w:rPr>
      </w:pPr>
    </w:p>
    <w:p w14:paraId="68490D52" w14:textId="77777777" w:rsidR="00861284" w:rsidRPr="00B32307" w:rsidRDefault="00861284" w:rsidP="00861284">
      <w:pPr>
        <w:contextualSpacing/>
        <w:jc w:val="both"/>
        <w:rPr>
          <w:sz w:val="22"/>
          <w:szCs w:val="22"/>
          <w:lang w:val="sr-Latn-RS" w:eastAsia="en-GB"/>
        </w:rPr>
      </w:pPr>
      <w:r w:rsidRPr="00B32307">
        <w:rPr>
          <w:sz w:val="22"/>
          <w:szCs w:val="22"/>
          <w:lang w:val="sr-Latn-RS" w:eastAsia="en-GB"/>
        </w:rPr>
        <w:t>Ropinirol se prvenstveno eliminiše pomoću metabolizma CYP1A2 i njegovi metaboliti se uglavnom izlučuju putem urina. Ispitivanjem dopaminergičke funkcije na životinjskim modelima, utvrđeno je da je glavni metabolit najmanje 100 puta slabiji od ropinirola.</w:t>
      </w:r>
    </w:p>
    <w:p w14:paraId="5590F368" w14:textId="77777777" w:rsidR="00861284" w:rsidRPr="00B32307" w:rsidRDefault="00861284" w:rsidP="00861284">
      <w:pPr>
        <w:contextualSpacing/>
        <w:jc w:val="both"/>
        <w:rPr>
          <w:sz w:val="22"/>
          <w:szCs w:val="22"/>
          <w:lang w:val="sr-Latn-RS" w:eastAsia="en-GB"/>
        </w:rPr>
      </w:pPr>
    </w:p>
    <w:p w14:paraId="34D6B6D9" w14:textId="77777777" w:rsidR="00861284" w:rsidRPr="00B32307" w:rsidRDefault="00861284" w:rsidP="00861284">
      <w:pPr>
        <w:keepNext/>
        <w:contextualSpacing/>
        <w:jc w:val="both"/>
        <w:rPr>
          <w:b/>
          <w:sz w:val="22"/>
          <w:szCs w:val="22"/>
          <w:u w:val="single"/>
          <w:lang w:val="sr-Latn-RS" w:eastAsia="en-GB"/>
        </w:rPr>
      </w:pPr>
      <w:r w:rsidRPr="00B32307">
        <w:rPr>
          <w:b/>
          <w:sz w:val="22"/>
          <w:szCs w:val="22"/>
          <w:u w:val="single"/>
          <w:lang w:val="sr-Latn-RS" w:eastAsia="en-GB"/>
        </w:rPr>
        <w:t>Eliminacija</w:t>
      </w:r>
    </w:p>
    <w:p w14:paraId="2C31630C" w14:textId="77777777" w:rsidR="00861284" w:rsidRPr="00B32307" w:rsidRDefault="00861284" w:rsidP="00861284">
      <w:pPr>
        <w:keepNext/>
        <w:contextualSpacing/>
        <w:jc w:val="both"/>
        <w:rPr>
          <w:b/>
          <w:sz w:val="22"/>
          <w:szCs w:val="22"/>
          <w:u w:val="single"/>
          <w:lang w:val="sr-Latn-RS" w:eastAsia="en-GB"/>
        </w:rPr>
      </w:pPr>
    </w:p>
    <w:p w14:paraId="7DB19062" w14:textId="77777777" w:rsidR="00861284" w:rsidRPr="00B32307" w:rsidRDefault="00861284" w:rsidP="00861284">
      <w:pPr>
        <w:contextualSpacing/>
        <w:jc w:val="both"/>
        <w:rPr>
          <w:sz w:val="22"/>
          <w:szCs w:val="22"/>
          <w:lang w:val="sr-Latn-RS" w:eastAsia="en-GB"/>
        </w:rPr>
      </w:pPr>
      <w:r w:rsidRPr="00B32307">
        <w:rPr>
          <w:sz w:val="22"/>
          <w:szCs w:val="22"/>
          <w:lang w:val="sr-Latn-RS" w:eastAsia="en-GB"/>
        </w:rPr>
        <w:t>Ropinirol se iz sistemske cirkulacije eliminiše sa prosječnim poluvremenom eliminacije od oko 6 sati.</w:t>
      </w:r>
    </w:p>
    <w:p w14:paraId="1FFCF551" w14:textId="77777777" w:rsidR="00861284" w:rsidRPr="00B32307" w:rsidRDefault="00861284" w:rsidP="00861284">
      <w:pPr>
        <w:contextualSpacing/>
        <w:jc w:val="both"/>
        <w:rPr>
          <w:sz w:val="22"/>
          <w:szCs w:val="22"/>
          <w:lang w:val="sr-Latn-RS" w:eastAsia="en-GB"/>
        </w:rPr>
      </w:pPr>
      <w:r w:rsidRPr="00B32307">
        <w:rPr>
          <w:sz w:val="22"/>
          <w:szCs w:val="22"/>
          <w:lang w:val="sr-Latn-RS" w:eastAsia="en-GB"/>
        </w:rPr>
        <w:t>Porast sistemske izloženosti (C</w:t>
      </w:r>
      <w:r w:rsidRPr="00B32307">
        <w:rPr>
          <w:sz w:val="22"/>
          <w:szCs w:val="22"/>
          <w:vertAlign w:val="subscript"/>
          <w:lang w:val="sr-Latn-RS" w:eastAsia="en-GB"/>
        </w:rPr>
        <w:t>max</w:t>
      </w:r>
      <w:r w:rsidRPr="00B32307">
        <w:rPr>
          <w:sz w:val="22"/>
          <w:szCs w:val="22"/>
          <w:lang w:val="sr-Latn-RS" w:eastAsia="en-GB"/>
        </w:rPr>
        <w:t xml:space="preserve"> i PIK) ropinirolu je približno proporcionalan za čitav opseg terapijskih doza. Nije uočena promjena klirensa ropinirola primijenjenog oralnim putem nakon primjene pojedinačnih ili ponovljenih doza. Uočena je opsežna inter-individualna varijabilnost farmakokinetičkih parametara. Nakon primjene ropinirola u obliku tableta sa produženim oslobađanjem u stanju dinamičke ravnoteže, inter-individualna varijabilnost za C</w:t>
      </w:r>
      <w:r w:rsidRPr="00B32307">
        <w:rPr>
          <w:sz w:val="22"/>
          <w:szCs w:val="22"/>
          <w:vertAlign w:val="subscript"/>
          <w:lang w:val="sr-Latn-RS" w:eastAsia="en-GB"/>
        </w:rPr>
        <w:t>max</w:t>
      </w:r>
      <w:r w:rsidRPr="00B32307">
        <w:rPr>
          <w:sz w:val="22"/>
          <w:szCs w:val="22"/>
          <w:lang w:val="sr-Latn-RS" w:eastAsia="en-GB"/>
        </w:rPr>
        <w:t xml:space="preserve"> bila je između 30% i 55%, dok je za PIK iznosila između 40% i 70%.</w:t>
      </w:r>
    </w:p>
    <w:p w14:paraId="465BE5B0" w14:textId="77777777" w:rsidR="00861284" w:rsidRPr="00B32307" w:rsidRDefault="00861284" w:rsidP="00861284">
      <w:pPr>
        <w:contextualSpacing/>
        <w:jc w:val="both"/>
        <w:rPr>
          <w:sz w:val="22"/>
          <w:szCs w:val="22"/>
          <w:lang w:val="sr-Latn-RS" w:eastAsia="en-GB"/>
        </w:rPr>
      </w:pPr>
    </w:p>
    <w:p w14:paraId="4E8772CB" w14:textId="77777777" w:rsidR="00861284" w:rsidRPr="00B32307" w:rsidRDefault="00861284" w:rsidP="00861284">
      <w:pPr>
        <w:keepNext/>
        <w:contextualSpacing/>
        <w:jc w:val="both"/>
        <w:rPr>
          <w:b/>
          <w:sz w:val="22"/>
          <w:szCs w:val="22"/>
          <w:u w:val="single"/>
          <w:lang w:val="sr-Latn-RS" w:eastAsia="en-GB"/>
        </w:rPr>
      </w:pPr>
      <w:r w:rsidRPr="00B32307">
        <w:rPr>
          <w:b/>
          <w:sz w:val="22"/>
          <w:szCs w:val="22"/>
          <w:u w:val="single"/>
          <w:lang w:val="sr-Latn-RS" w:eastAsia="en-GB"/>
        </w:rPr>
        <w:t>Oštećenje bubrega</w:t>
      </w:r>
    </w:p>
    <w:p w14:paraId="3D4BB821" w14:textId="77777777" w:rsidR="00861284" w:rsidRPr="00B32307" w:rsidRDefault="00861284" w:rsidP="00861284">
      <w:pPr>
        <w:keepNext/>
        <w:contextualSpacing/>
        <w:jc w:val="both"/>
        <w:rPr>
          <w:b/>
          <w:sz w:val="22"/>
          <w:szCs w:val="22"/>
          <w:u w:val="single"/>
          <w:lang w:val="sr-Latn-RS" w:eastAsia="en-GB"/>
        </w:rPr>
      </w:pPr>
    </w:p>
    <w:p w14:paraId="1CE3906C" w14:textId="77777777" w:rsidR="00861284" w:rsidRPr="00B32307" w:rsidRDefault="00861284" w:rsidP="00861284">
      <w:pPr>
        <w:contextualSpacing/>
        <w:jc w:val="both"/>
        <w:rPr>
          <w:sz w:val="22"/>
          <w:szCs w:val="22"/>
          <w:lang w:val="sr-Latn-RS" w:eastAsia="en-GB"/>
        </w:rPr>
      </w:pPr>
      <w:r w:rsidRPr="00B32307">
        <w:rPr>
          <w:sz w:val="22"/>
          <w:szCs w:val="22"/>
          <w:lang w:val="sr-Latn-RS" w:eastAsia="en-GB"/>
        </w:rPr>
        <w:t>Nijesu zabilježene promjene u farmakokinetici ropinirola kod pacijenata sa Parkinsonovom bolešću koji imaju blago do umjereno oštećenje bubrega.</w:t>
      </w:r>
    </w:p>
    <w:p w14:paraId="61284F2E" w14:textId="1D26E4DE" w:rsidR="00861284" w:rsidRPr="00B32307" w:rsidRDefault="00861284" w:rsidP="00861284">
      <w:pPr>
        <w:contextualSpacing/>
        <w:jc w:val="both"/>
        <w:rPr>
          <w:sz w:val="22"/>
          <w:szCs w:val="22"/>
          <w:lang w:val="sr-Latn-RS" w:eastAsia="en-GB"/>
        </w:rPr>
      </w:pPr>
      <w:r w:rsidRPr="00B32307">
        <w:rPr>
          <w:sz w:val="22"/>
          <w:szCs w:val="22"/>
          <w:lang w:val="sr-Latn-RS" w:eastAsia="en-GB"/>
        </w:rPr>
        <w:t xml:space="preserve">Kod pacijenata u krajnjem stadijumu bubrežne insuficijencije, koji su na redovnoj hemodijalizi, klirens ropinirola nakon oralne primjene je smanjen za približno 30%. Takođe, nakon oralne primjene ropinirola, klirens metabolita SKF-104557 smanjen je za približno 80%, dok je klirens metabolita SKF-89124 smanjen za približno 60%. Prema tome, maksimalna preporučena doza ropinirola je 18mg kod pacijenata sa Parkinsonovom bolešću koji su u krajnjem stadijumu bubrežne insuficijencije (vidjeti </w:t>
      </w:r>
      <w:r w:rsidR="00AE48A4" w:rsidRPr="00B32307">
        <w:rPr>
          <w:sz w:val="22"/>
          <w:szCs w:val="22"/>
          <w:lang w:val="sr-Latn-RS" w:eastAsia="en-GB"/>
        </w:rPr>
        <w:t>dio</w:t>
      </w:r>
      <w:r w:rsidRPr="00B32307">
        <w:rPr>
          <w:sz w:val="22"/>
          <w:szCs w:val="22"/>
          <w:lang w:val="sr-Latn-RS" w:eastAsia="en-GB"/>
        </w:rPr>
        <w:t xml:space="preserve"> 4.2).</w:t>
      </w:r>
    </w:p>
    <w:p w14:paraId="66C44252" w14:textId="77777777" w:rsidR="00B728C1" w:rsidRPr="00B32307" w:rsidRDefault="00B728C1" w:rsidP="00227AEF">
      <w:pPr>
        <w:contextualSpacing/>
        <w:rPr>
          <w:b/>
          <w:sz w:val="22"/>
          <w:szCs w:val="22"/>
          <w:u w:val="single"/>
          <w:lang w:val="sr-Latn-RS"/>
        </w:rPr>
      </w:pPr>
    </w:p>
    <w:p w14:paraId="5E5F3488" w14:textId="225D0CE4" w:rsidR="00227AEF" w:rsidRPr="00B32307" w:rsidRDefault="00227AEF" w:rsidP="00227AEF">
      <w:pPr>
        <w:contextualSpacing/>
        <w:rPr>
          <w:b/>
          <w:sz w:val="22"/>
          <w:szCs w:val="22"/>
          <w:u w:val="single"/>
          <w:lang w:val="sr-Latn-RS"/>
        </w:rPr>
      </w:pPr>
      <w:r w:rsidRPr="00B32307">
        <w:rPr>
          <w:b/>
          <w:sz w:val="22"/>
          <w:szCs w:val="22"/>
          <w:u w:val="single"/>
          <w:lang w:val="sr-Latn-RS"/>
        </w:rPr>
        <w:t>Trudnoća</w:t>
      </w:r>
    </w:p>
    <w:p w14:paraId="627290A5" w14:textId="089076CE" w:rsidR="004A4944" w:rsidRPr="00B32307" w:rsidRDefault="00227AEF" w:rsidP="004A4944">
      <w:pPr>
        <w:tabs>
          <w:tab w:val="left" w:pos="540"/>
          <w:tab w:val="left" w:pos="569"/>
        </w:tabs>
        <w:rPr>
          <w:b/>
          <w:bCs/>
          <w:sz w:val="22"/>
          <w:szCs w:val="22"/>
          <w:lang w:val="sr-Latn-RS"/>
        </w:rPr>
      </w:pPr>
      <w:r w:rsidRPr="00B32307">
        <w:rPr>
          <w:sz w:val="22"/>
          <w:szCs w:val="22"/>
          <w:lang w:val="sr-Latn-RS"/>
        </w:rPr>
        <w:t>Fiziološke promjene u periodu trudnoće (uključujući smanjenje aktivnosti CYP1A2 izoenzima) mogu dovesti do postepenog povećanja sistemske izloženosti ropinirolu kod majki (vidjeti takođe dio 4.6).</w:t>
      </w:r>
    </w:p>
    <w:p w14:paraId="6023EA39" w14:textId="77777777" w:rsidR="004A4944" w:rsidRPr="00B32307" w:rsidRDefault="004A4944" w:rsidP="004A4944">
      <w:pPr>
        <w:tabs>
          <w:tab w:val="left" w:pos="540"/>
          <w:tab w:val="left" w:pos="569"/>
        </w:tabs>
        <w:rPr>
          <w:b/>
          <w:bCs/>
          <w:sz w:val="22"/>
          <w:szCs w:val="22"/>
          <w:lang w:val="sr-Latn-RS"/>
        </w:rPr>
      </w:pPr>
      <w:r w:rsidRPr="00B32307">
        <w:rPr>
          <w:b/>
          <w:bCs/>
          <w:sz w:val="22"/>
          <w:szCs w:val="22"/>
          <w:lang w:val="sr-Latn-RS"/>
        </w:rPr>
        <w:t xml:space="preserve">5.3. </w:t>
      </w:r>
      <w:r w:rsidRPr="00B32307">
        <w:rPr>
          <w:b/>
          <w:bCs/>
          <w:sz w:val="22"/>
          <w:szCs w:val="22"/>
          <w:lang w:val="sr-Latn-RS"/>
        </w:rPr>
        <w:tab/>
        <w:t xml:space="preserve">Pretklinički podaci o bezbjednosti </w:t>
      </w:r>
    </w:p>
    <w:p w14:paraId="5DE6B5E6" w14:textId="77777777" w:rsidR="005A0DE2" w:rsidRPr="00B32307" w:rsidRDefault="005A0DE2" w:rsidP="004A4944">
      <w:pPr>
        <w:contextualSpacing/>
        <w:jc w:val="both"/>
        <w:rPr>
          <w:b/>
          <w:sz w:val="22"/>
          <w:szCs w:val="22"/>
          <w:u w:val="single"/>
          <w:lang w:val="sr-Latn-RS" w:eastAsia="en-GB"/>
        </w:rPr>
      </w:pPr>
    </w:p>
    <w:p w14:paraId="5CDD7634" w14:textId="4AE21259" w:rsidR="004A4944" w:rsidRPr="00B32307" w:rsidRDefault="004A4944" w:rsidP="004A4944">
      <w:pPr>
        <w:contextualSpacing/>
        <w:jc w:val="both"/>
        <w:rPr>
          <w:b/>
          <w:sz w:val="22"/>
          <w:szCs w:val="22"/>
          <w:u w:val="single"/>
          <w:lang w:val="sr-Latn-RS" w:eastAsia="en-GB"/>
        </w:rPr>
      </w:pPr>
      <w:r w:rsidRPr="00B32307">
        <w:rPr>
          <w:b/>
          <w:sz w:val="22"/>
          <w:szCs w:val="22"/>
          <w:u w:val="single"/>
          <w:lang w:val="sr-Latn-RS" w:eastAsia="en-GB"/>
        </w:rPr>
        <w:t>Reproduktivna toksičnost</w:t>
      </w:r>
    </w:p>
    <w:p w14:paraId="370C9F81" w14:textId="77777777" w:rsidR="004A4944" w:rsidRPr="00B32307" w:rsidRDefault="004A4944" w:rsidP="004A4944">
      <w:pPr>
        <w:contextualSpacing/>
        <w:jc w:val="both"/>
        <w:rPr>
          <w:b/>
          <w:sz w:val="22"/>
          <w:szCs w:val="22"/>
          <w:u w:val="single"/>
          <w:lang w:val="sr-Latn-RS" w:eastAsia="en-GB"/>
        </w:rPr>
      </w:pPr>
    </w:p>
    <w:p w14:paraId="7A4FDFF1" w14:textId="77777777" w:rsidR="004A4944" w:rsidRPr="00B32307" w:rsidRDefault="004A4944" w:rsidP="00406C24">
      <w:pPr>
        <w:jc w:val="both"/>
        <w:rPr>
          <w:sz w:val="22"/>
          <w:szCs w:val="22"/>
          <w:lang w:val="sr-Latn-RS"/>
        </w:rPr>
      </w:pPr>
      <w:r w:rsidRPr="00B32307">
        <w:rPr>
          <w:sz w:val="22"/>
          <w:szCs w:val="22"/>
          <w:lang w:val="sr-Latn-RS"/>
        </w:rPr>
        <w:t>Ispitivanje fertiliteta kod ženki pacova uočen je uticaj na implantaciju, usljed smanjenja nivoa prolaktina izazvanog ropirinolom. Potrebno je istaći da prolaktin nema glavni uticaj na implantaciju kod ljudi.</w:t>
      </w:r>
    </w:p>
    <w:p w14:paraId="654F16B6" w14:textId="77777777" w:rsidR="004A4944" w:rsidRPr="00B32307" w:rsidRDefault="004A4944" w:rsidP="00406C24">
      <w:pPr>
        <w:jc w:val="both"/>
        <w:rPr>
          <w:sz w:val="22"/>
          <w:szCs w:val="22"/>
          <w:lang w:val="sr-Latn-RS" w:eastAsia="en-GB"/>
        </w:rPr>
      </w:pPr>
      <w:r w:rsidRPr="00B32307">
        <w:rPr>
          <w:sz w:val="22"/>
          <w:szCs w:val="22"/>
          <w:lang w:val="sr-Latn-RS" w:eastAsia="en-GB"/>
        </w:rPr>
        <w:lastRenderedPageBreak/>
        <w:t xml:space="preserve">Primjena ropinirola gravidnim pacovima u dozama toksičnim za majku, dovela je do smanjenja tjelesne mase fetusa pri dozi od 60 mg/kg/dnevno (srednja vrijednost PIK kod pacova približno je dvostruko veća od PIK pri maksimalnoj preporučenoj dozi kod ljudi </w:t>
      </w:r>
      <w:r w:rsidRPr="00B32307">
        <w:rPr>
          <w:i/>
          <w:sz w:val="22"/>
          <w:szCs w:val="22"/>
          <w:lang w:val="sr-Latn-RS" w:eastAsia="en-GB"/>
        </w:rPr>
        <w:t>(Maximum Recommended Human Dose</w:t>
      </w:r>
      <w:r w:rsidRPr="00B32307">
        <w:rPr>
          <w:sz w:val="22"/>
          <w:szCs w:val="22"/>
          <w:lang w:val="sr-Latn-RS" w:eastAsia="en-GB"/>
        </w:rPr>
        <w:t xml:space="preserve"> (MRHD))), veće učestalosti fetalne smrti pri dozi od 90 mg/kg/dnevno (približno 3 puta veći PIK pri MRHD) i malformacija prstiju pri dozi od 150 mg/kg/dnevno (približno 5 puta veći PIK pri MRHD). Nije bilo teratogenih dejstava kod pacova pri dozi od 120 mg/kg/dnevno (približno 4 puta veći PIK pri MRHD), kao ni indicija da će lijek imati uticaja na organogenezu kod kunića, pri primjeni doza ropirinola od 20 mg/kg (9.5 puta veća vrijednost od srednje vrijednosti C</w:t>
      </w:r>
      <w:r w:rsidRPr="00B32307">
        <w:rPr>
          <w:i/>
          <w:sz w:val="22"/>
          <w:szCs w:val="22"/>
          <w:vertAlign w:val="subscript"/>
          <w:lang w:val="sr-Latn-RS" w:eastAsia="en-GB"/>
        </w:rPr>
        <w:t>max</w:t>
      </w:r>
      <w:r w:rsidRPr="00B32307">
        <w:rPr>
          <w:sz w:val="22"/>
          <w:szCs w:val="22"/>
          <w:lang w:val="sr-Latn-RS" w:eastAsia="en-GB"/>
        </w:rPr>
        <w:t xml:space="preserve"> kod ljudi pri MRHD). Međutim,  primjena doza ropirinola od 10 mg/kg (4.8 puta veća vrijednost od srednje vrijednosti C</w:t>
      </w:r>
      <w:r w:rsidRPr="00B32307">
        <w:rPr>
          <w:i/>
          <w:sz w:val="22"/>
          <w:szCs w:val="22"/>
          <w:vertAlign w:val="subscript"/>
          <w:lang w:val="sr-Latn-RS" w:eastAsia="en-GB"/>
        </w:rPr>
        <w:t>max</w:t>
      </w:r>
      <w:r w:rsidRPr="00B32307">
        <w:rPr>
          <w:sz w:val="22"/>
          <w:szCs w:val="22"/>
          <w:lang w:val="sr-Latn-RS" w:eastAsia="en-GB"/>
        </w:rPr>
        <w:t xml:space="preserve"> kod ljudi pri MRHD) kod kunića u kombinaciji sa oralnom primjenom L-DOPA dovela je do povećane učestalosti i teških malforamacija prstiju u odnosu kada se primijeni samo L-DOPA.</w:t>
      </w:r>
    </w:p>
    <w:p w14:paraId="26272F31" w14:textId="77777777" w:rsidR="004A4944" w:rsidRPr="00B32307" w:rsidRDefault="004A4944" w:rsidP="004A4944">
      <w:pPr>
        <w:contextualSpacing/>
        <w:jc w:val="both"/>
        <w:rPr>
          <w:sz w:val="22"/>
          <w:szCs w:val="22"/>
          <w:lang w:val="sr-Latn-RS" w:eastAsia="en-GB"/>
        </w:rPr>
      </w:pPr>
    </w:p>
    <w:p w14:paraId="484A33EE" w14:textId="77777777" w:rsidR="004A4944" w:rsidRPr="00B32307" w:rsidRDefault="004A4944" w:rsidP="004A4944">
      <w:pPr>
        <w:contextualSpacing/>
        <w:jc w:val="both"/>
        <w:rPr>
          <w:b/>
          <w:sz w:val="22"/>
          <w:szCs w:val="22"/>
          <w:u w:val="single"/>
          <w:lang w:val="sr-Latn-RS" w:eastAsia="en-GB"/>
        </w:rPr>
      </w:pPr>
      <w:r w:rsidRPr="00B32307">
        <w:rPr>
          <w:b/>
          <w:sz w:val="22"/>
          <w:szCs w:val="22"/>
          <w:u w:val="single"/>
          <w:lang w:val="sr-Latn-RS" w:eastAsia="en-GB"/>
        </w:rPr>
        <w:t>Toksikologija</w:t>
      </w:r>
    </w:p>
    <w:p w14:paraId="61B71617" w14:textId="77777777" w:rsidR="004A4944" w:rsidRPr="00B32307" w:rsidRDefault="004A4944" w:rsidP="004A4944">
      <w:pPr>
        <w:contextualSpacing/>
        <w:jc w:val="both"/>
        <w:rPr>
          <w:b/>
          <w:sz w:val="22"/>
          <w:szCs w:val="22"/>
          <w:u w:val="single"/>
          <w:lang w:val="sr-Latn-RS" w:eastAsia="en-GB"/>
        </w:rPr>
      </w:pPr>
    </w:p>
    <w:p w14:paraId="47D74805" w14:textId="66F51264" w:rsidR="004A4944" w:rsidRPr="00B32307" w:rsidRDefault="004A4944" w:rsidP="004A4944">
      <w:pPr>
        <w:contextualSpacing/>
        <w:jc w:val="both"/>
        <w:rPr>
          <w:sz w:val="22"/>
          <w:szCs w:val="22"/>
          <w:lang w:val="sr-Latn-RS" w:eastAsia="en-GB"/>
        </w:rPr>
      </w:pPr>
      <w:r w:rsidRPr="00B32307">
        <w:rPr>
          <w:sz w:val="22"/>
          <w:szCs w:val="22"/>
          <w:lang w:val="sr-Latn-RS" w:eastAsia="en-GB"/>
        </w:rPr>
        <w:t>Toksikološki profil je uglavnom određen farmakološkim dejstvom ropinirola: promjene ponašanja, hipoprolaktinemija, smanjenje krvnog pritiska i srčane frekvence, ptoza i salivacija. U jednom dugoročnom istraživanju, pri primjeni maksimalnih doza (50</w:t>
      </w:r>
      <w:r w:rsidR="005A0DE2" w:rsidRPr="00B32307">
        <w:rPr>
          <w:sz w:val="22"/>
          <w:szCs w:val="22"/>
          <w:lang w:val="sr-Latn-RS" w:eastAsia="en-GB"/>
        </w:rPr>
        <w:t xml:space="preserve"> </w:t>
      </w:r>
      <w:r w:rsidRPr="00B32307">
        <w:rPr>
          <w:sz w:val="22"/>
          <w:szCs w:val="22"/>
          <w:lang w:val="sr-Latn-RS" w:eastAsia="en-GB"/>
        </w:rPr>
        <w:t>mg/kg/dnevno) uočena je degeneracija retine isključivo kod albino pacova, koja je vjerovatno posljedica veće izloženosti retine svjetlosti.</w:t>
      </w:r>
    </w:p>
    <w:p w14:paraId="28F2D597" w14:textId="77777777" w:rsidR="004A4944" w:rsidRPr="00B32307" w:rsidRDefault="004A4944" w:rsidP="004A4944">
      <w:pPr>
        <w:contextualSpacing/>
        <w:jc w:val="both"/>
        <w:rPr>
          <w:sz w:val="22"/>
          <w:szCs w:val="22"/>
          <w:lang w:val="sr-Latn-RS" w:eastAsia="en-GB"/>
        </w:rPr>
      </w:pPr>
    </w:p>
    <w:p w14:paraId="06F8B94E" w14:textId="77777777" w:rsidR="004A4944" w:rsidRPr="00B32307" w:rsidRDefault="004A4944" w:rsidP="004A4944">
      <w:pPr>
        <w:contextualSpacing/>
        <w:jc w:val="both"/>
        <w:rPr>
          <w:b/>
          <w:sz w:val="22"/>
          <w:szCs w:val="22"/>
          <w:u w:val="single"/>
          <w:lang w:val="sr-Latn-RS" w:eastAsia="en-GB"/>
        </w:rPr>
      </w:pPr>
      <w:r w:rsidRPr="00B32307">
        <w:rPr>
          <w:b/>
          <w:sz w:val="22"/>
          <w:szCs w:val="22"/>
          <w:u w:val="single"/>
          <w:lang w:val="sr-Latn-RS" w:eastAsia="en-GB"/>
        </w:rPr>
        <w:t>Genotoksičnost</w:t>
      </w:r>
    </w:p>
    <w:p w14:paraId="0EE9A8B3" w14:textId="77777777" w:rsidR="004A4944" w:rsidRPr="00B32307" w:rsidRDefault="004A4944" w:rsidP="004A4944">
      <w:pPr>
        <w:contextualSpacing/>
        <w:jc w:val="both"/>
        <w:rPr>
          <w:b/>
          <w:sz w:val="22"/>
          <w:szCs w:val="22"/>
          <w:u w:val="single"/>
          <w:lang w:val="sr-Latn-RS" w:eastAsia="en-GB"/>
        </w:rPr>
      </w:pPr>
    </w:p>
    <w:p w14:paraId="34F999D1" w14:textId="77777777" w:rsidR="004A4944" w:rsidRPr="00B32307" w:rsidRDefault="004A4944" w:rsidP="004A4944">
      <w:pPr>
        <w:contextualSpacing/>
        <w:jc w:val="both"/>
        <w:rPr>
          <w:sz w:val="22"/>
          <w:szCs w:val="22"/>
          <w:lang w:val="sr-Latn-RS" w:eastAsia="en-GB"/>
        </w:rPr>
      </w:pPr>
      <w:r w:rsidRPr="00B32307">
        <w:rPr>
          <w:sz w:val="22"/>
          <w:szCs w:val="22"/>
          <w:lang w:val="sr-Latn-RS" w:eastAsia="en-GB"/>
        </w:rPr>
        <w:t xml:space="preserve">Nije uočena genotoksičnost u bateriji </w:t>
      </w:r>
      <w:r w:rsidRPr="00B32307">
        <w:rPr>
          <w:i/>
          <w:sz w:val="22"/>
          <w:szCs w:val="22"/>
          <w:lang w:val="sr-Latn-RS" w:eastAsia="en-GB"/>
        </w:rPr>
        <w:t>in vitro</w:t>
      </w:r>
      <w:r w:rsidRPr="00B32307">
        <w:rPr>
          <w:sz w:val="22"/>
          <w:szCs w:val="22"/>
          <w:lang w:val="sr-Latn-RS" w:eastAsia="en-GB"/>
        </w:rPr>
        <w:t xml:space="preserve"> i </w:t>
      </w:r>
      <w:r w:rsidRPr="00B32307">
        <w:rPr>
          <w:i/>
          <w:sz w:val="22"/>
          <w:szCs w:val="22"/>
          <w:lang w:val="sr-Latn-RS" w:eastAsia="en-GB"/>
        </w:rPr>
        <w:t>in vivo</w:t>
      </w:r>
      <w:r w:rsidRPr="00B32307">
        <w:rPr>
          <w:sz w:val="22"/>
          <w:szCs w:val="22"/>
          <w:lang w:val="sr-Latn-RS" w:eastAsia="en-GB"/>
        </w:rPr>
        <w:t xml:space="preserve"> testova koji se najčešće upotrebljavaju.</w:t>
      </w:r>
    </w:p>
    <w:p w14:paraId="668EC901" w14:textId="77777777" w:rsidR="004A4944" w:rsidRPr="00B32307" w:rsidRDefault="004A4944" w:rsidP="004A4944">
      <w:pPr>
        <w:contextualSpacing/>
        <w:jc w:val="both"/>
        <w:rPr>
          <w:b/>
          <w:sz w:val="22"/>
          <w:szCs w:val="22"/>
          <w:u w:val="single"/>
          <w:lang w:val="sr-Latn-RS" w:eastAsia="en-GB"/>
        </w:rPr>
      </w:pPr>
    </w:p>
    <w:p w14:paraId="0EC222A7" w14:textId="77777777" w:rsidR="004A4944" w:rsidRPr="00B32307" w:rsidRDefault="004A4944" w:rsidP="004A4944">
      <w:pPr>
        <w:contextualSpacing/>
        <w:jc w:val="both"/>
        <w:rPr>
          <w:b/>
          <w:sz w:val="22"/>
          <w:szCs w:val="22"/>
          <w:u w:val="single"/>
          <w:lang w:val="sr-Latn-RS" w:eastAsia="en-GB"/>
        </w:rPr>
      </w:pPr>
      <w:r w:rsidRPr="00B32307">
        <w:rPr>
          <w:b/>
          <w:sz w:val="22"/>
          <w:szCs w:val="22"/>
          <w:u w:val="single"/>
          <w:lang w:val="sr-Latn-RS" w:eastAsia="en-GB"/>
        </w:rPr>
        <w:t>Karcinogenost</w:t>
      </w:r>
    </w:p>
    <w:p w14:paraId="48B81ABD" w14:textId="77777777" w:rsidR="004A4944" w:rsidRPr="00B32307" w:rsidRDefault="004A4944" w:rsidP="004A4944">
      <w:pPr>
        <w:contextualSpacing/>
        <w:jc w:val="both"/>
        <w:rPr>
          <w:b/>
          <w:sz w:val="22"/>
          <w:szCs w:val="22"/>
          <w:u w:val="single"/>
          <w:lang w:val="sr-Latn-RS" w:eastAsia="en-GB"/>
        </w:rPr>
      </w:pPr>
    </w:p>
    <w:p w14:paraId="59E695BB" w14:textId="6F7F230D" w:rsidR="004A4944" w:rsidRPr="00B32307" w:rsidRDefault="004A4944" w:rsidP="004A4944">
      <w:pPr>
        <w:contextualSpacing/>
        <w:jc w:val="both"/>
        <w:rPr>
          <w:sz w:val="22"/>
          <w:szCs w:val="22"/>
          <w:lang w:val="sr-Latn-RS" w:eastAsia="en-GB"/>
        </w:rPr>
      </w:pPr>
      <w:r w:rsidRPr="00B32307">
        <w:rPr>
          <w:sz w:val="22"/>
          <w:szCs w:val="22"/>
          <w:lang w:val="sr-Latn-RS" w:eastAsia="en-GB"/>
        </w:rPr>
        <w:t>Na osnovu dvogodišnjih istraživanja sprovedenih na miševima i pacovima pri primjeni doza do 50</w:t>
      </w:r>
      <w:r w:rsidR="005A0DE2" w:rsidRPr="00B32307">
        <w:rPr>
          <w:sz w:val="22"/>
          <w:szCs w:val="22"/>
          <w:lang w:val="sr-Latn-RS" w:eastAsia="en-GB"/>
        </w:rPr>
        <w:t xml:space="preserve"> </w:t>
      </w:r>
      <w:r w:rsidRPr="00B32307">
        <w:rPr>
          <w:sz w:val="22"/>
          <w:szCs w:val="22"/>
          <w:lang w:val="sr-Latn-RS" w:eastAsia="en-GB"/>
        </w:rPr>
        <w:t xml:space="preserve">mg/kg/dnevno, nema dokaza o kancerogenom dejstvu lijeka na miševe. Hiperplazija </w:t>
      </w:r>
      <w:r w:rsidRPr="00B32307">
        <w:rPr>
          <w:i/>
          <w:sz w:val="22"/>
          <w:szCs w:val="22"/>
          <w:lang w:val="sr-Latn-RS" w:eastAsia="en-GB"/>
        </w:rPr>
        <w:t>Leydig</w:t>
      </w:r>
      <w:r w:rsidRPr="00B32307">
        <w:rPr>
          <w:sz w:val="22"/>
          <w:szCs w:val="22"/>
          <w:lang w:val="sr-Latn-RS" w:eastAsia="en-GB"/>
        </w:rPr>
        <w:t>-ovih ćelija i adenom testisa bile su jedine lezije nastale kao posljedica primjene ropinirola kod pacova, usljed hipoprolaktinemijskog dejstva ropinirola. Smatra se da su navedene lezije fenomen specifičan za vrstu i ne predstavljaju opasnost u kliničkoj primjeni ropinirola.</w:t>
      </w:r>
    </w:p>
    <w:p w14:paraId="7E0B154D" w14:textId="77777777" w:rsidR="004A4944" w:rsidRPr="00B32307" w:rsidRDefault="004A4944" w:rsidP="004A4944">
      <w:pPr>
        <w:contextualSpacing/>
        <w:jc w:val="both"/>
        <w:rPr>
          <w:sz w:val="22"/>
          <w:szCs w:val="22"/>
          <w:lang w:val="sr-Latn-RS" w:eastAsia="en-GB"/>
        </w:rPr>
      </w:pPr>
    </w:p>
    <w:p w14:paraId="0A3D1A2B" w14:textId="77777777" w:rsidR="004A4944" w:rsidRPr="00B32307" w:rsidRDefault="004A4944" w:rsidP="004A4944">
      <w:pPr>
        <w:contextualSpacing/>
        <w:jc w:val="both"/>
        <w:rPr>
          <w:b/>
          <w:sz w:val="22"/>
          <w:szCs w:val="22"/>
          <w:u w:val="single"/>
          <w:lang w:val="sr-Latn-RS" w:eastAsia="en-GB"/>
        </w:rPr>
      </w:pPr>
      <w:r w:rsidRPr="00B32307">
        <w:rPr>
          <w:b/>
          <w:sz w:val="22"/>
          <w:szCs w:val="22"/>
          <w:u w:val="single"/>
          <w:lang w:val="sr-Latn-RS" w:eastAsia="en-GB"/>
        </w:rPr>
        <w:t>Farmakološka bezbjednost</w:t>
      </w:r>
    </w:p>
    <w:p w14:paraId="6521AC60" w14:textId="77777777" w:rsidR="004A4944" w:rsidRPr="00B32307" w:rsidRDefault="004A4944" w:rsidP="004A4944">
      <w:pPr>
        <w:contextualSpacing/>
        <w:jc w:val="both"/>
        <w:rPr>
          <w:sz w:val="22"/>
          <w:szCs w:val="22"/>
          <w:lang w:val="sr-Latn-RS" w:eastAsia="en-GB"/>
        </w:rPr>
      </w:pPr>
    </w:p>
    <w:p w14:paraId="57DEC706" w14:textId="06969517" w:rsidR="004A4944" w:rsidRPr="00B32307" w:rsidRDefault="004A4944" w:rsidP="004A4944">
      <w:pPr>
        <w:contextualSpacing/>
        <w:jc w:val="both"/>
        <w:rPr>
          <w:sz w:val="22"/>
          <w:szCs w:val="22"/>
          <w:lang w:val="sr-Latn-RS" w:eastAsia="en-GB"/>
        </w:rPr>
      </w:pPr>
      <w:r w:rsidRPr="00B32307">
        <w:rPr>
          <w:sz w:val="22"/>
          <w:szCs w:val="22"/>
          <w:lang w:val="sr-Latn-RS" w:eastAsia="en-GB"/>
        </w:rPr>
        <w:t xml:space="preserve">Istraživanja </w:t>
      </w:r>
      <w:r w:rsidRPr="00B32307">
        <w:rPr>
          <w:i/>
          <w:sz w:val="22"/>
          <w:szCs w:val="22"/>
          <w:lang w:val="sr-Latn-RS" w:eastAsia="en-GB"/>
        </w:rPr>
        <w:t>in vitro</w:t>
      </w:r>
      <w:r w:rsidRPr="00B32307">
        <w:rPr>
          <w:sz w:val="22"/>
          <w:szCs w:val="22"/>
          <w:lang w:val="sr-Latn-RS" w:eastAsia="en-GB"/>
        </w:rPr>
        <w:t xml:space="preserve"> pokazala su da ropinirol blokira hERG kalijumove kanale. Srednja inhibitorna koncentracija (IC</w:t>
      </w:r>
      <w:r w:rsidRPr="00B32307">
        <w:rPr>
          <w:sz w:val="22"/>
          <w:szCs w:val="22"/>
          <w:vertAlign w:val="subscript"/>
          <w:lang w:val="sr-Latn-RS" w:eastAsia="en-GB"/>
        </w:rPr>
        <w:t>50</w:t>
      </w:r>
      <w:r w:rsidRPr="00B32307">
        <w:rPr>
          <w:sz w:val="22"/>
          <w:szCs w:val="22"/>
          <w:lang w:val="sr-Latn-RS" w:eastAsia="en-GB"/>
        </w:rPr>
        <w:t xml:space="preserve">) je 5 puta viša od očekivane maksimalne koncentracije u plazmi pacijenata liječenih najvećom preporučenom dozom (24 mg/dan), vidjeti </w:t>
      </w:r>
      <w:r w:rsidR="00AE48A4" w:rsidRPr="00B32307">
        <w:rPr>
          <w:sz w:val="22"/>
          <w:szCs w:val="22"/>
          <w:lang w:val="sr-Latn-RS" w:eastAsia="en-GB"/>
        </w:rPr>
        <w:t>dio</w:t>
      </w:r>
      <w:r w:rsidRPr="00B32307">
        <w:rPr>
          <w:sz w:val="22"/>
          <w:szCs w:val="22"/>
          <w:lang w:val="sr-Latn-RS" w:eastAsia="en-GB"/>
        </w:rPr>
        <w:t xml:space="preserve"> 5.1.</w:t>
      </w:r>
    </w:p>
    <w:p w14:paraId="18861D74" w14:textId="6F954ECC" w:rsidR="00396DFD" w:rsidRPr="00B32307" w:rsidRDefault="00396DFD" w:rsidP="00480FB1">
      <w:pPr>
        <w:tabs>
          <w:tab w:val="left" w:pos="540"/>
          <w:tab w:val="left" w:pos="569"/>
        </w:tabs>
        <w:rPr>
          <w:b/>
          <w:bCs/>
          <w:sz w:val="22"/>
          <w:szCs w:val="22"/>
          <w:lang w:val="sr-Latn-RS"/>
        </w:rPr>
      </w:pPr>
    </w:p>
    <w:p w14:paraId="4DFCEE4E" w14:textId="77777777" w:rsidR="00BA0F0B" w:rsidRPr="00B32307" w:rsidRDefault="00BA0F0B" w:rsidP="00480FB1">
      <w:pPr>
        <w:tabs>
          <w:tab w:val="left" w:pos="540"/>
          <w:tab w:val="left" w:pos="569"/>
        </w:tabs>
        <w:rPr>
          <w:b/>
          <w:bCs/>
          <w:sz w:val="22"/>
          <w:szCs w:val="22"/>
          <w:lang w:val="sr-Latn-RS"/>
        </w:rPr>
      </w:pPr>
    </w:p>
    <w:p w14:paraId="6C24B0AC"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6. </w:t>
      </w:r>
      <w:r w:rsidR="00480FB1" w:rsidRPr="00B32307">
        <w:rPr>
          <w:b/>
          <w:bCs/>
          <w:sz w:val="22"/>
          <w:szCs w:val="22"/>
          <w:lang w:val="sr-Latn-RS"/>
        </w:rPr>
        <w:tab/>
      </w:r>
      <w:r w:rsidRPr="00B32307">
        <w:rPr>
          <w:b/>
          <w:bCs/>
          <w:sz w:val="22"/>
          <w:szCs w:val="22"/>
          <w:lang w:val="sr-Latn-RS"/>
        </w:rPr>
        <w:t>FARMACEUTSKI PODACI</w:t>
      </w:r>
    </w:p>
    <w:p w14:paraId="569AA5E7" w14:textId="77777777" w:rsidR="00836B35" w:rsidRPr="00B32307" w:rsidRDefault="00836B35" w:rsidP="00480FB1">
      <w:pPr>
        <w:tabs>
          <w:tab w:val="left" w:pos="540"/>
          <w:tab w:val="left" w:pos="569"/>
        </w:tabs>
        <w:rPr>
          <w:bCs/>
          <w:sz w:val="22"/>
          <w:szCs w:val="22"/>
          <w:lang w:val="sr-Latn-RS"/>
        </w:rPr>
      </w:pPr>
    </w:p>
    <w:p w14:paraId="05DB6CA8"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6.1. </w:t>
      </w:r>
      <w:r w:rsidR="00480FB1" w:rsidRPr="00B32307">
        <w:rPr>
          <w:b/>
          <w:bCs/>
          <w:sz w:val="22"/>
          <w:szCs w:val="22"/>
          <w:lang w:val="sr-Latn-RS"/>
        </w:rPr>
        <w:tab/>
      </w:r>
      <w:r w:rsidRPr="00B32307">
        <w:rPr>
          <w:b/>
          <w:bCs/>
          <w:sz w:val="22"/>
          <w:szCs w:val="22"/>
          <w:lang w:val="sr-Latn-RS"/>
        </w:rPr>
        <w:t>Lista pomoćnih supstanci</w:t>
      </w:r>
      <w:r w:rsidR="002E0135" w:rsidRPr="00B32307">
        <w:rPr>
          <w:b/>
          <w:bCs/>
          <w:sz w:val="22"/>
          <w:szCs w:val="22"/>
          <w:lang w:val="sr-Latn-RS"/>
        </w:rPr>
        <w:t xml:space="preserve"> (ekscipijenasa)</w:t>
      </w:r>
    </w:p>
    <w:p w14:paraId="2443A65B" w14:textId="77777777" w:rsidR="00BA0F0B" w:rsidRPr="00B32307" w:rsidRDefault="00BA0F0B" w:rsidP="00EE063A">
      <w:pPr>
        <w:contextualSpacing/>
        <w:jc w:val="both"/>
        <w:rPr>
          <w:i/>
          <w:sz w:val="22"/>
          <w:szCs w:val="22"/>
          <w:lang w:val="sr-Latn-RS" w:eastAsia="en-GB"/>
        </w:rPr>
      </w:pPr>
    </w:p>
    <w:p w14:paraId="4DE4256C" w14:textId="41599205" w:rsidR="00EE063A" w:rsidRPr="00B32307" w:rsidRDefault="00EE063A" w:rsidP="00EE063A">
      <w:pPr>
        <w:contextualSpacing/>
        <w:jc w:val="both"/>
        <w:rPr>
          <w:i/>
          <w:sz w:val="22"/>
          <w:szCs w:val="22"/>
          <w:lang w:val="sr-Latn-RS" w:eastAsia="en-GB"/>
        </w:rPr>
      </w:pPr>
      <w:r w:rsidRPr="00B32307">
        <w:rPr>
          <w:i/>
          <w:sz w:val="22"/>
          <w:szCs w:val="22"/>
          <w:lang w:val="sr-Latn-RS" w:eastAsia="en-GB"/>
        </w:rPr>
        <w:t xml:space="preserve">REQUIP MODUTAB, tablete sa produženim oslobađanjem, 2 mg, 4 mg, 8 mg </w:t>
      </w:r>
    </w:p>
    <w:p w14:paraId="447C8982" w14:textId="77777777" w:rsidR="00EE063A" w:rsidRPr="00B32307" w:rsidRDefault="00EE063A" w:rsidP="00EE063A">
      <w:pPr>
        <w:contextualSpacing/>
        <w:rPr>
          <w:sz w:val="22"/>
          <w:szCs w:val="22"/>
          <w:u w:val="single"/>
          <w:lang w:val="sr-Latn-RS" w:eastAsia="en-GB"/>
        </w:rPr>
      </w:pPr>
      <w:r w:rsidRPr="00B32307">
        <w:rPr>
          <w:sz w:val="22"/>
          <w:szCs w:val="22"/>
          <w:u w:val="single"/>
          <w:lang w:val="sr-Latn-RS" w:eastAsia="en-GB"/>
        </w:rPr>
        <w:t xml:space="preserve">Jezgro tablete: </w:t>
      </w:r>
    </w:p>
    <w:p w14:paraId="78B421EE"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 xml:space="preserve">Hipromeloza; </w:t>
      </w:r>
    </w:p>
    <w:p w14:paraId="3186A245"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Ricinusovo ulje, hidrogenizovano;</w:t>
      </w:r>
    </w:p>
    <w:p w14:paraId="150BFFD2"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Karmeloza natrijum;</w:t>
      </w:r>
    </w:p>
    <w:p w14:paraId="0861CB19"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 xml:space="preserve">Povidon; </w:t>
      </w:r>
    </w:p>
    <w:p w14:paraId="2AB92D37"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Maltodekstrin;</w:t>
      </w:r>
    </w:p>
    <w:p w14:paraId="1D085420"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Magnezijum stearat;</w:t>
      </w:r>
    </w:p>
    <w:p w14:paraId="63900B7E"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Laktoza, monohidrat;</w:t>
      </w:r>
    </w:p>
    <w:p w14:paraId="2815BFA2"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Silicijum dioksid, koloidni, bezvodni;</w:t>
      </w:r>
    </w:p>
    <w:p w14:paraId="6565820A"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Manitol (E421);</w:t>
      </w:r>
    </w:p>
    <w:p w14:paraId="023AB1D2" w14:textId="77777777" w:rsidR="00EE063A" w:rsidRPr="00B32307" w:rsidRDefault="00EE063A" w:rsidP="00EE063A">
      <w:pPr>
        <w:contextualSpacing/>
        <w:jc w:val="both"/>
        <w:rPr>
          <w:sz w:val="22"/>
          <w:szCs w:val="22"/>
          <w:lang w:val="sr-Latn-RS"/>
        </w:rPr>
      </w:pPr>
      <w:r w:rsidRPr="00B32307">
        <w:rPr>
          <w:sz w:val="22"/>
          <w:szCs w:val="22"/>
          <w:lang w:val="sr-Latn-RS"/>
        </w:rPr>
        <w:t>Gvožđe (III) oksid, žuti (E172);</w:t>
      </w:r>
    </w:p>
    <w:p w14:paraId="20C48641" w14:textId="77777777" w:rsidR="00EE063A" w:rsidRPr="00B32307" w:rsidRDefault="00EE063A" w:rsidP="00EE063A">
      <w:pPr>
        <w:contextualSpacing/>
        <w:jc w:val="both"/>
        <w:rPr>
          <w:sz w:val="22"/>
          <w:szCs w:val="22"/>
          <w:lang w:val="sr-Latn-RS" w:eastAsia="en-GB"/>
        </w:rPr>
      </w:pPr>
      <w:r w:rsidRPr="00B32307">
        <w:rPr>
          <w:sz w:val="22"/>
          <w:szCs w:val="22"/>
          <w:lang w:val="sr-Latn-RS" w:eastAsia="en-GB"/>
        </w:rPr>
        <w:t>Glicerol dibehenat.</w:t>
      </w:r>
    </w:p>
    <w:p w14:paraId="2E5F319A" w14:textId="77777777" w:rsidR="00EE063A" w:rsidRPr="00B32307" w:rsidRDefault="00EE063A" w:rsidP="00EE063A">
      <w:pPr>
        <w:contextualSpacing/>
        <w:jc w:val="both"/>
        <w:rPr>
          <w:bCs/>
          <w:i/>
          <w:sz w:val="22"/>
          <w:szCs w:val="22"/>
          <w:lang w:val="sr-Latn-RS"/>
        </w:rPr>
      </w:pPr>
    </w:p>
    <w:p w14:paraId="11FAE298" w14:textId="77777777" w:rsidR="00D250B5" w:rsidRDefault="00D250B5" w:rsidP="00EE063A">
      <w:pPr>
        <w:contextualSpacing/>
        <w:jc w:val="both"/>
        <w:rPr>
          <w:bCs/>
          <w:i/>
          <w:sz w:val="22"/>
          <w:szCs w:val="22"/>
          <w:lang w:val="sr-Latn-RS"/>
        </w:rPr>
      </w:pPr>
    </w:p>
    <w:p w14:paraId="14FE9E17" w14:textId="6E1E0D8E" w:rsidR="00EE063A" w:rsidRPr="00B32307" w:rsidRDefault="00B32307" w:rsidP="00EE063A">
      <w:pPr>
        <w:contextualSpacing/>
        <w:jc w:val="both"/>
        <w:rPr>
          <w:i/>
          <w:sz w:val="22"/>
          <w:szCs w:val="22"/>
          <w:u w:val="single"/>
          <w:lang w:val="sr-Latn-RS" w:eastAsia="en-GB"/>
        </w:rPr>
      </w:pPr>
      <w:r w:rsidRPr="00B32307">
        <w:rPr>
          <w:bCs/>
          <w:i/>
          <w:sz w:val="22"/>
          <w:szCs w:val="22"/>
          <w:lang w:val="sr-Latn-RS"/>
        </w:rPr>
        <w:lastRenderedPageBreak/>
        <w:t>REQUIP MODUTAB, tableta</w:t>
      </w:r>
      <w:r w:rsidR="00EE063A" w:rsidRPr="00B32307">
        <w:rPr>
          <w:bCs/>
          <w:i/>
          <w:sz w:val="22"/>
          <w:szCs w:val="22"/>
          <w:lang w:val="sr-Latn-RS"/>
        </w:rPr>
        <w:t xml:space="preserve"> sa produženim oslobađanjem</w:t>
      </w:r>
      <w:r w:rsidR="00EE063A" w:rsidRPr="00B32307">
        <w:rPr>
          <w:i/>
          <w:sz w:val="22"/>
          <w:szCs w:val="22"/>
          <w:lang w:val="sr-Latn-RS"/>
        </w:rPr>
        <w:t>, 2 mg</w:t>
      </w:r>
      <w:r w:rsidR="00EE063A" w:rsidRPr="00B32307">
        <w:rPr>
          <w:i/>
          <w:sz w:val="22"/>
          <w:szCs w:val="22"/>
          <w:u w:val="single"/>
          <w:lang w:val="sr-Latn-RS" w:eastAsia="en-GB"/>
        </w:rPr>
        <w:t xml:space="preserve"> </w:t>
      </w:r>
    </w:p>
    <w:p w14:paraId="5FC9145B" w14:textId="5918F577" w:rsidR="00B32307" w:rsidRPr="00D250B5" w:rsidRDefault="00EE063A" w:rsidP="00D250B5">
      <w:pPr>
        <w:pStyle w:val="Indent"/>
        <w:spacing w:before="0"/>
        <w:ind w:left="0"/>
        <w:contextualSpacing/>
        <w:jc w:val="both"/>
        <w:rPr>
          <w:szCs w:val="22"/>
          <w:lang w:val="sr-Latn-RS"/>
        </w:rPr>
      </w:pPr>
      <w:r w:rsidRPr="00B32307">
        <w:rPr>
          <w:szCs w:val="22"/>
          <w:u w:val="single"/>
          <w:lang w:val="sr-Latn-RS"/>
        </w:rPr>
        <w:t>Film omotač:</w:t>
      </w:r>
      <w:r w:rsidRPr="00B32307">
        <w:rPr>
          <w:szCs w:val="22"/>
          <w:lang w:val="sr-Latn-RS"/>
        </w:rPr>
        <w:t xml:space="preserve"> Opadry Pink OY-S-24900 (hipromeloza; gvožđe (III) oksid, žuti (E172); titan dioksid (E171); makrogol 400; gvožđe (III) oksid, crveni (E172)).</w:t>
      </w:r>
    </w:p>
    <w:p w14:paraId="7D7A8D04" w14:textId="77777777" w:rsidR="00B32307" w:rsidRPr="00B32307" w:rsidRDefault="00B32307" w:rsidP="00EE063A">
      <w:pPr>
        <w:contextualSpacing/>
        <w:jc w:val="both"/>
        <w:rPr>
          <w:bCs/>
          <w:i/>
          <w:sz w:val="22"/>
          <w:szCs w:val="22"/>
          <w:lang w:val="sr-Latn-RS"/>
        </w:rPr>
      </w:pPr>
    </w:p>
    <w:p w14:paraId="3192EBDE" w14:textId="7B478C15" w:rsidR="00EE063A" w:rsidRPr="00B32307" w:rsidRDefault="00B32307" w:rsidP="00EE063A">
      <w:pPr>
        <w:contextualSpacing/>
        <w:jc w:val="both"/>
        <w:rPr>
          <w:i/>
          <w:sz w:val="22"/>
          <w:szCs w:val="22"/>
          <w:u w:val="single"/>
          <w:lang w:val="sr-Latn-RS" w:eastAsia="en-GB"/>
        </w:rPr>
      </w:pPr>
      <w:r w:rsidRPr="00B32307">
        <w:rPr>
          <w:bCs/>
          <w:i/>
          <w:sz w:val="22"/>
          <w:szCs w:val="22"/>
          <w:lang w:val="sr-Latn-RS"/>
        </w:rPr>
        <w:t>REQUIP MODUTAB, tableta</w:t>
      </w:r>
      <w:r w:rsidR="00EE063A" w:rsidRPr="00B32307">
        <w:rPr>
          <w:bCs/>
          <w:i/>
          <w:sz w:val="22"/>
          <w:szCs w:val="22"/>
          <w:lang w:val="sr-Latn-RS"/>
        </w:rPr>
        <w:t xml:space="preserve"> sa produženim oslobađanjem</w:t>
      </w:r>
      <w:r w:rsidR="00EE063A" w:rsidRPr="00B32307">
        <w:rPr>
          <w:i/>
          <w:sz w:val="22"/>
          <w:szCs w:val="22"/>
          <w:lang w:val="sr-Latn-RS"/>
        </w:rPr>
        <w:t>, 4 mg</w:t>
      </w:r>
      <w:r w:rsidR="00EE063A" w:rsidRPr="00B32307">
        <w:rPr>
          <w:i/>
          <w:sz w:val="22"/>
          <w:szCs w:val="22"/>
          <w:u w:val="single"/>
          <w:lang w:val="sr-Latn-RS" w:eastAsia="en-GB"/>
        </w:rPr>
        <w:t xml:space="preserve"> </w:t>
      </w:r>
    </w:p>
    <w:p w14:paraId="71D0C8F7" w14:textId="638A8366" w:rsidR="00BA0F0B" w:rsidRPr="00D250B5" w:rsidRDefault="00EE063A" w:rsidP="00D250B5">
      <w:pPr>
        <w:pStyle w:val="Indent"/>
        <w:spacing w:before="0"/>
        <w:ind w:left="0"/>
        <w:contextualSpacing/>
        <w:jc w:val="both"/>
        <w:rPr>
          <w:szCs w:val="22"/>
          <w:lang w:val="sr-Latn-RS"/>
        </w:rPr>
      </w:pPr>
      <w:r w:rsidRPr="00B32307">
        <w:rPr>
          <w:szCs w:val="22"/>
          <w:u w:val="single"/>
          <w:lang w:val="sr-Latn-RS"/>
        </w:rPr>
        <w:t>Film omotač:</w:t>
      </w:r>
      <w:r w:rsidRPr="00B32307">
        <w:rPr>
          <w:szCs w:val="22"/>
          <w:lang w:val="sr-Latn-RS"/>
        </w:rPr>
        <w:t xml:space="preserve"> Opadry Tan OY-27207 (hipromeloza; titan dioksid (E171); makrogol 400; boja sunset yellow FCF aluminijum lak (E110); boja indigo karmin aluminijum lak (E132)).</w:t>
      </w:r>
    </w:p>
    <w:p w14:paraId="6ED97F39" w14:textId="77777777" w:rsidR="00BA0F0B" w:rsidRPr="00B32307" w:rsidRDefault="00BA0F0B" w:rsidP="00EE063A">
      <w:pPr>
        <w:contextualSpacing/>
        <w:jc w:val="both"/>
        <w:rPr>
          <w:bCs/>
          <w:i/>
          <w:sz w:val="22"/>
          <w:szCs w:val="22"/>
          <w:lang w:val="sr-Latn-RS"/>
        </w:rPr>
      </w:pPr>
    </w:p>
    <w:p w14:paraId="42D81ACB" w14:textId="71A143FD" w:rsidR="00EE063A" w:rsidRPr="00B32307" w:rsidRDefault="00B32307" w:rsidP="00EE063A">
      <w:pPr>
        <w:contextualSpacing/>
        <w:jc w:val="both"/>
        <w:rPr>
          <w:i/>
          <w:sz w:val="22"/>
          <w:szCs w:val="22"/>
          <w:u w:val="single"/>
          <w:lang w:val="sr-Latn-RS" w:eastAsia="en-GB"/>
        </w:rPr>
      </w:pPr>
      <w:r w:rsidRPr="00B32307">
        <w:rPr>
          <w:bCs/>
          <w:i/>
          <w:sz w:val="22"/>
          <w:szCs w:val="22"/>
          <w:lang w:val="sr-Latn-RS"/>
        </w:rPr>
        <w:t>REQUIP MODUTAB, tableta</w:t>
      </w:r>
      <w:r w:rsidR="00EE063A" w:rsidRPr="00B32307">
        <w:rPr>
          <w:bCs/>
          <w:i/>
          <w:sz w:val="22"/>
          <w:szCs w:val="22"/>
          <w:lang w:val="sr-Latn-RS"/>
        </w:rPr>
        <w:t xml:space="preserve"> sa produženim oslobađanjem</w:t>
      </w:r>
      <w:r w:rsidR="00EE063A" w:rsidRPr="00B32307">
        <w:rPr>
          <w:i/>
          <w:sz w:val="22"/>
          <w:szCs w:val="22"/>
          <w:lang w:val="sr-Latn-RS"/>
        </w:rPr>
        <w:t>, 8 mg</w:t>
      </w:r>
      <w:r w:rsidR="00EE063A" w:rsidRPr="00B32307">
        <w:rPr>
          <w:i/>
          <w:sz w:val="22"/>
          <w:szCs w:val="22"/>
          <w:u w:val="single"/>
          <w:lang w:val="sr-Latn-RS" w:eastAsia="en-GB"/>
        </w:rPr>
        <w:t xml:space="preserve"> </w:t>
      </w:r>
    </w:p>
    <w:p w14:paraId="7788B137" w14:textId="77777777" w:rsidR="00EE063A" w:rsidRPr="00B32307" w:rsidRDefault="00EE063A" w:rsidP="00EE063A">
      <w:pPr>
        <w:pStyle w:val="Indent"/>
        <w:spacing w:before="0"/>
        <w:ind w:left="0"/>
        <w:contextualSpacing/>
        <w:jc w:val="both"/>
        <w:rPr>
          <w:szCs w:val="22"/>
          <w:lang w:val="sr-Latn-RS"/>
        </w:rPr>
      </w:pPr>
      <w:r w:rsidRPr="00B32307">
        <w:rPr>
          <w:szCs w:val="22"/>
          <w:u w:val="single"/>
          <w:lang w:val="sr-Latn-RS"/>
        </w:rPr>
        <w:t>Film omotač:</w:t>
      </w:r>
      <w:r w:rsidRPr="00B32307">
        <w:rPr>
          <w:szCs w:val="22"/>
          <w:lang w:val="sr-Latn-RS"/>
        </w:rPr>
        <w:t xml:space="preserve"> Opadry Red 03B25227 (hipromeloza; gvožđe (III) oksid, žuti (E172); titan dioksid (E171); gvožđe (III) oksid, crni (E172); makrogol 400; gvožđe (III) oksid, crveni (E172)).</w:t>
      </w:r>
    </w:p>
    <w:p w14:paraId="52037228" w14:textId="77777777" w:rsidR="0072020E" w:rsidRPr="00B32307" w:rsidRDefault="0072020E" w:rsidP="00480FB1">
      <w:pPr>
        <w:tabs>
          <w:tab w:val="left" w:pos="540"/>
          <w:tab w:val="left" w:pos="569"/>
        </w:tabs>
        <w:rPr>
          <w:bCs/>
          <w:sz w:val="22"/>
          <w:szCs w:val="22"/>
          <w:lang w:val="sr-Latn-RS"/>
        </w:rPr>
      </w:pPr>
    </w:p>
    <w:p w14:paraId="693F4703"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6.2. </w:t>
      </w:r>
      <w:r w:rsidR="00480FB1" w:rsidRPr="00B32307">
        <w:rPr>
          <w:b/>
          <w:bCs/>
          <w:sz w:val="22"/>
          <w:szCs w:val="22"/>
          <w:lang w:val="sr-Latn-RS"/>
        </w:rPr>
        <w:tab/>
      </w:r>
      <w:r w:rsidRPr="00B32307">
        <w:rPr>
          <w:b/>
          <w:bCs/>
          <w:sz w:val="22"/>
          <w:szCs w:val="22"/>
          <w:lang w:val="sr-Latn-RS"/>
        </w:rPr>
        <w:t>Inkompatibilnost</w:t>
      </w:r>
      <w:r w:rsidR="002846DB" w:rsidRPr="00B32307">
        <w:rPr>
          <w:b/>
          <w:bCs/>
          <w:sz w:val="22"/>
          <w:szCs w:val="22"/>
          <w:lang w:val="sr-Latn-RS"/>
        </w:rPr>
        <w:t>i</w:t>
      </w:r>
    </w:p>
    <w:p w14:paraId="48830D75" w14:textId="77777777" w:rsidR="00BA0F0B" w:rsidRPr="00B32307" w:rsidRDefault="00BA0F0B" w:rsidP="00C83F0A">
      <w:pPr>
        <w:pStyle w:val="Header"/>
        <w:tabs>
          <w:tab w:val="left" w:pos="284"/>
        </w:tabs>
        <w:jc w:val="both"/>
        <w:rPr>
          <w:sz w:val="22"/>
          <w:szCs w:val="22"/>
          <w:lang w:val="sr-Latn-RS"/>
        </w:rPr>
      </w:pPr>
    </w:p>
    <w:p w14:paraId="3B94402A" w14:textId="0B549FCC" w:rsidR="00C83F0A" w:rsidRPr="00B32307" w:rsidRDefault="00C83F0A" w:rsidP="00C83F0A">
      <w:pPr>
        <w:pStyle w:val="Header"/>
        <w:tabs>
          <w:tab w:val="left" w:pos="284"/>
        </w:tabs>
        <w:jc w:val="both"/>
        <w:rPr>
          <w:sz w:val="22"/>
          <w:szCs w:val="22"/>
          <w:lang w:val="sr-Latn-RS"/>
        </w:rPr>
      </w:pPr>
      <w:r w:rsidRPr="00B32307">
        <w:rPr>
          <w:sz w:val="22"/>
          <w:szCs w:val="22"/>
          <w:lang w:val="sr-Latn-RS"/>
        </w:rPr>
        <w:t>Nije primjenljivo.</w:t>
      </w:r>
    </w:p>
    <w:p w14:paraId="416E71AF" w14:textId="77777777" w:rsidR="0072020E" w:rsidRPr="00B32307" w:rsidRDefault="0072020E" w:rsidP="00480FB1">
      <w:pPr>
        <w:tabs>
          <w:tab w:val="left" w:pos="540"/>
          <w:tab w:val="left" w:pos="569"/>
        </w:tabs>
        <w:rPr>
          <w:bCs/>
          <w:sz w:val="22"/>
          <w:szCs w:val="22"/>
          <w:lang w:val="sr-Latn-RS"/>
        </w:rPr>
      </w:pPr>
    </w:p>
    <w:p w14:paraId="450C2C07"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6.3.</w:t>
      </w:r>
      <w:r w:rsidR="00C05DF8" w:rsidRPr="00B32307">
        <w:rPr>
          <w:b/>
          <w:bCs/>
          <w:sz w:val="22"/>
          <w:szCs w:val="22"/>
          <w:lang w:val="sr-Latn-RS"/>
        </w:rPr>
        <w:t xml:space="preserve"> </w:t>
      </w:r>
      <w:r w:rsidR="00480FB1" w:rsidRPr="00B32307">
        <w:rPr>
          <w:b/>
          <w:bCs/>
          <w:sz w:val="22"/>
          <w:szCs w:val="22"/>
          <w:lang w:val="sr-Latn-RS"/>
        </w:rPr>
        <w:tab/>
      </w:r>
      <w:r w:rsidRPr="00B32307">
        <w:rPr>
          <w:b/>
          <w:bCs/>
          <w:sz w:val="22"/>
          <w:szCs w:val="22"/>
          <w:lang w:val="sr-Latn-RS"/>
        </w:rPr>
        <w:t>Rok upotrebe</w:t>
      </w:r>
    </w:p>
    <w:p w14:paraId="2BF16415" w14:textId="77777777" w:rsidR="00BA0F0B" w:rsidRPr="00B32307" w:rsidRDefault="00BA0F0B" w:rsidP="00E37509">
      <w:pPr>
        <w:pStyle w:val="Header"/>
        <w:tabs>
          <w:tab w:val="left" w:pos="284"/>
        </w:tabs>
        <w:jc w:val="both"/>
        <w:rPr>
          <w:bCs/>
          <w:sz w:val="22"/>
          <w:szCs w:val="22"/>
          <w:lang w:val="sr-Latn-RS"/>
        </w:rPr>
      </w:pPr>
    </w:p>
    <w:p w14:paraId="7F01E021" w14:textId="5BDBA1F7" w:rsidR="00E37509" w:rsidRPr="00B32307" w:rsidRDefault="00E37509" w:rsidP="00E37509">
      <w:pPr>
        <w:pStyle w:val="Header"/>
        <w:tabs>
          <w:tab w:val="left" w:pos="284"/>
        </w:tabs>
        <w:jc w:val="both"/>
        <w:rPr>
          <w:sz w:val="22"/>
          <w:szCs w:val="22"/>
          <w:lang w:val="sr-Latn-RS"/>
        </w:rPr>
      </w:pPr>
      <w:r w:rsidRPr="00B32307">
        <w:rPr>
          <w:bCs/>
          <w:sz w:val="22"/>
          <w:szCs w:val="22"/>
          <w:lang w:val="sr-Latn-RS"/>
        </w:rPr>
        <w:t>REQUIP MODUTAB, tablet</w:t>
      </w:r>
      <w:r w:rsidR="004E2760" w:rsidRPr="00B32307">
        <w:rPr>
          <w:bCs/>
          <w:sz w:val="22"/>
          <w:szCs w:val="22"/>
          <w:lang w:val="sr-Latn-RS"/>
        </w:rPr>
        <w:t xml:space="preserve">a </w:t>
      </w:r>
      <w:r w:rsidRPr="00B32307">
        <w:rPr>
          <w:bCs/>
          <w:sz w:val="22"/>
          <w:szCs w:val="22"/>
          <w:lang w:val="sr-Latn-RS"/>
        </w:rPr>
        <w:t>sa produženim oslobađanjem</w:t>
      </w:r>
      <w:r w:rsidRPr="00B32307">
        <w:rPr>
          <w:sz w:val="22"/>
          <w:szCs w:val="22"/>
          <w:lang w:val="sr-Latn-RS"/>
        </w:rPr>
        <w:t>,  2 mg: 2 godine.</w:t>
      </w:r>
    </w:p>
    <w:p w14:paraId="06005F28" w14:textId="4B3C1818" w:rsidR="00E37509" w:rsidRPr="00B32307" w:rsidRDefault="00E37509" w:rsidP="00E37509">
      <w:pPr>
        <w:pStyle w:val="Header"/>
        <w:tabs>
          <w:tab w:val="left" w:pos="284"/>
        </w:tabs>
        <w:jc w:val="both"/>
        <w:rPr>
          <w:sz w:val="22"/>
          <w:szCs w:val="22"/>
          <w:lang w:val="sr-Latn-RS"/>
        </w:rPr>
      </w:pPr>
      <w:r w:rsidRPr="00B32307">
        <w:rPr>
          <w:bCs/>
          <w:sz w:val="22"/>
          <w:szCs w:val="22"/>
          <w:lang w:val="sr-Latn-RS"/>
        </w:rPr>
        <w:t>REQUIP MODUTAB, tablet</w:t>
      </w:r>
      <w:r w:rsidR="004E2760" w:rsidRPr="00B32307">
        <w:rPr>
          <w:bCs/>
          <w:sz w:val="22"/>
          <w:szCs w:val="22"/>
          <w:lang w:val="sr-Latn-RS"/>
        </w:rPr>
        <w:t>a</w:t>
      </w:r>
      <w:r w:rsidRPr="00B32307">
        <w:rPr>
          <w:bCs/>
          <w:sz w:val="22"/>
          <w:szCs w:val="22"/>
          <w:lang w:val="sr-Latn-RS"/>
        </w:rPr>
        <w:t xml:space="preserve"> sa produženim oslobađanjem</w:t>
      </w:r>
      <w:r w:rsidRPr="00B32307">
        <w:rPr>
          <w:sz w:val="22"/>
          <w:szCs w:val="22"/>
          <w:lang w:val="sr-Latn-RS"/>
        </w:rPr>
        <w:t>, 4 mg: 3 godine.</w:t>
      </w:r>
    </w:p>
    <w:p w14:paraId="574F3D19" w14:textId="38842668" w:rsidR="00E37509" w:rsidRPr="00B32307" w:rsidRDefault="00E37509" w:rsidP="00E37509">
      <w:pPr>
        <w:pStyle w:val="Header"/>
        <w:tabs>
          <w:tab w:val="left" w:pos="284"/>
        </w:tabs>
        <w:jc w:val="both"/>
        <w:rPr>
          <w:sz w:val="22"/>
          <w:szCs w:val="22"/>
          <w:lang w:val="sr-Latn-RS"/>
        </w:rPr>
      </w:pPr>
      <w:r w:rsidRPr="00B32307">
        <w:rPr>
          <w:bCs/>
          <w:sz w:val="22"/>
          <w:szCs w:val="22"/>
          <w:lang w:val="sr-Latn-RS"/>
        </w:rPr>
        <w:t>REQUIP MODUTAB, tablet</w:t>
      </w:r>
      <w:r w:rsidR="004E2760" w:rsidRPr="00B32307">
        <w:rPr>
          <w:bCs/>
          <w:sz w:val="22"/>
          <w:szCs w:val="22"/>
          <w:lang w:val="sr-Latn-RS"/>
        </w:rPr>
        <w:t>a</w:t>
      </w:r>
      <w:r w:rsidRPr="00B32307">
        <w:rPr>
          <w:bCs/>
          <w:sz w:val="22"/>
          <w:szCs w:val="22"/>
          <w:lang w:val="sr-Latn-RS"/>
        </w:rPr>
        <w:t xml:space="preserve"> sa produženim oslobađanjem</w:t>
      </w:r>
      <w:r w:rsidRPr="00B32307">
        <w:rPr>
          <w:sz w:val="22"/>
          <w:szCs w:val="22"/>
          <w:lang w:val="sr-Latn-RS"/>
        </w:rPr>
        <w:t>,</w:t>
      </w:r>
      <w:r w:rsidR="004E2760" w:rsidRPr="00B32307">
        <w:rPr>
          <w:sz w:val="22"/>
          <w:szCs w:val="22"/>
          <w:lang w:val="sr-Latn-RS"/>
        </w:rPr>
        <w:t xml:space="preserve"> </w:t>
      </w:r>
      <w:r w:rsidRPr="00B32307">
        <w:rPr>
          <w:sz w:val="22"/>
          <w:szCs w:val="22"/>
          <w:lang w:val="sr-Latn-RS"/>
        </w:rPr>
        <w:t>8 mg: 3 godine.</w:t>
      </w:r>
    </w:p>
    <w:p w14:paraId="15E7D16F" w14:textId="77777777" w:rsidR="0072020E" w:rsidRPr="00B32307" w:rsidRDefault="0072020E" w:rsidP="00480FB1">
      <w:pPr>
        <w:tabs>
          <w:tab w:val="left" w:pos="540"/>
          <w:tab w:val="left" w:pos="569"/>
        </w:tabs>
        <w:rPr>
          <w:bCs/>
          <w:sz w:val="22"/>
          <w:szCs w:val="22"/>
          <w:lang w:val="sr-Latn-RS"/>
        </w:rPr>
      </w:pPr>
    </w:p>
    <w:p w14:paraId="795A51A2"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6.4. </w:t>
      </w:r>
      <w:r w:rsidR="00480FB1" w:rsidRPr="00B32307">
        <w:rPr>
          <w:b/>
          <w:bCs/>
          <w:sz w:val="22"/>
          <w:szCs w:val="22"/>
          <w:lang w:val="sr-Latn-RS"/>
        </w:rPr>
        <w:tab/>
      </w:r>
      <w:r w:rsidRPr="00B32307">
        <w:rPr>
          <w:b/>
          <w:bCs/>
          <w:sz w:val="22"/>
          <w:szCs w:val="22"/>
          <w:lang w:val="sr-Latn-RS"/>
        </w:rPr>
        <w:t>Posebne mjere upozorenja pri čuvanju</w:t>
      </w:r>
      <w:r w:rsidR="00F8570A" w:rsidRPr="00B32307">
        <w:rPr>
          <w:b/>
          <w:bCs/>
          <w:sz w:val="22"/>
          <w:szCs w:val="22"/>
          <w:lang w:val="sr-Latn-RS"/>
        </w:rPr>
        <w:t xml:space="preserve"> lijeka</w:t>
      </w:r>
    </w:p>
    <w:p w14:paraId="78D2DCA6" w14:textId="77777777" w:rsidR="00BA0F0B" w:rsidRPr="00B32307" w:rsidRDefault="00BA0F0B" w:rsidP="00F352E2">
      <w:pPr>
        <w:pStyle w:val="Header"/>
        <w:tabs>
          <w:tab w:val="left" w:pos="284"/>
        </w:tabs>
        <w:jc w:val="both"/>
        <w:rPr>
          <w:sz w:val="22"/>
          <w:szCs w:val="22"/>
          <w:lang w:val="sr-Latn-RS"/>
        </w:rPr>
      </w:pPr>
    </w:p>
    <w:p w14:paraId="18FAAA8A" w14:textId="48D39A4A" w:rsidR="00F352E2" w:rsidRPr="00B32307" w:rsidRDefault="00F352E2" w:rsidP="00F352E2">
      <w:pPr>
        <w:pStyle w:val="Header"/>
        <w:tabs>
          <w:tab w:val="left" w:pos="284"/>
        </w:tabs>
        <w:jc w:val="both"/>
        <w:rPr>
          <w:sz w:val="22"/>
          <w:szCs w:val="22"/>
          <w:lang w:val="sr-Latn-RS"/>
        </w:rPr>
      </w:pPr>
      <w:r w:rsidRPr="00B32307">
        <w:rPr>
          <w:sz w:val="22"/>
          <w:szCs w:val="22"/>
          <w:lang w:val="sr-Latn-RS"/>
        </w:rPr>
        <w:t>Lijek čuvati na temperaturi do 25ºC u originalnom pakovanju</w:t>
      </w:r>
      <w:r w:rsidR="006C669B" w:rsidRPr="00B32307">
        <w:rPr>
          <w:sz w:val="22"/>
          <w:szCs w:val="22"/>
          <w:lang w:val="sr-Latn-RS"/>
        </w:rPr>
        <w:t xml:space="preserve"> zaštićeno od svjetlosti</w:t>
      </w:r>
      <w:r w:rsidRPr="00B32307">
        <w:rPr>
          <w:sz w:val="22"/>
          <w:szCs w:val="22"/>
          <w:lang w:val="sr-Latn-RS"/>
        </w:rPr>
        <w:t>.</w:t>
      </w:r>
    </w:p>
    <w:p w14:paraId="636D3F2E" w14:textId="77777777" w:rsidR="00F352E2" w:rsidRPr="00B32307" w:rsidRDefault="00F352E2" w:rsidP="00F352E2">
      <w:pPr>
        <w:pStyle w:val="Header"/>
        <w:tabs>
          <w:tab w:val="left" w:pos="284"/>
        </w:tabs>
        <w:jc w:val="both"/>
        <w:rPr>
          <w:bCs/>
          <w:sz w:val="22"/>
          <w:szCs w:val="22"/>
          <w:lang w:val="sr-Latn-RS"/>
        </w:rPr>
      </w:pPr>
      <w:r w:rsidRPr="00B32307">
        <w:rPr>
          <w:bCs/>
          <w:sz w:val="22"/>
          <w:szCs w:val="22"/>
          <w:lang w:val="sr-Latn-RS"/>
        </w:rPr>
        <w:t>Čuvati van domašaja djece.</w:t>
      </w:r>
    </w:p>
    <w:p w14:paraId="711DB9C0" w14:textId="77777777" w:rsidR="00EC2532" w:rsidRPr="00B32307" w:rsidRDefault="00EC2532" w:rsidP="00480FB1">
      <w:pPr>
        <w:tabs>
          <w:tab w:val="left" w:pos="540"/>
          <w:tab w:val="left" w:pos="569"/>
        </w:tabs>
        <w:rPr>
          <w:bCs/>
          <w:sz w:val="22"/>
          <w:szCs w:val="22"/>
          <w:lang w:val="sr-Latn-RS"/>
        </w:rPr>
      </w:pPr>
    </w:p>
    <w:p w14:paraId="1C6BE620"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6.5. </w:t>
      </w:r>
      <w:r w:rsidR="00480FB1" w:rsidRPr="00B32307">
        <w:rPr>
          <w:b/>
          <w:bCs/>
          <w:sz w:val="22"/>
          <w:szCs w:val="22"/>
          <w:lang w:val="sr-Latn-RS"/>
        </w:rPr>
        <w:tab/>
      </w:r>
      <w:r w:rsidR="002846DB" w:rsidRPr="00B32307">
        <w:rPr>
          <w:b/>
          <w:bCs/>
          <w:sz w:val="22"/>
          <w:szCs w:val="22"/>
          <w:lang w:val="sr-Latn-RS"/>
        </w:rPr>
        <w:t xml:space="preserve">Vrsta i sadržaj </w:t>
      </w:r>
      <w:r w:rsidR="00F8570A" w:rsidRPr="00B32307">
        <w:rPr>
          <w:b/>
          <w:bCs/>
          <w:sz w:val="22"/>
          <w:szCs w:val="22"/>
          <w:lang w:val="sr-Latn-RS"/>
        </w:rPr>
        <w:t>pakovanja</w:t>
      </w:r>
      <w:r w:rsidR="00C06864" w:rsidRPr="00B32307">
        <w:rPr>
          <w:b/>
          <w:bCs/>
          <w:sz w:val="22"/>
          <w:szCs w:val="22"/>
          <w:lang w:val="sr-Latn-RS"/>
        </w:rPr>
        <w:t xml:space="preserve"> </w:t>
      </w:r>
    </w:p>
    <w:p w14:paraId="4182CAA0" w14:textId="77777777" w:rsidR="00BA0F0B" w:rsidRPr="00B32307" w:rsidRDefault="00BA0F0B" w:rsidP="004142AD">
      <w:pPr>
        <w:contextualSpacing/>
        <w:rPr>
          <w:bCs/>
          <w:sz w:val="22"/>
          <w:szCs w:val="22"/>
          <w:lang w:val="sr-Latn-RS"/>
        </w:rPr>
      </w:pPr>
    </w:p>
    <w:p w14:paraId="72681856" w14:textId="318B2121" w:rsidR="00604E0E" w:rsidRPr="00B32307" w:rsidRDefault="00604E0E" w:rsidP="004142AD">
      <w:pPr>
        <w:contextualSpacing/>
        <w:rPr>
          <w:sz w:val="22"/>
          <w:szCs w:val="22"/>
          <w:lang w:val="sr-Latn-RS" w:eastAsia="en-GB"/>
        </w:rPr>
      </w:pPr>
      <w:r w:rsidRPr="00B32307">
        <w:rPr>
          <w:bCs/>
          <w:sz w:val="22"/>
          <w:szCs w:val="22"/>
          <w:lang w:val="sr-Latn-RS"/>
        </w:rPr>
        <w:t>REQUIP MODUTAB, tablete sa produženim oslobađanjem</w:t>
      </w:r>
      <w:r w:rsidRPr="00B32307">
        <w:rPr>
          <w:sz w:val="22"/>
          <w:szCs w:val="22"/>
          <w:lang w:val="sr-Latn-RS" w:eastAsia="en-GB"/>
        </w:rPr>
        <w:t>, 2 mg:</w:t>
      </w:r>
    </w:p>
    <w:p w14:paraId="1E7A9CB8" w14:textId="5AD20B8D" w:rsidR="00604E0E" w:rsidRPr="00B32307" w:rsidRDefault="00604E0E" w:rsidP="004142AD">
      <w:pPr>
        <w:contextualSpacing/>
        <w:rPr>
          <w:sz w:val="22"/>
          <w:szCs w:val="22"/>
          <w:lang w:val="sr-Latn-RS" w:eastAsia="en-GB"/>
        </w:rPr>
      </w:pPr>
      <w:r w:rsidRPr="00B32307">
        <w:rPr>
          <w:bCs/>
          <w:sz w:val="22"/>
          <w:szCs w:val="22"/>
          <w:lang w:val="sr-Latn-RS" w:eastAsia="en-GB"/>
        </w:rPr>
        <w:t>Unutrašnje pakovanje je PVC/PCTFE/Al</w:t>
      </w:r>
      <w:r w:rsidR="00E22A16" w:rsidRPr="00B32307">
        <w:rPr>
          <w:bCs/>
          <w:sz w:val="22"/>
          <w:szCs w:val="22"/>
          <w:lang w:val="sr-Latn-RS" w:eastAsia="en-GB"/>
        </w:rPr>
        <w:t xml:space="preserve"> </w:t>
      </w:r>
      <w:r w:rsidR="00DF15B6" w:rsidRPr="00B32307">
        <w:rPr>
          <w:bCs/>
          <w:sz w:val="22"/>
          <w:szCs w:val="22"/>
          <w:lang w:val="sr-Latn-RS" w:eastAsia="en-GB"/>
        </w:rPr>
        <w:t xml:space="preserve">blister </w:t>
      </w:r>
      <w:r w:rsidRPr="00B32307">
        <w:rPr>
          <w:bCs/>
          <w:sz w:val="22"/>
          <w:szCs w:val="22"/>
          <w:lang w:val="sr-Latn-RS" w:eastAsia="en-GB"/>
        </w:rPr>
        <w:t xml:space="preserve">ili </w:t>
      </w:r>
      <w:r w:rsidR="00BF7CB9" w:rsidRPr="00B32307">
        <w:rPr>
          <w:sz w:val="22"/>
          <w:szCs w:val="22"/>
          <w:lang w:val="sr-Latn-RS" w:eastAsia="en-GB"/>
        </w:rPr>
        <w:t xml:space="preserve"> bijeli, neprozirni blister PVC/PE/PVdC/Al/papir sa zaštitom za djecu.</w:t>
      </w:r>
      <w:r w:rsidRPr="00B32307">
        <w:rPr>
          <w:bCs/>
          <w:sz w:val="22"/>
          <w:szCs w:val="22"/>
          <w:lang w:val="sr-Latn-RS" w:eastAsia="en-GB"/>
        </w:rPr>
        <w:t xml:space="preserve"> </w:t>
      </w:r>
      <w:r w:rsidRPr="00B32307">
        <w:rPr>
          <w:sz w:val="22"/>
          <w:szCs w:val="22"/>
          <w:lang w:val="sr-Latn-RS" w:eastAsia="en-GB"/>
        </w:rPr>
        <w:t>U složivoj kartonskoj kutiji nalaze se 2 blistera sa po 14 tableta sa produženim oslobađanjem i Uputstvo za pacijenta.</w:t>
      </w:r>
    </w:p>
    <w:p w14:paraId="60DB13E3" w14:textId="77777777" w:rsidR="00604E0E" w:rsidRPr="00B32307" w:rsidRDefault="00604E0E" w:rsidP="004142AD">
      <w:pPr>
        <w:contextualSpacing/>
        <w:rPr>
          <w:bCs/>
          <w:sz w:val="22"/>
          <w:szCs w:val="22"/>
          <w:lang w:val="sr-Latn-RS"/>
        </w:rPr>
      </w:pPr>
    </w:p>
    <w:p w14:paraId="4F96CB86" w14:textId="77777777" w:rsidR="00604E0E" w:rsidRPr="00B32307" w:rsidRDefault="00604E0E" w:rsidP="004142AD">
      <w:pPr>
        <w:contextualSpacing/>
        <w:rPr>
          <w:sz w:val="22"/>
          <w:szCs w:val="22"/>
          <w:lang w:val="sr-Latn-RS" w:eastAsia="en-GB"/>
        </w:rPr>
      </w:pPr>
      <w:r w:rsidRPr="00B32307">
        <w:rPr>
          <w:bCs/>
          <w:sz w:val="22"/>
          <w:szCs w:val="22"/>
          <w:lang w:val="sr-Latn-RS"/>
        </w:rPr>
        <w:t>REQUIP MODUTAB, tablete sa produženim oslobađanjem</w:t>
      </w:r>
      <w:r w:rsidRPr="00B32307">
        <w:rPr>
          <w:sz w:val="22"/>
          <w:szCs w:val="22"/>
          <w:lang w:val="sr-Latn-RS" w:eastAsia="en-GB"/>
        </w:rPr>
        <w:t>, 4 mg:</w:t>
      </w:r>
    </w:p>
    <w:p w14:paraId="670AA846" w14:textId="74DB56A0" w:rsidR="00604E0E" w:rsidRPr="00B32307" w:rsidRDefault="00604E0E" w:rsidP="004142AD">
      <w:pPr>
        <w:contextualSpacing/>
        <w:rPr>
          <w:sz w:val="22"/>
          <w:szCs w:val="22"/>
          <w:lang w:val="sr-Latn-RS" w:eastAsia="en-GB"/>
        </w:rPr>
      </w:pPr>
      <w:r w:rsidRPr="00B32307">
        <w:rPr>
          <w:bCs/>
          <w:sz w:val="22"/>
          <w:szCs w:val="22"/>
          <w:lang w:val="sr-Latn-RS" w:eastAsia="en-GB"/>
        </w:rPr>
        <w:t>Unutrašnje pakovanje je</w:t>
      </w:r>
      <w:r w:rsidR="00E22A16" w:rsidRPr="00B32307">
        <w:rPr>
          <w:bCs/>
          <w:sz w:val="22"/>
          <w:szCs w:val="22"/>
          <w:lang w:val="sr-Latn-RS" w:eastAsia="en-GB"/>
        </w:rPr>
        <w:t xml:space="preserve"> </w:t>
      </w:r>
      <w:r w:rsidRPr="00B32307">
        <w:rPr>
          <w:bCs/>
          <w:sz w:val="22"/>
          <w:szCs w:val="22"/>
          <w:lang w:val="sr-Latn-RS" w:eastAsia="en-GB"/>
        </w:rPr>
        <w:t>PVC/PCTFE/Al</w:t>
      </w:r>
      <w:r w:rsidR="00DF15B6" w:rsidRPr="00B32307">
        <w:rPr>
          <w:bCs/>
          <w:sz w:val="22"/>
          <w:szCs w:val="22"/>
          <w:lang w:val="sr-Latn-RS" w:eastAsia="en-GB"/>
        </w:rPr>
        <w:t xml:space="preserve"> blister</w:t>
      </w:r>
      <w:r w:rsidRPr="00B32307">
        <w:rPr>
          <w:bCs/>
          <w:sz w:val="22"/>
          <w:szCs w:val="22"/>
          <w:lang w:val="sr-Latn-RS" w:eastAsia="en-GB"/>
        </w:rPr>
        <w:t xml:space="preserve"> ili </w:t>
      </w:r>
      <w:r w:rsidR="00BF7CB9" w:rsidRPr="00B32307">
        <w:rPr>
          <w:sz w:val="22"/>
          <w:szCs w:val="22"/>
          <w:lang w:val="sr-Latn-RS" w:eastAsia="en-GB"/>
        </w:rPr>
        <w:t xml:space="preserve"> bijeli, neprozirni blister PVC/PE/PVdC/Al/papir sa zaštitom za djecu</w:t>
      </w:r>
      <w:r w:rsidRPr="00B32307">
        <w:rPr>
          <w:bCs/>
          <w:sz w:val="22"/>
          <w:szCs w:val="22"/>
          <w:lang w:val="sr-Latn-RS" w:eastAsia="en-GB"/>
        </w:rPr>
        <w:t xml:space="preserve">. </w:t>
      </w:r>
      <w:r w:rsidRPr="00B32307">
        <w:rPr>
          <w:sz w:val="22"/>
          <w:szCs w:val="22"/>
          <w:lang w:val="sr-Latn-RS" w:eastAsia="en-GB"/>
        </w:rPr>
        <w:t>U složivoj kartonskoj kutiji nalaze se 2 blistera sa po 14 tableta sa produženim oslobađanjem i Uputstvo za pacijenta.</w:t>
      </w:r>
    </w:p>
    <w:p w14:paraId="1EE6620B" w14:textId="77777777" w:rsidR="00604E0E" w:rsidRPr="00B32307" w:rsidRDefault="00604E0E" w:rsidP="004142AD">
      <w:pPr>
        <w:pStyle w:val="Header"/>
        <w:tabs>
          <w:tab w:val="left" w:pos="284"/>
        </w:tabs>
        <w:rPr>
          <w:bCs/>
          <w:sz w:val="22"/>
          <w:szCs w:val="22"/>
          <w:lang w:val="sr-Latn-RS"/>
        </w:rPr>
      </w:pPr>
    </w:p>
    <w:p w14:paraId="074C06F5" w14:textId="77777777" w:rsidR="00604E0E" w:rsidRPr="00B32307" w:rsidRDefault="00604E0E" w:rsidP="004142AD">
      <w:pPr>
        <w:pStyle w:val="Header"/>
        <w:tabs>
          <w:tab w:val="left" w:pos="284"/>
        </w:tabs>
        <w:rPr>
          <w:sz w:val="22"/>
          <w:szCs w:val="22"/>
          <w:lang w:val="sr-Latn-RS" w:eastAsia="en-GB"/>
        </w:rPr>
      </w:pPr>
      <w:r w:rsidRPr="00B32307">
        <w:rPr>
          <w:bCs/>
          <w:sz w:val="22"/>
          <w:szCs w:val="22"/>
          <w:lang w:val="sr-Latn-RS"/>
        </w:rPr>
        <w:t>REQUIP MODUTAB, tablete sa produženim oslobađanjem</w:t>
      </w:r>
      <w:r w:rsidRPr="00B32307">
        <w:rPr>
          <w:sz w:val="22"/>
          <w:szCs w:val="22"/>
          <w:lang w:val="sr-Latn-RS" w:eastAsia="en-GB"/>
        </w:rPr>
        <w:t>, 8 mg:</w:t>
      </w:r>
    </w:p>
    <w:p w14:paraId="0AB39902" w14:textId="5A2127DF" w:rsidR="00604E0E" w:rsidRPr="00B32307" w:rsidRDefault="00604E0E" w:rsidP="004142AD">
      <w:pPr>
        <w:contextualSpacing/>
        <w:rPr>
          <w:sz w:val="22"/>
          <w:szCs w:val="22"/>
          <w:lang w:val="sr-Latn-RS" w:eastAsia="en-GB"/>
        </w:rPr>
      </w:pPr>
      <w:r w:rsidRPr="00B32307">
        <w:rPr>
          <w:bCs/>
          <w:sz w:val="22"/>
          <w:szCs w:val="22"/>
          <w:lang w:val="sr-Latn-RS" w:eastAsia="en-GB"/>
        </w:rPr>
        <w:t xml:space="preserve">Unutrašnje pakovanje je PVC/PCTFE/Al </w:t>
      </w:r>
      <w:r w:rsidR="00DF15B6" w:rsidRPr="00B32307">
        <w:rPr>
          <w:bCs/>
          <w:sz w:val="22"/>
          <w:szCs w:val="22"/>
          <w:lang w:val="sr-Latn-RS" w:eastAsia="en-GB"/>
        </w:rPr>
        <w:t xml:space="preserve">blister </w:t>
      </w:r>
      <w:r w:rsidRPr="00B32307">
        <w:rPr>
          <w:bCs/>
          <w:sz w:val="22"/>
          <w:szCs w:val="22"/>
          <w:lang w:val="sr-Latn-RS" w:eastAsia="en-GB"/>
        </w:rPr>
        <w:t xml:space="preserve">ili </w:t>
      </w:r>
      <w:r w:rsidR="00BF7CB9" w:rsidRPr="00B32307">
        <w:rPr>
          <w:sz w:val="22"/>
          <w:szCs w:val="22"/>
          <w:lang w:val="sr-Latn-RS" w:eastAsia="en-GB"/>
        </w:rPr>
        <w:t xml:space="preserve"> bijeli, neprozirni blister PVC/PE/PVdC/Al/papir sa zaštitom za djecu</w:t>
      </w:r>
      <w:r w:rsidRPr="00B32307">
        <w:rPr>
          <w:bCs/>
          <w:sz w:val="22"/>
          <w:szCs w:val="22"/>
          <w:lang w:val="sr-Latn-RS" w:eastAsia="en-GB"/>
        </w:rPr>
        <w:t xml:space="preserve">. </w:t>
      </w:r>
      <w:r w:rsidRPr="00B32307">
        <w:rPr>
          <w:sz w:val="22"/>
          <w:szCs w:val="22"/>
          <w:lang w:val="sr-Latn-RS" w:eastAsia="en-GB"/>
        </w:rPr>
        <w:t xml:space="preserve">U složivoj kartonskoj kutiji nalaze se 2 blistera sa po 14 tableta sa produženim oslobađanjem i Uputstvo za </w:t>
      </w:r>
      <w:r w:rsidR="00A848FE" w:rsidRPr="00B32307">
        <w:rPr>
          <w:sz w:val="22"/>
          <w:szCs w:val="22"/>
          <w:lang w:val="sr-Latn-RS" w:eastAsia="en-GB"/>
        </w:rPr>
        <w:t>lijek</w:t>
      </w:r>
      <w:r w:rsidRPr="00B32307">
        <w:rPr>
          <w:sz w:val="22"/>
          <w:szCs w:val="22"/>
          <w:lang w:val="sr-Latn-RS" w:eastAsia="en-GB"/>
        </w:rPr>
        <w:t>.</w:t>
      </w:r>
    </w:p>
    <w:p w14:paraId="27019774" w14:textId="77777777" w:rsidR="0072020E" w:rsidRPr="00B32307" w:rsidRDefault="0072020E" w:rsidP="00480FB1">
      <w:pPr>
        <w:tabs>
          <w:tab w:val="left" w:pos="540"/>
          <w:tab w:val="left" w:pos="569"/>
        </w:tabs>
        <w:rPr>
          <w:bCs/>
          <w:sz w:val="22"/>
          <w:szCs w:val="22"/>
          <w:lang w:val="sr-Latn-RS"/>
        </w:rPr>
      </w:pPr>
    </w:p>
    <w:p w14:paraId="031BF9B0" w14:textId="77777777" w:rsidR="002846DB"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6.6. </w:t>
      </w:r>
      <w:r w:rsidR="00480FB1" w:rsidRPr="00B32307">
        <w:rPr>
          <w:b/>
          <w:bCs/>
          <w:sz w:val="22"/>
          <w:szCs w:val="22"/>
          <w:lang w:val="sr-Latn-RS"/>
        </w:rPr>
        <w:tab/>
      </w:r>
      <w:r w:rsidRPr="00B32307">
        <w:rPr>
          <w:b/>
          <w:bCs/>
          <w:color w:val="000000"/>
          <w:sz w:val="22"/>
          <w:szCs w:val="22"/>
          <w:lang w:val="sr-Latn-RS"/>
        </w:rPr>
        <w:t>Posebne mjere opreza pri odlaganju materijala koji treba odbaciti nakon primjene lijeka</w:t>
      </w:r>
      <w:r w:rsidRPr="00B32307">
        <w:rPr>
          <w:b/>
          <w:bCs/>
          <w:sz w:val="22"/>
          <w:szCs w:val="22"/>
          <w:lang w:val="sr-Latn-RS"/>
        </w:rPr>
        <w:t xml:space="preserve"> </w:t>
      </w:r>
      <w:r w:rsidR="00310F03" w:rsidRPr="00B32307">
        <w:rPr>
          <w:b/>
          <w:bCs/>
          <w:sz w:val="22"/>
          <w:szCs w:val="22"/>
          <w:lang w:val="sr-Latn-RS"/>
        </w:rPr>
        <w:t xml:space="preserve">(i druga uputsva za rukovanje lijekom) </w:t>
      </w:r>
    </w:p>
    <w:p w14:paraId="606349A0" w14:textId="77777777" w:rsidR="00BA0F0B" w:rsidRPr="00B32307" w:rsidRDefault="00BA0F0B" w:rsidP="00E16634">
      <w:pPr>
        <w:pStyle w:val="Header"/>
        <w:tabs>
          <w:tab w:val="left" w:pos="284"/>
        </w:tabs>
        <w:jc w:val="both"/>
        <w:rPr>
          <w:sz w:val="22"/>
          <w:szCs w:val="22"/>
          <w:lang w:val="sr-Latn-RS"/>
        </w:rPr>
      </w:pPr>
    </w:p>
    <w:p w14:paraId="63467F6C" w14:textId="49F1E822" w:rsidR="0072020E" w:rsidRPr="00B32307" w:rsidRDefault="00E16634" w:rsidP="00E16634">
      <w:pPr>
        <w:pStyle w:val="Header"/>
        <w:tabs>
          <w:tab w:val="left" w:pos="284"/>
        </w:tabs>
        <w:jc w:val="both"/>
        <w:rPr>
          <w:sz w:val="22"/>
          <w:szCs w:val="22"/>
          <w:lang w:val="sr-Latn-RS"/>
        </w:rPr>
      </w:pPr>
      <w:r w:rsidRPr="00B32307">
        <w:rPr>
          <w:sz w:val="22"/>
          <w:szCs w:val="22"/>
          <w:lang w:val="sr-Latn-RS"/>
        </w:rPr>
        <w:t>Neupotrijebljeni lijek se uništava u skladu sa važećim propisima.</w:t>
      </w:r>
    </w:p>
    <w:p w14:paraId="22932BB4" w14:textId="65DB7E19" w:rsidR="00E16634" w:rsidRPr="00B32307" w:rsidRDefault="00E16634" w:rsidP="00E16634">
      <w:pPr>
        <w:pStyle w:val="Header"/>
        <w:tabs>
          <w:tab w:val="left" w:pos="284"/>
        </w:tabs>
        <w:jc w:val="both"/>
        <w:rPr>
          <w:sz w:val="22"/>
          <w:szCs w:val="22"/>
          <w:lang w:val="sr-Latn-RS"/>
        </w:rPr>
      </w:pPr>
    </w:p>
    <w:p w14:paraId="308167FD" w14:textId="77777777" w:rsidR="00BA0F0B" w:rsidRPr="00B32307" w:rsidRDefault="00BA0F0B" w:rsidP="00E16634">
      <w:pPr>
        <w:pStyle w:val="Header"/>
        <w:tabs>
          <w:tab w:val="left" w:pos="284"/>
        </w:tabs>
        <w:jc w:val="both"/>
        <w:rPr>
          <w:sz w:val="22"/>
          <w:szCs w:val="22"/>
          <w:lang w:val="sr-Latn-RS"/>
        </w:rPr>
      </w:pPr>
    </w:p>
    <w:p w14:paraId="03005E3A" w14:textId="77777777" w:rsidR="00F8570A"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7. </w:t>
      </w:r>
      <w:r w:rsidR="00480FB1" w:rsidRPr="00B32307">
        <w:rPr>
          <w:b/>
          <w:bCs/>
          <w:sz w:val="22"/>
          <w:szCs w:val="22"/>
          <w:lang w:val="sr-Latn-RS"/>
        </w:rPr>
        <w:tab/>
      </w:r>
      <w:r w:rsidRPr="00B32307">
        <w:rPr>
          <w:b/>
          <w:bCs/>
          <w:sz w:val="22"/>
          <w:szCs w:val="22"/>
          <w:lang w:val="sr-Latn-RS"/>
        </w:rPr>
        <w:t>NOSILAC DOZVOLE</w:t>
      </w:r>
      <w:r w:rsidR="00483928" w:rsidRPr="00B32307">
        <w:rPr>
          <w:b/>
          <w:bCs/>
          <w:sz w:val="22"/>
          <w:szCs w:val="22"/>
          <w:lang w:val="sr-Latn-RS"/>
        </w:rPr>
        <w:t xml:space="preserve"> </w:t>
      </w:r>
    </w:p>
    <w:p w14:paraId="1EC8B2A3" w14:textId="77777777" w:rsidR="00BA0F0B" w:rsidRPr="00B32307" w:rsidRDefault="00BA0F0B" w:rsidP="003404CF">
      <w:pPr>
        <w:widowControl w:val="0"/>
        <w:autoSpaceDE w:val="0"/>
        <w:autoSpaceDN w:val="0"/>
        <w:rPr>
          <w:bCs/>
          <w:sz w:val="22"/>
          <w:szCs w:val="22"/>
          <w:lang w:val="sr-Latn-RS"/>
        </w:rPr>
      </w:pPr>
    </w:p>
    <w:p w14:paraId="39A692E9" w14:textId="12A6A9B1" w:rsidR="003404CF" w:rsidRPr="00B32307" w:rsidRDefault="003404CF" w:rsidP="003404CF">
      <w:pPr>
        <w:widowControl w:val="0"/>
        <w:autoSpaceDE w:val="0"/>
        <w:autoSpaceDN w:val="0"/>
        <w:rPr>
          <w:bCs/>
          <w:sz w:val="22"/>
          <w:szCs w:val="22"/>
          <w:lang w:val="sr-Latn-RS"/>
        </w:rPr>
      </w:pPr>
      <w:r w:rsidRPr="00B32307">
        <w:rPr>
          <w:bCs/>
          <w:sz w:val="22"/>
          <w:szCs w:val="22"/>
          <w:lang w:val="sr-Latn-RS"/>
        </w:rPr>
        <w:t>Evropa Lek Pharma d.o.o. Podgoric</w:t>
      </w:r>
      <w:r w:rsidRPr="00B32307">
        <w:rPr>
          <w:b/>
          <w:bCs/>
          <w:sz w:val="22"/>
          <w:szCs w:val="22"/>
          <w:lang w:val="sr-Latn-RS"/>
        </w:rPr>
        <w:t>a</w:t>
      </w:r>
    </w:p>
    <w:p w14:paraId="3876FF9E" w14:textId="40C23C32" w:rsidR="00C37FD7" w:rsidRPr="00B32307" w:rsidRDefault="003404CF" w:rsidP="00406C24">
      <w:pPr>
        <w:pStyle w:val="Header"/>
        <w:tabs>
          <w:tab w:val="left" w:pos="284"/>
        </w:tabs>
        <w:jc w:val="both"/>
        <w:rPr>
          <w:sz w:val="22"/>
          <w:szCs w:val="22"/>
          <w:lang w:val="sr-Latn-RS"/>
        </w:rPr>
      </w:pPr>
      <w:r w:rsidRPr="00B32307">
        <w:rPr>
          <w:bCs/>
          <w:sz w:val="22"/>
          <w:szCs w:val="22"/>
          <w:lang w:val="sr-Latn-RS"/>
        </w:rPr>
        <w:t xml:space="preserve">Kritskog odreda 4/1, </w:t>
      </w:r>
      <w:r w:rsidR="00E16634" w:rsidRPr="00B32307">
        <w:rPr>
          <w:bCs/>
          <w:sz w:val="22"/>
          <w:szCs w:val="22"/>
          <w:lang w:val="sr-Latn-RS"/>
        </w:rPr>
        <w:t>81000 Podgorica, Crna Gora</w:t>
      </w:r>
    </w:p>
    <w:p w14:paraId="19BBD616" w14:textId="0E52F29E" w:rsidR="00BA0F0B" w:rsidRPr="00B32307" w:rsidRDefault="00BA0F0B" w:rsidP="00406C24">
      <w:pPr>
        <w:pStyle w:val="Header"/>
        <w:tabs>
          <w:tab w:val="left" w:pos="284"/>
        </w:tabs>
        <w:jc w:val="both"/>
        <w:rPr>
          <w:sz w:val="22"/>
          <w:szCs w:val="22"/>
          <w:lang w:val="sr-Latn-RS"/>
        </w:rPr>
      </w:pPr>
    </w:p>
    <w:p w14:paraId="1F325AE9" w14:textId="1279518C" w:rsidR="00BB1FD7" w:rsidRDefault="00BB1FD7" w:rsidP="00406C24">
      <w:pPr>
        <w:pStyle w:val="Header"/>
        <w:tabs>
          <w:tab w:val="left" w:pos="284"/>
        </w:tabs>
        <w:jc w:val="both"/>
        <w:rPr>
          <w:sz w:val="22"/>
          <w:szCs w:val="22"/>
          <w:lang w:val="sr-Latn-RS"/>
        </w:rPr>
      </w:pPr>
    </w:p>
    <w:p w14:paraId="533A278C" w14:textId="79DDEF28" w:rsidR="00B32307" w:rsidRDefault="00B32307" w:rsidP="00406C24">
      <w:pPr>
        <w:pStyle w:val="Header"/>
        <w:tabs>
          <w:tab w:val="left" w:pos="284"/>
        </w:tabs>
        <w:jc w:val="both"/>
        <w:rPr>
          <w:sz w:val="22"/>
          <w:szCs w:val="22"/>
          <w:lang w:val="sr-Latn-RS"/>
        </w:rPr>
      </w:pPr>
    </w:p>
    <w:p w14:paraId="522CCF1C" w14:textId="28ABB5C8" w:rsidR="00B32307" w:rsidRDefault="00B32307" w:rsidP="00406C24">
      <w:pPr>
        <w:pStyle w:val="Header"/>
        <w:tabs>
          <w:tab w:val="left" w:pos="284"/>
        </w:tabs>
        <w:jc w:val="both"/>
        <w:rPr>
          <w:sz w:val="22"/>
          <w:szCs w:val="22"/>
          <w:lang w:val="sr-Latn-RS"/>
        </w:rPr>
      </w:pPr>
    </w:p>
    <w:p w14:paraId="5E6986C2" w14:textId="77777777" w:rsidR="00B32307" w:rsidRPr="00B32307" w:rsidRDefault="00B32307" w:rsidP="00406C24">
      <w:pPr>
        <w:pStyle w:val="Header"/>
        <w:tabs>
          <w:tab w:val="left" w:pos="284"/>
        </w:tabs>
        <w:jc w:val="both"/>
        <w:rPr>
          <w:sz w:val="22"/>
          <w:szCs w:val="22"/>
          <w:lang w:val="sr-Latn-RS"/>
        </w:rPr>
      </w:pPr>
    </w:p>
    <w:p w14:paraId="7A13122A" w14:textId="77777777" w:rsidR="00BB1FD7" w:rsidRPr="00B32307" w:rsidRDefault="00BB1FD7" w:rsidP="00406C24">
      <w:pPr>
        <w:pStyle w:val="Header"/>
        <w:tabs>
          <w:tab w:val="left" w:pos="284"/>
        </w:tabs>
        <w:jc w:val="both"/>
        <w:rPr>
          <w:sz w:val="22"/>
          <w:szCs w:val="22"/>
          <w:lang w:val="sr-Latn-RS"/>
        </w:rPr>
      </w:pPr>
    </w:p>
    <w:p w14:paraId="483926A4"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8. </w:t>
      </w:r>
      <w:r w:rsidR="00480FB1" w:rsidRPr="00B32307">
        <w:rPr>
          <w:b/>
          <w:bCs/>
          <w:sz w:val="22"/>
          <w:szCs w:val="22"/>
          <w:lang w:val="sr-Latn-RS"/>
        </w:rPr>
        <w:tab/>
      </w:r>
      <w:r w:rsidRPr="00B32307">
        <w:rPr>
          <w:b/>
          <w:bCs/>
          <w:sz w:val="22"/>
          <w:szCs w:val="22"/>
          <w:lang w:val="sr-Latn-RS"/>
        </w:rPr>
        <w:t>BROJ DOZVOLE</w:t>
      </w:r>
      <w:r w:rsidR="008A6D43" w:rsidRPr="00B32307">
        <w:rPr>
          <w:b/>
          <w:bCs/>
          <w:sz w:val="22"/>
          <w:szCs w:val="22"/>
          <w:lang w:val="sr-Latn-RS"/>
        </w:rPr>
        <w:t xml:space="preserve"> ZA STAVLJANJE LIJEKA U PROMET</w:t>
      </w:r>
    </w:p>
    <w:p w14:paraId="49F9E3C3" w14:textId="77777777" w:rsidR="00BA0F0B" w:rsidRPr="00B32307" w:rsidRDefault="00BA0F0B" w:rsidP="00B333D9">
      <w:pPr>
        <w:rPr>
          <w:sz w:val="22"/>
          <w:szCs w:val="22"/>
          <w:lang w:val="sr-Latn-RS"/>
        </w:rPr>
      </w:pPr>
    </w:p>
    <w:p w14:paraId="538C3E0A" w14:textId="37AC4F03" w:rsidR="00B333D9" w:rsidRPr="00B32307" w:rsidRDefault="00B333D9" w:rsidP="00B333D9">
      <w:pPr>
        <w:rPr>
          <w:sz w:val="22"/>
          <w:szCs w:val="22"/>
          <w:lang w:val="sr-Latn-RS"/>
        </w:rPr>
      </w:pPr>
      <w:r w:rsidRPr="00B32307">
        <w:rPr>
          <w:sz w:val="22"/>
          <w:szCs w:val="22"/>
          <w:lang w:val="sr-Latn-RS"/>
        </w:rPr>
        <w:t xml:space="preserve"> REQUIP</w:t>
      </w:r>
      <w:r w:rsidRPr="00B32307">
        <w:rPr>
          <w:sz w:val="22"/>
          <w:szCs w:val="22"/>
          <w:vertAlign w:val="superscript"/>
          <w:lang w:val="sr-Latn-RS"/>
        </w:rPr>
        <w:t xml:space="preserve"> </w:t>
      </w:r>
      <w:r w:rsidRPr="00B32307">
        <w:rPr>
          <w:sz w:val="22"/>
          <w:szCs w:val="22"/>
          <w:lang w:val="sr-Latn-RS"/>
        </w:rPr>
        <w:t>MODUTAB, tableta sa produženim oslobađanjem,</w:t>
      </w:r>
      <w:r w:rsidRPr="00B32307">
        <w:rPr>
          <w:b/>
          <w:bCs/>
          <w:sz w:val="22"/>
          <w:szCs w:val="22"/>
          <w:lang w:val="sr-Latn-RS"/>
        </w:rPr>
        <w:t xml:space="preserve"> </w:t>
      </w:r>
      <w:r w:rsidRPr="00B32307">
        <w:rPr>
          <w:sz w:val="22"/>
          <w:szCs w:val="22"/>
          <w:lang w:val="sr-Latn-RS"/>
        </w:rPr>
        <w:t xml:space="preserve">2 mg, blister, 28 (2x14) tableta sa produženim oslobađanjem: </w:t>
      </w:r>
      <w:r w:rsidR="00B32307" w:rsidRPr="00B32307">
        <w:rPr>
          <w:sz w:val="22"/>
          <w:szCs w:val="22"/>
          <w:lang w:val="sr-Latn-RS" w:eastAsia="sr-Latn-ME"/>
        </w:rPr>
        <w:t>2030/25/2980 - 4733</w:t>
      </w:r>
    </w:p>
    <w:p w14:paraId="4634E504" w14:textId="3F2CE533" w:rsidR="00B333D9" w:rsidRPr="00B32307" w:rsidRDefault="00B333D9" w:rsidP="00B333D9">
      <w:pPr>
        <w:rPr>
          <w:sz w:val="22"/>
          <w:szCs w:val="22"/>
          <w:lang w:val="sr-Latn-RS"/>
        </w:rPr>
      </w:pPr>
      <w:r w:rsidRPr="00B32307">
        <w:rPr>
          <w:sz w:val="22"/>
          <w:szCs w:val="22"/>
          <w:lang w:val="sr-Latn-RS"/>
        </w:rPr>
        <w:t xml:space="preserve"> REQUIP MODUTAB, tableta sa produženim oslobađanjem, 4 mg, blister, 28 (2x14) tableta sa produženim oslobađanjem: </w:t>
      </w:r>
      <w:r w:rsidR="00B32307" w:rsidRPr="00B32307">
        <w:rPr>
          <w:sz w:val="22"/>
          <w:szCs w:val="22"/>
          <w:lang w:val="sr-Latn-RS" w:eastAsia="sr-Latn-ME"/>
        </w:rPr>
        <w:t>2030/25/2981 - 4734</w:t>
      </w:r>
    </w:p>
    <w:p w14:paraId="0A34BB45" w14:textId="77777777" w:rsidR="00B32307" w:rsidRPr="00B32307" w:rsidRDefault="00B333D9" w:rsidP="00B32307">
      <w:pPr>
        <w:rPr>
          <w:sz w:val="22"/>
          <w:szCs w:val="22"/>
          <w:lang w:val="sr-Latn-RS"/>
        </w:rPr>
      </w:pPr>
      <w:r w:rsidRPr="00B32307">
        <w:rPr>
          <w:sz w:val="22"/>
          <w:szCs w:val="22"/>
          <w:lang w:val="sr-Latn-RS"/>
        </w:rPr>
        <w:t xml:space="preserve"> REQUIP MODUTAB, tableta sa produženim oslobađanjem, 8 mg, blister, 28 (2x14) tableta sa produženim oslobađanjem: </w:t>
      </w:r>
      <w:r w:rsidR="00B32307" w:rsidRPr="00B32307">
        <w:rPr>
          <w:sz w:val="22"/>
          <w:szCs w:val="22"/>
          <w:lang w:val="sr-Latn-RS" w:eastAsia="sr-Latn-ME"/>
        </w:rPr>
        <w:t>2030/25/2982 - 4735</w:t>
      </w:r>
    </w:p>
    <w:p w14:paraId="76F5F3C9" w14:textId="6FC9A68B" w:rsidR="00F45F77" w:rsidRPr="00B32307" w:rsidRDefault="00F45F77" w:rsidP="00480FB1">
      <w:pPr>
        <w:tabs>
          <w:tab w:val="left" w:pos="540"/>
          <w:tab w:val="left" w:pos="569"/>
        </w:tabs>
        <w:rPr>
          <w:bCs/>
          <w:sz w:val="22"/>
          <w:szCs w:val="22"/>
          <w:lang w:val="sr-Latn-RS"/>
        </w:rPr>
      </w:pPr>
    </w:p>
    <w:p w14:paraId="5A18EDDD" w14:textId="77777777" w:rsidR="00BA0F0B" w:rsidRPr="00B32307" w:rsidRDefault="00BA0F0B" w:rsidP="00480FB1">
      <w:pPr>
        <w:tabs>
          <w:tab w:val="left" w:pos="540"/>
          <w:tab w:val="left" w:pos="569"/>
        </w:tabs>
        <w:rPr>
          <w:bCs/>
          <w:sz w:val="22"/>
          <w:szCs w:val="22"/>
          <w:lang w:val="sr-Latn-RS"/>
        </w:rPr>
      </w:pPr>
    </w:p>
    <w:p w14:paraId="5496500B" w14:textId="77777777" w:rsidR="0072020E" w:rsidRPr="00B32307" w:rsidRDefault="0072020E" w:rsidP="00480FB1">
      <w:pPr>
        <w:tabs>
          <w:tab w:val="left" w:pos="540"/>
          <w:tab w:val="left" w:pos="569"/>
        </w:tabs>
        <w:rPr>
          <w:b/>
          <w:bCs/>
          <w:sz w:val="22"/>
          <w:szCs w:val="22"/>
          <w:lang w:val="sr-Latn-RS"/>
        </w:rPr>
      </w:pPr>
      <w:r w:rsidRPr="00B32307">
        <w:rPr>
          <w:b/>
          <w:bCs/>
          <w:sz w:val="22"/>
          <w:szCs w:val="22"/>
          <w:lang w:val="sr-Latn-RS"/>
        </w:rPr>
        <w:t xml:space="preserve">9. </w:t>
      </w:r>
      <w:r w:rsidR="00480FB1" w:rsidRPr="00B32307">
        <w:rPr>
          <w:b/>
          <w:bCs/>
          <w:sz w:val="22"/>
          <w:szCs w:val="22"/>
          <w:lang w:val="sr-Latn-RS"/>
        </w:rPr>
        <w:tab/>
      </w:r>
      <w:r w:rsidRPr="00B32307">
        <w:rPr>
          <w:b/>
          <w:bCs/>
          <w:sz w:val="22"/>
          <w:szCs w:val="22"/>
          <w:lang w:val="sr-Latn-RS"/>
        </w:rPr>
        <w:t xml:space="preserve">DATUM </w:t>
      </w:r>
      <w:r w:rsidR="00C05DF8" w:rsidRPr="00B32307">
        <w:rPr>
          <w:b/>
          <w:bCs/>
          <w:sz w:val="22"/>
          <w:szCs w:val="22"/>
          <w:lang w:val="sr-Latn-RS"/>
        </w:rPr>
        <w:t xml:space="preserve">PRVE </w:t>
      </w:r>
      <w:r w:rsidR="008A6D43" w:rsidRPr="00B32307">
        <w:rPr>
          <w:b/>
          <w:bCs/>
          <w:sz w:val="22"/>
          <w:szCs w:val="22"/>
          <w:lang w:val="sr-Latn-RS"/>
        </w:rPr>
        <w:t>DOZVOLE</w:t>
      </w:r>
      <w:r w:rsidR="00C05DF8" w:rsidRPr="00B32307">
        <w:rPr>
          <w:b/>
          <w:bCs/>
          <w:sz w:val="22"/>
          <w:szCs w:val="22"/>
          <w:lang w:val="sr-Latn-RS"/>
        </w:rPr>
        <w:t>/OBNOVE DOZVOLE</w:t>
      </w:r>
      <w:r w:rsidR="008A6D43" w:rsidRPr="00B32307">
        <w:rPr>
          <w:b/>
          <w:bCs/>
          <w:sz w:val="22"/>
          <w:szCs w:val="22"/>
          <w:lang w:val="sr-Latn-RS"/>
        </w:rPr>
        <w:t xml:space="preserve"> ZA STAVLJANJE LIJEKA U PROMET</w:t>
      </w:r>
    </w:p>
    <w:p w14:paraId="07FE7097" w14:textId="63F21D33" w:rsidR="0072020E" w:rsidRPr="00B32307" w:rsidRDefault="00E50C5D" w:rsidP="00B32307">
      <w:pPr>
        <w:rPr>
          <w:sz w:val="22"/>
          <w:szCs w:val="22"/>
          <w:lang w:val="sr-Latn-RS"/>
        </w:rPr>
      </w:pPr>
      <w:r w:rsidRPr="00B32307">
        <w:rPr>
          <w:sz w:val="22"/>
          <w:szCs w:val="22"/>
          <w:lang w:val="sr-Latn-RS"/>
        </w:rPr>
        <w:t xml:space="preserve"> </w:t>
      </w:r>
    </w:p>
    <w:p w14:paraId="2A14ECF0" w14:textId="4C6E7F1A" w:rsidR="00B32307" w:rsidRPr="00B32307" w:rsidRDefault="00B32307" w:rsidP="00B32307">
      <w:pPr>
        <w:tabs>
          <w:tab w:val="left" w:pos="540"/>
          <w:tab w:val="left" w:pos="569"/>
        </w:tabs>
        <w:jc w:val="both"/>
        <w:rPr>
          <w:bCs/>
          <w:sz w:val="22"/>
          <w:szCs w:val="22"/>
          <w:lang w:val="sr-Latn-RS"/>
        </w:rPr>
      </w:pPr>
      <w:r w:rsidRPr="00B32307">
        <w:rPr>
          <w:bCs/>
          <w:sz w:val="22"/>
          <w:szCs w:val="22"/>
          <w:lang w:val="sr-Latn-RS"/>
        </w:rPr>
        <w:t xml:space="preserve">Datum prve dozvole: </w:t>
      </w:r>
      <w:r w:rsidRPr="00B32307">
        <w:rPr>
          <w:sz w:val="22"/>
          <w:szCs w:val="22"/>
          <w:lang w:val="sr-Latn-RS" w:eastAsia="sr-Latn-ME"/>
        </w:rPr>
        <w:t>10.07.2017. godine</w:t>
      </w:r>
    </w:p>
    <w:p w14:paraId="7FD2733F" w14:textId="0A406015" w:rsidR="00B32307" w:rsidRPr="00B32307" w:rsidRDefault="00B32307" w:rsidP="00B32307">
      <w:pPr>
        <w:pStyle w:val="Header"/>
        <w:tabs>
          <w:tab w:val="left" w:pos="284"/>
        </w:tabs>
        <w:rPr>
          <w:b/>
          <w:bCs/>
          <w:sz w:val="22"/>
          <w:szCs w:val="22"/>
          <w:lang w:val="sr-Latn-RS"/>
        </w:rPr>
      </w:pPr>
      <w:r w:rsidRPr="00B32307">
        <w:rPr>
          <w:bCs/>
          <w:sz w:val="22"/>
          <w:szCs w:val="22"/>
          <w:lang w:val="sr-Latn-RS"/>
        </w:rPr>
        <w:t xml:space="preserve">Datum posljednje obnove dozvole: </w:t>
      </w:r>
      <w:r w:rsidRPr="00B32307">
        <w:rPr>
          <w:sz w:val="22"/>
          <w:szCs w:val="22"/>
          <w:lang w:val="sr-Latn-RS" w:eastAsia="sr-Latn-ME"/>
        </w:rPr>
        <w:t>22.08.2025. godine</w:t>
      </w:r>
    </w:p>
    <w:p w14:paraId="5A571048" w14:textId="77777777" w:rsidR="00B32307" w:rsidRPr="00B32307" w:rsidRDefault="00B32307" w:rsidP="00B32307">
      <w:pPr>
        <w:rPr>
          <w:sz w:val="22"/>
          <w:szCs w:val="22"/>
          <w:lang w:val="sr-Latn-RS"/>
        </w:rPr>
      </w:pPr>
    </w:p>
    <w:p w14:paraId="35A12248" w14:textId="3D62D692" w:rsidR="00BA0F0B" w:rsidRPr="00B32307" w:rsidRDefault="00BA0F0B" w:rsidP="00480FB1">
      <w:pPr>
        <w:tabs>
          <w:tab w:val="left" w:pos="540"/>
          <w:tab w:val="left" w:pos="569"/>
        </w:tabs>
        <w:rPr>
          <w:bCs/>
          <w:sz w:val="22"/>
          <w:szCs w:val="22"/>
          <w:lang w:val="sr-Latn-RS"/>
        </w:rPr>
      </w:pPr>
    </w:p>
    <w:p w14:paraId="63CBEED6" w14:textId="77777777" w:rsidR="003F6A59" w:rsidRPr="00B32307" w:rsidRDefault="0072020E" w:rsidP="00C05DF8">
      <w:pPr>
        <w:tabs>
          <w:tab w:val="left" w:pos="540"/>
          <w:tab w:val="left" w:pos="569"/>
        </w:tabs>
        <w:ind w:left="540" w:hanging="540"/>
        <w:rPr>
          <w:bCs/>
          <w:sz w:val="22"/>
          <w:szCs w:val="22"/>
          <w:lang w:val="sr-Latn-RS"/>
        </w:rPr>
      </w:pPr>
      <w:r w:rsidRPr="00B32307">
        <w:rPr>
          <w:b/>
          <w:bCs/>
          <w:sz w:val="22"/>
          <w:szCs w:val="22"/>
          <w:lang w:val="sr-Latn-RS"/>
        </w:rPr>
        <w:t xml:space="preserve">10. </w:t>
      </w:r>
      <w:r w:rsidR="00480FB1" w:rsidRPr="00B32307">
        <w:rPr>
          <w:b/>
          <w:bCs/>
          <w:sz w:val="22"/>
          <w:szCs w:val="22"/>
          <w:lang w:val="sr-Latn-RS"/>
        </w:rPr>
        <w:tab/>
      </w:r>
      <w:r w:rsidR="002846DB" w:rsidRPr="00B32307">
        <w:rPr>
          <w:b/>
          <w:bCs/>
          <w:sz w:val="22"/>
          <w:szCs w:val="22"/>
          <w:lang w:val="sr-Latn-RS"/>
        </w:rPr>
        <w:t>D</w:t>
      </w:r>
      <w:r w:rsidR="00EC2532" w:rsidRPr="00B32307">
        <w:rPr>
          <w:b/>
          <w:bCs/>
          <w:sz w:val="22"/>
          <w:szCs w:val="22"/>
          <w:lang w:val="sr-Latn-RS"/>
        </w:rPr>
        <w:t xml:space="preserve">ATUM REVIZIJE TEKSTA </w:t>
      </w:r>
    </w:p>
    <w:p w14:paraId="21966900" w14:textId="723EA9CD" w:rsidR="003F6A59" w:rsidRPr="00B32307" w:rsidRDefault="003F6A59" w:rsidP="0083772F">
      <w:pPr>
        <w:tabs>
          <w:tab w:val="left" w:pos="540"/>
          <w:tab w:val="left" w:pos="569"/>
        </w:tabs>
        <w:rPr>
          <w:bCs/>
          <w:sz w:val="22"/>
          <w:szCs w:val="22"/>
          <w:lang w:val="sr-Latn-RS"/>
        </w:rPr>
      </w:pPr>
    </w:p>
    <w:p w14:paraId="69050000" w14:textId="034BF22F" w:rsidR="00B32307" w:rsidRPr="00B32307" w:rsidRDefault="00B32307" w:rsidP="0083772F">
      <w:pPr>
        <w:tabs>
          <w:tab w:val="left" w:pos="540"/>
          <w:tab w:val="left" w:pos="569"/>
        </w:tabs>
        <w:rPr>
          <w:bCs/>
          <w:sz w:val="22"/>
          <w:szCs w:val="22"/>
          <w:lang w:val="sr-Latn-RS"/>
        </w:rPr>
      </w:pPr>
      <w:r w:rsidRPr="00B32307">
        <w:rPr>
          <w:bCs/>
          <w:sz w:val="22"/>
          <w:szCs w:val="22"/>
          <w:lang w:val="sr-Latn-RS"/>
        </w:rPr>
        <w:t>Avgust, 2025. godine</w:t>
      </w:r>
      <w:bookmarkStart w:id="2" w:name="_GoBack"/>
      <w:bookmarkEnd w:id="2"/>
    </w:p>
    <w:sectPr w:rsidR="00B32307" w:rsidRPr="00B32307" w:rsidSect="00EF3B86">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6F7B7" w14:textId="77777777" w:rsidR="004B33CA" w:rsidRDefault="004B33CA">
      <w:r>
        <w:separator/>
      </w:r>
    </w:p>
  </w:endnote>
  <w:endnote w:type="continuationSeparator" w:id="0">
    <w:p w14:paraId="63380132" w14:textId="77777777" w:rsidR="004B33CA" w:rsidRDefault="004B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B91E" w14:textId="34D6E378"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250B5">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250B5">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17CF" w14:textId="77777777" w:rsidR="004B33CA" w:rsidRDefault="004B33CA">
      <w:r>
        <w:separator/>
      </w:r>
    </w:p>
  </w:footnote>
  <w:footnote w:type="continuationSeparator" w:id="0">
    <w:p w14:paraId="7D9658C9" w14:textId="77777777" w:rsidR="004B33CA" w:rsidRDefault="004B3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25pt;height:14.25pt;visibility:visible" o:bullet="t">
        <v:imagedata r:id="rId1" o:title="BT_1000x858px"/>
      </v:shape>
    </w:pict>
  </w:numPicBullet>
  <w:abstractNum w:abstractNumId="0" w15:restartNumberingAfterBreak="0">
    <w:nsid w:val="097E6154"/>
    <w:multiLevelType w:val="hybridMultilevel"/>
    <w:tmpl w:val="28105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F2547"/>
    <w:multiLevelType w:val="hybridMultilevel"/>
    <w:tmpl w:val="F1BC48BE"/>
    <w:lvl w:ilvl="0" w:tplc="0192BFC2">
      <w:start w:val="1"/>
      <w:numFmt w:val="bullet"/>
      <w:lvlText w:val="­"/>
      <w:lvlJc w:val="left"/>
      <w:pPr>
        <w:ind w:left="360" w:hanging="360"/>
      </w:pPr>
      <w:rPr>
        <w:rFonts w:ascii="Times New Roman" w:hAnsi="Times New Roman" w:cs="Times New Roman" w:hint="default"/>
      </w:rPr>
    </w:lvl>
    <w:lvl w:ilvl="1" w:tplc="0D2803E0">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565194"/>
    <w:multiLevelType w:val="hybridMultilevel"/>
    <w:tmpl w:val="D592E6D2"/>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D7BD3"/>
    <w:multiLevelType w:val="hybridMultilevel"/>
    <w:tmpl w:val="54B87B94"/>
    <w:lvl w:ilvl="0" w:tplc="0192BFC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646664"/>
    <w:multiLevelType w:val="hybridMultilevel"/>
    <w:tmpl w:val="73085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E956C38"/>
    <w:multiLevelType w:val="hybridMultilevel"/>
    <w:tmpl w:val="C2BAD732"/>
    <w:lvl w:ilvl="0" w:tplc="0192BF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14"/>
  </w:num>
  <w:num w:numId="5">
    <w:abstractNumId w:val="5"/>
  </w:num>
  <w:num w:numId="6">
    <w:abstractNumId w:val="2"/>
  </w:num>
  <w:num w:numId="7">
    <w:abstractNumId w:val="12"/>
  </w:num>
  <w:num w:numId="8">
    <w:abstractNumId w:val="4"/>
  </w:num>
  <w:num w:numId="9">
    <w:abstractNumId w:val="8"/>
  </w:num>
  <w:num w:numId="10">
    <w:abstractNumId w:val="16"/>
  </w:num>
  <w:num w:numId="11">
    <w:abstractNumId w:val="6"/>
  </w:num>
  <w:num w:numId="12">
    <w:abstractNumId w:val="11"/>
  </w:num>
  <w:num w:numId="13">
    <w:abstractNumId w:val="7"/>
  </w:num>
  <w:num w:numId="14">
    <w:abstractNumId w:val="0"/>
  </w:num>
  <w:num w:numId="15">
    <w:abstractNumId w:val="10"/>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F10"/>
    <w:rsid w:val="000126D7"/>
    <w:rsid w:val="000176CA"/>
    <w:rsid w:val="000205F4"/>
    <w:rsid w:val="00036FA0"/>
    <w:rsid w:val="0003793F"/>
    <w:rsid w:val="00057E35"/>
    <w:rsid w:val="00076726"/>
    <w:rsid w:val="00080303"/>
    <w:rsid w:val="000A3F58"/>
    <w:rsid w:val="000D2343"/>
    <w:rsid w:val="000D3449"/>
    <w:rsid w:val="000D425A"/>
    <w:rsid w:val="000D60CC"/>
    <w:rsid w:val="000E2084"/>
    <w:rsid w:val="000E6F55"/>
    <w:rsid w:val="000F77FA"/>
    <w:rsid w:val="00102267"/>
    <w:rsid w:val="00107BF7"/>
    <w:rsid w:val="00126F53"/>
    <w:rsid w:val="0014766D"/>
    <w:rsid w:val="001536CC"/>
    <w:rsid w:val="00195721"/>
    <w:rsid w:val="001A36D3"/>
    <w:rsid w:val="001A3FBA"/>
    <w:rsid w:val="001A5518"/>
    <w:rsid w:val="001B1C6A"/>
    <w:rsid w:val="001B5442"/>
    <w:rsid w:val="001C1263"/>
    <w:rsid w:val="001C1417"/>
    <w:rsid w:val="001C14E3"/>
    <w:rsid w:val="001E390B"/>
    <w:rsid w:val="001F42FB"/>
    <w:rsid w:val="001F719A"/>
    <w:rsid w:val="002031B3"/>
    <w:rsid w:val="00215931"/>
    <w:rsid w:val="00227AEF"/>
    <w:rsid w:val="00227BDB"/>
    <w:rsid w:val="00234CB1"/>
    <w:rsid w:val="002352F8"/>
    <w:rsid w:val="002409B1"/>
    <w:rsid w:val="002510A5"/>
    <w:rsid w:val="00251955"/>
    <w:rsid w:val="00254A0A"/>
    <w:rsid w:val="00266046"/>
    <w:rsid w:val="0026646E"/>
    <w:rsid w:val="00270908"/>
    <w:rsid w:val="002750FD"/>
    <w:rsid w:val="00277BAC"/>
    <w:rsid w:val="002846DB"/>
    <w:rsid w:val="00284CCD"/>
    <w:rsid w:val="002972D0"/>
    <w:rsid w:val="002B497E"/>
    <w:rsid w:val="002B6854"/>
    <w:rsid w:val="002C6637"/>
    <w:rsid w:val="002E0135"/>
    <w:rsid w:val="002E37A5"/>
    <w:rsid w:val="002F57AF"/>
    <w:rsid w:val="00310F03"/>
    <w:rsid w:val="0031638E"/>
    <w:rsid w:val="003247D2"/>
    <w:rsid w:val="003404CF"/>
    <w:rsid w:val="003445C1"/>
    <w:rsid w:val="00355B61"/>
    <w:rsid w:val="00362686"/>
    <w:rsid w:val="00371510"/>
    <w:rsid w:val="00373C07"/>
    <w:rsid w:val="00396DFD"/>
    <w:rsid w:val="003A7059"/>
    <w:rsid w:val="003B7A36"/>
    <w:rsid w:val="003B7C45"/>
    <w:rsid w:val="003C17AB"/>
    <w:rsid w:val="003C6CE7"/>
    <w:rsid w:val="003C7823"/>
    <w:rsid w:val="003D602E"/>
    <w:rsid w:val="003E1DCC"/>
    <w:rsid w:val="003F14F5"/>
    <w:rsid w:val="003F6A59"/>
    <w:rsid w:val="00403A78"/>
    <w:rsid w:val="004065C8"/>
    <w:rsid w:val="00406C24"/>
    <w:rsid w:val="00411B4B"/>
    <w:rsid w:val="004142AD"/>
    <w:rsid w:val="00415BEE"/>
    <w:rsid w:val="00421C09"/>
    <w:rsid w:val="00427F85"/>
    <w:rsid w:val="00433343"/>
    <w:rsid w:val="00436F42"/>
    <w:rsid w:val="004378B4"/>
    <w:rsid w:val="00451314"/>
    <w:rsid w:val="00452E9D"/>
    <w:rsid w:val="004534C7"/>
    <w:rsid w:val="0046511E"/>
    <w:rsid w:val="004671AA"/>
    <w:rsid w:val="00480FB1"/>
    <w:rsid w:val="00483928"/>
    <w:rsid w:val="00485539"/>
    <w:rsid w:val="00490F08"/>
    <w:rsid w:val="004A4944"/>
    <w:rsid w:val="004B33CA"/>
    <w:rsid w:val="004B64D9"/>
    <w:rsid w:val="004D6103"/>
    <w:rsid w:val="004E2760"/>
    <w:rsid w:val="004E3BCE"/>
    <w:rsid w:val="004F0E97"/>
    <w:rsid w:val="004F43C1"/>
    <w:rsid w:val="00515C21"/>
    <w:rsid w:val="00517BCD"/>
    <w:rsid w:val="00530BD7"/>
    <w:rsid w:val="00545CD2"/>
    <w:rsid w:val="005476F3"/>
    <w:rsid w:val="00572527"/>
    <w:rsid w:val="00573E40"/>
    <w:rsid w:val="00576348"/>
    <w:rsid w:val="0058217E"/>
    <w:rsid w:val="0058759B"/>
    <w:rsid w:val="005A0B2E"/>
    <w:rsid w:val="005A0DE2"/>
    <w:rsid w:val="005A23D2"/>
    <w:rsid w:val="005A36CB"/>
    <w:rsid w:val="005B49B8"/>
    <w:rsid w:val="005C0741"/>
    <w:rsid w:val="005C5EF4"/>
    <w:rsid w:val="005E2E0B"/>
    <w:rsid w:val="005E7A7D"/>
    <w:rsid w:val="00604E0E"/>
    <w:rsid w:val="00611034"/>
    <w:rsid w:val="006337EC"/>
    <w:rsid w:val="00636956"/>
    <w:rsid w:val="00645C29"/>
    <w:rsid w:val="00646BD1"/>
    <w:rsid w:val="006561C2"/>
    <w:rsid w:val="00657495"/>
    <w:rsid w:val="00671CB3"/>
    <w:rsid w:val="00673769"/>
    <w:rsid w:val="00674BAF"/>
    <w:rsid w:val="00682200"/>
    <w:rsid w:val="006A1497"/>
    <w:rsid w:val="006A740F"/>
    <w:rsid w:val="006B0BD1"/>
    <w:rsid w:val="006B1E44"/>
    <w:rsid w:val="006C669B"/>
    <w:rsid w:val="006D20A5"/>
    <w:rsid w:val="006D37BF"/>
    <w:rsid w:val="00702E22"/>
    <w:rsid w:val="0072020E"/>
    <w:rsid w:val="00786071"/>
    <w:rsid w:val="007A3ECB"/>
    <w:rsid w:val="007D220C"/>
    <w:rsid w:val="00824AB9"/>
    <w:rsid w:val="00826DFC"/>
    <w:rsid w:val="00835BFF"/>
    <w:rsid w:val="00836B35"/>
    <w:rsid w:val="0083772F"/>
    <w:rsid w:val="00843BDE"/>
    <w:rsid w:val="00861284"/>
    <w:rsid w:val="0089705C"/>
    <w:rsid w:val="008A2477"/>
    <w:rsid w:val="008A6D43"/>
    <w:rsid w:val="008B491E"/>
    <w:rsid w:val="008C1A28"/>
    <w:rsid w:val="008C2E98"/>
    <w:rsid w:val="008E49BD"/>
    <w:rsid w:val="008E53E9"/>
    <w:rsid w:val="008E5771"/>
    <w:rsid w:val="00905A28"/>
    <w:rsid w:val="00940B9B"/>
    <w:rsid w:val="0095477A"/>
    <w:rsid w:val="0095676E"/>
    <w:rsid w:val="00956983"/>
    <w:rsid w:val="00963CF0"/>
    <w:rsid w:val="00964BB1"/>
    <w:rsid w:val="009775D9"/>
    <w:rsid w:val="00997175"/>
    <w:rsid w:val="009A1847"/>
    <w:rsid w:val="009B062A"/>
    <w:rsid w:val="009E1784"/>
    <w:rsid w:val="009E7C6F"/>
    <w:rsid w:val="009F1793"/>
    <w:rsid w:val="009F2D23"/>
    <w:rsid w:val="00A01D69"/>
    <w:rsid w:val="00A02335"/>
    <w:rsid w:val="00A46C9A"/>
    <w:rsid w:val="00A619F3"/>
    <w:rsid w:val="00A62A73"/>
    <w:rsid w:val="00A848FE"/>
    <w:rsid w:val="00A87FF6"/>
    <w:rsid w:val="00A974B8"/>
    <w:rsid w:val="00AA0A3B"/>
    <w:rsid w:val="00AA34BF"/>
    <w:rsid w:val="00AB50CA"/>
    <w:rsid w:val="00AC53CE"/>
    <w:rsid w:val="00AD2193"/>
    <w:rsid w:val="00AE48A4"/>
    <w:rsid w:val="00AF2AC7"/>
    <w:rsid w:val="00AF74CE"/>
    <w:rsid w:val="00B208DB"/>
    <w:rsid w:val="00B23F69"/>
    <w:rsid w:val="00B30985"/>
    <w:rsid w:val="00B32307"/>
    <w:rsid w:val="00B333D9"/>
    <w:rsid w:val="00B60619"/>
    <w:rsid w:val="00B65F9A"/>
    <w:rsid w:val="00B66A70"/>
    <w:rsid w:val="00B67366"/>
    <w:rsid w:val="00B728C1"/>
    <w:rsid w:val="00B80EE1"/>
    <w:rsid w:val="00B84135"/>
    <w:rsid w:val="00BA0F0B"/>
    <w:rsid w:val="00BB1FD7"/>
    <w:rsid w:val="00BE3B0B"/>
    <w:rsid w:val="00BE7FF6"/>
    <w:rsid w:val="00BF0E2A"/>
    <w:rsid w:val="00BF3F1E"/>
    <w:rsid w:val="00BF7CB9"/>
    <w:rsid w:val="00C04D34"/>
    <w:rsid w:val="00C05DF8"/>
    <w:rsid w:val="00C06864"/>
    <w:rsid w:val="00C10F54"/>
    <w:rsid w:val="00C23226"/>
    <w:rsid w:val="00C23D8D"/>
    <w:rsid w:val="00C37AA3"/>
    <w:rsid w:val="00C37FD7"/>
    <w:rsid w:val="00C43419"/>
    <w:rsid w:val="00C44CF3"/>
    <w:rsid w:val="00C51C98"/>
    <w:rsid w:val="00C61BE0"/>
    <w:rsid w:val="00C6357D"/>
    <w:rsid w:val="00C70B0E"/>
    <w:rsid w:val="00C773CA"/>
    <w:rsid w:val="00C83785"/>
    <w:rsid w:val="00C83F0A"/>
    <w:rsid w:val="00C94C0D"/>
    <w:rsid w:val="00CA1FEB"/>
    <w:rsid w:val="00CA3509"/>
    <w:rsid w:val="00CD4F85"/>
    <w:rsid w:val="00CD6F02"/>
    <w:rsid w:val="00CE246D"/>
    <w:rsid w:val="00CE78C0"/>
    <w:rsid w:val="00CF07A0"/>
    <w:rsid w:val="00CF3E03"/>
    <w:rsid w:val="00D0082A"/>
    <w:rsid w:val="00D21455"/>
    <w:rsid w:val="00D250B5"/>
    <w:rsid w:val="00D47634"/>
    <w:rsid w:val="00D709B3"/>
    <w:rsid w:val="00DA2ED6"/>
    <w:rsid w:val="00DA5F27"/>
    <w:rsid w:val="00DB76B8"/>
    <w:rsid w:val="00DC2EA1"/>
    <w:rsid w:val="00DC38F1"/>
    <w:rsid w:val="00DD6AAF"/>
    <w:rsid w:val="00DE3F5C"/>
    <w:rsid w:val="00DF15B6"/>
    <w:rsid w:val="00DF1D20"/>
    <w:rsid w:val="00DF4E09"/>
    <w:rsid w:val="00DF7182"/>
    <w:rsid w:val="00E16634"/>
    <w:rsid w:val="00E21324"/>
    <w:rsid w:val="00E21CEF"/>
    <w:rsid w:val="00E22A16"/>
    <w:rsid w:val="00E246B9"/>
    <w:rsid w:val="00E31FEA"/>
    <w:rsid w:val="00E35AA9"/>
    <w:rsid w:val="00E37509"/>
    <w:rsid w:val="00E44A2A"/>
    <w:rsid w:val="00E45169"/>
    <w:rsid w:val="00E47787"/>
    <w:rsid w:val="00E50C5D"/>
    <w:rsid w:val="00E51C30"/>
    <w:rsid w:val="00E64180"/>
    <w:rsid w:val="00E74AEE"/>
    <w:rsid w:val="00E868E5"/>
    <w:rsid w:val="00E9237A"/>
    <w:rsid w:val="00E939FA"/>
    <w:rsid w:val="00EA5765"/>
    <w:rsid w:val="00EC2532"/>
    <w:rsid w:val="00ED3B7E"/>
    <w:rsid w:val="00ED7812"/>
    <w:rsid w:val="00EE063A"/>
    <w:rsid w:val="00EF3B86"/>
    <w:rsid w:val="00F250E9"/>
    <w:rsid w:val="00F317E9"/>
    <w:rsid w:val="00F34554"/>
    <w:rsid w:val="00F352E2"/>
    <w:rsid w:val="00F45F77"/>
    <w:rsid w:val="00F5167F"/>
    <w:rsid w:val="00F52258"/>
    <w:rsid w:val="00F8570A"/>
    <w:rsid w:val="00F91C7B"/>
    <w:rsid w:val="00FC563B"/>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85CB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Char"/>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basedOn w:val="DefaultParagraphFont"/>
    <w:link w:val="Header"/>
    <w:uiPriority w:val="99"/>
    <w:rsid w:val="00A974B8"/>
    <w:rPr>
      <w:sz w:val="24"/>
      <w:szCs w:val="24"/>
      <w:lang w:val="en-US" w:eastAsia="en-US"/>
    </w:rPr>
  </w:style>
  <w:style w:type="paragraph" w:customStyle="1" w:styleId="Text">
    <w:name w:val="Text"/>
    <w:basedOn w:val="Normal"/>
    <w:rsid w:val="00835BFF"/>
    <w:pPr>
      <w:spacing w:after="240" w:line="312" w:lineRule="atLeast"/>
    </w:pPr>
    <w:rPr>
      <w:szCs w:val="20"/>
      <w:lang w:val="en-GB" w:eastAsia="en-GB"/>
    </w:rPr>
  </w:style>
  <w:style w:type="paragraph" w:customStyle="1" w:styleId="listssp">
    <w:name w:val="list:ssp"/>
    <w:basedOn w:val="Normal"/>
    <w:rsid w:val="00826DFC"/>
    <w:rPr>
      <w:szCs w:val="20"/>
      <w:lang w:val="en-GB" w:eastAsia="nl-NL"/>
    </w:rPr>
  </w:style>
  <w:style w:type="paragraph" w:customStyle="1" w:styleId="Indent">
    <w:name w:val="Indent"/>
    <w:rsid w:val="00EE063A"/>
    <w:pPr>
      <w:spacing w:before="60"/>
      <w:ind w:left="851"/>
    </w:pPr>
    <w:rPr>
      <w:sz w:val="22"/>
      <w:szCs w:val="24"/>
      <w:lang w:val="en-GB" w:eastAsia="en-GB"/>
    </w:rPr>
  </w:style>
  <w:style w:type="character" w:styleId="Hyperlink">
    <w:name w:val="Hyperlink"/>
    <w:basedOn w:val="DefaultParagraphFont"/>
    <w:unhideWhenUsed/>
    <w:rsid w:val="00C6357D"/>
    <w:rPr>
      <w:color w:val="0563C1" w:themeColor="hyperlink"/>
      <w:u w:val="single"/>
    </w:rPr>
  </w:style>
  <w:style w:type="paragraph" w:styleId="Revision">
    <w:name w:val="Revision"/>
    <w:hidden/>
    <w:uiPriority w:val="99"/>
    <w:semiHidden/>
    <w:rsid w:val="00A848FE"/>
    <w:rPr>
      <w:sz w:val="24"/>
      <w:szCs w:val="24"/>
      <w:lang w:val="en-US" w:eastAsia="en-US"/>
    </w:rPr>
  </w:style>
  <w:style w:type="paragraph" w:styleId="ListParagraph">
    <w:name w:val="List Paragraph"/>
    <w:basedOn w:val="Normal"/>
    <w:uiPriority w:val="34"/>
    <w:qFormat/>
    <w:rsid w:val="001B5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37927">
      <w:bodyDiv w:val="1"/>
      <w:marLeft w:val="0"/>
      <w:marRight w:val="0"/>
      <w:marTop w:val="0"/>
      <w:marBottom w:val="0"/>
      <w:divBdr>
        <w:top w:val="none" w:sz="0" w:space="0" w:color="auto"/>
        <w:left w:val="none" w:sz="0" w:space="0" w:color="auto"/>
        <w:bottom w:val="none" w:sz="0" w:space="0" w:color="auto"/>
        <w:right w:val="none" w:sz="0" w:space="0" w:color="auto"/>
      </w:divBdr>
    </w:div>
    <w:div w:id="151070775">
      <w:bodyDiv w:val="1"/>
      <w:marLeft w:val="0"/>
      <w:marRight w:val="0"/>
      <w:marTop w:val="0"/>
      <w:marBottom w:val="0"/>
      <w:divBdr>
        <w:top w:val="none" w:sz="0" w:space="0" w:color="auto"/>
        <w:left w:val="none" w:sz="0" w:space="0" w:color="auto"/>
        <w:bottom w:val="none" w:sz="0" w:space="0" w:color="auto"/>
        <w:right w:val="none" w:sz="0" w:space="0" w:color="auto"/>
      </w:divBdr>
    </w:div>
    <w:div w:id="156192566">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338696563">
      <w:bodyDiv w:val="1"/>
      <w:marLeft w:val="0"/>
      <w:marRight w:val="0"/>
      <w:marTop w:val="0"/>
      <w:marBottom w:val="0"/>
      <w:divBdr>
        <w:top w:val="none" w:sz="0" w:space="0" w:color="auto"/>
        <w:left w:val="none" w:sz="0" w:space="0" w:color="auto"/>
        <w:bottom w:val="none" w:sz="0" w:space="0" w:color="auto"/>
        <w:right w:val="none" w:sz="0" w:space="0" w:color="auto"/>
      </w:divBdr>
    </w:div>
    <w:div w:id="406465255">
      <w:bodyDiv w:val="1"/>
      <w:marLeft w:val="0"/>
      <w:marRight w:val="0"/>
      <w:marTop w:val="0"/>
      <w:marBottom w:val="0"/>
      <w:divBdr>
        <w:top w:val="none" w:sz="0" w:space="0" w:color="auto"/>
        <w:left w:val="none" w:sz="0" w:space="0" w:color="auto"/>
        <w:bottom w:val="none" w:sz="0" w:space="0" w:color="auto"/>
        <w:right w:val="none" w:sz="0" w:space="0" w:color="auto"/>
      </w:divBdr>
    </w:div>
    <w:div w:id="406656126">
      <w:bodyDiv w:val="1"/>
      <w:marLeft w:val="0"/>
      <w:marRight w:val="0"/>
      <w:marTop w:val="0"/>
      <w:marBottom w:val="0"/>
      <w:divBdr>
        <w:top w:val="none" w:sz="0" w:space="0" w:color="auto"/>
        <w:left w:val="none" w:sz="0" w:space="0" w:color="auto"/>
        <w:bottom w:val="none" w:sz="0" w:space="0" w:color="auto"/>
        <w:right w:val="none" w:sz="0" w:space="0" w:color="auto"/>
      </w:divBdr>
    </w:div>
    <w:div w:id="461114977">
      <w:bodyDiv w:val="1"/>
      <w:marLeft w:val="0"/>
      <w:marRight w:val="0"/>
      <w:marTop w:val="0"/>
      <w:marBottom w:val="0"/>
      <w:divBdr>
        <w:top w:val="none" w:sz="0" w:space="0" w:color="auto"/>
        <w:left w:val="none" w:sz="0" w:space="0" w:color="auto"/>
        <w:bottom w:val="none" w:sz="0" w:space="0" w:color="auto"/>
        <w:right w:val="none" w:sz="0" w:space="0" w:color="auto"/>
      </w:divBdr>
    </w:div>
    <w:div w:id="543909493">
      <w:bodyDiv w:val="1"/>
      <w:marLeft w:val="0"/>
      <w:marRight w:val="0"/>
      <w:marTop w:val="0"/>
      <w:marBottom w:val="0"/>
      <w:divBdr>
        <w:top w:val="none" w:sz="0" w:space="0" w:color="auto"/>
        <w:left w:val="none" w:sz="0" w:space="0" w:color="auto"/>
        <w:bottom w:val="none" w:sz="0" w:space="0" w:color="auto"/>
        <w:right w:val="none" w:sz="0" w:space="0" w:color="auto"/>
      </w:divBdr>
    </w:div>
    <w:div w:id="547881603">
      <w:bodyDiv w:val="1"/>
      <w:marLeft w:val="0"/>
      <w:marRight w:val="0"/>
      <w:marTop w:val="0"/>
      <w:marBottom w:val="0"/>
      <w:divBdr>
        <w:top w:val="none" w:sz="0" w:space="0" w:color="auto"/>
        <w:left w:val="none" w:sz="0" w:space="0" w:color="auto"/>
        <w:bottom w:val="none" w:sz="0" w:space="0" w:color="auto"/>
        <w:right w:val="none" w:sz="0" w:space="0" w:color="auto"/>
      </w:divBdr>
    </w:div>
    <w:div w:id="555746384">
      <w:bodyDiv w:val="1"/>
      <w:marLeft w:val="0"/>
      <w:marRight w:val="0"/>
      <w:marTop w:val="0"/>
      <w:marBottom w:val="0"/>
      <w:divBdr>
        <w:top w:val="none" w:sz="0" w:space="0" w:color="auto"/>
        <w:left w:val="none" w:sz="0" w:space="0" w:color="auto"/>
        <w:bottom w:val="none" w:sz="0" w:space="0" w:color="auto"/>
        <w:right w:val="none" w:sz="0" w:space="0" w:color="auto"/>
      </w:divBdr>
    </w:div>
    <w:div w:id="583999685">
      <w:bodyDiv w:val="1"/>
      <w:marLeft w:val="0"/>
      <w:marRight w:val="0"/>
      <w:marTop w:val="0"/>
      <w:marBottom w:val="0"/>
      <w:divBdr>
        <w:top w:val="none" w:sz="0" w:space="0" w:color="auto"/>
        <w:left w:val="none" w:sz="0" w:space="0" w:color="auto"/>
        <w:bottom w:val="none" w:sz="0" w:space="0" w:color="auto"/>
        <w:right w:val="none" w:sz="0" w:space="0" w:color="auto"/>
      </w:divBdr>
    </w:div>
    <w:div w:id="635261769">
      <w:bodyDiv w:val="1"/>
      <w:marLeft w:val="0"/>
      <w:marRight w:val="0"/>
      <w:marTop w:val="0"/>
      <w:marBottom w:val="0"/>
      <w:divBdr>
        <w:top w:val="none" w:sz="0" w:space="0" w:color="auto"/>
        <w:left w:val="none" w:sz="0" w:space="0" w:color="auto"/>
        <w:bottom w:val="none" w:sz="0" w:space="0" w:color="auto"/>
        <w:right w:val="none" w:sz="0" w:space="0" w:color="auto"/>
      </w:divBdr>
    </w:div>
    <w:div w:id="765006296">
      <w:bodyDiv w:val="1"/>
      <w:marLeft w:val="0"/>
      <w:marRight w:val="0"/>
      <w:marTop w:val="0"/>
      <w:marBottom w:val="0"/>
      <w:divBdr>
        <w:top w:val="none" w:sz="0" w:space="0" w:color="auto"/>
        <w:left w:val="none" w:sz="0" w:space="0" w:color="auto"/>
        <w:bottom w:val="none" w:sz="0" w:space="0" w:color="auto"/>
        <w:right w:val="none" w:sz="0" w:space="0" w:color="auto"/>
      </w:divBdr>
    </w:div>
    <w:div w:id="831412596">
      <w:bodyDiv w:val="1"/>
      <w:marLeft w:val="0"/>
      <w:marRight w:val="0"/>
      <w:marTop w:val="0"/>
      <w:marBottom w:val="0"/>
      <w:divBdr>
        <w:top w:val="none" w:sz="0" w:space="0" w:color="auto"/>
        <w:left w:val="none" w:sz="0" w:space="0" w:color="auto"/>
        <w:bottom w:val="none" w:sz="0" w:space="0" w:color="auto"/>
        <w:right w:val="none" w:sz="0" w:space="0" w:color="auto"/>
      </w:divBdr>
    </w:div>
    <w:div w:id="872499915">
      <w:bodyDiv w:val="1"/>
      <w:marLeft w:val="0"/>
      <w:marRight w:val="0"/>
      <w:marTop w:val="0"/>
      <w:marBottom w:val="0"/>
      <w:divBdr>
        <w:top w:val="none" w:sz="0" w:space="0" w:color="auto"/>
        <w:left w:val="none" w:sz="0" w:space="0" w:color="auto"/>
        <w:bottom w:val="none" w:sz="0" w:space="0" w:color="auto"/>
        <w:right w:val="none" w:sz="0" w:space="0" w:color="auto"/>
      </w:divBdr>
    </w:div>
    <w:div w:id="956764243">
      <w:bodyDiv w:val="1"/>
      <w:marLeft w:val="0"/>
      <w:marRight w:val="0"/>
      <w:marTop w:val="0"/>
      <w:marBottom w:val="0"/>
      <w:divBdr>
        <w:top w:val="none" w:sz="0" w:space="0" w:color="auto"/>
        <w:left w:val="none" w:sz="0" w:space="0" w:color="auto"/>
        <w:bottom w:val="none" w:sz="0" w:space="0" w:color="auto"/>
        <w:right w:val="none" w:sz="0" w:space="0" w:color="auto"/>
      </w:divBdr>
    </w:div>
    <w:div w:id="958949725">
      <w:bodyDiv w:val="1"/>
      <w:marLeft w:val="0"/>
      <w:marRight w:val="0"/>
      <w:marTop w:val="0"/>
      <w:marBottom w:val="0"/>
      <w:divBdr>
        <w:top w:val="none" w:sz="0" w:space="0" w:color="auto"/>
        <w:left w:val="none" w:sz="0" w:space="0" w:color="auto"/>
        <w:bottom w:val="none" w:sz="0" w:space="0" w:color="auto"/>
        <w:right w:val="none" w:sz="0" w:space="0" w:color="auto"/>
      </w:divBdr>
    </w:div>
    <w:div w:id="1015380309">
      <w:bodyDiv w:val="1"/>
      <w:marLeft w:val="0"/>
      <w:marRight w:val="0"/>
      <w:marTop w:val="0"/>
      <w:marBottom w:val="0"/>
      <w:divBdr>
        <w:top w:val="none" w:sz="0" w:space="0" w:color="auto"/>
        <w:left w:val="none" w:sz="0" w:space="0" w:color="auto"/>
        <w:bottom w:val="none" w:sz="0" w:space="0" w:color="auto"/>
        <w:right w:val="none" w:sz="0" w:space="0" w:color="auto"/>
      </w:divBdr>
    </w:div>
    <w:div w:id="1091045996">
      <w:bodyDiv w:val="1"/>
      <w:marLeft w:val="0"/>
      <w:marRight w:val="0"/>
      <w:marTop w:val="0"/>
      <w:marBottom w:val="0"/>
      <w:divBdr>
        <w:top w:val="none" w:sz="0" w:space="0" w:color="auto"/>
        <w:left w:val="none" w:sz="0" w:space="0" w:color="auto"/>
        <w:bottom w:val="none" w:sz="0" w:space="0" w:color="auto"/>
        <w:right w:val="none" w:sz="0" w:space="0" w:color="auto"/>
      </w:divBdr>
    </w:div>
    <w:div w:id="1172404465">
      <w:bodyDiv w:val="1"/>
      <w:marLeft w:val="0"/>
      <w:marRight w:val="0"/>
      <w:marTop w:val="0"/>
      <w:marBottom w:val="0"/>
      <w:divBdr>
        <w:top w:val="none" w:sz="0" w:space="0" w:color="auto"/>
        <w:left w:val="none" w:sz="0" w:space="0" w:color="auto"/>
        <w:bottom w:val="none" w:sz="0" w:space="0" w:color="auto"/>
        <w:right w:val="none" w:sz="0" w:space="0" w:color="auto"/>
      </w:divBdr>
    </w:div>
    <w:div w:id="1179153786">
      <w:bodyDiv w:val="1"/>
      <w:marLeft w:val="0"/>
      <w:marRight w:val="0"/>
      <w:marTop w:val="0"/>
      <w:marBottom w:val="0"/>
      <w:divBdr>
        <w:top w:val="none" w:sz="0" w:space="0" w:color="auto"/>
        <w:left w:val="none" w:sz="0" w:space="0" w:color="auto"/>
        <w:bottom w:val="none" w:sz="0" w:space="0" w:color="auto"/>
        <w:right w:val="none" w:sz="0" w:space="0" w:color="auto"/>
      </w:divBdr>
    </w:div>
    <w:div w:id="1298730403">
      <w:bodyDiv w:val="1"/>
      <w:marLeft w:val="0"/>
      <w:marRight w:val="0"/>
      <w:marTop w:val="0"/>
      <w:marBottom w:val="0"/>
      <w:divBdr>
        <w:top w:val="none" w:sz="0" w:space="0" w:color="auto"/>
        <w:left w:val="none" w:sz="0" w:space="0" w:color="auto"/>
        <w:bottom w:val="none" w:sz="0" w:space="0" w:color="auto"/>
        <w:right w:val="none" w:sz="0" w:space="0" w:color="auto"/>
      </w:divBdr>
    </w:div>
    <w:div w:id="1300307509">
      <w:bodyDiv w:val="1"/>
      <w:marLeft w:val="0"/>
      <w:marRight w:val="0"/>
      <w:marTop w:val="0"/>
      <w:marBottom w:val="0"/>
      <w:divBdr>
        <w:top w:val="none" w:sz="0" w:space="0" w:color="auto"/>
        <w:left w:val="none" w:sz="0" w:space="0" w:color="auto"/>
        <w:bottom w:val="none" w:sz="0" w:space="0" w:color="auto"/>
        <w:right w:val="none" w:sz="0" w:space="0" w:color="auto"/>
      </w:divBdr>
    </w:div>
    <w:div w:id="1463496247">
      <w:bodyDiv w:val="1"/>
      <w:marLeft w:val="0"/>
      <w:marRight w:val="0"/>
      <w:marTop w:val="0"/>
      <w:marBottom w:val="0"/>
      <w:divBdr>
        <w:top w:val="none" w:sz="0" w:space="0" w:color="auto"/>
        <w:left w:val="none" w:sz="0" w:space="0" w:color="auto"/>
        <w:bottom w:val="none" w:sz="0" w:space="0" w:color="auto"/>
        <w:right w:val="none" w:sz="0" w:space="0" w:color="auto"/>
      </w:divBdr>
    </w:div>
    <w:div w:id="1487621815">
      <w:bodyDiv w:val="1"/>
      <w:marLeft w:val="0"/>
      <w:marRight w:val="0"/>
      <w:marTop w:val="0"/>
      <w:marBottom w:val="0"/>
      <w:divBdr>
        <w:top w:val="none" w:sz="0" w:space="0" w:color="auto"/>
        <w:left w:val="none" w:sz="0" w:space="0" w:color="auto"/>
        <w:bottom w:val="none" w:sz="0" w:space="0" w:color="auto"/>
        <w:right w:val="none" w:sz="0" w:space="0" w:color="auto"/>
      </w:divBdr>
    </w:div>
    <w:div w:id="1548254667">
      <w:bodyDiv w:val="1"/>
      <w:marLeft w:val="0"/>
      <w:marRight w:val="0"/>
      <w:marTop w:val="0"/>
      <w:marBottom w:val="0"/>
      <w:divBdr>
        <w:top w:val="none" w:sz="0" w:space="0" w:color="auto"/>
        <w:left w:val="none" w:sz="0" w:space="0" w:color="auto"/>
        <w:bottom w:val="none" w:sz="0" w:space="0" w:color="auto"/>
        <w:right w:val="none" w:sz="0" w:space="0" w:color="auto"/>
      </w:divBdr>
    </w:div>
    <w:div w:id="1549755257">
      <w:bodyDiv w:val="1"/>
      <w:marLeft w:val="0"/>
      <w:marRight w:val="0"/>
      <w:marTop w:val="0"/>
      <w:marBottom w:val="0"/>
      <w:divBdr>
        <w:top w:val="none" w:sz="0" w:space="0" w:color="auto"/>
        <w:left w:val="none" w:sz="0" w:space="0" w:color="auto"/>
        <w:bottom w:val="none" w:sz="0" w:space="0" w:color="auto"/>
        <w:right w:val="none" w:sz="0" w:space="0" w:color="auto"/>
      </w:divBdr>
    </w:div>
    <w:div w:id="1556234931">
      <w:bodyDiv w:val="1"/>
      <w:marLeft w:val="0"/>
      <w:marRight w:val="0"/>
      <w:marTop w:val="0"/>
      <w:marBottom w:val="0"/>
      <w:divBdr>
        <w:top w:val="none" w:sz="0" w:space="0" w:color="auto"/>
        <w:left w:val="none" w:sz="0" w:space="0" w:color="auto"/>
        <w:bottom w:val="none" w:sz="0" w:space="0" w:color="auto"/>
        <w:right w:val="none" w:sz="0" w:space="0" w:color="auto"/>
      </w:divBdr>
    </w:div>
    <w:div w:id="1598978352">
      <w:bodyDiv w:val="1"/>
      <w:marLeft w:val="0"/>
      <w:marRight w:val="0"/>
      <w:marTop w:val="0"/>
      <w:marBottom w:val="0"/>
      <w:divBdr>
        <w:top w:val="none" w:sz="0" w:space="0" w:color="auto"/>
        <w:left w:val="none" w:sz="0" w:space="0" w:color="auto"/>
        <w:bottom w:val="none" w:sz="0" w:space="0" w:color="auto"/>
        <w:right w:val="none" w:sz="0" w:space="0" w:color="auto"/>
      </w:divBdr>
    </w:div>
    <w:div w:id="1603949135">
      <w:bodyDiv w:val="1"/>
      <w:marLeft w:val="0"/>
      <w:marRight w:val="0"/>
      <w:marTop w:val="0"/>
      <w:marBottom w:val="0"/>
      <w:divBdr>
        <w:top w:val="none" w:sz="0" w:space="0" w:color="auto"/>
        <w:left w:val="none" w:sz="0" w:space="0" w:color="auto"/>
        <w:bottom w:val="none" w:sz="0" w:space="0" w:color="auto"/>
        <w:right w:val="none" w:sz="0" w:space="0" w:color="auto"/>
      </w:divBdr>
    </w:div>
    <w:div w:id="1659186927">
      <w:bodyDiv w:val="1"/>
      <w:marLeft w:val="0"/>
      <w:marRight w:val="0"/>
      <w:marTop w:val="0"/>
      <w:marBottom w:val="0"/>
      <w:divBdr>
        <w:top w:val="none" w:sz="0" w:space="0" w:color="auto"/>
        <w:left w:val="none" w:sz="0" w:space="0" w:color="auto"/>
        <w:bottom w:val="none" w:sz="0" w:space="0" w:color="auto"/>
        <w:right w:val="none" w:sz="0" w:space="0" w:color="auto"/>
      </w:divBdr>
    </w:div>
    <w:div w:id="1727298558">
      <w:bodyDiv w:val="1"/>
      <w:marLeft w:val="0"/>
      <w:marRight w:val="0"/>
      <w:marTop w:val="0"/>
      <w:marBottom w:val="0"/>
      <w:divBdr>
        <w:top w:val="none" w:sz="0" w:space="0" w:color="auto"/>
        <w:left w:val="none" w:sz="0" w:space="0" w:color="auto"/>
        <w:bottom w:val="none" w:sz="0" w:space="0" w:color="auto"/>
        <w:right w:val="none" w:sz="0" w:space="0" w:color="auto"/>
      </w:divBdr>
    </w:div>
    <w:div w:id="1736513140">
      <w:bodyDiv w:val="1"/>
      <w:marLeft w:val="0"/>
      <w:marRight w:val="0"/>
      <w:marTop w:val="0"/>
      <w:marBottom w:val="0"/>
      <w:divBdr>
        <w:top w:val="none" w:sz="0" w:space="0" w:color="auto"/>
        <w:left w:val="none" w:sz="0" w:space="0" w:color="auto"/>
        <w:bottom w:val="none" w:sz="0" w:space="0" w:color="auto"/>
        <w:right w:val="none" w:sz="0" w:space="0" w:color="auto"/>
      </w:divBdr>
    </w:div>
    <w:div w:id="1812360940">
      <w:bodyDiv w:val="1"/>
      <w:marLeft w:val="0"/>
      <w:marRight w:val="0"/>
      <w:marTop w:val="0"/>
      <w:marBottom w:val="0"/>
      <w:divBdr>
        <w:top w:val="none" w:sz="0" w:space="0" w:color="auto"/>
        <w:left w:val="none" w:sz="0" w:space="0" w:color="auto"/>
        <w:bottom w:val="none" w:sz="0" w:space="0" w:color="auto"/>
        <w:right w:val="none" w:sz="0" w:space="0" w:color="auto"/>
      </w:divBdr>
    </w:div>
    <w:div w:id="1837719067">
      <w:bodyDiv w:val="1"/>
      <w:marLeft w:val="0"/>
      <w:marRight w:val="0"/>
      <w:marTop w:val="0"/>
      <w:marBottom w:val="0"/>
      <w:divBdr>
        <w:top w:val="none" w:sz="0" w:space="0" w:color="auto"/>
        <w:left w:val="none" w:sz="0" w:space="0" w:color="auto"/>
        <w:bottom w:val="none" w:sz="0" w:space="0" w:color="auto"/>
        <w:right w:val="none" w:sz="0" w:space="0" w:color="auto"/>
      </w:divBdr>
    </w:div>
    <w:div w:id="1840271381">
      <w:bodyDiv w:val="1"/>
      <w:marLeft w:val="0"/>
      <w:marRight w:val="0"/>
      <w:marTop w:val="0"/>
      <w:marBottom w:val="0"/>
      <w:divBdr>
        <w:top w:val="none" w:sz="0" w:space="0" w:color="auto"/>
        <w:left w:val="none" w:sz="0" w:space="0" w:color="auto"/>
        <w:bottom w:val="none" w:sz="0" w:space="0" w:color="auto"/>
        <w:right w:val="none" w:sz="0" w:space="0" w:color="auto"/>
      </w:divBdr>
    </w:div>
    <w:div w:id="1897815286">
      <w:bodyDiv w:val="1"/>
      <w:marLeft w:val="0"/>
      <w:marRight w:val="0"/>
      <w:marTop w:val="0"/>
      <w:marBottom w:val="0"/>
      <w:divBdr>
        <w:top w:val="none" w:sz="0" w:space="0" w:color="auto"/>
        <w:left w:val="none" w:sz="0" w:space="0" w:color="auto"/>
        <w:bottom w:val="none" w:sz="0" w:space="0" w:color="auto"/>
        <w:right w:val="none" w:sz="0" w:space="0" w:color="auto"/>
      </w:divBdr>
    </w:div>
    <w:div w:id="1983193127">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 w:id="2025739796">
      <w:bodyDiv w:val="1"/>
      <w:marLeft w:val="0"/>
      <w:marRight w:val="0"/>
      <w:marTop w:val="0"/>
      <w:marBottom w:val="0"/>
      <w:divBdr>
        <w:top w:val="none" w:sz="0" w:space="0" w:color="auto"/>
        <w:left w:val="none" w:sz="0" w:space="0" w:color="auto"/>
        <w:bottom w:val="none" w:sz="0" w:space="0" w:color="auto"/>
        <w:right w:val="none" w:sz="0" w:space="0" w:color="auto"/>
      </w:divBdr>
    </w:div>
    <w:div w:id="209748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E7FCA-ECA1-4B4D-9329-3235972D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5218</Words>
  <Characters>29746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34895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13</cp:revision>
  <dcterms:created xsi:type="dcterms:W3CDTF">2025-08-15T12:28:00Z</dcterms:created>
  <dcterms:modified xsi:type="dcterms:W3CDTF">2025-08-22T10:47:00Z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