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400" w:rsidRPr="005D2400" w:rsidRDefault="005D2400" w:rsidP="005D2400">
      <w:pPr>
        <w:tabs>
          <w:tab w:val="left" w:pos="284"/>
        </w:tabs>
        <w:spacing w:before="1000" w:after="0" w:line="240" w:lineRule="auto"/>
        <w:rPr>
          <w:rFonts w:ascii="Times New Roman" w:eastAsia="Times New Roman" w:hAnsi="Times New Roman" w:cs="Arial"/>
          <w:szCs w:val="24"/>
          <w:lang w:val="sr-Latn-ME"/>
        </w:rPr>
      </w:pPr>
    </w:p>
    <w:p w:rsidR="005D2400" w:rsidRPr="005D2400" w:rsidRDefault="005D2400" w:rsidP="005D2400">
      <w:pPr>
        <w:tabs>
          <w:tab w:val="left" w:pos="284"/>
        </w:tabs>
        <w:spacing w:before="1000" w:after="0" w:line="240" w:lineRule="auto"/>
        <w:rPr>
          <w:rFonts w:ascii="Times New Roman" w:eastAsia="Times New Roman" w:hAnsi="Times New Roman" w:cs="Arial"/>
          <w:szCs w:val="24"/>
          <w:lang w:val="sr-Latn-ME"/>
        </w:rPr>
      </w:pPr>
    </w:p>
    <w:tbl>
      <w:tblPr>
        <w:tblW w:w="9360" w:type="dxa"/>
        <w:jc w:val="center"/>
        <w:tblLayout w:type="fixed"/>
        <w:tblLook w:val="0000" w:firstRow="0" w:lastRow="0" w:firstColumn="0" w:lastColumn="0" w:noHBand="0" w:noVBand="0"/>
      </w:tblPr>
      <w:tblGrid>
        <w:gridCol w:w="2160"/>
        <w:gridCol w:w="7200"/>
      </w:tblGrid>
      <w:tr w:rsidR="005D2400" w:rsidRPr="005D2400" w:rsidTr="008E45C5">
        <w:trPr>
          <w:trHeight w:val="530"/>
          <w:jc w:val="center"/>
        </w:trPr>
        <w:tc>
          <w:tcPr>
            <w:tcW w:w="9360" w:type="dxa"/>
            <w:gridSpan w:val="2"/>
            <w:vAlign w:val="center"/>
          </w:tcPr>
          <w:p w:rsidR="005D2400" w:rsidRPr="005D2400" w:rsidRDefault="005D2400" w:rsidP="005D2400">
            <w:pPr>
              <w:tabs>
                <w:tab w:val="left" w:pos="284"/>
              </w:tabs>
              <w:spacing w:after="0" w:line="240" w:lineRule="auto"/>
              <w:jc w:val="center"/>
              <w:rPr>
                <w:rFonts w:ascii="Times New Roman" w:eastAsia="Times New Roman" w:hAnsi="Times New Roman" w:cs="Arial"/>
                <w:b/>
                <w:bCs/>
                <w:i/>
                <w:iCs/>
                <w:szCs w:val="24"/>
                <w:u w:val="single"/>
                <w:lang w:val="sr-Latn-ME"/>
              </w:rPr>
            </w:pPr>
            <w:r w:rsidRPr="005D2400">
              <w:rPr>
                <w:rFonts w:ascii="Times New Roman" w:eastAsia="Times New Roman" w:hAnsi="Times New Roman" w:cs="Arial"/>
                <w:b/>
                <w:bCs/>
                <w:i/>
                <w:iCs/>
                <w:szCs w:val="24"/>
                <w:u w:val="single"/>
                <w:lang w:val="sr-Latn-ME"/>
              </w:rPr>
              <w:t>SAŽETAK KARAKTERISTIKA LIJEKA</w:t>
            </w:r>
          </w:p>
        </w:tc>
      </w:tr>
      <w:tr w:rsidR="005D2400" w:rsidRPr="005D2400" w:rsidTr="008E45C5">
        <w:trPr>
          <w:trHeight w:val="1969"/>
          <w:jc w:val="center"/>
        </w:trPr>
        <w:tc>
          <w:tcPr>
            <w:tcW w:w="9360" w:type="dxa"/>
            <w:gridSpan w:val="2"/>
            <w:vAlign w:val="bottom"/>
          </w:tcPr>
          <w:p w:rsidR="005D2400" w:rsidRPr="005D2400" w:rsidRDefault="005D2400" w:rsidP="005D2400">
            <w:pPr>
              <w:tabs>
                <w:tab w:val="left" w:pos="284"/>
              </w:tabs>
              <w:spacing w:after="0" w:line="240" w:lineRule="auto"/>
              <w:jc w:val="center"/>
              <w:rPr>
                <w:rFonts w:ascii="Times New Roman" w:eastAsia="Times New Roman" w:hAnsi="Times New Roman" w:cs="Arial"/>
                <w:b/>
                <w:bCs/>
                <w:szCs w:val="24"/>
                <w:lang w:val="sr-Latn-ME"/>
              </w:rPr>
            </w:pPr>
            <w:r w:rsidRPr="005D2400">
              <w:rPr>
                <w:rFonts w:ascii="Times New Roman" w:eastAsia="Times New Roman" w:hAnsi="Times New Roman" w:cs="Arial"/>
                <w:b/>
                <w:bCs/>
                <w:szCs w:val="24"/>
                <w:lang w:val="sr-Latn-ME"/>
              </w:rPr>
              <w:t>Redergin</w:t>
            </w:r>
            <w:r w:rsidRPr="005D2400">
              <w:rPr>
                <w:rFonts w:ascii="Times New Roman" w:eastAsia="Times New Roman" w:hAnsi="Times New Roman" w:cs="Times New Roman"/>
                <w:b/>
                <w:bCs/>
                <w:szCs w:val="24"/>
                <w:vertAlign w:val="superscript"/>
                <w:lang w:val="sr-Latn-ME"/>
              </w:rPr>
              <w:t>®</w:t>
            </w:r>
            <w:r w:rsidRPr="005D2400">
              <w:rPr>
                <w:rFonts w:ascii="Times New Roman" w:eastAsia="Times New Roman" w:hAnsi="Times New Roman" w:cs="Arial"/>
                <w:b/>
                <w:bCs/>
                <w:szCs w:val="24"/>
                <w:lang w:val="sr-Latn-ME"/>
              </w:rPr>
              <w:t> tablete 1,5 mg</w:t>
            </w:r>
          </w:p>
          <w:p w:rsidR="005D2400" w:rsidRPr="005D2400" w:rsidRDefault="005D2400" w:rsidP="005D2400">
            <w:pPr>
              <w:tabs>
                <w:tab w:val="left" w:pos="284"/>
              </w:tabs>
              <w:spacing w:after="0" w:line="240" w:lineRule="auto"/>
              <w:jc w:val="center"/>
              <w:rPr>
                <w:rFonts w:ascii="Times New Roman" w:eastAsia="Times New Roman" w:hAnsi="Times New Roman" w:cs="Arial"/>
                <w:b/>
                <w:bCs/>
                <w:szCs w:val="24"/>
                <w:lang w:val="sr-Latn-ME"/>
              </w:rPr>
            </w:pPr>
            <w:r w:rsidRPr="005D2400">
              <w:rPr>
                <w:rFonts w:ascii="Times New Roman" w:eastAsia="Times New Roman" w:hAnsi="Times New Roman" w:cs="Arial"/>
                <w:b/>
                <w:bCs/>
                <w:szCs w:val="24"/>
                <w:lang w:val="sr-Latn-ME"/>
              </w:rPr>
              <w:t>Redergin</w:t>
            </w:r>
            <w:r w:rsidRPr="005D2400">
              <w:rPr>
                <w:rFonts w:ascii="Times New Roman" w:eastAsia="Times New Roman" w:hAnsi="Times New Roman" w:cs="Times New Roman"/>
                <w:b/>
                <w:bCs/>
                <w:szCs w:val="24"/>
                <w:vertAlign w:val="superscript"/>
                <w:lang w:val="sr-Latn-ME"/>
              </w:rPr>
              <w:t>®</w:t>
            </w:r>
            <w:r w:rsidRPr="005D2400">
              <w:rPr>
                <w:rFonts w:ascii="Times New Roman" w:eastAsia="Times New Roman" w:hAnsi="Times New Roman" w:cs="Arial"/>
                <w:b/>
                <w:bCs/>
                <w:szCs w:val="24"/>
                <w:lang w:val="sr-Latn-ME"/>
              </w:rPr>
              <w:t> tablete 4,5 mg</w:t>
            </w:r>
          </w:p>
          <w:p w:rsidR="005D2400" w:rsidRPr="005D2400" w:rsidRDefault="00A8337C" w:rsidP="005D2400">
            <w:pPr>
              <w:tabs>
                <w:tab w:val="left" w:pos="284"/>
              </w:tabs>
              <w:spacing w:after="0" w:line="240" w:lineRule="auto"/>
              <w:jc w:val="center"/>
              <w:rPr>
                <w:rFonts w:ascii="Times New Roman" w:eastAsia="Times New Roman" w:hAnsi="Times New Roman" w:cs="Arial"/>
                <w:bCs/>
                <w:szCs w:val="24"/>
                <w:lang w:val="sr-Latn-ME"/>
              </w:rPr>
            </w:pPr>
            <w:r>
              <w:rPr>
                <w:rFonts w:ascii="Times New Roman" w:eastAsia="Times New Roman" w:hAnsi="Times New Roman" w:cs="Arial"/>
                <w:bCs/>
                <w:szCs w:val="24"/>
                <w:lang w:val="sr-Latn-ME"/>
              </w:rPr>
              <w:t>Pakovanje: blis</w:t>
            </w:r>
            <w:r w:rsidR="005D2400" w:rsidRPr="005D2400">
              <w:rPr>
                <w:rFonts w:ascii="Times New Roman" w:eastAsia="Times New Roman" w:hAnsi="Times New Roman" w:cs="Arial"/>
                <w:bCs/>
                <w:szCs w:val="24"/>
                <w:lang w:val="sr-Latn-ME"/>
              </w:rPr>
              <w:t>t</w:t>
            </w:r>
            <w:r>
              <w:rPr>
                <w:rFonts w:ascii="Times New Roman" w:eastAsia="Times New Roman" w:hAnsi="Times New Roman" w:cs="Arial"/>
                <w:bCs/>
                <w:szCs w:val="24"/>
                <w:lang w:val="sr-Latn-ME"/>
              </w:rPr>
              <w:t>e</w:t>
            </w:r>
            <w:r w:rsidR="005D2400" w:rsidRPr="005D2400">
              <w:rPr>
                <w:rFonts w:ascii="Times New Roman" w:eastAsia="Times New Roman" w:hAnsi="Times New Roman" w:cs="Arial"/>
                <w:bCs/>
                <w:szCs w:val="24"/>
                <w:lang w:val="sr-Latn-ME"/>
              </w:rPr>
              <w:t>r, 2x10 tableta</w:t>
            </w:r>
          </w:p>
          <w:p w:rsidR="005D2400" w:rsidRPr="005D2400" w:rsidRDefault="005D2400" w:rsidP="005D2400">
            <w:pPr>
              <w:tabs>
                <w:tab w:val="left" w:pos="284"/>
              </w:tabs>
              <w:spacing w:after="40" w:line="240" w:lineRule="auto"/>
              <w:jc w:val="both"/>
              <w:rPr>
                <w:rFonts w:ascii="Times New Roman" w:eastAsia="Times New Roman" w:hAnsi="Times New Roman" w:cs="Arial"/>
                <w:b/>
                <w:bCs/>
                <w:szCs w:val="24"/>
                <w:u w:val="single"/>
                <w:lang w:val="sr-Latn-ME"/>
              </w:rPr>
            </w:pPr>
          </w:p>
        </w:tc>
      </w:tr>
      <w:tr w:rsidR="005D2400" w:rsidRPr="005D2400" w:rsidTr="008E45C5">
        <w:trPr>
          <w:trHeight w:val="1225"/>
          <w:jc w:val="center"/>
        </w:trPr>
        <w:tc>
          <w:tcPr>
            <w:tcW w:w="9360" w:type="dxa"/>
            <w:gridSpan w:val="2"/>
          </w:tcPr>
          <w:p w:rsidR="005D2400" w:rsidRPr="005D2400" w:rsidRDefault="005D2400" w:rsidP="005D2400">
            <w:pPr>
              <w:keepNext/>
              <w:tabs>
                <w:tab w:val="left" w:pos="284"/>
              </w:tabs>
              <w:spacing w:after="0" w:line="240" w:lineRule="auto"/>
              <w:jc w:val="center"/>
              <w:outlineLvl w:val="1"/>
              <w:rPr>
                <w:rFonts w:ascii="Times New Roman" w:eastAsia="Times New Roman" w:hAnsi="Times New Roman" w:cs="Arial"/>
                <w:i/>
                <w:iCs/>
                <w:color w:val="808080"/>
                <w:szCs w:val="24"/>
                <w:lang w:val="sr-Latn-ME"/>
              </w:rPr>
            </w:pPr>
          </w:p>
        </w:tc>
      </w:tr>
      <w:tr w:rsidR="005D2400" w:rsidRPr="005D2400" w:rsidTr="008E45C5">
        <w:trPr>
          <w:jc w:val="center"/>
        </w:trPr>
        <w:tc>
          <w:tcPr>
            <w:tcW w:w="2160" w:type="dxa"/>
            <w:vAlign w:val="bottom"/>
          </w:tcPr>
          <w:p w:rsidR="005D2400" w:rsidRPr="005D2400" w:rsidRDefault="005D2400" w:rsidP="005D2400">
            <w:pPr>
              <w:tabs>
                <w:tab w:val="left" w:pos="284"/>
              </w:tabs>
              <w:spacing w:before="200" w:after="0" w:line="240" w:lineRule="auto"/>
              <w:jc w:val="right"/>
              <w:rPr>
                <w:rFonts w:ascii="Times New Roman" w:eastAsia="Times New Roman" w:hAnsi="Times New Roman" w:cs="Arial"/>
                <w:szCs w:val="24"/>
                <w:lang w:val="sr-Latn-ME"/>
              </w:rPr>
            </w:pPr>
            <w:r w:rsidRPr="005D2400">
              <w:rPr>
                <w:rFonts w:ascii="Times New Roman" w:eastAsia="Times New Roman" w:hAnsi="Times New Roman" w:cs="Arial"/>
                <w:szCs w:val="24"/>
                <w:lang w:val="sr-Latn-ME"/>
              </w:rPr>
              <w:t>Proizvođač:</w:t>
            </w:r>
          </w:p>
        </w:tc>
        <w:tc>
          <w:tcPr>
            <w:tcW w:w="7200" w:type="dxa"/>
            <w:vAlign w:val="bottom"/>
          </w:tcPr>
          <w:p w:rsidR="005D2400" w:rsidRPr="005D2400" w:rsidRDefault="005D2400" w:rsidP="005D2400">
            <w:pPr>
              <w:spacing w:before="200" w:after="0" w:line="240" w:lineRule="auto"/>
              <w:ind w:left="72" w:hanging="72"/>
              <w:rPr>
                <w:rFonts w:ascii="Times New Roman" w:eastAsia="Times New Roman" w:hAnsi="Times New Roman" w:cs="Times New Roman"/>
                <w:b/>
                <w:bCs/>
                <w:lang w:val="sr-Latn-ME"/>
              </w:rPr>
            </w:pPr>
            <w:r w:rsidRPr="005D2400">
              <w:rPr>
                <w:rFonts w:ascii="Times New Roman" w:eastAsia="Times New Roman" w:hAnsi="Times New Roman" w:cs="Times New Roman"/>
                <w:b/>
                <w:lang w:val="sr-Latn-ME"/>
              </w:rPr>
              <w:t>Lek Pharmaceuticals d.d.</w:t>
            </w:r>
          </w:p>
        </w:tc>
      </w:tr>
      <w:tr w:rsidR="005D2400" w:rsidRPr="005D2400" w:rsidTr="008E45C5">
        <w:trPr>
          <w:jc w:val="center"/>
        </w:trPr>
        <w:tc>
          <w:tcPr>
            <w:tcW w:w="2160" w:type="dxa"/>
            <w:vAlign w:val="bottom"/>
          </w:tcPr>
          <w:p w:rsidR="005D2400" w:rsidRPr="005D2400" w:rsidRDefault="005D2400" w:rsidP="005D2400">
            <w:pPr>
              <w:tabs>
                <w:tab w:val="left" w:pos="284"/>
              </w:tabs>
              <w:spacing w:before="200" w:after="0" w:line="240" w:lineRule="auto"/>
              <w:jc w:val="right"/>
              <w:rPr>
                <w:rFonts w:ascii="Times New Roman" w:eastAsia="Times New Roman" w:hAnsi="Times New Roman" w:cs="Arial"/>
                <w:szCs w:val="24"/>
                <w:lang w:val="sr-Latn-ME"/>
              </w:rPr>
            </w:pPr>
            <w:r w:rsidRPr="005D2400">
              <w:rPr>
                <w:rFonts w:ascii="Times New Roman" w:eastAsia="Times New Roman" w:hAnsi="Times New Roman" w:cs="Arial"/>
                <w:szCs w:val="24"/>
                <w:lang w:val="sr-Latn-ME"/>
              </w:rPr>
              <w:t>Adresa:</w:t>
            </w:r>
          </w:p>
        </w:tc>
        <w:tc>
          <w:tcPr>
            <w:tcW w:w="7200" w:type="dxa"/>
            <w:vAlign w:val="bottom"/>
          </w:tcPr>
          <w:p w:rsidR="005D2400" w:rsidRPr="005D2400" w:rsidRDefault="005D2400" w:rsidP="005D2400">
            <w:pPr>
              <w:spacing w:before="200" w:after="0" w:line="240" w:lineRule="auto"/>
              <w:ind w:left="72" w:hanging="72"/>
              <w:rPr>
                <w:rFonts w:ascii="Times New Roman" w:eastAsia="Times New Roman" w:hAnsi="Times New Roman" w:cs="Times New Roman"/>
                <w:b/>
                <w:bCs/>
                <w:lang w:val="sr-Latn-ME"/>
              </w:rPr>
            </w:pPr>
            <w:r w:rsidRPr="005D2400">
              <w:rPr>
                <w:rFonts w:ascii="Times New Roman" w:eastAsia="Times New Roman" w:hAnsi="Times New Roman" w:cs="Times New Roman"/>
                <w:b/>
                <w:lang w:val="sr-Latn-ME"/>
              </w:rPr>
              <w:t>Verovškova 57, Ljubljana, Slovenija</w:t>
            </w:r>
          </w:p>
        </w:tc>
      </w:tr>
      <w:tr w:rsidR="005D2400" w:rsidRPr="005D2400" w:rsidTr="008E45C5">
        <w:trPr>
          <w:jc w:val="center"/>
        </w:trPr>
        <w:tc>
          <w:tcPr>
            <w:tcW w:w="2160" w:type="dxa"/>
            <w:vAlign w:val="bottom"/>
          </w:tcPr>
          <w:p w:rsidR="005D2400" w:rsidRPr="005D2400" w:rsidRDefault="005D2400" w:rsidP="005D2400">
            <w:pPr>
              <w:tabs>
                <w:tab w:val="left" w:pos="284"/>
              </w:tabs>
              <w:spacing w:before="200" w:after="0" w:line="240" w:lineRule="auto"/>
              <w:jc w:val="right"/>
              <w:rPr>
                <w:rFonts w:ascii="Times New Roman" w:eastAsia="Times New Roman" w:hAnsi="Times New Roman" w:cs="Arial"/>
                <w:szCs w:val="24"/>
                <w:lang w:val="sr-Latn-ME"/>
              </w:rPr>
            </w:pPr>
            <w:r w:rsidRPr="005D2400">
              <w:rPr>
                <w:rFonts w:ascii="Times New Roman" w:eastAsia="Times New Roman" w:hAnsi="Times New Roman" w:cs="Arial"/>
                <w:szCs w:val="24"/>
                <w:lang w:val="sr-Latn-ME"/>
              </w:rPr>
              <w:t>Podnosilac zahtjeva:</w:t>
            </w:r>
          </w:p>
        </w:tc>
        <w:tc>
          <w:tcPr>
            <w:tcW w:w="7200" w:type="dxa"/>
            <w:vAlign w:val="bottom"/>
          </w:tcPr>
          <w:p w:rsidR="005D2400" w:rsidRPr="005D2400" w:rsidRDefault="005D2400" w:rsidP="005D2400">
            <w:pPr>
              <w:spacing w:before="200" w:after="0" w:line="240" w:lineRule="auto"/>
              <w:ind w:left="72" w:hanging="72"/>
              <w:rPr>
                <w:rFonts w:ascii="Times New Roman" w:eastAsia="Times New Roman" w:hAnsi="Times New Roman" w:cs="Times New Roman"/>
                <w:b/>
                <w:bCs/>
                <w:lang w:val="sr-Latn-ME"/>
              </w:rPr>
            </w:pPr>
            <w:r w:rsidRPr="005D2400">
              <w:rPr>
                <w:rFonts w:ascii="Times New Roman" w:eastAsia="Times New Roman" w:hAnsi="Times New Roman" w:cs="Times New Roman"/>
                <w:b/>
                <w:lang w:val="sr-Latn-ME"/>
              </w:rPr>
              <w:t xml:space="preserve">Glosarij d.o.o. </w:t>
            </w:r>
          </w:p>
        </w:tc>
      </w:tr>
      <w:tr w:rsidR="005D2400" w:rsidRPr="005D2400" w:rsidTr="008E45C5">
        <w:trPr>
          <w:jc w:val="center"/>
        </w:trPr>
        <w:tc>
          <w:tcPr>
            <w:tcW w:w="2160" w:type="dxa"/>
            <w:vAlign w:val="bottom"/>
          </w:tcPr>
          <w:p w:rsidR="005D2400" w:rsidRPr="005D2400" w:rsidRDefault="005D2400" w:rsidP="005D2400">
            <w:pPr>
              <w:tabs>
                <w:tab w:val="left" w:pos="284"/>
              </w:tabs>
              <w:spacing w:before="200" w:after="0" w:line="240" w:lineRule="auto"/>
              <w:jc w:val="right"/>
              <w:rPr>
                <w:rFonts w:ascii="Times New Roman" w:eastAsia="Times New Roman" w:hAnsi="Times New Roman" w:cs="Arial"/>
                <w:szCs w:val="24"/>
                <w:lang w:val="sr-Latn-ME"/>
              </w:rPr>
            </w:pPr>
            <w:r w:rsidRPr="005D2400">
              <w:rPr>
                <w:rFonts w:ascii="Times New Roman" w:eastAsia="Times New Roman" w:hAnsi="Times New Roman" w:cs="Arial"/>
                <w:szCs w:val="24"/>
                <w:lang w:val="sr-Latn-ME"/>
              </w:rPr>
              <w:t>Adresa:</w:t>
            </w:r>
          </w:p>
        </w:tc>
        <w:tc>
          <w:tcPr>
            <w:tcW w:w="7200" w:type="dxa"/>
            <w:vAlign w:val="bottom"/>
          </w:tcPr>
          <w:p w:rsidR="005D2400" w:rsidRPr="005D2400" w:rsidRDefault="005D2400" w:rsidP="005D2400">
            <w:pPr>
              <w:spacing w:before="200" w:after="0" w:line="240" w:lineRule="auto"/>
              <w:ind w:left="72" w:hanging="72"/>
              <w:rPr>
                <w:rFonts w:ascii="Times New Roman" w:eastAsia="Times New Roman" w:hAnsi="Times New Roman" w:cs="Arial"/>
                <w:b/>
                <w:bCs/>
                <w:szCs w:val="24"/>
                <w:lang w:val="sr-Latn-ME"/>
              </w:rPr>
            </w:pPr>
            <w:r w:rsidRPr="005D2400">
              <w:rPr>
                <w:rFonts w:ascii="Times New Roman" w:eastAsia="Times New Roman" w:hAnsi="Times New Roman" w:cs="Arial"/>
                <w:b/>
                <w:bCs/>
                <w:szCs w:val="24"/>
                <w:lang w:val="sr-Latn-ME"/>
              </w:rPr>
              <w:t>Vojislavljevića 76, Podgorica, Crna Gora</w:t>
            </w:r>
          </w:p>
        </w:tc>
      </w:tr>
    </w:tbl>
    <w:p w:rsidR="005D2400" w:rsidRPr="005D2400" w:rsidRDefault="005D2400" w:rsidP="005D2400">
      <w:pPr>
        <w:tabs>
          <w:tab w:val="left" w:pos="284"/>
        </w:tabs>
        <w:spacing w:after="0" w:line="240" w:lineRule="auto"/>
        <w:jc w:val="both"/>
        <w:rPr>
          <w:rFonts w:ascii="Times New Roman" w:eastAsia="Times New Roman" w:hAnsi="Times New Roman" w:cs="Arial"/>
          <w:szCs w:val="24"/>
          <w:lang w:val="sr-Latn-ME"/>
        </w:rPr>
      </w:pPr>
    </w:p>
    <w:p w:rsidR="005D2400" w:rsidRPr="005D2400" w:rsidRDefault="005D2400" w:rsidP="005D2400">
      <w:pPr>
        <w:tabs>
          <w:tab w:val="left" w:pos="284"/>
        </w:tabs>
        <w:spacing w:before="400" w:after="0" w:line="240" w:lineRule="auto"/>
        <w:jc w:val="both"/>
        <w:rPr>
          <w:rFonts w:ascii="Times New Roman" w:eastAsia="Times New Roman" w:hAnsi="Times New Roman" w:cs="Arial"/>
          <w:b/>
          <w:bCs/>
          <w:szCs w:val="24"/>
          <w:lang w:val="sr-Latn-ME"/>
        </w:rPr>
      </w:pPr>
      <w:r w:rsidRPr="005D2400">
        <w:rPr>
          <w:rFonts w:ascii="Times New Roman" w:eastAsia="Times New Roman" w:hAnsi="Times New Roman" w:cs="Arial"/>
          <w:szCs w:val="24"/>
          <w:lang w:val="sr-Latn-ME"/>
        </w:rPr>
        <w:br w:type="page"/>
      </w:r>
    </w:p>
    <w:p w:rsidR="00CB4668" w:rsidRDefault="00CB4668" w:rsidP="005D2400">
      <w:pPr>
        <w:tabs>
          <w:tab w:val="left" w:pos="284"/>
        </w:tabs>
        <w:spacing w:after="0" w:line="240" w:lineRule="auto"/>
        <w:jc w:val="both"/>
        <w:rPr>
          <w:rFonts w:ascii="Times New Roman" w:eastAsia="Times New Roman" w:hAnsi="Times New Roman" w:cs="Arial"/>
          <w:b/>
          <w:bCs/>
          <w:szCs w:val="24"/>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1. NAZIV LIJEKA,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Redergin</w:t>
      </w:r>
      <w:r w:rsidRPr="00CB4668">
        <w:rPr>
          <w:rFonts w:ascii="Times New Roman" w:eastAsia="Times New Roman" w:hAnsi="Times New Roman" w:cs="Times New Roman"/>
          <w:vertAlign w:val="superscript"/>
          <w:lang w:val="sr-Latn-ME"/>
        </w:rPr>
        <w:t>®</w:t>
      </w:r>
      <w:r w:rsidRPr="00CB4668">
        <w:rPr>
          <w:rFonts w:ascii="Times New Roman" w:eastAsia="Times New Roman" w:hAnsi="Times New Roman" w:cs="Times New Roman"/>
          <w:lang w:val="sr-Latn-ME"/>
        </w:rPr>
        <w:t xml:space="preserve"> 1,5 mg tablete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Redergin</w:t>
      </w:r>
      <w:r w:rsidRPr="00CB4668">
        <w:rPr>
          <w:rFonts w:ascii="Times New Roman" w:eastAsia="Times New Roman" w:hAnsi="Times New Roman" w:cs="Times New Roman"/>
          <w:vertAlign w:val="superscript"/>
          <w:lang w:val="sr-Latn-ME"/>
        </w:rPr>
        <w:t>®</w:t>
      </w:r>
      <w:r w:rsidRPr="00CB4668">
        <w:rPr>
          <w:rFonts w:ascii="Times New Roman" w:eastAsia="Times New Roman" w:hAnsi="Times New Roman" w:cs="Times New Roman"/>
          <w:lang w:val="sr-Latn-ME"/>
        </w:rPr>
        <w:t xml:space="preserve"> 4,5 mg tablete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INN:</w:t>
      </w:r>
      <w:r w:rsidR="002728B8">
        <w:rPr>
          <w:rFonts w:ascii="Times New Roman" w:eastAsia="Times New Roman" w:hAnsi="Times New Roman" w:cs="Times New Roman"/>
          <w:lang w:val="sr-Latn-ME"/>
        </w:rPr>
        <w:t xml:space="preserve"> </w:t>
      </w:r>
      <w:r w:rsidRPr="00CB4668">
        <w:rPr>
          <w:rFonts w:ascii="Times New Roman" w:eastAsia="Times New Roman" w:hAnsi="Times New Roman" w:cs="Times New Roman"/>
          <w:lang w:val="sr-Latn-ME"/>
        </w:rPr>
        <w:t>Kodergokrin mezilat</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2. KVALITATIVNI I KVANTITATIVNI SASTAV</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Kodergokrin mezilat (dihidroergotoksin mezilat) je smješa: jednakih količina dihidroergokornin mezilata, dihidroergokristin mezilata i alfa-dihidroergokriptin mezilata i beta dihidroergokriptin mezilata u odnosu (1,5-2,5):1.</w:t>
      </w: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Redergin</w:t>
      </w:r>
      <w:r w:rsidRPr="00CB4668">
        <w:rPr>
          <w:rFonts w:ascii="Times New Roman" w:eastAsia="Times New Roman" w:hAnsi="Times New Roman" w:cs="Times New Roman"/>
          <w:u w:val="single"/>
          <w:vertAlign w:val="superscript"/>
          <w:lang w:val="sr-Latn-ME"/>
        </w:rPr>
        <w:t>®</w:t>
      </w:r>
      <w:r w:rsidRPr="00CB4668">
        <w:rPr>
          <w:rFonts w:ascii="Times New Roman" w:eastAsia="Times New Roman" w:hAnsi="Times New Roman" w:cs="Times New Roman"/>
          <w:u w:val="single"/>
          <w:lang w:val="sr-Latn-ME"/>
        </w:rPr>
        <w:t xml:space="preserve"> 1,5 mg tablete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Jedna tableta sadrži 1,5 mg kodergokrin mezilata (dihidroergotoksin mezilata).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Redergin</w:t>
      </w:r>
      <w:r w:rsidRPr="00CB4668">
        <w:rPr>
          <w:rFonts w:ascii="Times New Roman" w:eastAsia="Times New Roman" w:hAnsi="Times New Roman" w:cs="Times New Roman"/>
          <w:u w:val="single"/>
          <w:vertAlign w:val="superscript"/>
          <w:lang w:val="sr-Latn-ME"/>
        </w:rPr>
        <w:t>®</w:t>
      </w:r>
      <w:r w:rsidRPr="00CB4668">
        <w:rPr>
          <w:rFonts w:ascii="Times New Roman" w:eastAsia="Times New Roman" w:hAnsi="Times New Roman" w:cs="Times New Roman"/>
          <w:u w:val="single"/>
          <w:lang w:val="sr-Latn-ME"/>
        </w:rPr>
        <w:t xml:space="preserve"> 4,5 mg tablete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Jedna tableta sadrži 4,5 mg kodergokrin mezilata (dihidroergotoksin mezilata).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bCs/>
          <w:lang w:val="sr-Latn-ME"/>
        </w:rPr>
      </w:pPr>
      <w:r w:rsidRPr="00CB4668">
        <w:rPr>
          <w:rFonts w:ascii="Times New Roman" w:eastAsia="Times New Roman" w:hAnsi="Times New Roman" w:cs="Times New Roman"/>
          <w:bCs/>
          <w:lang w:val="sr-Latn-ME"/>
        </w:rPr>
        <w:t>Pomoćne supstance: laktoza, monohidrat.</w:t>
      </w:r>
    </w:p>
    <w:p w:rsidR="005D2400" w:rsidRPr="00CB4668" w:rsidRDefault="005D2400" w:rsidP="00AA6DF1">
      <w:pPr>
        <w:tabs>
          <w:tab w:val="left" w:pos="284"/>
        </w:tabs>
        <w:spacing w:after="0" w:line="240" w:lineRule="auto"/>
        <w:jc w:val="both"/>
        <w:rPr>
          <w:rFonts w:ascii="Times New Roman" w:eastAsia="Times New Roman" w:hAnsi="Times New Roman" w:cs="Times New Roman"/>
          <w:bCs/>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bCs/>
          <w:lang w:val="sr-Latn-ME"/>
        </w:rPr>
      </w:pPr>
      <w:r w:rsidRPr="00CB4668">
        <w:rPr>
          <w:rFonts w:ascii="Times New Roman" w:eastAsia="Times New Roman" w:hAnsi="Times New Roman" w:cs="Times New Roman"/>
          <w:bCs/>
          <w:lang w:val="sr-Latn-ME"/>
        </w:rPr>
        <w:t>Za potpunu listu pomoćnih supstanci, vidjeti odeljak 6.1.</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b/>
          <w:bCs/>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3. FARMACEUTSKI OBLIK</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Tablete.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i/>
          <w:lang w:val="sr-Latn-ME"/>
        </w:rPr>
        <w:t>Tablete 1,5 mg</w:t>
      </w:r>
      <w:r w:rsidRPr="00CB4668">
        <w:rPr>
          <w:rFonts w:ascii="Times New Roman" w:eastAsia="Times New Roman" w:hAnsi="Times New Roman" w:cs="Times New Roman"/>
          <w:lang w:val="sr-Latn-ME"/>
        </w:rPr>
        <w:t>:</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Bijele, okrugle, ravne, sa utisnutom podionom crtom sa jedne strane, utisnutim slovom ’R’sa druge strane.</w:t>
      </w:r>
    </w:p>
    <w:p w:rsidR="005D2400" w:rsidRDefault="002728B8" w:rsidP="00AA6DF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Podiona crta ne služi za</w:t>
      </w:r>
      <w:r w:rsidR="005D2400" w:rsidRPr="00CB4668">
        <w:rPr>
          <w:rFonts w:ascii="Times New Roman" w:eastAsia="Times New Roman" w:hAnsi="Times New Roman" w:cs="Times New Roman"/>
          <w:lang w:val="sr-Latn-ME"/>
        </w:rPr>
        <w:t xml:space="preserve"> dijeljenja tableta u svrku doziranja, već samo u cilju lakšeg uzimanja tableta</w:t>
      </w:r>
      <w:r>
        <w:rPr>
          <w:rFonts w:ascii="Times New Roman" w:eastAsia="Times New Roman" w:hAnsi="Times New Roman" w:cs="Times New Roman"/>
          <w:lang w:val="sr-Latn-ME"/>
        </w:rPr>
        <w:t>.</w:t>
      </w:r>
      <w:r w:rsidR="005D2400" w:rsidRPr="00CB4668">
        <w:rPr>
          <w:rFonts w:ascii="Times New Roman" w:eastAsia="Times New Roman" w:hAnsi="Times New Roman" w:cs="Times New Roman"/>
          <w:lang w:val="sr-Latn-ME"/>
        </w:rPr>
        <w:t xml:space="preserve"> </w:t>
      </w:r>
    </w:p>
    <w:p w:rsidR="002728B8" w:rsidRPr="00CB4668" w:rsidRDefault="002728B8"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i/>
          <w:lang w:val="sr-Latn-ME"/>
        </w:rPr>
        <w:t>Tablete 4,5 mg</w:t>
      </w:r>
      <w:r w:rsidRPr="00CB4668">
        <w:rPr>
          <w:rFonts w:ascii="Times New Roman" w:eastAsia="Times New Roman" w:hAnsi="Times New Roman" w:cs="Times New Roman"/>
          <w:lang w:val="sr-Latn-ME"/>
        </w:rPr>
        <w:t>:</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Crvene, okrugle, ravne, sa utisnutom podionom crtom sa jedne strane, utisnutim slovom ’R’sa druge strane.</w:t>
      </w:r>
    </w:p>
    <w:p w:rsidR="005D2400" w:rsidRPr="00CB4668" w:rsidRDefault="002728B8" w:rsidP="00AA6DF1">
      <w:pPr>
        <w:tabs>
          <w:tab w:val="left" w:pos="284"/>
        </w:tabs>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 xml:space="preserve">Podiona crta ne služiza </w:t>
      </w:r>
      <w:r w:rsidR="005D2400" w:rsidRPr="00CB4668">
        <w:rPr>
          <w:rFonts w:ascii="Times New Roman" w:eastAsia="Times New Roman" w:hAnsi="Times New Roman" w:cs="Times New Roman"/>
          <w:lang w:val="sr-Latn-ME"/>
        </w:rPr>
        <w:t>dijeljenja tableta u svrku doziranja, već samo u cilju lakšeg uzimanja tableta</w:t>
      </w:r>
      <w:r>
        <w:rPr>
          <w:rFonts w:ascii="Times New Roman" w:eastAsia="Times New Roman" w:hAnsi="Times New Roman" w:cs="Times New Roman"/>
          <w:lang w:val="sr-Latn-ME"/>
        </w:rPr>
        <w:t>.</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b/>
          <w:bCs/>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4. KLINIČKI PODACI</w:t>
      </w: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4.1. Terapijske indikacije</w:t>
      </w:r>
    </w:p>
    <w:p w:rsidR="005D2400" w:rsidRPr="00CB4668" w:rsidRDefault="005D2400" w:rsidP="00AA6DF1">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Koristi se kao pomoćna terapija moždanih poremećaja u starosti, invalididetu, ili usljed intolerancije na ljekove prvog izbora (inhibitori holinesteraze, memantin), ukoliko su prisutni sljedeći vodeći simptomi: poremećaj mentalnih aktivnosti, raspoloženja, motivacije i socijalne interakcije.</w:t>
      </w:r>
    </w:p>
    <w:p w:rsidR="005D2400" w:rsidRPr="00CB4668" w:rsidRDefault="005D2400" w:rsidP="00AA6DF1">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Uslovi (terapijski ambijent) pod kojim se mogu očekivati korisni efekti, nijesu predvidljivi.</w:t>
      </w:r>
    </w:p>
    <w:p w:rsidR="005D2400" w:rsidRPr="00CB4668" w:rsidRDefault="005D2400" w:rsidP="00AA6DF1">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Ciljna grupa uključuje pacijente sa organskim oštećenjem mozga i demencijama (primarna degenerativna demencija, multiinfarktna demencija).</w:t>
      </w:r>
    </w:p>
    <w:p w:rsidR="005D2400" w:rsidRPr="00CB4668" w:rsidRDefault="005D2400" w:rsidP="00AA6DF1">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lastRenderedPageBreak/>
        <w:t>Napomena: Prije početka terapije ovim lijekom moraju se isključiti simptomi drugih bolesti, prije svega psihijatrijski i neurološki poremećaji.</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4.2. Doziranje i način primjene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Default="005D2400" w:rsidP="00AA6DF1">
      <w:pPr>
        <w:tabs>
          <w:tab w:val="left" w:pos="284"/>
        </w:tabs>
        <w:spacing w:after="0" w:line="240" w:lineRule="auto"/>
        <w:jc w:val="both"/>
        <w:rPr>
          <w:rFonts w:ascii="Times New Roman" w:eastAsia="Times New Roman" w:hAnsi="Times New Roman" w:cs="Times New Roman"/>
          <w:b/>
          <w:lang w:val="sr-Latn-ME"/>
        </w:rPr>
      </w:pPr>
      <w:r w:rsidRPr="00CB4668">
        <w:rPr>
          <w:rFonts w:ascii="Times New Roman" w:eastAsia="Times New Roman" w:hAnsi="Times New Roman" w:cs="Times New Roman"/>
          <w:b/>
          <w:lang w:val="sr-Latn-ME"/>
        </w:rPr>
        <w:t>Opšta ciljna populacija, odrasli</w:t>
      </w:r>
    </w:p>
    <w:p w:rsidR="00926D16" w:rsidRPr="00CB4668" w:rsidRDefault="00926D16" w:rsidP="00AA6DF1">
      <w:pPr>
        <w:tabs>
          <w:tab w:val="left" w:pos="284"/>
        </w:tabs>
        <w:spacing w:after="0" w:line="240" w:lineRule="auto"/>
        <w:jc w:val="both"/>
        <w:rPr>
          <w:rFonts w:ascii="Times New Roman" w:eastAsia="Times New Roman" w:hAnsi="Times New Roman" w:cs="Times New Roman"/>
          <w:b/>
          <w:lang w:val="sr-Latn-ME"/>
        </w:rPr>
      </w:pPr>
    </w:p>
    <w:p w:rsidR="005D2400" w:rsidRPr="00CB4668" w:rsidRDefault="005D2400" w:rsidP="002728B8">
      <w:pPr>
        <w:numPr>
          <w:ilvl w:val="0"/>
          <w:numId w:val="1"/>
        </w:numPr>
        <w:tabs>
          <w:tab w:val="left" w:pos="284"/>
        </w:tabs>
        <w:spacing w:after="0" w:line="240" w:lineRule="auto"/>
        <w:ind w:left="284" w:hanging="284"/>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Uobičajena doza lijeka je od 3 do 6 mg dnevno, u podijeljenim dozama, najbolje prije obroka,</w:t>
      </w:r>
    </w:p>
    <w:p w:rsidR="005D2400" w:rsidRPr="00CB4668" w:rsidRDefault="005D2400" w:rsidP="00AA6DF1">
      <w:pPr>
        <w:numPr>
          <w:ilvl w:val="0"/>
          <w:numId w:val="1"/>
        </w:numPr>
        <w:tabs>
          <w:tab w:val="left" w:pos="0"/>
          <w:tab w:val="left" w:pos="284"/>
        </w:tabs>
        <w:spacing w:after="0" w:line="240" w:lineRule="auto"/>
        <w:ind w:left="284" w:hanging="284"/>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kod doziranja jednom dnevno, uzeti jednu tabletu od 4,5 mg, prije obroka, osim ako nije drugačije propisano od starne ljekara,</w:t>
      </w:r>
    </w:p>
    <w:p w:rsidR="005D2400" w:rsidRPr="00CB4668" w:rsidRDefault="005D2400" w:rsidP="00AA6DF1">
      <w:pPr>
        <w:numPr>
          <w:ilvl w:val="0"/>
          <w:numId w:val="1"/>
        </w:numPr>
        <w:tabs>
          <w:tab w:val="left" w:pos="284"/>
        </w:tabs>
        <w:spacing w:after="0" w:line="240" w:lineRule="auto"/>
        <w:ind w:left="284" w:hanging="284"/>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kod pacijenata sa mentalnom deterioracijom, poboljšanje simptoma obično je postepeno i postaje vidljivo tek nakon 3-4 nedjelje terapije. Zbog toga je indikovana produžena terapija (3 mjeseca i više), a terapijske kure se mogu ponavljati po potrebi.</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Default="005D2400" w:rsidP="00AA6DF1">
      <w:pPr>
        <w:tabs>
          <w:tab w:val="left" w:pos="284"/>
        </w:tabs>
        <w:spacing w:after="0" w:line="240" w:lineRule="auto"/>
        <w:jc w:val="both"/>
        <w:rPr>
          <w:rFonts w:ascii="Times New Roman" w:eastAsia="Times New Roman" w:hAnsi="Times New Roman" w:cs="Times New Roman"/>
          <w:b/>
          <w:lang w:val="sr-Latn-ME"/>
        </w:rPr>
      </w:pPr>
      <w:r w:rsidRPr="00CB4668">
        <w:rPr>
          <w:rFonts w:ascii="Times New Roman" w:eastAsia="Times New Roman" w:hAnsi="Times New Roman" w:cs="Times New Roman"/>
          <w:b/>
          <w:lang w:val="sr-Latn-ME"/>
        </w:rPr>
        <w:t>Posebne grupe populacije</w:t>
      </w:r>
    </w:p>
    <w:p w:rsidR="00926D16" w:rsidRPr="00CB4668" w:rsidRDefault="00926D16" w:rsidP="00AA6DF1">
      <w:pPr>
        <w:tabs>
          <w:tab w:val="left" w:pos="284"/>
        </w:tabs>
        <w:spacing w:after="0" w:line="240" w:lineRule="auto"/>
        <w:jc w:val="both"/>
        <w:rPr>
          <w:rFonts w:ascii="Times New Roman" w:eastAsia="Times New Roman" w:hAnsi="Times New Roman" w:cs="Times New Roman"/>
          <w:b/>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Oštećenje bubrega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Kod pacijenata sa oštećenjem bubrega treba razmotriti primjenu niže početne doze lijeka (vidjeti odjeljak 5.2).</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Oštećenje jetre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Kod pacijenata sa oštećenjem jetre treba razmotriti primjenu niže početne doze lijeka i niže doze održavanja (vidjeti odjeljke 4.4 i 5.2).</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Stariji pacijenti (65 godina i stariji)</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Nema dokaza koji bi ukazivali na potrebno prilagođavanje doze kod starijih.</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Pedijatrijska populacija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Nijesu sprovedene pedijatrijske studije. Bezbjednost i efikasnost lijeka Redergin kod pedijatrijskih pacijenata nije utvrđena.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b/>
          <w:lang w:val="sr-Latn-ME"/>
        </w:rPr>
      </w:pPr>
      <w:r w:rsidRPr="00CB4668">
        <w:rPr>
          <w:rFonts w:ascii="Times New Roman" w:eastAsia="Times New Roman" w:hAnsi="Times New Roman" w:cs="Times New Roman"/>
          <w:b/>
          <w:lang w:val="sr-Latn-ME"/>
        </w:rPr>
        <w:t>Način primjene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Lijek treba progutati sa vodom, najbolje prije obroka.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4.3. Kontraindikacije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Preosjetljivost na aktivnu supstancu ili bilo koji sastojak lijeka naveden u odjeljku 6.1.</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Kod dugotrajne terapije:</w:t>
      </w:r>
    </w:p>
    <w:p w:rsidR="005D2400" w:rsidRPr="00CB4668" w:rsidRDefault="005D2400" w:rsidP="00AA6DF1">
      <w:pPr>
        <w:numPr>
          <w:ilvl w:val="0"/>
          <w:numId w:val="2"/>
        </w:num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Ehokardiografski dokaz valvularne bolesti srca, </w:t>
      </w:r>
    </w:p>
    <w:p w:rsidR="005D2400" w:rsidRPr="00CB4668" w:rsidRDefault="005D2400" w:rsidP="00AA6DF1">
      <w:pPr>
        <w:numPr>
          <w:ilvl w:val="0"/>
          <w:numId w:val="2"/>
        </w:num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Vaskularna bolest (cerebrovaskularni događaji u anamnezi, Raynaud-ov sindrom), </w:t>
      </w:r>
    </w:p>
    <w:p w:rsidR="005D2400" w:rsidRPr="00CB4668" w:rsidRDefault="005D2400" w:rsidP="00AA6DF1">
      <w:pPr>
        <w:numPr>
          <w:ilvl w:val="0"/>
          <w:numId w:val="2"/>
        </w:num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Temporalni arteritis </w:t>
      </w:r>
    </w:p>
    <w:p w:rsidR="005D2400" w:rsidRPr="00CB4668" w:rsidRDefault="005D2400" w:rsidP="00AA6DF1">
      <w:pPr>
        <w:numPr>
          <w:ilvl w:val="0"/>
          <w:numId w:val="2"/>
        </w:num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Koronarna bolest srca (npr. angina pektoris, asimtomatska ishemija), </w:t>
      </w:r>
    </w:p>
    <w:p w:rsidR="005D2400" w:rsidRPr="00CB4668" w:rsidRDefault="005D2400" w:rsidP="00AA6DF1">
      <w:pPr>
        <w:numPr>
          <w:ilvl w:val="0"/>
          <w:numId w:val="2"/>
        </w:num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Teška oštećenja jetre, </w:t>
      </w:r>
    </w:p>
    <w:p w:rsidR="005D2400" w:rsidRPr="00CB4668" w:rsidRDefault="005D2400" w:rsidP="00AA6DF1">
      <w:pPr>
        <w:numPr>
          <w:ilvl w:val="0"/>
          <w:numId w:val="2"/>
        </w:num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Sepsa, </w:t>
      </w:r>
    </w:p>
    <w:p w:rsidR="002728B8" w:rsidRPr="002728B8" w:rsidRDefault="005D2400" w:rsidP="002728B8">
      <w:pPr>
        <w:numPr>
          <w:ilvl w:val="0"/>
          <w:numId w:val="2"/>
        </w:num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Trudnoća i dojenje (vidjeti odeljak 4.6).</w:t>
      </w:r>
    </w:p>
    <w:p w:rsidR="00926D16" w:rsidRDefault="00926D16" w:rsidP="00AA6DF1">
      <w:pPr>
        <w:tabs>
          <w:tab w:val="left" w:pos="284"/>
        </w:tabs>
        <w:spacing w:before="80" w:after="80" w:line="240" w:lineRule="auto"/>
        <w:jc w:val="both"/>
        <w:rPr>
          <w:rFonts w:ascii="Times New Roman" w:eastAsia="Times New Roman" w:hAnsi="Times New Roman" w:cs="Times New Roman"/>
          <w:b/>
          <w:bCs/>
          <w:lang w:val="sr-Latn-ME"/>
        </w:rPr>
      </w:pPr>
    </w:p>
    <w:p w:rsidR="00926D16" w:rsidRDefault="00926D16" w:rsidP="00AA6DF1">
      <w:pPr>
        <w:tabs>
          <w:tab w:val="left" w:pos="284"/>
        </w:tabs>
        <w:spacing w:before="80" w:after="80" w:line="240" w:lineRule="auto"/>
        <w:jc w:val="both"/>
        <w:rPr>
          <w:rFonts w:ascii="Times New Roman" w:eastAsia="Times New Roman" w:hAnsi="Times New Roman" w:cs="Times New Roman"/>
          <w:b/>
          <w:bCs/>
          <w:lang w:val="sr-Latn-ME"/>
        </w:rPr>
      </w:pPr>
    </w:p>
    <w:p w:rsidR="005D2400"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lastRenderedPageBreak/>
        <w:t>4.4. Posebna upozorenja i mjere opreza pri upotrebi lijeka</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Poseban oprez se savjetuje kod pacijenata sa izraženom bradikardijom, u slučaju  hipotenzije, kao i kod psihoza koje nijesu organskog porekla. Pacijente sa oštećenjem jetre treba adekvatno pratiti. Treba razmotriti primjenu niže početne doze lijeka i niže doze održavanja.</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Oprez je potreban i kod pacijenata sa ozbiljnim bubrežnim poremećajima. Kod pacijenata sa blagim ili umjerenim bubrežnim poremećajima redukcija doze rijetko je potrebna, obzirom da se samo mala količina lijeka i njegovih metabolita izlučuje preko bubrega (vidjeti odjeljak 5.2).</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Tokom prvih nedjelja terapije, u kombinaciji sa antihipertenzivima, potrebno je redovno pratiti vrijednosti krvnog pritiska (vidjeti odjeljak 4.5).</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Usljed istovremene primjene antitrombocitne ili antikoagulantne terapije, redovno treba pratiti faktore koagulacije (vidjeti odjeljak 4.5).</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Među pacijentima koji su na terapiji kodergokrin mezilatom, posebno kod onih na dugotrajnoj terapiji i terapiji visokim dozama, prijavljeni su slučajevi pleuralne i perikardne efuzije, kao i pleularne i pulmonarne fibroze, konstriktivnog perikarditisa i oboljenja srčanih valvula. Međutim, ne postoji dovoljno dokaza koji bi odredili da li postoji povećan rizik. Zbog toga pacijente sa neobjašnjenim kardiološkim ili pleuropulmonarnim oboljenjima treba pažljivo ispitati i uzeti u obzir prekid terapije kodergokrin mezilatom. </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Preporučuje se da se kod pacijenata kod kojih se planira dugotrajna terapija kodergokrin mezilatom, uradi ehokardiografija prije započinjanja terapije kako bi se isključili bilo koji pokazatelji kardijalne valvulopatije.</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U rijetkim slučajevima prijavljena je retroperitonealna fibroza, posebno kod pacijenata na dugotrajnoj terapiji i terapiji visokim dozama. Kako bi se osiguralo prepoznavanje retroperitonealne fibroze u ranoj reverzibilnoj fazi, preporučuje se da se kod ove grupe pacijenata prate manifestacije bolesti (npr. bol u leđima, edem donjih ekstremiteta, oštećenje funkcije bubrega). Terapiju kodergokrin mezilatom treba prekinuti ako se dijagnostikuje ili posumnja na fibrozne promjene.</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Patološko kockanje, povećan libido i hiperseksualnost prijavljeni su kod pacijenata na terapiji agonistima dopamina.</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Česta upotreba ergot alkaloida može izazvati glavobolju (glavobolja indukovana lijekom). Ako je potrebno, razmotriti smanjenje učestalosti doziranja.</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Simptomi periferne ishemije (vidjeti odjeljak 4.8) mogu se javiti usljed produžene ili primjene visokih doza ergot alkaloida. Ukoliko se jave ovi simptomi, terapiju treba odmah prekinuti.</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Ovaj lijek sadrži laktozu. Pacijenti koji boluju od rijetkog nasljednog oboljenja netolerancije na galaktozu, Lapp laktoznog deficita ili loše glukozno-galaktozne resorpcije ne smiju koristiti ovaj lijek.</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4.5. Interakcije sa drugim ljekovima i druge vrste interakcija</w:t>
      </w:r>
    </w:p>
    <w:p w:rsidR="00926D16" w:rsidRPr="00CB4668" w:rsidRDefault="00926D16" w:rsidP="00AA6DF1">
      <w:pPr>
        <w:tabs>
          <w:tab w:val="left" w:pos="284"/>
        </w:tabs>
        <w:spacing w:before="80" w:after="80" w:line="240" w:lineRule="auto"/>
        <w:jc w:val="both"/>
        <w:rPr>
          <w:rFonts w:ascii="Times New Roman" w:eastAsia="Times New Roman" w:hAnsi="Times New Roman" w:cs="Times New Roman"/>
          <w:b/>
          <w:bCs/>
          <w:lang w:val="sr-Latn-ME"/>
        </w:rPr>
      </w:pPr>
    </w:p>
    <w:p w:rsidR="005D2400"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Istovremena primjena ljekova koja se ne preporučuje</w:t>
      </w: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Snažni inhibitori CYP3A4</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Pokazano je da su komponente kodergokrin mezilata i supstrati i inhibitori CYP3A4 (vidjeti odjeljak 5.2). Neophodan je oprez kada se kodergokrin mezilat primjenjuje istovremeno sa snažnim CYP3A4 inhibitorima, kao što su makrolidni antibiotici (npr. troleandomicin, eritromicin, klaritromicin), inhibitori HIV proteaze ili reverzne transkriptaze (npr. ritonavir, indinavir, nelfinavir, delavirin) ili azolni antimikotici (npr. </w:t>
      </w:r>
      <w:r w:rsidRPr="00CB4668">
        <w:rPr>
          <w:rFonts w:ascii="Times New Roman" w:eastAsia="Times New Roman" w:hAnsi="Times New Roman" w:cs="Times New Roman"/>
          <w:lang w:val="sr-Latn-ME"/>
        </w:rPr>
        <w:lastRenderedPageBreak/>
        <w:t>ketokonazol, itrakonazol, vorikonazol), zato što se izloženost kodergokrin mezilatu može povećati i indukovati pojačane, prije svega dopaminergičke efekte.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b/>
          <w:lang w:val="sr-Latn-ME"/>
        </w:rPr>
      </w:pPr>
      <w:r w:rsidRPr="00CB4668">
        <w:rPr>
          <w:rFonts w:ascii="Times New Roman" w:eastAsia="Times New Roman" w:hAnsi="Times New Roman" w:cs="Times New Roman"/>
          <w:b/>
          <w:lang w:val="sr-Latn-ME"/>
        </w:rPr>
        <w:t>Istovremena primjena ljekova koju treba razmotriti</w:t>
      </w: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Umjereni/slabi inhibitori CYP3A4</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Umjereni do slabi inhibitori CYP3A4 kao što su cimetidin, klotrimazol, flukonazol, sok od grejpfruta, kvinupristin, dalfopristin i zileuton mogu povećati izloženost kodergokrin mezilatu.</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Induktori CYP3A4</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Ljekovi (kao što su neviraprin, rifampicin) koji indukuju C</w:t>
      </w:r>
      <w:r w:rsidR="002728B8">
        <w:rPr>
          <w:rFonts w:ascii="Times New Roman" w:eastAsia="Times New Roman" w:hAnsi="Times New Roman" w:cs="Times New Roman"/>
          <w:lang w:val="sr-Latn-ME"/>
        </w:rPr>
        <w:t xml:space="preserve">YP3A4 mogu dovesti do smanjenja </w:t>
      </w:r>
      <w:r w:rsidRPr="00CB4668">
        <w:rPr>
          <w:rFonts w:ascii="Times New Roman" w:eastAsia="Times New Roman" w:hAnsi="Times New Roman" w:cs="Times New Roman"/>
          <w:lang w:val="sr-Latn-ME"/>
        </w:rPr>
        <w:t>farmakološkog dejstva kodergokrin mezilata.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Kodergokrin mezilat ne treba davati zajedno sa drugim ergot alkaloidima (rizik od zbirnog efekta, ergotizam).</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Kodergokrin mezilat inhibira agregaciju trombocita i smanjuje viskoznost krvi, pa je kod predisponirajućih pacijenata potrebna česta kontrola faktora koagulacije.</w:t>
      </w:r>
    </w:p>
    <w:p w:rsidR="005D2400" w:rsidRPr="00CB4668" w:rsidRDefault="005D2400" w:rsidP="00AA6DF1">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Potrebno je pratiti vrijednosti krvnog pritiska kod istovremene primjene antihipertenziva (npr. gliceriltrinitrata i drugih organskih nitrata) i kodergokrin mezilata, zbog njihovog sinergističkog djelovanja. </w:t>
      </w:r>
    </w:p>
    <w:p w:rsidR="005D2400" w:rsidRPr="00CB4668" w:rsidRDefault="005D2400" w:rsidP="00AA6DF1">
      <w:pPr>
        <w:tabs>
          <w:tab w:val="left" w:pos="284"/>
          <w:tab w:val="center" w:pos="4536"/>
          <w:tab w:val="right" w:pos="9072"/>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4.6. Primjena u periodu trudnoće i dojenja</w:t>
      </w: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Žene u generativnoj dobi</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Nema dostupnih podataka koji bi ukazali na posebne preporuke kod žena u generativnoj dobi.</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Trudnoća</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Ne postoje adekvatni podaci o upotrebi kodergoktin mezilata kod trudnica.</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Zbog potencijalno</w:t>
      </w:r>
      <w:r w:rsidR="0088060F" w:rsidRPr="00CB4668">
        <w:rPr>
          <w:rFonts w:ascii="Times New Roman" w:eastAsia="Times New Roman" w:hAnsi="Times New Roman" w:cs="Times New Roman"/>
          <w:lang w:val="sr-Latn-ME"/>
        </w:rPr>
        <w:t>g</w:t>
      </w:r>
      <w:r w:rsidRPr="00CB4668">
        <w:rPr>
          <w:rFonts w:ascii="Times New Roman" w:eastAsia="Times New Roman" w:hAnsi="Times New Roman" w:cs="Times New Roman"/>
          <w:lang w:val="sr-Latn-ME"/>
        </w:rPr>
        <w:t xml:space="preserve"> vazokonstriktornog efekta koji može dovesti do kontrakcije materice, rizika od smanjenog protoka krvi kroz placentu i prevremenog porođaja, primjena kodergokrin mezilata tokom trudnoće je kontraindikovana (vidjeti odjeljak 4.3).</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Dojenje</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Nije poznato da li kodergokrin mezilat prolazi u majčino mlijeko. Pokazano je da kodergokrin mezilat inhibira laktaciju. Ordinirajući ljekar treba pažljivo da procijeni rizik i korist upotrebe kodergokrin mezilata, a terapiju treba nastaviti samo ako korist primjene lijeka jasno prevazilazi potencijalne rizike.</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U studijama peri-/postnatalnog razvoja kod ženki pacova, dobijanje na tjelesnoj masi mladunaca koji sisaju bilo je smanjeno kada je kod skotnih ženki primjenjivan kodergokrin mezilat. Ovaj nalaz se pripisuje smanjenom stvaranju mlijeka (vidjeti odjeljak 5.3).</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Fertilitet</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Nema dostupnih podataka o efektima kodergokrin mezilata na fertilitet žena (vidjeti odjeljak 5.3).</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spacing w:val="-8"/>
          <w:lang w:val="sr-Latn-ME"/>
        </w:rPr>
      </w:pPr>
      <w:r w:rsidRPr="00CB4668">
        <w:rPr>
          <w:rFonts w:ascii="Times New Roman" w:eastAsia="Times New Roman" w:hAnsi="Times New Roman" w:cs="Times New Roman"/>
          <w:b/>
          <w:bCs/>
          <w:spacing w:val="-8"/>
          <w:lang w:val="sr-Latn-ME"/>
        </w:rPr>
        <w:t xml:space="preserve">4.7. </w:t>
      </w:r>
      <w:r w:rsidRPr="00CB4668">
        <w:rPr>
          <w:rFonts w:ascii="Times New Roman" w:eastAsia="Times New Roman" w:hAnsi="Times New Roman" w:cs="Times New Roman"/>
          <w:b/>
          <w:bCs/>
          <w:lang w:val="sr-Latn-ME"/>
        </w:rPr>
        <w:t>Uticaj na psihofizičke sposobnosti prilikom upravljanja motornim vozilom i rukovanja mašinama</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Ne postoje studije o efektima na sposobnost upravljanja motornim vozilom i sposobnost rukovanja mašinama.</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Kodergokrin mezilat može uticati na sposobnost upravljanja motornim vozilom, rad na mašinama, posebno na početku liječenja ili u kombinaciji sa alkoholom.</w:t>
      </w: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lastRenderedPageBreak/>
        <w:t>4.8. Neželjena dejstva</w:t>
      </w:r>
    </w:p>
    <w:p w:rsidR="005D2400" w:rsidRPr="00CB4668" w:rsidRDefault="005D2400" w:rsidP="00AA6DF1">
      <w:pPr>
        <w:tabs>
          <w:tab w:val="center" w:pos="4536"/>
          <w:tab w:val="right" w:pos="9072"/>
        </w:tabs>
        <w:spacing w:before="80" w:after="80" w:line="240" w:lineRule="auto"/>
        <w:jc w:val="both"/>
        <w:rPr>
          <w:rFonts w:ascii="Times New Roman" w:eastAsia="Times New Roman" w:hAnsi="Times New Roman" w:cs="Times New Roman"/>
          <w:bCs/>
          <w:lang w:val="sr-Latn-ME"/>
        </w:rPr>
      </w:pPr>
      <w:r w:rsidRPr="00CB4668">
        <w:rPr>
          <w:rFonts w:ascii="Times New Roman" w:eastAsia="Times New Roman" w:hAnsi="Times New Roman" w:cs="Times New Roman"/>
          <w:bCs/>
          <w:lang w:val="sr-Latn-ME"/>
        </w:rPr>
        <w:t>Nazalna kongestija, glavobolja , mučnina i stomačne tegobe se mogu javiti, ali se, generalno mogu izbjeći ukoliko se l</w:t>
      </w:r>
      <w:r w:rsidR="002728B8">
        <w:rPr>
          <w:rFonts w:ascii="Times New Roman" w:eastAsia="Times New Roman" w:hAnsi="Times New Roman" w:cs="Times New Roman"/>
          <w:bCs/>
          <w:lang w:val="sr-Latn-ME"/>
        </w:rPr>
        <w:t xml:space="preserve">ijek uzima sa hranom. U većini </w:t>
      </w:r>
      <w:r w:rsidRPr="00CB4668">
        <w:rPr>
          <w:rFonts w:ascii="Times New Roman" w:eastAsia="Times New Roman" w:hAnsi="Times New Roman" w:cs="Times New Roman"/>
          <w:bCs/>
          <w:lang w:val="sr-Latn-ME"/>
        </w:rPr>
        <w:t>slučajeva navedene neželjene reakcije prolaze b</w:t>
      </w:r>
      <w:r w:rsidR="002728B8">
        <w:rPr>
          <w:rFonts w:ascii="Times New Roman" w:eastAsia="Times New Roman" w:hAnsi="Times New Roman" w:cs="Times New Roman"/>
          <w:bCs/>
          <w:lang w:val="sr-Latn-ME"/>
        </w:rPr>
        <w:t>ez sprovođenja posebnih mjera. Zbog antihipertenzivnog</w:t>
      </w:r>
      <w:r w:rsidRPr="00CB4668">
        <w:rPr>
          <w:rFonts w:ascii="Times New Roman" w:eastAsia="Times New Roman" w:hAnsi="Times New Roman" w:cs="Times New Roman"/>
          <w:bCs/>
          <w:lang w:val="sr-Latn-ME"/>
        </w:rPr>
        <w:t xml:space="preserve"> efekta kodergokrin me</w:t>
      </w:r>
      <w:r w:rsidR="002728B8">
        <w:rPr>
          <w:rFonts w:ascii="Times New Roman" w:eastAsia="Times New Roman" w:hAnsi="Times New Roman" w:cs="Times New Roman"/>
          <w:bCs/>
          <w:lang w:val="sr-Latn-ME"/>
        </w:rPr>
        <w:t xml:space="preserve">zilat, </w:t>
      </w:r>
      <w:r w:rsidRPr="00CB4668">
        <w:rPr>
          <w:rFonts w:ascii="Times New Roman" w:eastAsia="Times New Roman" w:hAnsi="Times New Roman" w:cs="Times New Roman"/>
          <w:bCs/>
          <w:lang w:val="sr-Latn-ME"/>
        </w:rPr>
        <w:t>posebno</w:t>
      </w:r>
      <w:r w:rsidR="002728B8">
        <w:rPr>
          <w:rFonts w:ascii="Times New Roman" w:eastAsia="Times New Roman" w:hAnsi="Times New Roman" w:cs="Times New Roman"/>
          <w:bCs/>
          <w:lang w:val="sr-Latn-ME"/>
        </w:rPr>
        <w:t xml:space="preserve"> kod pacijenata sa</w:t>
      </w:r>
      <w:r w:rsidR="002728B8">
        <w:rPr>
          <w:rFonts w:ascii="Times New Roman" w:eastAsia="Times New Roman" w:hAnsi="Times New Roman" w:cs="Times New Roman"/>
          <w:bCs/>
          <w:lang w:val="sr-Latn-ME"/>
        </w:rPr>
        <w:br/>
        <w:t>hipotenzijom, može dovesti do nestabilnosti, vrtoglavice, ortostatskih</w:t>
      </w:r>
      <w:r w:rsidRPr="00CB4668">
        <w:rPr>
          <w:rFonts w:ascii="Times New Roman" w:eastAsia="Times New Roman" w:hAnsi="Times New Roman" w:cs="Times New Roman"/>
          <w:bCs/>
          <w:lang w:val="sr-Latn-ME"/>
        </w:rPr>
        <w:t xml:space="preserve"> poremećaja cirkulacije i blage glavobolje.</w:t>
      </w:r>
      <w:r w:rsidRPr="00CB4668">
        <w:rPr>
          <w:rFonts w:ascii="Times New Roman" w:eastAsia="Times New Roman" w:hAnsi="Times New Roman" w:cs="Times New Roman"/>
          <w:bCs/>
          <w:lang w:val="sr-Latn-ME"/>
        </w:rPr>
        <w:br/>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Neželjene reakcije navedene u daljem tekstu dobijene su iz više izvora,</w:t>
      </w:r>
      <w:r w:rsidR="00523AD3">
        <w:rPr>
          <w:rFonts w:ascii="Times New Roman" w:eastAsia="Times New Roman" w:hAnsi="Times New Roman" w:cs="Times New Roman"/>
          <w:lang w:val="sr-Latn-ME"/>
        </w:rPr>
        <w:t xml:space="preserve"> uključujući i post-marketinško </w:t>
      </w:r>
      <w:r w:rsidRPr="00CB4668">
        <w:rPr>
          <w:rFonts w:ascii="Times New Roman" w:eastAsia="Times New Roman" w:hAnsi="Times New Roman" w:cs="Times New Roman"/>
          <w:lang w:val="sr-Latn-ME"/>
        </w:rPr>
        <w:t>praćenje. S obzirom da su post-marketinške neželjene reakcije prijavljene dobrovoljno u populaciji nepoznate veličine, nije moguće pouzdano procijeniti njihovu učestalost, zbog čega su kategorisane kao „Nepoznata“.</w:t>
      </w:r>
    </w:p>
    <w:p w:rsidR="005D2400" w:rsidRPr="00CB4668" w:rsidRDefault="005D2400" w:rsidP="00AA6DF1">
      <w:pPr>
        <w:spacing w:after="0" w:line="240" w:lineRule="auto"/>
        <w:jc w:val="both"/>
        <w:rPr>
          <w:rFonts w:ascii="Times New Roman" w:eastAsia="Times New Roman" w:hAnsi="Times New Roman" w:cs="Times New Roman"/>
          <w:lang w:val="sr-Latn-ME"/>
        </w:rPr>
      </w:pP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Procjena neželjenih dejstava je zasnovana na sljedećim podacima o učestalosti:</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Veoma česta (≥1/10) </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Česta ≥1/100 do &lt;1/10) </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Povremena (≥1/1,000 do &lt; 1/100) </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Rijetka (≥1/10,000 do &lt;1/1,000) </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Veoma rijetka (&lt;1/10,000),</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Nepoznata (ne može se procijeniti na osnovu raspoloživih podataka)</w:t>
      </w:r>
    </w:p>
    <w:p w:rsidR="005D2400" w:rsidRPr="00CB4668" w:rsidRDefault="005D2400" w:rsidP="00AA6DF1">
      <w:pPr>
        <w:spacing w:after="0" w:line="240" w:lineRule="auto"/>
        <w:jc w:val="both"/>
        <w:rPr>
          <w:rFonts w:ascii="Times New Roman" w:eastAsia="Times New Roman" w:hAnsi="Times New Roman" w:cs="Times New Roman"/>
          <w:lang w:val="sr-Latn-ME"/>
        </w:rPr>
      </w:pPr>
    </w:p>
    <w:p w:rsidR="005D2400" w:rsidRPr="00CB4668" w:rsidRDefault="00A70780" w:rsidP="00AA6DF1">
      <w:pPr>
        <w:spacing w:after="0" w:line="240" w:lineRule="auto"/>
        <w:jc w:val="both"/>
        <w:rPr>
          <w:rFonts w:ascii="Times New Roman" w:eastAsia="Times New Roman" w:hAnsi="Times New Roman" w:cs="Times New Roman"/>
          <w:b/>
          <w:lang w:val="sr-Latn-ME"/>
        </w:rPr>
      </w:pPr>
      <w:r>
        <w:rPr>
          <w:rFonts w:ascii="Times New Roman" w:eastAsia="Times New Roman" w:hAnsi="Times New Roman" w:cs="Times New Roman"/>
          <w:b/>
          <w:lang w:val="sr-Latn-ME"/>
        </w:rPr>
        <w:t>Psihijatrijski poremećaji</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Vrlo rijetko: poremećaj spavanja, hiperaktivnost</w:t>
      </w:r>
    </w:p>
    <w:p w:rsidR="005D2400" w:rsidRPr="00CB4668" w:rsidRDefault="005D2400" w:rsidP="00AA6DF1">
      <w:pPr>
        <w:spacing w:after="0" w:line="240" w:lineRule="auto"/>
        <w:jc w:val="both"/>
        <w:rPr>
          <w:rFonts w:ascii="Times New Roman" w:eastAsia="Times New Roman" w:hAnsi="Times New Roman" w:cs="Times New Roman"/>
          <w:b/>
          <w:lang w:val="sr-Latn-ME"/>
        </w:rPr>
      </w:pPr>
    </w:p>
    <w:p w:rsidR="005D2400" w:rsidRPr="00CB4668" w:rsidRDefault="005D2400" w:rsidP="00AA6DF1">
      <w:pPr>
        <w:spacing w:after="0" w:line="240" w:lineRule="auto"/>
        <w:jc w:val="both"/>
        <w:rPr>
          <w:rFonts w:ascii="Times New Roman" w:eastAsia="Times New Roman" w:hAnsi="Times New Roman" w:cs="Times New Roman"/>
          <w:b/>
          <w:lang w:val="sr-Latn-ME"/>
        </w:rPr>
      </w:pPr>
      <w:r w:rsidRPr="00CB4668">
        <w:rPr>
          <w:rFonts w:ascii="Times New Roman" w:eastAsia="Times New Roman" w:hAnsi="Times New Roman" w:cs="Times New Roman"/>
          <w:b/>
          <w:lang w:val="sr-Latn-ME"/>
        </w:rPr>
        <w:t>Poremećaji nervnog sistema</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Povremeno: parestezija</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Rijetko:vrtoglavica, glavobolja</w:t>
      </w:r>
    </w:p>
    <w:p w:rsidR="005D2400" w:rsidRPr="00CB4668" w:rsidRDefault="005D2400" w:rsidP="00AA6DF1">
      <w:pPr>
        <w:spacing w:after="0" w:line="240" w:lineRule="auto"/>
        <w:jc w:val="both"/>
        <w:rPr>
          <w:rFonts w:ascii="Times New Roman" w:eastAsia="Times New Roman" w:hAnsi="Times New Roman" w:cs="Times New Roman"/>
          <w:lang w:val="sr-Latn-ME"/>
        </w:rPr>
      </w:pPr>
    </w:p>
    <w:p w:rsidR="005D2400" w:rsidRPr="00CB4668" w:rsidRDefault="005D2400" w:rsidP="00AA6DF1">
      <w:pPr>
        <w:spacing w:after="0" w:line="240" w:lineRule="auto"/>
        <w:jc w:val="both"/>
        <w:rPr>
          <w:rFonts w:ascii="Times New Roman" w:eastAsia="Times New Roman" w:hAnsi="Times New Roman" w:cs="Times New Roman"/>
          <w:b/>
          <w:lang w:val="sr-Latn-ME"/>
        </w:rPr>
      </w:pPr>
      <w:r w:rsidRPr="00CB4668">
        <w:rPr>
          <w:rFonts w:ascii="Times New Roman" w:eastAsia="Times New Roman" w:hAnsi="Times New Roman" w:cs="Times New Roman"/>
          <w:b/>
          <w:lang w:val="sr-Latn-ME"/>
        </w:rPr>
        <w:t>Poremećaji na nivou oka</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Nepoznata: zamućenje vida</w:t>
      </w:r>
    </w:p>
    <w:p w:rsidR="005D2400" w:rsidRPr="00CB4668" w:rsidRDefault="005D2400" w:rsidP="00AA6DF1">
      <w:pPr>
        <w:spacing w:after="0" w:line="240" w:lineRule="auto"/>
        <w:jc w:val="both"/>
        <w:rPr>
          <w:rFonts w:ascii="Times New Roman" w:eastAsia="Times New Roman" w:hAnsi="Times New Roman" w:cs="Times New Roman"/>
          <w:lang w:val="sr-Latn-ME"/>
        </w:rPr>
      </w:pPr>
    </w:p>
    <w:p w:rsidR="005D2400" w:rsidRPr="00CB4668" w:rsidRDefault="005D2400" w:rsidP="00AA6DF1">
      <w:pPr>
        <w:spacing w:after="0" w:line="240" w:lineRule="auto"/>
        <w:jc w:val="both"/>
        <w:rPr>
          <w:rFonts w:ascii="Times New Roman" w:eastAsia="Times New Roman" w:hAnsi="Times New Roman" w:cs="Times New Roman"/>
          <w:b/>
          <w:lang w:val="sr-Latn-ME"/>
        </w:rPr>
      </w:pPr>
      <w:r w:rsidRPr="00CB4668">
        <w:rPr>
          <w:rFonts w:ascii="Times New Roman" w:eastAsia="Times New Roman" w:hAnsi="Times New Roman" w:cs="Times New Roman"/>
          <w:b/>
          <w:lang w:val="sr-Latn-ME"/>
        </w:rPr>
        <w:t>Kardiološki poremećaji</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 Rijetko: bradikardija, aritmija, anginopektoralni simptomi (nakon dugotrajnog liječenja)</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Vrlo rijetko: valvulopatije (uključujući regurgitaciju), perikarditis, perikardni izliv</w:t>
      </w:r>
    </w:p>
    <w:p w:rsidR="005D2400" w:rsidRPr="00CB4668" w:rsidRDefault="005D2400" w:rsidP="00AA6DF1">
      <w:pPr>
        <w:spacing w:after="0" w:line="240" w:lineRule="auto"/>
        <w:jc w:val="both"/>
        <w:rPr>
          <w:rFonts w:ascii="Times New Roman" w:eastAsia="Times New Roman" w:hAnsi="Times New Roman" w:cs="Times New Roman"/>
          <w:lang w:val="sr-Latn-ME"/>
        </w:rPr>
      </w:pPr>
    </w:p>
    <w:p w:rsidR="005D2400" w:rsidRPr="00CB4668" w:rsidRDefault="005D2400" w:rsidP="00AA6DF1">
      <w:pPr>
        <w:spacing w:after="0" w:line="240" w:lineRule="auto"/>
        <w:jc w:val="both"/>
        <w:rPr>
          <w:rFonts w:ascii="Times New Roman" w:eastAsia="Times New Roman" w:hAnsi="Times New Roman" w:cs="Times New Roman"/>
          <w:b/>
          <w:lang w:val="sr-Latn-ME"/>
        </w:rPr>
      </w:pPr>
      <w:r w:rsidRPr="00CB4668">
        <w:rPr>
          <w:rFonts w:ascii="Times New Roman" w:eastAsia="Times New Roman" w:hAnsi="Times New Roman" w:cs="Times New Roman"/>
          <w:b/>
          <w:lang w:val="sr-Latn-ME"/>
        </w:rPr>
        <w:t>Vaskularni poremećaji</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Rijetko: hipotenzija(posebno kada se primjenjuje parenterealno), poremećaji arterijske cirkulacije</w:t>
      </w:r>
    </w:p>
    <w:p w:rsidR="005D2400" w:rsidRPr="00CB4668" w:rsidRDefault="005D2400" w:rsidP="00AA6DF1">
      <w:pPr>
        <w:spacing w:after="0" w:line="240" w:lineRule="auto"/>
        <w:jc w:val="both"/>
        <w:rPr>
          <w:rFonts w:ascii="Times New Roman" w:eastAsia="Times New Roman" w:hAnsi="Times New Roman" w:cs="Times New Roman"/>
          <w:lang w:val="sr-Latn-ME"/>
        </w:rPr>
      </w:pPr>
    </w:p>
    <w:p w:rsidR="005D2400" w:rsidRPr="00CB4668" w:rsidRDefault="005D2400" w:rsidP="00AA6DF1">
      <w:pPr>
        <w:spacing w:after="0" w:line="240" w:lineRule="auto"/>
        <w:jc w:val="both"/>
        <w:rPr>
          <w:rFonts w:ascii="Times New Roman" w:eastAsia="Times New Roman" w:hAnsi="Times New Roman" w:cs="Times New Roman"/>
          <w:b/>
          <w:lang w:val="sr-Latn-ME"/>
        </w:rPr>
      </w:pPr>
      <w:r w:rsidRPr="00CB4668">
        <w:rPr>
          <w:rFonts w:ascii="Times New Roman" w:eastAsia="Times New Roman" w:hAnsi="Times New Roman" w:cs="Times New Roman"/>
          <w:b/>
          <w:lang w:val="sr-Latn-ME"/>
        </w:rPr>
        <w:t>Respiratorni, torakalni i medijastinalni poremećaji</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Rijetko: nazalna kongestija</w:t>
      </w:r>
    </w:p>
    <w:p w:rsidR="005D2400" w:rsidRPr="00CB4668" w:rsidRDefault="005D2400" w:rsidP="00AA6DF1">
      <w:pPr>
        <w:spacing w:after="0" w:line="240" w:lineRule="auto"/>
        <w:jc w:val="both"/>
        <w:rPr>
          <w:rFonts w:ascii="Times New Roman" w:eastAsia="Times New Roman" w:hAnsi="Times New Roman" w:cs="Times New Roman"/>
          <w:lang w:val="sr-Latn-ME"/>
        </w:rPr>
      </w:pPr>
    </w:p>
    <w:p w:rsidR="005D2400" w:rsidRPr="00CB4668" w:rsidRDefault="005D2400" w:rsidP="00AA6DF1">
      <w:pPr>
        <w:spacing w:after="0" w:line="240" w:lineRule="auto"/>
        <w:jc w:val="both"/>
        <w:rPr>
          <w:rFonts w:ascii="Times New Roman" w:eastAsia="Times New Roman" w:hAnsi="Times New Roman" w:cs="Times New Roman"/>
          <w:b/>
          <w:lang w:val="sr-Latn-ME"/>
        </w:rPr>
      </w:pPr>
      <w:r w:rsidRPr="00CB4668">
        <w:rPr>
          <w:rFonts w:ascii="Times New Roman" w:eastAsia="Times New Roman" w:hAnsi="Times New Roman" w:cs="Times New Roman"/>
          <w:b/>
          <w:lang w:val="sr-Latn-ME"/>
        </w:rPr>
        <w:t>Gastrointestinalni poremećaji</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Rijetko:gubitak apetita,  mučnina, povraćanje,  nelagodnost u želucu, proliv</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Veoma rijetko: retroperitonealna  fibroza(simptomi kao što su bol u leđima ili opstrukcije mokraćnog sistema)</w:t>
      </w:r>
    </w:p>
    <w:p w:rsidR="005D2400" w:rsidRPr="00CB4668" w:rsidRDefault="005D2400" w:rsidP="00AA6DF1">
      <w:pPr>
        <w:spacing w:after="0" w:line="240" w:lineRule="auto"/>
        <w:jc w:val="both"/>
        <w:rPr>
          <w:rFonts w:ascii="Times New Roman" w:eastAsia="Times New Roman" w:hAnsi="Times New Roman" w:cs="Times New Roman"/>
          <w:b/>
          <w:lang w:val="sr-Latn-ME"/>
        </w:rPr>
      </w:pPr>
    </w:p>
    <w:p w:rsidR="005D2400" w:rsidRPr="00CB4668" w:rsidRDefault="005D2400" w:rsidP="00AA6DF1">
      <w:pPr>
        <w:spacing w:after="0" w:line="240" w:lineRule="auto"/>
        <w:jc w:val="both"/>
        <w:rPr>
          <w:rFonts w:ascii="Times New Roman" w:eastAsia="Times New Roman" w:hAnsi="Times New Roman" w:cs="Times New Roman"/>
          <w:b/>
          <w:lang w:val="sr-Latn-ME"/>
        </w:rPr>
      </w:pPr>
      <w:r w:rsidRPr="00CB4668">
        <w:rPr>
          <w:rFonts w:ascii="Times New Roman" w:eastAsia="Times New Roman" w:hAnsi="Times New Roman" w:cs="Times New Roman"/>
          <w:b/>
          <w:lang w:val="sr-Latn-ME"/>
        </w:rPr>
        <w:t>Poremećaji na nivou kože i potkožnog tkiva</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Rijetko: osip</w:t>
      </w:r>
    </w:p>
    <w:p w:rsidR="005D2400" w:rsidRDefault="005D2400" w:rsidP="00AA6DF1">
      <w:pPr>
        <w:spacing w:after="0" w:line="240" w:lineRule="auto"/>
        <w:jc w:val="both"/>
        <w:rPr>
          <w:rFonts w:ascii="Times New Roman" w:eastAsia="Times New Roman" w:hAnsi="Times New Roman" w:cs="Times New Roman"/>
          <w:lang w:val="sr-Latn-ME"/>
        </w:rPr>
      </w:pPr>
    </w:p>
    <w:p w:rsidR="00926D16" w:rsidRPr="00CB4668" w:rsidRDefault="00926D16" w:rsidP="00AA6DF1">
      <w:pPr>
        <w:spacing w:after="0" w:line="240" w:lineRule="auto"/>
        <w:jc w:val="both"/>
        <w:rPr>
          <w:rFonts w:ascii="Times New Roman" w:eastAsia="Times New Roman" w:hAnsi="Times New Roman" w:cs="Times New Roman"/>
          <w:lang w:val="sr-Latn-ME"/>
        </w:rPr>
      </w:pPr>
    </w:p>
    <w:p w:rsidR="005D2400" w:rsidRPr="00CB4668" w:rsidRDefault="005D2400" w:rsidP="00AA6DF1">
      <w:pPr>
        <w:spacing w:after="0" w:line="240" w:lineRule="auto"/>
        <w:jc w:val="both"/>
        <w:rPr>
          <w:rFonts w:ascii="Times New Roman" w:eastAsia="Times New Roman" w:hAnsi="Times New Roman" w:cs="Times New Roman"/>
          <w:b/>
          <w:lang w:val="sr-Latn-ME"/>
        </w:rPr>
      </w:pPr>
      <w:r w:rsidRPr="00CB4668">
        <w:rPr>
          <w:rFonts w:ascii="Times New Roman" w:eastAsia="Times New Roman" w:hAnsi="Times New Roman" w:cs="Times New Roman"/>
          <w:b/>
          <w:lang w:val="sr-Latn-ME"/>
        </w:rPr>
        <w:lastRenderedPageBreak/>
        <w:t>Opšti poremećaji i reakcije na mjestu primene</w:t>
      </w: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Nepoznata: malaksalost, astenija</w:t>
      </w:r>
    </w:p>
    <w:p w:rsidR="005D2400" w:rsidRPr="00CB4668" w:rsidRDefault="005D2400" w:rsidP="00AA6DF1">
      <w:pPr>
        <w:spacing w:after="0" w:line="240" w:lineRule="auto"/>
        <w:jc w:val="both"/>
        <w:rPr>
          <w:rFonts w:ascii="Times New Roman" w:eastAsia="Times New Roman" w:hAnsi="Times New Roman" w:cs="Times New Roman"/>
          <w:lang w:val="sr-Latn-ME"/>
        </w:rPr>
      </w:pPr>
    </w:p>
    <w:p w:rsidR="005D2400" w:rsidRPr="00CB4668" w:rsidRDefault="005D2400" w:rsidP="00AA6DF1">
      <w:pPr>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Patološko kockanje , povećan libido i hiperseksualnost prijavljeni su kod pacijenata na terapiji   agonistima dopamina.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Prijavljivanje sumnji na neželjena dejstva</w:t>
      </w:r>
    </w:p>
    <w:p w:rsidR="005D2400" w:rsidRPr="00CB4668" w:rsidRDefault="005D2400" w:rsidP="00AA6DF1">
      <w:pPr>
        <w:autoSpaceDE w:val="0"/>
        <w:autoSpaceDN w:val="0"/>
        <w:adjustRightInd w:val="0"/>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Prijavljivanje neželjenih dejstava  nakon dobijanja dozvole od velikog je značaja jer obezbjeđuje kontinuirano praćenje odnosa korist/rizik primjene lijeka. Zdravstveni radnici treba da prijave svaku sumnju na neželjeno dejstvo ovog  lijeka Agenciji za ljekove i medicinska sredstva Crne Gore (CALIMS):</w:t>
      </w:r>
    </w:p>
    <w:p w:rsidR="005D2400" w:rsidRPr="00CB4668" w:rsidRDefault="005D2400" w:rsidP="00AA6DF1">
      <w:pPr>
        <w:autoSpaceDE w:val="0"/>
        <w:autoSpaceDN w:val="0"/>
        <w:adjustRightInd w:val="0"/>
        <w:spacing w:after="0" w:line="240" w:lineRule="auto"/>
        <w:jc w:val="both"/>
        <w:rPr>
          <w:rFonts w:ascii="Times New Roman" w:eastAsia="Times New Roman" w:hAnsi="Times New Roman" w:cs="Times New Roman"/>
          <w:lang w:val="sr-Latn-ME"/>
        </w:rPr>
      </w:pPr>
    </w:p>
    <w:p w:rsidR="005D2400" w:rsidRPr="00CB4668" w:rsidRDefault="005D2400" w:rsidP="00AA6DF1">
      <w:pPr>
        <w:autoSpaceDE w:val="0"/>
        <w:autoSpaceDN w:val="0"/>
        <w:adjustRightInd w:val="0"/>
        <w:spacing w:after="0" w:line="240" w:lineRule="auto"/>
        <w:jc w:val="both"/>
        <w:rPr>
          <w:rFonts w:ascii="Times New Roman" w:eastAsia="Times New Roman" w:hAnsi="Times New Roman" w:cs="Times New Roman"/>
          <w:bCs/>
          <w:lang w:val="sr-Latn-ME"/>
        </w:rPr>
      </w:pPr>
      <w:r w:rsidRPr="00CB4668">
        <w:rPr>
          <w:rFonts w:ascii="Times New Roman" w:eastAsia="Times New Roman" w:hAnsi="Times New Roman" w:cs="Times New Roman"/>
          <w:bCs/>
          <w:lang w:val="sr-Latn-ME"/>
        </w:rPr>
        <w:t>Agencija za ljekove i medicinska sredstva Crne Gore</w:t>
      </w:r>
    </w:p>
    <w:p w:rsidR="005D2400" w:rsidRPr="00CB4668" w:rsidRDefault="005D2400" w:rsidP="00AA6DF1">
      <w:pPr>
        <w:autoSpaceDE w:val="0"/>
        <w:autoSpaceDN w:val="0"/>
        <w:adjustRightInd w:val="0"/>
        <w:spacing w:after="0" w:line="240" w:lineRule="auto"/>
        <w:jc w:val="both"/>
        <w:rPr>
          <w:rFonts w:ascii="Times New Roman" w:eastAsia="Times New Roman" w:hAnsi="Times New Roman" w:cs="Times New Roman"/>
          <w:bCs/>
          <w:lang w:val="sr-Latn-ME"/>
        </w:rPr>
      </w:pPr>
      <w:r w:rsidRPr="00CB4668">
        <w:rPr>
          <w:rFonts w:ascii="Times New Roman" w:eastAsia="Times New Roman" w:hAnsi="Times New Roman" w:cs="Times New Roman"/>
          <w:bCs/>
          <w:lang w:val="sr-Latn-ME"/>
        </w:rPr>
        <w:t>Odjeljenje za farmakovigilancu</w:t>
      </w:r>
    </w:p>
    <w:p w:rsidR="005D2400" w:rsidRPr="00CB4668" w:rsidRDefault="005D2400" w:rsidP="00AA6DF1">
      <w:pPr>
        <w:autoSpaceDE w:val="0"/>
        <w:autoSpaceDN w:val="0"/>
        <w:adjustRightInd w:val="0"/>
        <w:spacing w:after="0" w:line="240" w:lineRule="auto"/>
        <w:jc w:val="both"/>
        <w:rPr>
          <w:rFonts w:ascii="Times New Roman" w:eastAsia="Times New Roman" w:hAnsi="Times New Roman" w:cs="Times New Roman"/>
          <w:bCs/>
          <w:lang w:val="sr-Latn-ME"/>
        </w:rPr>
      </w:pPr>
      <w:r w:rsidRPr="00CB4668">
        <w:rPr>
          <w:rFonts w:ascii="Times New Roman" w:eastAsia="Times New Roman" w:hAnsi="Times New Roman" w:cs="Times New Roman"/>
          <w:bCs/>
          <w:lang w:val="sr-Latn-ME"/>
        </w:rPr>
        <w:t>Bulevar Ivana Crnojevića 64a, 81000 Podgorica</w:t>
      </w:r>
    </w:p>
    <w:p w:rsidR="005D2400" w:rsidRPr="00CB4668" w:rsidRDefault="005D2400" w:rsidP="00AA6DF1">
      <w:pPr>
        <w:autoSpaceDE w:val="0"/>
        <w:autoSpaceDN w:val="0"/>
        <w:adjustRightInd w:val="0"/>
        <w:spacing w:after="0" w:line="240" w:lineRule="auto"/>
        <w:jc w:val="both"/>
        <w:rPr>
          <w:rFonts w:ascii="Times New Roman" w:eastAsia="Times New Roman" w:hAnsi="Times New Roman" w:cs="Times New Roman"/>
          <w:bCs/>
          <w:lang w:val="sr-Latn-ME"/>
        </w:rPr>
      </w:pPr>
    </w:p>
    <w:p w:rsidR="005D2400" w:rsidRPr="00CB4668" w:rsidRDefault="005D2400" w:rsidP="00AA6DF1">
      <w:pPr>
        <w:autoSpaceDE w:val="0"/>
        <w:autoSpaceDN w:val="0"/>
        <w:adjustRightInd w:val="0"/>
        <w:spacing w:after="0" w:line="240" w:lineRule="auto"/>
        <w:jc w:val="both"/>
        <w:rPr>
          <w:rFonts w:ascii="Times New Roman" w:eastAsia="Times New Roman" w:hAnsi="Times New Roman" w:cs="Times New Roman"/>
          <w:bCs/>
          <w:lang w:val="sr-Latn-ME"/>
        </w:rPr>
      </w:pPr>
      <w:r w:rsidRPr="00CB4668">
        <w:rPr>
          <w:rFonts w:ascii="Times New Roman" w:eastAsia="Times New Roman" w:hAnsi="Times New Roman" w:cs="Times New Roman"/>
          <w:bCs/>
          <w:lang w:val="sr-Latn-ME"/>
        </w:rPr>
        <w:t>tel: +382 (0) 20 310 280</w:t>
      </w:r>
    </w:p>
    <w:p w:rsidR="005D2400" w:rsidRPr="00CB4668" w:rsidRDefault="005D2400" w:rsidP="00AA6DF1">
      <w:pPr>
        <w:autoSpaceDE w:val="0"/>
        <w:autoSpaceDN w:val="0"/>
        <w:adjustRightInd w:val="0"/>
        <w:spacing w:after="0" w:line="240" w:lineRule="auto"/>
        <w:jc w:val="both"/>
        <w:rPr>
          <w:rFonts w:ascii="Times New Roman" w:eastAsia="Times New Roman" w:hAnsi="Times New Roman" w:cs="Times New Roman"/>
          <w:bCs/>
          <w:lang w:val="sr-Latn-ME"/>
        </w:rPr>
      </w:pPr>
      <w:r w:rsidRPr="00CB4668">
        <w:rPr>
          <w:rFonts w:ascii="Times New Roman" w:eastAsia="Times New Roman" w:hAnsi="Times New Roman" w:cs="Times New Roman"/>
          <w:bCs/>
          <w:lang w:val="sr-Latn-ME"/>
        </w:rPr>
        <w:t>fax:+382 (0) 20 310 581</w:t>
      </w:r>
    </w:p>
    <w:p w:rsidR="005D2400" w:rsidRPr="00CB4668" w:rsidRDefault="005D2400" w:rsidP="00AA6DF1">
      <w:pPr>
        <w:autoSpaceDE w:val="0"/>
        <w:autoSpaceDN w:val="0"/>
        <w:adjustRightInd w:val="0"/>
        <w:spacing w:after="0" w:line="240" w:lineRule="auto"/>
        <w:jc w:val="both"/>
        <w:rPr>
          <w:rFonts w:ascii="Times New Roman" w:eastAsia="Times New Roman" w:hAnsi="Times New Roman" w:cs="Times New Roman"/>
          <w:bCs/>
          <w:lang w:val="sr-Latn-ME"/>
        </w:rPr>
      </w:pPr>
    </w:p>
    <w:p w:rsidR="005D2400" w:rsidRPr="00CB4668" w:rsidRDefault="00202DC3" w:rsidP="00AA6DF1">
      <w:pPr>
        <w:autoSpaceDE w:val="0"/>
        <w:autoSpaceDN w:val="0"/>
        <w:adjustRightInd w:val="0"/>
        <w:spacing w:after="0" w:line="240" w:lineRule="auto"/>
        <w:jc w:val="both"/>
        <w:rPr>
          <w:rFonts w:ascii="Times New Roman" w:eastAsia="Times New Roman" w:hAnsi="Times New Roman" w:cs="Times New Roman"/>
          <w:bCs/>
          <w:lang w:val="sr-Latn-ME"/>
        </w:rPr>
      </w:pPr>
      <w:hyperlink r:id="rId8" w:history="1">
        <w:r w:rsidR="005D2400" w:rsidRPr="00CB4668">
          <w:rPr>
            <w:rFonts w:ascii="Times New Roman" w:eastAsia="Times New Roman" w:hAnsi="Times New Roman" w:cs="Times New Roman"/>
            <w:color w:val="0000FF"/>
            <w:u w:val="single"/>
            <w:lang w:val="sr-Latn-ME"/>
          </w:rPr>
          <w:t>www.calims.me</w:t>
        </w:r>
      </w:hyperlink>
    </w:p>
    <w:p w:rsidR="005D2400" w:rsidRPr="00CB4668" w:rsidRDefault="00202DC3" w:rsidP="00AA6DF1">
      <w:pPr>
        <w:autoSpaceDE w:val="0"/>
        <w:autoSpaceDN w:val="0"/>
        <w:adjustRightInd w:val="0"/>
        <w:spacing w:after="0" w:line="240" w:lineRule="auto"/>
        <w:jc w:val="both"/>
        <w:rPr>
          <w:rFonts w:ascii="Times New Roman" w:eastAsia="Times New Roman" w:hAnsi="Times New Roman" w:cs="Times New Roman"/>
          <w:bCs/>
          <w:lang w:val="sr-Latn-ME"/>
        </w:rPr>
      </w:pPr>
      <w:hyperlink r:id="rId9" w:history="1">
        <w:r w:rsidR="005D2400" w:rsidRPr="00CB4668">
          <w:rPr>
            <w:rFonts w:ascii="Times New Roman" w:eastAsia="Times New Roman" w:hAnsi="Times New Roman" w:cs="Times New Roman"/>
            <w:color w:val="0000FF"/>
            <w:u w:val="single"/>
            <w:lang w:val="sr-Latn-ME"/>
          </w:rPr>
          <w:t>nezeljenadejstva@calims.me</w:t>
        </w:r>
      </w:hyperlink>
    </w:p>
    <w:p w:rsidR="005D2400" w:rsidRPr="00CB4668" w:rsidRDefault="005D2400" w:rsidP="00AA6DF1">
      <w:pPr>
        <w:autoSpaceDE w:val="0"/>
        <w:autoSpaceDN w:val="0"/>
        <w:adjustRightInd w:val="0"/>
        <w:spacing w:after="0" w:line="240" w:lineRule="auto"/>
        <w:jc w:val="both"/>
        <w:rPr>
          <w:rFonts w:ascii="Times New Roman" w:eastAsia="Times New Roman" w:hAnsi="Times New Roman" w:cs="Times New Roman"/>
          <w:bCs/>
          <w:lang w:val="sr-Latn-ME"/>
        </w:rPr>
      </w:pPr>
    </w:p>
    <w:p w:rsidR="005D2400" w:rsidRPr="00CB4668" w:rsidRDefault="005D2400" w:rsidP="00AA6DF1">
      <w:pPr>
        <w:autoSpaceDE w:val="0"/>
        <w:autoSpaceDN w:val="0"/>
        <w:adjustRightInd w:val="0"/>
        <w:spacing w:after="0" w:line="240" w:lineRule="auto"/>
        <w:jc w:val="both"/>
        <w:rPr>
          <w:rFonts w:ascii="Times New Roman" w:eastAsia="Times New Roman" w:hAnsi="Times New Roman" w:cs="Times New Roman"/>
          <w:bCs/>
          <w:lang w:val="sr-Latn-ME"/>
        </w:rPr>
      </w:pPr>
      <w:r w:rsidRPr="00CB4668">
        <w:rPr>
          <w:rFonts w:ascii="Times New Roman" w:eastAsia="Times New Roman" w:hAnsi="Times New Roman" w:cs="Times New Roman"/>
          <w:bCs/>
          <w:lang w:val="sr-Latn-ME"/>
        </w:rPr>
        <w:t>putem IS zdravstvene zaštite</w:t>
      </w:r>
    </w:p>
    <w:p w:rsidR="005D2400" w:rsidRPr="00CB4668" w:rsidRDefault="005D2400" w:rsidP="00AA6DF1">
      <w:pPr>
        <w:autoSpaceDE w:val="0"/>
        <w:autoSpaceDN w:val="0"/>
        <w:adjustRightInd w:val="0"/>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4.9. Predoziranje</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Simptomi predoziranja kod primjene kodergokrin mezilata mogu biti veoma raznovrsni i kontradiktorni. Intenzivirana neželjena dejstva, zamagljen vid, anksioznost, dispneja, uznemirenost, konfuzija, konvulzije, bradikardija ili tahikardija i smanjenje krvnog pritiska mogu dovesti do kome i respiratorne paralize. </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Moguća je pojava vazospazma sa povećanim krvnim pritiskom, osjećajem hladnoće, parestezije i bola u ekstremitetima.</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Specifičan antidot nije poznat. Treba izazvati povraćanje što je ranije moguće. Druge mjere za smanjenje resorpcije su ispiranje želuca, davanje aktivnog uglja i ubrzanje motiliteta crijeva (natrijum sulfat). </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U slučaju pada krvnog pritiska potrebno je nadoknaditi tečnost i razmotriti primjenu alfa agonista, a u slučaju vazospazma primijeniti vazodilatatore (beta blokatori, antagonisti kalcijumovih kanala, teofilin). </w:t>
      </w:r>
    </w:p>
    <w:p w:rsidR="005D2400" w:rsidRPr="00CB4668" w:rsidRDefault="005D2400" w:rsidP="00AA6DF1">
      <w:pPr>
        <w:tabs>
          <w:tab w:val="center" w:pos="4536"/>
          <w:tab w:val="right" w:pos="9072"/>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U svakom slučaju, neophodna je kontrola krvnog pritiska.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23AD3" w:rsidRPr="00CB4668" w:rsidRDefault="00523AD3"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5. FARMAKOLOŠKI PODACI</w:t>
      </w: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5.1. Farmakodinamski podaci</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b/>
          <w:bCs/>
          <w:lang w:val="sr-Latn-ME"/>
        </w:rPr>
        <w:t xml:space="preserve">Farmakoterapijska grupa: </w:t>
      </w:r>
      <w:r w:rsidRPr="00CB4668">
        <w:rPr>
          <w:rFonts w:ascii="Times New Roman" w:eastAsia="Times New Roman" w:hAnsi="Times New Roman" w:cs="Times New Roman"/>
          <w:lang w:val="sr-Latn-ME"/>
        </w:rPr>
        <w:t>Periferni vazodilatatori; ergot alkaloidi</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b/>
          <w:bCs/>
          <w:lang w:val="sr-Latn-ME"/>
        </w:rPr>
        <w:t>ATC kod:</w:t>
      </w:r>
      <w:r w:rsidRPr="00CB4668">
        <w:rPr>
          <w:rFonts w:ascii="Times New Roman" w:eastAsia="Times New Roman" w:hAnsi="Times New Roman" w:cs="Times New Roman"/>
          <w:lang w:val="sr-Latn-ME"/>
        </w:rPr>
        <w:t xml:space="preserve"> CO4AE01</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b/>
          <w:lang w:val="sr-Latn-ME"/>
        </w:rPr>
        <w:t>Mehanizam djelovanja</w:t>
      </w: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Farmakodinamika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Studije na životinjama ukazuju da kodergokrin mezilat modifikuje cerebralnu neurotransmisiju, a postoje dokazi da stimulativnim efektima na serotoninske i dopaminske receptore, kao i efektima blokade alfa-adrenoreceptora poboljšava oštećenu cerebralnu metaboličku funkciju. Ovaj efekat koji se ogleda u promjenama električne aktivnosti mozga, vidljiv je na elektroencefalogramu.</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lastRenderedPageBreak/>
        <w:t>Ovaj korisni efekat na funkciju mozga potvrđen je u eksperimentalnim studijama kod ljudi. Takođe je otkriveno da kodergokrin mezilat ubrzava cerebralnu cirkulaciju.</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Kliničke studije su pokazale da je kodergokrin mezilat efikasan u poboljšanju mnogih simptoma mentalne deterioracije, posebno simptoma koji su u vezi sa starenjem kao što su briga o sebi, socijalno ponašanje, emocionalno stanje i mentalne aktivnosti. Pored toga, kodergokrin mezilat ima antiagregacioni efekat i poboljšava protok krvi, posebno u malim krvnim sudovima.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Kliničke studije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Kodergokrin mezilat je lijek sa potvrđenim djelovanjem; u skorije vreme nijesu sprovedene kliničke studije.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5.2. Farmakokinetički podaci</w:t>
      </w:r>
    </w:p>
    <w:p w:rsidR="005D2400" w:rsidRPr="00CB4668" w:rsidRDefault="005D2400" w:rsidP="00AA6DF1">
      <w:pPr>
        <w:tabs>
          <w:tab w:val="left" w:pos="284"/>
        </w:tabs>
        <w:spacing w:after="0" w:line="240" w:lineRule="auto"/>
        <w:jc w:val="both"/>
        <w:rPr>
          <w:rFonts w:ascii="Times New Roman" w:eastAsia="Times New Roman" w:hAnsi="Times New Roman" w:cs="Times New Roman"/>
          <w:i/>
          <w:lang w:val="sr-Latn-ME"/>
        </w:rPr>
      </w:pPr>
      <w:r w:rsidRPr="00CB4668">
        <w:rPr>
          <w:rFonts w:ascii="Times New Roman" w:eastAsia="Times New Roman" w:hAnsi="Times New Roman" w:cs="Times New Roman"/>
          <w:i/>
          <w:lang w:val="sr-Latn-ME"/>
        </w:rPr>
        <w:t>Resorpcija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Resorpcija poslije oralno primijenjene doze je 25%. Maksimalne koncentracije u plazmi postižu se u toku 0,5 do 1,5 sat nakon oralne primjene. Zbog metabolizma prvog prolaska kroz jetru, bioraspoloživost je između 5 i 12%.</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i/>
          <w:lang w:val="sr-Latn-ME"/>
        </w:rPr>
      </w:pPr>
      <w:r w:rsidRPr="00CB4668">
        <w:rPr>
          <w:rFonts w:ascii="Times New Roman" w:eastAsia="Times New Roman" w:hAnsi="Times New Roman" w:cs="Times New Roman"/>
          <w:i/>
          <w:lang w:val="sr-Latn-ME"/>
        </w:rPr>
        <w:t>Distribucija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Volumen distribucije je 1100 l (oko 16 l/kg); vezivanje za proteine plazme je 81%.</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i/>
          <w:lang w:val="sr-Latn-ME"/>
        </w:rPr>
      </w:pPr>
      <w:r w:rsidRPr="00CB4668">
        <w:rPr>
          <w:rFonts w:ascii="Times New Roman" w:eastAsia="Times New Roman" w:hAnsi="Times New Roman" w:cs="Times New Roman"/>
          <w:i/>
          <w:lang w:val="sr-Latn-ME"/>
        </w:rPr>
        <w:t>Biotransformacija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In vitro eksperimenti ukazuju na to da je CYP3A4 glavni izoenzim citohroma P450 odgovoran za metabolizam ergopeptidne komponente kodergokrin mezilata.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i/>
          <w:lang w:val="sr-Latn-ME"/>
        </w:rPr>
      </w:pPr>
      <w:r w:rsidRPr="00CB4668">
        <w:rPr>
          <w:rFonts w:ascii="Times New Roman" w:eastAsia="Times New Roman" w:hAnsi="Times New Roman" w:cs="Times New Roman"/>
          <w:i/>
          <w:lang w:val="sr-Latn-ME"/>
        </w:rPr>
        <w:t>Izlučivanje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Izlučivanje se odvija u dvije faze; alfa faza (obuhvata kratko poluvrijeme eliminacije od 1,5 do 2,5 sata) i beta faza, produženo poluvrijeme eliminacije koje traje od 13 do 15 sati.</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Kodergokrin mezilat se u uglavnom izlučuje putem fecesa. Samo 2% nepromijenjene aktivne supstance izlučuje se putem urina. Ukupni klirens je oko 1800 ml/min.</w:t>
      </w:r>
    </w:p>
    <w:p w:rsidR="00523AD3" w:rsidRDefault="00523AD3" w:rsidP="00AA6DF1">
      <w:pPr>
        <w:tabs>
          <w:tab w:val="left" w:pos="284"/>
        </w:tabs>
        <w:spacing w:after="0" w:line="240" w:lineRule="auto"/>
        <w:jc w:val="both"/>
        <w:rPr>
          <w:rFonts w:ascii="Times New Roman" w:eastAsia="Times New Roman" w:hAnsi="Times New Roman" w:cs="Times New Roman"/>
          <w:b/>
          <w:lang w:val="sr-Latn-ME"/>
        </w:rPr>
      </w:pPr>
    </w:p>
    <w:p w:rsidR="00523AD3" w:rsidRDefault="005D2400" w:rsidP="00AA6DF1">
      <w:pPr>
        <w:tabs>
          <w:tab w:val="left" w:pos="284"/>
        </w:tabs>
        <w:spacing w:after="0" w:line="240" w:lineRule="auto"/>
        <w:jc w:val="both"/>
        <w:rPr>
          <w:rFonts w:ascii="Times New Roman" w:eastAsia="Times New Roman" w:hAnsi="Times New Roman" w:cs="Times New Roman"/>
          <w:b/>
          <w:lang w:val="sr-Latn-ME"/>
        </w:rPr>
      </w:pPr>
      <w:r w:rsidRPr="00CB4668">
        <w:rPr>
          <w:rFonts w:ascii="Times New Roman" w:eastAsia="Times New Roman" w:hAnsi="Times New Roman" w:cs="Times New Roman"/>
          <w:b/>
          <w:lang w:val="sr-Latn-ME"/>
        </w:rPr>
        <w:t>Posebne grupe populacije</w:t>
      </w:r>
    </w:p>
    <w:p w:rsidR="00523AD3" w:rsidRPr="00523AD3" w:rsidRDefault="00523AD3" w:rsidP="00AA6DF1">
      <w:pPr>
        <w:tabs>
          <w:tab w:val="left" w:pos="284"/>
        </w:tabs>
        <w:spacing w:after="0" w:line="240" w:lineRule="auto"/>
        <w:jc w:val="both"/>
        <w:rPr>
          <w:rFonts w:ascii="Times New Roman" w:eastAsia="Times New Roman" w:hAnsi="Times New Roman" w:cs="Times New Roman"/>
          <w:b/>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Oštećenje bubrega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Kod pacijenata sa blagim do umjerenim oštećenjem bubrega, rijetko je potrebno smanjenje doze zbog ograničene količine lijeka i njegovih metabolita koji se eliminišu putem bubrega. Međutim, izloženost i vrijeme do postizanja maksimalne koncentracije je značajno povećano kod pacijenata sa hroničnim oštećenjem bubrega. Zbog toga je kod pacijenata sa teškim oštećenjem bubrega potrebno razmotriti primjenu manjih početnih doza lijeka (vidjeti odjeljke 4.2 i 4.4).</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Oštećenje jetre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Izloženost kodergokrin mezilatu može biti povećano kod pacijenata sa blagim do umjerenim oštećenjem jetre zbog smanjenja nivoa CYP3A4. Izloženost kodergokrin mezilatu je značajno veća kod pacijenata sa cirozom jetre. Zbog toga je neophodan oprez kod pacijenata sa oštećenjem jetre (vidjeti odjeljke 4.2 i 4.4).</w:t>
      </w:r>
    </w:p>
    <w:p w:rsidR="00523AD3" w:rsidRDefault="00523AD3" w:rsidP="00AA6DF1">
      <w:pPr>
        <w:tabs>
          <w:tab w:val="left" w:pos="284"/>
        </w:tabs>
        <w:spacing w:after="0" w:line="240" w:lineRule="auto"/>
        <w:jc w:val="both"/>
        <w:rPr>
          <w:rFonts w:ascii="Times New Roman" w:eastAsia="Times New Roman" w:hAnsi="Times New Roman" w:cs="Times New Roman"/>
          <w:u w:val="single"/>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Pedijatrijska populacija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Nema dostupnih farmakokinetskih podataka o kodergokrin mezilatu kod djece.</w:t>
      </w:r>
    </w:p>
    <w:p w:rsidR="005D2400" w:rsidRDefault="005D2400" w:rsidP="00AA6DF1">
      <w:pPr>
        <w:tabs>
          <w:tab w:val="left" w:pos="284"/>
        </w:tabs>
        <w:spacing w:after="0" w:line="240" w:lineRule="auto"/>
        <w:jc w:val="both"/>
        <w:rPr>
          <w:rFonts w:ascii="Times New Roman" w:eastAsia="Times New Roman" w:hAnsi="Times New Roman" w:cs="Times New Roman"/>
          <w:lang w:val="sr-Latn-ME"/>
        </w:rPr>
      </w:pPr>
    </w:p>
    <w:p w:rsidR="00926D16" w:rsidRDefault="00926D16" w:rsidP="00AA6DF1">
      <w:pPr>
        <w:tabs>
          <w:tab w:val="left" w:pos="284"/>
        </w:tabs>
        <w:spacing w:after="0" w:line="240" w:lineRule="auto"/>
        <w:jc w:val="both"/>
        <w:rPr>
          <w:rFonts w:ascii="Times New Roman" w:eastAsia="Times New Roman" w:hAnsi="Times New Roman" w:cs="Times New Roman"/>
          <w:lang w:val="sr-Latn-ME"/>
        </w:rPr>
      </w:pPr>
    </w:p>
    <w:p w:rsidR="00926D16" w:rsidRPr="00CB4668" w:rsidRDefault="00926D16"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lastRenderedPageBreak/>
        <w:t>Stariji pacijenti (65 godina i stariji)</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 xml:space="preserve">Kod starijih pacijenata koncentracije lijeka u plazmi su nešto veće nego kod mlađih ispitanika. Kod zdravih starijih ispitanika ukupni plazma klirens je smanjen za oko 30% u poređenju sa mlađim odraslim osobama a bioraspoloživost je 2,5 puta veća, što je vjerovatno posljedica smanjenog stepena ekskrecije. </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u w:val="single"/>
          <w:lang w:val="sr-Latn-ME"/>
        </w:rPr>
      </w:pPr>
      <w:r w:rsidRPr="00CB4668">
        <w:rPr>
          <w:rFonts w:ascii="Times New Roman" w:eastAsia="Times New Roman" w:hAnsi="Times New Roman" w:cs="Times New Roman"/>
          <w:u w:val="single"/>
          <w:lang w:val="sr-Latn-ME"/>
        </w:rPr>
        <w:t>Renalna insuficijencija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Kod pacijenata sa bubrežnom insuficijencijom rijetko je potrebno redukovati dozu lijeka, s obzirom da se male količine lijeka izlučuju putem bubrega.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5.3. Pretklinički podaci o bezbjednosti lijeka</w:t>
      </w: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Cs/>
          <w:lang w:val="sr-Latn-ME"/>
        </w:rPr>
      </w:pPr>
      <w:r w:rsidRPr="00CB4668">
        <w:rPr>
          <w:rFonts w:ascii="Times New Roman" w:eastAsia="Times New Roman" w:hAnsi="Times New Roman" w:cs="Times New Roman"/>
          <w:bCs/>
          <w:i/>
          <w:lang w:val="sr-Latn-ME"/>
        </w:rPr>
        <w:t>In vitro</w:t>
      </w:r>
      <w:r w:rsidRPr="00CB4668">
        <w:rPr>
          <w:rFonts w:ascii="Times New Roman" w:eastAsia="Times New Roman" w:hAnsi="Times New Roman" w:cs="Times New Roman"/>
          <w:bCs/>
          <w:lang w:val="sr-Latn-ME"/>
        </w:rPr>
        <w:t xml:space="preserve"> i </w:t>
      </w:r>
      <w:r w:rsidRPr="00CB4668">
        <w:rPr>
          <w:rFonts w:ascii="Times New Roman" w:eastAsia="Times New Roman" w:hAnsi="Times New Roman" w:cs="Times New Roman"/>
          <w:bCs/>
          <w:i/>
          <w:lang w:val="sr-Latn-ME"/>
        </w:rPr>
        <w:t>in vivo</w:t>
      </w:r>
      <w:r w:rsidRPr="00CB4668">
        <w:rPr>
          <w:rFonts w:ascii="Times New Roman" w:eastAsia="Times New Roman" w:hAnsi="Times New Roman" w:cs="Times New Roman"/>
          <w:bCs/>
          <w:lang w:val="sr-Latn-ME"/>
        </w:rPr>
        <w:t xml:space="preserve"> testovi mutagenosti uglavnom pokazuju negativan ili slab mutageni potencijal u ekstremno visokim dozama, mnogo većim od onih koje se koriste u terapijske svrhe.</w:t>
      </w: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Cs/>
          <w:lang w:val="sr-Latn-ME"/>
        </w:rPr>
        <w:t>Dugoročne studije kancerogenog potencijala (karcinogenost) za</w:t>
      </w:r>
      <w:r w:rsidRPr="00CB4668">
        <w:rPr>
          <w:rFonts w:ascii="Times New Roman" w:eastAsia="Times New Roman" w:hAnsi="Times New Roman" w:cs="Times New Roman"/>
          <w:lang w:val="sr-Latn-ME"/>
        </w:rPr>
        <w:t xml:space="preserve"> </w:t>
      </w:r>
      <w:r w:rsidRPr="00CB4668">
        <w:rPr>
          <w:rFonts w:ascii="Times New Roman" w:eastAsia="Times New Roman" w:hAnsi="Times New Roman" w:cs="Times New Roman"/>
          <w:bCs/>
          <w:lang w:val="sr-Latn-ME"/>
        </w:rPr>
        <w:t>kodergokrin mezilat nijesu dostupne</w:t>
      </w:r>
      <w:r w:rsidRPr="00CB4668">
        <w:rPr>
          <w:rFonts w:ascii="Times New Roman" w:eastAsia="Times New Roman" w:hAnsi="Times New Roman" w:cs="Times New Roman"/>
          <w:b/>
          <w:bCs/>
          <w:lang w:val="sr-Latn-ME"/>
        </w:rPr>
        <w:t>.</w:t>
      </w:r>
    </w:p>
    <w:p w:rsidR="005D2400" w:rsidRPr="00CB4668" w:rsidRDefault="005D2400" w:rsidP="00AA6DF1">
      <w:pPr>
        <w:tabs>
          <w:tab w:val="center" w:pos="4536"/>
          <w:tab w:val="right" w:pos="9072"/>
        </w:tabs>
        <w:spacing w:before="80" w:after="80" w:line="240" w:lineRule="auto"/>
        <w:jc w:val="both"/>
        <w:rPr>
          <w:rFonts w:ascii="Times New Roman" w:eastAsia="Times New Roman" w:hAnsi="Times New Roman" w:cs="Times New Roman"/>
          <w:bCs/>
          <w:lang w:val="sr-Latn-ME"/>
        </w:rPr>
      </w:pPr>
      <w:r w:rsidRPr="00CB4668">
        <w:rPr>
          <w:rFonts w:ascii="Times New Roman" w:eastAsia="Times New Roman" w:hAnsi="Times New Roman" w:cs="Times New Roman"/>
          <w:bCs/>
          <w:lang w:val="sr-Latn-ME"/>
        </w:rPr>
        <w:t>U studijama na životinjama, kodergokrin mezilat pokazuje anti-implantacioni efekat koji se zasniva na poremećaj sekrecije prolaktina neophodnog za normalnu funkciju žutog tijela. Oralna ED</w:t>
      </w:r>
      <w:r w:rsidRPr="00CB4668">
        <w:rPr>
          <w:rFonts w:ascii="Times New Roman" w:eastAsia="Times New Roman" w:hAnsi="Times New Roman" w:cs="Times New Roman"/>
          <w:bCs/>
          <w:vertAlign w:val="subscript"/>
          <w:lang w:val="sr-Latn-ME"/>
        </w:rPr>
        <w:t>50</w:t>
      </w:r>
      <w:r w:rsidRPr="00CB4668">
        <w:rPr>
          <w:rFonts w:ascii="Times New Roman" w:eastAsia="Times New Roman" w:hAnsi="Times New Roman" w:cs="Times New Roman"/>
          <w:bCs/>
          <w:lang w:val="sr-Latn-ME"/>
        </w:rPr>
        <w:t xml:space="preserve"> za ovaj efekat iznosi 30 mg/kg. Kada se nakon implementacije održava neophodni nivo luteotropnog hormona placente, ne dolazi do prekida trudnoće. Doze od 10 do 35 mg/kg i.v. dva puta nedjeljno tokom trudnoće kod pacova, nijesu imale efekte na trudnoću, porođaj i razvoj mladunaca.</w:t>
      </w: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Cs/>
          <w:lang w:val="sr-Latn-ME"/>
        </w:rPr>
      </w:pPr>
      <w:r w:rsidRPr="00CB4668">
        <w:rPr>
          <w:rFonts w:ascii="Times New Roman" w:eastAsia="Times New Roman" w:hAnsi="Times New Roman" w:cs="Times New Roman"/>
          <w:bCs/>
          <w:lang w:val="sr-Latn-ME"/>
        </w:rPr>
        <w:t>Nakon supkutane primjene kodergokrin mezilata kod roditelja od 4. do 8. dana nakon porođaja došlo je do smanjenja nivoa prolaktina i laktacije. Kod miševa jedna doza od 250 mg/kg i.p. nije imala nikakav efekat na plodnost, a odgovarajuća ispitivanja sa produženom primjenom lijeka nijesu sprovedena.</w:t>
      </w: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p>
    <w:p w:rsidR="005D2400" w:rsidRDefault="005D2400" w:rsidP="00AA6DF1">
      <w:pPr>
        <w:tabs>
          <w:tab w:val="left" w:pos="284"/>
        </w:tabs>
        <w:spacing w:after="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6. FARMACEUTSKI PODACI</w:t>
      </w:r>
    </w:p>
    <w:p w:rsidR="00523AD3" w:rsidRPr="00CB4668" w:rsidRDefault="00523AD3" w:rsidP="00AA6DF1">
      <w:pPr>
        <w:tabs>
          <w:tab w:val="left" w:pos="284"/>
        </w:tabs>
        <w:spacing w:after="0" w:line="240" w:lineRule="auto"/>
        <w:jc w:val="both"/>
        <w:rPr>
          <w:rFonts w:ascii="Times New Roman" w:eastAsia="Times New Roman" w:hAnsi="Times New Roman" w:cs="Times New Roman"/>
          <w:b/>
          <w:bCs/>
          <w:lang w:val="sr-Latn-ME"/>
        </w:rPr>
      </w:pP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6.1. Lista pomoćnih supstanci</w:t>
      </w:r>
    </w:p>
    <w:p w:rsidR="005D2400" w:rsidRPr="00CB4668" w:rsidRDefault="005D2400" w:rsidP="00AA6DF1">
      <w:pPr>
        <w:tabs>
          <w:tab w:val="left" w:pos="284"/>
        </w:tabs>
        <w:spacing w:after="0" w:line="240" w:lineRule="auto"/>
        <w:jc w:val="both"/>
        <w:rPr>
          <w:rFonts w:ascii="Times New Roman" w:eastAsia="Times New Roman" w:hAnsi="Times New Roman" w:cs="Times New Roman"/>
          <w:i/>
          <w:lang w:val="sr-Latn-ME"/>
        </w:rPr>
      </w:pPr>
      <w:r w:rsidRPr="00CB4668">
        <w:rPr>
          <w:rFonts w:ascii="Times New Roman" w:eastAsia="Times New Roman" w:hAnsi="Times New Roman" w:cs="Times New Roman"/>
          <w:i/>
          <w:lang w:val="sr-Latn-ME"/>
        </w:rPr>
        <w:t>Redergin</w:t>
      </w:r>
      <w:r w:rsidRPr="00CB4668">
        <w:rPr>
          <w:rFonts w:ascii="Times New Roman" w:eastAsia="Times New Roman" w:hAnsi="Times New Roman" w:cs="Times New Roman"/>
          <w:i/>
          <w:vertAlign w:val="superscript"/>
          <w:lang w:val="sr-Latn-ME"/>
        </w:rPr>
        <w:t>®</w:t>
      </w:r>
      <w:r w:rsidRPr="00CB4668">
        <w:rPr>
          <w:rFonts w:ascii="Times New Roman" w:eastAsia="Times New Roman" w:hAnsi="Times New Roman" w:cs="Times New Roman"/>
          <w:i/>
          <w:lang w:val="sr-Latn-ME"/>
        </w:rPr>
        <w:t xml:space="preserve"> 1,5 mg tablete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Skrob, kukuruzni</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Laktoza, monohidrat</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Manitol</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Povidon</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Krospovidon</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Talk</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Stearinska kiselina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Hidrogenizovano biljno ulje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i/>
          <w:lang w:val="sr-Latn-ME"/>
        </w:rPr>
      </w:pPr>
      <w:r w:rsidRPr="00CB4668">
        <w:rPr>
          <w:rFonts w:ascii="Times New Roman" w:eastAsia="Times New Roman" w:hAnsi="Times New Roman" w:cs="Times New Roman"/>
          <w:i/>
          <w:lang w:val="sr-Latn-ME"/>
        </w:rPr>
        <w:t>Redergin</w:t>
      </w:r>
      <w:r w:rsidRPr="00CB4668">
        <w:rPr>
          <w:rFonts w:ascii="Times New Roman" w:eastAsia="Times New Roman" w:hAnsi="Times New Roman" w:cs="Times New Roman"/>
          <w:i/>
          <w:vertAlign w:val="superscript"/>
          <w:lang w:val="sr-Latn-ME"/>
        </w:rPr>
        <w:t>®</w:t>
      </w:r>
      <w:r w:rsidRPr="00CB4668">
        <w:rPr>
          <w:rFonts w:ascii="Times New Roman" w:eastAsia="Times New Roman" w:hAnsi="Times New Roman" w:cs="Times New Roman"/>
          <w:i/>
          <w:lang w:val="sr-Latn-ME"/>
        </w:rPr>
        <w:t xml:space="preserve"> 4,5 mg tablete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Eritrozin 88 (E 127)</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Skrob, kukuruzni</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Laktoza, monohidrat</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Manitol</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Povidon</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Krospovidon</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Talk</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Stearinska kiselina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Hidrogenizovano biljno ulje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lastRenderedPageBreak/>
        <w:t>6.2. Inkompatibilnosti</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Nije primjenljivo.</w:t>
      </w:r>
    </w:p>
    <w:p w:rsidR="00523AD3" w:rsidRDefault="00523AD3" w:rsidP="00AA6DF1">
      <w:pPr>
        <w:tabs>
          <w:tab w:val="left" w:pos="284"/>
        </w:tabs>
        <w:spacing w:before="80" w:after="80" w:line="240" w:lineRule="auto"/>
        <w:jc w:val="both"/>
        <w:rPr>
          <w:rFonts w:ascii="Times New Roman" w:eastAsia="Times New Roman" w:hAnsi="Times New Roman" w:cs="Times New Roman"/>
          <w:b/>
          <w:bCs/>
          <w:lang w:val="sr-Latn-ME"/>
        </w:rPr>
      </w:pP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6.3. Rok upotrebe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2 godine.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6.4. Posebne mjere upozorenja pri čuvanju lijeka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bookmarkStart w:id="0" w:name="OLE_LINK1"/>
      <w:r w:rsidRPr="00CB4668">
        <w:rPr>
          <w:rFonts w:ascii="Times New Roman" w:eastAsia="Times New Roman" w:hAnsi="Times New Roman" w:cs="Times New Roman"/>
          <w:lang w:val="sr-Latn-ME"/>
        </w:rPr>
        <w:t>Čuvati na temperaturi do 25ºC.</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Lijek čuvati u originalnom pakovanju, zaštićeno od svjetlosti</w:t>
      </w:r>
      <w:bookmarkEnd w:id="0"/>
      <w:r w:rsidRPr="00CB4668">
        <w:rPr>
          <w:rFonts w:ascii="Times New Roman" w:eastAsia="Times New Roman" w:hAnsi="Times New Roman" w:cs="Times New Roman"/>
          <w:lang w:val="sr-Latn-ME"/>
        </w:rPr>
        <w:t xml:space="preserve">. </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6.5. Vrsta i sadržaj pakovanja</w:t>
      </w:r>
    </w:p>
    <w:p w:rsidR="005D2400"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U kartonskoj kutiji se nalaze 2 blistera (Alu folija i PVC-TE-PVDC folija) sa po 10 tableta.</w:t>
      </w:r>
    </w:p>
    <w:p w:rsidR="00926D16" w:rsidRPr="00CB4668" w:rsidRDefault="00926D16" w:rsidP="00AA6DF1">
      <w:pPr>
        <w:tabs>
          <w:tab w:val="left" w:pos="284"/>
        </w:tabs>
        <w:spacing w:after="0" w:line="240" w:lineRule="auto"/>
        <w:jc w:val="both"/>
        <w:rPr>
          <w:rFonts w:ascii="Times New Roman" w:eastAsia="Times New Roman" w:hAnsi="Times New Roman" w:cs="Times New Roman"/>
          <w:lang w:val="sr-Latn-ME"/>
        </w:rPr>
      </w:pPr>
      <w:bookmarkStart w:id="1" w:name="_GoBack"/>
      <w:bookmarkEnd w:id="1"/>
    </w:p>
    <w:p w:rsidR="005D2400" w:rsidRPr="00CB4668" w:rsidRDefault="005D2400" w:rsidP="00AA6DF1">
      <w:pPr>
        <w:tabs>
          <w:tab w:val="left" w:pos="284"/>
        </w:tabs>
        <w:spacing w:before="80" w:after="8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 xml:space="preserve">6.6. Posebne mjere opreza pri odlaganju materijala koji treba odbaciti nakon primjene lijeka </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Nema posebnih zahtjeva.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b/>
          <w:lang w:val="sr-Latn-ME"/>
        </w:rPr>
      </w:pPr>
      <w:r w:rsidRPr="00CB4668">
        <w:rPr>
          <w:rFonts w:ascii="Times New Roman" w:eastAsia="Times New Roman" w:hAnsi="Times New Roman" w:cs="Times New Roman"/>
          <w:b/>
          <w:lang w:val="sr-Latn-ME"/>
        </w:rPr>
        <w:t>6.7. Režim izdavanja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r w:rsidRPr="00CB4668">
        <w:rPr>
          <w:rFonts w:ascii="Times New Roman" w:eastAsia="Times New Roman" w:hAnsi="Times New Roman" w:cs="Times New Roman"/>
          <w:lang w:val="sr-Latn-ME"/>
        </w:rPr>
        <w:t>Lijek se može izdavati samo na ljekarski recept</w:t>
      </w:r>
    </w:p>
    <w:p w:rsidR="005D2400" w:rsidRDefault="005D2400" w:rsidP="00AA6DF1">
      <w:pPr>
        <w:tabs>
          <w:tab w:val="left" w:pos="284"/>
        </w:tabs>
        <w:spacing w:after="0" w:line="240" w:lineRule="auto"/>
        <w:jc w:val="both"/>
        <w:rPr>
          <w:rFonts w:ascii="Times New Roman" w:eastAsia="Times New Roman" w:hAnsi="Times New Roman" w:cs="Times New Roman"/>
          <w:lang w:val="sr-Latn-ME"/>
        </w:rPr>
      </w:pPr>
    </w:p>
    <w:p w:rsidR="00523AD3" w:rsidRPr="00CB4668" w:rsidRDefault="00523AD3" w:rsidP="00AA6DF1">
      <w:pPr>
        <w:tabs>
          <w:tab w:val="left" w:pos="284"/>
        </w:tabs>
        <w:spacing w:after="0" w:line="240" w:lineRule="auto"/>
        <w:jc w:val="both"/>
        <w:rPr>
          <w:rFonts w:ascii="Times New Roman" w:eastAsia="Times New Roman" w:hAnsi="Times New Roman" w:cs="Times New Roman"/>
          <w:lang w:val="sr-Latn-ME"/>
        </w:rPr>
      </w:pPr>
    </w:p>
    <w:p w:rsidR="00A8337C" w:rsidRDefault="005D2400" w:rsidP="00AA6DF1">
      <w:pPr>
        <w:tabs>
          <w:tab w:val="left" w:pos="284"/>
        </w:tabs>
        <w:spacing w:after="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7. NOSILAC DOZVOLE</w:t>
      </w:r>
    </w:p>
    <w:p w:rsidR="005D2400" w:rsidRPr="00CB4668" w:rsidRDefault="005D2400" w:rsidP="00AA6DF1">
      <w:pPr>
        <w:tabs>
          <w:tab w:val="left" w:pos="284"/>
        </w:tabs>
        <w:spacing w:after="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 xml:space="preserve"> </w:t>
      </w:r>
    </w:p>
    <w:p w:rsidR="005D2400" w:rsidRPr="00CB4668" w:rsidRDefault="005D2400" w:rsidP="00AA6DF1">
      <w:pPr>
        <w:tabs>
          <w:tab w:val="left" w:pos="284"/>
        </w:tabs>
        <w:spacing w:after="0" w:line="240" w:lineRule="auto"/>
        <w:jc w:val="both"/>
        <w:rPr>
          <w:rFonts w:ascii="Times New Roman" w:eastAsia="Times New Roman" w:hAnsi="Times New Roman" w:cs="Times New Roman"/>
          <w:bCs/>
          <w:lang w:val="sr-Latn-ME"/>
        </w:rPr>
      </w:pPr>
      <w:r w:rsidRPr="00CB4668">
        <w:rPr>
          <w:rFonts w:ascii="Times New Roman" w:eastAsia="Times New Roman" w:hAnsi="Times New Roman" w:cs="Times New Roman"/>
          <w:bCs/>
          <w:lang w:val="sr-Latn-ME"/>
        </w:rPr>
        <w:t>Glosarij d.o.o.</w:t>
      </w:r>
    </w:p>
    <w:p w:rsidR="005D2400" w:rsidRPr="00CB4668" w:rsidRDefault="005D2400" w:rsidP="00AA6DF1">
      <w:pPr>
        <w:tabs>
          <w:tab w:val="left" w:pos="284"/>
        </w:tabs>
        <w:spacing w:after="0" w:line="240" w:lineRule="auto"/>
        <w:jc w:val="both"/>
        <w:rPr>
          <w:rFonts w:ascii="Times New Roman" w:eastAsia="Times New Roman" w:hAnsi="Times New Roman" w:cs="Times New Roman"/>
          <w:bCs/>
          <w:lang w:val="sr-Latn-ME"/>
        </w:rPr>
      </w:pPr>
      <w:r w:rsidRPr="00CB4668">
        <w:rPr>
          <w:rFonts w:ascii="Times New Roman" w:eastAsia="Times New Roman" w:hAnsi="Times New Roman" w:cs="Times New Roman"/>
          <w:bCs/>
          <w:lang w:val="sr-Latn-ME"/>
        </w:rPr>
        <w:t>Vojislavljevića 76 Podgorica, Crna Gora</w:t>
      </w:r>
    </w:p>
    <w:p w:rsidR="00A8337C" w:rsidRPr="00CB4668" w:rsidRDefault="00A8337C"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8. BROJ PRVE DOZVOLE / OBNOVE DOZVOLE</w:t>
      </w:r>
    </w:p>
    <w:p w:rsidR="005D2400" w:rsidRDefault="005D2400" w:rsidP="00AA6DF1">
      <w:pPr>
        <w:tabs>
          <w:tab w:val="left" w:pos="284"/>
        </w:tabs>
        <w:spacing w:after="0" w:line="240" w:lineRule="auto"/>
        <w:jc w:val="both"/>
        <w:rPr>
          <w:rFonts w:ascii="Times New Roman" w:eastAsia="Times New Roman" w:hAnsi="Times New Roman" w:cs="Times New Roman"/>
          <w:lang w:val="sr-Latn-ME"/>
        </w:rPr>
      </w:pPr>
    </w:p>
    <w:p w:rsidR="00A8337C" w:rsidRPr="00A8337C" w:rsidRDefault="00A8337C" w:rsidP="00A8337C">
      <w:pPr>
        <w:tabs>
          <w:tab w:val="left" w:pos="284"/>
        </w:tabs>
        <w:spacing w:after="0" w:line="240" w:lineRule="auto"/>
        <w:rPr>
          <w:rFonts w:ascii="Times New Roman" w:eastAsia="Times New Roman" w:hAnsi="Times New Roman" w:cs="Arial"/>
          <w:bCs/>
          <w:szCs w:val="24"/>
          <w:lang w:val="sr-Latn-ME"/>
        </w:rPr>
      </w:pPr>
      <w:r w:rsidRPr="00A8337C">
        <w:rPr>
          <w:rFonts w:ascii="Times New Roman" w:eastAsia="Times New Roman" w:hAnsi="Times New Roman" w:cs="Arial"/>
          <w:bCs/>
          <w:szCs w:val="24"/>
          <w:lang w:val="sr-Latn-ME"/>
        </w:rPr>
        <w:t>Redergin</w:t>
      </w:r>
      <w:r w:rsidRPr="00A8337C">
        <w:rPr>
          <w:rFonts w:ascii="Times New Roman" w:eastAsia="Times New Roman" w:hAnsi="Times New Roman" w:cs="Times New Roman"/>
          <w:bCs/>
          <w:szCs w:val="24"/>
          <w:vertAlign w:val="superscript"/>
          <w:lang w:val="sr-Latn-ME"/>
        </w:rPr>
        <w:t>®</w:t>
      </w:r>
      <w:r w:rsidRPr="00A8337C">
        <w:rPr>
          <w:rFonts w:ascii="Times New Roman" w:eastAsia="Times New Roman" w:hAnsi="Times New Roman" w:cs="Arial"/>
          <w:bCs/>
          <w:szCs w:val="24"/>
          <w:lang w:val="sr-Latn-ME"/>
        </w:rPr>
        <w:t> tablete</w:t>
      </w:r>
      <w:r>
        <w:rPr>
          <w:rFonts w:ascii="Times New Roman" w:eastAsia="Times New Roman" w:hAnsi="Times New Roman" w:cs="Arial"/>
          <w:bCs/>
          <w:szCs w:val="24"/>
          <w:lang w:val="sr-Latn-ME"/>
        </w:rPr>
        <w:t>,</w:t>
      </w:r>
      <w:r w:rsidRPr="00A8337C">
        <w:rPr>
          <w:rFonts w:ascii="Times New Roman" w:eastAsia="Times New Roman" w:hAnsi="Times New Roman" w:cs="Arial"/>
          <w:bCs/>
          <w:szCs w:val="24"/>
          <w:lang w:val="sr-Latn-ME"/>
        </w:rPr>
        <w:t xml:space="preserve"> 1,5 mg</w:t>
      </w:r>
      <w:r>
        <w:rPr>
          <w:rFonts w:ascii="Times New Roman" w:eastAsia="Times New Roman" w:hAnsi="Times New Roman" w:cs="Arial"/>
          <w:bCs/>
          <w:szCs w:val="24"/>
          <w:lang w:val="sr-Latn-ME"/>
        </w:rPr>
        <w:t xml:space="preserve">, blister, 2x10: </w:t>
      </w:r>
      <w:r w:rsidRPr="00A8337C">
        <w:rPr>
          <w:rFonts w:ascii="Times New Roman" w:hAnsi="Times New Roman" w:cs="Times New Roman"/>
          <w:bCs/>
          <w:lang w:val="sr-Latn-ME"/>
        </w:rPr>
        <w:t>2030/14/273 - 1313</w:t>
      </w:r>
    </w:p>
    <w:p w:rsidR="00A8337C" w:rsidRPr="00A8337C" w:rsidRDefault="00A8337C" w:rsidP="00A8337C">
      <w:pPr>
        <w:tabs>
          <w:tab w:val="left" w:pos="284"/>
        </w:tabs>
        <w:spacing w:after="0" w:line="240" w:lineRule="auto"/>
        <w:rPr>
          <w:rFonts w:ascii="Times New Roman" w:eastAsia="Times New Roman" w:hAnsi="Times New Roman" w:cs="Arial"/>
          <w:bCs/>
          <w:szCs w:val="24"/>
          <w:lang w:val="sr-Latn-ME"/>
        </w:rPr>
      </w:pPr>
      <w:r w:rsidRPr="00A8337C">
        <w:rPr>
          <w:rFonts w:ascii="Times New Roman" w:eastAsia="Times New Roman" w:hAnsi="Times New Roman" w:cs="Arial"/>
          <w:bCs/>
          <w:szCs w:val="24"/>
          <w:lang w:val="sr-Latn-ME"/>
        </w:rPr>
        <w:t>Redergin</w:t>
      </w:r>
      <w:r w:rsidRPr="00A8337C">
        <w:rPr>
          <w:rFonts w:ascii="Times New Roman" w:eastAsia="Times New Roman" w:hAnsi="Times New Roman" w:cs="Times New Roman"/>
          <w:bCs/>
          <w:szCs w:val="24"/>
          <w:vertAlign w:val="superscript"/>
          <w:lang w:val="sr-Latn-ME"/>
        </w:rPr>
        <w:t>®</w:t>
      </w:r>
      <w:r w:rsidRPr="00A8337C">
        <w:rPr>
          <w:rFonts w:ascii="Times New Roman" w:eastAsia="Times New Roman" w:hAnsi="Times New Roman" w:cs="Arial"/>
          <w:bCs/>
          <w:szCs w:val="24"/>
          <w:lang w:val="sr-Latn-ME"/>
        </w:rPr>
        <w:t> tablete</w:t>
      </w:r>
      <w:r>
        <w:rPr>
          <w:rFonts w:ascii="Times New Roman" w:eastAsia="Times New Roman" w:hAnsi="Times New Roman" w:cs="Arial"/>
          <w:bCs/>
          <w:szCs w:val="24"/>
          <w:lang w:val="sr-Latn-ME"/>
        </w:rPr>
        <w:t>,</w:t>
      </w:r>
      <w:r w:rsidRPr="00A8337C">
        <w:rPr>
          <w:rFonts w:ascii="Times New Roman" w:eastAsia="Times New Roman" w:hAnsi="Times New Roman" w:cs="Arial"/>
          <w:bCs/>
          <w:szCs w:val="24"/>
          <w:lang w:val="sr-Latn-ME"/>
        </w:rPr>
        <w:t xml:space="preserve"> 4,5 mg</w:t>
      </w:r>
      <w:r>
        <w:rPr>
          <w:rFonts w:ascii="Times New Roman" w:eastAsia="Times New Roman" w:hAnsi="Times New Roman" w:cs="Arial"/>
          <w:bCs/>
          <w:szCs w:val="24"/>
          <w:lang w:val="sr-Latn-ME"/>
        </w:rPr>
        <w:t xml:space="preserve">, blister, 2x10: </w:t>
      </w:r>
      <w:r>
        <w:rPr>
          <w:rFonts w:ascii="Times New Roman" w:hAnsi="Times New Roman" w:cs="Times New Roman"/>
          <w:bCs/>
          <w:lang w:val="sr-Latn-ME"/>
        </w:rPr>
        <w:t>2030/14/274 - 1314</w:t>
      </w:r>
    </w:p>
    <w:p w:rsidR="00A8337C" w:rsidRPr="00CB4668" w:rsidRDefault="00A8337C"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9. DATUM PRVE DOZVOLE / DATUM OBNOVE DOZVOLE</w:t>
      </w:r>
    </w:p>
    <w:p w:rsidR="005D2400" w:rsidRDefault="005D2400" w:rsidP="00AA6DF1">
      <w:pPr>
        <w:tabs>
          <w:tab w:val="left" w:pos="284"/>
        </w:tabs>
        <w:spacing w:after="0" w:line="240" w:lineRule="auto"/>
        <w:jc w:val="both"/>
        <w:rPr>
          <w:rFonts w:ascii="Times New Roman" w:eastAsia="Times New Roman" w:hAnsi="Times New Roman" w:cs="Times New Roman"/>
          <w:lang w:val="sr-Latn-ME"/>
        </w:rPr>
      </w:pPr>
    </w:p>
    <w:p w:rsidR="00A8337C" w:rsidRPr="00A8337C" w:rsidRDefault="00A8337C" w:rsidP="00A8337C">
      <w:pPr>
        <w:tabs>
          <w:tab w:val="left" w:pos="284"/>
        </w:tabs>
        <w:spacing w:after="0" w:line="240" w:lineRule="auto"/>
        <w:rPr>
          <w:rFonts w:ascii="Times New Roman" w:eastAsia="Times New Roman" w:hAnsi="Times New Roman" w:cs="Arial"/>
          <w:bCs/>
          <w:szCs w:val="24"/>
          <w:lang w:val="sr-Latn-ME"/>
        </w:rPr>
      </w:pPr>
      <w:r w:rsidRPr="00A8337C">
        <w:rPr>
          <w:rFonts w:ascii="Times New Roman" w:eastAsia="Times New Roman" w:hAnsi="Times New Roman" w:cs="Arial"/>
          <w:bCs/>
          <w:szCs w:val="24"/>
          <w:lang w:val="sr-Latn-ME"/>
        </w:rPr>
        <w:t>Redergin</w:t>
      </w:r>
      <w:r w:rsidRPr="00A8337C">
        <w:rPr>
          <w:rFonts w:ascii="Times New Roman" w:eastAsia="Times New Roman" w:hAnsi="Times New Roman" w:cs="Times New Roman"/>
          <w:bCs/>
          <w:szCs w:val="24"/>
          <w:vertAlign w:val="superscript"/>
          <w:lang w:val="sr-Latn-ME"/>
        </w:rPr>
        <w:t>®</w:t>
      </w:r>
      <w:r w:rsidRPr="00A8337C">
        <w:rPr>
          <w:rFonts w:ascii="Times New Roman" w:eastAsia="Times New Roman" w:hAnsi="Times New Roman" w:cs="Arial"/>
          <w:bCs/>
          <w:szCs w:val="24"/>
          <w:lang w:val="sr-Latn-ME"/>
        </w:rPr>
        <w:t> tablete</w:t>
      </w:r>
      <w:r>
        <w:rPr>
          <w:rFonts w:ascii="Times New Roman" w:eastAsia="Times New Roman" w:hAnsi="Times New Roman" w:cs="Arial"/>
          <w:bCs/>
          <w:szCs w:val="24"/>
          <w:lang w:val="sr-Latn-ME"/>
        </w:rPr>
        <w:t>,</w:t>
      </w:r>
      <w:r w:rsidRPr="00A8337C">
        <w:rPr>
          <w:rFonts w:ascii="Times New Roman" w:eastAsia="Times New Roman" w:hAnsi="Times New Roman" w:cs="Arial"/>
          <w:bCs/>
          <w:szCs w:val="24"/>
          <w:lang w:val="sr-Latn-ME"/>
        </w:rPr>
        <w:t xml:space="preserve"> 1,5 mg</w:t>
      </w:r>
      <w:r>
        <w:rPr>
          <w:rFonts w:ascii="Times New Roman" w:eastAsia="Times New Roman" w:hAnsi="Times New Roman" w:cs="Arial"/>
          <w:bCs/>
          <w:szCs w:val="24"/>
          <w:lang w:val="sr-Latn-ME"/>
        </w:rPr>
        <w:t xml:space="preserve">, blister, 2x10: </w:t>
      </w:r>
      <w:r>
        <w:rPr>
          <w:rFonts w:ascii="Times New Roman" w:hAnsi="Times New Roman" w:cs="Times New Roman"/>
          <w:bCs/>
          <w:lang w:val="sr-Latn-ME"/>
        </w:rPr>
        <w:t>07.05.2014. godine</w:t>
      </w:r>
    </w:p>
    <w:p w:rsidR="00A8337C" w:rsidRDefault="00A8337C" w:rsidP="00A8337C">
      <w:pPr>
        <w:tabs>
          <w:tab w:val="left" w:pos="284"/>
        </w:tabs>
        <w:spacing w:after="0" w:line="240" w:lineRule="auto"/>
        <w:jc w:val="both"/>
        <w:rPr>
          <w:rFonts w:ascii="Times New Roman" w:eastAsia="Times New Roman" w:hAnsi="Times New Roman" w:cs="Arial"/>
          <w:bCs/>
          <w:szCs w:val="24"/>
          <w:lang w:val="sr-Latn-ME"/>
        </w:rPr>
      </w:pPr>
      <w:r w:rsidRPr="00A8337C">
        <w:rPr>
          <w:rFonts w:ascii="Times New Roman" w:eastAsia="Times New Roman" w:hAnsi="Times New Roman" w:cs="Arial"/>
          <w:bCs/>
          <w:szCs w:val="24"/>
          <w:lang w:val="sr-Latn-ME"/>
        </w:rPr>
        <w:t>Redergin</w:t>
      </w:r>
      <w:r w:rsidRPr="00A8337C">
        <w:rPr>
          <w:rFonts w:ascii="Times New Roman" w:eastAsia="Times New Roman" w:hAnsi="Times New Roman" w:cs="Times New Roman"/>
          <w:bCs/>
          <w:szCs w:val="24"/>
          <w:vertAlign w:val="superscript"/>
          <w:lang w:val="sr-Latn-ME"/>
        </w:rPr>
        <w:t>®</w:t>
      </w:r>
      <w:r w:rsidRPr="00A8337C">
        <w:rPr>
          <w:rFonts w:ascii="Times New Roman" w:eastAsia="Times New Roman" w:hAnsi="Times New Roman" w:cs="Arial"/>
          <w:bCs/>
          <w:szCs w:val="24"/>
          <w:lang w:val="sr-Latn-ME"/>
        </w:rPr>
        <w:t> tablete</w:t>
      </w:r>
      <w:r>
        <w:rPr>
          <w:rFonts w:ascii="Times New Roman" w:eastAsia="Times New Roman" w:hAnsi="Times New Roman" w:cs="Arial"/>
          <w:bCs/>
          <w:szCs w:val="24"/>
          <w:lang w:val="sr-Latn-ME"/>
        </w:rPr>
        <w:t>,</w:t>
      </w:r>
      <w:r w:rsidRPr="00A8337C">
        <w:rPr>
          <w:rFonts w:ascii="Times New Roman" w:eastAsia="Times New Roman" w:hAnsi="Times New Roman" w:cs="Arial"/>
          <w:bCs/>
          <w:szCs w:val="24"/>
          <w:lang w:val="sr-Latn-ME"/>
        </w:rPr>
        <w:t xml:space="preserve"> 4,5 mg</w:t>
      </w:r>
      <w:r>
        <w:rPr>
          <w:rFonts w:ascii="Times New Roman" w:eastAsia="Times New Roman" w:hAnsi="Times New Roman" w:cs="Arial"/>
          <w:bCs/>
          <w:szCs w:val="24"/>
          <w:lang w:val="sr-Latn-ME"/>
        </w:rPr>
        <w:t>, blister, 2x10: 07.05.2014. godine</w:t>
      </w:r>
    </w:p>
    <w:p w:rsidR="00534703" w:rsidRDefault="00534703" w:rsidP="00A8337C">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b/>
          <w:bCs/>
          <w:lang w:val="sr-Latn-ME"/>
        </w:rPr>
      </w:pPr>
      <w:r w:rsidRPr="00CB4668">
        <w:rPr>
          <w:rFonts w:ascii="Times New Roman" w:eastAsia="Times New Roman" w:hAnsi="Times New Roman" w:cs="Times New Roman"/>
          <w:b/>
          <w:bCs/>
          <w:lang w:val="sr-Latn-ME"/>
        </w:rPr>
        <w:t xml:space="preserve">10. </w:t>
      </w:r>
      <w:r w:rsidRPr="00CB4668">
        <w:rPr>
          <w:rFonts w:ascii="Times New Roman" w:eastAsia="Times New Roman" w:hAnsi="Times New Roman" w:cs="Times New Roman"/>
          <w:b/>
          <w:bCs/>
          <w:lang w:val="sr-Latn-CS"/>
        </w:rPr>
        <w:t>DATUM POSLEDNJE REVIZIJE TEKSTA SAŽETKA OSNOVNIH KARAKTERISTIKA LIJEKA</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A8337C" w:rsidRDefault="00A8337C" w:rsidP="00AA6DF1">
      <w:pPr>
        <w:tabs>
          <w:tab w:val="left" w:pos="284"/>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M</w:t>
      </w:r>
      <w:r w:rsidRPr="00A8337C">
        <w:rPr>
          <w:rFonts w:ascii="Times New Roman" w:eastAsia="Times New Roman" w:hAnsi="Times New Roman" w:cs="Times New Roman"/>
          <w:bCs/>
          <w:lang w:val="sr-Latn-ME"/>
        </w:rPr>
        <w:t>aj, 2014. godine</w:t>
      </w: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5D2400" w:rsidRPr="00CB4668" w:rsidRDefault="005D2400" w:rsidP="00AA6DF1">
      <w:pPr>
        <w:tabs>
          <w:tab w:val="left" w:pos="284"/>
        </w:tabs>
        <w:spacing w:after="0" w:line="240" w:lineRule="auto"/>
        <w:jc w:val="both"/>
        <w:rPr>
          <w:rFonts w:ascii="Times New Roman" w:eastAsia="Times New Roman" w:hAnsi="Times New Roman" w:cs="Times New Roman"/>
          <w:lang w:val="sr-Latn-ME"/>
        </w:rPr>
      </w:pPr>
    </w:p>
    <w:p w:rsidR="00CB4668" w:rsidRPr="00CB4668" w:rsidRDefault="00CB4668" w:rsidP="00AA6DF1">
      <w:pPr>
        <w:jc w:val="both"/>
        <w:rPr>
          <w:rFonts w:ascii="Times New Roman" w:hAnsi="Times New Roman" w:cs="Times New Roman"/>
          <w:lang w:val="sr-Latn-ME"/>
        </w:rPr>
      </w:pPr>
    </w:p>
    <w:sectPr w:rsidR="00CB4668" w:rsidRPr="00CB4668" w:rsidSect="00540AA0">
      <w:headerReference w:type="default" r:id="rId10"/>
      <w:footerReference w:type="even" r:id="rId11"/>
      <w:footerReference w:type="default" r:id="rId12"/>
      <w:pgSz w:w="11907" w:h="16840" w:code="9"/>
      <w:pgMar w:top="215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DC3" w:rsidRDefault="00202DC3">
      <w:pPr>
        <w:spacing w:after="0" w:line="240" w:lineRule="auto"/>
      </w:pPr>
      <w:r>
        <w:separator/>
      </w:r>
    </w:p>
  </w:endnote>
  <w:endnote w:type="continuationSeparator" w:id="0">
    <w:p w:rsidR="00202DC3" w:rsidRDefault="00202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AA0" w:rsidRDefault="005D24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0AA0" w:rsidRDefault="00202D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668" w:rsidRPr="00CB4668" w:rsidRDefault="00CB4668" w:rsidP="00CB4668">
    <w:pPr>
      <w:pStyle w:val="Header"/>
      <w:pBdr>
        <w:top w:val="thinThickSmallGap" w:sz="24" w:space="1" w:color="auto"/>
      </w:pBdr>
      <w:rPr>
        <w:rFonts w:ascii="Times New Roman" w:hAnsi="Times New Roman" w:cs="Times New Roman"/>
        <w:sz w:val="20"/>
        <w:szCs w:val="20"/>
      </w:rPr>
    </w:pPr>
  </w:p>
  <w:p w:rsidR="00CB4668" w:rsidRPr="00CB4668" w:rsidRDefault="00CB4668" w:rsidP="00CB4668">
    <w:pPr>
      <w:pStyle w:val="Footer"/>
      <w:jc w:val="center"/>
      <w:rPr>
        <w:rFonts w:ascii="Times New Roman" w:hAnsi="Times New Roman" w:cs="Times New Roman"/>
        <w:color w:val="E65900"/>
        <w:sz w:val="16"/>
        <w:szCs w:val="18"/>
        <w:lang w:val="sr-Latn-ME"/>
      </w:rPr>
    </w:pPr>
    <w:r w:rsidRPr="00CB4668">
      <w:rPr>
        <w:rFonts w:ascii="Times New Roman" w:hAnsi="Times New Roman" w:cs="Times New Roman"/>
        <w:color w:val="FA0000"/>
        <w:sz w:val="16"/>
        <w:szCs w:val="18"/>
        <w:lang w:val="sr-Latn-ME"/>
      </w:rPr>
      <w:t>Agencija za ljekove i medicinska sredstva Crne Gore,</w:t>
    </w:r>
    <w:r w:rsidRPr="00CB4668">
      <w:rPr>
        <w:rFonts w:ascii="Times New Roman" w:hAnsi="Times New Roman" w:cs="Times New Roman"/>
        <w:sz w:val="16"/>
        <w:szCs w:val="18"/>
        <w:lang w:val="sr-Latn-ME"/>
      </w:rPr>
      <w:t xml:space="preserve"> </w:t>
    </w:r>
    <w:r w:rsidRPr="00CB4668">
      <w:rPr>
        <w:rFonts w:ascii="Times New Roman" w:hAnsi="Times New Roman" w:cs="Times New Roman"/>
        <w:color w:val="E65900"/>
        <w:sz w:val="16"/>
        <w:szCs w:val="18"/>
        <w:lang w:val="sr-Latn-ME"/>
      </w:rPr>
      <w:t>81000 Podgorica, Bul. Ivana Crnojevića 64a</w:t>
    </w:r>
  </w:p>
  <w:p w:rsidR="00CB4668" w:rsidRPr="00CB4668" w:rsidRDefault="00CB4668" w:rsidP="00CB4668">
    <w:pPr>
      <w:pStyle w:val="Footer"/>
      <w:jc w:val="center"/>
      <w:rPr>
        <w:rFonts w:ascii="Times New Roman" w:hAnsi="Times New Roman" w:cs="Times New Roman"/>
        <w:color w:val="FA0000"/>
        <w:sz w:val="16"/>
        <w:szCs w:val="18"/>
        <w:lang w:val="sr-Latn-ME"/>
      </w:rPr>
    </w:pPr>
    <w:r w:rsidRPr="00CB4668">
      <w:rPr>
        <w:rFonts w:ascii="Times New Roman" w:hAnsi="Times New Roman" w:cs="Times New Roman"/>
        <w:color w:val="E65900"/>
        <w:sz w:val="16"/>
        <w:szCs w:val="18"/>
        <w:lang w:val="sr-Latn-ME"/>
      </w:rPr>
      <w:t xml:space="preserve">tel: +382 (0) 20 310 280  </w:t>
    </w:r>
    <w:r w:rsidRPr="00CB4668">
      <w:rPr>
        <w:rFonts w:ascii="Times New Roman" w:hAnsi="Times New Roman" w:cs="Times New Roman"/>
        <w:color w:val="FA0000"/>
        <w:sz w:val="16"/>
        <w:szCs w:val="18"/>
        <w:lang w:val="sr-Latn-ME"/>
      </w:rPr>
      <w:t>fax: +382 (0) 20 310 581,</w:t>
    </w:r>
    <w:r w:rsidRPr="00CB4668">
      <w:rPr>
        <w:rFonts w:ascii="Times New Roman" w:hAnsi="Times New Roman" w:cs="Times New Roman"/>
        <w:sz w:val="16"/>
        <w:szCs w:val="18"/>
        <w:lang w:val="sr-Latn-ME"/>
      </w:rPr>
      <w:t xml:space="preserve"> </w:t>
    </w:r>
    <w:r w:rsidRPr="00CB4668">
      <w:rPr>
        <w:rFonts w:ascii="Times New Roman" w:hAnsi="Times New Roman" w:cs="Times New Roman"/>
        <w:color w:val="E65900"/>
        <w:sz w:val="16"/>
        <w:szCs w:val="18"/>
        <w:lang w:val="sr-Latn-ME"/>
      </w:rPr>
      <w:t>e-mail: info@calims.me,</w:t>
    </w:r>
    <w:r w:rsidRPr="00CB4668">
      <w:rPr>
        <w:rFonts w:ascii="Times New Roman" w:hAnsi="Times New Roman" w:cs="Times New Roman"/>
        <w:sz w:val="16"/>
        <w:szCs w:val="18"/>
        <w:lang w:val="sr-Latn-ME"/>
      </w:rPr>
      <w:t xml:space="preserve"> </w:t>
    </w:r>
    <w:r w:rsidRPr="00CB4668">
      <w:rPr>
        <w:rFonts w:ascii="Times New Roman" w:hAnsi="Times New Roman" w:cs="Times New Roman"/>
        <w:color w:val="FA0000"/>
        <w:sz w:val="16"/>
        <w:szCs w:val="18"/>
        <w:lang w:val="sr-Latn-ME"/>
      </w:rPr>
      <w:t>www.calims.me</w:t>
    </w:r>
    <w:r w:rsidRPr="00CB4668">
      <w:rPr>
        <w:rFonts w:ascii="Times New Roman" w:hAnsi="Times New Roman" w:cs="Times New Roman"/>
        <w:sz w:val="16"/>
        <w:szCs w:val="18"/>
        <w:lang w:val="sr-Latn-ME"/>
      </w:rPr>
      <w:t xml:space="preserve">, </w:t>
    </w:r>
    <w:r w:rsidRPr="00CB4668">
      <w:rPr>
        <w:rFonts w:ascii="Times New Roman" w:hAnsi="Times New Roman" w:cs="Times New Roman"/>
        <w:color w:val="E65900"/>
        <w:sz w:val="16"/>
        <w:szCs w:val="18"/>
        <w:lang w:val="sr-Latn-ME"/>
      </w:rPr>
      <w:t>PIB: 02739658,</w:t>
    </w:r>
    <w:r w:rsidRPr="00CB4668">
      <w:rPr>
        <w:rFonts w:ascii="Times New Roman" w:hAnsi="Times New Roman" w:cs="Times New Roman"/>
        <w:sz w:val="16"/>
        <w:szCs w:val="18"/>
        <w:lang w:val="sr-Latn-ME"/>
      </w:rPr>
      <w:t xml:space="preserve"> </w:t>
    </w:r>
    <w:r w:rsidRPr="00CB4668">
      <w:rPr>
        <w:rFonts w:ascii="Times New Roman" w:hAnsi="Times New Roman" w:cs="Times New Roman"/>
        <w:color w:val="FA0000"/>
        <w:sz w:val="16"/>
        <w:szCs w:val="18"/>
        <w:lang w:val="sr-Latn-ME"/>
      </w:rPr>
      <w:t>žiro račun: 520-3603-33</w:t>
    </w:r>
  </w:p>
  <w:p w:rsidR="00CB4668" w:rsidRPr="00CB4668" w:rsidRDefault="00CB4668" w:rsidP="00CB4668">
    <w:pPr>
      <w:pStyle w:val="Header"/>
      <w:rPr>
        <w:rFonts w:ascii="Times New Roman" w:hAnsi="Times New Roman" w:cs="Times New Roman"/>
        <w:sz w:val="20"/>
        <w:szCs w:val="20"/>
      </w:rPr>
    </w:pPr>
  </w:p>
  <w:p w:rsidR="00540AA0" w:rsidRPr="00CB4668" w:rsidRDefault="00CB4668" w:rsidP="00CB4668">
    <w:pPr>
      <w:pStyle w:val="Header"/>
      <w:jc w:val="center"/>
      <w:rPr>
        <w:rFonts w:ascii="Times New Roman" w:hAnsi="Times New Roman" w:cs="Times New Roman"/>
        <w:sz w:val="20"/>
        <w:szCs w:val="20"/>
      </w:rPr>
    </w:pPr>
    <w:r w:rsidRPr="00CB4668">
      <w:rPr>
        <w:rStyle w:val="PageNumber"/>
        <w:rFonts w:ascii="Times New Roman" w:hAnsi="Times New Roman" w:cs="Times New Roman"/>
        <w:sz w:val="20"/>
        <w:szCs w:val="20"/>
      </w:rPr>
      <w:fldChar w:fldCharType="begin"/>
    </w:r>
    <w:r w:rsidRPr="00CB4668">
      <w:rPr>
        <w:rStyle w:val="PageNumber"/>
        <w:rFonts w:ascii="Times New Roman" w:hAnsi="Times New Roman" w:cs="Times New Roman"/>
        <w:sz w:val="20"/>
        <w:szCs w:val="20"/>
      </w:rPr>
      <w:instrText xml:space="preserve"> PAGE </w:instrText>
    </w:r>
    <w:r w:rsidRPr="00CB4668">
      <w:rPr>
        <w:rStyle w:val="PageNumber"/>
        <w:rFonts w:ascii="Times New Roman" w:hAnsi="Times New Roman" w:cs="Times New Roman"/>
        <w:sz w:val="20"/>
        <w:szCs w:val="20"/>
      </w:rPr>
      <w:fldChar w:fldCharType="separate"/>
    </w:r>
    <w:r w:rsidR="00926D16">
      <w:rPr>
        <w:rStyle w:val="PageNumber"/>
        <w:rFonts w:ascii="Times New Roman" w:hAnsi="Times New Roman" w:cs="Times New Roman"/>
        <w:noProof/>
        <w:sz w:val="20"/>
        <w:szCs w:val="20"/>
      </w:rPr>
      <w:t>10</w:t>
    </w:r>
    <w:r w:rsidRPr="00CB4668">
      <w:rPr>
        <w:rStyle w:val="PageNumber"/>
        <w:rFonts w:ascii="Times New Roman" w:hAnsi="Times New Roman" w:cs="Times New Roman"/>
        <w:sz w:val="20"/>
        <w:szCs w:val="20"/>
      </w:rPr>
      <w:fldChar w:fldCharType="end"/>
    </w:r>
    <w:r w:rsidRPr="00CB4668">
      <w:rPr>
        <w:rStyle w:val="PageNumber"/>
        <w:rFonts w:ascii="Times New Roman" w:hAnsi="Times New Roman" w:cs="Times New Roman"/>
        <w:sz w:val="20"/>
        <w:szCs w:val="20"/>
      </w:rPr>
      <w:t xml:space="preserve"> / </w:t>
    </w:r>
    <w:r w:rsidRPr="00CB4668">
      <w:rPr>
        <w:rStyle w:val="PageNumber"/>
        <w:rFonts w:ascii="Times New Roman" w:hAnsi="Times New Roman" w:cs="Times New Roman"/>
        <w:sz w:val="20"/>
        <w:szCs w:val="20"/>
      </w:rPr>
      <w:fldChar w:fldCharType="begin"/>
    </w:r>
    <w:r w:rsidRPr="00CB4668">
      <w:rPr>
        <w:rStyle w:val="PageNumber"/>
        <w:rFonts w:ascii="Times New Roman" w:hAnsi="Times New Roman" w:cs="Times New Roman"/>
        <w:sz w:val="20"/>
        <w:szCs w:val="20"/>
      </w:rPr>
      <w:instrText xml:space="preserve"> NUMPAGES </w:instrText>
    </w:r>
    <w:r w:rsidRPr="00CB4668">
      <w:rPr>
        <w:rStyle w:val="PageNumber"/>
        <w:rFonts w:ascii="Times New Roman" w:hAnsi="Times New Roman" w:cs="Times New Roman"/>
        <w:sz w:val="20"/>
        <w:szCs w:val="20"/>
      </w:rPr>
      <w:fldChar w:fldCharType="separate"/>
    </w:r>
    <w:r w:rsidR="00926D16">
      <w:rPr>
        <w:rStyle w:val="PageNumber"/>
        <w:rFonts w:ascii="Times New Roman" w:hAnsi="Times New Roman" w:cs="Times New Roman"/>
        <w:noProof/>
        <w:sz w:val="20"/>
        <w:szCs w:val="20"/>
      </w:rPr>
      <w:t>10</w:t>
    </w:r>
    <w:r w:rsidRPr="00CB4668">
      <w:rPr>
        <w:rStyle w:val="PageNumbe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DC3" w:rsidRDefault="00202DC3">
      <w:pPr>
        <w:spacing w:after="0" w:line="240" w:lineRule="auto"/>
      </w:pPr>
      <w:r>
        <w:separator/>
      </w:r>
    </w:p>
  </w:footnote>
  <w:footnote w:type="continuationSeparator" w:id="0">
    <w:p w:rsidR="00202DC3" w:rsidRDefault="00202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668" w:rsidRDefault="00CB4668" w:rsidP="00CB4668">
    <w:pPr>
      <w:pStyle w:val="Header"/>
      <w:rPr>
        <w:sz w:val="16"/>
        <w:szCs w:val="16"/>
      </w:rPr>
    </w:pPr>
  </w:p>
  <w:p w:rsidR="00540AA0" w:rsidRPr="00CB4668" w:rsidRDefault="00CB4668" w:rsidP="00CB4668">
    <w:pPr>
      <w:pStyle w:val="Header"/>
      <w:pBdr>
        <w:top w:val="thinThickSmallGap" w:sz="24" w:space="2" w:color="auto"/>
      </w:pBdr>
    </w:pPr>
    <w:r>
      <w:rPr>
        <w:noProof/>
        <w:sz w:val="16"/>
        <w:szCs w:val="16"/>
        <w:lang w:val="sr-Latn-ME" w:eastAsia="sr-Latn-ME"/>
      </w:rPr>
      <w:drawing>
        <wp:inline distT="0" distB="0" distL="0" distR="0" wp14:anchorId="487EA6CD" wp14:editId="3DD1E7F4">
          <wp:extent cx="1415415" cy="970280"/>
          <wp:effectExtent l="0" t="0" r="0" b="127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5415" cy="9702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A5CF9"/>
    <w:multiLevelType w:val="hybridMultilevel"/>
    <w:tmpl w:val="1C8C7FB6"/>
    <w:lvl w:ilvl="0" w:tplc="52A4C6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94134D"/>
    <w:multiLevelType w:val="hybridMultilevel"/>
    <w:tmpl w:val="77045C02"/>
    <w:lvl w:ilvl="0" w:tplc="52A4C6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C3"/>
    <w:rsid w:val="001C13CE"/>
    <w:rsid w:val="00202DC3"/>
    <w:rsid w:val="002728B8"/>
    <w:rsid w:val="00523AD3"/>
    <w:rsid w:val="00534703"/>
    <w:rsid w:val="00580286"/>
    <w:rsid w:val="005D2400"/>
    <w:rsid w:val="006465AD"/>
    <w:rsid w:val="007071C3"/>
    <w:rsid w:val="00847FEB"/>
    <w:rsid w:val="0088060F"/>
    <w:rsid w:val="008E45C5"/>
    <w:rsid w:val="00926D16"/>
    <w:rsid w:val="00A70780"/>
    <w:rsid w:val="00A8337C"/>
    <w:rsid w:val="00AA6DF1"/>
    <w:rsid w:val="00CB4668"/>
    <w:rsid w:val="00DC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5D2400"/>
    <w:pPr>
      <w:tabs>
        <w:tab w:val="center" w:pos="4702"/>
        <w:tab w:val="right" w:pos="9405"/>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5D2400"/>
  </w:style>
  <w:style w:type="paragraph" w:styleId="Footer">
    <w:name w:val="footer"/>
    <w:basedOn w:val="Normal"/>
    <w:link w:val="FooterChar"/>
    <w:unhideWhenUsed/>
    <w:rsid w:val="005D2400"/>
    <w:pPr>
      <w:tabs>
        <w:tab w:val="center" w:pos="4702"/>
        <w:tab w:val="right" w:pos="9405"/>
      </w:tabs>
      <w:spacing w:after="0" w:line="240" w:lineRule="auto"/>
    </w:pPr>
  </w:style>
  <w:style w:type="character" w:customStyle="1" w:styleId="FooterChar">
    <w:name w:val="Footer Char"/>
    <w:basedOn w:val="DefaultParagraphFont"/>
    <w:link w:val="Footer"/>
    <w:uiPriority w:val="99"/>
    <w:rsid w:val="005D2400"/>
  </w:style>
  <w:style w:type="character" w:styleId="PageNumber">
    <w:name w:val="page number"/>
    <w:basedOn w:val="DefaultParagraphFont"/>
    <w:rsid w:val="005D2400"/>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CB4668"/>
    <w:rPr>
      <w:lang w:val="en-US" w:eastAsia="en-US" w:bidi="ar-SA"/>
    </w:rPr>
  </w:style>
  <w:style w:type="paragraph" w:styleId="BalloonText">
    <w:name w:val="Balloon Text"/>
    <w:basedOn w:val="Normal"/>
    <w:link w:val="BalloonTextChar"/>
    <w:uiPriority w:val="99"/>
    <w:semiHidden/>
    <w:unhideWhenUsed/>
    <w:rsid w:val="00CB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6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5D2400"/>
    <w:pPr>
      <w:tabs>
        <w:tab w:val="center" w:pos="4702"/>
        <w:tab w:val="right" w:pos="9405"/>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5D2400"/>
  </w:style>
  <w:style w:type="paragraph" w:styleId="Footer">
    <w:name w:val="footer"/>
    <w:basedOn w:val="Normal"/>
    <w:link w:val="FooterChar"/>
    <w:unhideWhenUsed/>
    <w:rsid w:val="005D2400"/>
    <w:pPr>
      <w:tabs>
        <w:tab w:val="center" w:pos="4702"/>
        <w:tab w:val="right" w:pos="9405"/>
      </w:tabs>
      <w:spacing w:after="0" w:line="240" w:lineRule="auto"/>
    </w:pPr>
  </w:style>
  <w:style w:type="character" w:customStyle="1" w:styleId="FooterChar">
    <w:name w:val="Footer Char"/>
    <w:basedOn w:val="DefaultParagraphFont"/>
    <w:link w:val="Footer"/>
    <w:uiPriority w:val="99"/>
    <w:rsid w:val="005D2400"/>
  </w:style>
  <w:style w:type="character" w:styleId="PageNumber">
    <w:name w:val="page number"/>
    <w:basedOn w:val="DefaultParagraphFont"/>
    <w:rsid w:val="005D2400"/>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CB4668"/>
    <w:rPr>
      <w:lang w:val="en-US" w:eastAsia="en-US" w:bidi="ar-SA"/>
    </w:rPr>
  </w:style>
  <w:style w:type="paragraph" w:styleId="BalloonText">
    <w:name w:val="Balloon Text"/>
    <w:basedOn w:val="Normal"/>
    <w:link w:val="BalloonTextChar"/>
    <w:uiPriority w:val="99"/>
    <w:semiHidden/>
    <w:unhideWhenUsed/>
    <w:rsid w:val="00CB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6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2926</Words>
  <Characters>16681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19568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Madzgalj, Dragomir (Ext)</dc:creator>
  <cp:lastModifiedBy>Stanislava Vukovic</cp:lastModifiedBy>
  <cp:revision>24</cp:revision>
  <dcterms:created xsi:type="dcterms:W3CDTF">2014-10-01T08:45:00Z</dcterms:created>
  <dcterms:modified xsi:type="dcterms:W3CDTF">2014-10-02T07:24:00Z</dcterms:modified>
</cp:coreProperties>
</file>