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ED" w:rsidRPr="00A17652" w:rsidRDefault="006D50ED" w:rsidP="006D50ED">
      <w:pPr>
        <w:tabs>
          <w:tab w:val="left" w:pos="284"/>
        </w:tabs>
        <w:spacing w:before="1000" w:after="0" w:line="240" w:lineRule="auto"/>
        <w:rPr>
          <w:rFonts w:ascii="Times New Roman" w:eastAsia="Times New Roman" w:hAnsi="Times New Roman" w:cs="Arial"/>
          <w:szCs w:val="24"/>
          <w:lang w:val="sr-Latn-ME"/>
        </w:rPr>
      </w:pPr>
    </w:p>
    <w:tbl>
      <w:tblPr>
        <w:tblW w:w="9360" w:type="dxa"/>
        <w:jc w:val="center"/>
        <w:tblLayout w:type="fixed"/>
        <w:tblLook w:val="0000" w:firstRow="0" w:lastRow="0" w:firstColumn="0" w:lastColumn="0" w:noHBand="0" w:noVBand="0"/>
      </w:tblPr>
      <w:tblGrid>
        <w:gridCol w:w="2160"/>
        <w:gridCol w:w="7200"/>
      </w:tblGrid>
      <w:tr w:rsidR="006D50ED" w:rsidRPr="00A17652" w:rsidTr="00143891">
        <w:trPr>
          <w:trHeight w:val="530"/>
          <w:jc w:val="center"/>
        </w:trPr>
        <w:tc>
          <w:tcPr>
            <w:tcW w:w="9360" w:type="dxa"/>
            <w:gridSpan w:val="2"/>
            <w:vAlign w:val="center"/>
          </w:tcPr>
          <w:p w:rsidR="006D50ED" w:rsidRPr="00A17652" w:rsidRDefault="006D50ED" w:rsidP="006D50ED">
            <w:pPr>
              <w:tabs>
                <w:tab w:val="left" w:pos="284"/>
              </w:tabs>
              <w:spacing w:after="0" w:line="240" w:lineRule="auto"/>
              <w:jc w:val="center"/>
              <w:rPr>
                <w:rFonts w:ascii="Times New Roman" w:eastAsia="Times New Roman" w:hAnsi="Times New Roman" w:cs="Times New Roman"/>
                <w:b/>
                <w:bCs/>
                <w:i/>
                <w:iCs/>
                <w:u w:val="single"/>
                <w:lang w:val="sr-Latn-ME"/>
              </w:rPr>
            </w:pPr>
            <w:r w:rsidRPr="00A17652">
              <w:rPr>
                <w:rFonts w:ascii="Times New Roman" w:eastAsia="Times New Roman" w:hAnsi="Times New Roman" w:cs="Times New Roman"/>
                <w:b/>
                <w:bCs/>
                <w:i/>
                <w:iCs/>
                <w:u w:val="single"/>
                <w:lang w:val="sr-Latn-ME"/>
              </w:rPr>
              <w:t>SAŽETAK KARAKTERISTIKA LIJEKA</w:t>
            </w:r>
          </w:p>
        </w:tc>
      </w:tr>
      <w:tr w:rsidR="006D50ED" w:rsidRPr="00A17652" w:rsidTr="00143891">
        <w:trPr>
          <w:trHeight w:val="1969"/>
          <w:jc w:val="center"/>
        </w:trPr>
        <w:tc>
          <w:tcPr>
            <w:tcW w:w="9360" w:type="dxa"/>
            <w:gridSpan w:val="2"/>
            <w:vAlign w:val="bottom"/>
          </w:tcPr>
          <w:p w:rsidR="006D50ED" w:rsidRPr="00A17652" w:rsidRDefault="006D50ED" w:rsidP="006D50ED">
            <w:pPr>
              <w:tabs>
                <w:tab w:val="left" w:pos="284"/>
              </w:tabs>
              <w:spacing w:after="0" w:line="240" w:lineRule="auto"/>
              <w:jc w:val="center"/>
              <w:rPr>
                <w:rFonts w:ascii="Times New Roman" w:eastAsia="Times New Roman" w:hAnsi="Times New Roman" w:cs="Times New Roman"/>
                <w:b/>
                <w:bCs/>
                <w:u w:val="single"/>
                <w:lang w:val="sr-Latn-ME"/>
              </w:rPr>
            </w:pPr>
          </w:p>
        </w:tc>
      </w:tr>
      <w:tr w:rsidR="006D50ED" w:rsidRPr="00A17652" w:rsidTr="00143891">
        <w:trPr>
          <w:trHeight w:val="1225"/>
          <w:jc w:val="center"/>
        </w:trPr>
        <w:tc>
          <w:tcPr>
            <w:tcW w:w="9360" w:type="dxa"/>
            <w:gridSpan w:val="2"/>
          </w:tcPr>
          <w:p w:rsidR="00143891" w:rsidRDefault="006D50ED" w:rsidP="00143891">
            <w:pPr>
              <w:autoSpaceDE w:val="0"/>
              <w:autoSpaceDN w:val="0"/>
              <w:adjustRightInd w:val="0"/>
              <w:spacing w:after="0" w:line="240" w:lineRule="auto"/>
              <w:jc w:val="center"/>
              <w:rPr>
                <w:rFonts w:ascii="Times New Roman" w:eastAsia="TimesNewRoman" w:hAnsi="Times New Roman" w:cs="Times New Roman"/>
                <w:b/>
                <w:lang w:val="sr-Latn-ME" w:eastAsia="zh-TW"/>
              </w:rPr>
            </w:pPr>
            <w:r w:rsidRPr="00A17652">
              <w:rPr>
                <w:rFonts w:ascii="Times New Roman" w:eastAsia="Times New Roman" w:hAnsi="Times New Roman" w:cs="Times New Roman"/>
                <w:b/>
                <w:bCs/>
                <w:lang w:val="sr-Latn-ME" w:eastAsia="zh-TW"/>
              </w:rPr>
              <w:t xml:space="preserve">Piramil®, tablete, </w:t>
            </w:r>
            <w:r w:rsidRPr="00A17652">
              <w:rPr>
                <w:rFonts w:ascii="Times New Roman" w:eastAsia="TimesNewRoman" w:hAnsi="Times New Roman" w:cs="Times New Roman"/>
                <w:b/>
                <w:lang w:val="sr-Latn-ME" w:eastAsia="zh-TW"/>
              </w:rPr>
              <w:t>2,5mg</w:t>
            </w:r>
          </w:p>
          <w:p w:rsidR="006D50ED" w:rsidRPr="00A17652" w:rsidRDefault="006D50ED" w:rsidP="00143891">
            <w:pPr>
              <w:autoSpaceDE w:val="0"/>
              <w:autoSpaceDN w:val="0"/>
              <w:adjustRightInd w:val="0"/>
              <w:spacing w:after="0" w:line="240" w:lineRule="auto"/>
              <w:jc w:val="center"/>
              <w:rPr>
                <w:rFonts w:ascii="Times New Roman" w:eastAsia="TimesNewRoman" w:hAnsi="Times New Roman" w:cs="Times New Roman"/>
                <w:b/>
                <w:lang w:val="sr-Latn-ME" w:eastAsia="zh-TW"/>
              </w:rPr>
            </w:pPr>
            <w:bookmarkStart w:id="0" w:name="_GoBack"/>
            <w:bookmarkEnd w:id="0"/>
            <w:r w:rsidRPr="00A17652">
              <w:rPr>
                <w:rFonts w:ascii="Times New Roman" w:eastAsia="Times New Roman" w:hAnsi="Times New Roman" w:cs="Times New Roman"/>
                <w:b/>
                <w:bCs/>
                <w:lang w:val="sr-Latn-ME" w:eastAsia="zh-TW"/>
              </w:rPr>
              <w:t xml:space="preserve">Piramil®, </w:t>
            </w:r>
            <w:r w:rsidRPr="00A17652">
              <w:rPr>
                <w:rFonts w:ascii="Times New Roman" w:eastAsia="TimesNewRoman" w:hAnsi="Times New Roman" w:cs="Times New Roman"/>
                <w:b/>
                <w:lang w:val="sr-Latn-ME" w:eastAsia="zh-TW"/>
              </w:rPr>
              <w:t xml:space="preserve"> tablete, 5mg</w:t>
            </w:r>
          </w:p>
          <w:p w:rsidR="006D50ED" w:rsidRPr="00A17652" w:rsidRDefault="006D50ED" w:rsidP="00143891">
            <w:pPr>
              <w:tabs>
                <w:tab w:val="left" w:pos="284"/>
              </w:tabs>
              <w:spacing w:after="0" w:line="240" w:lineRule="auto"/>
              <w:jc w:val="center"/>
              <w:rPr>
                <w:rFonts w:ascii="Humanist777" w:eastAsia="Times New Roman" w:hAnsi="Humanist777" w:cs="Times New Roman"/>
                <w:sz w:val="24"/>
                <w:szCs w:val="24"/>
                <w:lang w:val="sr-Latn-ME"/>
              </w:rPr>
            </w:pPr>
            <w:r w:rsidRPr="00A17652">
              <w:rPr>
                <w:rFonts w:ascii="Times New Roman" w:eastAsia="Times New Roman" w:hAnsi="Times New Roman" w:cs="Times New Roman"/>
                <w:iCs/>
                <w:lang w:val="sr-Latn-ME" w:eastAsia="zh-TW"/>
              </w:rPr>
              <w:t>Pakovanje: ukupno 28 kom, blister, 4x7</w:t>
            </w:r>
          </w:p>
        </w:tc>
      </w:tr>
      <w:tr w:rsidR="006D50ED" w:rsidRPr="00A17652" w:rsidTr="00143891">
        <w:trPr>
          <w:trHeight w:val="435"/>
          <w:jc w:val="center"/>
        </w:trPr>
        <w:tc>
          <w:tcPr>
            <w:tcW w:w="2160" w:type="dxa"/>
            <w:vAlign w:val="bottom"/>
          </w:tcPr>
          <w:p w:rsidR="006D50ED" w:rsidRPr="00A17652" w:rsidRDefault="006D50ED" w:rsidP="006D50ED">
            <w:pPr>
              <w:tabs>
                <w:tab w:val="left" w:pos="284"/>
              </w:tabs>
              <w:spacing w:after="0" w:line="240" w:lineRule="auto"/>
              <w:jc w:val="right"/>
              <w:rPr>
                <w:rFonts w:ascii="Times New Roman" w:eastAsia="Times New Roman" w:hAnsi="Times New Roman" w:cs="Times New Roman"/>
                <w:lang w:val="sr-Latn-ME"/>
              </w:rPr>
            </w:pPr>
            <w:r w:rsidRPr="00A17652">
              <w:rPr>
                <w:rFonts w:ascii="Times New Roman" w:eastAsia="Times New Roman" w:hAnsi="Times New Roman" w:cs="Times New Roman"/>
                <w:lang w:val="sr-Latn-ME"/>
              </w:rPr>
              <w:t>Proizvođač:</w:t>
            </w:r>
          </w:p>
        </w:tc>
        <w:tc>
          <w:tcPr>
            <w:tcW w:w="7200" w:type="dxa"/>
            <w:vAlign w:val="bottom"/>
          </w:tcPr>
          <w:p w:rsidR="006D50ED" w:rsidRPr="00A17652" w:rsidRDefault="006D50ED" w:rsidP="006D50ED">
            <w:pPr>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Lek S.A.</w:t>
            </w:r>
            <w:r w:rsidR="000C3EBF">
              <w:rPr>
                <w:rFonts w:ascii="Times New Roman" w:eastAsia="Times New Roman" w:hAnsi="Times New Roman" w:cs="Times New Roman"/>
                <w:b/>
                <w:bCs/>
                <w:lang w:val="sr-Latn-ME"/>
              </w:rPr>
              <w:t xml:space="preserve"> </w:t>
            </w:r>
          </w:p>
        </w:tc>
      </w:tr>
      <w:tr w:rsidR="006D50ED" w:rsidRPr="00A17652" w:rsidTr="00143891">
        <w:trPr>
          <w:trHeight w:val="360"/>
          <w:jc w:val="center"/>
        </w:trPr>
        <w:tc>
          <w:tcPr>
            <w:tcW w:w="2160" w:type="dxa"/>
            <w:vAlign w:val="bottom"/>
          </w:tcPr>
          <w:p w:rsidR="006D50ED" w:rsidRPr="00A17652" w:rsidRDefault="006D50ED" w:rsidP="006D50ED">
            <w:pPr>
              <w:tabs>
                <w:tab w:val="left" w:pos="284"/>
              </w:tabs>
              <w:spacing w:after="0" w:line="240" w:lineRule="auto"/>
              <w:jc w:val="right"/>
              <w:rPr>
                <w:rFonts w:ascii="Times New Roman" w:eastAsia="Times New Roman" w:hAnsi="Times New Roman" w:cs="Times New Roman"/>
                <w:lang w:val="sr-Latn-ME"/>
              </w:rPr>
            </w:pPr>
            <w:r w:rsidRPr="00A17652">
              <w:rPr>
                <w:rFonts w:ascii="Times New Roman" w:eastAsia="Times New Roman" w:hAnsi="Times New Roman" w:cs="Times New Roman"/>
                <w:lang w:val="sr-Latn-ME"/>
              </w:rPr>
              <w:t>Adresa:</w:t>
            </w:r>
          </w:p>
        </w:tc>
        <w:tc>
          <w:tcPr>
            <w:tcW w:w="7200" w:type="dxa"/>
            <w:vAlign w:val="bottom"/>
          </w:tcPr>
          <w:p w:rsidR="000C3EBF" w:rsidRDefault="000C3EBF" w:rsidP="006D50ED">
            <w:pPr>
              <w:spacing w:after="0" w:line="240" w:lineRule="auto"/>
              <w:rPr>
                <w:rFonts w:ascii="Times New Roman" w:eastAsia="Times New Roman" w:hAnsi="Times New Roman" w:cs="Times New Roman"/>
                <w:b/>
                <w:bCs/>
                <w:lang w:val="sr-Latn-ME"/>
              </w:rPr>
            </w:pPr>
          </w:p>
          <w:p w:rsidR="006D50ED" w:rsidRDefault="006D50ED" w:rsidP="006D50ED">
            <w:pPr>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Podlipie 16, Strykow, Poljska</w:t>
            </w:r>
          </w:p>
          <w:p w:rsidR="000C3EBF" w:rsidRPr="00A17652" w:rsidRDefault="000C3EBF" w:rsidP="006D50ED">
            <w:pPr>
              <w:spacing w:after="0" w:line="240" w:lineRule="auto"/>
              <w:rPr>
                <w:rFonts w:ascii="Times New Roman" w:eastAsia="Times New Roman" w:hAnsi="Times New Roman" w:cs="Times New Roman"/>
                <w:b/>
                <w:bCs/>
                <w:lang w:val="sr-Latn-ME"/>
              </w:rPr>
            </w:pPr>
            <w:r w:rsidRPr="000C3EBF">
              <w:rPr>
                <w:rFonts w:ascii="Times New Roman" w:eastAsia="Times New Roman" w:hAnsi="Times New Roman" w:cs="Times New Roman"/>
                <w:b/>
                <w:bCs/>
                <w:lang w:val="sr-Latn-ME"/>
              </w:rPr>
              <w:t>Domaniewska 50 C, Warszawa, Poljska</w:t>
            </w:r>
          </w:p>
        </w:tc>
      </w:tr>
      <w:tr w:rsidR="006D50ED" w:rsidRPr="00A17652" w:rsidTr="00143891">
        <w:trPr>
          <w:trHeight w:val="356"/>
          <w:jc w:val="center"/>
        </w:trPr>
        <w:tc>
          <w:tcPr>
            <w:tcW w:w="2160" w:type="dxa"/>
            <w:vAlign w:val="bottom"/>
          </w:tcPr>
          <w:p w:rsidR="006D50ED" w:rsidRPr="00A17652" w:rsidRDefault="006D50ED" w:rsidP="006D50ED">
            <w:pPr>
              <w:tabs>
                <w:tab w:val="left" w:pos="284"/>
              </w:tabs>
              <w:spacing w:after="0" w:line="240" w:lineRule="auto"/>
              <w:jc w:val="right"/>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Podnosilac zahtjeva:</w:t>
            </w:r>
          </w:p>
        </w:tc>
        <w:tc>
          <w:tcPr>
            <w:tcW w:w="7200" w:type="dxa"/>
            <w:vAlign w:val="bottom"/>
          </w:tcPr>
          <w:p w:rsidR="006D50ED" w:rsidRPr="00A17652" w:rsidRDefault="006D50ED" w:rsidP="006D50ED">
            <w:pPr>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Glosarij d.o.o.</w:t>
            </w:r>
          </w:p>
        </w:tc>
      </w:tr>
      <w:tr w:rsidR="006D50ED" w:rsidRPr="00A17652" w:rsidTr="00143891">
        <w:trPr>
          <w:trHeight w:val="353"/>
          <w:jc w:val="center"/>
        </w:trPr>
        <w:tc>
          <w:tcPr>
            <w:tcW w:w="2160" w:type="dxa"/>
            <w:vAlign w:val="bottom"/>
          </w:tcPr>
          <w:p w:rsidR="006D50ED" w:rsidRPr="00A17652" w:rsidRDefault="006D50ED" w:rsidP="006D50ED">
            <w:pPr>
              <w:tabs>
                <w:tab w:val="left" w:pos="284"/>
              </w:tabs>
              <w:spacing w:after="0" w:line="240" w:lineRule="auto"/>
              <w:jc w:val="right"/>
              <w:rPr>
                <w:rFonts w:ascii="Times New Roman" w:eastAsia="Times New Roman" w:hAnsi="Times New Roman" w:cs="Times New Roman"/>
                <w:lang w:val="sr-Latn-ME"/>
              </w:rPr>
            </w:pPr>
            <w:r w:rsidRPr="00A17652">
              <w:rPr>
                <w:rFonts w:ascii="Times New Roman" w:eastAsia="Times New Roman" w:hAnsi="Times New Roman" w:cs="Times New Roman"/>
                <w:lang w:val="sr-Latn-ME"/>
              </w:rPr>
              <w:t>Adresa:</w:t>
            </w:r>
          </w:p>
        </w:tc>
        <w:tc>
          <w:tcPr>
            <w:tcW w:w="7200" w:type="dxa"/>
            <w:vAlign w:val="bottom"/>
          </w:tcPr>
          <w:p w:rsidR="006D50ED" w:rsidRPr="00A17652" w:rsidRDefault="006D50ED" w:rsidP="006D50ED">
            <w:pPr>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Ul Vojislavljevića 76, Podgorica</w:t>
            </w:r>
          </w:p>
        </w:tc>
      </w:tr>
    </w:tbl>
    <w:p w:rsidR="006D50ED" w:rsidRPr="00A17652" w:rsidRDefault="006D50ED" w:rsidP="006D50ED">
      <w:pPr>
        <w:tabs>
          <w:tab w:val="left" w:pos="284"/>
        </w:tabs>
        <w:spacing w:after="0" w:line="240" w:lineRule="auto"/>
        <w:jc w:val="both"/>
        <w:rPr>
          <w:rFonts w:ascii="Times New Roman" w:eastAsia="Times New Roman" w:hAnsi="Times New Roman" w:cs="Times New Roman"/>
          <w:lang w:val="sr-Latn-ME"/>
        </w:rPr>
      </w:pPr>
    </w:p>
    <w:p w:rsidR="006D50ED" w:rsidRPr="00A17652" w:rsidRDefault="006D50ED" w:rsidP="006D50ED">
      <w:pPr>
        <w:tabs>
          <w:tab w:val="left" w:pos="284"/>
        </w:tabs>
        <w:spacing w:before="40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lang w:val="sr-Latn-ME"/>
        </w:rPr>
        <w:br w:type="page"/>
      </w:r>
    </w:p>
    <w:p w:rsidR="000C0237" w:rsidRPr="00A17652" w:rsidRDefault="000C0237" w:rsidP="006D50ED">
      <w:pPr>
        <w:tabs>
          <w:tab w:val="left" w:pos="284"/>
        </w:tabs>
        <w:spacing w:after="0" w:line="240" w:lineRule="auto"/>
        <w:jc w:val="both"/>
        <w:rPr>
          <w:rFonts w:ascii="Times New Roman" w:eastAsia="Times New Roman" w:hAnsi="Times New Roman" w:cs="Times New Roman"/>
          <w:b/>
          <w:bCs/>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1. NAZIV LIJEKA</w:t>
      </w:r>
    </w:p>
    <w:p w:rsidR="000C0237" w:rsidRPr="00A17652" w:rsidRDefault="000C0237" w:rsidP="006D50ED">
      <w:pPr>
        <w:tabs>
          <w:tab w:val="left" w:pos="284"/>
        </w:tabs>
        <w:spacing w:after="0" w:line="240" w:lineRule="auto"/>
        <w:rPr>
          <w:rFonts w:ascii="Times New Roman" w:eastAsia="Times New Roman" w:hAnsi="Times New Roman" w:cs="Times New Roman"/>
          <w:b/>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Piramil® 2,5 mg tablete</w:t>
      </w:r>
    </w:p>
    <w:p w:rsidR="000C0237" w:rsidRPr="00A17652" w:rsidRDefault="000C0237" w:rsidP="006D50ED">
      <w:pPr>
        <w:tabs>
          <w:tab w:val="left" w:pos="284"/>
        </w:tabs>
        <w:spacing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Piramil® 5 mg tablete</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INN:</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Ramipril</w:t>
      </w: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2. KVALITATIVNI I KVANTITATIVNI SASTAV</w:t>
      </w:r>
    </w:p>
    <w:p w:rsidR="000C0237" w:rsidRPr="00A17652" w:rsidRDefault="000C0237" w:rsidP="006D50ED">
      <w:pPr>
        <w:tabs>
          <w:tab w:val="left" w:pos="284"/>
        </w:tabs>
        <w:spacing w:after="0" w:line="240" w:lineRule="auto"/>
        <w:rPr>
          <w:rFonts w:ascii="Times New Roman" w:eastAsia="Times New Roman" w:hAnsi="Times New Roman" w:cs="Times New Roman"/>
          <w:u w:val="single"/>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Piramil® 2,5 mg tablete</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Jedna tableta sadrži: 2,5 mg ramiprila.</w:t>
      </w:r>
    </w:p>
    <w:p w:rsidR="0090101A" w:rsidRPr="00A17652" w:rsidRDefault="0090101A" w:rsidP="006D50ED">
      <w:pPr>
        <w:tabs>
          <w:tab w:val="left" w:pos="284"/>
        </w:tabs>
        <w:spacing w:after="0" w:line="240" w:lineRule="auto"/>
        <w:jc w:val="both"/>
        <w:rPr>
          <w:rFonts w:ascii="Times New Roman" w:eastAsia="Times New Roman" w:hAnsi="Times New Roman" w:cs="Times New Roman"/>
          <w:u w:val="single"/>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Piramil® 5 mg tablete</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Jedna tableta sadrži: 5 mg ramiprila.</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Za listu svih pomoćnih supstanci, vidjeti odjeljak 6.1.</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90101A" w:rsidRPr="00A17652" w:rsidRDefault="0090101A"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3. FARMACEUTSKI OBLIK</w:t>
      </w:r>
    </w:p>
    <w:p w:rsidR="0090101A" w:rsidRPr="00A17652" w:rsidRDefault="0090101A" w:rsidP="006D50ED">
      <w:pPr>
        <w:autoSpaceDE w:val="0"/>
        <w:autoSpaceDN w:val="0"/>
        <w:adjustRightInd w:val="0"/>
        <w:spacing w:after="0" w:line="240" w:lineRule="auto"/>
        <w:rPr>
          <w:rFonts w:ascii="Times New Roman" w:eastAsia="Times New Roman" w:hAnsi="Times New Roman" w:cs="Times New Roman"/>
          <w:i/>
          <w:iCs/>
          <w:lang w:val="sr-Latn-ME" w:eastAsia="zh-TW"/>
        </w:rPr>
      </w:pPr>
    </w:p>
    <w:p w:rsidR="000C0237" w:rsidRPr="00A17652" w:rsidRDefault="000C0237" w:rsidP="006D50ED">
      <w:pPr>
        <w:autoSpaceDE w:val="0"/>
        <w:autoSpaceDN w:val="0"/>
        <w:adjustRightInd w:val="0"/>
        <w:spacing w:after="0" w:line="240" w:lineRule="auto"/>
        <w:rPr>
          <w:rFonts w:ascii="Times New Roman" w:eastAsia="Times New Roman" w:hAnsi="Times New Roman" w:cs="Times New Roman"/>
          <w:i/>
          <w:iCs/>
          <w:lang w:val="sr-Latn-ME" w:eastAsia="zh-TW"/>
        </w:rPr>
      </w:pPr>
      <w:r w:rsidRPr="00A17652">
        <w:rPr>
          <w:rFonts w:ascii="Times New Roman" w:eastAsia="Times New Roman" w:hAnsi="Times New Roman" w:cs="Times New Roman"/>
          <w:i/>
          <w:iCs/>
          <w:lang w:val="sr-Latn-ME" w:eastAsia="zh-TW"/>
        </w:rPr>
        <w:t>Piramil, 2,5 mg, tablete:</w:t>
      </w:r>
    </w:p>
    <w:p w:rsidR="000C0237" w:rsidRPr="00A17652" w:rsidRDefault="000C0237" w:rsidP="006D50ED">
      <w:pPr>
        <w:autoSpaceDE w:val="0"/>
        <w:autoSpaceDN w:val="0"/>
        <w:adjustRightInd w:val="0"/>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Tablete, oblika kapsule, svijetlo žute boje, sa jedva primjetnim mrljama, koje sa jedne strane imaju utisnutu</w:t>
      </w:r>
    </w:p>
    <w:p w:rsidR="000C0237" w:rsidRPr="00A17652" w:rsidRDefault="000C0237" w:rsidP="006D50ED">
      <w:pPr>
        <w:autoSpaceDE w:val="0"/>
        <w:autoSpaceDN w:val="0"/>
        <w:adjustRightInd w:val="0"/>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podionu crtu.Podiona crta ne služi za  dijeljenja tableta u svrhu doziranja, već samo u cilju lakšeg uzimanja tableta.</w:t>
      </w:r>
    </w:p>
    <w:p w:rsidR="0090101A" w:rsidRPr="00A17652" w:rsidRDefault="0090101A" w:rsidP="006D50ED">
      <w:pPr>
        <w:autoSpaceDE w:val="0"/>
        <w:autoSpaceDN w:val="0"/>
        <w:adjustRightInd w:val="0"/>
        <w:spacing w:after="0" w:line="240" w:lineRule="auto"/>
        <w:rPr>
          <w:rFonts w:ascii="Times New Roman" w:eastAsia="Times New Roman" w:hAnsi="Times New Roman" w:cs="Times New Roman"/>
          <w:i/>
          <w:iCs/>
          <w:lang w:val="sr-Latn-ME" w:eastAsia="zh-TW"/>
        </w:rPr>
      </w:pPr>
    </w:p>
    <w:p w:rsidR="000C0237" w:rsidRPr="00A17652" w:rsidRDefault="000C0237" w:rsidP="006D50ED">
      <w:pPr>
        <w:autoSpaceDE w:val="0"/>
        <w:autoSpaceDN w:val="0"/>
        <w:adjustRightInd w:val="0"/>
        <w:spacing w:after="0" w:line="240" w:lineRule="auto"/>
        <w:rPr>
          <w:rFonts w:ascii="Times New Roman" w:eastAsia="Times New Roman" w:hAnsi="Times New Roman" w:cs="Times New Roman"/>
          <w:i/>
          <w:iCs/>
          <w:lang w:val="sr-Latn-ME" w:eastAsia="zh-TW"/>
        </w:rPr>
      </w:pPr>
      <w:r w:rsidRPr="00A17652">
        <w:rPr>
          <w:rFonts w:ascii="Times New Roman" w:eastAsia="Times New Roman" w:hAnsi="Times New Roman" w:cs="Times New Roman"/>
          <w:i/>
          <w:iCs/>
          <w:lang w:val="sr-Latn-ME" w:eastAsia="zh-TW"/>
        </w:rPr>
        <w:t>Piramil, 5 mg, tablete:</w:t>
      </w:r>
    </w:p>
    <w:p w:rsidR="000C0237" w:rsidRPr="00A17652" w:rsidRDefault="000C0237" w:rsidP="006D50ED">
      <w:pPr>
        <w:autoSpaceDE w:val="0"/>
        <w:autoSpaceDN w:val="0"/>
        <w:adjustRightInd w:val="0"/>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Tablete, oblika kapsule, svijetlo ružičaste boje, sa jedva primjetnim mrljama, koje sa jedne strane imaju</w:t>
      </w:r>
    </w:p>
    <w:p w:rsidR="000C0237" w:rsidRPr="00A17652" w:rsidRDefault="000C0237" w:rsidP="006D50ED">
      <w:pPr>
        <w:tabs>
          <w:tab w:val="left" w:pos="284"/>
        </w:tabs>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utisnutu podionu crtu.</w:t>
      </w:r>
      <w:r w:rsidRPr="00A17652">
        <w:rPr>
          <w:rFonts w:ascii="Humanist777" w:eastAsia="Times New Roman" w:hAnsi="Humanist777" w:cs="Times New Roman"/>
          <w:sz w:val="24"/>
          <w:szCs w:val="24"/>
          <w:lang w:val="sr-Latn-ME"/>
        </w:rPr>
        <w:t xml:space="preserve"> </w:t>
      </w:r>
      <w:r w:rsidRPr="00A17652">
        <w:rPr>
          <w:rFonts w:ascii="Times New Roman" w:eastAsia="TimesNewRoman" w:hAnsi="Times New Roman" w:cs="Times New Roman"/>
          <w:lang w:val="sr-Latn-ME" w:eastAsia="zh-TW"/>
        </w:rPr>
        <w:t>Podiona crta ne služi za  dijeljenja tableta u svrhu doziranja, već samo u cilju lakšeg uzimanja tableta.</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90101A" w:rsidRPr="00A17652" w:rsidRDefault="0090101A"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 KLINIČKI PODACI</w:t>
      </w:r>
    </w:p>
    <w:p w:rsidR="0090101A" w:rsidRPr="00A17652" w:rsidRDefault="0090101A" w:rsidP="006D50ED">
      <w:pPr>
        <w:tabs>
          <w:tab w:val="left" w:pos="284"/>
        </w:tabs>
        <w:spacing w:before="80" w:after="80" w:line="240" w:lineRule="auto"/>
        <w:jc w:val="both"/>
        <w:rPr>
          <w:rFonts w:ascii="Times New Roman" w:eastAsia="Times New Roman" w:hAnsi="Times New Roman" w:cs="Times New Roman"/>
          <w:b/>
          <w:bCs/>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4.1. Terapijske indikacije</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numPr>
          <w:ilvl w:val="0"/>
          <w:numId w:val="7"/>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Terapija esencijalne hipertenzije</w:t>
      </w:r>
    </w:p>
    <w:p w:rsidR="0090101A" w:rsidRPr="00A17652" w:rsidRDefault="000C0237" w:rsidP="006D50ED">
      <w:pPr>
        <w:numPr>
          <w:ilvl w:val="0"/>
          <w:numId w:val="7"/>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Kardiovaskularna prevencija: smanjenje kardiovaskularnog morbiditeta i mor</w:t>
      </w:r>
      <w:r w:rsidR="0090101A" w:rsidRPr="00A17652">
        <w:rPr>
          <w:rFonts w:ascii="Times New Roman" w:eastAsia="TimesNewRoman" w:hAnsi="Times New Roman" w:cs="Times New Roman"/>
          <w:lang w:val="sr-Latn-ME" w:eastAsia="zh-TW"/>
        </w:rPr>
        <w:t xml:space="preserve">taliteta kod pacijenata sa:  </w:t>
      </w:r>
    </w:p>
    <w:p w:rsidR="0090101A" w:rsidRPr="00A17652" w:rsidRDefault="000C0237" w:rsidP="0090101A">
      <w:pPr>
        <w:tabs>
          <w:tab w:val="left" w:pos="284"/>
        </w:tabs>
        <w:autoSpaceDE w:val="0"/>
        <w:autoSpaceDN w:val="0"/>
        <w:adjustRightInd w:val="0"/>
        <w:spacing w:after="0" w:line="240" w:lineRule="auto"/>
        <w:ind w:left="720"/>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manifestnom aterotrombotskom kardiovaskularnom bolešću (koronarna s</w:t>
      </w:r>
      <w:r w:rsidR="0090101A" w:rsidRPr="00A17652">
        <w:rPr>
          <w:rFonts w:ascii="Times New Roman" w:eastAsia="TimesNewRoman" w:hAnsi="Times New Roman" w:cs="Times New Roman"/>
          <w:lang w:val="sr-Latn-ME" w:eastAsia="zh-TW"/>
        </w:rPr>
        <w:t xml:space="preserve">rčana bolest ili moždani  </w:t>
      </w:r>
    </w:p>
    <w:p w:rsidR="000C0237" w:rsidRPr="00A17652" w:rsidRDefault="0090101A" w:rsidP="0090101A">
      <w:pPr>
        <w:tabs>
          <w:tab w:val="left" w:pos="284"/>
        </w:tabs>
        <w:autoSpaceDE w:val="0"/>
        <w:autoSpaceDN w:val="0"/>
        <w:adjustRightInd w:val="0"/>
        <w:spacing w:after="0" w:line="240" w:lineRule="auto"/>
        <w:ind w:left="720"/>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  udar </w:t>
      </w:r>
      <w:r w:rsidR="000C0237" w:rsidRPr="00A17652">
        <w:rPr>
          <w:rFonts w:ascii="Times New Roman" w:eastAsia="TimesNewRoman" w:hAnsi="Times New Roman" w:cs="Times New Roman"/>
          <w:lang w:val="sr-Latn-ME" w:eastAsia="zh-TW"/>
        </w:rPr>
        <w:t>ili periferna vaskularna bolest u anamnezi) ili</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       </w:t>
      </w:r>
      <w:r w:rsidR="0090101A" w:rsidRPr="00A17652">
        <w:rPr>
          <w:rFonts w:ascii="Times New Roman" w:eastAsia="TimesNewRoman" w:hAnsi="Times New Roman" w:cs="Times New Roman"/>
          <w:lang w:val="sr-Latn-ME" w:eastAsia="zh-TW"/>
        </w:rPr>
        <w:tab/>
      </w:r>
      <w:r w:rsidRPr="00A17652">
        <w:rPr>
          <w:rFonts w:ascii="Times New Roman" w:eastAsia="TimesNewRoman" w:hAnsi="Times New Roman" w:cs="Times New Roman"/>
          <w:lang w:val="sr-Latn-ME" w:eastAsia="zh-TW"/>
        </w:rPr>
        <w:t>- dijabetesom sa najmanje jednim kardiovaskularnim faktorom rizika (vidjeti dio 5.1)</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Terapija renalne bolesti:</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       </w:t>
      </w:r>
      <w:r w:rsidR="0090101A" w:rsidRPr="00A17652">
        <w:rPr>
          <w:rFonts w:ascii="Times New Roman" w:eastAsia="TimesNewRoman" w:hAnsi="Times New Roman" w:cs="Times New Roman"/>
          <w:lang w:val="sr-Latn-ME" w:eastAsia="zh-TW"/>
        </w:rPr>
        <w:tab/>
      </w:r>
      <w:r w:rsidRPr="00A17652">
        <w:rPr>
          <w:rFonts w:ascii="Times New Roman" w:eastAsia="TimesNewRoman" w:hAnsi="Times New Roman" w:cs="Times New Roman"/>
          <w:lang w:val="sr-Latn-ME" w:eastAsia="zh-TW"/>
        </w:rPr>
        <w:t>- početna dijabetička glomerularna nefropatija definisana pojavom mikroalbuminurije,</w:t>
      </w:r>
    </w:p>
    <w:p w:rsidR="0090101A" w:rsidRPr="00A17652" w:rsidRDefault="0090101A" w:rsidP="0090101A">
      <w:pPr>
        <w:autoSpaceDE w:val="0"/>
        <w:autoSpaceDN w:val="0"/>
        <w:adjustRightInd w:val="0"/>
        <w:spacing w:after="0" w:line="240" w:lineRule="auto"/>
        <w:ind w:left="993" w:hanging="213"/>
        <w:jc w:val="both"/>
        <w:rPr>
          <w:rFonts w:ascii="Times New Roman" w:eastAsia="TimesNewRoman" w:hAnsi="Times New Roman" w:cs="Times New Roman"/>
          <w:lang w:val="sr-Latn-ME" w:eastAsia="zh-TW"/>
        </w:rPr>
      </w:pPr>
    </w:p>
    <w:p w:rsidR="0090101A" w:rsidRPr="00A17652" w:rsidRDefault="0090101A" w:rsidP="0090101A">
      <w:pPr>
        <w:autoSpaceDE w:val="0"/>
        <w:autoSpaceDN w:val="0"/>
        <w:adjustRightInd w:val="0"/>
        <w:spacing w:after="0" w:line="240" w:lineRule="auto"/>
        <w:ind w:left="993" w:hanging="213"/>
        <w:jc w:val="both"/>
        <w:rPr>
          <w:rFonts w:ascii="Times New Roman" w:eastAsia="TimesNewRoman" w:hAnsi="Times New Roman" w:cs="Times New Roman"/>
          <w:lang w:val="sr-Latn-ME" w:eastAsia="zh-TW"/>
        </w:rPr>
      </w:pPr>
    </w:p>
    <w:p w:rsidR="009E4E7C" w:rsidRDefault="000C0237" w:rsidP="009E4E7C">
      <w:pPr>
        <w:autoSpaceDE w:val="0"/>
        <w:autoSpaceDN w:val="0"/>
        <w:adjustRightInd w:val="0"/>
        <w:spacing w:after="0" w:line="240" w:lineRule="auto"/>
        <w:ind w:left="720"/>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 ispoljena dijabetička glomerularna nefropatija definisana pojavom makroproteinurije kod </w:t>
      </w:r>
      <w:r w:rsidR="009E4E7C">
        <w:rPr>
          <w:rFonts w:ascii="Times New Roman" w:eastAsia="TimesNewRoman" w:hAnsi="Times New Roman" w:cs="Times New Roman"/>
          <w:lang w:val="sr-Latn-ME" w:eastAsia="zh-TW"/>
        </w:rPr>
        <w:t xml:space="preserve">   </w:t>
      </w:r>
    </w:p>
    <w:p w:rsidR="000C0237" w:rsidRPr="00A17652" w:rsidRDefault="009E4E7C" w:rsidP="009E4E7C">
      <w:pPr>
        <w:autoSpaceDE w:val="0"/>
        <w:autoSpaceDN w:val="0"/>
        <w:adjustRightInd w:val="0"/>
        <w:spacing w:after="0" w:line="240" w:lineRule="auto"/>
        <w:ind w:left="720"/>
        <w:jc w:val="both"/>
        <w:rPr>
          <w:rFonts w:ascii="Times New Roman" w:eastAsia="TimesNewRoman" w:hAnsi="Times New Roman" w:cs="Times New Roman"/>
          <w:lang w:val="sr-Latn-ME" w:eastAsia="zh-TW"/>
        </w:rPr>
      </w:pPr>
      <w:r>
        <w:rPr>
          <w:rFonts w:ascii="Times New Roman" w:eastAsia="TimesNewRoman" w:hAnsi="Times New Roman" w:cs="Times New Roman"/>
          <w:lang w:val="sr-Latn-ME" w:eastAsia="zh-TW"/>
        </w:rPr>
        <w:t xml:space="preserve">  </w:t>
      </w:r>
      <w:r w:rsidR="000C0237" w:rsidRPr="00A17652">
        <w:rPr>
          <w:rFonts w:ascii="Times New Roman" w:eastAsia="TimesNewRoman" w:hAnsi="Times New Roman" w:cs="Times New Roman"/>
          <w:lang w:val="sr-Latn-ME" w:eastAsia="zh-TW"/>
        </w:rPr>
        <w:t>pac</w:t>
      </w:r>
      <w:r w:rsidR="0090101A" w:rsidRPr="00A17652">
        <w:rPr>
          <w:rFonts w:ascii="Times New Roman" w:eastAsia="TimesNewRoman" w:hAnsi="Times New Roman" w:cs="Times New Roman"/>
          <w:lang w:val="sr-Latn-ME" w:eastAsia="zh-TW"/>
        </w:rPr>
        <w:t xml:space="preserve">ijenata sa </w:t>
      </w:r>
      <w:r w:rsidR="000C0237" w:rsidRPr="00A17652">
        <w:rPr>
          <w:rFonts w:ascii="Times New Roman" w:eastAsia="TimesNewRoman" w:hAnsi="Times New Roman" w:cs="Times New Roman"/>
          <w:lang w:val="sr-Latn-ME" w:eastAsia="zh-TW"/>
        </w:rPr>
        <w:t>najmanje jednim kardiovaskularnim faktorom rizika (vidjeti dio 5.1).</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             - manifestna nedijabetička glomerularna nefropatija definisane pojavom makroproteinurije ≥3g/dan     </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               (vidjeti dio 5.1)</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Terapija simptomatske srčane insuficijencije.</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Sekundarna prevencija poslije akutnog infarkta miokarda: smanjenje mortaliteta u akutnoj fazi infarkta miokarda kod pacijenata sa kliničkim znacima srčane insuficijencije, kada se primjeni u periodu dužem od 48 sati nakon infarkta miokarda.</w:t>
      </w:r>
    </w:p>
    <w:p w:rsidR="000C0237" w:rsidRPr="00A17652" w:rsidRDefault="000C0237" w:rsidP="006D50ED">
      <w:pPr>
        <w:autoSpaceDE w:val="0"/>
        <w:autoSpaceDN w:val="0"/>
        <w:adjustRightInd w:val="0"/>
        <w:spacing w:after="0" w:line="240" w:lineRule="auto"/>
        <w:jc w:val="both"/>
        <w:rPr>
          <w:rFonts w:ascii="Times New Roman" w:eastAsia="Times New Roman" w:hAnsi="Times New Roman" w:cs="Times New Roman"/>
          <w:bCs/>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4.2. Doziranje i način primjene</w:t>
      </w:r>
    </w:p>
    <w:p w:rsidR="0090101A" w:rsidRPr="00A17652" w:rsidRDefault="0090101A"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Oralna upotreba.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Preporučuje se uzimanje lijeka svakodnevno, uvijek u isto vrijeme.</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Piramil tablete se mogu uzimati prije, tokom ili poslije obroka, zbog toga što prisustvo hrane nema uticaja na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bioraspoloživost (vidjeti dio 5.2 Farmakokinetički podaci). Tablete treba progutati sa malo tečnosti. Tablete ne treba žvakati ni lomiti.</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Cs/>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Cs/>
          <w:u w:val="single"/>
          <w:lang w:val="sr-Latn-ME" w:eastAsia="zh-TW"/>
        </w:rPr>
      </w:pPr>
      <w:r w:rsidRPr="00A17652">
        <w:rPr>
          <w:rFonts w:ascii="Times New Roman" w:eastAsia="TimesNewRoman" w:hAnsi="Times New Roman" w:cs="Times New Roman"/>
          <w:iCs/>
          <w:u w:val="single"/>
          <w:lang w:val="sr-Latn-ME" w:eastAsia="zh-TW"/>
        </w:rPr>
        <w:t>Odrasli</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Cs/>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Pacijenti koji uzimaju diuretike</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Na početku terapije lijekom Piramil može doći do pojave hipotenzije što se češće dešava kod pacijenata koji istovremeno primjenjuju diuretike. Zbog toga se preporučuje oprez,  jer ovi pacijenti mogu imati gubitak soli i/ili volumena. </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Ukoliko je moguće, terapiju diureticima treba prekinuti 2 do 3 dana prije početka primjene lijeka Piramil (vidjeti dio 4.4).</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Kod pacijenata sa hipertenzijom kod kojih terapija diureticima nije obustavljena, terapiju lijekom Piramil treba početi dozom od 1.25 mg. Treba pratiti renalnu funkciju, kao i nivo kalijuma u serumu. Sljedeću dozu treba prilagoditi prema visini željenog krvnog pritiska.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r w:rsidRPr="00A17652">
        <w:rPr>
          <w:rFonts w:ascii="Times New Roman" w:eastAsia="TimesNewRoman" w:hAnsi="Times New Roman" w:cs="Times New Roman"/>
          <w:i/>
          <w:iCs/>
          <w:lang w:val="sr-Latn-ME" w:eastAsia="zh-TW"/>
        </w:rPr>
        <w:t>Arterijska hipertenzija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Dozu treba individualno odrediti u skladu sa profilom pacijenta (vidjeti dio 4.4 Posebna upozorenja i mjere opreza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pri upotrebi lijeka) i adekvatnom kontrolom krvnog pritiska.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Ramipril se može primenjivati kao monoterapija ili u kombinaciji sa drugim grupama antihipertenzivnihljekova.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Početna doza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Terapiju ramiprilom treba uvoditi postepeno, sa početnom preporučenom dnevnom dozom od 2,5 mg.</w:t>
      </w:r>
      <w:r w:rsidRPr="00A17652">
        <w:rPr>
          <w:rFonts w:ascii="Humanist777" w:eastAsia="Times New Roman" w:hAnsi="Humanist777" w:cs="Times New Roman"/>
          <w:sz w:val="24"/>
          <w:szCs w:val="24"/>
          <w:lang w:val="sr-Latn-ME"/>
        </w:rPr>
        <w:t xml:space="preserve"> </w:t>
      </w:r>
      <w:r w:rsidRPr="00A17652">
        <w:rPr>
          <w:rFonts w:ascii="Times New Roman" w:eastAsia="TimesNewRoman" w:hAnsi="Times New Roman" w:cs="Times New Roman"/>
          <w:lang w:val="sr-Latn-ME" w:eastAsia="zh-TW"/>
        </w:rPr>
        <w:t>Kod pacijenata kod kojih je sistem renin-angiotenzin-aldosteron snažno aktiviran, može doći do prevelikog sniženja krvnog pritiska nakon primjene početne doze. Kod ovih pacijenata preporučuje se početna doza od 1.25 mg i terapiju treba započeti pod medicinskim nadzorom (vidjeti dio 4.4).</w:t>
      </w:r>
    </w:p>
    <w:p w:rsidR="000C0237" w:rsidRPr="00A17652" w:rsidRDefault="000C0237" w:rsidP="006D50ED">
      <w:pPr>
        <w:tabs>
          <w:tab w:val="left" w:pos="284"/>
        </w:tabs>
        <w:spacing w:after="0" w:line="240" w:lineRule="auto"/>
        <w:jc w:val="both"/>
        <w:rPr>
          <w:rFonts w:ascii="Times New Roman" w:eastAsia="TimesNewRoman" w:hAnsi="Times New Roman" w:cs="Times New Roman"/>
          <w:lang w:val="sr-Latn-ME" w:eastAsia="zh-TW"/>
        </w:rPr>
      </w:pPr>
    </w:p>
    <w:p w:rsidR="0090101A" w:rsidRPr="00A17652" w:rsidRDefault="0090101A" w:rsidP="006D50ED">
      <w:pPr>
        <w:tabs>
          <w:tab w:val="left" w:pos="284"/>
        </w:tabs>
        <w:spacing w:after="0" w:line="240" w:lineRule="auto"/>
        <w:jc w:val="both"/>
        <w:rPr>
          <w:rFonts w:ascii="Times New Roman" w:eastAsia="TimesNewRoman" w:hAnsi="Times New Roman" w:cs="Times New Roman"/>
          <w:lang w:val="sr-Latn-ME" w:eastAsia="zh-TW"/>
        </w:rPr>
      </w:pPr>
    </w:p>
    <w:p w:rsidR="0090101A" w:rsidRPr="00A17652" w:rsidRDefault="0090101A" w:rsidP="006D50ED">
      <w:pPr>
        <w:tabs>
          <w:tab w:val="left" w:pos="284"/>
        </w:tabs>
        <w:spacing w:after="0" w:line="240" w:lineRule="auto"/>
        <w:jc w:val="both"/>
        <w:rPr>
          <w:rFonts w:ascii="Times New Roman" w:eastAsia="TimesNewRoman" w:hAnsi="Times New Roman" w:cs="Times New Roman"/>
          <w:lang w:val="sr-Latn-ME" w:eastAsia="zh-TW"/>
        </w:rPr>
      </w:pPr>
    </w:p>
    <w:p w:rsidR="0090101A" w:rsidRPr="00A17652" w:rsidRDefault="0090101A" w:rsidP="006D50ED">
      <w:pPr>
        <w:tabs>
          <w:tab w:val="left" w:pos="284"/>
        </w:tabs>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Titracija doze i doza održavanja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Doza se može udvostručavati svake dvije do četiri nedjelje dok se postepeno ne dostigne željena vrijednost krvnog pritiska; maksimalna dozvoljena doza lijeka Piramil je 10 mg dnevno. Obično se lijek primjenjuje jednom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r w:rsidRPr="00A17652">
        <w:rPr>
          <w:rFonts w:ascii="Times New Roman" w:eastAsia="TimesNewRoman" w:hAnsi="Times New Roman" w:cs="Times New Roman"/>
          <w:i/>
          <w:iCs/>
          <w:lang w:val="sr-Latn-ME" w:eastAsia="zh-TW"/>
        </w:rPr>
        <w:t>Kardiovaskularna prevencija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Početna doza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Preporučena početna doza je 2,5 mg ramiprila, jednom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Titracija doze i doza održavanja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 zavisnosti od tolerancije pacijenta na aktivnu supstancu, dozu treba postepeno povećavati. Preporučuje se dupliranje doze nakon prve ili druge nedjelje terapije, zatim poslije dvije do tri nedjelje -  povećanje doze do ciljne doze održavanja od 10 mg lijeka Piramil jednom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Pogledati gore navedeno doziranje i način upotrebe kod pacijenata koji su na terapiji diureticima.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r w:rsidRPr="00A17652">
        <w:rPr>
          <w:rFonts w:ascii="Times New Roman" w:eastAsia="TimesNewRoman" w:hAnsi="Times New Roman" w:cs="Times New Roman"/>
          <w:i/>
          <w:iCs/>
          <w:lang w:val="sr-Latn-ME" w:eastAsia="zh-TW"/>
        </w:rPr>
        <w:t>Terapija bubrežne bolesti</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r w:rsidRPr="00A17652">
        <w:rPr>
          <w:rFonts w:ascii="Times New Roman" w:eastAsia="TimesNewRoman" w:hAnsi="Times New Roman" w:cs="Times New Roman"/>
          <w:i/>
          <w:iCs/>
          <w:u w:val="single"/>
          <w:lang w:val="sr-Latn-ME" w:eastAsia="zh-TW"/>
        </w:rPr>
        <w:t>Pacijenti sa dijabetesom i mikroalbuminurijom</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Početna doza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Preporučena početna doza je 1,25 mg ramiprila jednom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Titracija doze i doza održavanja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 zavisnosti od tolerancije pacijenta na aktivnu supstancu, dozu treba postepeno povećavati. Preporučuje se dupliranje doze na 2.5 mg jednom dnevno poslije prve dvije nedjelje, a zatim na 5 mg  poslije sljedeće dvije nedjelje.</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u w:val="single"/>
          <w:lang w:val="sr-Latn-ME" w:eastAsia="zh-TW"/>
        </w:rPr>
      </w:pPr>
      <w:r w:rsidRPr="00A17652">
        <w:rPr>
          <w:rFonts w:ascii="Times New Roman" w:eastAsia="TimesNewRoman" w:hAnsi="Times New Roman" w:cs="Times New Roman"/>
          <w:i/>
          <w:u w:val="single"/>
          <w:lang w:val="sr-Latn-ME" w:eastAsia="zh-TW"/>
        </w:rPr>
        <w:t>Kod pacijenata sa dijabetesom i najmanje jednim kardiovaskularnim faktorom rizika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Početna doza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Preporučena početna doza lijeka Piramil je 2.5 mg jednom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Titracija i doza održavanja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 zavisnosti od tolerancije pacijenta na aktivnu supstancu, dozu treba postepeno povećavati. Preporučuje se dupliranje dnevne doze na 5 mg lijeka nakon prve ili druge nedjelje terapije, a onda, poslije još dvije do tri nedjelje povećanje doze na 10 mg lijeka. Ciljna dnevna doza je 10 mg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u w:val="single"/>
          <w:lang w:val="sr-Latn-ME" w:eastAsia="zh-TW"/>
        </w:rPr>
      </w:pPr>
      <w:r w:rsidRPr="00A17652">
        <w:rPr>
          <w:rFonts w:ascii="Times New Roman" w:eastAsia="TimesNewRoman" w:hAnsi="Times New Roman" w:cs="Times New Roman"/>
          <w:i/>
          <w:u w:val="single"/>
          <w:lang w:val="sr-Latn-ME" w:eastAsia="zh-TW"/>
        </w:rPr>
        <w:t xml:space="preserve">Kod pacijenata sa nedijabetičkom nefropatijom definisanom pojavom makroproteinurije ≥3g/dan </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Početna doza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Preporučena početna doza lijeka je 1.25 mg jednom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Titracija i doza održavanja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 zavisnosti od tolerancije pacijenta na aktivnu supstancu, dozu treba postepeno povećavati. Nakon dvije nedjelje preporučuje se dupliranje doze na 2.5 mg jednom dnevno, zatim na 5 mg poslije sljedeće dvije nedjelje.</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r w:rsidRPr="00A17652">
        <w:rPr>
          <w:rFonts w:ascii="Times New Roman" w:eastAsia="TimesNewRoman" w:hAnsi="Times New Roman" w:cs="Times New Roman"/>
          <w:i/>
          <w:iCs/>
          <w:u w:val="single"/>
          <w:lang w:val="sr-Latn-ME" w:eastAsia="zh-TW"/>
        </w:rPr>
        <w:t>Simptomatska srčana insuficijencija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Početna doza</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lang w:val="sr-Latn-ME"/>
        </w:rPr>
        <w:t>Kod pacijenata koji su stabilizovani pomoću terapije diureticima, preporučuje se inicijalna doza od 1.25 mg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Titracija i doza održavanja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Lijek treba titrirati dupliranjem doze na svakih nedjelju do dvije dana do dostizanja maksimalne dnevne doze od 10 mg. Preporučuje se primjena lijeka dva puta dnevno.</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r w:rsidRPr="00A17652">
        <w:rPr>
          <w:rFonts w:ascii="Times New Roman" w:eastAsia="TimesNewRoman" w:hAnsi="Times New Roman" w:cs="Times New Roman"/>
          <w:i/>
          <w:iCs/>
          <w:u w:val="single"/>
          <w:lang w:val="sr-Latn-ME" w:eastAsia="zh-TW"/>
        </w:rPr>
        <w:t>Sekundarna prevencija nakon akutnog infarkta miokarda kod pacijenata sa srčanom insuficijencijom</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Početna doza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Poslije 48 sati od infarkta miokarda, kod klinički i hemodinamski stabilnog pacijenta, početna doza je 2.5 mg dva puta dnevno, tokom tri dana. Ukoliko se doza od 2.5 mg ne podnosi treba uvesti dozu od 1.25 mg dva puta dnevno, tokom dva dana, pa tek onda povećati dozu na 2.5 mg i 5 mg dva puta na dan. </w:t>
      </w:r>
      <w:bookmarkStart w:id="1" w:name="OLE_LINK3"/>
      <w:bookmarkStart w:id="2" w:name="OLE_LINK4"/>
      <w:r w:rsidRPr="00A17652">
        <w:rPr>
          <w:rFonts w:ascii="Times New Roman" w:eastAsia="Times New Roman" w:hAnsi="Times New Roman" w:cs="Times New Roman"/>
          <w:lang w:val="sr-Latn-ME"/>
        </w:rPr>
        <w:t xml:space="preserve">Ukoliko se doza ne može povećati na 2.5 mg dva puta dnevno, terapiju treba prekinuti. </w:t>
      </w:r>
    </w:p>
    <w:bookmarkEnd w:id="1"/>
    <w:bookmarkEnd w:id="2"/>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Pogledati gore navedeno doziranje i način upotrebe kod pacijenata koji su na terapiji diureticima.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u w:val="single"/>
          <w:lang w:val="sr-Latn-ME"/>
        </w:rPr>
      </w:pPr>
      <w:bookmarkStart w:id="3" w:name="OLE_LINK13"/>
      <w:bookmarkStart w:id="4" w:name="OLE_LINK14"/>
      <w:r w:rsidRPr="00A17652">
        <w:rPr>
          <w:rFonts w:ascii="Times New Roman" w:eastAsia="Times New Roman" w:hAnsi="Times New Roman" w:cs="Times New Roman"/>
          <w:u w:val="single"/>
          <w:lang w:val="sr-Latn-ME"/>
        </w:rPr>
        <w:t>Titracija i doza održavanja</w:t>
      </w:r>
    </w:p>
    <w:bookmarkEnd w:id="3"/>
    <w:bookmarkEnd w:id="4"/>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Dnevna doza se postepeno povećava dupliranjem doze u intervalu od jednog do tri dana dok se ne dostigne željena vrijednost doze održavanja od 5 mg, dva puta na dan.</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Kada je to moguće, dozu održavanja treba podijeliti u dvije doze na dan. </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Ukoliko se doza ne može povećati na 2.5 mg dva puta dnevno, terapiju treba prekinuti. </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Još uvijek nema dovoljno podataka o iskustvima kod pacijenata sa teškom srčanom insuficijencijom (NYHA IV) odmah nakon infarkta miokarda. Ukoliko se donese odluka o uvođenju terapije kod ovih pacijenata, preporuka je da se terapija započne dozom od 1.25 mg jednom dnevno i da se preduzmu posebne mjere opreza pri svakom povećanju doze.</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r w:rsidRPr="00A17652">
        <w:rPr>
          <w:rFonts w:ascii="Times New Roman" w:eastAsia="TimesNewRoman" w:hAnsi="Times New Roman" w:cs="Times New Roman"/>
          <w:i/>
          <w:iCs/>
          <w:u w:val="single"/>
          <w:lang w:val="sr-Latn-ME" w:eastAsia="zh-TW"/>
        </w:rPr>
        <w:t>Posebne grupe pacijenata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 xml:space="preserve">Pacijenti sa renalnim oštećenjem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Dnevna doza kod pacijenata sa renalnim oštećenjem treba da bude određena prema klirensu kreatinina (vidjeti dio 5.2):</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ukoliko je klirens kreatinina ≥60 ml/min, nije neophodno prilagođavati inicijalnu dozu (2.5 mg/dan); maksimalna dnevna doza je 10 mg;</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ukoliko je klirens kreatinina između 30-60 ml/min, nije neophodno prilagođavati inicijalnu dozu (2.5 mg/dan); maksimalna dnevna doza je 5 mg;</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ukoliko je klirens kreatinina između 10-30 ml/min, inicijalna doza je 1.25 mg/dan i maksimalna dnevna doza je 5 mg;</w:t>
      </w:r>
    </w:p>
    <w:p w:rsidR="000C0237" w:rsidRPr="00A17652" w:rsidRDefault="000C0237"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kod pacijenata sa hipertenzijom koji su na hemodijalizi: ramipril u maloj mjeri podliježe dijalizi; inicijalna doza 1.25 mg/dan i maksimalna dnevna doza je 5 mg; lijek treba primijeniti nekoliko sati nakon završetka dijalize.</w:t>
      </w:r>
    </w:p>
    <w:p w:rsidR="0090101A" w:rsidRPr="00A17652" w:rsidRDefault="0090101A" w:rsidP="006D50ED">
      <w:pPr>
        <w:tabs>
          <w:tab w:val="left" w:pos="570"/>
          <w:tab w:val="center" w:pos="4320"/>
          <w:tab w:val="right" w:pos="8640"/>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i/>
          <w:lang w:val="sr-Latn-ME"/>
        </w:rPr>
        <w:lastRenderedPageBreak/>
        <w:t xml:space="preserve">Pacijenti sa hepatičkim oštećenjem </w:t>
      </w:r>
      <w:r w:rsidRPr="00A17652">
        <w:rPr>
          <w:rFonts w:ascii="Times New Roman" w:eastAsia="Times New Roman" w:hAnsi="Times New Roman" w:cs="Times New Roman"/>
          <w:lang w:val="sr-Latn-ME"/>
        </w:rPr>
        <w:t>(vidjeti dio 5.2)</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Kod pacijenata sa hepatičkim oštećenjem, terapija lijekom Piramil se mora započeti pod strogim medicinskim nadzorom, a maksimalna dnevna doza izosi 2.5 mg.</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Stariji pacijenti</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Početne doze treba da budu niže i titracija doze koja slijedi treba da bude postepenija zbog veće vjerovatnoće za pojavu neželjenih dejstava, posebno kod veoma starih i nemoćnih pacijenata. Kod ovih pacijenata treba razmotriti upotrebu niže inicijalne doze od 1.25 mg.</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Pedijatrijska populacija</w:t>
      </w:r>
    </w:p>
    <w:p w:rsidR="000C0237" w:rsidRPr="00A17652" w:rsidRDefault="000C0237" w:rsidP="006D50ED">
      <w:pPr>
        <w:autoSpaceDE w:val="0"/>
        <w:autoSpaceDN w:val="0"/>
        <w:adjustRightInd w:val="0"/>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Sigurnost i efikasnost upotrebe ramiprila kod djece još uvijek nije utvrđena. Ramipril se ne preporučuje za primjenu kod djece i adolescenata mlađih od 18 godina zbog nedovoljno podataka o bezbjednosti i efikasnosti.</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4.3. Kontraindikacije</w:t>
      </w:r>
    </w:p>
    <w:p w:rsidR="000C0237" w:rsidRPr="00A17652" w:rsidRDefault="000C0237" w:rsidP="006D50ED">
      <w:pPr>
        <w:numPr>
          <w:ilvl w:val="0"/>
          <w:numId w:val="8"/>
        </w:numPr>
        <w:tabs>
          <w:tab w:val="left" w:pos="0"/>
          <w:tab w:val="left" w:pos="284"/>
          <w:tab w:val="center" w:pos="4536"/>
          <w:tab w:val="right" w:pos="9072"/>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preosjetlijivost na aktivnu supstancu, na neki od sastojaka lijeka, ili na neki drugi ACE (angotenzin konvertujući enzim) inhibitor (vidjeti dio 6.1)</w:t>
      </w:r>
    </w:p>
    <w:p w:rsidR="000C0237" w:rsidRPr="00A17652" w:rsidRDefault="000C0237" w:rsidP="006D50ED">
      <w:pPr>
        <w:numPr>
          <w:ilvl w:val="0"/>
          <w:numId w:val="8"/>
        </w:num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kod pacijenata sa angioedemom u anamnezi (nasljedni, idiopatski ili kao posljedica prethodnog angioedema usljed terapije ACE inhibitorom ili antagonistima receptora angiotenzina II -AIIRA)</w:t>
      </w:r>
    </w:p>
    <w:p w:rsidR="000C0237" w:rsidRPr="00A17652" w:rsidRDefault="000C0237" w:rsidP="006D50ED">
      <w:pPr>
        <w:numPr>
          <w:ilvl w:val="0"/>
          <w:numId w:val="8"/>
        </w:numPr>
        <w:tabs>
          <w:tab w:val="left" w:pos="284"/>
        </w:tabs>
        <w:spacing w:after="0" w:line="240" w:lineRule="auto"/>
        <w:jc w:val="both"/>
        <w:rPr>
          <w:rFonts w:ascii="Times New Roman" w:eastAsia="Times New Roman" w:hAnsi="Times New Roman" w:cs="Times New Roman"/>
          <w:lang w:val="sr-Latn-ME"/>
        </w:rPr>
      </w:pPr>
      <w:bookmarkStart w:id="5" w:name="OLE_LINK6"/>
      <w:bookmarkStart w:id="6" w:name="OLE_LINK7"/>
      <w:r w:rsidRPr="00A17652">
        <w:rPr>
          <w:rFonts w:ascii="Times New Roman" w:eastAsia="Times New Roman" w:hAnsi="Times New Roman" w:cs="Times New Roman"/>
          <w:lang w:val="sr-Latn-ME"/>
        </w:rPr>
        <w:t xml:space="preserve">ekstrakorporalna terapija pri kojoj dolazi do kontakta krvi sa negativno naelektrisanim površinama </w:t>
      </w:r>
      <w:bookmarkEnd w:id="5"/>
      <w:bookmarkEnd w:id="6"/>
      <w:r w:rsidRPr="00A17652">
        <w:rPr>
          <w:rFonts w:ascii="Times New Roman" w:eastAsia="Times New Roman" w:hAnsi="Times New Roman" w:cs="Times New Roman"/>
          <w:lang w:val="sr-Latn-ME"/>
        </w:rPr>
        <w:t>(vidjeti dio 4.5)</w:t>
      </w:r>
    </w:p>
    <w:p w:rsidR="000C0237" w:rsidRPr="00A17652" w:rsidRDefault="000C0237" w:rsidP="006D50ED">
      <w:pPr>
        <w:numPr>
          <w:ilvl w:val="0"/>
          <w:numId w:val="8"/>
        </w:num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značajna bilateralna stenoza renalne arterije ili stenoza renalne arterije u jednom funkcionalnom bubregu.</w:t>
      </w:r>
    </w:p>
    <w:p w:rsidR="000C0237" w:rsidRPr="00A17652" w:rsidRDefault="000C0237" w:rsidP="006D50ED">
      <w:pPr>
        <w:numPr>
          <w:ilvl w:val="0"/>
          <w:numId w:val="8"/>
        </w:num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drugi i treći trimestar trudnoće (vidjeti dio 4.4 i 4.6)</w:t>
      </w:r>
    </w:p>
    <w:p w:rsidR="000C0237" w:rsidRPr="00A17652" w:rsidRDefault="000C0237" w:rsidP="006D50ED">
      <w:pPr>
        <w:numPr>
          <w:ilvl w:val="0"/>
          <w:numId w:val="8"/>
        </w:num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lang w:val="sr-Latn-ME"/>
        </w:rPr>
        <w:t>ramipril ne smiju koristiti pacijenti koji su hipotenzivno ili hemodinamski nestabilni.</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4.4. Posebna upozorenja i mjere opreza pri upotrebi lijeka</w:t>
      </w:r>
    </w:p>
    <w:p w:rsidR="0090101A" w:rsidRPr="00A17652" w:rsidRDefault="0090101A"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Posebne populaciije</w:t>
      </w:r>
    </w:p>
    <w:p w:rsidR="000C0237"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i/>
          <w:lang w:val="sr-Latn-ME"/>
        </w:rPr>
        <w:t xml:space="preserve">Trudnoća: </w:t>
      </w:r>
      <w:r w:rsidRPr="00A17652">
        <w:rPr>
          <w:rFonts w:ascii="Times New Roman" w:eastAsia="Times New Roman" w:hAnsi="Times New Roman" w:cs="Times New Roman"/>
          <w:lang w:val="sr-Latn-ME"/>
        </w:rPr>
        <w:t>Terapiju</w:t>
      </w:r>
      <w:r w:rsidRPr="00A17652">
        <w:rPr>
          <w:rFonts w:ascii="Times New Roman" w:eastAsia="Times New Roman" w:hAnsi="Times New Roman" w:cs="Times New Roman"/>
          <w:i/>
          <w:lang w:val="sr-Latn-ME"/>
        </w:rPr>
        <w:t xml:space="preserve"> </w:t>
      </w:r>
      <w:r w:rsidRPr="00A17652">
        <w:rPr>
          <w:rFonts w:ascii="Times New Roman" w:eastAsia="Times New Roman" w:hAnsi="Times New Roman" w:cs="Times New Roman"/>
          <w:lang w:val="sr-Latn-ME"/>
        </w:rPr>
        <w:t>ACE inhibitorima ne treba započinjati tokom trudnoće. Osim u slučajevima u kojima se kontinuirana terapija ACE inhibitorima smatra neophodnom, pacijentkinje koje planiraju trudnoću treba da pređu na alternativnu antihipertenzivnu terapiju koje imaju ustanovljen bezbjednosni profil za primjenu u trudnoći. Kada se trudnoća ustanovi, terapiju ACE inhibitorima treba odmah prekinuti i započeti alternativnu terapiju, ukoliko je to prihvatljivo (vidjeti dio 4.3 i 4.6).</w:t>
      </w:r>
    </w:p>
    <w:p w:rsidR="009E4E7C" w:rsidRDefault="009E4E7C"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p>
    <w:p w:rsidR="000C0237"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Pacijenti sa posebnim rizikom za pojavu hipotenzije</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w:t>
      </w:r>
      <w:bookmarkStart w:id="7" w:name="OLE_LINK5"/>
      <w:r w:rsidRPr="00A17652">
        <w:rPr>
          <w:rFonts w:ascii="Times New Roman" w:eastAsia="Times New Roman" w:hAnsi="Times New Roman" w:cs="Times New Roman"/>
          <w:i/>
          <w:lang w:val="sr-Latn-ME"/>
        </w:rPr>
        <w:t>Pacijenti sa snažno aktiviranim renin-angiotenzin-aldosteron sistemom</w:t>
      </w:r>
      <w:bookmarkEnd w:id="7"/>
    </w:p>
    <w:p w:rsidR="0090101A"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Kod pacijenata sa snažno aktiviranim renin-angiotenzin-aldosteron sistemom, postoji rizik za pojavu akutnog, izrazitog pada krvnog pritiska i pogoršanja funkcije bubrega kao posljedica ACE inhibicije, </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posebno kada su ACE inhibitor ili istovremeno uzet diuretik primjenjeni prvi put ili pri prvom povećanju doze.</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lastRenderedPageBreak/>
        <w:t>Značajna aktivacija sistema renin–angiotenzin-aldosteron se može očekivati i neophodan je medicinski nadzor koji uključuje i praćenje vrijednosti krvnog pritiska kod, na primjer:</w:t>
      </w:r>
    </w:p>
    <w:p w:rsidR="000C0237" w:rsidRPr="00A17652" w:rsidRDefault="000C0237" w:rsidP="006D50ED">
      <w:pPr>
        <w:numPr>
          <w:ilvl w:val="0"/>
          <w:numId w:val="9"/>
        </w:numPr>
        <w:tabs>
          <w:tab w:val="left" w:pos="284"/>
        </w:tabs>
        <w:spacing w:after="0" w:line="240" w:lineRule="auto"/>
        <w:ind w:left="180" w:hanging="180"/>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pacijenata sa teškom hipertenzijom,</w:t>
      </w:r>
    </w:p>
    <w:p w:rsidR="000C0237" w:rsidRPr="00A17652" w:rsidRDefault="000C0237" w:rsidP="006D50ED">
      <w:pPr>
        <w:numPr>
          <w:ilvl w:val="0"/>
          <w:numId w:val="9"/>
        </w:numPr>
        <w:tabs>
          <w:tab w:val="left" w:pos="284"/>
        </w:tabs>
        <w:spacing w:after="0" w:line="240" w:lineRule="auto"/>
        <w:ind w:left="180" w:hanging="180"/>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pacijenata sa dekompenzovanom kongestivnom srčanom insuficijencijom,</w:t>
      </w:r>
    </w:p>
    <w:p w:rsidR="000C0237" w:rsidRPr="00A17652" w:rsidRDefault="000C0237" w:rsidP="006D50ED">
      <w:pPr>
        <w:numPr>
          <w:ilvl w:val="0"/>
          <w:numId w:val="9"/>
        </w:numPr>
        <w:tabs>
          <w:tab w:val="left" w:pos="284"/>
        </w:tabs>
        <w:spacing w:after="0" w:line="240" w:lineRule="auto"/>
        <w:ind w:left="180" w:hanging="180"/>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pacijenata sa hemodinamski značajnom opstrukcijom protoka kroz lijevu komoru (npr. stenoza aortnog ili mitralnog zalistka),</w:t>
      </w:r>
    </w:p>
    <w:p w:rsidR="000C0237" w:rsidRPr="00A17652" w:rsidRDefault="000C0237" w:rsidP="006D50ED">
      <w:pPr>
        <w:numPr>
          <w:ilvl w:val="0"/>
          <w:numId w:val="9"/>
        </w:numPr>
        <w:tabs>
          <w:tab w:val="left" w:pos="284"/>
        </w:tabs>
        <w:spacing w:after="0" w:line="240" w:lineRule="auto"/>
        <w:ind w:left="180" w:hanging="180"/>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pacijenata sa unilateralnom stenozom renalne arterije kod kojih je drugi bubreg funkcionalan,</w:t>
      </w:r>
    </w:p>
    <w:p w:rsidR="000C0237" w:rsidRPr="00A17652" w:rsidRDefault="000C0237" w:rsidP="006D50ED">
      <w:pPr>
        <w:numPr>
          <w:ilvl w:val="0"/>
          <w:numId w:val="9"/>
        </w:numPr>
        <w:tabs>
          <w:tab w:val="left" w:pos="284"/>
        </w:tabs>
        <w:spacing w:after="0" w:line="240" w:lineRule="auto"/>
        <w:ind w:left="180" w:hanging="180"/>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pacijenata kod kojih postoji ili se može pojaviti gubitak soli i/ili tečnosti (uključujući pacijente koji su na terapiji diureticima)</w:t>
      </w:r>
    </w:p>
    <w:p w:rsidR="000C0237" w:rsidRPr="00A17652" w:rsidRDefault="000C0237" w:rsidP="006D50ED">
      <w:pPr>
        <w:numPr>
          <w:ilvl w:val="0"/>
          <w:numId w:val="9"/>
        </w:numPr>
        <w:tabs>
          <w:tab w:val="left" w:pos="284"/>
        </w:tabs>
        <w:spacing w:after="0" w:line="240" w:lineRule="auto"/>
        <w:ind w:left="180" w:hanging="180"/>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pacijenata sa cirozom jetre i/ili ascitesom</w:t>
      </w:r>
    </w:p>
    <w:p w:rsidR="000C0237" w:rsidRPr="00A17652" w:rsidRDefault="000C0237" w:rsidP="006D50ED">
      <w:pPr>
        <w:numPr>
          <w:ilvl w:val="0"/>
          <w:numId w:val="9"/>
        </w:numPr>
        <w:tabs>
          <w:tab w:val="left" w:pos="284"/>
        </w:tabs>
        <w:spacing w:after="0" w:line="240" w:lineRule="auto"/>
        <w:ind w:left="180" w:hanging="180"/>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pacijenata koji će biti podvrgnuti većem operativnom zahvatu ili tokom anestezije izazvane agensima koji dovode do hipotenzije.</w:t>
      </w:r>
    </w:p>
    <w:p w:rsidR="000C0237" w:rsidRPr="00A17652" w:rsidRDefault="000C0237" w:rsidP="006D50ED">
      <w:pPr>
        <w:tabs>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Uopšteno, preporučuje se korekcija dehidratacije, hipovolemije ili gubitka soli prije početka terapije (međutim kod pacijenata sa srčanom insuficijencijom takve korektivne aktivnosti se moraju pažljivo odmjeriti u odnosu na rizik od preopterećenja volumenom).</w:t>
      </w:r>
    </w:p>
    <w:p w:rsidR="000C0237" w:rsidRPr="00A17652" w:rsidRDefault="000C0237" w:rsidP="006D50ED">
      <w:pPr>
        <w:tabs>
          <w:tab w:val="center" w:pos="4320"/>
          <w:tab w:val="right" w:pos="8640"/>
        </w:tabs>
        <w:spacing w:before="120"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 Prolazna ili trajna srčana insuficijencija poslije infarkta miokarda</w:t>
      </w:r>
    </w:p>
    <w:p w:rsidR="000C0237" w:rsidRPr="00A17652" w:rsidRDefault="000C0237" w:rsidP="006D50ED">
      <w:pPr>
        <w:tabs>
          <w:tab w:val="center" w:pos="4320"/>
          <w:tab w:val="right" w:pos="8640"/>
        </w:tabs>
        <w:spacing w:before="120"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 Pacijenti sa rizikom od pojave srčane ili cerebralne ishemije u slučaju akutne hipotenzije</w:t>
      </w:r>
    </w:p>
    <w:p w:rsidR="000C0237" w:rsidRDefault="000C0237" w:rsidP="006D50ED">
      <w:pPr>
        <w:tabs>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Inicijalna faza terapije zahtjeva specijalni medicinski nadzor.</w:t>
      </w:r>
    </w:p>
    <w:p w:rsidR="009E4E7C" w:rsidRPr="00A17652" w:rsidRDefault="009E4E7C" w:rsidP="006D50ED">
      <w:pPr>
        <w:tabs>
          <w:tab w:val="center" w:pos="4320"/>
          <w:tab w:val="right" w:pos="8640"/>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 xml:space="preserve">Stariji pacijenti </w:t>
      </w:r>
    </w:p>
    <w:p w:rsidR="000C0237" w:rsidRDefault="000C0237" w:rsidP="006D50ED">
      <w:pPr>
        <w:tabs>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Vidjeti dio 4.2</w:t>
      </w:r>
    </w:p>
    <w:p w:rsidR="009E4E7C" w:rsidRPr="00A17652" w:rsidRDefault="009E4E7C" w:rsidP="006D50ED">
      <w:pPr>
        <w:tabs>
          <w:tab w:val="center" w:pos="4320"/>
          <w:tab w:val="right" w:pos="8640"/>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Hiruške intervencije</w:t>
      </w:r>
    </w:p>
    <w:p w:rsidR="000C0237" w:rsidRDefault="000C0237" w:rsidP="006D50ED">
      <w:pPr>
        <w:tabs>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Preporučuje se da se terapija inhibitorima angiotenzin konvertujućeg enzima, kao što je ramipril, prekine gdje god je to moguće jedan dan prije operacije.</w:t>
      </w:r>
    </w:p>
    <w:p w:rsidR="009E4E7C" w:rsidRPr="00A17652" w:rsidRDefault="009E4E7C" w:rsidP="006D50ED">
      <w:pPr>
        <w:tabs>
          <w:tab w:val="center" w:pos="4320"/>
          <w:tab w:val="right" w:pos="8640"/>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Praćenje renalne funkcije</w:t>
      </w:r>
    </w:p>
    <w:p w:rsidR="000C0237" w:rsidRPr="00A17652" w:rsidRDefault="000C0237" w:rsidP="006D50ED">
      <w:pPr>
        <w:tabs>
          <w:tab w:val="center" w:pos="4320"/>
          <w:tab w:val="right" w:pos="8640"/>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Renalnu funkciju treba procijenjivati  prije  i tokom terapije i dozu treba prilagoditi, posebno u inicijalnoj nedjelji terapije. Posebno pažljivo praćenje je potrebno kod pacijenata sa renalnim oštećenjem (vidjeti dio 4.2). Postoji rizik od oštećenja renalne funkcije, posebno kod pacijenata sa kongestivnom srčanom insuficijencijom ili poslije transplantacije bubrega.</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Angioedem</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b/>
        <w:t xml:space="preserve">Kod pacijenata na terapiji ACE inhibitorima, uključujući ramipril, prijavljeni su slučajevi angioedema (vidjeti dio 4.8). </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Ukoliko se u toku terapije pojavi angioedem, upotreba lijeka Piramil se mora odmah prekinuti. </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Hitna terapija se mora brzo sprovesti. Pacijent mora biti pod ljekarskim nadzorom najmanje 12 do 24 sati, a  otpušta se tek nakon povlačenja simptoma. </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Intestinalni angioedem je zabilježen kod pacijenata na terapiji ACE inhibitorima uključujući i Piramil (vidjeti dio 4.8). Kod ovih pacijenata javio se bol u abdomenu (sa ili bez mučnine ili povraćanja).</w:t>
      </w:r>
    </w:p>
    <w:p w:rsidR="009E4E7C" w:rsidRDefault="009E4E7C"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p>
    <w:p w:rsidR="009E4E7C" w:rsidRDefault="009E4E7C"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lastRenderedPageBreak/>
        <w:t>Anafilaktičke reakcije tokom desenzitizacije</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Vjerovatnoća i težina pojave anafilaktičkih i anafilaktoidnih reakcija na otrov insekata i druge alergene je povećana tokom terapije ACE inhibitorima. Treba razmotriti privremen prekid terapije lijekom Piramil prije desenzitizacije.</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Hiperkalijemija</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Hiperkalijemija je zabilježena kod nekih pacijenata koji su primali ACE inhibitore uključujući i Piramil. Pacijenti sa rizikom za razvoj hiperkalijemije su pacijenti sa renalnom insuficijencijom, pacijenti starije životne dobi (&gt;70 godina), pacijente sa nekontrolisanim dijabetesom, ili pacijenti koji koriste soli kalijuma, diuretike koji štede kalijum ili druge aktivne supstance koje povećavaju nivo kalijuma u plazmi, ili stanja kao što su dehidratacija, akutna srčana dekompenzacija, metabolička acidoza. Ukoliko se istovremena upotreba navedenih ljekova smatra prikladnom, preporučuje se redovno praćenje nivoa kalijuma u serumu (vidjeti dio 4.5).</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Neutropenija / agranulocitoza</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Neutropenija / agranulocitoza, kao i trombocitopenija i anemija javljale su se u rijetkim slučajevima, depresija koštane srži je takođe zabilježena. Preporučuje se praćenje broja leukocita kako bi se detektovala moguća leukopenija. Češće praćenje se savjetuje u inicijalnoj fazi terapije i kod pacijenata sa oštećenom renalnom funkcijom, sa istovremenom kolagenom bolešću (npr. lupus eritematodus ili sklerodermija) i svi ostali koji su na terapiji ljekovima koji mogu da dovedu do promjene krvne slike (vidjeti dio 4.5 i 4.8).</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i/>
          <w:u w:val="single"/>
          <w:lang w:val="sr-Latn-ME"/>
        </w:rPr>
      </w:pPr>
      <w:r w:rsidRPr="00A17652">
        <w:rPr>
          <w:rFonts w:ascii="Times New Roman" w:eastAsia="Times New Roman" w:hAnsi="Times New Roman" w:cs="Times New Roman"/>
          <w:i/>
          <w:u w:val="single"/>
          <w:lang w:val="sr-Latn-ME"/>
        </w:rPr>
        <w:t>Etničke razlike</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Angioedem izazvan primjenom ACE inhibitora češće se javlja kod pacijenata crne rase nego kod pripadnika drugih rasa. Kao i drugi ACE inhibitori, tako i ramipril može biti manje efikasan u snižavanju krvog pritiska kod pripadnika crne rase nego kod pripadnika drugih rasa, vjerovatno zbog veće prevalence hipertenzije sa niskim nivoom renina u populaciji hipertoničara crne rase.</w:t>
      </w:r>
    </w:p>
    <w:p w:rsidR="000C0237" w:rsidRPr="00A17652" w:rsidRDefault="000C0237" w:rsidP="006D50ED">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i/>
          <w:u w:val="single"/>
          <w:lang w:val="sr-Latn-ME"/>
        </w:rPr>
        <w:t>Kašalj</w:t>
      </w:r>
      <w:r w:rsidRPr="00A17652">
        <w:rPr>
          <w:rFonts w:ascii="Times New Roman" w:eastAsia="Times New Roman" w:hAnsi="Times New Roman" w:cs="Times New Roman"/>
          <w:lang w:val="sr-Latn-ME"/>
        </w:rPr>
        <w:t xml:space="preserve"> </w:t>
      </w:r>
    </w:p>
    <w:p w:rsidR="000C0237" w:rsidRPr="00A17652" w:rsidRDefault="000C0237" w:rsidP="006D50ED">
      <w:pPr>
        <w:tabs>
          <w:tab w:val="left" w:pos="0"/>
          <w:tab w:val="center" w:pos="4320"/>
          <w:tab w:val="right" w:pos="8640"/>
        </w:tabs>
        <w:spacing w:before="120" w:after="12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Kašalj je zabilježen kod primjene ACE inhibitora. Karakteristično, kašalj je neproduktivan, perzistentan i nestaje nakon prekida terapije. Kašalj nastao usljed primjene ACE inhibitora treba posmatrati kao dio diferencijalne dijagnoze kašlja. </w:t>
      </w:r>
    </w:p>
    <w:p w:rsidR="000C0237" w:rsidRPr="00A17652" w:rsidRDefault="000C0237" w:rsidP="006D50ED">
      <w:pPr>
        <w:tabs>
          <w:tab w:val="left" w:pos="0"/>
          <w:tab w:val="center" w:pos="4320"/>
          <w:tab w:val="right" w:pos="8640"/>
        </w:tabs>
        <w:spacing w:before="120" w:after="12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Dvostruka blokada sistema renin-angiotenzin (RAS)</w:t>
      </w:r>
    </w:p>
    <w:p w:rsidR="000C0237" w:rsidRPr="00A17652" w:rsidRDefault="000C0237" w:rsidP="006D50ED">
      <w:pPr>
        <w:tabs>
          <w:tab w:val="left" w:pos="0"/>
          <w:tab w:val="center" w:pos="4320"/>
          <w:tab w:val="right" w:pos="8640"/>
        </w:tabs>
        <w:spacing w:before="120" w:after="12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Neophodan je oprez prilikom istovremene primjene ACEI, uključujući ramipril, sa ostalim ljekovima koji blokiraju RAS kao što je ARB ili aliskiren (vidjeti odjeljak 4.5).</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0C0237" w:rsidRDefault="000C0237" w:rsidP="009E4E7C">
      <w:pPr>
        <w:tabs>
          <w:tab w:val="left" w:pos="284"/>
        </w:tabs>
        <w:spacing w:before="8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4.5. Interakcije sa drugim ljekovima i druge vrste interakcija</w:t>
      </w:r>
    </w:p>
    <w:p w:rsidR="009E4E7C" w:rsidRPr="00A17652" w:rsidRDefault="009E4E7C" w:rsidP="009E4E7C">
      <w:pPr>
        <w:tabs>
          <w:tab w:val="left" w:pos="284"/>
        </w:tabs>
        <w:spacing w:before="80" w:after="0" w:line="240" w:lineRule="auto"/>
        <w:jc w:val="both"/>
        <w:rPr>
          <w:rFonts w:ascii="Times New Roman" w:eastAsia="Times New Roman" w:hAnsi="Times New Roman" w:cs="Times New Roman"/>
          <w:b/>
          <w:bCs/>
          <w:lang w:val="sr-Latn-ME"/>
        </w:rPr>
      </w:pPr>
    </w:p>
    <w:p w:rsidR="000C0237" w:rsidRPr="00A17652" w:rsidRDefault="000C0237" w:rsidP="009E4E7C">
      <w:pPr>
        <w:tabs>
          <w:tab w:val="left" w:pos="0"/>
          <w:tab w:val="center" w:pos="4320"/>
          <w:tab w:val="right" w:pos="8640"/>
        </w:tabs>
        <w:spacing w:before="120"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Kontraindikovane kombinacije</w:t>
      </w:r>
    </w:p>
    <w:p w:rsidR="000C0237" w:rsidRDefault="000C0237" w:rsidP="009E4E7C">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Ekstrakorporalni tretmani kod kojih dolazi do kontakta krvi sa negativno naelektrisanim površinama, kao što je dijaliza ili hemofiltracija pomoću visokoprotočnih membrana (npr. </w:t>
      </w:r>
      <w:bookmarkStart w:id="8" w:name="OLE_LINK8"/>
      <w:bookmarkStart w:id="9" w:name="OLE_LINK9"/>
      <w:r w:rsidRPr="00A17652">
        <w:rPr>
          <w:rFonts w:ascii="Times New Roman" w:eastAsia="Times New Roman" w:hAnsi="Times New Roman" w:cs="Times New Roman"/>
          <w:lang w:val="sr-Latn-ME"/>
        </w:rPr>
        <w:t>poliakrilonitrilnih membran</w:t>
      </w:r>
      <w:bookmarkEnd w:id="8"/>
      <w:bookmarkEnd w:id="9"/>
      <w:r w:rsidRPr="00A17652">
        <w:rPr>
          <w:rFonts w:ascii="Times New Roman" w:eastAsia="Times New Roman" w:hAnsi="Times New Roman" w:cs="Times New Roman"/>
          <w:lang w:val="sr-Latn-ME"/>
        </w:rPr>
        <w:t>a) i afereze lipoproteina male gustine pomoću dekstran sulfata zbog povećanog rizika za pojavu teških anafilaktoidnih reakcija (vidjeti dio 4.3). Ukoliko je takvo liječenje neophodno, treba razmotriti upotrebu drugih tipova membrana za dijalizu ili drugu klasu antihipertenzivnih ljekova.</w:t>
      </w:r>
    </w:p>
    <w:p w:rsidR="009E4E7C" w:rsidRDefault="009E4E7C" w:rsidP="009E4E7C">
      <w:pPr>
        <w:tabs>
          <w:tab w:val="left" w:pos="0"/>
          <w:tab w:val="center" w:pos="4320"/>
          <w:tab w:val="right" w:pos="8640"/>
        </w:tabs>
        <w:spacing w:before="120" w:after="0" w:line="240" w:lineRule="auto"/>
        <w:jc w:val="both"/>
        <w:rPr>
          <w:rFonts w:ascii="Times New Roman" w:eastAsia="Times New Roman" w:hAnsi="Times New Roman" w:cs="Times New Roman"/>
          <w:lang w:val="sr-Latn-ME"/>
        </w:rPr>
      </w:pPr>
    </w:p>
    <w:p w:rsidR="000C0237" w:rsidRPr="00A17652" w:rsidRDefault="000C0237" w:rsidP="009E4E7C">
      <w:pPr>
        <w:tabs>
          <w:tab w:val="left" w:pos="284"/>
          <w:tab w:val="center" w:pos="4536"/>
          <w:tab w:val="right" w:pos="9072"/>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lastRenderedPageBreak/>
        <w:t>Dvostruka blokada sistema renin-angiotenzin-aldosteron (RAAS) sa ACEI , ARB ili aliskirenom</w:t>
      </w:r>
    </w:p>
    <w:p w:rsidR="000C0237" w:rsidRPr="00A17652" w:rsidRDefault="000C0237" w:rsidP="009E4E7C">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Istovremena primjena ACEI sa ostalim ljekovima koji djeluju na RAAS je povezana sa povećanom incidencom hipotenzije, hipokalemije, i promjena u funkciji bubrega, u poređenju sa monoterapijom. Preporučuje se praćenje krvnog pritiska, funkcije bubrega i elektrolita kod pacijenata na terapiji ramiprilom  i ostalih ljekova koji djeluju na RAAS (vidjeti odjeljak 4.4).</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Istovremena primena ACEI, uključujući ramipril, ili ARB sa aliskirenom treba izbjegavati kod pacijenata sa teškim oštećenjem bubrega (GFR&lt;30 ml/min) (vidjeti odjeljak 4.4).</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Istovremena primena ACEI, uključujući ramipril, ili ARB sa aliskirenom je kontraindikovana kod pacijenata sa dijabetesom tipa II (vidjeti odjeljak 4.3).</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 xml:space="preserve">Mjere opreza pri upotrebi </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i/>
          <w:lang w:val="sr-Latn-ME"/>
        </w:rPr>
        <w:t>Kalijumove soli, heparin, diuretici koji štede kalijum i ostale aktivne supstance koje povećavaju nivo kalijuma u krvi (uključujući angiotenzin II antagoniste, trimetoprim,</w:t>
      </w:r>
      <w:r w:rsidRPr="00A17652">
        <w:rPr>
          <w:rFonts w:ascii="Times New Roman" w:eastAsia="Times New Roman" w:hAnsi="Times New Roman" w:cs="Times New Roman"/>
          <w:lang w:val="sr-Latn-ME"/>
        </w:rPr>
        <w:t xml:space="preserve"> </w:t>
      </w:r>
      <w:r w:rsidRPr="00A17652">
        <w:rPr>
          <w:rFonts w:ascii="Times New Roman" w:eastAsia="Times New Roman" w:hAnsi="Times New Roman" w:cs="Times New Roman"/>
          <w:i/>
          <w:lang w:val="sr-Latn-ME"/>
        </w:rPr>
        <w:t>takrolimus, ciklosporin):</w:t>
      </w:r>
      <w:r w:rsidRPr="00A17652">
        <w:rPr>
          <w:rFonts w:ascii="Times New Roman" w:eastAsia="Times New Roman" w:hAnsi="Times New Roman" w:cs="Times New Roman"/>
          <w:lang w:val="sr-Latn-ME"/>
        </w:rPr>
        <w:t xml:space="preserve"> Zbog mogućnosti pojave hiperkalijemije potrebno je pažljivo praćenje nivoa kalijuma u serumu. </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 xml:space="preserve">Antihipertenzivi (npr. diuretici) i ostale supstance koje mogu sniziti krvni pritisak (npr. nitrati, triciklični antidepresivi, anestetici, akutni alkoholizam, baklofen, alfuzosin, doksazosin, prazosin, tamsulosin, terazosin): </w:t>
      </w:r>
      <w:r w:rsidRPr="00A17652">
        <w:rPr>
          <w:rFonts w:ascii="Times New Roman" w:eastAsia="Times New Roman" w:hAnsi="Times New Roman" w:cs="Times New Roman"/>
          <w:lang w:val="sr-Latn-ME"/>
        </w:rPr>
        <w:t>Može se očekivati potenciranje rizika za pojavu hipotenzije (vidjeti dio 4.2 o diureticima).</w:t>
      </w:r>
      <w:r w:rsidRPr="00A17652">
        <w:rPr>
          <w:rFonts w:ascii="Times New Roman" w:eastAsia="Times New Roman" w:hAnsi="Times New Roman" w:cs="Times New Roman"/>
          <w:i/>
          <w:lang w:val="sr-Latn-ME"/>
        </w:rPr>
        <w:t xml:space="preserve"> </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i/>
          <w:lang w:val="sr-Latn-ME"/>
        </w:rPr>
        <w:t>Vazopresorni simpatikomimetici i ostale supstance (npr. izoproterenol, dobutamin, dopamin, epinefrin) koje mogu smanjiti antihipertenzivno dejstvo lijeka Piramil:</w:t>
      </w:r>
      <w:r w:rsidRPr="00A17652">
        <w:rPr>
          <w:rFonts w:ascii="Times New Roman" w:eastAsia="Times New Roman" w:hAnsi="Times New Roman" w:cs="Times New Roman"/>
          <w:lang w:val="sr-Latn-ME"/>
        </w:rPr>
        <w:t xml:space="preserve"> Preporučuje se praćenje krvnog pritiska.</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i/>
          <w:lang w:val="sr-Latn-ME"/>
        </w:rPr>
        <w:t>Alopurinol, imunosupresivi, kortikosteroidi, prokainamid, citostatici i ostale supstance koje mogu da dovedu do promjene broja krvnih ćelija:</w:t>
      </w:r>
      <w:r w:rsidRPr="00A17652">
        <w:rPr>
          <w:rFonts w:ascii="Times New Roman" w:eastAsia="Times New Roman" w:hAnsi="Times New Roman" w:cs="Times New Roman"/>
          <w:lang w:val="sr-Latn-ME"/>
        </w:rPr>
        <w:t xml:space="preserve"> Porast vjerovatnoće za pojavu hematoloških reakcija (vidjeti dio 4.4)</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Soli litijuma:</w:t>
      </w:r>
      <w:r w:rsidRPr="00A17652">
        <w:rPr>
          <w:rFonts w:ascii="Times New Roman" w:eastAsia="Times New Roman" w:hAnsi="Times New Roman" w:cs="Times New Roman"/>
          <w:lang w:val="sr-Latn-ME"/>
        </w:rPr>
        <w:t xml:space="preserve"> Izlučivanje litijuma može biti smanjeno tokom primjene ACE inhibitora i toksičnost litijuma može biti povećana. Mora se pratiti nivo litijuma u krvi.</w:t>
      </w: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p>
    <w:p w:rsidR="000C0237" w:rsidRPr="00A17652" w:rsidRDefault="000C0237" w:rsidP="006D50ED">
      <w:pPr>
        <w:tabs>
          <w:tab w:val="left" w:pos="284"/>
          <w:tab w:val="center" w:pos="4536"/>
          <w:tab w:val="right" w:pos="9072"/>
        </w:tabs>
        <w:spacing w:after="0" w:line="240" w:lineRule="auto"/>
        <w:jc w:val="both"/>
        <w:rPr>
          <w:rFonts w:ascii="Times New Roman" w:eastAsia="Times New Roman" w:hAnsi="Times New Roman" w:cs="Times New Roman"/>
          <w:i/>
          <w:lang w:val="sr-Latn-ME"/>
        </w:rPr>
      </w:pPr>
      <w:r w:rsidRPr="00A17652">
        <w:rPr>
          <w:rFonts w:ascii="Times New Roman" w:eastAsia="Times New Roman" w:hAnsi="Times New Roman" w:cs="Times New Roman"/>
          <w:i/>
          <w:lang w:val="sr-Latn-ME"/>
        </w:rPr>
        <w:t xml:space="preserve">Antidijabetici uključujući insulin: </w:t>
      </w:r>
      <w:r w:rsidRPr="00A17652">
        <w:rPr>
          <w:rFonts w:ascii="Times New Roman" w:eastAsia="Times New Roman" w:hAnsi="Times New Roman" w:cs="Times New Roman"/>
          <w:lang w:val="sr-Latn-ME"/>
        </w:rPr>
        <w:t>Mogu se pojaviti hipoglikemijske reakcije. Preporučuje se monitoring nivoa glukoze u krvi.</w:t>
      </w:r>
    </w:p>
    <w:p w:rsidR="000C0237" w:rsidRPr="00A17652" w:rsidRDefault="000C0237" w:rsidP="006D50ED">
      <w:pPr>
        <w:tabs>
          <w:tab w:val="left" w:pos="284"/>
        </w:tabs>
        <w:spacing w:after="0" w:line="240" w:lineRule="auto"/>
        <w:jc w:val="both"/>
        <w:rPr>
          <w:rFonts w:ascii="Times New Roman" w:eastAsia="Times New Roman" w:hAnsi="Times New Roman" w:cs="Times New Roman"/>
          <w:i/>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i/>
          <w:lang w:val="sr-Latn-ME"/>
        </w:rPr>
        <w:t xml:space="preserve">Nesteroidni antiinflamatorni ljekovi i acetilsalicilna kiselina: </w:t>
      </w:r>
      <w:r w:rsidRPr="00A17652">
        <w:rPr>
          <w:rFonts w:ascii="Times New Roman" w:eastAsia="Times New Roman" w:hAnsi="Times New Roman" w:cs="Times New Roman"/>
          <w:lang w:val="sr-Latn-ME"/>
        </w:rPr>
        <w:t>Može se očekivati smanjenje antihipertenzivnog dejstva lijeka Piramil. Takođe, istovremena upotreba ACE inhibitora i NSAIL može da dovede do povećanog rizika za pogoršanje renalne funkcije i povećanja kalijemije.</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4.6. Primjena u periodu trudnoće i dojenja</w:t>
      </w:r>
    </w:p>
    <w:p w:rsidR="009E4E7C" w:rsidRPr="00A17652" w:rsidRDefault="009E4E7C" w:rsidP="006D50ED">
      <w:pPr>
        <w:tabs>
          <w:tab w:val="left" w:pos="284"/>
        </w:tabs>
        <w:spacing w:before="80" w:after="80" w:line="240" w:lineRule="auto"/>
        <w:jc w:val="both"/>
        <w:rPr>
          <w:rFonts w:ascii="Times New Roman" w:eastAsia="Times New Roman" w:hAnsi="Times New Roman" w:cs="Times New Roman"/>
          <w:b/>
          <w:bCs/>
          <w:lang w:val="sr-Latn-ME"/>
        </w:rPr>
      </w:pPr>
    </w:p>
    <w:p w:rsidR="000C0237" w:rsidRPr="00A17652" w:rsidRDefault="000C0237" w:rsidP="006D50ED">
      <w:pPr>
        <w:tabs>
          <w:tab w:val="left" w:pos="284"/>
          <w:tab w:val="center" w:pos="4536"/>
          <w:tab w:val="right" w:pos="9072"/>
        </w:tabs>
        <w:spacing w:before="80" w:after="80" w:line="240" w:lineRule="auto"/>
        <w:jc w:val="both"/>
        <w:rPr>
          <w:rFonts w:ascii="Times New Roman" w:eastAsia="Times New Roman" w:hAnsi="Times New Roman" w:cs="Times New Roman"/>
          <w:bCs/>
          <w:i/>
          <w:lang w:val="sr-Latn-ME"/>
        </w:rPr>
      </w:pPr>
      <w:r w:rsidRPr="00A17652">
        <w:rPr>
          <w:rFonts w:ascii="Times New Roman" w:eastAsia="Times New Roman" w:hAnsi="Times New Roman" w:cs="Times New Roman"/>
          <w:bCs/>
          <w:i/>
          <w:lang w:val="sr-Latn-ME"/>
        </w:rPr>
        <w:t>Trudnoća</w:t>
      </w:r>
    </w:p>
    <w:p w:rsidR="000C0237" w:rsidRDefault="000C0237" w:rsidP="006D50ED">
      <w:pPr>
        <w:tabs>
          <w:tab w:val="left" w:pos="284"/>
          <w:tab w:val="center" w:pos="4536"/>
          <w:tab w:val="right" w:pos="9072"/>
        </w:tabs>
        <w:spacing w:before="80" w:after="80" w:line="240" w:lineRule="auto"/>
        <w:jc w:val="both"/>
        <w:rPr>
          <w:rFonts w:ascii="Times New Roman" w:eastAsia="Times New Roman" w:hAnsi="Times New Roman" w:cs="Times New Roman"/>
          <w:bCs/>
          <w:u w:val="single"/>
          <w:lang w:val="sr-Latn-ME"/>
        </w:rPr>
      </w:pPr>
      <w:r w:rsidRPr="00A17652">
        <w:rPr>
          <w:rFonts w:ascii="Times New Roman" w:eastAsia="Times New Roman" w:hAnsi="Times New Roman" w:cs="Times New Roman"/>
          <w:bCs/>
          <w:u w:val="single"/>
          <w:lang w:val="sr-Latn-ME"/>
        </w:rPr>
        <w:t xml:space="preserve">Upotreba ACE inhibitora se ne preporučuje tokom prvog trimestra trudnoće </w:t>
      </w:r>
      <w:bookmarkStart w:id="10" w:name="OLE_LINK10"/>
      <w:bookmarkStart w:id="11" w:name="OLE_LINK11"/>
      <w:r w:rsidRPr="00A17652">
        <w:rPr>
          <w:rFonts w:ascii="Times New Roman" w:eastAsia="Times New Roman" w:hAnsi="Times New Roman" w:cs="Times New Roman"/>
          <w:bCs/>
          <w:u w:val="single"/>
          <w:lang w:val="sr-Latn-ME"/>
        </w:rPr>
        <w:t xml:space="preserve">(vidjeti dio 4.4) </w:t>
      </w:r>
      <w:bookmarkEnd w:id="10"/>
      <w:bookmarkEnd w:id="11"/>
      <w:r w:rsidRPr="00A17652">
        <w:rPr>
          <w:rFonts w:ascii="Times New Roman" w:eastAsia="Times New Roman" w:hAnsi="Times New Roman" w:cs="Times New Roman"/>
          <w:bCs/>
          <w:u w:val="single"/>
          <w:lang w:val="sr-Latn-ME"/>
        </w:rPr>
        <w:t>i kontraindikovana je tokom drugog i trećeg trimestra trudnoće (vidjeti djelove 4.3 i 4.4).</w:t>
      </w:r>
    </w:p>
    <w:p w:rsidR="000C0237" w:rsidRPr="00A17652" w:rsidRDefault="000C0237" w:rsidP="006D50ED">
      <w:pPr>
        <w:tabs>
          <w:tab w:val="left" w:pos="284"/>
          <w:tab w:val="center" w:pos="4536"/>
          <w:tab w:val="right" w:pos="9072"/>
        </w:tabs>
        <w:spacing w:before="80" w:after="80" w:line="240" w:lineRule="auto"/>
        <w:jc w:val="both"/>
        <w:rPr>
          <w:rFonts w:ascii="Times New Roman" w:eastAsia="Times New Roman" w:hAnsi="Times New Roman" w:cs="Times New Roman"/>
          <w:bCs/>
          <w:lang w:val="sr-Latn-ME"/>
        </w:rPr>
      </w:pPr>
      <w:r w:rsidRPr="00A17652">
        <w:rPr>
          <w:rFonts w:ascii="Times New Roman" w:eastAsia="Times New Roman" w:hAnsi="Times New Roman" w:cs="Times New Roman"/>
          <w:bCs/>
          <w:lang w:val="sr-Latn-ME"/>
        </w:rPr>
        <w:t>Epidemiološki dokazi u pogledu rizika od teratogenog dejstva usljed izlaganja ACE inhibitorima tokom prvog trimestra trudnoće nijesu bili u potpunosti ubjedljivi; međutim, mali porast rizika ipak ne može biti isključen. Terapiju ACE inhibitorima kod pacijentkinj</w:t>
      </w:r>
      <w:r w:rsidR="009E4E7C">
        <w:rPr>
          <w:rFonts w:ascii="Times New Roman" w:eastAsia="Times New Roman" w:hAnsi="Times New Roman" w:cs="Times New Roman"/>
          <w:bCs/>
          <w:lang w:val="sr-Latn-ME"/>
        </w:rPr>
        <w:t xml:space="preserve">a koje planiraju trudnoću treba </w:t>
      </w:r>
      <w:r w:rsidRPr="00A17652">
        <w:rPr>
          <w:rFonts w:ascii="Times New Roman" w:eastAsia="Times New Roman" w:hAnsi="Times New Roman" w:cs="Times New Roman"/>
          <w:bCs/>
          <w:lang w:val="sr-Latn-ME"/>
        </w:rPr>
        <w:t xml:space="preserve">zamijeniti alternativnom antihipertenzivnom terapijom koja ima utvrđen bezbjednosni profil za upotrebu tokom trudnoće, osim ako se nastavak terapije ACE inhibitorima smatra neophodnim. Terapiju ACE inhibitorima </w:t>
      </w:r>
      <w:r w:rsidRPr="00A17652">
        <w:rPr>
          <w:rFonts w:ascii="Times New Roman" w:eastAsia="Times New Roman" w:hAnsi="Times New Roman" w:cs="Times New Roman"/>
          <w:bCs/>
          <w:lang w:val="sr-Latn-ME"/>
        </w:rPr>
        <w:lastRenderedPageBreak/>
        <w:t>treba prekinuti odmah nakon utvrđivanja trudnoće i, ako je potrebno, započeti adekvatnu alternativnu terapiju.</w:t>
      </w:r>
    </w:p>
    <w:p w:rsidR="000C0237" w:rsidRPr="00A17652" w:rsidRDefault="000C0237" w:rsidP="006D50ED">
      <w:pPr>
        <w:tabs>
          <w:tab w:val="left" w:pos="284"/>
          <w:tab w:val="center" w:pos="4536"/>
          <w:tab w:val="right" w:pos="9072"/>
        </w:tabs>
        <w:spacing w:before="80" w:after="80" w:line="240" w:lineRule="auto"/>
        <w:jc w:val="both"/>
        <w:rPr>
          <w:rFonts w:ascii="Times New Roman" w:eastAsia="Times New Roman" w:hAnsi="Times New Roman" w:cs="Times New Roman"/>
          <w:bCs/>
          <w:lang w:val="sr-Latn-ME"/>
        </w:rPr>
      </w:pPr>
      <w:r w:rsidRPr="00A17652">
        <w:rPr>
          <w:rFonts w:ascii="Times New Roman" w:eastAsia="Times New Roman" w:hAnsi="Times New Roman" w:cs="Times New Roman"/>
          <w:bCs/>
          <w:lang w:val="sr-Latn-ME"/>
        </w:rPr>
        <w:t>Poznato je da izloženost ACE inhibitorima tokom drugog i trećeg trimestra trudnoće indukuje fetotoksičnost (smanjenje renalne funkcije, oligohidramnioza, usporeno okoštavanja lobanje) i neonatalnu toksičnost (bubrežna insuficijencija, hipotenzija, hiperkalijemija) (vidjeti dio 5.3). Ukoliko je izloženost ACE inhibitorima nastupila u drugom ili trećem trimestru trudnoće, preporučuje se ultrazvučni pregled renalne funkcije i kostiju lobanje. Novorođenčad, čije majke su uzimale ACE inhibitore, treba posebno pratiti zbog mogućnosti pojave hipotenzije (vidjeti dio 4.3 i 4.4).</w:t>
      </w:r>
    </w:p>
    <w:p w:rsidR="0090101A" w:rsidRPr="00A17652" w:rsidRDefault="0090101A" w:rsidP="006D50ED">
      <w:pPr>
        <w:tabs>
          <w:tab w:val="left" w:pos="284"/>
          <w:tab w:val="center" w:pos="4536"/>
          <w:tab w:val="right" w:pos="9072"/>
        </w:tabs>
        <w:spacing w:before="80" w:after="80" w:line="240" w:lineRule="auto"/>
        <w:jc w:val="both"/>
        <w:rPr>
          <w:rFonts w:ascii="Times New Roman" w:eastAsia="Times New Roman" w:hAnsi="Times New Roman" w:cs="Times New Roman"/>
          <w:bCs/>
          <w:i/>
          <w:lang w:val="sr-Latn-ME"/>
        </w:rPr>
      </w:pPr>
    </w:p>
    <w:p w:rsidR="000C0237" w:rsidRPr="00A17652" w:rsidRDefault="000C0237" w:rsidP="006D50ED">
      <w:pPr>
        <w:tabs>
          <w:tab w:val="left" w:pos="284"/>
          <w:tab w:val="center" w:pos="4536"/>
          <w:tab w:val="right" w:pos="9072"/>
        </w:tabs>
        <w:spacing w:before="80" w:after="80" w:line="240" w:lineRule="auto"/>
        <w:jc w:val="both"/>
        <w:rPr>
          <w:rFonts w:ascii="Times New Roman" w:eastAsia="Times New Roman" w:hAnsi="Times New Roman" w:cs="Times New Roman"/>
          <w:bCs/>
          <w:i/>
          <w:lang w:val="sr-Latn-ME"/>
        </w:rPr>
      </w:pPr>
      <w:r w:rsidRPr="00A17652">
        <w:rPr>
          <w:rFonts w:ascii="Times New Roman" w:eastAsia="Times New Roman" w:hAnsi="Times New Roman" w:cs="Times New Roman"/>
          <w:bCs/>
          <w:i/>
          <w:lang w:val="sr-Latn-ME"/>
        </w:rPr>
        <w:t>Laktacija</w:t>
      </w: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Cs/>
          <w:lang w:val="sr-Latn-ME"/>
        </w:rPr>
        <w:t>Usljed nedostatka dostupnih informacija o upotrebi ramiprila tokom dojenja (vidjeti dio 5.2), primjena lijeka Piramil se ne preporučuje i alternativna terapija sa bolje ustanovljenim profilom bezbjednosti primjene tokom dojenja se preporučuje, posebno tokom dojenja novorođenčadi ili prevremeno rođenje odojčadi.</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spacing w:val="-8"/>
          <w:lang w:val="sr-Latn-ME"/>
        </w:rPr>
      </w:pPr>
      <w:r w:rsidRPr="00A17652">
        <w:rPr>
          <w:rFonts w:ascii="Times New Roman" w:eastAsia="Times New Roman" w:hAnsi="Times New Roman" w:cs="Times New Roman"/>
          <w:b/>
          <w:bCs/>
          <w:spacing w:val="-8"/>
          <w:lang w:val="sr-Latn-ME"/>
        </w:rPr>
        <w:t>4.7. Uticaj na psihofizičke sposobnosti prilikom upravljanja motornim vozilima i rukovanja mašinama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Neka neželjena dejstva (npr. simptomi smanjenja krvnog pritiska kao što je vrtoglavica) mogu smanjiti koncentraciju i sposobnost pacijenta da reaguje i zbog toga predstavljaju opasnost u situacijama u kojima su ove sposobnosti od posebnog značaja (npr. upravljanje vozilom ili mašinama).</w:t>
      </w: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spacing w:val="-8"/>
          <w:lang w:val="sr-Latn-ME"/>
        </w:rPr>
      </w:pPr>
      <w:r w:rsidRPr="00A17652">
        <w:rPr>
          <w:rFonts w:ascii="Times New Roman" w:eastAsia="Times New Roman" w:hAnsi="Times New Roman" w:cs="Times New Roman"/>
          <w:lang w:val="sr-Latn-ME"/>
        </w:rPr>
        <w:t>To se može dogoditi posebno na početku terapije, ili pri zamjeni preparata. Poslije prve doze ili povećanja doze ne preporučuje se vožnja ili upravljanje mašinama u roku od nekoliko sati.</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4.8. Neželjena dejstva</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Profil bezbjednosti primjene ramiprila uključuje perzistentan, suv kašalj i reakcije usljed hipotenzije. Ozbiljna neželjena dejstva uključuju angioedem, hiperkalijemiju, oštećenje renalne ili hepatičke funkcije, pankreatitis, teške kožne reakcije i neutropeniju/agranulocitozu.</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Učestalost neželjenih reakcija u tabeli definisana je sljedećom konvencijom: veoma često (≥ 1/10), često (≥ 1/100 do &lt; 1/10); povremeno (≥ 1/1,000 do &lt; 1/100); rijetko (≥1/10000 do &lt;1/1000), veoma rijetko (&lt;1/10000) i nepoznato (ne može se procijeniti na osnovu dostupnih podataka).</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1620"/>
        <w:gridCol w:w="1260"/>
        <w:gridCol w:w="1620"/>
      </w:tblGrid>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Često</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Povremeno</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Rijetko</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Veoma rijetko</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Nepoznato</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Kardiološki poremećaji</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Ishemija miokarda uključujući anginu pektoris ili infarkt miokarda, tahikardija, aritmija, palpitacije, periferni edem</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lastRenderedPageBreak/>
              <w:t>Poremećaji  krvi i limfnog sistema</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Eozinofilija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Smanjenje broja leukocita (uključujući neutropeniju ili agranulocitozu), smanjenje broja eritrocita, smanjenje nivoa hemoglobina, smanjenje broja trombocita</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Insuficijencija koštane srži, pancitopenija, hemolitička anemija</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Poremećaji nervnog sistema</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Glavobolja, nesvjestica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Vrtoglavica, parestezija,  poremećaj ukusa ili gubitak ukusa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Tremor, poremećaj ravnoteže</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Cerebralna ishemija, uključujući ishemijski udar i prolazni ishemijski napad, oštećenje psihomotornih sposobnosti, osjećaj peckanja, parosmija</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Poremećaji  oka</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Poremećaji  vida uključujući zamućenje vida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Konjunktivitis</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lang w:val="sr-Latn-ME"/>
              </w:rPr>
              <w:t>Poremećaji  uha i centra za ravnotežu</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Oštećenje sluha, tinitus</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Respiratorni, torakalni i medijastinalni poremećaji</w:t>
            </w:r>
          </w:p>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Neproduktivan kašalj sa osjećajem golicanja u grlu, bronhitis, sinuzitis, dispnea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Bronhospazam uključujući pogoršanje astme, nazalna kongestija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lang w:val="sr-Latn-ME"/>
              </w:rPr>
              <w:t>Gastrointestinalni poremećaji</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Gastrointestinalna inflamacija, smetnje pri varenju, abdominalna nelagodnost, dispepsija, </w:t>
            </w:r>
            <w:r w:rsidRPr="00A17652">
              <w:rPr>
                <w:rFonts w:ascii="Times New Roman" w:eastAsia="Times New Roman" w:hAnsi="Times New Roman" w:cs="Times New Roman"/>
                <w:lang w:val="sr-Latn-ME"/>
              </w:rPr>
              <w:lastRenderedPageBreak/>
              <w:t>dijareja, nauzeja, povraćanje</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lastRenderedPageBreak/>
              <w:t xml:space="preserve">Pankreatitis (slučajevi sa fatalnim ishodom su izuzetno rijetko prijavljivani kod ACE </w:t>
            </w:r>
            <w:r w:rsidRPr="00A17652">
              <w:rPr>
                <w:rFonts w:ascii="Times New Roman" w:eastAsia="Times New Roman" w:hAnsi="Times New Roman" w:cs="Times New Roman"/>
                <w:lang w:val="sr-Latn-ME"/>
              </w:rPr>
              <w:lastRenderedPageBreak/>
              <w:t>inhibitora), povećan nivo enzima pankreasa, angioedem tankog crijeva, bol u gornjem abdomenu uključujući gastritis, konstipacija, suvoća usta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lastRenderedPageBreak/>
              <w:t>Glositis</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Aftozni stomatitis</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lastRenderedPageBreak/>
              <w:t>Poremećaji  bubrega i urinarnog sistema</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Oštećenje renalne funkcije uključujući akutnu renalnu insuficijenciju, povećano izlučivanje mokraće, pogoršanje već postojeće proteinurije, povećanje nivoa ureje u krvi, povećanje nivoa kreatinina u krvi</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Poremećaji  kože i potkožnog tkiva</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Osip, posebno makulopapularni</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Angioedem, izuzetno rijetko opstrukcija disajnih puteva usljed angioedema može imati fatalan ishod; pruritus, hiperhidroza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Eksfolijativni dermatitis, urtikarija, oniholiza</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Fotosenzitivne reakcije</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Toksična epidermalna nekroliza, Stevens Johnson-ov sindrom, eritema multiforme, pemfigus, pogoršanje psorijaze, psorijaziformni dermatitis, pemfigoidni ili lihenoidni egzantem ili enantem, </w:t>
            </w:r>
            <w:r w:rsidRPr="00A17652">
              <w:rPr>
                <w:rFonts w:ascii="Times New Roman" w:eastAsia="Times New Roman" w:hAnsi="Times New Roman" w:cs="Times New Roman"/>
                <w:lang w:val="sr-Latn-ME"/>
              </w:rPr>
              <w:lastRenderedPageBreak/>
              <w:t>alopecija</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lang w:val="sr-Latn-ME"/>
              </w:rPr>
              <w:lastRenderedPageBreak/>
              <w:t>Poremećaji mišićno-skeletnog i vezivnog tkiva</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Mišićni spazam, mialgija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Artralgija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Poremećaji metabolizma i ishrane</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Povećanje nivoa kalijuma u krvi</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Anoreksija, smanjenje apetita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Smanjenje nivoa natrijuma u krvi</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Vaskularni poremećaji</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Hipotenzija,  ortostatska hipotenzija, sinkopa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Naleti vrućine</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Vaskularna stenoza, hipoperfuzija, vaskulitis</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Raynaud-ov fenomen</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Opšti poremećaji i reakcije na mjestu primjene</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Bol u grudima, zamor</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Pireksija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Astenija</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Imunološki poremećaji</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Anafilaktičke ili anafilaktoidne reakcije, povećanje antinuklearnih antitijela</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Hepatobilijarni poremećaji</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Povećanje nivoa enzima jetre i/ili konjugovanog bilirubina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Holestatska žutica, hepatocelularna oštećenja</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Akutna hepatička insuficijencija, holestatski ili citolitički hepatitis (izuzetno rijetko sa fatalnim ishodom)</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Poremećaji  reproduktivnog sistema i dojki</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Prolazna </w:t>
            </w:r>
            <w:bookmarkStart w:id="12" w:name="OLE_LINK12"/>
            <w:r w:rsidRPr="00A17652">
              <w:rPr>
                <w:rFonts w:ascii="Times New Roman" w:eastAsia="Times New Roman" w:hAnsi="Times New Roman" w:cs="Times New Roman"/>
                <w:lang w:val="sr-Latn-ME"/>
              </w:rPr>
              <w:t xml:space="preserve">erektilna impotencija, </w:t>
            </w:r>
            <w:bookmarkEnd w:id="12"/>
            <w:r w:rsidRPr="00A17652">
              <w:rPr>
                <w:rFonts w:ascii="Times New Roman" w:eastAsia="Times New Roman" w:hAnsi="Times New Roman" w:cs="Times New Roman"/>
                <w:lang w:val="sr-Latn-ME"/>
              </w:rPr>
              <w:t>smanjenje libida</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Ginekomastija</w:t>
            </w:r>
          </w:p>
        </w:tc>
      </w:tr>
      <w:tr w:rsidR="000C0237" w:rsidRPr="00A17652" w:rsidTr="000C0237">
        <w:tc>
          <w:tcPr>
            <w:tcW w:w="1795"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bCs/>
                <w:lang w:val="sr-Latn-ME"/>
              </w:rPr>
              <w:t>Psihijatrijski poremećaji</w:t>
            </w:r>
          </w:p>
        </w:tc>
        <w:tc>
          <w:tcPr>
            <w:tcW w:w="180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Depresivno raspoloženje, anksioznost, nervoza, uznemirenost, </w:t>
            </w:r>
            <w:r w:rsidRPr="00A17652">
              <w:rPr>
                <w:rFonts w:ascii="Times New Roman" w:eastAsia="Times New Roman" w:hAnsi="Times New Roman" w:cs="Times New Roman"/>
                <w:lang w:val="sr-Latn-ME"/>
              </w:rPr>
              <w:lastRenderedPageBreak/>
              <w:t>poremećaj spavanja uključujući somnolenciju</w:t>
            </w: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lastRenderedPageBreak/>
              <w:t>Stanje konfuzije</w:t>
            </w:r>
          </w:p>
        </w:tc>
        <w:tc>
          <w:tcPr>
            <w:tcW w:w="126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p>
        </w:tc>
        <w:tc>
          <w:tcPr>
            <w:tcW w:w="1620" w:type="dxa"/>
            <w:shd w:val="clear" w:color="auto" w:fill="auto"/>
            <w:vAlign w:val="center"/>
          </w:tcPr>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Smanjenje pažnje</w:t>
            </w:r>
          </w:p>
        </w:tc>
      </w:tr>
    </w:tbl>
    <w:p w:rsidR="000C0237" w:rsidRPr="00A17652" w:rsidRDefault="000C0237" w:rsidP="006D50ED">
      <w:pPr>
        <w:spacing w:before="120" w:after="0" w:line="240" w:lineRule="auto"/>
        <w:jc w:val="both"/>
        <w:rPr>
          <w:rFonts w:ascii="Times New Roman" w:eastAsia="Times New Roman" w:hAnsi="Times New Roman" w:cs="Times New Roman"/>
          <w:lang w:val="sr-Latn-ME"/>
        </w:rPr>
      </w:pPr>
    </w:p>
    <w:p w:rsidR="000C0237" w:rsidRPr="00A17652" w:rsidRDefault="000C0237" w:rsidP="006D50ED">
      <w:pPr>
        <w:spacing w:before="120"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Pedijatrijska populacija</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Bezbjednost ramiprila je praćena kod 325 djece i adolescenata starosti od 2-16 godina, tokom 2 kliničke studije. Dok je priroda i težina neželjenih dejstava slična onima koji se javljaju kod odraslih, učestalost sljedećih neželjenih dejstava je veća kod djece:</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Tahikardija, nazalna kongestija i rinitis, „često” (≥ 1/100 do &lt; 1/10) u pedijatrijskoj, ”povremeno” (≥ 1/1,000 do &lt; 1/100) u populaciji odraslih.</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Konjunktivitis, „često” (≥ 1/100 do &lt; 1/10) u pedijatrijskoj u odnosu na “rijetko” (≥1/10000 do &lt;1/1000) u populaciji odraslih.</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Tremor i urtikarija, ”povremeno” (≥ 1/1,000 do &lt; 1/100) u pedijatrijskoj populaciji u odnosu na “rijetko” (≥1/10000 do &lt;1/1000) u populaciji odraslih.</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Cjelokupan bezbjednosni profil ramiprila u pedijatrijskoj populaciji ne razlikuje se bitno od bezbjednosnog profila u populaciji odraslih.</w:t>
      </w:r>
    </w:p>
    <w:p w:rsidR="000C0237" w:rsidRPr="00A17652" w:rsidRDefault="000C0237" w:rsidP="006D50ED">
      <w:pPr>
        <w:spacing w:before="120"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b/>
          <w:lang w:val="sr-Latn-ME"/>
        </w:rPr>
      </w:pPr>
      <w:r w:rsidRPr="00A17652">
        <w:rPr>
          <w:rFonts w:ascii="Times New Roman" w:eastAsia="Times New Roman" w:hAnsi="Times New Roman" w:cs="Times New Roman"/>
          <w:b/>
          <w:lang w:val="sr-Latn-ME"/>
        </w:rPr>
        <w:t>Prijavljivanje sumnji na neželjena dejstva</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Agencija za ljekove i medicinska sredstva Crne Gore</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Odjeljenje za farmakovigilancu</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Bulevar Ivana Crnojevića 64a, 81000 Podgorica</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tel: +382 (0) 20 310 280</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fax:+382 (0) 20 310 581</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143891" w:rsidP="006D50ED">
      <w:pPr>
        <w:tabs>
          <w:tab w:val="left" w:pos="284"/>
        </w:tabs>
        <w:spacing w:after="0" w:line="240" w:lineRule="auto"/>
        <w:jc w:val="both"/>
        <w:rPr>
          <w:rFonts w:ascii="Times New Roman" w:eastAsia="Times New Roman" w:hAnsi="Times New Roman" w:cs="Times New Roman"/>
          <w:lang w:val="sr-Latn-ME"/>
        </w:rPr>
      </w:pPr>
      <w:hyperlink r:id="rId8" w:history="1">
        <w:r w:rsidR="000C0237" w:rsidRPr="00A17652">
          <w:rPr>
            <w:rFonts w:ascii="Times New Roman" w:eastAsia="Times New Roman" w:hAnsi="Times New Roman" w:cs="Times New Roman"/>
            <w:color w:val="0000FF"/>
            <w:u w:val="single"/>
            <w:lang w:val="sr-Latn-ME"/>
          </w:rPr>
          <w:t>www.calims.me</w:t>
        </w:r>
      </w:hyperlink>
    </w:p>
    <w:p w:rsidR="000C0237" w:rsidRPr="00A17652" w:rsidRDefault="00143891" w:rsidP="006D50ED">
      <w:pPr>
        <w:tabs>
          <w:tab w:val="left" w:pos="284"/>
        </w:tabs>
        <w:spacing w:after="0" w:line="240" w:lineRule="auto"/>
        <w:jc w:val="both"/>
        <w:rPr>
          <w:rFonts w:ascii="Times New Roman" w:eastAsia="Times New Roman" w:hAnsi="Times New Roman" w:cs="Times New Roman"/>
          <w:color w:val="0000FF"/>
          <w:u w:val="single"/>
          <w:lang w:val="sr-Latn-ME"/>
        </w:rPr>
      </w:pPr>
      <w:hyperlink r:id="rId9" w:history="1">
        <w:r w:rsidR="000C0237" w:rsidRPr="00A17652">
          <w:rPr>
            <w:rFonts w:ascii="Times New Roman" w:eastAsia="Times New Roman" w:hAnsi="Times New Roman" w:cs="Times New Roman"/>
            <w:color w:val="0000FF"/>
            <w:u w:val="single"/>
            <w:lang w:val="sr-Latn-ME"/>
          </w:rPr>
          <w:t>nezeljenadejstva@calims.me</w:t>
        </w:r>
      </w:hyperlink>
    </w:p>
    <w:p w:rsidR="000C0237" w:rsidRPr="00A17652" w:rsidRDefault="000C0237" w:rsidP="006D50ED">
      <w:pPr>
        <w:tabs>
          <w:tab w:val="left" w:pos="284"/>
        </w:tabs>
        <w:spacing w:after="0" w:line="240" w:lineRule="auto"/>
        <w:jc w:val="both"/>
        <w:rPr>
          <w:rFonts w:ascii="Times New Roman" w:eastAsia="Times New Roman" w:hAnsi="Times New Roman" w:cs="Times New Roman"/>
          <w:color w:val="0000FF"/>
          <w:u w:val="single"/>
          <w:lang w:val="sr-Latn-ME"/>
        </w:rPr>
      </w:pPr>
    </w:p>
    <w:p w:rsidR="000C0237" w:rsidRPr="00A17652" w:rsidRDefault="000C0237" w:rsidP="006D50ED">
      <w:pPr>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putem IS zdravstvene zaštite</w:t>
      </w:r>
    </w:p>
    <w:p w:rsidR="009E4E7C" w:rsidRDefault="009E4E7C" w:rsidP="006D50ED">
      <w:pPr>
        <w:tabs>
          <w:tab w:val="left" w:pos="284"/>
        </w:tabs>
        <w:spacing w:before="80" w:after="80" w:line="240" w:lineRule="auto"/>
        <w:jc w:val="both"/>
        <w:rPr>
          <w:rFonts w:ascii="Times New Roman" w:eastAsia="Times New Roman" w:hAnsi="Times New Roman" w:cs="Times New Roman"/>
          <w:b/>
          <w:bCs/>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4.9. Predoziranje i mjere koje je potrebno preduzeti</w:t>
      </w: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Cs/>
          <w:lang w:val="sr-Latn-ME"/>
        </w:rPr>
      </w:pPr>
      <w:r w:rsidRPr="00A17652">
        <w:rPr>
          <w:rFonts w:ascii="Times New Roman" w:eastAsia="Times New Roman" w:hAnsi="Times New Roman" w:cs="Times New Roman"/>
          <w:bCs/>
          <w:lang w:val="sr-Latn-ME"/>
        </w:rPr>
        <w:t xml:space="preserve">Simptomi vezani za predoziranje ACE inhibitorima mogu obuhvatati prejaku perifernu vazodilataciju (sa izraženom hipotenzijom, šokom), bradikardiju, poremećaj elektrolita i renalnu insuficijenciju. Pacijent treba da bude pod strogim nadzorom, a terapija treba da bude simptomatska i suportivna. Predložene mjere uključuju primarnu detoksikaciju (gastrična lavaža, primjena adsorbenasa) i mjere za povratak </w:t>
      </w:r>
      <w:r w:rsidRPr="00A17652">
        <w:rPr>
          <w:rFonts w:ascii="Times New Roman" w:eastAsia="Times New Roman" w:hAnsi="Times New Roman" w:cs="Times New Roman"/>
          <w:bCs/>
          <w:lang w:val="sr-Latn-ME"/>
        </w:rPr>
        <w:lastRenderedPageBreak/>
        <w:t>hemodinamske stabilnosti, uključujući primjenu alfa 1 adrenergičkih agonista ili angiotenzina II (angiotenzinamid). Ramiprilat, aktivni metabolit ramiprila, slabo se uklanja iz cirkulacije hemodijalizom.</w:t>
      </w: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Cs/>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5. FARMAKOLOŠKI PODACI</w:t>
      </w:r>
    </w:p>
    <w:p w:rsidR="0090101A" w:rsidRPr="00A17652" w:rsidRDefault="0090101A" w:rsidP="006D50ED">
      <w:pPr>
        <w:tabs>
          <w:tab w:val="left" w:pos="284"/>
        </w:tabs>
        <w:spacing w:before="80" w:after="80" w:line="240" w:lineRule="auto"/>
        <w:jc w:val="both"/>
        <w:rPr>
          <w:rFonts w:ascii="Times New Roman" w:eastAsia="Times New Roman" w:hAnsi="Times New Roman" w:cs="Times New Roman"/>
          <w:b/>
          <w:bCs/>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5.1. Farmakodinamski podaci</w:t>
      </w:r>
    </w:p>
    <w:p w:rsidR="0090101A" w:rsidRPr="00A17652" w:rsidRDefault="0090101A" w:rsidP="006D50ED">
      <w:pPr>
        <w:tabs>
          <w:tab w:val="left" w:pos="284"/>
        </w:tabs>
        <w:spacing w:after="0" w:line="240" w:lineRule="auto"/>
        <w:jc w:val="both"/>
        <w:rPr>
          <w:rFonts w:ascii="Times New Roman" w:eastAsia="Times New Roman" w:hAnsi="Times New Roman" w:cs="Times New Roman"/>
          <w:b/>
          <w:bCs/>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b/>
          <w:bCs/>
          <w:lang w:val="sr-Latn-ME"/>
        </w:rPr>
        <w:t>Farmakoterapijska grupa:</w:t>
      </w:r>
      <w:r w:rsidR="0090101A" w:rsidRPr="00A17652">
        <w:rPr>
          <w:rFonts w:ascii="Times New Roman" w:eastAsia="Times New Roman" w:hAnsi="Times New Roman" w:cs="Times New Roman"/>
          <w:b/>
          <w:bCs/>
          <w:lang w:val="sr-Latn-ME"/>
        </w:rPr>
        <w:t xml:space="preserve"> </w:t>
      </w:r>
      <w:r w:rsidRPr="00A17652">
        <w:rPr>
          <w:rFonts w:ascii="Times New Roman" w:eastAsia="Times New Roman" w:hAnsi="Times New Roman" w:cs="Times New Roman"/>
          <w:lang w:val="sr-Latn-ME"/>
        </w:rPr>
        <w:t>ACE inhibitori, monokomponentni</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b/>
          <w:bCs/>
          <w:lang w:val="sr-Latn-ME"/>
        </w:rPr>
        <w:t>ATC kod:</w:t>
      </w:r>
      <w:r w:rsidR="0090101A" w:rsidRPr="00A17652">
        <w:rPr>
          <w:rFonts w:ascii="Times New Roman" w:eastAsia="Times New Roman" w:hAnsi="Times New Roman" w:cs="Times New Roman"/>
          <w:b/>
          <w:bCs/>
          <w:lang w:val="sr-Latn-ME"/>
        </w:rPr>
        <w:t xml:space="preserve"> </w:t>
      </w:r>
      <w:r w:rsidRPr="00A17652">
        <w:rPr>
          <w:rFonts w:ascii="Times New Roman" w:eastAsia="Times New Roman" w:hAnsi="Times New Roman" w:cs="Times New Roman"/>
          <w:lang w:val="sr-Latn-ME"/>
        </w:rPr>
        <w:t>C09AA05</w:t>
      </w:r>
    </w:p>
    <w:p w:rsidR="0090101A" w:rsidRPr="00A17652" w:rsidRDefault="0090101A" w:rsidP="006D50ED">
      <w:pPr>
        <w:autoSpaceDE w:val="0"/>
        <w:autoSpaceDN w:val="0"/>
        <w:adjustRightInd w:val="0"/>
        <w:spacing w:after="0" w:line="240" w:lineRule="auto"/>
        <w:jc w:val="both"/>
        <w:rPr>
          <w:rFonts w:ascii="Times New Roman" w:eastAsia="Times New Roman" w:hAnsi="Times New Roman" w:cs="Times New Roman"/>
          <w:i/>
          <w:iCs/>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 New Roman" w:hAnsi="Times New Roman" w:cs="Times New Roman"/>
          <w:i/>
          <w:iCs/>
          <w:u w:val="single"/>
          <w:lang w:val="sr-Latn-ME" w:eastAsia="zh-TW"/>
        </w:rPr>
      </w:pPr>
      <w:r w:rsidRPr="00A17652">
        <w:rPr>
          <w:rFonts w:ascii="Times New Roman" w:eastAsia="Times New Roman" w:hAnsi="Times New Roman" w:cs="Times New Roman"/>
          <w:i/>
          <w:iCs/>
          <w:u w:val="single"/>
          <w:lang w:val="sr-Latn-ME" w:eastAsia="zh-TW"/>
        </w:rPr>
        <w:t>Mehanizam dejstva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Ramiprilat, aktivni metabolit prolijeka ramiprila, inhibira enzim dipeptidilkarboksipeptidazu I (sinonimi: angiotenzin konvertujući enzim; kininaza II). U plazmi i tkivu ovaj enzim katalizuje konverziju angiotenzina I u aktivnu vazokonstriktornu supstancu angiotenzin II, kao i razgradnju aktivnog vazodilatatora bradikinina. Smanjenje stvaranja angiotenzina II i inhibicija razgradnje bradikinina dovode do vazodilatacije.</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Pošto angiotenzin II takođe stimuliše oslobađanje aldosterona, ramiprilat izaziva redukciju sekrecije aldosterona. Prosječan odgovor na monoterapiju ACE inhibitorima je manji kod ljudi crne rase sa hipertenzijom (uglavnom kod pacijenata sa hipertenzijom koji imaju nizak nivo renina) nego kod ljudi drugih rasa.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 New Roman" w:hAnsi="Times New Roman" w:cs="Times New Roman"/>
          <w:i/>
          <w:iCs/>
          <w:u w:val="single"/>
          <w:lang w:val="sr-Latn-ME" w:eastAsia="zh-TW"/>
        </w:rPr>
      </w:pPr>
      <w:r w:rsidRPr="00A17652">
        <w:rPr>
          <w:rFonts w:ascii="Times New Roman" w:eastAsia="Times New Roman" w:hAnsi="Times New Roman" w:cs="Times New Roman"/>
          <w:i/>
          <w:iCs/>
          <w:u w:val="single"/>
          <w:lang w:val="sr-Latn-ME" w:eastAsia="zh-TW"/>
        </w:rPr>
        <w:t>Farmakodinamski efekti</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Antihipertenzivna svojstva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Primjena ramiprila dovodi do izraženog smanjenja periferne arterijske rezistencije. Po pravilu, nema značajne promjene renalnog protoka plazme i brzine glomerularne filtracije.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Primjena ramiprila kod pacijenata sa hipertenzijom dovodi do sniženja krvnog pritiska u ležećem i stojećem stavu, bez kompenzatornog ubrzavanja srčanog ritma.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Kod većine pacijenata antihipertenzivno dejstvo nastaje za približno 1 do 2 sata nakon pojedinačne oralno primjenjene doze. Maksimalno dejstvo pojedinačne doze obično se dostiže za 3 do 6 sati nakon oralne primjene. Antihipertenzivno dejstvo pojedinačne doze traje 24 časa.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Maksimalno antihipertenzivno dejstvo kod kontinuirane primjene ramiprila  se zapaža nakon 3 do 4 nedjelje od početka primjene. Pokazalo se da se antihipertenzivno dejstvo održava čak i tokom dugotrajne terapije od 2 godine.</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Nagli prekid primjene ramiprila neće dovesti do brzog i pretjeranog skoka krvnog pritiska („rebound“ efekat).</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Srčana insuficijencija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Pokazalo se da je ramipril efikasan kao dodatak konvencionalnoj terapiji diureticima i izabranim kardiotoničnim glikozidima kod pacijenata sa funkcionalnim klasama II-IV New York Heart Asocijacije (NYHA).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Lijek ima korisno dejstvo na hemodinamiku srca (smanjuje pritisak punjenja lijeve i desne srčane komore, smanjuje ukupni periferni vaskularni otpor, povećava srčani rad i poboljšava srčani indeks). Takođe, smanjuje neuroendokrinu aktivaciju. </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iCs/>
          <w:u w:val="single"/>
          <w:lang w:val="sr-Latn-ME" w:eastAsia="zh-TW"/>
        </w:rPr>
      </w:pPr>
      <w:r w:rsidRPr="00A17652">
        <w:rPr>
          <w:rFonts w:ascii="Times New Roman" w:eastAsia="TimesNewRoman" w:hAnsi="Times New Roman" w:cs="Times New Roman"/>
          <w:i/>
          <w:iCs/>
          <w:u w:val="single"/>
          <w:lang w:val="sr-Latn-ME" w:eastAsia="zh-TW"/>
        </w:rPr>
        <w:t>Klinička efikasnost i bezbjednost primene</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Kardiovaskularna prevencija/ Nefroprotekcija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 xml:space="preserve">Sprovedena je preventivna placebo kontrolisana studija (HOPE studija) u kojoj je ramipril dodat standardnoj terapiji kod više od 9200 pacijenata. U studiju su bili uključeni pacijenti sa povećanim rizikom od pojave kardiovaskularnih bolesti usljed aterotrombotičkih kardiovaskularnih poremećaja (koronarna bolest srca, moždani udar ili periferna arterijska bolest u anamnezi) ili zbog diabetes mellitusa-a sa najmanje još jednim dodatnim faktorom rizika (zabilježenom mikroalbuminurijom, hipertenzijom, povišenim nivoom ukupnog holesterola, smanjenim nivoom HDL holesterola ili pušenjem). </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Ovo ispitivanje je pokazalo da ramipril u statistički značajno smanjuje incidencu infarkta miokarda, smrti usljed kardiovaskularnih uzroka i moždanog udara, primjenjen sam ili u kombinaciji (primarno kombinovani događaji).</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HOPE studija: glavni rezultati</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469"/>
        <w:gridCol w:w="1305"/>
        <w:gridCol w:w="1840"/>
        <w:gridCol w:w="1081"/>
      </w:tblGrid>
      <w:tr w:rsidR="000C0237" w:rsidRPr="00A17652" w:rsidTr="000C0237">
        <w:trPr>
          <w:trHeight w:val="503"/>
        </w:trPr>
        <w:tc>
          <w:tcPr>
            <w:tcW w:w="2128" w:type="pct"/>
            <w:vMerge w:val="restar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Ramipril</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Placebo</w:t>
            </w:r>
          </w:p>
        </w:tc>
        <w:tc>
          <w:tcPr>
            <w:tcW w:w="928" w:type="pct"/>
            <w:vMerge w:val="restar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Relativni rizik (95% interval pouzdanosti)</w:t>
            </w:r>
          </w:p>
        </w:tc>
        <w:tc>
          <w:tcPr>
            <w:tcW w:w="545" w:type="pct"/>
            <w:vMerge w:val="restar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p-vrijednost</w:t>
            </w:r>
          </w:p>
        </w:tc>
      </w:tr>
      <w:tr w:rsidR="000C0237" w:rsidRPr="00A17652" w:rsidTr="000C0237">
        <w:trPr>
          <w:trHeight w:val="183"/>
        </w:trPr>
        <w:tc>
          <w:tcPr>
            <w:tcW w:w="2128" w:type="pct"/>
            <w:vMerge/>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w:t>
            </w:r>
          </w:p>
        </w:tc>
        <w:tc>
          <w:tcPr>
            <w:tcW w:w="928" w:type="pct"/>
            <w:vMerge/>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545" w:type="pct"/>
            <w:vMerge/>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r>
      <w:tr w:rsidR="000C0237" w:rsidRPr="00A17652" w:rsidTr="000C0237">
        <w:trPr>
          <w:trHeight w:val="351"/>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Svi pacijenti</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n=4,645</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N=4,652</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r>
      <w:tr w:rsidR="000C0237" w:rsidRPr="00A17652" w:rsidTr="000C0237">
        <w:trPr>
          <w:trHeight w:val="366"/>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Primarni kombinovani događaji</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14.0</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17.8</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0.78 (0.70-0.86)</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&lt;0.001</w:t>
            </w:r>
          </w:p>
        </w:tc>
      </w:tr>
      <w:tr w:rsidR="000C0237" w:rsidRPr="00A17652" w:rsidTr="000C0237">
        <w:trPr>
          <w:trHeight w:val="351"/>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Infarkt miokarda</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9.9</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12.3</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0.80 (0.70-0.90)</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&lt;0.001</w:t>
            </w:r>
            <w:r w:rsidRPr="00A17652">
              <w:rPr>
                <w:rFonts w:ascii="Times New Roman" w:eastAsia="TimesNewRoman" w:hAnsi="Times New Roman" w:cs="Times New Roman"/>
                <w:lang w:val="sr-Latn-ME" w:eastAsia="zh-TW"/>
              </w:rPr>
              <w:tab/>
            </w:r>
          </w:p>
        </w:tc>
      </w:tr>
      <w:tr w:rsidR="000C0237" w:rsidRPr="00A17652" w:rsidTr="000C0237">
        <w:trPr>
          <w:trHeight w:val="366"/>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Smrt usljed kardiovaskularnih uzroka</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6.1</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8.1</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0.74 (0.64-0.87)</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&lt;0.001</w:t>
            </w:r>
          </w:p>
        </w:tc>
      </w:tr>
      <w:tr w:rsidR="000C0237" w:rsidRPr="00A17652" w:rsidTr="000C0237">
        <w:trPr>
          <w:trHeight w:val="366"/>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Moždani udar</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3.4</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4.9</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0.68 (0.56-0.84)</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&lt;0.001</w:t>
            </w:r>
          </w:p>
        </w:tc>
      </w:tr>
      <w:tr w:rsidR="000C0237" w:rsidRPr="00A17652" w:rsidTr="000C0237">
        <w:trPr>
          <w:trHeight w:val="351"/>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r>
      <w:tr w:rsidR="000C0237" w:rsidRPr="00A17652" w:rsidTr="000C0237">
        <w:trPr>
          <w:trHeight w:val="366"/>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Sekundarni cilj</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tc>
      </w:tr>
      <w:tr w:rsidR="000C0237" w:rsidRPr="00A17652" w:rsidTr="000C0237">
        <w:trPr>
          <w:trHeight w:val="351"/>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i/>
                <w:lang w:val="sr-Latn-ME" w:eastAsia="zh-TW"/>
              </w:rPr>
              <w:t>Smrt zbog bilo kog uzroka</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10.4</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12.2</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0.84 (0.75-0.95)</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0.005</w:t>
            </w:r>
          </w:p>
        </w:tc>
      </w:tr>
      <w:tr w:rsidR="000C0237" w:rsidRPr="00A17652" w:rsidTr="000C0237">
        <w:trPr>
          <w:trHeight w:val="366"/>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Potreba za revaskularizacijom</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16.0</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18.3</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0.85 (0.77-0.94)</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0.002</w:t>
            </w:r>
          </w:p>
        </w:tc>
      </w:tr>
      <w:tr w:rsidR="000C0237" w:rsidRPr="00A17652" w:rsidTr="000C0237">
        <w:trPr>
          <w:trHeight w:val="351"/>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Hospitalizacija zbog nestabilne angine</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12.1</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12.3</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0.98 (0.87-1.10)</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NS</w:t>
            </w:r>
          </w:p>
        </w:tc>
      </w:tr>
      <w:tr w:rsidR="000C0237" w:rsidRPr="00A17652" w:rsidTr="000C0237">
        <w:trPr>
          <w:trHeight w:val="366"/>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Hospitalizacija zbog srčane insuficijencije</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3.2</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3.5</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0.88 (0.70-1.10)</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0.25</w:t>
            </w:r>
          </w:p>
        </w:tc>
      </w:tr>
      <w:tr w:rsidR="000C0237" w:rsidRPr="00A17652" w:rsidTr="000C0237">
        <w:trPr>
          <w:trHeight w:val="366"/>
        </w:trPr>
        <w:tc>
          <w:tcPr>
            <w:tcW w:w="21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Komplikacije vezane za dijabetes</w:t>
            </w:r>
          </w:p>
        </w:tc>
        <w:tc>
          <w:tcPr>
            <w:tcW w:w="741"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6.4</w:t>
            </w:r>
          </w:p>
        </w:tc>
        <w:tc>
          <w:tcPr>
            <w:tcW w:w="65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7.6</w:t>
            </w:r>
          </w:p>
        </w:tc>
        <w:tc>
          <w:tcPr>
            <w:tcW w:w="928"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0.84 (0.72-0.98)</w:t>
            </w:r>
          </w:p>
        </w:tc>
        <w:tc>
          <w:tcPr>
            <w:tcW w:w="545" w:type="pct"/>
            <w:shd w:val="clear" w:color="auto" w:fill="auto"/>
          </w:tcPr>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0.03</w:t>
            </w:r>
          </w:p>
        </w:tc>
      </w:tr>
    </w:tbl>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 MICRO HOPE studiji, prethodno definisanoj podstudiji glavne HOPE studije, ispitivan je efekat dodavanja ramiprila u dozi od 10 mg postojećem režimu liječenja u odnosu na placebo kod 3.577 pacijenata starosti ≥55 godina (bez gornje granice starosti), od kojih je većina imala dijabetes tip 2 (i najmanje još jedan KV faktor rizika), sa normalnim ili povišenim krvnim pritiskom.</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Primarna analiza je pokazala da se kod 117 (6.5%)  pacijenata koji su primjenjivali ramipril i 149 (8.4%) koji su bili na placebu razvila jasna nefropatija, što odgovara RRR 24%; 95% CI [3-40], p=0.027.</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REIN studija, multicentrična, randomizovana, dvostruko slijepa, placebo kontrolisana studija na paralelnim grupama, imala je za cilj da procijeni dejstvo ramiprila na stopu opadanja glomerularne funkcije (GF) kod 352 pacijenata sa normalnim ili povišenim krvnim pritiskom (18-70 godina starosti) koji pate od blage (tj. srednja urinarna ekskrecija proteina &gt;1 i &lt;3 g/24 h) ili teške proteinurije (≥3 g/24 h) usljed hronične nedijabetičke nefropatije. Obje subpopulacije su prospektivno stratifikovane.</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lastRenderedPageBreak/>
        <w:t xml:space="preserve">Glavna analiza pacijenata sa najtežom proteinurijom (dio pacijenata kod kojih je prerano prekinuto ispitivanje  zbog boljih rezultata ramipril grupe) pokazala je da je prosječno smanjenje brzine glomerularne fltracije (GFR) po mjesecu bio manji kod primjene ramiprila u odnosu na primjenu placeba; -0.54 (0.66) prema -0.88 (1.03) ml/min/mjesec, p=0.038. Razlika između grupa je prema tome bila 0.34 (0.03-0.65) po mjesecu, i oko 4 ml/min po godini; 23.1% pacijenata u ramipril grupi dostiglo je kombinovani sekundarni cilj ispitivanja tj. dupliranje početnih vrijednosti koncentracije kreatinina i/ili terminalni stadijum renalne bolesti (ESRD) (kada je potrebna dijaliza ili transplatacija), u odnosu na 45.5% u placebo grupi (p=0.02). </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Sekundarna prevencija nakon akutnog infarkta miokarda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Sprovedena je AIRE studija u kojoj je učestvovalo više od 2000 pacijenata sa prolaznim/postojanim kliničkim znacima srčane insuficijencije nakon zabilježenog infarkta miokarda. Liječenje ramiprilom je započeto 3 do 10 dana nakon akutnog infarkta miokarda. Studija je pokazala da je nakon prosječnog vremena praćenja od 15 mjeseci mortalitet kod pacijenata koji su primjenjivali ramipril bio 16.9% a kod pacijenata koji su primjenjivali placebo 22.6%. Ovo znači da je apsolutni mortalitet smanjen za 5.7%, a relativni rizik za 27% (95% CI [11-40%]).</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i/>
          <w:lang w:val="sr-Latn-ME" w:eastAsia="zh-TW"/>
        </w:rPr>
      </w:pPr>
      <w:r w:rsidRPr="00A17652">
        <w:rPr>
          <w:rFonts w:ascii="Times New Roman" w:eastAsia="TimesNewRoman" w:hAnsi="Times New Roman" w:cs="Times New Roman"/>
          <w:i/>
          <w:lang w:val="sr-Latn-ME" w:eastAsia="zh-TW"/>
        </w:rPr>
        <w:t>Pedijatrijska populacija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U randomizovanoj, dvostruko slijepoj, placebo kontrolisanoj kliničkoj studiji koja je uključila 244 pedijatrijska pacijenata sa hipertenzijom (73% primarna hipertenzija), uzrasta 6 do 16 godina, pacijenti su dobijali malu, srednju ili visoku dozu ramiprila u cilju postizanja koncentracija ramiprilata u plazmi koje odgovaraju dozama kod odraslih od 1,25 mg, 5 mg i 20 mg, na osnovu tjelesne mase. Nakon 4 nedjelje, ramipril se pokazao neefikasnim u ishodu sniženja sistolnog krvnog pritiska, ali je doveo do sniženja dijastolnog krvnog pritiska pri primjeni najviših doza. Kod primjene srednjih i visokih doza ramiprila došlo je do značajnog sniženja kako sistolnog tako i dijastolnog krvnog pritiska kod djece sa potvrđenom hipertenzijom.</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Ovo dejstvo nije zabilježeno u četvoronedjeljnoj, dozno eskalacionoj, randomizovanoj, dvostruko slijepoj studiji povlačenja sprovedenoj kod 218 pedijatrijskih pacijenata uzrasta 6 do 16 godina (75% primarna hipertenzija), gdje su  sistolni  i dijastolni pritisak pokazali umjeren, ali ne i statistički značajan povratak na osnovnu liniju u sva tri testirana  dozna nivoa [niska doza (0.625 mg – 2.5 mg), srednja doza (2.5 mg – 10 mg) ili visoka doza (5 mg – 20 mg)] na osnovu tjelesne mase. Ramipril nije imao linearan dozni odgovor u ispitivanoj pedijatrijskoj populaciji.</w:t>
      </w:r>
    </w:p>
    <w:p w:rsidR="0090101A" w:rsidRPr="00A17652" w:rsidRDefault="0090101A"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5.2. Farmakokinetički podaci</w:t>
      </w:r>
    </w:p>
    <w:p w:rsidR="0090101A" w:rsidRPr="00A17652" w:rsidRDefault="0090101A" w:rsidP="006D50ED">
      <w:pPr>
        <w:autoSpaceDE w:val="0"/>
        <w:autoSpaceDN w:val="0"/>
        <w:adjustRightInd w:val="0"/>
        <w:spacing w:after="0" w:line="240" w:lineRule="auto"/>
        <w:jc w:val="both"/>
        <w:rPr>
          <w:rFonts w:ascii="Times New Roman" w:eastAsia="Times New Roman" w:hAnsi="Times New Roman" w:cs="Times New Roman"/>
          <w:i/>
          <w:iCs/>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 New Roman" w:hAnsi="Times New Roman" w:cs="Times New Roman"/>
          <w:i/>
          <w:iCs/>
          <w:lang w:val="sr-Latn-ME" w:eastAsia="zh-TW"/>
        </w:rPr>
      </w:pPr>
      <w:r w:rsidRPr="00A17652">
        <w:rPr>
          <w:rFonts w:ascii="Times New Roman" w:eastAsia="Times New Roman" w:hAnsi="Times New Roman" w:cs="Times New Roman"/>
          <w:i/>
          <w:iCs/>
          <w:lang w:val="sr-Latn-ME" w:eastAsia="zh-TW"/>
        </w:rPr>
        <w:t>Farmakokinetika i metabolizam</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Resorpcija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Poslije oralne primjene, ramipril se brzo resorbuje iz gastrointestinalnog trakta: maksimalne koncentracije ramiprila u plazmi se postižu u okviru jednog časa od primjene.</w:t>
      </w:r>
      <w:r w:rsidRPr="00A17652">
        <w:rPr>
          <w:rFonts w:ascii="Times New Roman" w:eastAsia="Times New Roman" w:hAnsi="Times New Roman" w:cs="Times New Roman"/>
          <w:color w:val="FF0000"/>
          <w:lang w:val="sr-Latn-ME"/>
        </w:rPr>
        <w:t xml:space="preserve"> </w:t>
      </w:r>
      <w:r w:rsidRPr="00A17652">
        <w:rPr>
          <w:rFonts w:ascii="Times New Roman" w:eastAsia="Times New Roman" w:hAnsi="Times New Roman" w:cs="Times New Roman"/>
          <w:lang w:val="sr-Latn-ME"/>
        </w:rPr>
        <w:t>Na osnovu urinarne ekskrecije može se zaključiti da je obim resorpcije najmanje 56% i da na nju značajno ne utiče prisustvo hrane u gastrointestinalnom traktu. Bioraspoloživost aktivnog metabolita ramiprilata poslije oralne primjene 2.5 mg i 5 mg  je 45%.</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color w:val="FF0000"/>
          <w:lang w:val="sr-Latn-ME"/>
        </w:rPr>
      </w:pPr>
      <w:r w:rsidRPr="00A17652">
        <w:rPr>
          <w:rFonts w:ascii="Times New Roman" w:eastAsia="Times New Roman" w:hAnsi="Times New Roman" w:cs="Times New Roman"/>
          <w:lang w:val="sr-Latn-ME"/>
        </w:rPr>
        <w:t>Maksimalna  koncentracija ramiprilata, jedinog aktivnog metabolita ramiprila, u plazmi se postižu za 2-4 časa nakon primjene ramiprila. Ravnotežno stanje  koncentracije lijeka u plazmi nakon primjene jednom dnevno, u dozama uobičajenim za ramipril, postiže se otprilike u roku od četiri dana od početka primjene.</w:t>
      </w:r>
    </w:p>
    <w:p w:rsidR="000C0237"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p>
    <w:p w:rsidR="009E4E7C" w:rsidRPr="00A17652" w:rsidRDefault="009E4E7C"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lastRenderedPageBreak/>
        <w:t>Distribucija</w:t>
      </w:r>
    </w:p>
    <w:p w:rsidR="000C0237" w:rsidRPr="00A17652" w:rsidRDefault="000C0237" w:rsidP="006D50ED">
      <w:pPr>
        <w:tabs>
          <w:tab w:val="left" w:pos="284"/>
          <w:tab w:val="center" w:pos="4536"/>
          <w:tab w:val="right" w:pos="9072"/>
        </w:tabs>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73% ramiprila se vezuje za proteine plazme od čega je 56% u obliku ramiprilata.</w:t>
      </w:r>
    </w:p>
    <w:p w:rsidR="000C0237" w:rsidRPr="00A17652" w:rsidRDefault="000C0237" w:rsidP="006D50ED">
      <w:pPr>
        <w:tabs>
          <w:tab w:val="left" w:pos="284"/>
        </w:tabs>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Metabolizam</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Ramipril se skoro u potpunosti metaboliše u ramiprilat, u estar diketopiperazina, diketopiperazinsku</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kiselinu i glukuronide ramiprila i ramiprilata.</w:t>
      </w: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jc w:val="both"/>
        <w:rPr>
          <w:rFonts w:ascii="Times New Roman" w:eastAsia="TimesNewRoman" w:hAnsi="Times New Roman" w:cs="Times New Roman"/>
          <w:u w:val="single"/>
          <w:lang w:val="sr-Latn-ME" w:eastAsia="zh-TW"/>
        </w:rPr>
      </w:pPr>
      <w:r w:rsidRPr="00A17652">
        <w:rPr>
          <w:rFonts w:ascii="Times New Roman" w:eastAsia="TimesNewRoman" w:hAnsi="Times New Roman" w:cs="Times New Roman"/>
          <w:u w:val="single"/>
          <w:lang w:val="sr-Latn-ME" w:eastAsia="zh-TW"/>
        </w:rPr>
        <w:t>Eliminacija</w:t>
      </w: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Izlučivanje metabolita primarno se vrši putem bubrega.</w:t>
      </w: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Koncentracija ramiprilata u plazmi opada na polifazni način. Zbog svog snažnog saturacionog vezivanja za angiotenzin konvertujući enzim (ACE) i zbog spore disocijacije sa enzima, ramiprilat pokazuje produženu fazu terminalne eliminacije pri veoma malim koncentracijama u plazmi. </w:t>
      </w: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Nakon ponovljennih jednodnevnih doza ramiprila, efektivne vrijednosti poluvremena eliminacije za ramiprilat su bile 13 - 17 časova za doze 5 - 10 mg, a za niže doze od 1.25 - 2.5 mg i duži. Ova razlika je povezana sa saturacionim kapacitetom enzima za vezivanje ramiprilata.</w:t>
      </w: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Poslije primjene pojedinačne oralne doze, koncentracija ramiprila i njegovih metabolita u mlijeku je ispod nivoa detekcije. Međutim, dejstvo ponovljenih doza nije poznato.</w:t>
      </w: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Pacijenti sa renalnim oštećenjem (vidjeti dio 4.2)</w:t>
      </w: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Izlučivanje ramiprilata putem bubrega je smanjeno kod pacijenata sa oštećenom funkcijom bubrega, a renalni klirens ramiprilata je proporcionalan klirensu kreatinina. Posljedica ovoga su povišene koncentracije ramiprilata u plazmi, koje opadaju sporije nego kod pacijenata sa normalnom renalnom funkcijom.</w:t>
      </w: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center" w:pos="4536"/>
          <w:tab w:val="right" w:pos="9072"/>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Pacijenti sa hepatičkim oštećenjem (vidjeti dio 4.2)</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Kod pacijenata sa oštećenom funkcijom jetre metabolizam ramiprila do ramiprilata je odložen usljed smanjene aktivnosti hepatičnih esteraza, pa je koncentracija ramiprila u plazmi kod ovih pacijenata povećana. Maksimalna koncentracija ramiprilata u krvi kod ovih pacijenata se, međutim, ne razlikuje od koncentracije kod pacijenata sa normalnom hepatičnom funkcijom.</w:t>
      </w:r>
    </w:p>
    <w:p w:rsidR="000C0237" w:rsidRPr="00A17652" w:rsidRDefault="000C0237" w:rsidP="006D50ED">
      <w:pPr>
        <w:tabs>
          <w:tab w:val="left" w:pos="284"/>
        </w:tabs>
        <w:spacing w:after="0" w:line="240" w:lineRule="auto"/>
        <w:jc w:val="both"/>
        <w:rPr>
          <w:rFonts w:ascii="Times New Roman" w:eastAsia="Times New Roman" w:hAnsi="Times New Roman" w:cs="Times New Roman"/>
          <w:u w:val="single"/>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Dojenje</w:t>
      </w:r>
    </w:p>
    <w:p w:rsidR="000C0237" w:rsidRPr="00A17652" w:rsidRDefault="000C0237" w:rsidP="006D50ED">
      <w:pPr>
        <w:tabs>
          <w:tab w:val="left" w:pos="284"/>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lang w:val="sr-Latn-ME"/>
        </w:rPr>
        <w:t>Nakon primjene pojedinačne oralne doze od 10 mg ramiprila, nivoi u humanom mlijeku se nijesu mogli detektovati. Međutim, dejstvo ponovljenih doza nije poznato</w:t>
      </w:r>
      <w:r w:rsidRPr="00A17652">
        <w:rPr>
          <w:rFonts w:ascii="Times New Roman" w:eastAsia="Times New Roman" w:hAnsi="Times New Roman" w:cs="Times New Roman"/>
          <w:u w:val="single"/>
          <w:lang w:val="sr-Latn-ME"/>
        </w:rPr>
        <w:t>.</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u w:val="single"/>
          <w:lang w:val="sr-Latn-ME"/>
        </w:rPr>
        <w:t>Pedijatrijska populacija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Farmakokinetički profil ramiprila ispitivan je kod 30 pedijatrijskih pacijenata sa hipertenzijom, uzrasta 2 do 16 godina, tjelesne mase ≥ 10 kg. Nakon primjene doza od 0.05 do 0.2 mg/kg ramipril se brzo i intenzivno metabolisao u ramiprilat. Maksimalna koncentracija u plazmi postizala se u okviru 2 – 3 sata. </w:t>
      </w:r>
    </w:p>
    <w:p w:rsidR="000C0237" w:rsidRPr="00A17652" w:rsidRDefault="000C0237" w:rsidP="006D50ED">
      <w:pPr>
        <w:tabs>
          <w:tab w:val="left" w:pos="284"/>
        </w:tabs>
        <w:spacing w:after="0" w:line="240" w:lineRule="auto"/>
        <w:jc w:val="both"/>
        <w:rPr>
          <w:rFonts w:ascii="Times New Roman" w:eastAsia="Times New Roman" w:hAnsi="Times New Roman" w:cs="Times New Roman"/>
          <w:u w:val="single"/>
          <w:lang w:val="sr-Latn-ME"/>
        </w:rPr>
      </w:pPr>
      <w:r w:rsidRPr="00A17652">
        <w:rPr>
          <w:rFonts w:ascii="Times New Roman" w:eastAsia="Times New Roman" w:hAnsi="Times New Roman" w:cs="Times New Roman"/>
          <w:lang w:val="sr-Latn-ME"/>
        </w:rPr>
        <w:t>Klirens ramiprila bio je u visokoj korelaciji sa  tjelesnom masom (p&lt;0.01) kao i sa  dozom (p&lt;0.001). Klirens i volumen distribucije su se uvećavali sa povećavanjem godina starosti u svakoj doznoj grupi. Doza od 0.05 mg/kg dostigla je nivoe izloženosti uporedive sa onima kod odraslih liječenih dozom od 5 mg. Primjena doze od 0.2 mg/kg kod djece imala je za posljedicu nivoe izloženosti veće od maksimalne preporučene doze od 10 mg dnevno kod odraslih.</w:t>
      </w:r>
    </w:p>
    <w:p w:rsidR="000C0237" w:rsidRPr="00A17652" w:rsidRDefault="000C0237" w:rsidP="006D50ED">
      <w:pPr>
        <w:tabs>
          <w:tab w:val="left" w:pos="284"/>
        </w:tabs>
        <w:spacing w:after="0" w:line="240" w:lineRule="auto"/>
        <w:jc w:val="both"/>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jc w:val="both"/>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5.3. Pretklinički podaci o bezbjednosti lijeka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Utvrđeno je da pri oralnoj primjeni ramipril ne izaziva akutnu toksičnost kod glodara i pasa.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lastRenderedPageBreak/>
        <w:t xml:space="preserve">Sprovedene su studije hronične oralne primjene lijeka na pacovima, psima i majmunima. Promjene nivoa elektrolita u plazmi i promjena krvne slike zabilježene su kod 3 životinjske vrste.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Kao posljedica farmakodinamske aktivnosti ramiprila zabilježeno je izrazito uvećanja jukstaglomerularnog aparata kod pasa i majmuna pri dnevnim dozama od 250 mg/kg/dan. Pacovi, psi i majmuni tolerisali su dnevne doze od 2, 2.5 odnosno 8 mg/kg/dan, bez štetnih dejstava.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Ispitivanja reproduktivne toksičnosti ramiprila kod pacova, kunića i majmuna nijesu utvrdila postojanje teratogenog dejstva lijeka.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Plodnost nije bila oštećena ni kod mužjaka ni kod ženki pacova.</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 xml:space="preserve">Primjena ramiprila kod ženki pacova tokom fetalnog perioda i tokom laktacije u dnevnim dozama od 50 mg/kg tjelesne mase ili višim, dovodi do ireverzibilnog oštećenja bubrega (proširenje bubrežnih čašica) kod potomstva. </w:t>
      </w:r>
    </w:p>
    <w:p w:rsidR="000C0237" w:rsidRPr="00A17652" w:rsidRDefault="000C0237" w:rsidP="006D50ED">
      <w:pPr>
        <w:tabs>
          <w:tab w:val="left" w:pos="570"/>
          <w:tab w:val="center" w:pos="4320"/>
          <w:tab w:val="right" w:pos="8640"/>
        </w:tabs>
        <w:spacing w:before="120" w:after="0" w:line="240" w:lineRule="auto"/>
        <w:jc w:val="both"/>
        <w:rPr>
          <w:rFonts w:ascii="Times New Roman" w:eastAsia="Times New Roman" w:hAnsi="Times New Roman" w:cs="Times New Roman"/>
          <w:lang w:val="sr-Latn-ME"/>
        </w:rPr>
      </w:pPr>
      <w:r w:rsidRPr="00A17652">
        <w:rPr>
          <w:rFonts w:ascii="Times New Roman" w:eastAsia="Times New Roman" w:hAnsi="Times New Roman" w:cs="Times New Roman"/>
          <w:lang w:val="sr-Latn-ME"/>
        </w:rPr>
        <w:t>Opsežno testiranje mutagenosti pomoću nekoliko sistema testiranja, nije pokazalo da ramipril ima mutagena i genotoksična svojstva.</w:t>
      </w:r>
    </w:p>
    <w:p w:rsidR="000C0237" w:rsidRPr="00A17652" w:rsidRDefault="000C0237" w:rsidP="006D50ED">
      <w:pPr>
        <w:tabs>
          <w:tab w:val="left" w:pos="570"/>
          <w:tab w:val="center" w:pos="4320"/>
          <w:tab w:val="right" w:pos="8640"/>
        </w:tabs>
        <w:spacing w:before="120" w:after="120" w:line="240" w:lineRule="auto"/>
        <w:jc w:val="both"/>
        <w:rPr>
          <w:rFonts w:ascii="Humanist777" w:eastAsia="Times New Roman" w:hAnsi="Humanist777" w:cs="Times New Roman"/>
          <w:sz w:val="24"/>
          <w:szCs w:val="24"/>
          <w:lang w:val="sr-Latn-ME"/>
        </w:rPr>
      </w:pPr>
      <w:r w:rsidRPr="00A17652">
        <w:rPr>
          <w:rFonts w:ascii="Times New Roman" w:eastAsia="Times New Roman" w:hAnsi="Times New Roman" w:cs="Times New Roman"/>
          <w:lang w:val="sr-Latn-ME"/>
        </w:rPr>
        <w:t>Ireverzibilno oštećenje bubrega je zabilježeno kod veoma mladih pacova kojima je primjenjena pojedinačna doza ramiprila.</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6. FARMACEUTSKI PODACI</w:t>
      </w:r>
    </w:p>
    <w:p w:rsidR="0090101A" w:rsidRPr="00A17652" w:rsidRDefault="0090101A" w:rsidP="006D50ED">
      <w:pPr>
        <w:tabs>
          <w:tab w:val="left" w:pos="284"/>
        </w:tabs>
        <w:spacing w:before="80" w:after="80" w:line="240" w:lineRule="auto"/>
        <w:rPr>
          <w:rFonts w:ascii="Times New Roman" w:eastAsia="Times New Roman" w:hAnsi="Times New Roman" w:cs="Times New Roman"/>
          <w:b/>
          <w:bCs/>
          <w:lang w:val="sr-Latn-ME"/>
        </w:rPr>
      </w:pPr>
    </w:p>
    <w:p w:rsidR="000C0237" w:rsidRPr="00A17652" w:rsidRDefault="000C0237" w:rsidP="006D50ED">
      <w:pPr>
        <w:tabs>
          <w:tab w:val="left" w:pos="284"/>
        </w:tabs>
        <w:spacing w:before="80" w:after="8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6.1. Lista pomoćnih supstanci</w:t>
      </w:r>
    </w:p>
    <w:p w:rsidR="0090101A" w:rsidRPr="00A17652" w:rsidRDefault="0090101A" w:rsidP="006D50ED">
      <w:pPr>
        <w:autoSpaceDE w:val="0"/>
        <w:autoSpaceDN w:val="0"/>
        <w:adjustRightInd w:val="0"/>
        <w:spacing w:after="0" w:line="240" w:lineRule="auto"/>
        <w:rPr>
          <w:rFonts w:ascii="Times New Roman" w:eastAsia="Times New Roman" w:hAnsi="Times New Roman" w:cs="Times New Roman"/>
          <w:i/>
          <w:iCs/>
          <w:lang w:val="sr-Latn-ME" w:eastAsia="zh-TW"/>
        </w:rPr>
      </w:pPr>
    </w:p>
    <w:p w:rsidR="000C0237" w:rsidRPr="00A17652" w:rsidRDefault="000C0237" w:rsidP="006D50ED">
      <w:pPr>
        <w:autoSpaceDE w:val="0"/>
        <w:autoSpaceDN w:val="0"/>
        <w:adjustRightInd w:val="0"/>
        <w:spacing w:after="0" w:line="240" w:lineRule="auto"/>
        <w:rPr>
          <w:rFonts w:ascii="Times New Roman" w:eastAsia="Times New Roman" w:hAnsi="Times New Roman" w:cs="Times New Roman"/>
          <w:i/>
          <w:iCs/>
          <w:lang w:val="sr-Latn-ME" w:eastAsia="zh-TW"/>
        </w:rPr>
      </w:pPr>
      <w:r w:rsidRPr="00A17652">
        <w:rPr>
          <w:rFonts w:ascii="Times New Roman" w:eastAsia="Times New Roman" w:hAnsi="Times New Roman" w:cs="Times New Roman"/>
          <w:i/>
          <w:iCs/>
          <w:lang w:val="sr-Latn-ME" w:eastAsia="zh-TW"/>
        </w:rPr>
        <w:t>Piramil, 2,5 mg, tablete:</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Mikrokristalna celuloza</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skrob preželatinizovan</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silicijum dioksid, precipitovan (E551)</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glicin hidrohlorid (E640)</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glicerol dibehenat</w:t>
      </w:r>
    </w:p>
    <w:p w:rsidR="0090101A" w:rsidRPr="00A17652" w:rsidRDefault="0090101A" w:rsidP="0090101A">
      <w:pPr>
        <w:tabs>
          <w:tab w:val="left" w:pos="284"/>
        </w:tabs>
        <w:autoSpaceDE w:val="0"/>
        <w:autoSpaceDN w:val="0"/>
        <w:adjustRightInd w:val="0"/>
        <w:spacing w:after="0" w:line="240" w:lineRule="auto"/>
        <w:ind w:left="720"/>
        <w:jc w:val="both"/>
        <w:rPr>
          <w:rFonts w:ascii="Times New Roman" w:eastAsia="TimesNewRoman" w:hAnsi="Times New Roman" w:cs="Times New Roman"/>
          <w:lang w:val="sr-Latn-ME" w:eastAsia="zh-TW"/>
        </w:rPr>
      </w:pP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gvožđe oksid, žuti (E172)</w:t>
      </w:r>
    </w:p>
    <w:p w:rsidR="000C0237" w:rsidRPr="00A17652" w:rsidRDefault="000C0237" w:rsidP="006D50ED">
      <w:pPr>
        <w:autoSpaceDE w:val="0"/>
        <w:autoSpaceDN w:val="0"/>
        <w:adjustRightInd w:val="0"/>
        <w:spacing w:after="0" w:line="240" w:lineRule="auto"/>
        <w:rPr>
          <w:rFonts w:ascii="Times New Roman" w:eastAsia="TimesNewRoman" w:hAnsi="Times New Roman" w:cs="Times New Roman"/>
          <w:lang w:val="sr-Latn-ME" w:eastAsia="zh-TW"/>
        </w:rPr>
      </w:pPr>
    </w:p>
    <w:p w:rsidR="000C0237" w:rsidRPr="00A17652" w:rsidRDefault="000C0237" w:rsidP="006D50ED">
      <w:pPr>
        <w:autoSpaceDE w:val="0"/>
        <w:autoSpaceDN w:val="0"/>
        <w:adjustRightInd w:val="0"/>
        <w:spacing w:after="0" w:line="240" w:lineRule="auto"/>
        <w:rPr>
          <w:rFonts w:ascii="Times New Roman" w:eastAsia="Times New Roman" w:hAnsi="Times New Roman" w:cs="Times New Roman"/>
          <w:i/>
          <w:iCs/>
          <w:lang w:val="sr-Latn-ME" w:eastAsia="zh-TW"/>
        </w:rPr>
      </w:pPr>
      <w:r w:rsidRPr="00A17652">
        <w:rPr>
          <w:rFonts w:ascii="Times New Roman" w:eastAsia="Times New Roman" w:hAnsi="Times New Roman" w:cs="Times New Roman"/>
          <w:i/>
          <w:iCs/>
          <w:lang w:val="sr-Latn-ME" w:eastAsia="zh-TW"/>
        </w:rPr>
        <w:t>Piramil, 5 mg, tablete:</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Mikrokristalna celuloza</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skrob preželatinizovan</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silicijum dioksid, precipitovan (E551)</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glicin hidrohlorid (E640)</w:t>
      </w:r>
    </w:p>
    <w:p w:rsidR="000C0237" w:rsidRPr="00A17652" w:rsidRDefault="000C0237" w:rsidP="006D50ED">
      <w:pPr>
        <w:numPr>
          <w:ilvl w:val="0"/>
          <w:numId w:val="5"/>
        </w:numPr>
        <w:tabs>
          <w:tab w:val="left" w:pos="284"/>
        </w:tabs>
        <w:autoSpaceDE w:val="0"/>
        <w:autoSpaceDN w:val="0"/>
        <w:adjustRightInd w:val="0"/>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glicerol dibehenat</w:t>
      </w:r>
    </w:p>
    <w:p w:rsidR="000C0237" w:rsidRPr="00A17652" w:rsidRDefault="000C0237" w:rsidP="006D50ED">
      <w:pPr>
        <w:numPr>
          <w:ilvl w:val="0"/>
          <w:numId w:val="5"/>
        </w:numPr>
        <w:tabs>
          <w:tab w:val="left" w:pos="284"/>
        </w:tabs>
        <w:spacing w:after="0" w:line="240" w:lineRule="auto"/>
        <w:jc w:val="both"/>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gvožđe oksid, crveni (E172)</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6.2. Inkompatibilnosti</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NewRoman" w:hAnsi="Times New Roman" w:cs="Times New Roman"/>
          <w:lang w:val="sr-Latn-ME" w:eastAsia="zh-TW"/>
        </w:rPr>
        <w:t>Nema podataka o inkompatibilnosti.</w:t>
      </w:r>
    </w:p>
    <w:p w:rsidR="0090101A" w:rsidRPr="00A17652" w:rsidRDefault="0090101A" w:rsidP="006D50ED">
      <w:pPr>
        <w:tabs>
          <w:tab w:val="left" w:pos="284"/>
        </w:tabs>
        <w:spacing w:before="80" w:after="80" w:line="240" w:lineRule="auto"/>
        <w:rPr>
          <w:rFonts w:ascii="Times New Roman" w:eastAsia="Times New Roman" w:hAnsi="Times New Roman" w:cs="Times New Roman"/>
          <w:b/>
          <w:bCs/>
          <w:lang w:val="sr-Latn-ME"/>
        </w:rPr>
      </w:pPr>
    </w:p>
    <w:p w:rsidR="000C0237" w:rsidRPr="00A17652" w:rsidRDefault="000C0237" w:rsidP="006D50ED">
      <w:pPr>
        <w:tabs>
          <w:tab w:val="left" w:pos="284"/>
        </w:tabs>
        <w:spacing w:before="80" w:after="8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lastRenderedPageBreak/>
        <w:t>6.3. Rok upotrebe</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2 godine.</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NewRoman" w:hAnsi="Times New Roman" w:cs="Times New Roman"/>
          <w:lang w:val="sr-Latn-ME" w:eastAsia="zh-TW"/>
        </w:rPr>
        <w:t>Lijek ne treba koristiti po isteku roka upotrebe označenog na pakovanju.</w:t>
      </w:r>
    </w:p>
    <w:p w:rsidR="0090101A" w:rsidRPr="00A17652" w:rsidRDefault="0090101A" w:rsidP="006D50ED">
      <w:pPr>
        <w:tabs>
          <w:tab w:val="left" w:pos="284"/>
        </w:tabs>
        <w:spacing w:before="80" w:after="80" w:line="240" w:lineRule="auto"/>
        <w:rPr>
          <w:rFonts w:ascii="Times New Roman" w:eastAsia="Times New Roman" w:hAnsi="Times New Roman" w:cs="Times New Roman"/>
          <w:b/>
          <w:bCs/>
          <w:lang w:val="sr-Latn-ME"/>
        </w:rPr>
      </w:pPr>
    </w:p>
    <w:p w:rsidR="000C0237" w:rsidRPr="00A17652" w:rsidRDefault="000C0237" w:rsidP="006D50ED">
      <w:pPr>
        <w:tabs>
          <w:tab w:val="left" w:pos="284"/>
        </w:tabs>
        <w:spacing w:before="80" w:after="8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6.4. Posebne mjere upozorenja pri čuvanju</w:t>
      </w:r>
    </w:p>
    <w:p w:rsidR="000C0237" w:rsidRPr="00A17652" w:rsidRDefault="000C0237" w:rsidP="006D50ED">
      <w:pPr>
        <w:autoSpaceDE w:val="0"/>
        <w:autoSpaceDN w:val="0"/>
        <w:adjustRightInd w:val="0"/>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Lijek čuvati na temperaturi do 25ºC, u originalnom pakovanju.</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NewRoman" w:hAnsi="Times New Roman" w:cs="Times New Roman"/>
          <w:i/>
          <w:iCs/>
          <w:lang w:val="sr-Latn-ME" w:eastAsia="zh-TW"/>
        </w:rPr>
        <w:t>Čuvati van domašaja i vidokruga djece.</w:t>
      </w:r>
    </w:p>
    <w:p w:rsidR="0090101A" w:rsidRPr="00A17652" w:rsidRDefault="0090101A" w:rsidP="006D50ED">
      <w:pPr>
        <w:tabs>
          <w:tab w:val="left" w:pos="284"/>
        </w:tabs>
        <w:spacing w:before="80" w:after="80" w:line="240" w:lineRule="auto"/>
        <w:rPr>
          <w:rFonts w:ascii="Times New Roman" w:eastAsia="Times New Roman" w:hAnsi="Times New Roman" w:cs="Times New Roman"/>
          <w:b/>
          <w:bCs/>
          <w:lang w:val="sr-Latn-ME"/>
        </w:rPr>
      </w:pPr>
    </w:p>
    <w:p w:rsidR="000C0237" w:rsidRPr="00A17652" w:rsidRDefault="000C0237" w:rsidP="006D50ED">
      <w:pPr>
        <w:tabs>
          <w:tab w:val="left" w:pos="284"/>
        </w:tabs>
        <w:spacing w:before="80" w:after="8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6.5. Vrsta i sadržaj pakovanja</w:t>
      </w:r>
    </w:p>
    <w:p w:rsidR="000C0237" w:rsidRPr="00A17652" w:rsidRDefault="000C0237" w:rsidP="006D50ED">
      <w:pPr>
        <w:autoSpaceDE w:val="0"/>
        <w:autoSpaceDN w:val="0"/>
        <w:adjustRightInd w:val="0"/>
        <w:spacing w:after="0" w:line="240" w:lineRule="auto"/>
        <w:rPr>
          <w:rFonts w:ascii="Times New Roman" w:eastAsia="Times New Roman" w:hAnsi="Times New Roman" w:cs="Times New Roman"/>
          <w:i/>
          <w:iCs/>
          <w:lang w:val="sr-Latn-ME" w:eastAsia="zh-TW"/>
        </w:rPr>
      </w:pPr>
      <w:r w:rsidRPr="00A17652">
        <w:rPr>
          <w:rFonts w:ascii="Times New Roman" w:eastAsia="Times New Roman" w:hAnsi="Times New Roman" w:cs="Times New Roman"/>
          <w:i/>
          <w:iCs/>
          <w:lang w:val="sr-Latn-ME" w:eastAsia="zh-TW"/>
        </w:rPr>
        <w:t>Piramil, 2,5 mg, 5 mg, tablete:</w:t>
      </w:r>
    </w:p>
    <w:p w:rsidR="000C0237" w:rsidRPr="00A17652" w:rsidRDefault="000C0237" w:rsidP="006D50ED">
      <w:pPr>
        <w:autoSpaceDE w:val="0"/>
        <w:autoSpaceDN w:val="0"/>
        <w:adjustRightInd w:val="0"/>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Aluminijum/aluminijumski blister (OPA/Al/PVC-aluminijumski blister)</w:t>
      </w:r>
    </w:p>
    <w:p w:rsidR="000C0237" w:rsidRPr="00A17652" w:rsidRDefault="000C0237" w:rsidP="006D50ED">
      <w:pPr>
        <w:tabs>
          <w:tab w:val="left" w:pos="284"/>
        </w:tabs>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Veličina pakovanja: 28 tableta</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before="80" w:after="8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 xml:space="preserve">6.6. Posebne mjere opreza pri odlaganju materijala koji treba odbaciti nakon primjene lijeka </w:t>
      </w:r>
    </w:p>
    <w:p w:rsidR="000C0237" w:rsidRPr="00A17652" w:rsidRDefault="000C0237" w:rsidP="006D50ED">
      <w:pPr>
        <w:autoSpaceDE w:val="0"/>
        <w:autoSpaceDN w:val="0"/>
        <w:adjustRightInd w:val="0"/>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Svu neiskorišćenu količinu lijeka ili otpadnog materijala nakon njegove upotrebe treba ukloniti u skladu sa</w:t>
      </w:r>
    </w:p>
    <w:p w:rsidR="000C0237" w:rsidRPr="00A17652" w:rsidRDefault="000C0237" w:rsidP="006D50ED">
      <w:pPr>
        <w:tabs>
          <w:tab w:val="left" w:pos="284"/>
        </w:tabs>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važećim propisima.</w:t>
      </w:r>
    </w:p>
    <w:p w:rsidR="000C0237" w:rsidRPr="00A17652" w:rsidRDefault="000C0237" w:rsidP="006D50ED">
      <w:pPr>
        <w:tabs>
          <w:tab w:val="left" w:pos="284"/>
        </w:tabs>
        <w:spacing w:after="0" w:line="240" w:lineRule="auto"/>
        <w:rPr>
          <w:rFonts w:ascii="Times New Roman" w:eastAsia="TimesNewRoman" w:hAnsi="Times New Roman" w:cs="Times New Roman"/>
          <w:lang w:val="sr-Latn-ME" w:eastAsia="zh-TW"/>
        </w:rPr>
      </w:pPr>
    </w:p>
    <w:p w:rsidR="000C0237" w:rsidRDefault="000C0237" w:rsidP="006D50ED">
      <w:pPr>
        <w:tabs>
          <w:tab w:val="left" w:pos="284"/>
        </w:tabs>
        <w:spacing w:after="0" w:line="240" w:lineRule="auto"/>
        <w:rPr>
          <w:rFonts w:ascii="Times New Roman" w:eastAsia="TimesNewRoman" w:hAnsi="Times New Roman" w:cs="Times New Roman"/>
          <w:b/>
          <w:lang w:val="sr-Latn-ME" w:eastAsia="zh-TW"/>
        </w:rPr>
      </w:pPr>
      <w:r w:rsidRPr="00A17652">
        <w:rPr>
          <w:rFonts w:ascii="Times New Roman" w:eastAsia="TimesNewRoman" w:hAnsi="Times New Roman" w:cs="Times New Roman"/>
          <w:b/>
          <w:lang w:val="sr-Latn-ME" w:eastAsia="zh-TW"/>
        </w:rPr>
        <w:t>6.7 Režim izdavanja lijeka</w:t>
      </w:r>
    </w:p>
    <w:p w:rsidR="009E4E7C" w:rsidRPr="00A17652" w:rsidRDefault="009E4E7C" w:rsidP="006D50ED">
      <w:pPr>
        <w:tabs>
          <w:tab w:val="left" w:pos="284"/>
        </w:tabs>
        <w:spacing w:after="0" w:line="240" w:lineRule="auto"/>
        <w:rPr>
          <w:rFonts w:ascii="Times New Roman" w:eastAsia="TimesNewRoman" w:hAnsi="Times New Roman" w:cs="Times New Roman"/>
          <w:b/>
          <w:lang w:val="sr-Latn-ME" w:eastAsia="zh-TW"/>
        </w:rPr>
      </w:pPr>
    </w:p>
    <w:p w:rsidR="000C0237" w:rsidRPr="00A17652" w:rsidRDefault="000C0237" w:rsidP="006D50ED">
      <w:pPr>
        <w:tabs>
          <w:tab w:val="left" w:pos="284"/>
        </w:tabs>
        <w:spacing w:after="0" w:line="240" w:lineRule="auto"/>
        <w:rPr>
          <w:rFonts w:ascii="Times New Roman" w:eastAsia="TimesNewRoman" w:hAnsi="Times New Roman" w:cs="Times New Roman"/>
          <w:lang w:val="sr-Latn-ME" w:eastAsia="zh-TW"/>
        </w:rPr>
      </w:pPr>
      <w:r w:rsidRPr="00A17652">
        <w:rPr>
          <w:rFonts w:ascii="Times New Roman" w:eastAsia="TimesNewRoman" w:hAnsi="Times New Roman" w:cs="Times New Roman"/>
          <w:lang w:val="sr-Latn-ME" w:eastAsia="zh-TW"/>
        </w:rPr>
        <w:t>Lijek se može izdavati samo na ljekarski recept.</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90101A" w:rsidRPr="00A17652" w:rsidRDefault="0090101A"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 xml:space="preserve">7. NOSILAC DOZVOLE </w:t>
      </w:r>
    </w:p>
    <w:p w:rsidR="0090101A" w:rsidRPr="00A17652" w:rsidRDefault="0090101A" w:rsidP="006D50ED">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Glosarij d.o.o.</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r w:rsidRPr="00A17652">
        <w:rPr>
          <w:rFonts w:ascii="Times New Roman" w:eastAsia="Times New Roman" w:hAnsi="Times New Roman" w:cs="Times New Roman"/>
          <w:lang w:val="sr-Latn-ME"/>
        </w:rPr>
        <w:t>Vojislavljevića 76 Podgorica, Crna Gora</w:t>
      </w:r>
    </w:p>
    <w:p w:rsidR="0090101A" w:rsidRPr="00A17652" w:rsidRDefault="0090101A" w:rsidP="006D50ED">
      <w:pPr>
        <w:tabs>
          <w:tab w:val="left" w:pos="284"/>
        </w:tabs>
        <w:spacing w:after="0" w:line="240" w:lineRule="auto"/>
        <w:rPr>
          <w:rFonts w:ascii="Times New Roman" w:eastAsia="Times New Roman" w:hAnsi="Times New Roman" w:cs="Times New Roman"/>
          <w:b/>
          <w:bCs/>
          <w:lang w:val="sr-Latn-ME"/>
        </w:rPr>
      </w:pPr>
    </w:p>
    <w:p w:rsidR="000C0237"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8. BROJ PRVE DOZVOLE / OBNOVE DOZVOLE</w:t>
      </w:r>
    </w:p>
    <w:p w:rsidR="009E4E7C" w:rsidRPr="00A17652" w:rsidRDefault="009E4E7C" w:rsidP="006D50ED">
      <w:pPr>
        <w:tabs>
          <w:tab w:val="left" w:pos="284"/>
        </w:tabs>
        <w:spacing w:after="0" w:line="240" w:lineRule="auto"/>
        <w:rPr>
          <w:rFonts w:ascii="Times New Roman" w:eastAsia="Times New Roman" w:hAnsi="Times New Roman" w:cs="Times New Roman"/>
          <w:b/>
          <w:bCs/>
          <w:lang w:val="sr-Latn-ME"/>
        </w:rPr>
      </w:pPr>
    </w:p>
    <w:p w:rsidR="009E4E7C" w:rsidRPr="009E4E7C" w:rsidRDefault="009E4E7C" w:rsidP="009E4E7C">
      <w:pPr>
        <w:tabs>
          <w:tab w:val="left" w:pos="284"/>
        </w:tabs>
        <w:spacing w:after="0" w:line="240" w:lineRule="auto"/>
        <w:rPr>
          <w:rFonts w:ascii="Times New Roman" w:eastAsia="Times New Roman" w:hAnsi="Times New Roman" w:cs="Times New Roman"/>
          <w:lang w:val="sr-Latn-ME"/>
        </w:rPr>
      </w:pPr>
      <w:r w:rsidRPr="009E4E7C">
        <w:rPr>
          <w:rFonts w:ascii="Times New Roman" w:eastAsia="Times New Roman" w:hAnsi="Times New Roman" w:cs="Times New Roman"/>
          <w:bCs/>
          <w:lang w:val="sr-Latn-ME" w:eastAsia="zh-TW"/>
        </w:rPr>
        <w:t xml:space="preserve">Piramil®, tablete, </w:t>
      </w:r>
      <w:r w:rsidRPr="009E4E7C">
        <w:rPr>
          <w:rFonts w:ascii="Times New Roman" w:eastAsia="TimesNewRoman" w:hAnsi="Times New Roman" w:cs="Times New Roman"/>
          <w:lang w:val="sr-Latn-ME" w:eastAsia="zh-TW"/>
        </w:rPr>
        <w:t xml:space="preserve">2,5mg, </w:t>
      </w:r>
      <w:r w:rsidRPr="009E4E7C">
        <w:rPr>
          <w:rFonts w:ascii="Times New Roman" w:eastAsia="Times New Roman" w:hAnsi="Times New Roman" w:cs="Times New Roman"/>
          <w:iCs/>
          <w:lang w:val="sr-Latn-ME" w:eastAsia="zh-TW"/>
        </w:rPr>
        <w:t>blister, 4x7</w:t>
      </w:r>
      <w:r>
        <w:rPr>
          <w:rFonts w:ascii="Times New Roman" w:eastAsia="Times New Roman" w:hAnsi="Times New Roman" w:cs="Times New Roman"/>
          <w:iCs/>
          <w:lang w:val="sr-Latn-ME" w:eastAsia="zh-TW"/>
        </w:rPr>
        <w:t xml:space="preserve">: </w:t>
      </w:r>
      <w:r>
        <w:rPr>
          <w:rFonts w:ascii="Times New Roman" w:hAnsi="Times New Roman" w:cs="Times New Roman"/>
          <w:bCs/>
          <w:lang w:val="sr-Latn-ME"/>
        </w:rPr>
        <w:t>2030/14/278 - 1763</w:t>
      </w:r>
    </w:p>
    <w:p w:rsidR="009E4E7C" w:rsidRPr="009E4E7C" w:rsidRDefault="009E4E7C" w:rsidP="009E4E7C">
      <w:pPr>
        <w:tabs>
          <w:tab w:val="left" w:pos="284"/>
        </w:tabs>
        <w:spacing w:after="0" w:line="240" w:lineRule="auto"/>
        <w:rPr>
          <w:rFonts w:ascii="Times New Roman" w:eastAsia="Times New Roman" w:hAnsi="Times New Roman" w:cs="Times New Roman"/>
          <w:lang w:val="sr-Latn-ME"/>
        </w:rPr>
      </w:pPr>
      <w:r w:rsidRPr="009E4E7C">
        <w:rPr>
          <w:rFonts w:ascii="Times New Roman" w:eastAsia="Times New Roman" w:hAnsi="Times New Roman" w:cs="Times New Roman"/>
          <w:bCs/>
          <w:lang w:val="sr-Latn-ME" w:eastAsia="zh-TW"/>
        </w:rPr>
        <w:t xml:space="preserve">Piramil®, </w:t>
      </w:r>
      <w:r w:rsidRPr="009E4E7C">
        <w:rPr>
          <w:rFonts w:ascii="Times New Roman" w:eastAsia="TimesNewRoman" w:hAnsi="Times New Roman" w:cs="Times New Roman"/>
          <w:lang w:val="sr-Latn-ME" w:eastAsia="zh-TW"/>
        </w:rPr>
        <w:t xml:space="preserve">tablete, 5mg, </w:t>
      </w:r>
      <w:r w:rsidRPr="009E4E7C">
        <w:rPr>
          <w:rFonts w:ascii="Times New Roman" w:eastAsia="Times New Roman" w:hAnsi="Times New Roman" w:cs="Times New Roman"/>
          <w:iCs/>
          <w:lang w:val="sr-Latn-ME" w:eastAsia="zh-TW"/>
        </w:rPr>
        <w:t>blister, 4x7</w:t>
      </w:r>
      <w:r>
        <w:rPr>
          <w:rFonts w:ascii="Times New Roman" w:eastAsia="Times New Roman" w:hAnsi="Times New Roman" w:cs="Times New Roman"/>
          <w:iCs/>
          <w:lang w:val="sr-Latn-ME" w:eastAsia="zh-TW"/>
        </w:rPr>
        <w:t xml:space="preserve">: </w:t>
      </w:r>
      <w:r w:rsidRPr="009E4E7C">
        <w:rPr>
          <w:rFonts w:ascii="Times New Roman" w:hAnsi="Times New Roman" w:cs="Times New Roman"/>
          <w:bCs/>
          <w:lang w:val="sr-Latn-ME"/>
        </w:rPr>
        <w:t>2030/14/279 - 1764</w:t>
      </w:r>
    </w:p>
    <w:p w:rsidR="000C0237" w:rsidRPr="00A17652" w:rsidRDefault="000C0237" w:rsidP="009E4E7C">
      <w:pPr>
        <w:tabs>
          <w:tab w:val="left" w:pos="284"/>
        </w:tabs>
        <w:spacing w:after="0" w:line="240" w:lineRule="auto"/>
        <w:rPr>
          <w:rFonts w:ascii="Times New Roman" w:eastAsia="Times New Roman" w:hAnsi="Times New Roman" w:cs="Times New Roman"/>
          <w:lang w:val="sr-Latn-ME"/>
        </w:rPr>
      </w:pPr>
    </w:p>
    <w:p w:rsidR="000C0237" w:rsidRPr="00A17652"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9. DATUM PRVE DOZVOLE / DATUM OBNOVE DOZVOLE</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p w:rsidR="009E4E7C" w:rsidRPr="009E4E7C" w:rsidRDefault="009E4E7C" w:rsidP="009E4E7C">
      <w:pPr>
        <w:tabs>
          <w:tab w:val="left" w:pos="284"/>
        </w:tabs>
        <w:spacing w:after="0" w:line="240" w:lineRule="auto"/>
        <w:rPr>
          <w:rFonts w:ascii="Times New Roman" w:eastAsia="Times New Roman" w:hAnsi="Times New Roman" w:cs="Times New Roman"/>
          <w:lang w:val="sr-Latn-ME"/>
        </w:rPr>
      </w:pPr>
      <w:r w:rsidRPr="009E4E7C">
        <w:rPr>
          <w:rFonts w:ascii="Times New Roman" w:eastAsia="Times New Roman" w:hAnsi="Times New Roman" w:cs="Times New Roman"/>
          <w:bCs/>
          <w:lang w:val="sr-Latn-ME" w:eastAsia="zh-TW"/>
        </w:rPr>
        <w:t xml:space="preserve">Piramil®, tablete, </w:t>
      </w:r>
      <w:r w:rsidRPr="009E4E7C">
        <w:rPr>
          <w:rFonts w:ascii="Times New Roman" w:eastAsia="TimesNewRoman" w:hAnsi="Times New Roman" w:cs="Times New Roman"/>
          <w:lang w:val="sr-Latn-ME" w:eastAsia="zh-TW"/>
        </w:rPr>
        <w:t xml:space="preserve">2,5mg, </w:t>
      </w:r>
      <w:r w:rsidRPr="009E4E7C">
        <w:rPr>
          <w:rFonts w:ascii="Times New Roman" w:eastAsia="Times New Roman" w:hAnsi="Times New Roman" w:cs="Times New Roman"/>
          <w:iCs/>
          <w:lang w:val="sr-Latn-ME" w:eastAsia="zh-TW"/>
        </w:rPr>
        <w:t>blister, 4x7</w:t>
      </w:r>
      <w:r>
        <w:rPr>
          <w:rFonts w:ascii="Times New Roman" w:eastAsia="Times New Roman" w:hAnsi="Times New Roman" w:cs="Times New Roman"/>
          <w:iCs/>
          <w:lang w:val="sr-Latn-ME" w:eastAsia="zh-TW"/>
        </w:rPr>
        <w:t xml:space="preserve">: </w:t>
      </w:r>
      <w:r>
        <w:rPr>
          <w:rFonts w:ascii="Times New Roman" w:hAnsi="Times New Roman" w:cs="Times New Roman"/>
          <w:bCs/>
          <w:lang w:val="sr-Latn-ME"/>
        </w:rPr>
        <w:t>24.04.2014. godine</w:t>
      </w:r>
    </w:p>
    <w:p w:rsidR="0090101A" w:rsidRDefault="009E4E7C" w:rsidP="009E4E7C">
      <w:pPr>
        <w:tabs>
          <w:tab w:val="left" w:pos="284"/>
        </w:tabs>
        <w:spacing w:after="0" w:line="240" w:lineRule="auto"/>
        <w:rPr>
          <w:rFonts w:ascii="Times New Roman" w:eastAsia="Times New Roman" w:hAnsi="Times New Roman" w:cs="Times New Roman"/>
          <w:iCs/>
          <w:lang w:val="sr-Latn-ME" w:eastAsia="zh-TW"/>
        </w:rPr>
      </w:pPr>
      <w:r w:rsidRPr="009E4E7C">
        <w:rPr>
          <w:rFonts w:ascii="Times New Roman" w:eastAsia="Times New Roman" w:hAnsi="Times New Roman" w:cs="Times New Roman"/>
          <w:bCs/>
          <w:lang w:val="sr-Latn-ME" w:eastAsia="zh-TW"/>
        </w:rPr>
        <w:t xml:space="preserve">Piramil®, </w:t>
      </w:r>
      <w:r w:rsidRPr="009E4E7C">
        <w:rPr>
          <w:rFonts w:ascii="Times New Roman" w:eastAsia="TimesNewRoman" w:hAnsi="Times New Roman" w:cs="Times New Roman"/>
          <w:lang w:val="sr-Latn-ME" w:eastAsia="zh-TW"/>
        </w:rPr>
        <w:t xml:space="preserve">tablete, 5mg, </w:t>
      </w:r>
      <w:r w:rsidRPr="009E4E7C">
        <w:rPr>
          <w:rFonts w:ascii="Times New Roman" w:eastAsia="Times New Roman" w:hAnsi="Times New Roman" w:cs="Times New Roman"/>
          <w:iCs/>
          <w:lang w:val="sr-Latn-ME" w:eastAsia="zh-TW"/>
        </w:rPr>
        <w:t>blister, 4x7</w:t>
      </w:r>
      <w:r>
        <w:rPr>
          <w:rFonts w:ascii="Times New Roman" w:eastAsia="Times New Roman" w:hAnsi="Times New Roman" w:cs="Times New Roman"/>
          <w:iCs/>
          <w:lang w:val="sr-Latn-ME" w:eastAsia="zh-TW"/>
        </w:rPr>
        <w:t>: 24.04.2014. godine</w:t>
      </w:r>
    </w:p>
    <w:p w:rsidR="009E4E7C" w:rsidRPr="00A17652" w:rsidRDefault="009E4E7C" w:rsidP="009E4E7C">
      <w:pPr>
        <w:tabs>
          <w:tab w:val="left" w:pos="284"/>
        </w:tabs>
        <w:spacing w:after="0" w:line="240" w:lineRule="auto"/>
        <w:rPr>
          <w:rFonts w:ascii="Times New Roman" w:eastAsia="Times New Roman" w:hAnsi="Times New Roman" w:cs="Times New Roman"/>
          <w:lang w:val="sr-Latn-ME"/>
        </w:rPr>
      </w:pPr>
    </w:p>
    <w:p w:rsidR="000C0237" w:rsidRDefault="000C0237" w:rsidP="006D50ED">
      <w:pPr>
        <w:tabs>
          <w:tab w:val="left" w:pos="284"/>
        </w:tabs>
        <w:spacing w:after="0" w:line="240" w:lineRule="auto"/>
        <w:rPr>
          <w:rFonts w:ascii="Times New Roman" w:eastAsia="Times New Roman" w:hAnsi="Times New Roman" w:cs="Times New Roman"/>
          <w:b/>
          <w:bCs/>
          <w:lang w:val="sr-Latn-ME"/>
        </w:rPr>
      </w:pPr>
      <w:r w:rsidRPr="00A17652">
        <w:rPr>
          <w:rFonts w:ascii="Times New Roman" w:eastAsia="Times New Roman" w:hAnsi="Times New Roman" w:cs="Times New Roman"/>
          <w:b/>
          <w:bCs/>
          <w:lang w:val="sr-Latn-ME"/>
        </w:rPr>
        <w:t>10. DATUM POSLEDNJE REVIZIJE TEKSTA SAŽETKA OSNOVNIH KARAKTERISTIKA LIJEKA</w:t>
      </w:r>
    </w:p>
    <w:p w:rsidR="009E4E7C" w:rsidRDefault="009E4E7C" w:rsidP="006D50ED">
      <w:pPr>
        <w:tabs>
          <w:tab w:val="left" w:pos="284"/>
        </w:tabs>
        <w:spacing w:after="0" w:line="240" w:lineRule="auto"/>
        <w:rPr>
          <w:rFonts w:ascii="Times New Roman" w:eastAsia="Times New Roman" w:hAnsi="Times New Roman" w:cs="Times New Roman"/>
          <w:b/>
          <w:bCs/>
          <w:lang w:val="sr-Latn-ME"/>
        </w:rPr>
      </w:pPr>
    </w:p>
    <w:p w:rsidR="009E4E7C" w:rsidRPr="009E4E7C" w:rsidRDefault="009E4E7C" w:rsidP="006D50ED">
      <w:pPr>
        <w:tabs>
          <w:tab w:val="left" w:pos="284"/>
        </w:tabs>
        <w:spacing w:after="0" w:line="240" w:lineRule="auto"/>
        <w:rPr>
          <w:rFonts w:ascii="Times New Roman" w:eastAsia="Times New Roman" w:hAnsi="Times New Roman" w:cs="Times New Roman"/>
          <w:bCs/>
          <w:lang w:val="sr-Latn-ME"/>
        </w:rPr>
      </w:pPr>
      <w:r w:rsidRPr="009E4E7C">
        <w:rPr>
          <w:rFonts w:ascii="Times New Roman" w:eastAsia="Times New Roman" w:hAnsi="Times New Roman" w:cs="Times New Roman"/>
          <w:bCs/>
          <w:lang w:val="sr-Latn-ME"/>
        </w:rPr>
        <w:t>April, 2014. godine</w:t>
      </w:r>
    </w:p>
    <w:p w:rsidR="000C0237" w:rsidRPr="00A17652" w:rsidRDefault="000C0237" w:rsidP="006D50ED">
      <w:pPr>
        <w:tabs>
          <w:tab w:val="left" w:pos="284"/>
        </w:tabs>
        <w:spacing w:after="0" w:line="240" w:lineRule="auto"/>
        <w:rPr>
          <w:rFonts w:ascii="Times New Roman" w:eastAsia="Times New Roman" w:hAnsi="Times New Roman" w:cs="Times New Roman"/>
          <w:lang w:val="sr-Latn-ME"/>
        </w:rPr>
      </w:pPr>
    </w:p>
    <w:sectPr w:rsidR="000C0237" w:rsidRPr="00A17652" w:rsidSect="00065EB0">
      <w:headerReference w:type="default" r:id="rId10"/>
      <w:footerReference w:type="even" r:id="rId11"/>
      <w:footerReference w:type="default" r:id="rId12"/>
      <w:pgSz w:w="11907" w:h="16840" w:code="9"/>
      <w:pgMar w:top="2155" w:right="1134" w:bottom="1701"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393" w:rsidRDefault="00382393">
      <w:pPr>
        <w:spacing w:after="0" w:line="240" w:lineRule="auto"/>
      </w:pPr>
      <w:r>
        <w:separator/>
      </w:r>
    </w:p>
  </w:endnote>
  <w:endnote w:type="continuationSeparator" w:id="0">
    <w:p w:rsidR="00382393" w:rsidRDefault="0038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00"/>
    <w:family w:val="swiss"/>
    <w:pitch w:val="variable"/>
    <w:sig w:usb0="20007A87" w:usb1="80000000" w:usb2="00000008"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91" w:rsidRDefault="001438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3891" w:rsidRDefault="001438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91" w:rsidRDefault="00143891">
    <w:pPr>
      <w:pStyle w:val="Footer"/>
      <w:framePr w:wrap="around" w:vAnchor="text" w:hAnchor="page" w:x="5995" w:y="207"/>
      <w:rPr>
        <w:rStyle w:val="PageNumber"/>
      </w:rPr>
    </w:pPr>
    <w:r>
      <w:rPr>
        <w:rStyle w:val="PageNumber"/>
      </w:rPr>
      <w:t xml:space="preserve"> </w:t>
    </w:r>
  </w:p>
  <w:p w:rsidR="00143891" w:rsidRPr="00065EB0" w:rsidRDefault="00143891" w:rsidP="00065EB0">
    <w:pPr>
      <w:pStyle w:val="Header"/>
      <w:pBdr>
        <w:top w:val="thinThickSmallGap" w:sz="24" w:space="1" w:color="auto"/>
      </w:pBdr>
      <w:jc w:val="center"/>
      <w:rPr>
        <w:rFonts w:ascii="Times New Roman" w:hAnsi="Times New Roman"/>
        <w:sz w:val="16"/>
      </w:rPr>
    </w:pPr>
  </w:p>
  <w:p w:rsidR="00143891" w:rsidRPr="00065EB0" w:rsidRDefault="00143891" w:rsidP="00065EB0">
    <w:pPr>
      <w:pStyle w:val="Footer"/>
      <w:jc w:val="center"/>
      <w:rPr>
        <w:rFonts w:ascii="Times New Roman" w:hAnsi="Times New Roman"/>
        <w:color w:val="E65900"/>
        <w:sz w:val="16"/>
        <w:szCs w:val="18"/>
      </w:rPr>
    </w:pPr>
    <w:r w:rsidRPr="00065EB0">
      <w:rPr>
        <w:rFonts w:ascii="Times New Roman" w:hAnsi="Times New Roman"/>
        <w:color w:val="FA0000"/>
        <w:sz w:val="16"/>
        <w:szCs w:val="18"/>
      </w:rPr>
      <w:t>Agencija za ljekove i medicinska sredstva Crne Gore,</w:t>
    </w:r>
    <w:r w:rsidRPr="00065EB0">
      <w:rPr>
        <w:rFonts w:ascii="Times New Roman" w:hAnsi="Times New Roman"/>
        <w:sz w:val="16"/>
        <w:szCs w:val="18"/>
      </w:rPr>
      <w:t xml:space="preserve"> </w:t>
    </w:r>
    <w:r w:rsidRPr="00065EB0">
      <w:rPr>
        <w:rFonts w:ascii="Times New Roman" w:hAnsi="Times New Roman"/>
        <w:color w:val="E65900"/>
        <w:sz w:val="16"/>
        <w:szCs w:val="18"/>
      </w:rPr>
      <w:t>81000 Podgorica, Bul. Ivana Crnojevića 64a</w:t>
    </w:r>
  </w:p>
  <w:p w:rsidR="00143891" w:rsidRPr="00065EB0" w:rsidRDefault="00143891" w:rsidP="00065EB0">
    <w:pPr>
      <w:pStyle w:val="Footer"/>
      <w:jc w:val="center"/>
      <w:rPr>
        <w:rFonts w:ascii="Times New Roman" w:hAnsi="Times New Roman"/>
        <w:color w:val="FA0000"/>
        <w:sz w:val="16"/>
        <w:szCs w:val="18"/>
      </w:rPr>
    </w:pPr>
    <w:r w:rsidRPr="00065EB0">
      <w:rPr>
        <w:rFonts w:ascii="Times New Roman" w:hAnsi="Times New Roman"/>
        <w:color w:val="E65900"/>
        <w:sz w:val="16"/>
        <w:szCs w:val="18"/>
      </w:rPr>
      <w:t xml:space="preserve">tel: +382 (0) 20 310 280  </w:t>
    </w:r>
    <w:r w:rsidRPr="00065EB0">
      <w:rPr>
        <w:rFonts w:ascii="Times New Roman" w:hAnsi="Times New Roman"/>
        <w:color w:val="FA0000"/>
        <w:sz w:val="16"/>
        <w:szCs w:val="18"/>
      </w:rPr>
      <w:t>fax: +382 (0) 20 310 581,</w:t>
    </w:r>
    <w:r w:rsidRPr="00065EB0">
      <w:rPr>
        <w:rFonts w:ascii="Times New Roman" w:hAnsi="Times New Roman"/>
        <w:sz w:val="16"/>
        <w:szCs w:val="18"/>
      </w:rPr>
      <w:t xml:space="preserve"> </w:t>
    </w:r>
    <w:r w:rsidRPr="00065EB0">
      <w:rPr>
        <w:rFonts w:ascii="Times New Roman" w:hAnsi="Times New Roman"/>
        <w:color w:val="E65900"/>
        <w:sz w:val="16"/>
        <w:szCs w:val="18"/>
      </w:rPr>
      <w:t>e-mail: info@calims.me,</w:t>
    </w:r>
    <w:r w:rsidRPr="00065EB0">
      <w:rPr>
        <w:rFonts w:ascii="Times New Roman" w:hAnsi="Times New Roman"/>
        <w:sz w:val="16"/>
        <w:szCs w:val="18"/>
      </w:rPr>
      <w:t xml:space="preserve"> </w:t>
    </w:r>
    <w:r w:rsidRPr="00065EB0">
      <w:rPr>
        <w:rFonts w:ascii="Times New Roman" w:hAnsi="Times New Roman"/>
        <w:color w:val="FA0000"/>
        <w:sz w:val="16"/>
        <w:szCs w:val="18"/>
      </w:rPr>
      <w:t>www.calims.me</w:t>
    </w:r>
    <w:r w:rsidRPr="00065EB0">
      <w:rPr>
        <w:rFonts w:ascii="Times New Roman" w:hAnsi="Times New Roman"/>
        <w:sz w:val="16"/>
        <w:szCs w:val="18"/>
      </w:rPr>
      <w:t xml:space="preserve">, </w:t>
    </w:r>
    <w:r w:rsidRPr="00065EB0">
      <w:rPr>
        <w:rFonts w:ascii="Times New Roman" w:hAnsi="Times New Roman"/>
        <w:color w:val="E65900"/>
        <w:sz w:val="16"/>
        <w:szCs w:val="18"/>
      </w:rPr>
      <w:t>PIB: 02739658,</w:t>
    </w:r>
    <w:r w:rsidRPr="00065EB0">
      <w:rPr>
        <w:rFonts w:ascii="Times New Roman" w:hAnsi="Times New Roman"/>
        <w:sz w:val="16"/>
        <w:szCs w:val="18"/>
      </w:rPr>
      <w:t xml:space="preserve"> </w:t>
    </w:r>
    <w:r w:rsidRPr="00065EB0">
      <w:rPr>
        <w:rFonts w:ascii="Times New Roman" w:hAnsi="Times New Roman"/>
        <w:color w:val="FA0000"/>
        <w:sz w:val="16"/>
        <w:szCs w:val="18"/>
      </w:rPr>
      <w:t>žiro račun: 520-3603-33</w:t>
    </w:r>
  </w:p>
  <w:p w:rsidR="00143891" w:rsidRPr="00065EB0" w:rsidRDefault="00143891" w:rsidP="00065EB0">
    <w:pPr>
      <w:pStyle w:val="Footer"/>
      <w:jc w:val="center"/>
      <w:rPr>
        <w:rFonts w:ascii="Times New Roman" w:hAnsi="Times New Roman"/>
        <w:sz w:val="16"/>
        <w:szCs w:val="18"/>
      </w:rPr>
    </w:pPr>
  </w:p>
  <w:p w:rsidR="00143891" w:rsidRPr="00065EB0" w:rsidRDefault="00143891" w:rsidP="00065EB0">
    <w:pPr>
      <w:pStyle w:val="Header"/>
      <w:rPr>
        <w:rFonts w:ascii="Times New Roman" w:hAnsi="Times New Roman"/>
        <w:sz w:val="20"/>
      </w:rPr>
    </w:pPr>
  </w:p>
  <w:p w:rsidR="00143891" w:rsidRPr="00065EB0" w:rsidRDefault="00143891" w:rsidP="00065EB0">
    <w:pPr>
      <w:pStyle w:val="Header"/>
      <w:jc w:val="center"/>
      <w:rPr>
        <w:rFonts w:ascii="Times New Roman" w:hAnsi="Times New Roman"/>
        <w:sz w:val="18"/>
        <w:szCs w:val="22"/>
      </w:rPr>
    </w:pPr>
    <w:r w:rsidRPr="00065EB0">
      <w:rPr>
        <w:rStyle w:val="PageNumber"/>
        <w:rFonts w:ascii="Times New Roman" w:hAnsi="Times New Roman"/>
        <w:sz w:val="20"/>
      </w:rPr>
      <w:fldChar w:fldCharType="begin"/>
    </w:r>
    <w:r w:rsidRPr="00065EB0">
      <w:rPr>
        <w:rStyle w:val="PageNumber"/>
        <w:rFonts w:ascii="Times New Roman" w:hAnsi="Times New Roman"/>
        <w:sz w:val="20"/>
      </w:rPr>
      <w:instrText xml:space="preserve"> PAGE </w:instrText>
    </w:r>
    <w:r w:rsidRPr="00065EB0">
      <w:rPr>
        <w:rStyle w:val="PageNumber"/>
        <w:rFonts w:ascii="Times New Roman" w:hAnsi="Times New Roman"/>
        <w:sz w:val="20"/>
      </w:rPr>
      <w:fldChar w:fldCharType="separate"/>
    </w:r>
    <w:r w:rsidR="00872557">
      <w:rPr>
        <w:rStyle w:val="PageNumber"/>
        <w:rFonts w:ascii="Times New Roman" w:hAnsi="Times New Roman"/>
        <w:noProof/>
        <w:sz w:val="20"/>
      </w:rPr>
      <w:t>1</w:t>
    </w:r>
    <w:r w:rsidRPr="00065EB0">
      <w:rPr>
        <w:rStyle w:val="PageNumber"/>
        <w:rFonts w:ascii="Times New Roman" w:hAnsi="Times New Roman"/>
        <w:sz w:val="20"/>
      </w:rPr>
      <w:fldChar w:fldCharType="end"/>
    </w:r>
    <w:r w:rsidRPr="00065EB0">
      <w:rPr>
        <w:rStyle w:val="PageNumber"/>
        <w:rFonts w:ascii="Times New Roman" w:hAnsi="Times New Roman"/>
        <w:sz w:val="20"/>
      </w:rPr>
      <w:t xml:space="preserve"> / </w:t>
    </w:r>
    <w:r w:rsidRPr="00065EB0">
      <w:rPr>
        <w:rStyle w:val="PageNumber"/>
        <w:rFonts w:ascii="Times New Roman" w:hAnsi="Times New Roman"/>
        <w:sz w:val="20"/>
      </w:rPr>
      <w:fldChar w:fldCharType="begin"/>
    </w:r>
    <w:r w:rsidRPr="00065EB0">
      <w:rPr>
        <w:rStyle w:val="PageNumber"/>
        <w:rFonts w:ascii="Times New Roman" w:hAnsi="Times New Roman"/>
        <w:sz w:val="20"/>
      </w:rPr>
      <w:instrText xml:space="preserve"> NUMPAGES </w:instrText>
    </w:r>
    <w:r w:rsidRPr="00065EB0">
      <w:rPr>
        <w:rStyle w:val="PageNumber"/>
        <w:rFonts w:ascii="Times New Roman" w:hAnsi="Times New Roman"/>
        <w:sz w:val="20"/>
      </w:rPr>
      <w:fldChar w:fldCharType="separate"/>
    </w:r>
    <w:r w:rsidR="00872557">
      <w:rPr>
        <w:rStyle w:val="PageNumber"/>
        <w:rFonts w:ascii="Times New Roman" w:hAnsi="Times New Roman"/>
        <w:noProof/>
        <w:sz w:val="20"/>
      </w:rPr>
      <w:t>20</w:t>
    </w:r>
    <w:r w:rsidRPr="00065EB0">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393" w:rsidRDefault="00382393">
      <w:pPr>
        <w:spacing w:after="0" w:line="240" w:lineRule="auto"/>
      </w:pPr>
      <w:r>
        <w:separator/>
      </w:r>
    </w:p>
  </w:footnote>
  <w:footnote w:type="continuationSeparator" w:id="0">
    <w:p w:rsidR="00382393" w:rsidRDefault="00382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91" w:rsidRDefault="00143891" w:rsidP="00065EB0">
    <w:pPr>
      <w:pStyle w:val="Header"/>
      <w:rPr>
        <w:sz w:val="16"/>
        <w:szCs w:val="16"/>
      </w:rPr>
    </w:pPr>
  </w:p>
  <w:p w:rsidR="00143891" w:rsidRPr="00615ADD" w:rsidRDefault="00143891" w:rsidP="00065EB0">
    <w:pPr>
      <w:pStyle w:val="Header"/>
      <w:pBdr>
        <w:top w:val="thinThickSmallGap" w:sz="24" w:space="2" w:color="auto"/>
      </w:pBdr>
    </w:pPr>
    <w:r>
      <w:rPr>
        <w:noProof/>
        <w:sz w:val="16"/>
        <w:szCs w:val="16"/>
        <w:lang w:val="sr-Latn-ME" w:eastAsia="sr-Latn-ME"/>
      </w:rPr>
      <w:drawing>
        <wp:inline distT="0" distB="0" distL="0" distR="0" wp14:anchorId="0F33375C" wp14:editId="3ADF6B89">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3250"/>
    <w:multiLevelType w:val="hybridMultilevel"/>
    <w:tmpl w:val="FD320EFA"/>
    <w:lvl w:ilvl="0" w:tplc="4EE62AFA">
      <w:start w:val="8"/>
      <w:numFmt w:val="bullet"/>
      <w:lvlText w:val="-"/>
      <w:lvlJc w:val="left"/>
      <w:pPr>
        <w:ind w:left="420" w:hanging="360"/>
      </w:pPr>
      <w:rPr>
        <w:rFonts w:ascii="Times New Roman" w:eastAsia="TimesNew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15075D68"/>
    <w:multiLevelType w:val="hybridMultilevel"/>
    <w:tmpl w:val="079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25C05"/>
    <w:multiLevelType w:val="hybridMultilevel"/>
    <w:tmpl w:val="9B0CC3BE"/>
    <w:lvl w:ilvl="0" w:tplc="A5E00B6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544442"/>
    <w:multiLevelType w:val="hybridMultilevel"/>
    <w:tmpl w:val="DA94F960"/>
    <w:lvl w:ilvl="0" w:tplc="46661D32">
      <w:numFmt w:val="bullet"/>
      <w:lvlText w:val="–"/>
      <w:lvlJc w:val="left"/>
      <w:pPr>
        <w:tabs>
          <w:tab w:val="num" w:pos="1497"/>
        </w:tabs>
        <w:ind w:left="1497" w:hanging="360"/>
      </w:pPr>
      <w:rPr>
        <w:rFonts w:ascii="Arial" w:eastAsia="Times New Roman" w:hAnsi="Arial" w:cs="Aria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nsid w:val="287258F2"/>
    <w:multiLevelType w:val="hybridMultilevel"/>
    <w:tmpl w:val="59104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AB738A4"/>
    <w:multiLevelType w:val="hybridMultilevel"/>
    <w:tmpl w:val="E5A6A854"/>
    <w:lvl w:ilvl="0" w:tplc="65B4460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94643F"/>
    <w:multiLevelType w:val="hybridMultilevel"/>
    <w:tmpl w:val="142C22D6"/>
    <w:lvl w:ilvl="0" w:tplc="73527F58">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47722DC"/>
    <w:multiLevelType w:val="hybridMultilevel"/>
    <w:tmpl w:val="7D5C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D6343"/>
    <w:multiLevelType w:val="hybridMultilevel"/>
    <w:tmpl w:val="937C6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5BE3873"/>
    <w:multiLevelType w:val="hybridMultilevel"/>
    <w:tmpl w:val="E0FCA0A8"/>
    <w:lvl w:ilvl="0" w:tplc="73527F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9"/>
  </w:num>
  <w:num w:numId="5">
    <w:abstractNumId w:val="7"/>
  </w:num>
  <w:num w:numId="6">
    <w:abstractNumId w:val="8"/>
  </w:num>
  <w:num w:numId="7">
    <w:abstractNumId w:val="1"/>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2C"/>
    <w:rsid w:val="0004771B"/>
    <w:rsid w:val="00065EB0"/>
    <w:rsid w:val="000C0237"/>
    <w:rsid w:val="000C3EBF"/>
    <w:rsid w:val="00143891"/>
    <w:rsid w:val="00382393"/>
    <w:rsid w:val="006D50ED"/>
    <w:rsid w:val="007F232C"/>
    <w:rsid w:val="00872557"/>
    <w:rsid w:val="0090101A"/>
    <w:rsid w:val="00940E9A"/>
    <w:rsid w:val="009E4E7C"/>
    <w:rsid w:val="00A17652"/>
    <w:rsid w:val="00A43F6C"/>
    <w:rsid w:val="00D44923"/>
    <w:rsid w:val="00F2152A"/>
    <w:rsid w:val="00F4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50ED"/>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6D50ED"/>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6D50ED"/>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6D50ED"/>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0ED"/>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6D50ED"/>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6D50ED"/>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6D50ED"/>
    <w:rPr>
      <w:rFonts w:ascii="Arial" w:eastAsia="Times New Roman" w:hAnsi="Arial" w:cs="Arial"/>
      <w:i/>
      <w:iCs/>
      <w:color w:val="999999"/>
      <w:sz w:val="16"/>
      <w:szCs w:val="24"/>
    </w:rPr>
  </w:style>
  <w:style w:type="numbering" w:customStyle="1" w:styleId="NoList1">
    <w:name w:val="No List1"/>
    <w:next w:val="NoList"/>
    <w:semiHidden/>
    <w:rsid w:val="006D50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6D50ED"/>
    <w:pPr>
      <w:tabs>
        <w:tab w:val="center" w:pos="4536"/>
        <w:tab w:val="right" w:pos="9072"/>
      </w:tabs>
      <w:spacing w:after="0" w:line="240" w:lineRule="auto"/>
      <w:jc w:val="both"/>
    </w:pPr>
    <w:rPr>
      <w:rFonts w:ascii="Humanist777" w:eastAsia="Times New Roman" w:hAnsi="Humanist777" w:cs="Times New Roman"/>
      <w:sz w:val="24"/>
      <w:szCs w:val="24"/>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6D50ED"/>
    <w:rPr>
      <w:rFonts w:ascii="Humanist777" w:eastAsia="Times New Roman" w:hAnsi="Humanist777" w:cs="Times New Roman"/>
      <w:sz w:val="24"/>
      <w:szCs w:val="24"/>
    </w:rPr>
  </w:style>
  <w:style w:type="paragraph" w:styleId="Footer">
    <w:name w:val="footer"/>
    <w:basedOn w:val="Normal"/>
    <w:link w:val="FooterChar"/>
    <w:rsid w:val="006D50ED"/>
    <w:pPr>
      <w:tabs>
        <w:tab w:val="center" w:pos="4536"/>
        <w:tab w:val="right" w:pos="9072"/>
      </w:tabs>
      <w:spacing w:after="0" w:line="240" w:lineRule="auto"/>
      <w:jc w:val="both"/>
    </w:pPr>
    <w:rPr>
      <w:rFonts w:ascii="Humanist777" w:eastAsia="Times New Roman" w:hAnsi="Humanist777" w:cs="Times New Roman"/>
      <w:sz w:val="24"/>
      <w:szCs w:val="24"/>
    </w:rPr>
  </w:style>
  <w:style w:type="character" w:customStyle="1" w:styleId="FooterChar">
    <w:name w:val="Footer Char"/>
    <w:basedOn w:val="DefaultParagraphFont"/>
    <w:link w:val="Footer"/>
    <w:uiPriority w:val="99"/>
    <w:rsid w:val="006D50ED"/>
    <w:rPr>
      <w:rFonts w:ascii="Humanist777" w:eastAsia="Times New Roman" w:hAnsi="Humanist777" w:cs="Times New Roman"/>
      <w:sz w:val="24"/>
      <w:szCs w:val="24"/>
    </w:rPr>
  </w:style>
  <w:style w:type="character" w:styleId="PageNumber">
    <w:name w:val="page number"/>
    <w:basedOn w:val="DefaultParagraphFont"/>
    <w:rsid w:val="006D50ED"/>
  </w:style>
  <w:style w:type="character" w:styleId="CommentReference">
    <w:name w:val="annotation reference"/>
    <w:semiHidden/>
    <w:rsid w:val="006D50ED"/>
    <w:rPr>
      <w:sz w:val="16"/>
      <w:szCs w:val="16"/>
    </w:rPr>
  </w:style>
  <w:style w:type="paragraph" w:styleId="CommentText">
    <w:name w:val="annotation text"/>
    <w:basedOn w:val="Normal"/>
    <w:link w:val="CommentTextChar"/>
    <w:semiHidden/>
    <w:rsid w:val="006D50ED"/>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6D50ED"/>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6D50ED"/>
    <w:rPr>
      <w:b/>
      <w:bCs/>
    </w:rPr>
  </w:style>
  <w:style w:type="character" w:customStyle="1" w:styleId="CommentSubjectChar">
    <w:name w:val="Comment Subject Char"/>
    <w:basedOn w:val="CommentTextChar"/>
    <w:link w:val="CommentSubject"/>
    <w:semiHidden/>
    <w:rsid w:val="006D50ED"/>
    <w:rPr>
      <w:rFonts w:ascii="Humanist777" w:eastAsia="Times New Roman" w:hAnsi="Humanist777" w:cs="Times New Roman"/>
      <w:b/>
      <w:bCs/>
      <w:sz w:val="20"/>
      <w:szCs w:val="20"/>
    </w:rPr>
  </w:style>
  <w:style w:type="paragraph" w:styleId="BalloonText">
    <w:name w:val="Balloon Text"/>
    <w:basedOn w:val="Normal"/>
    <w:link w:val="BalloonTextChar"/>
    <w:semiHidden/>
    <w:rsid w:val="006D50ED"/>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D50ED"/>
    <w:rPr>
      <w:rFonts w:ascii="Tahoma" w:eastAsia="Times New Roman" w:hAnsi="Tahoma" w:cs="Tahoma"/>
      <w:sz w:val="16"/>
      <w:szCs w:val="16"/>
    </w:rPr>
  </w:style>
  <w:style w:type="table" w:styleId="TableGrid">
    <w:name w:val="Table Grid"/>
    <w:basedOn w:val="TableNormal"/>
    <w:rsid w:val="006D50ED"/>
    <w:pPr>
      <w:tabs>
        <w:tab w:val="left" w:pos="284"/>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6D50ED"/>
    <w:rPr>
      <w:color w:val="0000FF"/>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65EB0"/>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50ED"/>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6D50ED"/>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6D50ED"/>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6D50ED"/>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0ED"/>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6D50ED"/>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6D50ED"/>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6D50ED"/>
    <w:rPr>
      <w:rFonts w:ascii="Arial" w:eastAsia="Times New Roman" w:hAnsi="Arial" w:cs="Arial"/>
      <w:i/>
      <w:iCs/>
      <w:color w:val="999999"/>
      <w:sz w:val="16"/>
      <w:szCs w:val="24"/>
    </w:rPr>
  </w:style>
  <w:style w:type="numbering" w:customStyle="1" w:styleId="NoList1">
    <w:name w:val="No List1"/>
    <w:next w:val="NoList"/>
    <w:semiHidden/>
    <w:rsid w:val="006D50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6D50ED"/>
    <w:pPr>
      <w:tabs>
        <w:tab w:val="center" w:pos="4536"/>
        <w:tab w:val="right" w:pos="9072"/>
      </w:tabs>
      <w:spacing w:after="0" w:line="240" w:lineRule="auto"/>
      <w:jc w:val="both"/>
    </w:pPr>
    <w:rPr>
      <w:rFonts w:ascii="Humanist777" w:eastAsia="Times New Roman" w:hAnsi="Humanist777" w:cs="Times New Roman"/>
      <w:sz w:val="24"/>
      <w:szCs w:val="24"/>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6D50ED"/>
    <w:rPr>
      <w:rFonts w:ascii="Humanist777" w:eastAsia="Times New Roman" w:hAnsi="Humanist777" w:cs="Times New Roman"/>
      <w:sz w:val="24"/>
      <w:szCs w:val="24"/>
    </w:rPr>
  </w:style>
  <w:style w:type="paragraph" w:styleId="Footer">
    <w:name w:val="footer"/>
    <w:basedOn w:val="Normal"/>
    <w:link w:val="FooterChar"/>
    <w:rsid w:val="006D50ED"/>
    <w:pPr>
      <w:tabs>
        <w:tab w:val="center" w:pos="4536"/>
        <w:tab w:val="right" w:pos="9072"/>
      </w:tabs>
      <w:spacing w:after="0" w:line="240" w:lineRule="auto"/>
      <w:jc w:val="both"/>
    </w:pPr>
    <w:rPr>
      <w:rFonts w:ascii="Humanist777" w:eastAsia="Times New Roman" w:hAnsi="Humanist777" w:cs="Times New Roman"/>
      <w:sz w:val="24"/>
      <w:szCs w:val="24"/>
    </w:rPr>
  </w:style>
  <w:style w:type="character" w:customStyle="1" w:styleId="FooterChar">
    <w:name w:val="Footer Char"/>
    <w:basedOn w:val="DefaultParagraphFont"/>
    <w:link w:val="Footer"/>
    <w:uiPriority w:val="99"/>
    <w:rsid w:val="006D50ED"/>
    <w:rPr>
      <w:rFonts w:ascii="Humanist777" w:eastAsia="Times New Roman" w:hAnsi="Humanist777" w:cs="Times New Roman"/>
      <w:sz w:val="24"/>
      <w:szCs w:val="24"/>
    </w:rPr>
  </w:style>
  <w:style w:type="character" w:styleId="PageNumber">
    <w:name w:val="page number"/>
    <w:basedOn w:val="DefaultParagraphFont"/>
    <w:rsid w:val="006D50ED"/>
  </w:style>
  <w:style w:type="character" w:styleId="CommentReference">
    <w:name w:val="annotation reference"/>
    <w:semiHidden/>
    <w:rsid w:val="006D50ED"/>
    <w:rPr>
      <w:sz w:val="16"/>
      <w:szCs w:val="16"/>
    </w:rPr>
  </w:style>
  <w:style w:type="paragraph" w:styleId="CommentText">
    <w:name w:val="annotation text"/>
    <w:basedOn w:val="Normal"/>
    <w:link w:val="CommentTextChar"/>
    <w:semiHidden/>
    <w:rsid w:val="006D50ED"/>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6D50ED"/>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6D50ED"/>
    <w:rPr>
      <w:b/>
      <w:bCs/>
    </w:rPr>
  </w:style>
  <w:style w:type="character" w:customStyle="1" w:styleId="CommentSubjectChar">
    <w:name w:val="Comment Subject Char"/>
    <w:basedOn w:val="CommentTextChar"/>
    <w:link w:val="CommentSubject"/>
    <w:semiHidden/>
    <w:rsid w:val="006D50ED"/>
    <w:rPr>
      <w:rFonts w:ascii="Humanist777" w:eastAsia="Times New Roman" w:hAnsi="Humanist777" w:cs="Times New Roman"/>
      <w:b/>
      <w:bCs/>
      <w:sz w:val="20"/>
      <w:szCs w:val="20"/>
    </w:rPr>
  </w:style>
  <w:style w:type="paragraph" w:styleId="BalloonText">
    <w:name w:val="Balloon Text"/>
    <w:basedOn w:val="Normal"/>
    <w:link w:val="BalloonTextChar"/>
    <w:semiHidden/>
    <w:rsid w:val="006D50ED"/>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D50ED"/>
    <w:rPr>
      <w:rFonts w:ascii="Tahoma" w:eastAsia="Times New Roman" w:hAnsi="Tahoma" w:cs="Tahoma"/>
      <w:sz w:val="16"/>
      <w:szCs w:val="16"/>
    </w:rPr>
  </w:style>
  <w:style w:type="table" w:styleId="TableGrid">
    <w:name w:val="Table Grid"/>
    <w:basedOn w:val="TableNormal"/>
    <w:rsid w:val="006D50ED"/>
    <w:pPr>
      <w:tabs>
        <w:tab w:val="left" w:pos="284"/>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6D50ED"/>
    <w:rPr>
      <w:color w:val="0000FF"/>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65EB0"/>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6226</Words>
  <Characters>35490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41633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Madzgalj, Dragomir (Ext)</dc:creator>
  <cp:lastModifiedBy>Stanislava Vukovic</cp:lastModifiedBy>
  <cp:revision>2</cp:revision>
  <dcterms:created xsi:type="dcterms:W3CDTF">2014-10-08T12:53:00Z</dcterms:created>
  <dcterms:modified xsi:type="dcterms:W3CDTF">2014-10-08T12:53:00Z</dcterms:modified>
</cp:coreProperties>
</file>