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400" w:rsidRPr="00327D94" w:rsidRDefault="005D2400" w:rsidP="001E6D1A">
      <w:pPr>
        <w:tabs>
          <w:tab w:val="left" w:pos="284"/>
        </w:tabs>
        <w:spacing w:after="0" w:line="240" w:lineRule="auto"/>
        <w:rPr>
          <w:rFonts w:ascii="Times New Roman" w:eastAsia="Times New Roman" w:hAnsi="Times New Roman" w:cs="Times New Roman"/>
          <w:lang w:val="sr-Latn-ME"/>
        </w:rPr>
      </w:pPr>
    </w:p>
    <w:p w:rsidR="001E6D1A" w:rsidRPr="00327D94" w:rsidRDefault="001E6D1A" w:rsidP="001E6D1A">
      <w:pPr>
        <w:tabs>
          <w:tab w:val="left" w:pos="284"/>
        </w:tabs>
        <w:spacing w:after="0" w:line="240" w:lineRule="auto"/>
        <w:rPr>
          <w:rFonts w:ascii="Times New Roman" w:eastAsia="Times New Roman" w:hAnsi="Times New Roman" w:cs="Times New Roman"/>
          <w:lang w:val="sr-Latn-ME"/>
        </w:rPr>
      </w:pPr>
    </w:p>
    <w:p w:rsidR="001E6D1A" w:rsidRPr="00327D94" w:rsidRDefault="001E6D1A" w:rsidP="001E6D1A">
      <w:pPr>
        <w:tabs>
          <w:tab w:val="left" w:pos="284"/>
        </w:tabs>
        <w:spacing w:after="0" w:line="240" w:lineRule="auto"/>
        <w:rPr>
          <w:rFonts w:ascii="Times New Roman" w:eastAsia="Times New Roman" w:hAnsi="Times New Roman" w:cs="Times New Roman"/>
          <w:lang w:val="sr-Latn-ME"/>
        </w:rPr>
      </w:pPr>
    </w:p>
    <w:p w:rsidR="005D2400" w:rsidRPr="00327D94" w:rsidRDefault="005D2400" w:rsidP="001E6D1A">
      <w:pPr>
        <w:tabs>
          <w:tab w:val="left" w:pos="284"/>
        </w:tabs>
        <w:spacing w:after="0" w:line="240" w:lineRule="auto"/>
        <w:rPr>
          <w:rFonts w:ascii="Times New Roman" w:eastAsia="Times New Roman" w:hAnsi="Times New Roman" w:cs="Times New Roman"/>
          <w:lang w:val="sr-Latn-ME"/>
        </w:rPr>
      </w:pPr>
    </w:p>
    <w:tbl>
      <w:tblPr>
        <w:tblW w:w="9360" w:type="dxa"/>
        <w:jc w:val="center"/>
        <w:tblLayout w:type="fixed"/>
        <w:tblLook w:val="0000" w:firstRow="0" w:lastRow="0" w:firstColumn="0" w:lastColumn="0" w:noHBand="0" w:noVBand="0"/>
      </w:tblPr>
      <w:tblGrid>
        <w:gridCol w:w="2160"/>
        <w:gridCol w:w="7200"/>
      </w:tblGrid>
      <w:tr w:rsidR="005D2400" w:rsidRPr="00327D94" w:rsidTr="008E45C5">
        <w:trPr>
          <w:trHeight w:val="530"/>
          <w:jc w:val="center"/>
        </w:trPr>
        <w:tc>
          <w:tcPr>
            <w:tcW w:w="9360" w:type="dxa"/>
            <w:gridSpan w:val="2"/>
            <w:vAlign w:val="center"/>
          </w:tcPr>
          <w:p w:rsidR="005D2400" w:rsidRPr="00327D94" w:rsidRDefault="005D2400" w:rsidP="001E6D1A">
            <w:pPr>
              <w:tabs>
                <w:tab w:val="left" w:pos="284"/>
              </w:tabs>
              <w:spacing w:after="0" w:line="240" w:lineRule="auto"/>
              <w:jc w:val="center"/>
              <w:rPr>
                <w:rFonts w:ascii="Times New Roman" w:eastAsia="Times New Roman" w:hAnsi="Times New Roman" w:cs="Times New Roman"/>
                <w:b/>
                <w:bCs/>
                <w:i/>
                <w:iCs/>
                <w:u w:val="single"/>
                <w:lang w:val="sr-Latn-ME"/>
              </w:rPr>
            </w:pPr>
            <w:r w:rsidRPr="00327D94">
              <w:rPr>
                <w:rFonts w:ascii="Times New Roman" w:eastAsia="Times New Roman" w:hAnsi="Times New Roman" w:cs="Times New Roman"/>
                <w:b/>
                <w:bCs/>
                <w:i/>
                <w:iCs/>
                <w:u w:val="single"/>
                <w:lang w:val="sr-Latn-ME"/>
              </w:rPr>
              <w:t>SAŽETAK KARAKTERISTIKA LIJEKA</w:t>
            </w:r>
          </w:p>
        </w:tc>
      </w:tr>
      <w:tr w:rsidR="005D2400" w:rsidRPr="00327D94" w:rsidTr="008E45C5">
        <w:trPr>
          <w:trHeight w:val="1969"/>
          <w:jc w:val="center"/>
        </w:trPr>
        <w:tc>
          <w:tcPr>
            <w:tcW w:w="9360" w:type="dxa"/>
            <w:gridSpan w:val="2"/>
            <w:vAlign w:val="bottom"/>
          </w:tcPr>
          <w:p w:rsidR="005D2400" w:rsidRPr="00327D94" w:rsidRDefault="00027410" w:rsidP="001E6D1A">
            <w:pPr>
              <w:tabs>
                <w:tab w:val="left" w:pos="284"/>
              </w:tabs>
              <w:spacing w:after="0" w:line="240" w:lineRule="auto"/>
              <w:jc w:val="center"/>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Redizork</w:t>
            </w:r>
            <w:r w:rsidR="00872E55">
              <w:rPr>
                <w:rFonts w:ascii="Times New Roman" w:eastAsia="Times New Roman" w:hAnsi="Times New Roman" w:cs="Times New Roman"/>
                <w:b/>
                <w:bCs/>
                <w:lang w:val="sr-Latn-ME"/>
              </w:rPr>
              <w:t>,</w:t>
            </w:r>
            <w:r w:rsidR="005D2400" w:rsidRPr="00327D94">
              <w:rPr>
                <w:rFonts w:ascii="Times New Roman" w:eastAsia="Times New Roman" w:hAnsi="Times New Roman" w:cs="Times New Roman"/>
                <w:b/>
                <w:bCs/>
                <w:lang w:val="sr-Latn-ME"/>
              </w:rPr>
              <w:t> </w:t>
            </w:r>
            <w:r w:rsidR="00C02CE8" w:rsidRPr="00327D94">
              <w:rPr>
                <w:rFonts w:ascii="Times New Roman" w:eastAsia="Times New Roman" w:hAnsi="Times New Roman" w:cs="Times New Roman"/>
                <w:b/>
                <w:bCs/>
                <w:lang w:val="sr-Latn-ME"/>
              </w:rPr>
              <w:t xml:space="preserve">tableta </w:t>
            </w:r>
            <w:r w:rsidR="005D2400" w:rsidRPr="00327D94">
              <w:rPr>
                <w:rFonts w:ascii="Times New Roman" w:eastAsia="Times New Roman" w:hAnsi="Times New Roman" w:cs="Times New Roman"/>
                <w:b/>
                <w:bCs/>
                <w:lang w:val="sr-Latn-ME"/>
              </w:rPr>
              <w:t>1,5 mg</w:t>
            </w:r>
          </w:p>
          <w:p w:rsidR="00C02CE8" w:rsidRPr="00327D94" w:rsidRDefault="00C02CE8" w:rsidP="001E6D1A">
            <w:pPr>
              <w:tabs>
                <w:tab w:val="left" w:pos="284"/>
              </w:tabs>
              <w:spacing w:after="0" w:line="240" w:lineRule="auto"/>
              <w:jc w:val="center"/>
              <w:rPr>
                <w:rFonts w:ascii="Times New Roman" w:eastAsia="Times New Roman" w:hAnsi="Times New Roman" w:cs="Times New Roman"/>
                <w:b/>
                <w:bCs/>
                <w:lang w:val="sr-Latn-ME"/>
              </w:rPr>
            </w:pPr>
            <w:r w:rsidRPr="00327D94">
              <w:rPr>
                <w:rFonts w:ascii="Times New Roman" w:eastAsia="Times New Roman" w:hAnsi="Times New Roman" w:cs="Times New Roman"/>
                <w:bCs/>
                <w:lang w:val="sr-Latn-ME"/>
              </w:rPr>
              <w:t>Pakovanje: blister, 2x10 tableta</w:t>
            </w:r>
          </w:p>
          <w:p w:rsidR="005D2400" w:rsidRPr="00327D94" w:rsidRDefault="005D2400" w:rsidP="001E6D1A">
            <w:pPr>
              <w:tabs>
                <w:tab w:val="left" w:pos="284"/>
              </w:tabs>
              <w:spacing w:after="0" w:line="240" w:lineRule="auto"/>
              <w:jc w:val="center"/>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Red</w:t>
            </w:r>
            <w:r w:rsidR="00027410" w:rsidRPr="00327D94">
              <w:rPr>
                <w:rFonts w:ascii="Times New Roman" w:eastAsia="Times New Roman" w:hAnsi="Times New Roman" w:cs="Times New Roman"/>
                <w:b/>
                <w:bCs/>
                <w:lang w:val="sr-Latn-ME"/>
              </w:rPr>
              <w:t>izork</w:t>
            </w:r>
            <w:r w:rsidR="00872E55">
              <w:rPr>
                <w:rFonts w:ascii="Times New Roman" w:eastAsia="Times New Roman" w:hAnsi="Times New Roman" w:cs="Times New Roman"/>
                <w:b/>
                <w:bCs/>
                <w:lang w:val="sr-Latn-ME"/>
              </w:rPr>
              <w:t>,</w:t>
            </w:r>
            <w:r w:rsidR="00DA26D3" w:rsidRPr="00327D94">
              <w:rPr>
                <w:rFonts w:ascii="Times New Roman" w:eastAsia="Times New Roman" w:hAnsi="Times New Roman" w:cs="Times New Roman"/>
                <w:b/>
                <w:bCs/>
                <w:lang w:val="sr-Latn-ME"/>
              </w:rPr>
              <w:t xml:space="preserve"> </w:t>
            </w:r>
            <w:r w:rsidR="00C02CE8" w:rsidRPr="00327D94">
              <w:rPr>
                <w:rFonts w:ascii="Times New Roman" w:eastAsia="Times New Roman" w:hAnsi="Times New Roman" w:cs="Times New Roman"/>
                <w:b/>
                <w:bCs/>
                <w:lang w:val="sr-Latn-ME"/>
              </w:rPr>
              <w:t xml:space="preserve">tableta </w:t>
            </w:r>
            <w:r w:rsidRPr="00327D94">
              <w:rPr>
                <w:rFonts w:ascii="Times New Roman" w:eastAsia="Times New Roman" w:hAnsi="Times New Roman" w:cs="Times New Roman"/>
                <w:b/>
                <w:bCs/>
                <w:lang w:val="sr-Latn-ME"/>
              </w:rPr>
              <w:t>4,5 mg</w:t>
            </w:r>
          </w:p>
          <w:p w:rsidR="005D2400" w:rsidRPr="00327D94" w:rsidRDefault="00A8337C" w:rsidP="001E6D1A">
            <w:pPr>
              <w:tabs>
                <w:tab w:val="left" w:pos="284"/>
              </w:tabs>
              <w:spacing w:after="0" w:line="240" w:lineRule="auto"/>
              <w:jc w:val="center"/>
              <w:rPr>
                <w:rFonts w:ascii="Times New Roman" w:eastAsia="Times New Roman" w:hAnsi="Times New Roman" w:cs="Times New Roman"/>
                <w:bCs/>
                <w:lang w:val="sr-Latn-ME"/>
              </w:rPr>
            </w:pPr>
            <w:r w:rsidRPr="00327D94">
              <w:rPr>
                <w:rFonts w:ascii="Times New Roman" w:eastAsia="Times New Roman" w:hAnsi="Times New Roman" w:cs="Times New Roman"/>
                <w:bCs/>
                <w:lang w:val="sr-Latn-ME"/>
              </w:rPr>
              <w:t>Pakovanje: blis</w:t>
            </w:r>
            <w:r w:rsidR="005D2400" w:rsidRPr="00327D94">
              <w:rPr>
                <w:rFonts w:ascii="Times New Roman" w:eastAsia="Times New Roman" w:hAnsi="Times New Roman" w:cs="Times New Roman"/>
                <w:bCs/>
                <w:lang w:val="sr-Latn-ME"/>
              </w:rPr>
              <w:t>t</w:t>
            </w:r>
            <w:r w:rsidRPr="00327D94">
              <w:rPr>
                <w:rFonts w:ascii="Times New Roman" w:eastAsia="Times New Roman" w:hAnsi="Times New Roman" w:cs="Times New Roman"/>
                <w:bCs/>
                <w:lang w:val="sr-Latn-ME"/>
              </w:rPr>
              <w:t>e</w:t>
            </w:r>
            <w:r w:rsidR="005D2400" w:rsidRPr="00327D94">
              <w:rPr>
                <w:rFonts w:ascii="Times New Roman" w:eastAsia="Times New Roman" w:hAnsi="Times New Roman" w:cs="Times New Roman"/>
                <w:bCs/>
                <w:lang w:val="sr-Latn-ME"/>
              </w:rPr>
              <w:t>r, 2x10 tableta</w:t>
            </w:r>
          </w:p>
          <w:p w:rsidR="005D2400" w:rsidRPr="00327D94" w:rsidRDefault="005D2400" w:rsidP="001E6D1A">
            <w:pPr>
              <w:tabs>
                <w:tab w:val="left" w:pos="284"/>
              </w:tabs>
              <w:spacing w:after="40" w:line="240" w:lineRule="auto"/>
              <w:jc w:val="both"/>
              <w:rPr>
                <w:rFonts w:ascii="Times New Roman" w:eastAsia="Times New Roman" w:hAnsi="Times New Roman" w:cs="Times New Roman"/>
                <w:b/>
                <w:bCs/>
                <w:u w:val="single"/>
                <w:lang w:val="sr-Latn-ME"/>
              </w:rPr>
            </w:pPr>
          </w:p>
        </w:tc>
      </w:tr>
      <w:tr w:rsidR="005D2400" w:rsidRPr="00327D94" w:rsidTr="008E45C5">
        <w:trPr>
          <w:trHeight w:val="1225"/>
          <w:jc w:val="center"/>
        </w:trPr>
        <w:tc>
          <w:tcPr>
            <w:tcW w:w="9360" w:type="dxa"/>
            <w:gridSpan w:val="2"/>
          </w:tcPr>
          <w:p w:rsidR="005D2400" w:rsidRPr="00327D94" w:rsidRDefault="005D2400" w:rsidP="001E6D1A">
            <w:pPr>
              <w:keepNext/>
              <w:tabs>
                <w:tab w:val="left" w:pos="284"/>
              </w:tabs>
              <w:spacing w:after="0" w:line="240" w:lineRule="auto"/>
              <w:jc w:val="center"/>
              <w:outlineLvl w:val="1"/>
              <w:rPr>
                <w:rFonts w:ascii="Times New Roman" w:eastAsia="Times New Roman" w:hAnsi="Times New Roman" w:cs="Times New Roman"/>
                <w:i/>
                <w:iCs/>
                <w:color w:val="808080"/>
                <w:lang w:val="sr-Latn-ME"/>
              </w:rPr>
            </w:pPr>
          </w:p>
        </w:tc>
      </w:tr>
      <w:tr w:rsidR="005D2400" w:rsidRPr="00327D94" w:rsidTr="008E45C5">
        <w:trPr>
          <w:jc w:val="center"/>
        </w:trPr>
        <w:tc>
          <w:tcPr>
            <w:tcW w:w="2160" w:type="dxa"/>
            <w:vAlign w:val="bottom"/>
          </w:tcPr>
          <w:p w:rsidR="005D2400" w:rsidRPr="00327D94" w:rsidRDefault="005D2400" w:rsidP="001E6D1A">
            <w:pPr>
              <w:tabs>
                <w:tab w:val="left" w:pos="284"/>
              </w:tabs>
              <w:spacing w:after="0" w:line="240" w:lineRule="auto"/>
              <w:jc w:val="right"/>
              <w:rPr>
                <w:rFonts w:ascii="Times New Roman" w:eastAsia="Times New Roman" w:hAnsi="Times New Roman" w:cs="Times New Roman"/>
                <w:lang w:val="sr-Latn-ME"/>
              </w:rPr>
            </w:pPr>
            <w:r w:rsidRPr="00327D94">
              <w:rPr>
                <w:rFonts w:ascii="Times New Roman" w:eastAsia="Times New Roman" w:hAnsi="Times New Roman" w:cs="Times New Roman"/>
                <w:lang w:val="sr-Latn-ME"/>
              </w:rPr>
              <w:t>Proizvođač:</w:t>
            </w:r>
          </w:p>
        </w:tc>
        <w:tc>
          <w:tcPr>
            <w:tcW w:w="7200" w:type="dxa"/>
            <w:vAlign w:val="bottom"/>
          </w:tcPr>
          <w:p w:rsidR="005D2400" w:rsidRPr="00327D94" w:rsidRDefault="00027410" w:rsidP="001E6D1A">
            <w:pPr>
              <w:spacing w:after="0" w:line="240" w:lineRule="auto"/>
              <w:ind w:left="72" w:hanging="72"/>
              <w:rPr>
                <w:rFonts w:ascii="Times New Roman" w:eastAsia="Times New Roman" w:hAnsi="Times New Roman" w:cs="Times New Roman"/>
                <w:b/>
                <w:bCs/>
                <w:lang w:val="sr-Latn-ME"/>
              </w:rPr>
            </w:pPr>
            <w:r w:rsidRPr="00327D94">
              <w:rPr>
                <w:rFonts w:ascii="Times New Roman" w:eastAsia="Times New Roman" w:hAnsi="Times New Roman" w:cs="Times New Roman"/>
                <w:b/>
                <w:lang w:val="sr-Latn-ME"/>
              </w:rPr>
              <w:t>Hemofarm A.D</w:t>
            </w:r>
            <w:r w:rsidR="00C02CE8" w:rsidRPr="00327D94">
              <w:rPr>
                <w:rFonts w:ascii="Times New Roman" w:eastAsia="Times New Roman" w:hAnsi="Times New Roman" w:cs="Times New Roman"/>
                <w:b/>
                <w:lang w:val="sr-Latn-ME"/>
              </w:rPr>
              <w:t>.</w:t>
            </w:r>
          </w:p>
        </w:tc>
      </w:tr>
      <w:tr w:rsidR="005D2400" w:rsidRPr="00327D94" w:rsidTr="008E45C5">
        <w:trPr>
          <w:jc w:val="center"/>
        </w:trPr>
        <w:tc>
          <w:tcPr>
            <w:tcW w:w="2160" w:type="dxa"/>
            <w:vAlign w:val="bottom"/>
          </w:tcPr>
          <w:p w:rsidR="005D2400" w:rsidRPr="00327D94" w:rsidRDefault="005D2400" w:rsidP="001E6D1A">
            <w:pPr>
              <w:tabs>
                <w:tab w:val="left" w:pos="284"/>
              </w:tabs>
              <w:spacing w:after="0" w:line="240" w:lineRule="auto"/>
              <w:jc w:val="right"/>
              <w:rPr>
                <w:rFonts w:ascii="Times New Roman" w:eastAsia="Times New Roman" w:hAnsi="Times New Roman" w:cs="Times New Roman"/>
                <w:lang w:val="sr-Latn-ME"/>
              </w:rPr>
            </w:pPr>
            <w:r w:rsidRPr="00327D94">
              <w:rPr>
                <w:rFonts w:ascii="Times New Roman" w:eastAsia="Times New Roman" w:hAnsi="Times New Roman" w:cs="Times New Roman"/>
                <w:lang w:val="sr-Latn-ME"/>
              </w:rPr>
              <w:t>Adresa:</w:t>
            </w:r>
          </w:p>
        </w:tc>
        <w:tc>
          <w:tcPr>
            <w:tcW w:w="7200" w:type="dxa"/>
            <w:vAlign w:val="bottom"/>
          </w:tcPr>
          <w:p w:rsidR="005D2400" w:rsidRPr="00327D94" w:rsidRDefault="00027410" w:rsidP="001E6D1A">
            <w:pPr>
              <w:spacing w:after="0" w:line="240" w:lineRule="auto"/>
              <w:ind w:left="72" w:hanging="72"/>
              <w:rPr>
                <w:rFonts w:ascii="Times New Roman" w:eastAsia="Times New Roman" w:hAnsi="Times New Roman" w:cs="Times New Roman"/>
                <w:b/>
                <w:bCs/>
                <w:lang w:val="sr-Latn-ME"/>
              </w:rPr>
            </w:pPr>
            <w:r w:rsidRPr="00327D94">
              <w:rPr>
                <w:rFonts w:ascii="Times New Roman" w:eastAsia="Times New Roman" w:hAnsi="Times New Roman" w:cs="Times New Roman"/>
                <w:b/>
                <w:lang w:val="sr-Latn-ME"/>
              </w:rPr>
              <w:t>Beogradski put bb,Vršac, Republika Srbija</w:t>
            </w:r>
          </w:p>
        </w:tc>
      </w:tr>
      <w:tr w:rsidR="005D2400" w:rsidRPr="00327D94" w:rsidTr="008E45C5">
        <w:trPr>
          <w:jc w:val="center"/>
        </w:trPr>
        <w:tc>
          <w:tcPr>
            <w:tcW w:w="2160" w:type="dxa"/>
            <w:vAlign w:val="bottom"/>
          </w:tcPr>
          <w:p w:rsidR="005D2400" w:rsidRPr="00327D94" w:rsidRDefault="005D2400" w:rsidP="001E6D1A">
            <w:pPr>
              <w:tabs>
                <w:tab w:val="left" w:pos="284"/>
              </w:tabs>
              <w:spacing w:after="0" w:line="240" w:lineRule="auto"/>
              <w:jc w:val="right"/>
              <w:rPr>
                <w:rFonts w:ascii="Times New Roman" w:eastAsia="Times New Roman" w:hAnsi="Times New Roman" w:cs="Times New Roman"/>
                <w:lang w:val="sr-Latn-ME"/>
              </w:rPr>
            </w:pPr>
            <w:r w:rsidRPr="00327D94">
              <w:rPr>
                <w:rFonts w:ascii="Times New Roman" w:eastAsia="Times New Roman" w:hAnsi="Times New Roman" w:cs="Times New Roman"/>
                <w:lang w:val="sr-Latn-ME"/>
              </w:rPr>
              <w:t>Podnosilac zahtjeva:</w:t>
            </w:r>
          </w:p>
        </w:tc>
        <w:tc>
          <w:tcPr>
            <w:tcW w:w="7200" w:type="dxa"/>
            <w:vAlign w:val="bottom"/>
          </w:tcPr>
          <w:p w:rsidR="005D2400" w:rsidRPr="00327D94" w:rsidRDefault="00027410" w:rsidP="001E6D1A">
            <w:pPr>
              <w:spacing w:after="0" w:line="240" w:lineRule="auto"/>
              <w:ind w:left="72" w:hanging="72"/>
              <w:rPr>
                <w:rFonts w:ascii="Times New Roman" w:eastAsia="Times New Roman" w:hAnsi="Times New Roman" w:cs="Times New Roman"/>
                <w:b/>
                <w:bCs/>
                <w:lang w:val="sr-Latn-ME"/>
              </w:rPr>
            </w:pPr>
            <w:r w:rsidRPr="00327D94">
              <w:rPr>
                <w:rFonts w:ascii="Times New Roman" w:eastAsia="Times New Roman" w:hAnsi="Times New Roman" w:cs="Times New Roman"/>
                <w:b/>
                <w:lang w:val="sr-Latn-ME"/>
              </w:rPr>
              <w:t>Hemofarm A.D</w:t>
            </w:r>
            <w:r w:rsidR="000A3E21" w:rsidRPr="00327D94">
              <w:rPr>
                <w:rFonts w:ascii="Times New Roman" w:eastAsia="Times New Roman" w:hAnsi="Times New Roman" w:cs="Times New Roman"/>
                <w:b/>
                <w:lang w:val="sr-Latn-ME"/>
              </w:rPr>
              <w:t>.</w:t>
            </w:r>
            <w:r w:rsidRPr="00327D94">
              <w:rPr>
                <w:rFonts w:ascii="Times New Roman" w:eastAsia="Times New Roman" w:hAnsi="Times New Roman" w:cs="Times New Roman"/>
                <w:b/>
                <w:lang w:val="sr-Latn-ME"/>
              </w:rPr>
              <w:t xml:space="preserve"> Vršac Poslovna jedinica Podgorica</w:t>
            </w:r>
            <w:r w:rsidR="005D2400" w:rsidRPr="00327D94">
              <w:rPr>
                <w:rFonts w:ascii="Times New Roman" w:eastAsia="Times New Roman" w:hAnsi="Times New Roman" w:cs="Times New Roman"/>
                <w:b/>
                <w:lang w:val="sr-Latn-ME"/>
              </w:rPr>
              <w:t xml:space="preserve"> </w:t>
            </w:r>
          </w:p>
        </w:tc>
      </w:tr>
      <w:tr w:rsidR="005D2400" w:rsidRPr="00327D94" w:rsidTr="008E45C5">
        <w:trPr>
          <w:jc w:val="center"/>
        </w:trPr>
        <w:tc>
          <w:tcPr>
            <w:tcW w:w="2160" w:type="dxa"/>
            <w:vAlign w:val="bottom"/>
          </w:tcPr>
          <w:p w:rsidR="005D2400" w:rsidRPr="00327D94" w:rsidRDefault="005D2400" w:rsidP="001E6D1A">
            <w:pPr>
              <w:tabs>
                <w:tab w:val="left" w:pos="284"/>
              </w:tabs>
              <w:spacing w:after="0" w:line="240" w:lineRule="auto"/>
              <w:jc w:val="right"/>
              <w:rPr>
                <w:rFonts w:ascii="Times New Roman" w:eastAsia="Times New Roman" w:hAnsi="Times New Roman" w:cs="Times New Roman"/>
                <w:lang w:val="sr-Latn-ME"/>
              </w:rPr>
            </w:pPr>
            <w:r w:rsidRPr="00327D94">
              <w:rPr>
                <w:rFonts w:ascii="Times New Roman" w:eastAsia="Times New Roman" w:hAnsi="Times New Roman" w:cs="Times New Roman"/>
                <w:lang w:val="sr-Latn-ME"/>
              </w:rPr>
              <w:t>Adresa:</w:t>
            </w:r>
          </w:p>
        </w:tc>
        <w:tc>
          <w:tcPr>
            <w:tcW w:w="7200" w:type="dxa"/>
            <w:vAlign w:val="bottom"/>
          </w:tcPr>
          <w:p w:rsidR="005D2400" w:rsidRPr="00327D94" w:rsidRDefault="00027410" w:rsidP="001E6D1A">
            <w:pPr>
              <w:spacing w:after="0" w:line="240" w:lineRule="auto"/>
              <w:ind w:left="72" w:hanging="72"/>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8 marta 55A</w:t>
            </w:r>
            <w:r w:rsidR="005D2400" w:rsidRPr="00327D94">
              <w:rPr>
                <w:rFonts w:ascii="Times New Roman" w:eastAsia="Times New Roman" w:hAnsi="Times New Roman" w:cs="Times New Roman"/>
                <w:b/>
                <w:bCs/>
                <w:lang w:val="sr-Latn-ME"/>
              </w:rPr>
              <w:t>, Podgorica, Crna Gora</w:t>
            </w:r>
          </w:p>
        </w:tc>
      </w:tr>
    </w:tbl>
    <w:p w:rsidR="005D2400" w:rsidRPr="00327D94" w:rsidRDefault="005D2400" w:rsidP="001E6D1A">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rsidP="001E6D1A">
      <w:pPr>
        <w:tabs>
          <w:tab w:val="left" w:pos="284"/>
        </w:tabs>
        <w:spacing w:after="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lang w:val="sr-Latn-ME"/>
        </w:rPr>
        <w:br w:type="page"/>
      </w:r>
    </w:p>
    <w:p w:rsidR="00EC7011" w:rsidRPr="00327D94" w:rsidRDefault="00EC7011" w:rsidP="000045F3">
      <w:pPr>
        <w:tabs>
          <w:tab w:val="left" w:pos="284"/>
        </w:tabs>
        <w:spacing w:after="0" w:line="240" w:lineRule="auto"/>
        <w:jc w:val="both"/>
        <w:rPr>
          <w:rFonts w:ascii="Times New Roman" w:eastAsia="Times New Roman" w:hAnsi="Times New Roman" w:cs="Times New Roman"/>
          <w:b/>
          <w:bCs/>
          <w:lang w:val="sr-Latn-ME"/>
        </w:rPr>
      </w:pPr>
    </w:p>
    <w:p w:rsidR="005D2400" w:rsidRPr="00327D94" w:rsidRDefault="00027410" w:rsidP="000045F3">
      <w:pPr>
        <w:tabs>
          <w:tab w:val="left" w:pos="284"/>
        </w:tabs>
        <w:spacing w:after="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1. NAZIV LIJEKA</w:t>
      </w:r>
    </w:p>
    <w:p w:rsidR="00027410" w:rsidRPr="00327D94" w:rsidRDefault="00027410" w:rsidP="000045F3">
      <w:pPr>
        <w:tabs>
          <w:tab w:val="left" w:pos="284"/>
        </w:tabs>
        <w:spacing w:after="0" w:line="240" w:lineRule="auto"/>
        <w:jc w:val="both"/>
        <w:rPr>
          <w:rFonts w:ascii="Times New Roman" w:eastAsia="Times New Roman" w:hAnsi="Times New Roman" w:cs="Times New Roman"/>
          <w:b/>
          <w:bCs/>
          <w:lang w:val="sr-Latn-ME"/>
        </w:rPr>
      </w:pPr>
    </w:p>
    <w:p w:rsidR="00027410" w:rsidRPr="00327D94" w:rsidRDefault="0002741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 xml:space="preserve">REDIZORK, 1,5 mg, </w:t>
      </w:r>
      <w:r w:rsidR="00B06A1C" w:rsidRPr="00327D94">
        <w:rPr>
          <w:rFonts w:ascii="Times New Roman" w:eastAsia="Times New Roman" w:hAnsi="Times New Roman" w:cs="Times New Roman"/>
          <w:lang w:val="sr-Latn-ME"/>
        </w:rPr>
        <w:t>tableta</w:t>
      </w:r>
    </w:p>
    <w:p w:rsidR="00027410" w:rsidRPr="00327D94" w:rsidRDefault="0002741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 xml:space="preserve">REDIZORK, 4,5 mg, </w:t>
      </w:r>
      <w:r w:rsidR="00B06A1C" w:rsidRPr="00327D94">
        <w:rPr>
          <w:rFonts w:ascii="Times New Roman" w:eastAsia="Times New Roman" w:hAnsi="Times New Roman" w:cs="Times New Roman"/>
          <w:lang w:val="sr-Latn-ME"/>
        </w:rPr>
        <w:t>tableta</w:t>
      </w:r>
    </w:p>
    <w:p w:rsidR="00027410" w:rsidRPr="00327D94" w:rsidRDefault="00027410">
      <w:pPr>
        <w:tabs>
          <w:tab w:val="left" w:pos="284"/>
        </w:tabs>
        <w:spacing w:after="0" w:line="240" w:lineRule="auto"/>
        <w:jc w:val="both"/>
        <w:rPr>
          <w:rFonts w:ascii="Times New Roman" w:eastAsia="Times New Roman" w:hAnsi="Times New Roman" w:cs="Times New Roman"/>
          <w:lang w:val="sr-Latn-ME"/>
        </w:rPr>
      </w:pPr>
    </w:p>
    <w:p w:rsidR="005D2400" w:rsidRPr="00327D94" w:rsidRDefault="0002741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INN: kodergokrin mezilat</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0045F3" w:rsidRPr="00327D94" w:rsidRDefault="000045F3">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2. KVALITATIVNI I KVANTITATIVNI SASTAV</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Kodergokrin mezilat (dihidroergotoksin mezilat) je smješa dihidroergokornin mezilata, dihidroergokristin mezilata</w:t>
      </w:r>
      <w:r w:rsidR="00823895" w:rsidRPr="00327D94">
        <w:rPr>
          <w:rFonts w:ascii="Times New Roman" w:eastAsia="Times New Roman" w:hAnsi="Times New Roman" w:cs="Times New Roman"/>
          <w:lang w:val="sr-Latn-ME"/>
        </w:rPr>
        <w:t>,</w:t>
      </w:r>
      <w:r w:rsidRPr="00327D94">
        <w:rPr>
          <w:rFonts w:ascii="Times New Roman" w:eastAsia="Times New Roman" w:hAnsi="Times New Roman" w:cs="Times New Roman"/>
          <w:lang w:val="sr-Latn-ME"/>
        </w:rPr>
        <w:t xml:space="preserve"> alfa-dihidroergokriptin mezilata i beta dihidroergokriptin mezilata</w:t>
      </w:r>
      <w:r w:rsidR="00823895" w:rsidRPr="00327D94">
        <w:rPr>
          <w:rFonts w:ascii="Times New Roman" w:eastAsia="Times New Roman" w:hAnsi="Times New Roman" w:cs="Times New Roman"/>
          <w:lang w:val="sr-Latn-ME"/>
        </w:rPr>
        <w:t>.</w:t>
      </w:r>
    </w:p>
    <w:p w:rsidR="005D2400" w:rsidRPr="00327D94" w:rsidRDefault="005D2400">
      <w:pPr>
        <w:tabs>
          <w:tab w:val="left" w:pos="284"/>
        </w:tabs>
        <w:spacing w:after="0" w:line="240" w:lineRule="auto"/>
        <w:jc w:val="both"/>
        <w:rPr>
          <w:rFonts w:ascii="Times New Roman" w:eastAsia="Times New Roman" w:hAnsi="Times New Roman" w:cs="Times New Roman"/>
          <w:u w:val="single"/>
          <w:lang w:val="sr-Latn-ME"/>
        </w:rPr>
      </w:pPr>
    </w:p>
    <w:p w:rsidR="00027410" w:rsidRPr="00327D94" w:rsidRDefault="0002741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Redizork 1,5 mg, tablete</w:t>
      </w:r>
    </w:p>
    <w:p w:rsidR="00027410" w:rsidRPr="00327D94" w:rsidRDefault="0002741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1 tableta sadrži: kodergokrin</w:t>
      </w:r>
      <w:r w:rsidR="00803459" w:rsidRPr="00327D94">
        <w:rPr>
          <w:rFonts w:ascii="Times New Roman" w:eastAsia="Times New Roman" w:hAnsi="Times New Roman" w:cs="Times New Roman"/>
          <w:lang w:val="sr-Latn-ME"/>
        </w:rPr>
        <w:t xml:space="preserve"> </w:t>
      </w:r>
      <w:r w:rsidRPr="00327D94">
        <w:rPr>
          <w:rFonts w:ascii="Times New Roman" w:eastAsia="Times New Roman" w:hAnsi="Times New Roman" w:cs="Times New Roman"/>
          <w:lang w:val="sr-Latn-ME"/>
        </w:rPr>
        <w:t>mezilat 1,5 mg.</w:t>
      </w:r>
    </w:p>
    <w:p w:rsidR="00027410" w:rsidRPr="00327D94" w:rsidRDefault="00027410">
      <w:pPr>
        <w:tabs>
          <w:tab w:val="left" w:pos="284"/>
        </w:tabs>
        <w:spacing w:after="0" w:line="240" w:lineRule="auto"/>
        <w:jc w:val="both"/>
        <w:rPr>
          <w:rFonts w:ascii="Times New Roman" w:eastAsia="Times New Roman" w:hAnsi="Times New Roman" w:cs="Times New Roman"/>
          <w:lang w:val="sr-Latn-ME"/>
        </w:rPr>
      </w:pPr>
    </w:p>
    <w:p w:rsidR="00027410" w:rsidRPr="00327D94" w:rsidRDefault="0002741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Redizork 4,5 mg, tablete</w:t>
      </w:r>
    </w:p>
    <w:p w:rsidR="00027410" w:rsidRPr="00327D94" w:rsidRDefault="0002741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1 tableta sadrži: kodergokrin</w:t>
      </w:r>
      <w:r w:rsidR="00803459" w:rsidRPr="00327D94">
        <w:rPr>
          <w:rFonts w:ascii="Times New Roman" w:eastAsia="Times New Roman" w:hAnsi="Times New Roman" w:cs="Times New Roman"/>
          <w:lang w:val="sr-Latn-ME"/>
        </w:rPr>
        <w:t xml:space="preserve"> </w:t>
      </w:r>
      <w:r w:rsidRPr="00327D94">
        <w:rPr>
          <w:rFonts w:ascii="Times New Roman" w:eastAsia="Times New Roman" w:hAnsi="Times New Roman" w:cs="Times New Roman"/>
          <w:lang w:val="sr-Latn-ME"/>
        </w:rPr>
        <w:t>mezilat 4,5 mg.</w:t>
      </w:r>
    </w:p>
    <w:p w:rsidR="00027410" w:rsidRPr="00327D94" w:rsidRDefault="00027410">
      <w:pPr>
        <w:tabs>
          <w:tab w:val="left" w:pos="284"/>
        </w:tabs>
        <w:spacing w:after="0" w:line="240" w:lineRule="auto"/>
        <w:jc w:val="both"/>
        <w:rPr>
          <w:rFonts w:ascii="Times New Roman" w:eastAsia="Times New Roman" w:hAnsi="Times New Roman" w:cs="Times New Roman"/>
          <w:lang w:val="sr-Latn-ME"/>
        </w:rPr>
      </w:pPr>
    </w:p>
    <w:p w:rsidR="005D2400" w:rsidRPr="00327D94" w:rsidRDefault="0002741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Za pomoćn</w:t>
      </w:r>
      <w:r w:rsidR="00823895" w:rsidRPr="00327D94">
        <w:rPr>
          <w:rFonts w:ascii="Times New Roman" w:eastAsia="Times New Roman" w:hAnsi="Times New Roman" w:cs="Times New Roman"/>
          <w:lang w:val="sr-Latn-ME"/>
        </w:rPr>
        <w:t>ih supstanci</w:t>
      </w:r>
      <w:r w:rsidRPr="00327D94">
        <w:rPr>
          <w:rFonts w:ascii="Times New Roman" w:eastAsia="Times New Roman" w:hAnsi="Times New Roman" w:cs="Times New Roman"/>
          <w:lang w:val="sr-Latn-ME"/>
        </w:rPr>
        <w:t xml:space="preserve"> vid</w:t>
      </w:r>
      <w:r w:rsidR="00CE511B" w:rsidRPr="00327D94">
        <w:rPr>
          <w:rFonts w:ascii="Times New Roman" w:eastAsia="Times New Roman" w:hAnsi="Times New Roman" w:cs="Times New Roman"/>
          <w:lang w:val="sr-Latn-ME"/>
        </w:rPr>
        <w:t>j</w:t>
      </w:r>
      <w:r w:rsidRPr="00327D94">
        <w:rPr>
          <w:rFonts w:ascii="Times New Roman" w:eastAsia="Times New Roman" w:hAnsi="Times New Roman" w:cs="Times New Roman"/>
          <w:lang w:val="sr-Latn-ME"/>
        </w:rPr>
        <w:t>eti od</w:t>
      </w:r>
      <w:r w:rsidR="00CE511B" w:rsidRPr="00327D94">
        <w:rPr>
          <w:rFonts w:ascii="Times New Roman" w:eastAsia="Times New Roman" w:hAnsi="Times New Roman" w:cs="Times New Roman"/>
          <w:lang w:val="sr-Latn-ME"/>
        </w:rPr>
        <w:t>j</w:t>
      </w:r>
      <w:r w:rsidRPr="00327D94">
        <w:rPr>
          <w:rFonts w:ascii="Times New Roman" w:eastAsia="Times New Roman" w:hAnsi="Times New Roman" w:cs="Times New Roman"/>
          <w:lang w:val="sr-Latn-ME"/>
        </w:rPr>
        <w:t>eljak 6.1.</w:t>
      </w:r>
    </w:p>
    <w:p w:rsidR="00027410" w:rsidRPr="00327D94" w:rsidRDefault="0002741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b/>
          <w:bCs/>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3. FARMACEUTSKI OBLIK</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823895" w:rsidRPr="00327D94" w:rsidRDefault="00027410" w:rsidP="00823895">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REDIZORK, 1,5</w:t>
      </w:r>
      <w:r w:rsidR="00457C9F" w:rsidRPr="00327D94">
        <w:rPr>
          <w:rFonts w:ascii="Times New Roman" w:eastAsia="Times New Roman" w:hAnsi="Times New Roman" w:cs="Times New Roman"/>
          <w:lang w:val="sr-Latn-ME"/>
        </w:rPr>
        <w:t xml:space="preserve"> </w:t>
      </w:r>
      <w:r w:rsidRPr="00327D94">
        <w:rPr>
          <w:rFonts w:ascii="Times New Roman" w:eastAsia="Times New Roman" w:hAnsi="Times New Roman" w:cs="Times New Roman"/>
          <w:lang w:val="sr-Latn-ME"/>
        </w:rPr>
        <w:t xml:space="preserve"> mg, </w:t>
      </w:r>
      <w:r w:rsidR="00C02CE8" w:rsidRPr="00327D94">
        <w:rPr>
          <w:rFonts w:ascii="Times New Roman" w:eastAsia="Times New Roman" w:hAnsi="Times New Roman" w:cs="Times New Roman"/>
          <w:lang w:val="sr-Latn-ME"/>
        </w:rPr>
        <w:t xml:space="preserve">tableta </w:t>
      </w:r>
      <w:r w:rsidRPr="00327D94">
        <w:rPr>
          <w:rFonts w:ascii="Times New Roman" w:eastAsia="Times New Roman" w:hAnsi="Times New Roman" w:cs="Times New Roman"/>
          <w:lang w:val="sr-Latn-ME"/>
        </w:rPr>
        <w:t xml:space="preserve">– </w:t>
      </w:r>
      <w:r w:rsidR="00C02CE8" w:rsidRPr="00327D94">
        <w:rPr>
          <w:rFonts w:ascii="Times New Roman" w:eastAsia="Times New Roman" w:hAnsi="Times New Roman" w:cs="Times New Roman"/>
          <w:lang w:val="sr-Latn-ME"/>
        </w:rPr>
        <w:t>okrugla tableta</w:t>
      </w:r>
      <w:r w:rsidRPr="00327D94">
        <w:rPr>
          <w:rFonts w:ascii="Times New Roman" w:eastAsia="Times New Roman" w:hAnsi="Times New Roman" w:cs="Times New Roman"/>
          <w:lang w:val="sr-Latn-ME"/>
        </w:rPr>
        <w:t>, bijele boje sa utisnutom pod</w:t>
      </w:r>
      <w:r w:rsidR="00823895" w:rsidRPr="00327D94">
        <w:rPr>
          <w:rFonts w:ascii="Times New Roman" w:eastAsia="Times New Roman" w:hAnsi="Times New Roman" w:cs="Times New Roman"/>
          <w:lang w:val="sr-Latn-ME"/>
        </w:rPr>
        <w:t>i</w:t>
      </w:r>
      <w:r w:rsidRPr="00327D94">
        <w:rPr>
          <w:rFonts w:ascii="Times New Roman" w:eastAsia="Times New Roman" w:hAnsi="Times New Roman" w:cs="Times New Roman"/>
          <w:lang w:val="sr-Latn-ME"/>
        </w:rPr>
        <w:t>onom crtom na jednoj strani.</w:t>
      </w:r>
      <w:r w:rsidR="00823895" w:rsidRPr="00327D94">
        <w:rPr>
          <w:rFonts w:ascii="Times New Roman" w:eastAsia="Times New Roman" w:hAnsi="Times New Roman" w:cs="Times New Roman"/>
          <w:lang w:val="sr-Latn-ME"/>
        </w:rPr>
        <w:t xml:space="preserve"> Podiona crta ne služi za dijeljenja tableta u svrhu doziranja, već samo u cilju lakšeg uzimanja tableta. </w:t>
      </w:r>
    </w:p>
    <w:p w:rsidR="00027410" w:rsidRPr="00327D94" w:rsidRDefault="00027410">
      <w:pPr>
        <w:tabs>
          <w:tab w:val="left" w:pos="284"/>
        </w:tabs>
        <w:spacing w:after="0" w:line="240" w:lineRule="auto"/>
        <w:jc w:val="both"/>
        <w:rPr>
          <w:rFonts w:ascii="Times New Roman" w:eastAsia="Times New Roman" w:hAnsi="Times New Roman" w:cs="Times New Roman"/>
          <w:lang w:val="sr-Latn-ME"/>
        </w:rPr>
      </w:pPr>
    </w:p>
    <w:p w:rsidR="00823895" w:rsidRPr="00327D94" w:rsidRDefault="00027410" w:rsidP="00823895">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REDIZORK, 4,5</w:t>
      </w:r>
      <w:r w:rsidR="00457C9F" w:rsidRPr="00327D94">
        <w:rPr>
          <w:rFonts w:ascii="Times New Roman" w:eastAsia="Times New Roman" w:hAnsi="Times New Roman" w:cs="Times New Roman"/>
          <w:lang w:val="sr-Latn-ME"/>
        </w:rPr>
        <w:t xml:space="preserve"> </w:t>
      </w:r>
      <w:r w:rsidRPr="00327D94">
        <w:rPr>
          <w:rFonts w:ascii="Times New Roman" w:eastAsia="Times New Roman" w:hAnsi="Times New Roman" w:cs="Times New Roman"/>
          <w:lang w:val="sr-Latn-ME"/>
        </w:rPr>
        <w:t xml:space="preserve">mg, </w:t>
      </w:r>
      <w:r w:rsidR="00C02CE8" w:rsidRPr="00327D94">
        <w:rPr>
          <w:rFonts w:ascii="Times New Roman" w:eastAsia="Times New Roman" w:hAnsi="Times New Roman" w:cs="Times New Roman"/>
          <w:lang w:val="sr-Latn-ME"/>
        </w:rPr>
        <w:t xml:space="preserve">tableta </w:t>
      </w:r>
      <w:r w:rsidRPr="00327D94">
        <w:rPr>
          <w:rFonts w:ascii="Times New Roman" w:eastAsia="Times New Roman" w:hAnsi="Times New Roman" w:cs="Times New Roman"/>
          <w:lang w:val="sr-Latn-ME"/>
        </w:rPr>
        <w:t>–</w:t>
      </w:r>
      <w:r w:rsidR="00457C9F" w:rsidRPr="00327D94">
        <w:rPr>
          <w:rFonts w:ascii="Times New Roman" w:eastAsia="Times New Roman" w:hAnsi="Times New Roman" w:cs="Times New Roman"/>
          <w:lang w:val="sr-Latn-ME"/>
        </w:rPr>
        <w:t xml:space="preserve"> </w:t>
      </w:r>
      <w:r w:rsidR="00C02CE8" w:rsidRPr="00327D94">
        <w:rPr>
          <w:rFonts w:ascii="Times New Roman" w:eastAsia="Times New Roman" w:hAnsi="Times New Roman" w:cs="Times New Roman"/>
          <w:lang w:val="sr-Latn-ME"/>
        </w:rPr>
        <w:t>okrugla tableta</w:t>
      </w:r>
      <w:r w:rsidRPr="00327D94">
        <w:rPr>
          <w:rFonts w:ascii="Times New Roman" w:eastAsia="Times New Roman" w:hAnsi="Times New Roman" w:cs="Times New Roman"/>
          <w:lang w:val="sr-Latn-ME"/>
        </w:rPr>
        <w:t xml:space="preserve">, svijetloružičaste boje sa utisnutom </w:t>
      </w:r>
      <w:r w:rsidR="00823895" w:rsidRPr="00327D94">
        <w:rPr>
          <w:rFonts w:ascii="Times New Roman" w:eastAsia="Times New Roman" w:hAnsi="Times New Roman" w:cs="Times New Roman"/>
          <w:lang w:val="sr-Latn-ME"/>
        </w:rPr>
        <w:t xml:space="preserve">podionom </w:t>
      </w:r>
      <w:r w:rsidRPr="00327D94">
        <w:rPr>
          <w:rFonts w:ascii="Times New Roman" w:eastAsia="Times New Roman" w:hAnsi="Times New Roman" w:cs="Times New Roman"/>
          <w:lang w:val="sr-Latn-ME"/>
        </w:rPr>
        <w:t>crtom na jednoj</w:t>
      </w:r>
      <w:r w:rsidR="00457C9F" w:rsidRPr="00327D94">
        <w:rPr>
          <w:rFonts w:ascii="Times New Roman" w:eastAsia="Times New Roman" w:hAnsi="Times New Roman" w:cs="Times New Roman"/>
          <w:lang w:val="sr-Latn-ME"/>
        </w:rPr>
        <w:t xml:space="preserve"> s</w:t>
      </w:r>
      <w:r w:rsidRPr="00327D94">
        <w:rPr>
          <w:rFonts w:ascii="Times New Roman" w:eastAsia="Times New Roman" w:hAnsi="Times New Roman" w:cs="Times New Roman"/>
          <w:lang w:val="sr-Latn-ME"/>
        </w:rPr>
        <w:t>trani.</w:t>
      </w:r>
      <w:r w:rsidR="00823895" w:rsidRPr="00327D94">
        <w:rPr>
          <w:rFonts w:ascii="Times New Roman" w:eastAsia="Times New Roman" w:hAnsi="Times New Roman" w:cs="Times New Roman"/>
          <w:lang w:val="sr-Latn-ME"/>
        </w:rPr>
        <w:t xml:space="preserve"> Podiona crta ne služi za dijeljenja tableta u svrhu doziranja, već samo u cilju lakšeg uzimanja tableta. </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0045F3" w:rsidRPr="00327D94" w:rsidRDefault="000045F3">
      <w:pPr>
        <w:tabs>
          <w:tab w:val="left" w:pos="284"/>
        </w:tabs>
        <w:spacing w:after="0" w:line="240" w:lineRule="auto"/>
        <w:jc w:val="both"/>
        <w:rPr>
          <w:rFonts w:ascii="Times New Roman" w:eastAsia="Times New Roman" w:hAnsi="Times New Roman" w:cs="Times New Roman"/>
          <w:b/>
          <w:bCs/>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4. KLINIČKI PODACI</w:t>
      </w:r>
    </w:p>
    <w:p w:rsidR="005D2400" w:rsidRPr="00327D94" w:rsidRDefault="005D2400">
      <w:pPr>
        <w:tabs>
          <w:tab w:val="left" w:pos="284"/>
        </w:tabs>
        <w:spacing w:after="80" w:line="240" w:lineRule="auto"/>
        <w:jc w:val="both"/>
        <w:rPr>
          <w:rFonts w:ascii="Times New Roman" w:eastAsia="Times New Roman" w:hAnsi="Times New Roman" w:cs="Times New Roman"/>
          <w:b/>
          <w:bCs/>
          <w:lang w:val="sr-Latn-ME"/>
        </w:rPr>
      </w:pPr>
    </w:p>
    <w:p w:rsidR="005D2400" w:rsidRPr="00327D94" w:rsidRDefault="005D2400">
      <w:pPr>
        <w:tabs>
          <w:tab w:val="left" w:pos="284"/>
        </w:tabs>
        <w:spacing w:after="8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4.1. Terapijske indikacije</w:t>
      </w:r>
    </w:p>
    <w:p w:rsidR="00457C9F" w:rsidRPr="00327D94" w:rsidRDefault="00457C9F">
      <w:pPr>
        <w:tabs>
          <w:tab w:val="left" w:pos="284"/>
        </w:tabs>
        <w:spacing w:after="80" w:line="240" w:lineRule="auto"/>
        <w:jc w:val="both"/>
        <w:rPr>
          <w:rFonts w:ascii="Times New Roman" w:eastAsia="Times New Roman" w:hAnsi="Times New Roman" w:cs="Times New Roman"/>
          <w:b/>
          <w:bCs/>
          <w:lang w:val="sr-Latn-ME"/>
        </w:rPr>
      </w:pPr>
    </w:p>
    <w:p w:rsidR="005D2400" w:rsidRPr="00327D94" w:rsidRDefault="005D2400">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Koristi se kao pomoćna terapija moždanih poremećaja u starosti, invalididetu, ili usljed intolerancije na ljekove prvog izbora (inhibitori holinesteraze, memantin), ukoliko su prisutni sljedeći vodeći simptomi: poremećaj mentalnih aktivnosti, raspoloženja, motivacije i socijalne interakcije.</w:t>
      </w:r>
    </w:p>
    <w:p w:rsidR="005D2400" w:rsidRPr="00327D94" w:rsidRDefault="005D2400">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Uslovi (terapijski ambijent) pod kojim se mogu očekivati korisni efekti, nijesu predvidljivi.</w:t>
      </w:r>
    </w:p>
    <w:p w:rsidR="005D2400" w:rsidRPr="00327D94" w:rsidRDefault="005D2400">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Ciljna grupa uključuje pacijente sa organskim oštećenjem mozga i demencijama (primarna degenerativna demencija, multiinfarktna demencija).</w:t>
      </w:r>
    </w:p>
    <w:p w:rsidR="005D2400" w:rsidRPr="00327D94" w:rsidRDefault="005D2400">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Napomena: Prije početka terapije ovim lijekom moraju se isključiti simptomi drugih bolesti, prije svega psihijatrijski i neurološki poremećaji.</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EC7011" w:rsidRPr="00327D94" w:rsidRDefault="00EC7011">
      <w:pPr>
        <w:tabs>
          <w:tab w:val="left" w:pos="284"/>
        </w:tabs>
        <w:spacing w:after="80" w:line="240" w:lineRule="auto"/>
        <w:jc w:val="both"/>
        <w:rPr>
          <w:rFonts w:ascii="Times New Roman" w:eastAsia="Times New Roman" w:hAnsi="Times New Roman" w:cs="Times New Roman"/>
          <w:b/>
          <w:bCs/>
          <w:lang w:val="sr-Latn-ME"/>
        </w:rPr>
      </w:pPr>
    </w:p>
    <w:p w:rsidR="005D2400" w:rsidRPr="00327D94" w:rsidRDefault="005D2400">
      <w:pPr>
        <w:tabs>
          <w:tab w:val="left" w:pos="284"/>
        </w:tabs>
        <w:spacing w:after="8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4.2. Doziranje i način primjene</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b/>
          <w:lang w:val="sr-Latn-ME"/>
        </w:rPr>
      </w:pPr>
      <w:r w:rsidRPr="00327D94">
        <w:rPr>
          <w:rFonts w:ascii="Times New Roman" w:eastAsia="Times New Roman" w:hAnsi="Times New Roman" w:cs="Times New Roman"/>
          <w:b/>
          <w:lang w:val="sr-Latn-ME"/>
        </w:rPr>
        <w:t>Opšta ciljna populacija, odrasli</w:t>
      </w:r>
    </w:p>
    <w:p w:rsidR="00926D16" w:rsidRPr="00327D94" w:rsidRDefault="00926D16">
      <w:pPr>
        <w:tabs>
          <w:tab w:val="left" w:pos="284"/>
        </w:tabs>
        <w:spacing w:after="0" w:line="240" w:lineRule="auto"/>
        <w:jc w:val="both"/>
        <w:rPr>
          <w:rFonts w:ascii="Times New Roman" w:eastAsia="Times New Roman" w:hAnsi="Times New Roman" w:cs="Times New Roman"/>
          <w:b/>
          <w:lang w:val="sr-Latn-ME"/>
        </w:rPr>
      </w:pPr>
    </w:p>
    <w:p w:rsidR="005D2400" w:rsidRPr="00327D94" w:rsidRDefault="005D2400">
      <w:pPr>
        <w:numPr>
          <w:ilvl w:val="0"/>
          <w:numId w:val="1"/>
        </w:numPr>
        <w:tabs>
          <w:tab w:val="left" w:pos="284"/>
        </w:tabs>
        <w:spacing w:after="0" w:line="240" w:lineRule="auto"/>
        <w:ind w:left="284" w:hanging="284"/>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Uobičajena doza lijeka je od 3 do 6 mg dnevno, u podijeljenim dozama, najbolje prije obroka,</w:t>
      </w:r>
    </w:p>
    <w:p w:rsidR="005D2400" w:rsidRPr="00327D94" w:rsidRDefault="005D2400">
      <w:pPr>
        <w:numPr>
          <w:ilvl w:val="0"/>
          <w:numId w:val="1"/>
        </w:numPr>
        <w:tabs>
          <w:tab w:val="left" w:pos="0"/>
          <w:tab w:val="left" w:pos="284"/>
        </w:tabs>
        <w:spacing w:after="0" w:line="240" w:lineRule="auto"/>
        <w:ind w:left="284" w:hanging="284"/>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kod doziranja jednom dnevno, uzeti jednu tabletu od 4,5 mg, prije obroka, osim ako nije drugačije propisano od starne ljekara,</w:t>
      </w:r>
    </w:p>
    <w:p w:rsidR="005D2400" w:rsidRPr="00327D94" w:rsidRDefault="005D2400">
      <w:pPr>
        <w:numPr>
          <w:ilvl w:val="0"/>
          <w:numId w:val="1"/>
        </w:numPr>
        <w:tabs>
          <w:tab w:val="left" w:pos="284"/>
        </w:tabs>
        <w:spacing w:after="0" w:line="240" w:lineRule="auto"/>
        <w:ind w:left="284" w:hanging="284"/>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kod pacijenata sa mentalnom deterioracijom, poboljšanje simptoma obično je postepeno i postaje vidljivo tek nakon 3-4 nedjelje terapije. Zbog toga je indikovana produžena terapija (3 mjeseca i više), a terapijske kure se mogu ponavljati po potrebi.</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b/>
          <w:lang w:val="sr-Latn-ME"/>
        </w:rPr>
      </w:pPr>
      <w:r w:rsidRPr="00327D94">
        <w:rPr>
          <w:rFonts w:ascii="Times New Roman" w:eastAsia="Times New Roman" w:hAnsi="Times New Roman" w:cs="Times New Roman"/>
          <w:b/>
          <w:lang w:val="sr-Latn-ME"/>
        </w:rPr>
        <w:t>Posebne grupe populacije</w:t>
      </w:r>
    </w:p>
    <w:p w:rsidR="00926D16" w:rsidRPr="00327D94" w:rsidRDefault="00926D16">
      <w:pPr>
        <w:tabs>
          <w:tab w:val="left" w:pos="284"/>
        </w:tabs>
        <w:spacing w:after="0" w:line="240" w:lineRule="auto"/>
        <w:jc w:val="both"/>
        <w:rPr>
          <w:rFonts w:ascii="Times New Roman" w:eastAsia="Times New Roman" w:hAnsi="Times New Roman" w:cs="Times New Roman"/>
          <w:b/>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u w:val="single"/>
          <w:lang w:val="sr-Latn-ME"/>
        </w:rPr>
      </w:pPr>
      <w:r w:rsidRPr="00327D94">
        <w:rPr>
          <w:rFonts w:ascii="Times New Roman" w:eastAsia="Times New Roman" w:hAnsi="Times New Roman" w:cs="Times New Roman"/>
          <w:u w:val="single"/>
          <w:lang w:val="sr-Latn-ME"/>
        </w:rPr>
        <w:t>Oštećenje bubrega</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Kod pacijenata sa oštećenjem bubrega treba razmotriti primjenu niže početne doze lijeka (vidjeti odjeljak 5.2).</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u w:val="single"/>
          <w:lang w:val="sr-Latn-ME"/>
        </w:rPr>
      </w:pPr>
      <w:r w:rsidRPr="00327D94">
        <w:rPr>
          <w:rFonts w:ascii="Times New Roman" w:eastAsia="Times New Roman" w:hAnsi="Times New Roman" w:cs="Times New Roman"/>
          <w:u w:val="single"/>
          <w:lang w:val="sr-Latn-ME"/>
        </w:rPr>
        <w:t>Oštećenje jetre</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Kod pacijenata sa oštećenjem jetre treba razmotriti primjenu niže početne doze lijeka i niže doze održavanja (vidjeti odjeljke 4.4 i 5.2).</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u w:val="single"/>
          <w:lang w:val="sr-Latn-ME"/>
        </w:rPr>
      </w:pPr>
      <w:r w:rsidRPr="00327D94">
        <w:rPr>
          <w:rFonts w:ascii="Times New Roman" w:eastAsia="Times New Roman" w:hAnsi="Times New Roman" w:cs="Times New Roman"/>
          <w:u w:val="single"/>
          <w:lang w:val="sr-Latn-ME"/>
        </w:rPr>
        <w:t>Stariji pacijenti (65 godina i stariji)</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Nema dokaza koji bi ukazivali na potrebno prilagođavanje doze kod starijih.</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u w:val="single"/>
          <w:lang w:val="sr-Latn-ME"/>
        </w:rPr>
      </w:pPr>
      <w:r w:rsidRPr="00327D94">
        <w:rPr>
          <w:rFonts w:ascii="Times New Roman" w:eastAsia="Times New Roman" w:hAnsi="Times New Roman" w:cs="Times New Roman"/>
          <w:u w:val="single"/>
          <w:lang w:val="sr-Latn-ME"/>
        </w:rPr>
        <w:t>Pedijatrijska populacija</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 xml:space="preserve">Nijesu sprovedene pedijatrijske studije. Bezbjednost i efikasnost lijeka </w:t>
      </w:r>
      <w:r w:rsidR="00027410" w:rsidRPr="00327D94">
        <w:rPr>
          <w:rFonts w:ascii="Times New Roman" w:eastAsia="Times New Roman" w:hAnsi="Times New Roman" w:cs="Times New Roman"/>
          <w:lang w:val="sr-Latn-ME"/>
        </w:rPr>
        <w:t>Redizork</w:t>
      </w:r>
      <w:r w:rsidRPr="00327D94">
        <w:rPr>
          <w:rFonts w:ascii="Times New Roman" w:eastAsia="Times New Roman" w:hAnsi="Times New Roman" w:cs="Times New Roman"/>
          <w:lang w:val="sr-Latn-ME"/>
        </w:rPr>
        <w:t xml:space="preserve"> kod pedijatrijskih pacijenata nije utvrđena.</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b/>
          <w:lang w:val="sr-Latn-ME"/>
        </w:rPr>
      </w:pPr>
      <w:r w:rsidRPr="00327D94">
        <w:rPr>
          <w:rFonts w:ascii="Times New Roman" w:eastAsia="Times New Roman" w:hAnsi="Times New Roman" w:cs="Times New Roman"/>
          <w:b/>
          <w:lang w:val="sr-Latn-ME"/>
        </w:rPr>
        <w:t>Način primjene</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Lijek treba progutati sa vodom, najbolje prije obroka.</w:t>
      </w:r>
    </w:p>
    <w:p w:rsidR="000619F5" w:rsidRPr="00327D94" w:rsidRDefault="000619F5">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8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4.3. Kontraindikacije</w:t>
      </w:r>
    </w:p>
    <w:p w:rsidR="00027410" w:rsidRPr="00327D94" w:rsidRDefault="00027410">
      <w:pPr>
        <w:tabs>
          <w:tab w:val="left" w:pos="284"/>
        </w:tabs>
        <w:spacing w:after="80" w:line="240" w:lineRule="auto"/>
        <w:jc w:val="both"/>
        <w:rPr>
          <w:rFonts w:ascii="Times New Roman" w:eastAsia="Times New Roman" w:hAnsi="Times New Roman" w:cs="Times New Roman"/>
          <w:bCs/>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Preosjetljivost na aktivnu supstancu ili bilo koji sastojak lijeka naveden u odjeljku 6.1.</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Kod dugotrajne terapije:</w:t>
      </w:r>
    </w:p>
    <w:p w:rsidR="005D2400" w:rsidRPr="00327D94" w:rsidRDefault="005D2400">
      <w:pPr>
        <w:numPr>
          <w:ilvl w:val="0"/>
          <w:numId w:val="2"/>
        </w:num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 xml:space="preserve">Ehokardiografski dokaz valvularne bolesti srca, </w:t>
      </w:r>
    </w:p>
    <w:p w:rsidR="005D2400" w:rsidRPr="00327D94" w:rsidRDefault="005D2400">
      <w:pPr>
        <w:numPr>
          <w:ilvl w:val="0"/>
          <w:numId w:val="2"/>
        </w:num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 xml:space="preserve">Vaskularna bolest (cerebrovaskularni događaji u anamnezi, Raynaud-ov sindrom), </w:t>
      </w:r>
    </w:p>
    <w:p w:rsidR="005D2400" w:rsidRPr="00327D94" w:rsidRDefault="005D2400">
      <w:pPr>
        <w:numPr>
          <w:ilvl w:val="0"/>
          <w:numId w:val="2"/>
        </w:num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Temporalni arteritis</w:t>
      </w:r>
      <w:r w:rsidR="00E147E0" w:rsidRPr="00327D94">
        <w:rPr>
          <w:rFonts w:ascii="Times New Roman" w:eastAsia="Times New Roman" w:hAnsi="Times New Roman" w:cs="Times New Roman"/>
          <w:lang w:val="sr-Latn-ME"/>
        </w:rPr>
        <w:t>,</w:t>
      </w:r>
      <w:r w:rsidRPr="00327D94">
        <w:rPr>
          <w:rFonts w:ascii="Times New Roman" w:eastAsia="Times New Roman" w:hAnsi="Times New Roman" w:cs="Times New Roman"/>
          <w:lang w:val="sr-Latn-ME"/>
        </w:rPr>
        <w:t xml:space="preserve"> </w:t>
      </w:r>
    </w:p>
    <w:p w:rsidR="005D2400" w:rsidRPr="00327D94" w:rsidRDefault="005D2400">
      <w:pPr>
        <w:numPr>
          <w:ilvl w:val="0"/>
          <w:numId w:val="2"/>
        </w:num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 xml:space="preserve">Koronarna bolest srca (npr. angina pektoris, asimtomatska ishemija), </w:t>
      </w:r>
    </w:p>
    <w:p w:rsidR="005D2400" w:rsidRPr="00327D94" w:rsidRDefault="005D2400">
      <w:pPr>
        <w:numPr>
          <w:ilvl w:val="0"/>
          <w:numId w:val="2"/>
        </w:num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 xml:space="preserve">Teška oštećenja jetre, </w:t>
      </w:r>
    </w:p>
    <w:p w:rsidR="005D2400" w:rsidRPr="00327D94" w:rsidRDefault="005D2400">
      <w:pPr>
        <w:numPr>
          <w:ilvl w:val="0"/>
          <w:numId w:val="2"/>
        </w:num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 xml:space="preserve">Sepsa, </w:t>
      </w:r>
    </w:p>
    <w:p w:rsidR="002728B8" w:rsidRPr="00327D94" w:rsidRDefault="005D2400">
      <w:pPr>
        <w:numPr>
          <w:ilvl w:val="0"/>
          <w:numId w:val="2"/>
        </w:num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Trudnoća i dojenje (vidjeti od</w:t>
      </w:r>
      <w:r w:rsidR="00223BD4" w:rsidRPr="00327D94">
        <w:rPr>
          <w:rFonts w:ascii="Times New Roman" w:eastAsia="Times New Roman" w:hAnsi="Times New Roman" w:cs="Times New Roman"/>
          <w:lang w:val="sr-Latn-ME"/>
        </w:rPr>
        <w:t>j</w:t>
      </w:r>
      <w:r w:rsidRPr="00327D94">
        <w:rPr>
          <w:rFonts w:ascii="Times New Roman" w:eastAsia="Times New Roman" w:hAnsi="Times New Roman" w:cs="Times New Roman"/>
          <w:lang w:val="sr-Latn-ME"/>
        </w:rPr>
        <w:t>eljak 4.6).</w:t>
      </w:r>
    </w:p>
    <w:p w:rsidR="00926D16" w:rsidRPr="00327D94" w:rsidRDefault="00926D16">
      <w:pPr>
        <w:tabs>
          <w:tab w:val="left" w:pos="284"/>
        </w:tabs>
        <w:spacing w:after="80" w:line="240" w:lineRule="auto"/>
        <w:jc w:val="both"/>
        <w:rPr>
          <w:rFonts w:ascii="Times New Roman" w:eastAsia="Times New Roman" w:hAnsi="Times New Roman" w:cs="Times New Roman"/>
          <w:b/>
          <w:bCs/>
          <w:lang w:val="sr-Latn-ME"/>
        </w:rPr>
      </w:pPr>
    </w:p>
    <w:p w:rsidR="00EC7011" w:rsidRPr="00327D94" w:rsidRDefault="00EC7011">
      <w:pPr>
        <w:tabs>
          <w:tab w:val="left" w:pos="284"/>
        </w:tabs>
        <w:spacing w:after="80" w:line="240" w:lineRule="auto"/>
        <w:jc w:val="both"/>
        <w:rPr>
          <w:rFonts w:ascii="Times New Roman" w:eastAsia="Times New Roman" w:hAnsi="Times New Roman" w:cs="Times New Roman"/>
          <w:b/>
          <w:bCs/>
          <w:lang w:val="sr-Latn-ME"/>
        </w:rPr>
      </w:pPr>
    </w:p>
    <w:p w:rsidR="00EC7011" w:rsidRPr="00327D94" w:rsidRDefault="00EC7011">
      <w:pPr>
        <w:tabs>
          <w:tab w:val="left" w:pos="284"/>
        </w:tabs>
        <w:spacing w:after="80" w:line="240" w:lineRule="auto"/>
        <w:jc w:val="both"/>
        <w:rPr>
          <w:rFonts w:ascii="Times New Roman" w:eastAsia="Times New Roman" w:hAnsi="Times New Roman" w:cs="Times New Roman"/>
          <w:b/>
          <w:bCs/>
          <w:lang w:val="sr-Latn-ME"/>
        </w:rPr>
      </w:pPr>
    </w:p>
    <w:p w:rsidR="005D2400" w:rsidRPr="00327D94" w:rsidRDefault="005D2400">
      <w:pPr>
        <w:tabs>
          <w:tab w:val="left" w:pos="284"/>
        </w:tabs>
        <w:spacing w:after="8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4.4. Posebna upozorenja i mjere opreza pri upotrebi lijeka</w:t>
      </w:r>
    </w:p>
    <w:p w:rsidR="00027410" w:rsidRPr="00327D94" w:rsidRDefault="00027410">
      <w:pPr>
        <w:tabs>
          <w:tab w:val="left" w:pos="284"/>
        </w:tabs>
        <w:spacing w:after="80" w:line="240" w:lineRule="auto"/>
        <w:jc w:val="both"/>
        <w:rPr>
          <w:rFonts w:ascii="Times New Roman" w:eastAsia="Times New Roman" w:hAnsi="Times New Roman" w:cs="Times New Roman"/>
          <w:b/>
          <w:bCs/>
          <w:lang w:val="sr-Latn-ME"/>
        </w:rPr>
      </w:pP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Poseban oprez se savjetuje kod pacijenata sa izraženom bradikardijom, u slučaju  hipotenzije, kao i kod psihoza koje nijesu organskog por</w:t>
      </w:r>
      <w:r w:rsidR="00223BD4" w:rsidRPr="00327D94">
        <w:rPr>
          <w:rFonts w:ascii="Times New Roman" w:eastAsia="Times New Roman" w:hAnsi="Times New Roman" w:cs="Times New Roman"/>
          <w:lang w:val="sr-Latn-ME"/>
        </w:rPr>
        <w:t>ij</w:t>
      </w:r>
      <w:r w:rsidRPr="00327D94">
        <w:rPr>
          <w:rFonts w:ascii="Times New Roman" w:eastAsia="Times New Roman" w:hAnsi="Times New Roman" w:cs="Times New Roman"/>
          <w:lang w:val="sr-Latn-ME"/>
        </w:rPr>
        <w:t>ekla. Pacijente sa oštećenjem jetre treba adekvatno pratiti. Treba razmotriti primjenu niže početne doze lijeka i niže doze održavanja.</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Oprez je potreban i kod pacijenata sa ozbiljnim bubrežnim poremećajima. Kod pacijenata sa blagim ili umjerenim bubrežnim poremećajima redukcija doze rijetko je potrebna, obzirom da se samo mala količina lijeka i njegovih metabolita izlučuje preko bubrega (vidjeti odjeljak 5.2).</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Tokom prvih nedjelja terapije, u kombinaciji sa antihipertenzivima, potrebno je redovno pratiti vrijednosti krvnog pritiska (vidjeti odjeljak 4.5).</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Usljed istovremene primjene antitrombocitne ili antikoagulantne terapije, redovno treba pratiti faktore koagulacije (vidjeti odjeljak 4.5).</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 xml:space="preserve">Među pacijentima koji su na terapiji kodergokrin mezilatom, posebno kod onih na dugotrajnoj terapiji i terapiji visokim dozama, prijavljeni su slučajevi pleuralne i perikardne efuzije, kao i pleularne i pulmonarne fibroze, konstriktivnog perikarditisa i oboljenja srčanih valvula. Međutim, ne postoji dovoljno dokaza koji bi odredili da li postoji povećan rizik. Zbog toga pacijente sa neobjašnjenim kardiološkim ili pleuropulmonarnim oboljenjima treba pažljivo ispitati i uzeti u obzir prekid terapije kodergokrin mezilatom. </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Preporučuje se da se kod pacijenata kod kojih se planira dugotrajna terapija kodergokrin mezilatom, uradi ehokardiografija prije započinjanja terapije kako bi se isključili bilo koji pokazatelji kardijalne valvulopatije.</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U rijetkim slučajevima prijavljena je retroperitonealna fibroza, posebno kod pacijenata na dugotrajnoj terapiji i terapiji visokim dozama. Kako bi se osiguralo prepoznavanje retroperitonealne fibroze u ranoj reverzibilnoj fazi, preporučuje se da se kod ove grupe pacijenata prate manifestacije bolesti (npr. bol u leđima, edem donjih ekstremiteta, oštećenje funkcije bubrega). Terapiju kodergokrin mezilatom treba prekinuti ako se dijagnostikuje ili posumnja na fibrozne promjene.</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Patološko kockanje, povećan libido i hiperseksualnost prijavljeni su kod pacijenata na terapiji agonistima dopamina.</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Česta upotreba ergot alkaloida može izazvati glavobolju (glavobolja indukovana lijekom). Ako je potrebno, razmotriti smanjenje učestalosti doziranja.</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Simptomi periferne ishemije (vidjeti odjeljak 4.8) mogu se javiti usljed produžene ili primjene visokih doza ergot alkaloida. Ukoliko se jave ovi simptomi, terapiju treba odmah prekinuti.</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Ovaj lijek sadrži laktozu. Pacijenti koji boluju od rijetkog nasljednog oboljenja netolerancije na galaktozu, Lapp laktoznog deficita ili loše glukozno-galaktozne resorpcije ne smiju koristiti ovaj lijek.</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8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4.5. Interakcije sa drugim ljekovima i druge vrste interakcija</w:t>
      </w:r>
    </w:p>
    <w:p w:rsidR="00926D16" w:rsidRPr="00327D94" w:rsidRDefault="00926D16">
      <w:pPr>
        <w:tabs>
          <w:tab w:val="left" w:pos="284"/>
        </w:tabs>
        <w:spacing w:after="80" w:line="240" w:lineRule="auto"/>
        <w:jc w:val="both"/>
        <w:rPr>
          <w:rFonts w:ascii="Times New Roman" w:eastAsia="Times New Roman" w:hAnsi="Times New Roman" w:cs="Times New Roman"/>
          <w:bCs/>
          <w:lang w:val="sr-Latn-ME"/>
        </w:rPr>
      </w:pPr>
    </w:p>
    <w:p w:rsidR="005D2400" w:rsidRPr="00327D94" w:rsidRDefault="005D2400">
      <w:pPr>
        <w:tabs>
          <w:tab w:val="left" w:pos="284"/>
        </w:tabs>
        <w:spacing w:after="8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Istovremena primjena ljekova koja se ne preporučuje</w:t>
      </w:r>
    </w:p>
    <w:p w:rsidR="00EC7011" w:rsidRPr="00327D94" w:rsidRDefault="00EC7011">
      <w:pPr>
        <w:tabs>
          <w:tab w:val="left" w:pos="284"/>
        </w:tabs>
        <w:spacing w:after="0" w:line="240" w:lineRule="auto"/>
        <w:jc w:val="both"/>
        <w:rPr>
          <w:rFonts w:ascii="Times New Roman" w:eastAsia="Times New Roman" w:hAnsi="Times New Roman" w:cs="Times New Roman"/>
          <w:u w:val="single"/>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u w:val="single"/>
          <w:lang w:val="sr-Latn-ME"/>
        </w:rPr>
      </w:pPr>
      <w:r w:rsidRPr="00327D94">
        <w:rPr>
          <w:rFonts w:ascii="Times New Roman" w:eastAsia="Times New Roman" w:hAnsi="Times New Roman" w:cs="Times New Roman"/>
          <w:u w:val="single"/>
          <w:lang w:val="sr-Latn-ME"/>
        </w:rPr>
        <w:t>Snažni inhibitori CYP3A4</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Pokazano je da su komponente kodergokrin mezilata i supstrati i inhibitori CYP3A4 (vidjeti odjeljak 5.2). Neophodan je oprez kada se kodergokrin mezilat primjenjuje istovremeno sa snažnim CYP3A4 inhibitorima, kao što su makrolidni antibiotici (npr. troleandomicin, eritromicin, klaritromicin), inhibitori HIV proteaze ili reverzne transkriptaze (npr. ritonavir, indinavir, nelfinavir, delavirin) ili azolni antimikotici (npr. ketokonazol, itrakonazol, vorikonazol), zato što se izloženost kodergokrin mezilatu može povećati i indukovati pojačane, prije svega dopaminergičke efekte.</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b/>
          <w:lang w:val="sr-Latn-ME"/>
        </w:rPr>
      </w:pPr>
      <w:r w:rsidRPr="00327D94">
        <w:rPr>
          <w:rFonts w:ascii="Times New Roman" w:eastAsia="Times New Roman" w:hAnsi="Times New Roman" w:cs="Times New Roman"/>
          <w:b/>
          <w:lang w:val="sr-Latn-ME"/>
        </w:rPr>
        <w:t>Istovremena primjena ljekova koju treba razmotriti</w:t>
      </w:r>
    </w:p>
    <w:p w:rsidR="005D2400" w:rsidRPr="00327D94" w:rsidRDefault="005D2400">
      <w:pPr>
        <w:tabs>
          <w:tab w:val="left" w:pos="284"/>
        </w:tabs>
        <w:spacing w:after="0" w:line="240" w:lineRule="auto"/>
        <w:jc w:val="both"/>
        <w:rPr>
          <w:rFonts w:ascii="Times New Roman" w:eastAsia="Times New Roman" w:hAnsi="Times New Roman" w:cs="Times New Roman"/>
          <w:u w:val="single"/>
          <w:lang w:val="sr-Latn-ME"/>
        </w:rPr>
      </w:pPr>
      <w:r w:rsidRPr="00327D94">
        <w:rPr>
          <w:rFonts w:ascii="Times New Roman" w:eastAsia="Times New Roman" w:hAnsi="Times New Roman" w:cs="Times New Roman"/>
          <w:u w:val="single"/>
          <w:lang w:val="sr-Latn-ME"/>
        </w:rPr>
        <w:t>Umjereni/slabi inhibitori CYP3A4</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Umjereni do slabi inhibitori CYP3A4 kao što su cimetidin, klotrimazol, flukonazol, sok od grejpfruta, kvinupristin, dalfopristin i zileuton mogu povećati izloženost kodergokrin mezilatu.</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u w:val="single"/>
          <w:lang w:val="sr-Latn-ME"/>
        </w:rPr>
      </w:pPr>
      <w:r w:rsidRPr="00327D94">
        <w:rPr>
          <w:rFonts w:ascii="Times New Roman" w:eastAsia="Times New Roman" w:hAnsi="Times New Roman" w:cs="Times New Roman"/>
          <w:u w:val="single"/>
          <w:lang w:val="sr-Latn-ME"/>
        </w:rPr>
        <w:t>Induktori CYP3A4</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Ljekovi (kao što su neviraprin, rifampicin) koji indukuju C</w:t>
      </w:r>
      <w:r w:rsidR="002728B8" w:rsidRPr="00327D94">
        <w:rPr>
          <w:rFonts w:ascii="Times New Roman" w:eastAsia="Times New Roman" w:hAnsi="Times New Roman" w:cs="Times New Roman"/>
          <w:lang w:val="sr-Latn-ME"/>
        </w:rPr>
        <w:t xml:space="preserve">YP3A4 mogu dovesti do smanjenja </w:t>
      </w:r>
      <w:r w:rsidRPr="00327D94">
        <w:rPr>
          <w:rFonts w:ascii="Times New Roman" w:eastAsia="Times New Roman" w:hAnsi="Times New Roman" w:cs="Times New Roman"/>
          <w:lang w:val="sr-Latn-ME"/>
        </w:rPr>
        <w:t>farmakološkog dejstva kodergokrin mezilata.</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Kodergokrin mezilat ne treba davati zajedno sa drugim ergot alkaloidima (rizik od zbirnog efekta, ergotizam).</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Kodergokrin mezilat inhibira agregaciju trombocita i smanjuje viskoznost krvi, pa je kod predisponirajućih pacijenata potrebna česta kontrola faktora koagulacije.</w:t>
      </w:r>
    </w:p>
    <w:p w:rsidR="005D2400" w:rsidRPr="00327D94" w:rsidRDefault="005D2400">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 xml:space="preserve">Potrebno je pratiti vrijednosti krvnog pritiska kod istovremene primjene antihipertenziva (npr. gliceriltrinitrata i drugih organskih nitrata) i kodergokrin mezilata, zbog njihovog sinergističkog djelovanja. </w:t>
      </w:r>
    </w:p>
    <w:p w:rsidR="005D2400" w:rsidRPr="00327D94" w:rsidRDefault="005D2400">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8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4.6. Primjena u periodu trudnoće i dojenja</w:t>
      </w:r>
    </w:p>
    <w:p w:rsidR="00027410" w:rsidRPr="00327D94" w:rsidRDefault="00027410">
      <w:pPr>
        <w:tabs>
          <w:tab w:val="left" w:pos="284"/>
        </w:tabs>
        <w:spacing w:after="80" w:line="240" w:lineRule="auto"/>
        <w:jc w:val="both"/>
        <w:rPr>
          <w:rFonts w:ascii="Times New Roman" w:eastAsia="Times New Roman" w:hAnsi="Times New Roman" w:cs="Times New Roman"/>
          <w:bCs/>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u w:val="single"/>
          <w:lang w:val="sr-Latn-ME"/>
        </w:rPr>
      </w:pPr>
      <w:r w:rsidRPr="00327D94">
        <w:rPr>
          <w:rFonts w:ascii="Times New Roman" w:eastAsia="Times New Roman" w:hAnsi="Times New Roman" w:cs="Times New Roman"/>
          <w:u w:val="single"/>
          <w:lang w:val="sr-Latn-ME"/>
        </w:rPr>
        <w:t>Žene u generativnoj dobi</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Nema dostupnih podataka koji bi ukazali na posebne preporuke kod žena u generativnoj dobi.</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u w:val="single"/>
          <w:lang w:val="sr-Latn-ME"/>
        </w:rPr>
      </w:pPr>
      <w:r w:rsidRPr="00327D94">
        <w:rPr>
          <w:rFonts w:ascii="Times New Roman" w:eastAsia="Times New Roman" w:hAnsi="Times New Roman" w:cs="Times New Roman"/>
          <w:u w:val="single"/>
          <w:lang w:val="sr-Latn-ME"/>
        </w:rPr>
        <w:t>Trudnoća</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Ne postoje adekvatni podaci o upotrebi kodergoktin mezilata kod trudnica.</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Zbog potencijalno vazokonstriktornog efekta koji može dovesti do kontrakcije materice, rizika od smanjenog protoka krvi kroz placentu i prevremenog porođaja, primjena kodergokrin mezilata tokom trudnoće je kontraindikovana (vidjeti odjeljak 4.3).</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u w:val="single"/>
          <w:lang w:val="sr-Latn-ME"/>
        </w:rPr>
      </w:pPr>
      <w:r w:rsidRPr="00327D94">
        <w:rPr>
          <w:rFonts w:ascii="Times New Roman" w:eastAsia="Times New Roman" w:hAnsi="Times New Roman" w:cs="Times New Roman"/>
          <w:u w:val="single"/>
          <w:lang w:val="sr-Latn-ME"/>
        </w:rPr>
        <w:t>Dojenje</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Nije poznato da li kodergokrin mezilat prolazi u majčino mlijeko. Pokazano je da kodergokrin mezilat inhibira laktaciju. Ordinirajući ljekar treba pažljivo da procijeni rizik i korist upotrebe kodergokrin mezilata, a terapiju treba nastaviti samo ako korist primjene lijeka jasno prevazilazi potencijalne rizike.</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U studijama peri-/postnatalnog razvoja kod ženki pacova, dobijanje na tjelesnoj masi mladunaca koji sisaju bilo je smanjeno kada je kod skotnih ženki primjenjivan kodergokrin mezilat. Ovaj nalaz se pripisuje smanjenom stvaranju mlijeka (vidjeti odjeljak 5.3).</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p>
    <w:p w:rsidR="00EC7011" w:rsidRPr="00327D94" w:rsidRDefault="00EC7011">
      <w:pPr>
        <w:tabs>
          <w:tab w:val="center" w:pos="4536"/>
          <w:tab w:val="right" w:pos="9072"/>
        </w:tabs>
        <w:spacing w:after="0" w:line="240" w:lineRule="auto"/>
        <w:jc w:val="both"/>
        <w:rPr>
          <w:rFonts w:ascii="Times New Roman" w:eastAsia="Times New Roman" w:hAnsi="Times New Roman" w:cs="Times New Roman"/>
          <w:u w:val="single"/>
          <w:lang w:val="sr-Latn-ME"/>
        </w:rPr>
      </w:pP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u w:val="single"/>
          <w:lang w:val="sr-Latn-ME"/>
        </w:rPr>
      </w:pPr>
      <w:r w:rsidRPr="00327D94">
        <w:rPr>
          <w:rFonts w:ascii="Times New Roman" w:eastAsia="Times New Roman" w:hAnsi="Times New Roman" w:cs="Times New Roman"/>
          <w:u w:val="single"/>
          <w:lang w:val="sr-Latn-ME"/>
        </w:rPr>
        <w:t>Fertilitet</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Nema dostupnih podataka o efektima kodergokrin mezilata na fertilitet žena (vidjeti odjeljak 5.3).</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8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4.7. Uticaj na psihofizičke sposobnosti prilikom upravljanja motornim vozilom i rukovanja mašinama</w:t>
      </w:r>
    </w:p>
    <w:p w:rsidR="00027410" w:rsidRPr="00327D94" w:rsidRDefault="00027410">
      <w:pPr>
        <w:tabs>
          <w:tab w:val="left" w:pos="284"/>
        </w:tabs>
        <w:spacing w:after="80" w:line="240" w:lineRule="auto"/>
        <w:jc w:val="both"/>
        <w:rPr>
          <w:rFonts w:ascii="Times New Roman" w:eastAsia="Times New Roman" w:hAnsi="Times New Roman" w:cs="Times New Roman"/>
          <w:bCs/>
          <w:spacing w:val="-8"/>
          <w:lang w:val="sr-Latn-ME"/>
        </w:rPr>
      </w:pP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Ne postoje studije o efektima na sposobnost upravljanja motornim vozilom i sposobnost rukovanja mašinama.</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Kodergokrin mezilat može uticati na sposobnost upravljanja motornim vozilom, rad na mašinama, posebno na početku liječenja ili u kombinaciji sa alkoholom.</w:t>
      </w:r>
    </w:p>
    <w:p w:rsidR="00027410" w:rsidRPr="00327D94" w:rsidRDefault="00027410">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8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4.8. Neželjena dejstva</w:t>
      </w:r>
    </w:p>
    <w:p w:rsidR="00027410" w:rsidRPr="00327D94" w:rsidRDefault="00027410">
      <w:pPr>
        <w:tabs>
          <w:tab w:val="left" w:pos="284"/>
        </w:tabs>
        <w:spacing w:after="80" w:line="240" w:lineRule="auto"/>
        <w:jc w:val="both"/>
        <w:rPr>
          <w:rFonts w:ascii="Times New Roman" w:eastAsia="Times New Roman" w:hAnsi="Times New Roman" w:cs="Times New Roman"/>
          <w:bCs/>
          <w:lang w:val="sr-Latn-ME"/>
        </w:rPr>
      </w:pPr>
    </w:p>
    <w:p w:rsidR="005D2400" w:rsidRPr="00327D94" w:rsidRDefault="005D2400">
      <w:pPr>
        <w:tabs>
          <w:tab w:val="center" w:pos="4536"/>
          <w:tab w:val="right" w:pos="9072"/>
        </w:tabs>
        <w:spacing w:after="80" w:line="240" w:lineRule="auto"/>
        <w:jc w:val="both"/>
        <w:rPr>
          <w:rFonts w:ascii="Times New Roman" w:eastAsia="Times New Roman" w:hAnsi="Times New Roman" w:cs="Times New Roman"/>
          <w:bCs/>
          <w:lang w:val="sr-Latn-ME"/>
        </w:rPr>
      </w:pPr>
      <w:r w:rsidRPr="00327D94">
        <w:rPr>
          <w:rFonts w:ascii="Times New Roman" w:eastAsia="Times New Roman" w:hAnsi="Times New Roman" w:cs="Times New Roman"/>
          <w:bCs/>
          <w:lang w:val="sr-Latn-ME"/>
        </w:rPr>
        <w:t>Nazalna kongestija, glavobolja, mučnina i stomačne tegobe se mogu javiti, ali se, generalno mogu izbjeći ukoliko se l</w:t>
      </w:r>
      <w:r w:rsidR="002728B8" w:rsidRPr="00327D94">
        <w:rPr>
          <w:rFonts w:ascii="Times New Roman" w:eastAsia="Times New Roman" w:hAnsi="Times New Roman" w:cs="Times New Roman"/>
          <w:bCs/>
          <w:lang w:val="sr-Latn-ME"/>
        </w:rPr>
        <w:t xml:space="preserve">ijek uzima sa hranom. U većini </w:t>
      </w:r>
      <w:r w:rsidRPr="00327D94">
        <w:rPr>
          <w:rFonts w:ascii="Times New Roman" w:eastAsia="Times New Roman" w:hAnsi="Times New Roman" w:cs="Times New Roman"/>
          <w:bCs/>
          <w:lang w:val="sr-Latn-ME"/>
        </w:rPr>
        <w:t>slučajeva navedene neželjene reakcije prolaze b</w:t>
      </w:r>
      <w:r w:rsidR="002728B8" w:rsidRPr="00327D94">
        <w:rPr>
          <w:rFonts w:ascii="Times New Roman" w:eastAsia="Times New Roman" w:hAnsi="Times New Roman" w:cs="Times New Roman"/>
          <w:bCs/>
          <w:lang w:val="sr-Latn-ME"/>
        </w:rPr>
        <w:t>ez sprovođenja posebnih mjera. Zbog antihipertenzivnog</w:t>
      </w:r>
      <w:r w:rsidRPr="00327D94">
        <w:rPr>
          <w:rFonts w:ascii="Times New Roman" w:eastAsia="Times New Roman" w:hAnsi="Times New Roman" w:cs="Times New Roman"/>
          <w:bCs/>
          <w:lang w:val="sr-Latn-ME"/>
        </w:rPr>
        <w:t xml:space="preserve"> efekta kodergokrin me</w:t>
      </w:r>
      <w:r w:rsidR="002728B8" w:rsidRPr="00327D94">
        <w:rPr>
          <w:rFonts w:ascii="Times New Roman" w:eastAsia="Times New Roman" w:hAnsi="Times New Roman" w:cs="Times New Roman"/>
          <w:bCs/>
          <w:lang w:val="sr-Latn-ME"/>
        </w:rPr>
        <w:t xml:space="preserve">zilat, </w:t>
      </w:r>
      <w:r w:rsidRPr="00327D94">
        <w:rPr>
          <w:rFonts w:ascii="Times New Roman" w:eastAsia="Times New Roman" w:hAnsi="Times New Roman" w:cs="Times New Roman"/>
          <w:bCs/>
          <w:lang w:val="sr-Latn-ME"/>
        </w:rPr>
        <w:t>posebno</w:t>
      </w:r>
      <w:r w:rsidR="002728B8" w:rsidRPr="00327D94">
        <w:rPr>
          <w:rFonts w:ascii="Times New Roman" w:eastAsia="Times New Roman" w:hAnsi="Times New Roman" w:cs="Times New Roman"/>
          <w:bCs/>
          <w:lang w:val="sr-Latn-ME"/>
        </w:rPr>
        <w:t xml:space="preserve"> kod pacijenata sa</w:t>
      </w:r>
      <w:r w:rsidR="002728B8" w:rsidRPr="00327D94">
        <w:rPr>
          <w:rFonts w:ascii="Times New Roman" w:eastAsia="Times New Roman" w:hAnsi="Times New Roman" w:cs="Times New Roman"/>
          <w:bCs/>
          <w:lang w:val="sr-Latn-ME"/>
        </w:rPr>
        <w:br/>
        <w:t>hipotenzijom, može dovesti do nestabilnosti, vrtoglavice, ortostatskih</w:t>
      </w:r>
      <w:r w:rsidRPr="00327D94">
        <w:rPr>
          <w:rFonts w:ascii="Times New Roman" w:eastAsia="Times New Roman" w:hAnsi="Times New Roman" w:cs="Times New Roman"/>
          <w:bCs/>
          <w:lang w:val="sr-Latn-ME"/>
        </w:rPr>
        <w:t xml:space="preserve"> poremećaja cirkulacije i blage glavobolje.</w:t>
      </w:r>
      <w:r w:rsidRPr="00327D94">
        <w:rPr>
          <w:rFonts w:ascii="Times New Roman" w:eastAsia="Times New Roman" w:hAnsi="Times New Roman" w:cs="Times New Roman"/>
          <w:bCs/>
          <w:lang w:val="sr-Latn-ME"/>
        </w:rPr>
        <w:br/>
      </w: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Neželjene reakcije navedene u daljem tekstu dobijene su iz više izvora,</w:t>
      </w:r>
      <w:r w:rsidR="00523AD3" w:rsidRPr="00327D94">
        <w:rPr>
          <w:rFonts w:ascii="Times New Roman" w:eastAsia="Times New Roman" w:hAnsi="Times New Roman" w:cs="Times New Roman"/>
          <w:lang w:val="sr-Latn-ME"/>
        </w:rPr>
        <w:t xml:space="preserve"> uključujući i post-marketinško </w:t>
      </w:r>
      <w:r w:rsidRPr="00327D94">
        <w:rPr>
          <w:rFonts w:ascii="Times New Roman" w:eastAsia="Times New Roman" w:hAnsi="Times New Roman" w:cs="Times New Roman"/>
          <w:lang w:val="sr-Latn-ME"/>
        </w:rPr>
        <w:t>praćenje. S obzirom da su post-marketinške neželjene reakcije prijavljene dobrovoljno u populaciji nepoznate veličine, nije moguće pouzdano procijeniti njihovu učestalost, zbog čega su kategorisane kao „Nepoznata“.</w:t>
      </w:r>
    </w:p>
    <w:p w:rsidR="005D2400" w:rsidRPr="00327D94" w:rsidRDefault="005D2400">
      <w:pPr>
        <w:spacing w:after="0" w:line="240" w:lineRule="auto"/>
        <w:jc w:val="both"/>
        <w:rPr>
          <w:rFonts w:ascii="Times New Roman" w:eastAsia="Times New Roman" w:hAnsi="Times New Roman" w:cs="Times New Roman"/>
          <w:lang w:val="sr-Latn-ME"/>
        </w:rPr>
      </w:pP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Procjena neželjenih dejstava je zasnovana na sljedećim podacima o učestalosti:</w:t>
      </w: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 xml:space="preserve">Veoma česta (≥1/10) </w:t>
      </w: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 xml:space="preserve">Česta </w:t>
      </w:r>
      <w:r w:rsidR="00314F7D" w:rsidRPr="00327D94">
        <w:rPr>
          <w:rFonts w:ascii="Times New Roman" w:eastAsia="Times New Roman" w:hAnsi="Times New Roman" w:cs="Times New Roman"/>
          <w:lang w:val="sr-Latn-ME"/>
        </w:rPr>
        <w:t>(</w:t>
      </w:r>
      <w:r w:rsidRPr="00327D94">
        <w:rPr>
          <w:rFonts w:ascii="Times New Roman" w:eastAsia="Times New Roman" w:hAnsi="Times New Roman" w:cs="Times New Roman"/>
          <w:lang w:val="sr-Latn-ME"/>
        </w:rPr>
        <w:t xml:space="preserve">≥1/100 do &lt;1/10) </w:t>
      </w: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 xml:space="preserve">Povremena (≥1/1,000 do &lt; 1/100) </w:t>
      </w: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 xml:space="preserve">Rijetka (≥1/10,000 do &lt;1/1,000) </w:t>
      </w: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Veoma rijetka (&lt;1/10,000),</w:t>
      </w: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Nepoznata (ne može se procijeniti na osnovu raspoloživih podataka)</w:t>
      </w:r>
    </w:p>
    <w:p w:rsidR="005D2400" w:rsidRPr="00327D94" w:rsidRDefault="005D2400">
      <w:pPr>
        <w:spacing w:after="0" w:line="240" w:lineRule="auto"/>
        <w:jc w:val="both"/>
        <w:rPr>
          <w:rFonts w:ascii="Times New Roman" w:eastAsia="Times New Roman" w:hAnsi="Times New Roman" w:cs="Times New Roman"/>
          <w:lang w:val="sr-Latn-ME"/>
        </w:rPr>
      </w:pPr>
    </w:p>
    <w:p w:rsidR="005D2400" w:rsidRPr="00327D94" w:rsidRDefault="00A70780">
      <w:pPr>
        <w:spacing w:after="0" w:line="240" w:lineRule="auto"/>
        <w:jc w:val="both"/>
        <w:rPr>
          <w:rFonts w:ascii="Times New Roman" w:eastAsia="Times New Roman" w:hAnsi="Times New Roman" w:cs="Times New Roman"/>
          <w:b/>
          <w:lang w:val="sr-Latn-ME"/>
        </w:rPr>
      </w:pPr>
      <w:r w:rsidRPr="00327D94">
        <w:rPr>
          <w:rFonts w:ascii="Times New Roman" w:eastAsia="Times New Roman" w:hAnsi="Times New Roman" w:cs="Times New Roman"/>
          <w:b/>
          <w:lang w:val="sr-Latn-ME"/>
        </w:rPr>
        <w:t>Psihijatrijski poremećaji</w:t>
      </w: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Vrlo rijetko: poremećaj spavanja, hiperaktivnost</w:t>
      </w:r>
    </w:p>
    <w:p w:rsidR="005D2400" w:rsidRPr="00327D94" w:rsidRDefault="005D2400">
      <w:pPr>
        <w:spacing w:after="0" w:line="240" w:lineRule="auto"/>
        <w:jc w:val="both"/>
        <w:rPr>
          <w:rFonts w:ascii="Times New Roman" w:eastAsia="Times New Roman" w:hAnsi="Times New Roman" w:cs="Times New Roman"/>
          <w:b/>
          <w:lang w:val="sr-Latn-ME"/>
        </w:rPr>
      </w:pPr>
    </w:p>
    <w:p w:rsidR="005D2400" w:rsidRPr="00327D94" w:rsidRDefault="005D2400">
      <w:pPr>
        <w:spacing w:after="0" w:line="240" w:lineRule="auto"/>
        <w:jc w:val="both"/>
        <w:rPr>
          <w:rFonts w:ascii="Times New Roman" w:eastAsia="Times New Roman" w:hAnsi="Times New Roman" w:cs="Times New Roman"/>
          <w:b/>
          <w:lang w:val="sr-Latn-ME"/>
        </w:rPr>
      </w:pPr>
      <w:r w:rsidRPr="00327D94">
        <w:rPr>
          <w:rFonts w:ascii="Times New Roman" w:eastAsia="Times New Roman" w:hAnsi="Times New Roman" w:cs="Times New Roman"/>
          <w:b/>
          <w:lang w:val="sr-Latn-ME"/>
        </w:rPr>
        <w:t>Poremećaji nervnog sistema</w:t>
      </w: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Povremeno: parestezija</w:t>
      </w: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Rijetko:vrtoglavica, glavobolja</w:t>
      </w:r>
    </w:p>
    <w:p w:rsidR="005D2400" w:rsidRPr="00327D94" w:rsidRDefault="005D2400">
      <w:pPr>
        <w:spacing w:after="0" w:line="240" w:lineRule="auto"/>
        <w:jc w:val="both"/>
        <w:rPr>
          <w:rFonts w:ascii="Times New Roman" w:eastAsia="Times New Roman" w:hAnsi="Times New Roman" w:cs="Times New Roman"/>
          <w:lang w:val="sr-Latn-ME"/>
        </w:rPr>
      </w:pPr>
    </w:p>
    <w:p w:rsidR="005D2400" w:rsidRPr="00327D94" w:rsidRDefault="005D2400">
      <w:pPr>
        <w:spacing w:after="0" w:line="240" w:lineRule="auto"/>
        <w:jc w:val="both"/>
        <w:rPr>
          <w:rFonts w:ascii="Times New Roman" w:eastAsia="Times New Roman" w:hAnsi="Times New Roman" w:cs="Times New Roman"/>
          <w:b/>
          <w:lang w:val="sr-Latn-ME"/>
        </w:rPr>
      </w:pPr>
      <w:r w:rsidRPr="00327D94">
        <w:rPr>
          <w:rFonts w:ascii="Times New Roman" w:eastAsia="Times New Roman" w:hAnsi="Times New Roman" w:cs="Times New Roman"/>
          <w:b/>
          <w:lang w:val="sr-Latn-ME"/>
        </w:rPr>
        <w:t>Poremećaji na nivou oka</w:t>
      </w: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Nepoznata: zamućenje vida</w:t>
      </w:r>
    </w:p>
    <w:p w:rsidR="005D2400" w:rsidRPr="00327D94" w:rsidRDefault="005D2400">
      <w:pPr>
        <w:spacing w:after="0" w:line="240" w:lineRule="auto"/>
        <w:jc w:val="both"/>
        <w:rPr>
          <w:rFonts w:ascii="Times New Roman" w:eastAsia="Times New Roman" w:hAnsi="Times New Roman" w:cs="Times New Roman"/>
          <w:lang w:val="sr-Latn-ME"/>
        </w:rPr>
      </w:pPr>
    </w:p>
    <w:p w:rsidR="005D2400" w:rsidRPr="00327D94" w:rsidRDefault="005D2400">
      <w:pPr>
        <w:spacing w:after="0" w:line="240" w:lineRule="auto"/>
        <w:jc w:val="both"/>
        <w:rPr>
          <w:rFonts w:ascii="Times New Roman" w:eastAsia="Times New Roman" w:hAnsi="Times New Roman" w:cs="Times New Roman"/>
          <w:b/>
          <w:lang w:val="sr-Latn-ME"/>
        </w:rPr>
      </w:pPr>
      <w:r w:rsidRPr="00327D94">
        <w:rPr>
          <w:rFonts w:ascii="Times New Roman" w:eastAsia="Times New Roman" w:hAnsi="Times New Roman" w:cs="Times New Roman"/>
          <w:b/>
          <w:lang w:val="sr-Latn-ME"/>
        </w:rPr>
        <w:t>Kardiološki poremećaji</w:t>
      </w: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Rijetko: bradikardija, aritmija, anginopektoralni simptomi (nakon dugotrajnog liječenja)</w:t>
      </w: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Vrlo rijetko: valvulopatije (uključujući regurgitaciju), perikarditis, perikardni izliv</w:t>
      </w:r>
    </w:p>
    <w:p w:rsidR="005D2400" w:rsidRPr="00327D94" w:rsidRDefault="005D2400">
      <w:pPr>
        <w:spacing w:after="0" w:line="240" w:lineRule="auto"/>
        <w:jc w:val="both"/>
        <w:rPr>
          <w:rFonts w:ascii="Times New Roman" w:eastAsia="Times New Roman" w:hAnsi="Times New Roman" w:cs="Times New Roman"/>
          <w:lang w:val="sr-Latn-ME"/>
        </w:rPr>
      </w:pPr>
    </w:p>
    <w:p w:rsidR="00EC7011" w:rsidRPr="00327D94" w:rsidRDefault="00EC7011">
      <w:pPr>
        <w:spacing w:after="0" w:line="240" w:lineRule="auto"/>
        <w:jc w:val="both"/>
        <w:rPr>
          <w:rFonts w:ascii="Times New Roman" w:eastAsia="Times New Roman" w:hAnsi="Times New Roman" w:cs="Times New Roman"/>
          <w:b/>
          <w:lang w:val="sr-Latn-ME"/>
        </w:rPr>
      </w:pPr>
    </w:p>
    <w:p w:rsidR="005D2400" w:rsidRPr="00327D94" w:rsidRDefault="005D2400">
      <w:pPr>
        <w:spacing w:after="0" w:line="240" w:lineRule="auto"/>
        <w:jc w:val="both"/>
        <w:rPr>
          <w:rFonts w:ascii="Times New Roman" w:eastAsia="Times New Roman" w:hAnsi="Times New Roman" w:cs="Times New Roman"/>
          <w:b/>
          <w:lang w:val="sr-Latn-ME"/>
        </w:rPr>
      </w:pPr>
      <w:r w:rsidRPr="00327D94">
        <w:rPr>
          <w:rFonts w:ascii="Times New Roman" w:eastAsia="Times New Roman" w:hAnsi="Times New Roman" w:cs="Times New Roman"/>
          <w:b/>
          <w:lang w:val="sr-Latn-ME"/>
        </w:rPr>
        <w:t>Vaskularni poremećaji</w:t>
      </w: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Rijetko: hipotenzija</w:t>
      </w:r>
      <w:r w:rsidR="001656F9" w:rsidRPr="00327D94">
        <w:rPr>
          <w:rFonts w:ascii="Times New Roman" w:eastAsia="Times New Roman" w:hAnsi="Times New Roman" w:cs="Times New Roman"/>
          <w:lang w:val="sr-Latn-ME"/>
        </w:rPr>
        <w:t xml:space="preserve"> </w:t>
      </w:r>
      <w:r w:rsidRPr="00327D94">
        <w:rPr>
          <w:rFonts w:ascii="Times New Roman" w:eastAsia="Times New Roman" w:hAnsi="Times New Roman" w:cs="Times New Roman"/>
          <w:lang w:val="sr-Latn-ME"/>
        </w:rPr>
        <w:t>(posebno kada se primjenjuje parenterealno), poremećaji arterijske cirkulacije</w:t>
      </w:r>
    </w:p>
    <w:p w:rsidR="005D2400" w:rsidRPr="00327D94" w:rsidRDefault="005D2400">
      <w:pPr>
        <w:spacing w:after="0" w:line="240" w:lineRule="auto"/>
        <w:jc w:val="both"/>
        <w:rPr>
          <w:rFonts w:ascii="Times New Roman" w:eastAsia="Times New Roman" w:hAnsi="Times New Roman" w:cs="Times New Roman"/>
          <w:lang w:val="sr-Latn-ME"/>
        </w:rPr>
      </w:pPr>
    </w:p>
    <w:p w:rsidR="005D2400" w:rsidRPr="00327D94" w:rsidRDefault="005D2400">
      <w:pPr>
        <w:spacing w:after="0" w:line="240" w:lineRule="auto"/>
        <w:jc w:val="both"/>
        <w:rPr>
          <w:rFonts w:ascii="Times New Roman" w:eastAsia="Times New Roman" w:hAnsi="Times New Roman" w:cs="Times New Roman"/>
          <w:b/>
          <w:lang w:val="sr-Latn-ME"/>
        </w:rPr>
      </w:pPr>
      <w:r w:rsidRPr="00327D94">
        <w:rPr>
          <w:rFonts w:ascii="Times New Roman" w:eastAsia="Times New Roman" w:hAnsi="Times New Roman" w:cs="Times New Roman"/>
          <w:b/>
          <w:lang w:val="sr-Latn-ME"/>
        </w:rPr>
        <w:t>Respiratorni, torakalni i medijastinalni poremećaji</w:t>
      </w: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Rijetko: nazalna kongestija</w:t>
      </w:r>
    </w:p>
    <w:p w:rsidR="005D2400" w:rsidRPr="00327D94" w:rsidRDefault="005D2400">
      <w:pPr>
        <w:spacing w:after="0" w:line="240" w:lineRule="auto"/>
        <w:jc w:val="both"/>
        <w:rPr>
          <w:rFonts w:ascii="Times New Roman" w:eastAsia="Times New Roman" w:hAnsi="Times New Roman" w:cs="Times New Roman"/>
          <w:lang w:val="sr-Latn-ME"/>
        </w:rPr>
      </w:pPr>
    </w:p>
    <w:p w:rsidR="005D2400" w:rsidRPr="00327D94" w:rsidRDefault="005D2400">
      <w:pPr>
        <w:spacing w:after="0" w:line="240" w:lineRule="auto"/>
        <w:jc w:val="both"/>
        <w:rPr>
          <w:rFonts w:ascii="Times New Roman" w:eastAsia="Times New Roman" w:hAnsi="Times New Roman" w:cs="Times New Roman"/>
          <w:b/>
          <w:lang w:val="sr-Latn-ME"/>
        </w:rPr>
      </w:pPr>
      <w:r w:rsidRPr="00327D94">
        <w:rPr>
          <w:rFonts w:ascii="Times New Roman" w:eastAsia="Times New Roman" w:hAnsi="Times New Roman" w:cs="Times New Roman"/>
          <w:b/>
          <w:lang w:val="sr-Latn-ME"/>
        </w:rPr>
        <w:t>Gastrointestinalni poremećaji</w:t>
      </w: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Rijetko:gubitak apetita,  mučnina, povraćanje,  nelagodnost u želucu, proliv</w:t>
      </w: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Veoma rijetko: retroperitonealna fibroza</w:t>
      </w:r>
      <w:r w:rsidR="000628FC">
        <w:rPr>
          <w:rFonts w:ascii="Times New Roman" w:eastAsia="Times New Roman" w:hAnsi="Times New Roman" w:cs="Times New Roman"/>
          <w:lang w:val="sr-Latn-ME"/>
        </w:rPr>
        <w:t xml:space="preserve"> </w:t>
      </w:r>
      <w:r w:rsidRPr="00327D94">
        <w:rPr>
          <w:rFonts w:ascii="Times New Roman" w:eastAsia="Times New Roman" w:hAnsi="Times New Roman" w:cs="Times New Roman"/>
          <w:lang w:val="sr-Latn-ME"/>
        </w:rPr>
        <w:t>(simptomi kao što su bol u leđima ili opstrukcije mokraćnog sistema)</w:t>
      </w:r>
    </w:p>
    <w:p w:rsidR="005D2400" w:rsidRPr="00327D94" w:rsidRDefault="005D2400">
      <w:pPr>
        <w:spacing w:after="0" w:line="240" w:lineRule="auto"/>
        <w:jc w:val="both"/>
        <w:rPr>
          <w:rFonts w:ascii="Times New Roman" w:eastAsia="Times New Roman" w:hAnsi="Times New Roman" w:cs="Times New Roman"/>
          <w:b/>
          <w:lang w:val="sr-Latn-ME"/>
        </w:rPr>
      </w:pPr>
    </w:p>
    <w:p w:rsidR="005D2400" w:rsidRPr="00327D94" w:rsidRDefault="005D2400">
      <w:pPr>
        <w:spacing w:after="0" w:line="240" w:lineRule="auto"/>
        <w:jc w:val="both"/>
        <w:rPr>
          <w:rFonts w:ascii="Times New Roman" w:eastAsia="Times New Roman" w:hAnsi="Times New Roman" w:cs="Times New Roman"/>
          <w:b/>
          <w:lang w:val="sr-Latn-ME"/>
        </w:rPr>
      </w:pPr>
      <w:r w:rsidRPr="00327D94">
        <w:rPr>
          <w:rFonts w:ascii="Times New Roman" w:eastAsia="Times New Roman" w:hAnsi="Times New Roman" w:cs="Times New Roman"/>
          <w:b/>
          <w:lang w:val="sr-Latn-ME"/>
        </w:rPr>
        <w:t>Poremećaji na nivou kože i potkožnog tkiva</w:t>
      </w: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Rijetko: osip</w:t>
      </w:r>
    </w:p>
    <w:p w:rsidR="00926D16" w:rsidRPr="00327D94" w:rsidRDefault="00926D16">
      <w:pPr>
        <w:spacing w:after="0" w:line="240" w:lineRule="auto"/>
        <w:jc w:val="both"/>
        <w:rPr>
          <w:rFonts w:ascii="Times New Roman" w:eastAsia="Times New Roman" w:hAnsi="Times New Roman" w:cs="Times New Roman"/>
          <w:lang w:val="sr-Latn-ME"/>
        </w:rPr>
      </w:pPr>
    </w:p>
    <w:p w:rsidR="005D2400" w:rsidRPr="00327D94" w:rsidRDefault="005D2400">
      <w:pPr>
        <w:spacing w:after="0" w:line="240" w:lineRule="auto"/>
        <w:jc w:val="both"/>
        <w:rPr>
          <w:rFonts w:ascii="Times New Roman" w:eastAsia="Times New Roman" w:hAnsi="Times New Roman" w:cs="Times New Roman"/>
          <w:b/>
          <w:lang w:val="sr-Latn-ME"/>
        </w:rPr>
      </w:pPr>
      <w:r w:rsidRPr="00327D94">
        <w:rPr>
          <w:rFonts w:ascii="Times New Roman" w:eastAsia="Times New Roman" w:hAnsi="Times New Roman" w:cs="Times New Roman"/>
          <w:b/>
          <w:lang w:val="sr-Latn-ME"/>
        </w:rPr>
        <w:t>Opšti poremećaji i reakcije na mjestu primene</w:t>
      </w: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Nepoznata: malaksalost, astenija</w:t>
      </w:r>
    </w:p>
    <w:p w:rsidR="005D2400" w:rsidRPr="00327D94" w:rsidRDefault="005D2400">
      <w:pPr>
        <w:spacing w:after="0" w:line="240" w:lineRule="auto"/>
        <w:jc w:val="both"/>
        <w:rPr>
          <w:rFonts w:ascii="Times New Roman" w:eastAsia="Times New Roman" w:hAnsi="Times New Roman" w:cs="Times New Roman"/>
          <w:lang w:val="sr-Latn-ME"/>
        </w:rPr>
      </w:pPr>
    </w:p>
    <w:p w:rsidR="005D2400" w:rsidRPr="00327D94" w:rsidRDefault="005D2400">
      <w:pPr>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Patološko kockanje, povećan libido i hiperseksualnost prijavljeni su kod pacijenata na terapiji agonistima dopamina.</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spacing w:after="0" w:line="240" w:lineRule="auto"/>
        <w:jc w:val="both"/>
        <w:rPr>
          <w:rFonts w:ascii="Times New Roman" w:eastAsia="Times New Roman" w:hAnsi="Times New Roman" w:cs="Times New Roman"/>
          <w:u w:val="single"/>
          <w:lang w:val="sr-Latn-ME"/>
        </w:rPr>
      </w:pPr>
      <w:r w:rsidRPr="00327D94">
        <w:rPr>
          <w:rFonts w:ascii="Times New Roman" w:eastAsia="Times New Roman" w:hAnsi="Times New Roman" w:cs="Times New Roman"/>
          <w:u w:val="single"/>
          <w:lang w:val="sr-Latn-ME"/>
        </w:rPr>
        <w:t>Prijavljivanje sumnji na neželjena dejstva</w:t>
      </w:r>
    </w:p>
    <w:p w:rsidR="005D2400" w:rsidRPr="00327D94" w:rsidRDefault="005D2400">
      <w:pPr>
        <w:autoSpaceDE w:val="0"/>
        <w:autoSpaceDN w:val="0"/>
        <w:adjustRightInd w:val="0"/>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Prijavljivanje neželjenih dejstava nakon dobijanja dozvole od velikog je značaja jer obezbjeđuje kontinuirano praćenje odnosa korist/rizik primjene lijeka. Zdravstveni radnici treba da prijave svaku sumnju na neželjeno dejstvo ovog  lijeka Agenciji za ljekove i medicinska sredstva Crne Gore (CALIMS):</w:t>
      </w:r>
    </w:p>
    <w:p w:rsidR="005D2400" w:rsidRPr="00327D94" w:rsidRDefault="005D2400">
      <w:pPr>
        <w:autoSpaceDE w:val="0"/>
        <w:autoSpaceDN w:val="0"/>
        <w:adjustRightInd w:val="0"/>
        <w:spacing w:after="0" w:line="240" w:lineRule="auto"/>
        <w:jc w:val="both"/>
        <w:rPr>
          <w:rFonts w:ascii="Times New Roman" w:eastAsia="Times New Roman" w:hAnsi="Times New Roman" w:cs="Times New Roman"/>
          <w:lang w:val="sr-Latn-ME"/>
        </w:rPr>
      </w:pPr>
    </w:p>
    <w:p w:rsidR="005D2400" w:rsidRPr="00327D94" w:rsidRDefault="005D2400">
      <w:pPr>
        <w:autoSpaceDE w:val="0"/>
        <w:autoSpaceDN w:val="0"/>
        <w:adjustRightInd w:val="0"/>
        <w:spacing w:after="0" w:line="240" w:lineRule="auto"/>
        <w:jc w:val="both"/>
        <w:rPr>
          <w:rFonts w:ascii="Times New Roman" w:eastAsia="Times New Roman" w:hAnsi="Times New Roman" w:cs="Times New Roman"/>
          <w:bCs/>
          <w:lang w:val="sr-Latn-ME"/>
        </w:rPr>
      </w:pPr>
      <w:r w:rsidRPr="00327D94">
        <w:rPr>
          <w:rFonts w:ascii="Times New Roman" w:eastAsia="Times New Roman" w:hAnsi="Times New Roman" w:cs="Times New Roman"/>
          <w:bCs/>
          <w:lang w:val="sr-Latn-ME"/>
        </w:rPr>
        <w:t>Agencija za ljekove i medicinska sredstva Crne Gore</w:t>
      </w:r>
    </w:p>
    <w:p w:rsidR="005D2400" w:rsidRPr="00327D94" w:rsidRDefault="005D2400">
      <w:pPr>
        <w:autoSpaceDE w:val="0"/>
        <w:autoSpaceDN w:val="0"/>
        <w:adjustRightInd w:val="0"/>
        <w:spacing w:after="0" w:line="240" w:lineRule="auto"/>
        <w:jc w:val="both"/>
        <w:rPr>
          <w:rFonts w:ascii="Times New Roman" w:eastAsia="Times New Roman" w:hAnsi="Times New Roman" w:cs="Times New Roman"/>
          <w:bCs/>
          <w:lang w:val="sr-Latn-ME"/>
        </w:rPr>
      </w:pPr>
      <w:r w:rsidRPr="00327D94">
        <w:rPr>
          <w:rFonts w:ascii="Times New Roman" w:eastAsia="Times New Roman" w:hAnsi="Times New Roman" w:cs="Times New Roman"/>
          <w:bCs/>
          <w:lang w:val="sr-Latn-ME"/>
        </w:rPr>
        <w:t>Odjeljenje za farmakovigilancu</w:t>
      </w:r>
    </w:p>
    <w:p w:rsidR="005D2400" w:rsidRPr="00327D94" w:rsidRDefault="005D2400">
      <w:pPr>
        <w:autoSpaceDE w:val="0"/>
        <w:autoSpaceDN w:val="0"/>
        <w:adjustRightInd w:val="0"/>
        <w:spacing w:after="0" w:line="240" w:lineRule="auto"/>
        <w:jc w:val="both"/>
        <w:rPr>
          <w:rFonts w:ascii="Times New Roman" w:eastAsia="Times New Roman" w:hAnsi="Times New Roman" w:cs="Times New Roman"/>
          <w:bCs/>
          <w:lang w:val="sr-Latn-ME"/>
        </w:rPr>
      </w:pPr>
      <w:r w:rsidRPr="00327D94">
        <w:rPr>
          <w:rFonts w:ascii="Times New Roman" w:eastAsia="Times New Roman" w:hAnsi="Times New Roman" w:cs="Times New Roman"/>
          <w:bCs/>
          <w:lang w:val="sr-Latn-ME"/>
        </w:rPr>
        <w:t>Bulevar Ivana Crnojevića 64a, 81000 Podgorica</w:t>
      </w:r>
    </w:p>
    <w:p w:rsidR="005D2400" w:rsidRPr="00327D94" w:rsidRDefault="005D2400">
      <w:pPr>
        <w:autoSpaceDE w:val="0"/>
        <w:autoSpaceDN w:val="0"/>
        <w:adjustRightInd w:val="0"/>
        <w:spacing w:after="0" w:line="240" w:lineRule="auto"/>
        <w:jc w:val="both"/>
        <w:rPr>
          <w:rFonts w:ascii="Times New Roman" w:eastAsia="Times New Roman" w:hAnsi="Times New Roman" w:cs="Times New Roman"/>
          <w:bCs/>
          <w:lang w:val="sr-Latn-ME"/>
        </w:rPr>
      </w:pPr>
    </w:p>
    <w:p w:rsidR="005D2400" w:rsidRPr="00327D94" w:rsidRDefault="005D2400">
      <w:pPr>
        <w:autoSpaceDE w:val="0"/>
        <w:autoSpaceDN w:val="0"/>
        <w:adjustRightInd w:val="0"/>
        <w:spacing w:after="0" w:line="240" w:lineRule="auto"/>
        <w:jc w:val="both"/>
        <w:rPr>
          <w:rFonts w:ascii="Times New Roman" w:eastAsia="Times New Roman" w:hAnsi="Times New Roman" w:cs="Times New Roman"/>
          <w:bCs/>
          <w:lang w:val="sr-Latn-ME"/>
        </w:rPr>
      </w:pPr>
      <w:r w:rsidRPr="00327D94">
        <w:rPr>
          <w:rFonts w:ascii="Times New Roman" w:eastAsia="Times New Roman" w:hAnsi="Times New Roman" w:cs="Times New Roman"/>
          <w:bCs/>
          <w:lang w:val="sr-Latn-ME"/>
        </w:rPr>
        <w:t>tel: +382 (0) 20 310 280</w:t>
      </w:r>
    </w:p>
    <w:p w:rsidR="005D2400" w:rsidRPr="00327D94" w:rsidRDefault="005D2400">
      <w:pPr>
        <w:autoSpaceDE w:val="0"/>
        <w:autoSpaceDN w:val="0"/>
        <w:adjustRightInd w:val="0"/>
        <w:spacing w:after="0" w:line="240" w:lineRule="auto"/>
        <w:jc w:val="both"/>
        <w:rPr>
          <w:rFonts w:ascii="Times New Roman" w:eastAsia="Times New Roman" w:hAnsi="Times New Roman" w:cs="Times New Roman"/>
          <w:bCs/>
          <w:lang w:val="sr-Latn-ME"/>
        </w:rPr>
      </w:pPr>
      <w:r w:rsidRPr="00327D94">
        <w:rPr>
          <w:rFonts w:ascii="Times New Roman" w:eastAsia="Times New Roman" w:hAnsi="Times New Roman" w:cs="Times New Roman"/>
          <w:bCs/>
          <w:lang w:val="sr-Latn-ME"/>
        </w:rPr>
        <w:t>fax:+382 (0) 20 310 581</w:t>
      </w:r>
    </w:p>
    <w:p w:rsidR="005D2400" w:rsidRPr="00327D94" w:rsidRDefault="005D2400">
      <w:pPr>
        <w:autoSpaceDE w:val="0"/>
        <w:autoSpaceDN w:val="0"/>
        <w:adjustRightInd w:val="0"/>
        <w:spacing w:after="0" w:line="240" w:lineRule="auto"/>
        <w:jc w:val="both"/>
        <w:rPr>
          <w:rFonts w:ascii="Times New Roman" w:eastAsia="Times New Roman" w:hAnsi="Times New Roman" w:cs="Times New Roman"/>
          <w:bCs/>
          <w:lang w:val="sr-Latn-ME"/>
        </w:rPr>
      </w:pPr>
    </w:p>
    <w:p w:rsidR="005D2400" w:rsidRPr="00327D94" w:rsidRDefault="00422BEA">
      <w:pPr>
        <w:autoSpaceDE w:val="0"/>
        <w:autoSpaceDN w:val="0"/>
        <w:adjustRightInd w:val="0"/>
        <w:spacing w:after="0" w:line="240" w:lineRule="auto"/>
        <w:jc w:val="both"/>
        <w:rPr>
          <w:rFonts w:ascii="Times New Roman" w:eastAsia="Times New Roman" w:hAnsi="Times New Roman" w:cs="Times New Roman"/>
          <w:bCs/>
          <w:lang w:val="sr-Latn-ME"/>
        </w:rPr>
      </w:pPr>
      <w:hyperlink r:id="rId8" w:history="1">
        <w:r w:rsidR="005D2400" w:rsidRPr="00327D94">
          <w:rPr>
            <w:rFonts w:ascii="Times New Roman" w:eastAsia="Times New Roman" w:hAnsi="Times New Roman" w:cs="Times New Roman"/>
            <w:color w:val="0000FF"/>
            <w:u w:val="single"/>
            <w:lang w:val="sr-Latn-ME"/>
          </w:rPr>
          <w:t>www.calims.me</w:t>
        </w:r>
      </w:hyperlink>
    </w:p>
    <w:p w:rsidR="005D2400" w:rsidRPr="00327D94" w:rsidRDefault="00422BEA">
      <w:pPr>
        <w:autoSpaceDE w:val="0"/>
        <w:autoSpaceDN w:val="0"/>
        <w:adjustRightInd w:val="0"/>
        <w:spacing w:after="0" w:line="240" w:lineRule="auto"/>
        <w:jc w:val="both"/>
        <w:rPr>
          <w:rFonts w:ascii="Times New Roman" w:eastAsia="Times New Roman" w:hAnsi="Times New Roman" w:cs="Times New Roman"/>
          <w:bCs/>
          <w:lang w:val="sr-Latn-ME"/>
        </w:rPr>
      </w:pPr>
      <w:hyperlink r:id="rId9" w:history="1">
        <w:r w:rsidR="005D2400" w:rsidRPr="00327D94">
          <w:rPr>
            <w:rFonts w:ascii="Times New Roman" w:eastAsia="Times New Roman" w:hAnsi="Times New Roman" w:cs="Times New Roman"/>
            <w:color w:val="0000FF"/>
            <w:u w:val="single"/>
            <w:lang w:val="sr-Latn-ME"/>
          </w:rPr>
          <w:t>nezeljenadejstva@calims.me</w:t>
        </w:r>
      </w:hyperlink>
    </w:p>
    <w:p w:rsidR="005D2400" w:rsidRPr="00327D94" w:rsidRDefault="005D2400">
      <w:pPr>
        <w:autoSpaceDE w:val="0"/>
        <w:autoSpaceDN w:val="0"/>
        <w:adjustRightInd w:val="0"/>
        <w:spacing w:after="0" w:line="240" w:lineRule="auto"/>
        <w:jc w:val="both"/>
        <w:rPr>
          <w:rFonts w:ascii="Times New Roman" w:eastAsia="Times New Roman" w:hAnsi="Times New Roman" w:cs="Times New Roman"/>
          <w:bCs/>
          <w:lang w:val="sr-Latn-ME"/>
        </w:rPr>
      </w:pPr>
    </w:p>
    <w:p w:rsidR="005D2400" w:rsidRPr="00327D94" w:rsidRDefault="005D2400">
      <w:pPr>
        <w:autoSpaceDE w:val="0"/>
        <w:autoSpaceDN w:val="0"/>
        <w:adjustRightInd w:val="0"/>
        <w:spacing w:after="0" w:line="240" w:lineRule="auto"/>
        <w:jc w:val="both"/>
        <w:rPr>
          <w:rFonts w:ascii="Times New Roman" w:eastAsia="Times New Roman" w:hAnsi="Times New Roman" w:cs="Times New Roman"/>
          <w:bCs/>
          <w:lang w:val="sr-Latn-ME"/>
        </w:rPr>
      </w:pPr>
      <w:r w:rsidRPr="00327D94">
        <w:rPr>
          <w:rFonts w:ascii="Times New Roman" w:eastAsia="Times New Roman" w:hAnsi="Times New Roman" w:cs="Times New Roman"/>
          <w:bCs/>
          <w:lang w:val="sr-Latn-ME"/>
        </w:rPr>
        <w:t>putem IS zdravstvene zaštite</w:t>
      </w:r>
    </w:p>
    <w:p w:rsidR="005D2400" w:rsidRPr="00327D94" w:rsidRDefault="005D2400">
      <w:pPr>
        <w:autoSpaceDE w:val="0"/>
        <w:autoSpaceDN w:val="0"/>
        <w:adjustRightInd w:val="0"/>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8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4.9. Predoziranje</w:t>
      </w:r>
      <w:r w:rsidR="000045F3" w:rsidRPr="00327D94">
        <w:rPr>
          <w:rFonts w:ascii="Times New Roman" w:eastAsia="Times New Roman" w:hAnsi="Times New Roman" w:cs="Times New Roman"/>
          <w:b/>
          <w:bCs/>
          <w:lang w:val="sr-Latn-ME"/>
        </w:rPr>
        <w:t xml:space="preserve"> i mjere koje je potrebno preduzeti</w:t>
      </w:r>
    </w:p>
    <w:p w:rsidR="000045F3" w:rsidRPr="00327D94" w:rsidRDefault="000045F3">
      <w:pPr>
        <w:tabs>
          <w:tab w:val="left" w:pos="284"/>
        </w:tabs>
        <w:spacing w:after="80" w:line="240" w:lineRule="auto"/>
        <w:jc w:val="both"/>
        <w:rPr>
          <w:rFonts w:ascii="Times New Roman" w:eastAsia="Times New Roman" w:hAnsi="Times New Roman" w:cs="Times New Roman"/>
          <w:b/>
          <w:bCs/>
          <w:lang w:val="sr-Latn-ME"/>
        </w:rPr>
      </w:pP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 xml:space="preserve">Simptomi predoziranja kod primjene kodergokrin mezilata mogu biti veoma raznovrsni i kontradiktorni. Intenzivirana neželjena dejstva, zamagljen vid, anksioznost, dispneja, uznemirenost, konfuzija, konvulzije, bradikardija ili tahikardija i smanjenje krvnog pritiska mogu dovesti do kome i respiratorne paralize. </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Moguća je pojava vazospazma sa povećanim krvnim pritiskom, osjećajem hladnoće, parestezije i bola u ekstremitetima.</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 xml:space="preserve">Specifičan antidot nije poznat. Treba izazvati povraćanje što je ranije moguće. Druge mjere za smanjenje resorpcije su ispiranje želuca, davanje aktivnog uglja i ubrzanje motiliteta crijeva (natrijum sulfat). </w:t>
      </w:r>
    </w:p>
    <w:p w:rsidR="00EC7011" w:rsidRPr="00327D94" w:rsidRDefault="00EC7011">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 xml:space="preserve">U slučaju pada krvnog pritiska potrebno je nadoknaditi tečnost i razmotriti primjenu alfa agonista, a u slučaju vazospazma primijeniti vazodilatatore (beta blokatori, antagonisti kalcijumovih kanala, teofilin). </w:t>
      </w:r>
    </w:p>
    <w:p w:rsidR="005D2400" w:rsidRPr="00327D94" w:rsidRDefault="005D2400">
      <w:pPr>
        <w:tabs>
          <w:tab w:val="center" w:pos="4536"/>
          <w:tab w:val="right" w:pos="9072"/>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U svakom slučaju, neophodna je kontrola krvnog pritiska.</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23AD3" w:rsidRPr="00327D94" w:rsidRDefault="00523AD3">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5. FARMAKOLOŠKI PODACI</w:t>
      </w:r>
    </w:p>
    <w:p w:rsidR="005D2400" w:rsidRPr="00327D94" w:rsidRDefault="005D2400">
      <w:pPr>
        <w:tabs>
          <w:tab w:val="left" w:pos="284"/>
        </w:tabs>
        <w:spacing w:after="80" w:line="240" w:lineRule="auto"/>
        <w:jc w:val="both"/>
        <w:rPr>
          <w:rFonts w:ascii="Times New Roman" w:eastAsia="Times New Roman" w:hAnsi="Times New Roman" w:cs="Times New Roman"/>
          <w:b/>
          <w:bCs/>
          <w:lang w:val="sr-Latn-ME"/>
        </w:rPr>
      </w:pPr>
    </w:p>
    <w:p w:rsidR="005D2400" w:rsidRPr="00327D94" w:rsidRDefault="005D2400">
      <w:pPr>
        <w:tabs>
          <w:tab w:val="left" w:pos="284"/>
        </w:tabs>
        <w:spacing w:after="8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5.1. Farmakodinamski podaci</w:t>
      </w:r>
    </w:p>
    <w:p w:rsidR="000045F3" w:rsidRPr="00327D94" w:rsidRDefault="000045F3">
      <w:pPr>
        <w:tabs>
          <w:tab w:val="left" w:pos="284"/>
        </w:tabs>
        <w:spacing w:after="80" w:line="240" w:lineRule="auto"/>
        <w:jc w:val="both"/>
        <w:rPr>
          <w:rFonts w:ascii="Times New Roman" w:eastAsia="Times New Roman" w:hAnsi="Times New Roman" w:cs="Times New Roman"/>
          <w:b/>
          <w:bCs/>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b/>
          <w:bCs/>
          <w:lang w:val="sr-Latn-ME"/>
        </w:rPr>
        <w:t xml:space="preserve">Farmakoterapijska grupa: </w:t>
      </w:r>
      <w:r w:rsidRPr="00327D94">
        <w:rPr>
          <w:rFonts w:ascii="Times New Roman" w:eastAsia="Times New Roman" w:hAnsi="Times New Roman" w:cs="Times New Roman"/>
          <w:lang w:val="sr-Latn-ME"/>
        </w:rPr>
        <w:t>Periferni vazodilatatori; ergot alkaloidi</w:t>
      </w:r>
    </w:p>
    <w:p w:rsidR="000045F3" w:rsidRPr="00327D94" w:rsidRDefault="005D2400">
      <w:pPr>
        <w:tabs>
          <w:tab w:val="left" w:pos="284"/>
        </w:tabs>
        <w:spacing w:after="0" w:line="240" w:lineRule="auto"/>
        <w:jc w:val="both"/>
        <w:rPr>
          <w:rFonts w:ascii="Times New Roman" w:eastAsia="Times New Roman" w:hAnsi="Times New Roman" w:cs="Times New Roman"/>
          <w:b/>
          <w:lang w:val="sr-Latn-ME"/>
        </w:rPr>
      </w:pPr>
      <w:r w:rsidRPr="00327D94">
        <w:rPr>
          <w:rFonts w:ascii="Times New Roman" w:eastAsia="Times New Roman" w:hAnsi="Times New Roman" w:cs="Times New Roman"/>
          <w:b/>
          <w:bCs/>
          <w:lang w:val="sr-Latn-ME"/>
        </w:rPr>
        <w:t>ATC kod:</w:t>
      </w:r>
      <w:r w:rsidRPr="00327D94">
        <w:rPr>
          <w:rFonts w:ascii="Times New Roman" w:eastAsia="Times New Roman" w:hAnsi="Times New Roman" w:cs="Times New Roman"/>
          <w:lang w:val="sr-Latn-ME"/>
        </w:rPr>
        <w:t xml:space="preserve"> CO4AE01</w:t>
      </w:r>
    </w:p>
    <w:p w:rsidR="000045F3" w:rsidRPr="00327D94" w:rsidRDefault="000045F3">
      <w:pPr>
        <w:tabs>
          <w:tab w:val="left" w:pos="284"/>
        </w:tabs>
        <w:spacing w:after="0" w:line="240" w:lineRule="auto"/>
        <w:jc w:val="both"/>
        <w:rPr>
          <w:rFonts w:ascii="Times New Roman" w:eastAsia="Times New Roman" w:hAnsi="Times New Roman" w:cs="Times New Roman"/>
          <w:b/>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b/>
          <w:lang w:val="sr-Latn-ME"/>
        </w:rPr>
      </w:pPr>
      <w:r w:rsidRPr="00327D94">
        <w:rPr>
          <w:rFonts w:ascii="Times New Roman" w:eastAsia="Times New Roman" w:hAnsi="Times New Roman" w:cs="Times New Roman"/>
          <w:b/>
          <w:lang w:val="sr-Latn-ME"/>
        </w:rPr>
        <w:t>Mehanizam djelovanja</w:t>
      </w:r>
    </w:p>
    <w:p w:rsidR="00B16C9B" w:rsidRPr="00327D94" w:rsidRDefault="00B16C9B">
      <w:pPr>
        <w:tabs>
          <w:tab w:val="left" w:pos="284"/>
        </w:tabs>
        <w:spacing w:after="0" w:line="240" w:lineRule="auto"/>
        <w:jc w:val="both"/>
        <w:rPr>
          <w:rFonts w:ascii="Times New Roman" w:eastAsia="Times New Roman" w:hAnsi="Times New Roman" w:cs="Times New Roman"/>
          <w:u w:val="single"/>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u w:val="single"/>
          <w:lang w:val="sr-Latn-ME"/>
        </w:rPr>
      </w:pPr>
      <w:r w:rsidRPr="00327D94">
        <w:rPr>
          <w:rFonts w:ascii="Times New Roman" w:eastAsia="Times New Roman" w:hAnsi="Times New Roman" w:cs="Times New Roman"/>
          <w:u w:val="single"/>
          <w:lang w:val="sr-Latn-ME"/>
        </w:rPr>
        <w:t>Farmakodinamika</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Studije na životinjama ukazuju da kodergokrin mezilat modifikuje cerebralnu neurotransmisiju, a postoje dokazi da stimulativnim efektima na serotoninske i dopaminske receptore, kao i efektima blokade alfa-adrenoreceptora poboljšava oštećenu cerebralnu metaboličku funkciju. Ovaj efekat koji se ogleda u promjenama električne aktivnosti mozga, vidljiv je na elektroencefalogramu.</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Ovaj korisni efekat na funkciju mozga potvrđen je u eksperimentalnim studijama kod ljudi. Takođe je otkriveno da kodergokrin mezilat ubrzava cerebralnu cirkulaciju.</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Kliničke studije su pokazale da je kodergokrin mezilat efikasan u poboljšanju mnogih simptoma mentalne deterioracije, posebno simptoma koji su u vezi sa starenjem kao što su briga o sebi, socijalno ponašanje, emocionalno stanje i mentalne aktivnosti. Pored toga, kodergokrin mezilat ima antiagregacioni efekat i poboljšava protok krvi, posebno u malim krvnim sudovima.</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u w:val="single"/>
          <w:lang w:val="sr-Latn-ME"/>
        </w:rPr>
      </w:pPr>
      <w:r w:rsidRPr="00327D94">
        <w:rPr>
          <w:rFonts w:ascii="Times New Roman" w:eastAsia="Times New Roman" w:hAnsi="Times New Roman" w:cs="Times New Roman"/>
          <w:u w:val="single"/>
          <w:lang w:val="sr-Latn-ME"/>
        </w:rPr>
        <w:t>Kliničke studije</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Kodergokrin mezilat je lijek sa potvrđenim djelovanjem; u skorije vreme nijesu sprovedene kliničke studije.</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8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5.2. Farmakokinetički podaci</w:t>
      </w:r>
    </w:p>
    <w:p w:rsidR="00427B45" w:rsidRPr="00327D94" w:rsidRDefault="00427B45">
      <w:pPr>
        <w:tabs>
          <w:tab w:val="left" w:pos="284"/>
        </w:tabs>
        <w:spacing w:after="80" w:line="240" w:lineRule="auto"/>
        <w:jc w:val="both"/>
        <w:rPr>
          <w:rFonts w:ascii="Times New Roman" w:eastAsia="Times New Roman" w:hAnsi="Times New Roman" w:cs="Times New Roman"/>
          <w:b/>
          <w:bCs/>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i/>
          <w:lang w:val="sr-Latn-ME"/>
        </w:rPr>
      </w:pPr>
      <w:r w:rsidRPr="00327D94">
        <w:rPr>
          <w:rFonts w:ascii="Times New Roman" w:eastAsia="Times New Roman" w:hAnsi="Times New Roman" w:cs="Times New Roman"/>
          <w:i/>
          <w:lang w:val="sr-Latn-ME"/>
        </w:rPr>
        <w:t>Resorpcija</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Resorpcija poslije oralno primijenjene doze je 25%. Maksimalne koncentracije u plazmi postižu se u toku 0,5 do 1,5 sat nakon oralne primjene. Zbog metabolizma prvog prolaska kroz jetru, bioraspoloživost je između 5 i 12%.</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i/>
          <w:lang w:val="sr-Latn-ME"/>
        </w:rPr>
      </w:pPr>
      <w:r w:rsidRPr="00327D94">
        <w:rPr>
          <w:rFonts w:ascii="Times New Roman" w:eastAsia="Times New Roman" w:hAnsi="Times New Roman" w:cs="Times New Roman"/>
          <w:i/>
          <w:lang w:val="sr-Latn-ME"/>
        </w:rPr>
        <w:t>Distribucija</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Volumen distribucije je 1100 l (oko 16 l/kg); vezivanje za proteine plazme je 81%.</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i/>
          <w:lang w:val="sr-Latn-ME"/>
        </w:rPr>
      </w:pPr>
      <w:r w:rsidRPr="00327D94">
        <w:rPr>
          <w:rFonts w:ascii="Times New Roman" w:eastAsia="Times New Roman" w:hAnsi="Times New Roman" w:cs="Times New Roman"/>
          <w:i/>
          <w:lang w:val="sr-Latn-ME"/>
        </w:rPr>
        <w:t>Biotransformacija</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In vitro eksperimenti ukazuju na to da je CYP3A4 glavni izoenzim citohroma P450 odgovoran za metabolizam ergopeptidne komponente kodergokrin mezilata.</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427B45" w:rsidRPr="00327D94" w:rsidRDefault="00427B45">
      <w:pPr>
        <w:tabs>
          <w:tab w:val="left" w:pos="284"/>
        </w:tabs>
        <w:spacing w:after="0" w:line="240" w:lineRule="auto"/>
        <w:jc w:val="both"/>
        <w:rPr>
          <w:rFonts w:ascii="Times New Roman" w:eastAsia="Times New Roman" w:hAnsi="Times New Roman" w:cs="Times New Roman"/>
          <w:lang w:val="sr-Latn-ME"/>
        </w:rPr>
      </w:pPr>
    </w:p>
    <w:p w:rsidR="00427B45" w:rsidRPr="00327D94" w:rsidRDefault="00427B45">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i/>
          <w:lang w:val="sr-Latn-ME"/>
        </w:rPr>
      </w:pPr>
      <w:r w:rsidRPr="00327D94">
        <w:rPr>
          <w:rFonts w:ascii="Times New Roman" w:eastAsia="Times New Roman" w:hAnsi="Times New Roman" w:cs="Times New Roman"/>
          <w:i/>
          <w:lang w:val="sr-Latn-ME"/>
        </w:rPr>
        <w:t>Izlučivanje</w:t>
      </w:r>
    </w:p>
    <w:p w:rsidR="00EC7011" w:rsidRPr="00327D94" w:rsidRDefault="00EC7011">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Izlučivanje se odvija u dvije faze; alfa faza (obuhvata kratko poluvrijeme eliminacije od 1,5 do 2,5 sata) i beta faza, produženo poluvrijeme eliminacije koje traje od 13 do 15 sati.</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Kodergokrin mezilat se u uglavnom izlučuje putem fecesa. Samo 2% nepromijenjene aktivne supstance izlučuje se putem urina. Ukupni klirens je oko 1800 ml/min.</w:t>
      </w:r>
    </w:p>
    <w:p w:rsidR="00523AD3" w:rsidRPr="00327D94" w:rsidRDefault="00523AD3">
      <w:pPr>
        <w:tabs>
          <w:tab w:val="left" w:pos="284"/>
        </w:tabs>
        <w:spacing w:after="0" w:line="240" w:lineRule="auto"/>
        <w:jc w:val="both"/>
        <w:rPr>
          <w:rFonts w:ascii="Times New Roman" w:eastAsia="Times New Roman" w:hAnsi="Times New Roman" w:cs="Times New Roman"/>
          <w:b/>
          <w:lang w:val="sr-Latn-ME"/>
        </w:rPr>
      </w:pPr>
    </w:p>
    <w:p w:rsidR="00523AD3" w:rsidRPr="00327D94" w:rsidRDefault="005D2400">
      <w:pPr>
        <w:tabs>
          <w:tab w:val="left" w:pos="284"/>
        </w:tabs>
        <w:spacing w:after="0" w:line="240" w:lineRule="auto"/>
        <w:jc w:val="both"/>
        <w:rPr>
          <w:rFonts w:ascii="Times New Roman" w:eastAsia="Times New Roman" w:hAnsi="Times New Roman" w:cs="Times New Roman"/>
          <w:b/>
          <w:lang w:val="sr-Latn-ME"/>
        </w:rPr>
      </w:pPr>
      <w:r w:rsidRPr="00327D94">
        <w:rPr>
          <w:rFonts w:ascii="Times New Roman" w:eastAsia="Times New Roman" w:hAnsi="Times New Roman" w:cs="Times New Roman"/>
          <w:b/>
          <w:lang w:val="sr-Latn-ME"/>
        </w:rPr>
        <w:t>Posebne grupe populacije</w:t>
      </w:r>
    </w:p>
    <w:p w:rsidR="00523AD3" w:rsidRPr="00327D94" w:rsidRDefault="00523AD3">
      <w:pPr>
        <w:tabs>
          <w:tab w:val="left" w:pos="284"/>
        </w:tabs>
        <w:spacing w:after="0" w:line="240" w:lineRule="auto"/>
        <w:jc w:val="both"/>
        <w:rPr>
          <w:rFonts w:ascii="Times New Roman" w:eastAsia="Times New Roman" w:hAnsi="Times New Roman" w:cs="Times New Roman"/>
          <w:b/>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u w:val="single"/>
          <w:lang w:val="sr-Latn-ME"/>
        </w:rPr>
      </w:pPr>
      <w:r w:rsidRPr="00327D94">
        <w:rPr>
          <w:rFonts w:ascii="Times New Roman" w:eastAsia="Times New Roman" w:hAnsi="Times New Roman" w:cs="Times New Roman"/>
          <w:u w:val="single"/>
          <w:lang w:val="sr-Latn-ME"/>
        </w:rPr>
        <w:t>Oštećenje bubrega</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Kod pacijenata sa blagim do umjerenim oštećenjem bubrega, rijetko je potrebno smanjenje doze zbog ograničene količine lijeka i njegovih metabolita koji se eliminišu putem bubrega. Međutim, izloženost i vrijeme do postizanja maksimalne koncentracije je značajno povećano kod pacijenata sa hroničnim oštećenjem bubrega. Zbog toga je kod pacijenata sa teškim oštećenjem bubrega potrebno razmotriti primjenu manjih početnih doza lijeka (vidjeti odjeljke 4.2 i 4.4).</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u w:val="single"/>
          <w:lang w:val="sr-Latn-ME"/>
        </w:rPr>
      </w:pPr>
      <w:r w:rsidRPr="00327D94">
        <w:rPr>
          <w:rFonts w:ascii="Times New Roman" w:eastAsia="Times New Roman" w:hAnsi="Times New Roman" w:cs="Times New Roman"/>
          <w:u w:val="single"/>
          <w:lang w:val="sr-Latn-ME"/>
        </w:rPr>
        <w:t>Oštećenje jetre</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Izloženost kodergokrin mezilatu može biti povećano kod pacijenata sa blagim do umjerenim oštećenjem jetre zbog smanjenja nivoa CYP3A4. Izloženost kodergokrin mezilatu je značajno veća kod pacijenata sa cirozom jetre. Zbog toga je neophodan oprez kod pacijenata sa oštećenjem jetre (vidjeti odjeljke 4.2 i 4.4).</w:t>
      </w:r>
    </w:p>
    <w:p w:rsidR="00523AD3" w:rsidRPr="00327D94" w:rsidRDefault="00523AD3">
      <w:pPr>
        <w:tabs>
          <w:tab w:val="left" w:pos="284"/>
        </w:tabs>
        <w:spacing w:after="0" w:line="240" w:lineRule="auto"/>
        <w:jc w:val="both"/>
        <w:rPr>
          <w:rFonts w:ascii="Times New Roman" w:eastAsia="Times New Roman" w:hAnsi="Times New Roman" w:cs="Times New Roman"/>
          <w:u w:val="single"/>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u w:val="single"/>
          <w:lang w:val="sr-Latn-ME"/>
        </w:rPr>
      </w:pPr>
      <w:r w:rsidRPr="00327D94">
        <w:rPr>
          <w:rFonts w:ascii="Times New Roman" w:eastAsia="Times New Roman" w:hAnsi="Times New Roman" w:cs="Times New Roman"/>
          <w:u w:val="single"/>
          <w:lang w:val="sr-Latn-ME"/>
        </w:rPr>
        <w:t>Pedijatrijska populacija</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Nema dostupnih farmakokinetskih podataka o kodergokrin mezilatu kod djece.</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u w:val="single"/>
          <w:lang w:val="sr-Latn-ME"/>
        </w:rPr>
      </w:pPr>
      <w:r w:rsidRPr="00327D94">
        <w:rPr>
          <w:rFonts w:ascii="Times New Roman" w:eastAsia="Times New Roman" w:hAnsi="Times New Roman" w:cs="Times New Roman"/>
          <w:u w:val="single"/>
          <w:lang w:val="sr-Latn-ME"/>
        </w:rPr>
        <w:t>Stariji pacijenti (65 godina i stariji)</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 xml:space="preserve">Kod starijih pacijenata koncentracije lijeka u plazmi su nešto veće nego kod mlađih ispitanika. Kod zdravih starijih ispitanika ukupni plazma klirens je smanjen za oko 30% u poređenju sa mlađim odraslim osobama a bioraspoloživost je 2,5 puta veća, što je vjerovatno posljedica smanjenog stepena ekskrecije. </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u w:val="single"/>
          <w:lang w:val="sr-Latn-ME"/>
        </w:rPr>
      </w:pPr>
      <w:r w:rsidRPr="00327D94">
        <w:rPr>
          <w:rFonts w:ascii="Times New Roman" w:eastAsia="Times New Roman" w:hAnsi="Times New Roman" w:cs="Times New Roman"/>
          <w:u w:val="single"/>
          <w:lang w:val="sr-Latn-ME"/>
        </w:rPr>
        <w:t>Renalna insuficijencija</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Kod pacijenata sa bubrežnom insuficijencijom rijetko je potrebno redukovati dozu lijeka, s obzirom da se male količine lijeka izlučuju putem bubrega.</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8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5.3. Pretklinički podaci o bezbjednosti</w:t>
      </w:r>
    </w:p>
    <w:p w:rsidR="001E6D1A" w:rsidRPr="00327D94" w:rsidRDefault="001E6D1A">
      <w:pPr>
        <w:tabs>
          <w:tab w:val="left" w:pos="284"/>
        </w:tabs>
        <w:spacing w:after="80" w:line="240" w:lineRule="auto"/>
        <w:jc w:val="both"/>
        <w:rPr>
          <w:rFonts w:ascii="Times New Roman" w:eastAsia="Times New Roman" w:hAnsi="Times New Roman" w:cs="Times New Roman"/>
          <w:bCs/>
          <w:lang w:val="sr-Latn-ME"/>
        </w:rPr>
      </w:pPr>
    </w:p>
    <w:p w:rsidR="005D2400" w:rsidRPr="00327D94" w:rsidRDefault="005D2400">
      <w:pPr>
        <w:tabs>
          <w:tab w:val="left" w:pos="284"/>
        </w:tabs>
        <w:spacing w:after="80" w:line="240" w:lineRule="auto"/>
        <w:jc w:val="both"/>
        <w:rPr>
          <w:rFonts w:ascii="Times New Roman" w:eastAsia="Times New Roman" w:hAnsi="Times New Roman" w:cs="Times New Roman"/>
          <w:bCs/>
          <w:lang w:val="sr-Latn-ME"/>
        </w:rPr>
      </w:pPr>
      <w:r w:rsidRPr="00327D94">
        <w:rPr>
          <w:rFonts w:ascii="Times New Roman" w:eastAsia="Times New Roman" w:hAnsi="Times New Roman" w:cs="Times New Roman"/>
          <w:bCs/>
          <w:i/>
          <w:lang w:val="sr-Latn-ME"/>
        </w:rPr>
        <w:t>In vitro</w:t>
      </w:r>
      <w:r w:rsidRPr="00327D94">
        <w:rPr>
          <w:rFonts w:ascii="Times New Roman" w:eastAsia="Times New Roman" w:hAnsi="Times New Roman" w:cs="Times New Roman"/>
          <w:bCs/>
          <w:lang w:val="sr-Latn-ME"/>
        </w:rPr>
        <w:t xml:space="preserve"> i </w:t>
      </w:r>
      <w:r w:rsidRPr="00327D94">
        <w:rPr>
          <w:rFonts w:ascii="Times New Roman" w:eastAsia="Times New Roman" w:hAnsi="Times New Roman" w:cs="Times New Roman"/>
          <w:bCs/>
          <w:i/>
          <w:lang w:val="sr-Latn-ME"/>
        </w:rPr>
        <w:t>in vivo</w:t>
      </w:r>
      <w:r w:rsidRPr="00327D94">
        <w:rPr>
          <w:rFonts w:ascii="Times New Roman" w:eastAsia="Times New Roman" w:hAnsi="Times New Roman" w:cs="Times New Roman"/>
          <w:bCs/>
          <w:lang w:val="sr-Latn-ME"/>
        </w:rPr>
        <w:t xml:space="preserve"> testovi mutagenosti uglavnom pokazuju negativan ili slab mutageni potencijal u ekstremno visokim dozama, mnogo većim od onih koje se koriste u terapijske svrhe.</w:t>
      </w:r>
    </w:p>
    <w:p w:rsidR="005D2400" w:rsidRPr="00327D94" w:rsidRDefault="005D2400">
      <w:pPr>
        <w:tabs>
          <w:tab w:val="left" w:pos="284"/>
        </w:tabs>
        <w:spacing w:after="8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Cs/>
          <w:lang w:val="sr-Latn-ME"/>
        </w:rPr>
        <w:t>Dugoročne studije kancerogenog potencijala (karcinogenost) za</w:t>
      </w:r>
      <w:r w:rsidRPr="00327D94">
        <w:rPr>
          <w:rFonts w:ascii="Times New Roman" w:eastAsia="Times New Roman" w:hAnsi="Times New Roman" w:cs="Times New Roman"/>
          <w:lang w:val="sr-Latn-ME"/>
        </w:rPr>
        <w:t xml:space="preserve"> </w:t>
      </w:r>
      <w:r w:rsidRPr="00327D94">
        <w:rPr>
          <w:rFonts w:ascii="Times New Roman" w:eastAsia="Times New Roman" w:hAnsi="Times New Roman" w:cs="Times New Roman"/>
          <w:bCs/>
          <w:lang w:val="sr-Latn-ME"/>
        </w:rPr>
        <w:t>kodergokrin mezilat nijesu dostupne</w:t>
      </w:r>
      <w:r w:rsidRPr="00327D94">
        <w:rPr>
          <w:rFonts w:ascii="Times New Roman" w:eastAsia="Times New Roman" w:hAnsi="Times New Roman" w:cs="Times New Roman"/>
          <w:b/>
          <w:bCs/>
          <w:lang w:val="sr-Latn-ME"/>
        </w:rPr>
        <w:t>.</w:t>
      </w:r>
    </w:p>
    <w:p w:rsidR="005D2400" w:rsidRPr="00327D94" w:rsidRDefault="005D2400">
      <w:pPr>
        <w:tabs>
          <w:tab w:val="center" w:pos="4536"/>
          <w:tab w:val="right" w:pos="9072"/>
        </w:tabs>
        <w:spacing w:after="80" w:line="240" w:lineRule="auto"/>
        <w:jc w:val="both"/>
        <w:rPr>
          <w:rFonts w:ascii="Times New Roman" w:eastAsia="Times New Roman" w:hAnsi="Times New Roman" w:cs="Times New Roman"/>
          <w:bCs/>
          <w:lang w:val="sr-Latn-ME"/>
        </w:rPr>
      </w:pPr>
      <w:r w:rsidRPr="00327D94">
        <w:rPr>
          <w:rFonts w:ascii="Times New Roman" w:eastAsia="Times New Roman" w:hAnsi="Times New Roman" w:cs="Times New Roman"/>
          <w:bCs/>
          <w:lang w:val="sr-Latn-ME"/>
        </w:rPr>
        <w:t>U studijama na životinjama, kodergokrin mezilat pokazuje anti-implantacioni efekat koji se zasniva na poremećaj</w:t>
      </w:r>
      <w:r w:rsidR="000007A1" w:rsidRPr="00327D94">
        <w:rPr>
          <w:rFonts w:ascii="Times New Roman" w:eastAsia="Times New Roman" w:hAnsi="Times New Roman" w:cs="Times New Roman"/>
          <w:bCs/>
          <w:lang w:val="sr-Latn-ME"/>
        </w:rPr>
        <w:t>u</w:t>
      </w:r>
      <w:r w:rsidRPr="00327D94">
        <w:rPr>
          <w:rFonts w:ascii="Times New Roman" w:eastAsia="Times New Roman" w:hAnsi="Times New Roman" w:cs="Times New Roman"/>
          <w:bCs/>
          <w:lang w:val="sr-Latn-ME"/>
        </w:rPr>
        <w:t xml:space="preserve"> sekrecije prolaktina neophodnog za normalnu funkciju žutog tijela. Oralna ED</w:t>
      </w:r>
      <w:r w:rsidRPr="00327D94">
        <w:rPr>
          <w:rFonts w:ascii="Times New Roman" w:eastAsia="Times New Roman" w:hAnsi="Times New Roman" w:cs="Times New Roman"/>
          <w:bCs/>
          <w:vertAlign w:val="subscript"/>
          <w:lang w:val="sr-Latn-ME"/>
        </w:rPr>
        <w:t>50</w:t>
      </w:r>
      <w:r w:rsidRPr="00327D94">
        <w:rPr>
          <w:rFonts w:ascii="Times New Roman" w:eastAsia="Times New Roman" w:hAnsi="Times New Roman" w:cs="Times New Roman"/>
          <w:bCs/>
          <w:lang w:val="sr-Latn-ME"/>
        </w:rPr>
        <w:t xml:space="preserve"> za ovaj efekat iznosi 30mg/kg. Kada se nakon implementacije održava neophodni nivo luteotropnog hormona placente, ne dolazi do prekida trudnoće. Doze od 10 do 35mg/kg i.v. dva puta nedjeljno tokom trudnoće kod pacova, nijesu imale efekte na trudnoću, porođaj i razvoj mladunaca.</w:t>
      </w:r>
    </w:p>
    <w:p w:rsidR="00427B45" w:rsidRPr="00327D94" w:rsidRDefault="00427B45">
      <w:pPr>
        <w:tabs>
          <w:tab w:val="left" w:pos="284"/>
        </w:tabs>
        <w:spacing w:after="80" w:line="240" w:lineRule="auto"/>
        <w:jc w:val="both"/>
        <w:rPr>
          <w:rFonts w:ascii="Times New Roman" w:eastAsia="Times New Roman" w:hAnsi="Times New Roman" w:cs="Times New Roman"/>
          <w:bCs/>
          <w:lang w:val="sr-Latn-ME"/>
        </w:rPr>
      </w:pPr>
    </w:p>
    <w:p w:rsidR="00427B45" w:rsidRPr="00327D94" w:rsidRDefault="00427B45">
      <w:pPr>
        <w:tabs>
          <w:tab w:val="left" w:pos="284"/>
        </w:tabs>
        <w:spacing w:after="80" w:line="240" w:lineRule="auto"/>
        <w:jc w:val="both"/>
        <w:rPr>
          <w:rFonts w:ascii="Times New Roman" w:eastAsia="Times New Roman" w:hAnsi="Times New Roman" w:cs="Times New Roman"/>
          <w:bCs/>
          <w:lang w:val="sr-Latn-ME"/>
        </w:rPr>
      </w:pPr>
    </w:p>
    <w:p w:rsidR="005D2400" w:rsidRPr="00327D94" w:rsidRDefault="005D2400">
      <w:pPr>
        <w:tabs>
          <w:tab w:val="left" w:pos="284"/>
        </w:tabs>
        <w:spacing w:after="80" w:line="240" w:lineRule="auto"/>
        <w:jc w:val="both"/>
        <w:rPr>
          <w:rFonts w:ascii="Times New Roman" w:eastAsia="Times New Roman" w:hAnsi="Times New Roman" w:cs="Times New Roman"/>
          <w:bCs/>
          <w:lang w:val="sr-Latn-ME"/>
        </w:rPr>
      </w:pPr>
      <w:r w:rsidRPr="00327D94">
        <w:rPr>
          <w:rFonts w:ascii="Times New Roman" w:eastAsia="Times New Roman" w:hAnsi="Times New Roman" w:cs="Times New Roman"/>
          <w:bCs/>
          <w:lang w:val="sr-Latn-ME"/>
        </w:rPr>
        <w:t>Nakon supkutane primjene kodergokrin mezilata kod roditelja od 4. do 8. dana nakon porođaja došlo je do smanjenja nivoa prolaktina i laktacije. Kod miševa jedna doza od 250mg/kg i.p. nije imala nikakav efekat na plodnost, a odgovarajuća ispitivanja sa produženom primjenom lijeka nijesu sprovedena.</w:t>
      </w:r>
    </w:p>
    <w:p w:rsidR="00427B45" w:rsidRPr="00327D94" w:rsidRDefault="00427B45">
      <w:pPr>
        <w:tabs>
          <w:tab w:val="left" w:pos="284"/>
        </w:tabs>
        <w:spacing w:after="80" w:line="240" w:lineRule="auto"/>
        <w:jc w:val="both"/>
        <w:rPr>
          <w:rFonts w:ascii="Times New Roman" w:eastAsia="Times New Roman" w:hAnsi="Times New Roman" w:cs="Times New Roman"/>
          <w:b/>
          <w:bCs/>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6. FARMACEUTSKI PODACI</w:t>
      </w:r>
    </w:p>
    <w:p w:rsidR="00523AD3" w:rsidRPr="00327D94" w:rsidRDefault="00523AD3">
      <w:pPr>
        <w:tabs>
          <w:tab w:val="left" w:pos="284"/>
        </w:tabs>
        <w:spacing w:after="0" w:line="240" w:lineRule="auto"/>
        <w:jc w:val="both"/>
        <w:rPr>
          <w:rFonts w:ascii="Times New Roman" w:eastAsia="Times New Roman" w:hAnsi="Times New Roman" w:cs="Times New Roman"/>
          <w:b/>
          <w:bCs/>
          <w:lang w:val="sr-Latn-ME"/>
        </w:rPr>
      </w:pPr>
    </w:p>
    <w:p w:rsidR="005D2400" w:rsidRPr="00327D94" w:rsidRDefault="005D2400">
      <w:pPr>
        <w:tabs>
          <w:tab w:val="left" w:pos="284"/>
        </w:tabs>
        <w:spacing w:after="8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6.1. Lista pomoćnih supstanci</w:t>
      </w:r>
    </w:p>
    <w:p w:rsidR="00B16C9B" w:rsidRPr="00327D94" w:rsidRDefault="00B16C9B">
      <w:pPr>
        <w:tabs>
          <w:tab w:val="left" w:pos="284"/>
        </w:tabs>
        <w:spacing w:after="80" w:line="240" w:lineRule="auto"/>
        <w:jc w:val="both"/>
        <w:rPr>
          <w:rFonts w:ascii="Times New Roman" w:eastAsia="Times New Roman" w:hAnsi="Times New Roman" w:cs="Times New Roman"/>
          <w:b/>
          <w:bCs/>
          <w:lang w:val="sr-Latn-ME"/>
        </w:rPr>
      </w:pPr>
    </w:p>
    <w:p w:rsidR="005D2400" w:rsidRPr="00327D94" w:rsidRDefault="00027410">
      <w:pPr>
        <w:tabs>
          <w:tab w:val="left" w:pos="284"/>
        </w:tabs>
        <w:spacing w:after="0" w:line="240" w:lineRule="auto"/>
        <w:jc w:val="both"/>
        <w:rPr>
          <w:rFonts w:ascii="Times New Roman" w:eastAsia="Times New Roman" w:hAnsi="Times New Roman" w:cs="Times New Roman"/>
          <w:i/>
          <w:lang w:val="sr-Latn-ME"/>
        </w:rPr>
      </w:pPr>
      <w:r w:rsidRPr="00327D94">
        <w:rPr>
          <w:rFonts w:ascii="Times New Roman" w:eastAsia="Times New Roman" w:hAnsi="Times New Roman" w:cs="Times New Roman"/>
          <w:i/>
          <w:lang w:val="sr-Latn-ME"/>
        </w:rPr>
        <w:t>Redizork</w:t>
      </w:r>
      <w:r w:rsidR="005D2400" w:rsidRPr="00327D94">
        <w:rPr>
          <w:rFonts w:ascii="Times New Roman" w:eastAsia="Times New Roman" w:hAnsi="Times New Roman" w:cs="Times New Roman"/>
          <w:i/>
          <w:lang w:val="sr-Latn-ME"/>
        </w:rPr>
        <w:t xml:space="preserve"> 1,5 mg tablete</w:t>
      </w:r>
    </w:p>
    <w:p w:rsidR="001E6D1A" w:rsidRPr="00327D94" w:rsidRDefault="001E6D1A">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Pomoćne supstance:</w:t>
      </w:r>
    </w:p>
    <w:p w:rsidR="001E6D1A" w:rsidRPr="00327D94" w:rsidRDefault="001E6D1A">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laktoza, monohidrat;</w:t>
      </w:r>
    </w:p>
    <w:p w:rsidR="001E6D1A" w:rsidRPr="00327D94" w:rsidRDefault="001E6D1A">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skrob, kukuruzni;</w:t>
      </w:r>
    </w:p>
    <w:p w:rsidR="001E6D1A" w:rsidRPr="00327D94" w:rsidRDefault="001E6D1A">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talk;</w:t>
      </w:r>
    </w:p>
    <w:p w:rsidR="001E6D1A" w:rsidRPr="00327D94" w:rsidRDefault="001E6D1A">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povidon (K30);</w:t>
      </w:r>
    </w:p>
    <w:p w:rsidR="005D2400" w:rsidRPr="00327D94" w:rsidRDefault="001E6D1A">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magnezijum stearat.</w:t>
      </w:r>
    </w:p>
    <w:p w:rsidR="001E6D1A" w:rsidRPr="00327D94" w:rsidRDefault="001E6D1A">
      <w:pPr>
        <w:tabs>
          <w:tab w:val="left" w:pos="284"/>
        </w:tabs>
        <w:spacing w:after="0" w:line="240" w:lineRule="auto"/>
        <w:jc w:val="both"/>
        <w:rPr>
          <w:rFonts w:ascii="Times New Roman" w:eastAsia="Times New Roman" w:hAnsi="Times New Roman" w:cs="Times New Roman"/>
          <w:lang w:val="sr-Latn-ME"/>
        </w:rPr>
      </w:pPr>
    </w:p>
    <w:p w:rsidR="005D2400" w:rsidRPr="00327D94" w:rsidRDefault="00027410">
      <w:pPr>
        <w:tabs>
          <w:tab w:val="left" w:pos="284"/>
        </w:tabs>
        <w:spacing w:after="0" w:line="240" w:lineRule="auto"/>
        <w:jc w:val="both"/>
        <w:rPr>
          <w:rFonts w:ascii="Times New Roman" w:eastAsia="Times New Roman" w:hAnsi="Times New Roman" w:cs="Times New Roman"/>
          <w:i/>
          <w:lang w:val="sr-Latn-ME"/>
        </w:rPr>
      </w:pPr>
      <w:r w:rsidRPr="00327D94">
        <w:rPr>
          <w:rFonts w:ascii="Times New Roman" w:eastAsia="Times New Roman" w:hAnsi="Times New Roman" w:cs="Times New Roman"/>
          <w:i/>
          <w:lang w:val="sr-Latn-ME"/>
        </w:rPr>
        <w:t>Redizork</w:t>
      </w:r>
      <w:r w:rsidR="005D2400" w:rsidRPr="00327D94">
        <w:rPr>
          <w:rFonts w:ascii="Times New Roman" w:eastAsia="Times New Roman" w:hAnsi="Times New Roman" w:cs="Times New Roman"/>
          <w:i/>
          <w:lang w:val="sr-Latn-ME"/>
        </w:rPr>
        <w:t xml:space="preserve"> 4,5 mg tablete</w:t>
      </w:r>
    </w:p>
    <w:p w:rsidR="001E6D1A" w:rsidRPr="00327D94" w:rsidRDefault="001E6D1A">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Pomoćne supstance:</w:t>
      </w:r>
    </w:p>
    <w:p w:rsidR="001E6D1A" w:rsidRPr="00327D94" w:rsidRDefault="001E6D1A">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laktoza, monohidrat;</w:t>
      </w:r>
    </w:p>
    <w:p w:rsidR="001E6D1A" w:rsidRPr="00327D94" w:rsidRDefault="001E6D1A">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skrob, kukuruzni;</w:t>
      </w:r>
    </w:p>
    <w:p w:rsidR="001E6D1A" w:rsidRPr="00327D94" w:rsidRDefault="001E6D1A">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talk;</w:t>
      </w:r>
    </w:p>
    <w:p w:rsidR="001E6D1A" w:rsidRPr="00327D94" w:rsidRDefault="001E6D1A">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povidon (K30);</w:t>
      </w:r>
    </w:p>
    <w:p w:rsidR="001E6D1A" w:rsidRPr="00327D94" w:rsidRDefault="001E6D1A">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magnezijum stearat;</w:t>
      </w:r>
    </w:p>
    <w:p w:rsidR="001E6D1A" w:rsidRPr="00327D94" w:rsidRDefault="001E6D1A">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boja Cochineal red E124</w:t>
      </w:r>
    </w:p>
    <w:p w:rsidR="001E6D1A" w:rsidRPr="00327D94" w:rsidRDefault="001E6D1A">
      <w:pPr>
        <w:tabs>
          <w:tab w:val="left" w:pos="284"/>
        </w:tabs>
        <w:spacing w:after="0" w:line="240" w:lineRule="auto"/>
        <w:jc w:val="both"/>
        <w:rPr>
          <w:rFonts w:ascii="Times New Roman" w:eastAsia="Times New Roman" w:hAnsi="Times New Roman" w:cs="Times New Roman"/>
          <w:lang w:val="sr-Latn-ME"/>
        </w:rPr>
      </w:pPr>
    </w:p>
    <w:p w:rsidR="001E6D1A" w:rsidRPr="00327D94" w:rsidRDefault="005D2400">
      <w:pPr>
        <w:tabs>
          <w:tab w:val="left" w:pos="284"/>
        </w:tabs>
        <w:spacing w:after="8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6.2. Inkompatibilnosti</w:t>
      </w:r>
    </w:p>
    <w:p w:rsidR="001E6D1A" w:rsidRPr="00327D94" w:rsidRDefault="001E6D1A">
      <w:pPr>
        <w:tabs>
          <w:tab w:val="left" w:pos="284"/>
        </w:tabs>
        <w:spacing w:after="80" w:line="240" w:lineRule="auto"/>
        <w:jc w:val="both"/>
        <w:rPr>
          <w:rFonts w:ascii="Times New Roman" w:eastAsia="Times New Roman" w:hAnsi="Times New Roman" w:cs="Times New Roman"/>
          <w:bCs/>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Nije primjenljivo.</w:t>
      </w:r>
    </w:p>
    <w:p w:rsidR="001E6D1A" w:rsidRPr="00327D94" w:rsidRDefault="001E6D1A">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6.3. Rok upotrebe</w:t>
      </w:r>
    </w:p>
    <w:p w:rsidR="001E6D1A" w:rsidRPr="00327D94" w:rsidRDefault="001E6D1A">
      <w:pPr>
        <w:tabs>
          <w:tab w:val="left" w:pos="284"/>
        </w:tabs>
        <w:spacing w:after="80" w:line="240" w:lineRule="auto"/>
        <w:jc w:val="both"/>
        <w:rPr>
          <w:rFonts w:ascii="Times New Roman" w:eastAsia="Times New Roman" w:hAnsi="Times New Roman" w:cs="Times New Roman"/>
          <w:b/>
          <w:bCs/>
          <w:lang w:val="sr-Latn-ME"/>
        </w:rPr>
      </w:pPr>
    </w:p>
    <w:p w:rsidR="00C35C1B" w:rsidRPr="00327D94" w:rsidRDefault="001E6D1A">
      <w:pPr>
        <w:tabs>
          <w:tab w:val="left" w:pos="284"/>
        </w:tabs>
        <w:spacing w:after="0" w:line="240" w:lineRule="auto"/>
        <w:jc w:val="both"/>
        <w:rPr>
          <w:rFonts w:ascii="Times New Roman" w:hAnsi="Times New Roman" w:cs="Times New Roman"/>
          <w:lang w:val="sr-Latn-ME"/>
        </w:rPr>
      </w:pPr>
      <w:r w:rsidRPr="00327D94">
        <w:rPr>
          <w:rFonts w:ascii="Times New Roman" w:eastAsia="Times New Roman" w:hAnsi="Times New Roman" w:cs="Times New Roman"/>
          <w:lang w:val="sr-Latn-ME"/>
        </w:rPr>
        <w:t>4</w:t>
      </w:r>
      <w:r w:rsidR="005D2400" w:rsidRPr="00327D94">
        <w:rPr>
          <w:rFonts w:ascii="Times New Roman" w:eastAsia="Times New Roman" w:hAnsi="Times New Roman" w:cs="Times New Roman"/>
          <w:lang w:val="sr-Latn-ME"/>
        </w:rPr>
        <w:t xml:space="preserve"> godine.</w:t>
      </w:r>
      <w:r w:rsidRPr="00327D94">
        <w:rPr>
          <w:rFonts w:ascii="Times New Roman" w:hAnsi="Times New Roman" w:cs="Times New Roman"/>
          <w:lang w:val="sr-Latn-ME"/>
        </w:rPr>
        <w:t xml:space="preserve"> </w:t>
      </w:r>
    </w:p>
    <w:p w:rsidR="005D2400" w:rsidRPr="00327D94" w:rsidRDefault="001E6D1A">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Lijek ne treba primjenjivati posle datuma označenog na pakovanju</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8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6.4. Posebne mjere upozorenja pri čuvanju lijeka</w:t>
      </w:r>
    </w:p>
    <w:p w:rsidR="001E6D1A" w:rsidRPr="00327D94" w:rsidRDefault="001E6D1A">
      <w:pPr>
        <w:tabs>
          <w:tab w:val="left" w:pos="284"/>
        </w:tabs>
        <w:spacing w:after="80" w:line="240" w:lineRule="auto"/>
        <w:jc w:val="both"/>
        <w:rPr>
          <w:rFonts w:ascii="Times New Roman" w:eastAsia="Times New Roman" w:hAnsi="Times New Roman" w:cs="Times New Roman"/>
          <w:b/>
          <w:bCs/>
          <w:lang w:val="sr-Latn-ME"/>
        </w:rPr>
      </w:pPr>
    </w:p>
    <w:p w:rsidR="001E6D1A" w:rsidRPr="00327D94" w:rsidRDefault="001E6D1A">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Čuvati na temperaturi do 25°C, u originalnom pakovanju radi zaštite od svjetlosti.</w:t>
      </w:r>
    </w:p>
    <w:p w:rsidR="001E6D1A" w:rsidRPr="00327D94" w:rsidRDefault="001E6D1A">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Čuvati van domašaja djece.</w:t>
      </w:r>
    </w:p>
    <w:p w:rsidR="001E6D1A" w:rsidRPr="00327D94" w:rsidRDefault="001E6D1A">
      <w:pPr>
        <w:tabs>
          <w:tab w:val="left" w:pos="284"/>
        </w:tabs>
        <w:spacing w:after="80" w:line="240" w:lineRule="auto"/>
        <w:jc w:val="both"/>
        <w:rPr>
          <w:rFonts w:ascii="Times New Roman" w:eastAsia="Times New Roman" w:hAnsi="Times New Roman" w:cs="Times New Roman"/>
          <w:lang w:val="sr-Latn-ME"/>
        </w:rPr>
      </w:pPr>
    </w:p>
    <w:p w:rsidR="00427B45" w:rsidRPr="00327D94" w:rsidRDefault="00427B45">
      <w:pPr>
        <w:tabs>
          <w:tab w:val="left" w:pos="284"/>
          <w:tab w:val="left" w:pos="3224"/>
        </w:tabs>
        <w:spacing w:after="80" w:line="240" w:lineRule="auto"/>
        <w:jc w:val="both"/>
        <w:rPr>
          <w:rFonts w:ascii="Times New Roman" w:eastAsia="Times New Roman" w:hAnsi="Times New Roman" w:cs="Times New Roman"/>
          <w:b/>
          <w:bCs/>
          <w:lang w:val="sr-Latn-ME"/>
        </w:rPr>
      </w:pPr>
    </w:p>
    <w:p w:rsidR="00427B45" w:rsidRPr="00327D94" w:rsidRDefault="00427B45">
      <w:pPr>
        <w:tabs>
          <w:tab w:val="left" w:pos="284"/>
          <w:tab w:val="left" w:pos="3224"/>
        </w:tabs>
        <w:spacing w:after="80" w:line="240" w:lineRule="auto"/>
        <w:jc w:val="both"/>
        <w:rPr>
          <w:rFonts w:ascii="Times New Roman" w:eastAsia="Times New Roman" w:hAnsi="Times New Roman" w:cs="Times New Roman"/>
          <w:b/>
          <w:bCs/>
          <w:lang w:val="sr-Latn-ME"/>
        </w:rPr>
      </w:pPr>
    </w:p>
    <w:p w:rsidR="00427B45" w:rsidRPr="00327D94" w:rsidRDefault="00427B45">
      <w:pPr>
        <w:tabs>
          <w:tab w:val="left" w:pos="284"/>
          <w:tab w:val="left" w:pos="3224"/>
        </w:tabs>
        <w:spacing w:after="80" w:line="240" w:lineRule="auto"/>
        <w:jc w:val="both"/>
        <w:rPr>
          <w:rFonts w:ascii="Times New Roman" w:eastAsia="Times New Roman" w:hAnsi="Times New Roman" w:cs="Times New Roman"/>
          <w:b/>
          <w:bCs/>
          <w:lang w:val="sr-Latn-ME"/>
        </w:rPr>
      </w:pPr>
    </w:p>
    <w:p w:rsidR="005D2400" w:rsidRPr="00327D94" w:rsidRDefault="005D2400">
      <w:pPr>
        <w:tabs>
          <w:tab w:val="left" w:pos="284"/>
          <w:tab w:val="left" w:pos="3224"/>
        </w:tabs>
        <w:spacing w:after="8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lastRenderedPageBreak/>
        <w:t>6.5. Vrsta i sadržaj pakovanja</w:t>
      </w:r>
      <w:r w:rsidR="001E6D1A" w:rsidRPr="00327D94">
        <w:rPr>
          <w:rFonts w:ascii="Times New Roman" w:eastAsia="Times New Roman" w:hAnsi="Times New Roman" w:cs="Times New Roman"/>
          <w:b/>
          <w:bCs/>
          <w:lang w:val="sr-Latn-ME"/>
        </w:rPr>
        <w:tab/>
      </w:r>
    </w:p>
    <w:p w:rsidR="00B16C9B" w:rsidRPr="00327D94" w:rsidRDefault="00B16C9B">
      <w:pPr>
        <w:tabs>
          <w:tab w:val="left" w:pos="284"/>
          <w:tab w:val="left" w:pos="3224"/>
        </w:tabs>
        <w:spacing w:after="80" w:line="240" w:lineRule="auto"/>
        <w:jc w:val="both"/>
        <w:rPr>
          <w:rFonts w:ascii="Times New Roman" w:eastAsia="Times New Roman" w:hAnsi="Times New Roman" w:cs="Times New Roman"/>
          <w:b/>
          <w:bCs/>
          <w:lang w:val="sr-Latn-ME"/>
        </w:rPr>
      </w:pPr>
    </w:p>
    <w:p w:rsidR="001E6D1A" w:rsidRPr="00327D94" w:rsidRDefault="00872E55">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A</w:t>
      </w:r>
      <w:r w:rsidR="001E6D1A" w:rsidRPr="00327D94">
        <w:rPr>
          <w:rFonts w:ascii="Times New Roman" w:eastAsia="Times New Roman" w:hAnsi="Times New Roman" w:cs="Times New Roman"/>
          <w:lang w:val="sr-Latn-ME"/>
        </w:rPr>
        <w:t>luminijum/PVC blister</w:t>
      </w:r>
    </w:p>
    <w:p w:rsidR="00926D16" w:rsidRPr="00327D94" w:rsidRDefault="001E6D1A">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Kutija sa 20 tableta (blister, 2 x 10 tableta).</w:t>
      </w:r>
    </w:p>
    <w:p w:rsidR="00EC7011" w:rsidRPr="00327D94" w:rsidRDefault="00EC7011">
      <w:pPr>
        <w:tabs>
          <w:tab w:val="left" w:pos="284"/>
        </w:tabs>
        <w:spacing w:after="80" w:line="240" w:lineRule="auto"/>
        <w:jc w:val="both"/>
        <w:rPr>
          <w:rFonts w:ascii="Times New Roman" w:eastAsia="Times New Roman" w:hAnsi="Times New Roman" w:cs="Times New Roman"/>
          <w:b/>
          <w:bCs/>
          <w:lang w:val="sr-Latn-ME"/>
        </w:rPr>
      </w:pPr>
    </w:p>
    <w:p w:rsidR="001E6D1A" w:rsidRPr="00327D94" w:rsidRDefault="005D2400">
      <w:pPr>
        <w:tabs>
          <w:tab w:val="left" w:pos="284"/>
        </w:tabs>
        <w:spacing w:after="8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 xml:space="preserve">6.6. Posebne mjere opreza pri odlaganju materijala koji treba odbaciti nakon primjene lijeka </w:t>
      </w:r>
    </w:p>
    <w:p w:rsidR="00EC7011" w:rsidRPr="00327D94" w:rsidRDefault="00EC7011">
      <w:pPr>
        <w:tabs>
          <w:tab w:val="left" w:pos="284"/>
        </w:tabs>
        <w:spacing w:after="0" w:line="240" w:lineRule="auto"/>
        <w:jc w:val="both"/>
        <w:rPr>
          <w:rFonts w:ascii="Times New Roman" w:eastAsia="Times New Roman" w:hAnsi="Times New Roman" w:cs="Times New Roman"/>
          <w:lang w:val="sr-Latn-ME"/>
        </w:rPr>
      </w:pPr>
    </w:p>
    <w:p w:rsidR="005D2400" w:rsidRPr="00327D94" w:rsidRDefault="001E6D1A">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Neupotr</w:t>
      </w:r>
      <w:r w:rsidR="0055472A" w:rsidRPr="00327D94">
        <w:rPr>
          <w:rFonts w:ascii="Times New Roman" w:eastAsia="Times New Roman" w:hAnsi="Times New Roman" w:cs="Times New Roman"/>
          <w:lang w:val="sr-Latn-ME"/>
        </w:rPr>
        <w:t>ij</w:t>
      </w:r>
      <w:r w:rsidRPr="00327D94">
        <w:rPr>
          <w:rFonts w:ascii="Times New Roman" w:eastAsia="Times New Roman" w:hAnsi="Times New Roman" w:cs="Times New Roman"/>
          <w:lang w:val="sr-Latn-ME"/>
        </w:rPr>
        <w:t>ebljeni l</w:t>
      </w:r>
      <w:r w:rsidR="000A3E21" w:rsidRPr="00327D94">
        <w:rPr>
          <w:rFonts w:ascii="Times New Roman" w:eastAsia="Times New Roman" w:hAnsi="Times New Roman" w:cs="Times New Roman"/>
          <w:lang w:val="sr-Latn-ME"/>
        </w:rPr>
        <w:t>ij</w:t>
      </w:r>
      <w:r w:rsidRPr="00327D94">
        <w:rPr>
          <w:rFonts w:ascii="Times New Roman" w:eastAsia="Times New Roman" w:hAnsi="Times New Roman" w:cs="Times New Roman"/>
          <w:lang w:val="sr-Latn-ME"/>
        </w:rPr>
        <w:t>ek se uništava prema važećim propisima.</w:t>
      </w:r>
    </w:p>
    <w:p w:rsidR="001E6D1A" w:rsidRPr="00327D94" w:rsidRDefault="001E6D1A">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b/>
          <w:lang w:val="sr-Latn-ME"/>
        </w:rPr>
      </w:pPr>
      <w:r w:rsidRPr="00327D94">
        <w:rPr>
          <w:rFonts w:ascii="Times New Roman" w:eastAsia="Times New Roman" w:hAnsi="Times New Roman" w:cs="Times New Roman"/>
          <w:b/>
          <w:lang w:val="sr-Latn-ME"/>
        </w:rPr>
        <w:t>6.7. Režim izdavanja</w:t>
      </w:r>
      <w:r w:rsidR="00C35C1B" w:rsidRPr="00327D94">
        <w:rPr>
          <w:rFonts w:ascii="Times New Roman" w:eastAsia="Times New Roman" w:hAnsi="Times New Roman" w:cs="Times New Roman"/>
          <w:b/>
          <w:lang w:val="sr-Latn-ME"/>
        </w:rPr>
        <w:t xml:space="preserve"> lijeka</w:t>
      </w:r>
    </w:p>
    <w:p w:rsidR="001E6D1A" w:rsidRPr="00327D94" w:rsidRDefault="001E6D1A">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r w:rsidRPr="00327D94">
        <w:rPr>
          <w:rFonts w:ascii="Times New Roman" w:eastAsia="Times New Roman" w:hAnsi="Times New Roman" w:cs="Times New Roman"/>
          <w:lang w:val="sr-Latn-ME"/>
        </w:rPr>
        <w:t>Lijek se može izdavati samo na ljekarski recept</w:t>
      </w:r>
      <w:r w:rsidR="00CE511B" w:rsidRPr="00327D94">
        <w:rPr>
          <w:rFonts w:ascii="Times New Roman" w:eastAsia="Times New Roman" w:hAnsi="Times New Roman" w:cs="Times New Roman"/>
          <w:lang w:val="sr-Latn-ME"/>
        </w:rPr>
        <w:t>.</w:t>
      </w:r>
    </w:p>
    <w:p w:rsidR="001E6D1A" w:rsidRPr="00327D94" w:rsidRDefault="001E6D1A">
      <w:pPr>
        <w:tabs>
          <w:tab w:val="left" w:pos="284"/>
        </w:tabs>
        <w:spacing w:after="0" w:line="240" w:lineRule="auto"/>
        <w:jc w:val="both"/>
        <w:rPr>
          <w:rFonts w:ascii="Times New Roman" w:eastAsia="Times New Roman" w:hAnsi="Times New Roman" w:cs="Times New Roman"/>
          <w:lang w:val="sr-Latn-ME"/>
        </w:rPr>
      </w:pPr>
    </w:p>
    <w:p w:rsidR="00B16C9B" w:rsidRPr="00327D94" w:rsidRDefault="00B16C9B">
      <w:pPr>
        <w:tabs>
          <w:tab w:val="left" w:pos="284"/>
        </w:tabs>
        <w:spacing w:after="0" w:line="240" w:lineRule="auto"/>
        <w:jc w:val="both"/>
        <w:rPr>
          <w:rFonts w:ascii="Times New Roman" w:eastAsia="Times New Roman" w:hAnsi="Times New Roman" w:cs="Times New Roman"/>
          <w:lang w:val="sr-Latn-ME"/>
        </w:rPr>
      </w:pPr>
    </w:p>
    <w:p w:rsidR="00A8337C" w:rsidRPr="00327D94" w:rsidRDefault="005D2400">
      <w:pPr>
        <w:tabs>
          <w:tab w:val="left" w:pos="284"/>
        </w:tabs>
        <w:spacing w:after="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7. NOSILAC DOZVOLE</w:t>
      </w:r>
    </w:p>
    <w:p w:rsidR="005D2400" w:rsidRPr="00327D94" w:rsidRDefault="005D2400">
      <w:pPr>
        <w:tabs>
          <w:tab w:val="left" w:pos="284"/>
        </w:tabs>
        <w:spacing w:after="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 xml:space="preserve"> </w:t>
      </w:r>
    </w:p>
    <w:p w:rsidR="005D2400" w:rsidRPr="00327D94" w:rsidRDefault="001E6D1A">
      <w:pPr>
        <w:tabs>
          <w:tab w:val="left" w:pos="284"/>
        </w:tabs>
        <w:spacing w:after="0" w:line="240" w:lineRule="auto"/>
        <w:jc w:val="both"/>
        <w:rPr>
          <w:rFonts w:ascii="Times New Roman" w:eastAsia="Times New Roman" w:hAnsi="Times New Roman" w:cs="Times New Roman"/>
          <w:bCs/>
          <w:lang w:val="sr-Latn-ME"/>
        </w:rPr>
      </w:pPr>
      <w:r w:rsidRPr="00327D94">
        <w:rPr>
          <w:rFonts w:ascii="Times New Roman" w:eastAsia="Times New Roman" w:hAnsi="Times New Roman" w:cs="Times New Roman"/>
          <w:bCs/>
          <w:lang w:val="sr-Latn-ME"/>
        </w:rPr>
        <w:t>Hemofarm A</w:t>
      </w:r>
      <w:r w:rsidR="00823895" w:rsidRPr="00327D94">
        <w:rPr>
          <w:rFonts w:ascii="Times New Roman" w:eastAsia="Times New Roman" w:hAnsi="Times New Roman" w:cs="Times New Roman"/>
          <w:bCs/>
          <w:lang w:val="sr-Latn-ME"/>
        </w:rPr>
        <w:t>.</w:t>
      </w:r>
      <w:r w:rsidRPr="00327D94">
        <w:rPr>
          <w:rFonts w:ascii="Times New Roman" w:eastAsia="Times New Roman" w:hAnsi="Times New Roman" w:cs="Times New Roman"/>
          <w:bCs/>
          <w:lang w:val="sr-Latn-ME"/>
        </w:rPr>
        <w:t>D</w:t>
      </w:r>
      <w:r w:rsidR="00823895" w:rsidRPr="00327D94">
        <w:rPr>
          <w:rFonts w:ascii="Times New Roman" w:eastAsia="Times New Roman" w:hAnsi="Times New Roman" w:cs="Times New Roman"/>
          <w:bCs/>
          <w:lang w:val="sr-Latn-ME"/>
        </w:rPr>
        <w:t>.</w:t>
      </w:r>
      <w:r w:rsidRPr="00327D94">
        <w:rPr>
          <w:rFonts w:ascii="Times New Roman" w:eastAsia="Times New Roman" w:hAnsi="Times New Roman" w:cs="Times New Roman"/>
          <w:bCs/>
          <w:lang w:val="sr-Latn-ME"/>
        </w:rPr>
        <w:t xml:space="preserve"> Vršac Poslovna jedinica Podgorica</w:t>
      </w:r>
    </w:p>
    <w:p w:rsidR="001E6D1A" w:rsidRPr="00327D94" w:rsidRDefault="001E6D1A">
      <w:pPr>
        <w:tabs>
          <w:tab w:val="left" w:pos="284"/>
        </w:tabs>
        <w:spacing w:after="0" w:line="240" w:lineRule="auto"/>
        <w:jc w:val="both"/>
        <w:rPr>
          <w:rFonts w:ascii="Times New Roman" w:eastAsia="Times New Roman" w:hAnsi="Times New Roman" w:cs="Times New Roman"/>
          <w:bCs/>
          <w:lang w:val="sr-Latn-ME"/>
        </w:rPr>
      </w:pPr>
      <w:r w:rsidRPr="00327D94">
        <w:rPr>
          <w:rFonts w:ascii="Times New Roman" w:eastAsia="Times New Roman" w:hAnsi="Times New Roman" w:cs="Times New Roman"/>
          <w:bCs/>
          <w:lang w:val="sr-Latn-ME"/>
        </w:rPr>
        <w:t>8 marrta 55A, Podgorica, Crna Gora</w:t>
      </w:r>
    </w:p>
    <w:p w:rsidR="00A8337C" w:rsidRPr="00327D94" w:rsidRDefault="00A8337C">
      <w:pPr>
        <w:tabs>
          <w:tab w:val="left" w:pos="284"/>
        </w:tabs>
        <w:spacing w:after="0" w:line="240" w:lineRule="auto"/>
        <w:jc w:val="both"/>
        <w:rPr>
          <w:rFonts w:ascii="Times New Roman" w:eastAsia="Times New Roman" w:hAnsi="Times New Roman" w:cs="Times New Roman"/>
          <w:lang w:val="sr-Latn-ME"/>
        </w:rPr>
      </w:pPr>
    </w:p>
    <w:p w:rsidR="00EC7011" w:rsidRPr="00327D94" w:rsidRDefault="00EC7011">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8. BROJ PRVE DOZVOLE / OBNOVE DOZVOLE</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3B37D6" w:rsidRDefault="00872E55" w:rsidP="00872E55">
      <w:pPr>
        <w:tabs>
          <w:tab w:val="left" w:pos="284"/>
        </w:tabs>
        <w:spacing w:after="0" w:line="240" w:lineRule="auto"/>
        <w:jc w:val="both"/>
        <w:rPr>
          <w:rFonts w:ascii="Times New Roman" w:eastAsia="Times New Roman" w:hAnsi="Times New Roman" w:cs="Times New Roman"/>
          <w:bCs/>
          <w:lang w:val="sr-Latn-ME"/>
        </w:rPr>
      </w:pPr>
      <w:r w:rsidRPr="00872E55">
        <w:rPr>
          <w:rFonts w:ascii="Times New Roman" w:eastAsia="Times New Roman" w:hAnsi="Times New Roman" w:cs="Times New Roman"/>
          <w:bCs/>
          <w:lang w:val="sr-Latn-ME"/>
        </w:rPr>
        <w:t>Redizork, tableta</w:t>
      </w:r>
      <w:r w:rsidR="00C22A2D">
        <w:rPr>
          <w:rFonts w:ascii="Times New Roman" w:eastAsia="Times New Roman" w:hAnsi="Times New Roman" w:cs="Times New Roman"/>
          <w:bCs/>
          <w:lang w:val="sr-Latn-ME"/>
        </w:rPr>
        <w:t>,</w:t>
      </w:r>
      <w:r w:rsidRPr="00872E55">
        <w:rPr>
          <w:rFonts w:ascii="Times New Roman" w:eastAsia="Times New Roman" w:hAnsi="Times New Roman" w:cs="Times New Roman"/>
          <w:bCs/>
          <w:lang w:val="sr-Latn-ME"/>
        </w:rPr>
        <w:t xml:space="preserve"> 1,5 mg</w:t>
      </w:r>
      <w:r>
        <w:rPr>
          <w:rFonts w:ascii="Times New Roman" w:eastAsia="Times New Roman" w:hAnsi="Times New Roman" w:cs="Times New Roman"/>
          <w:bCs/>
          <w:lang w:val="sr-Latn-ME"/>
        </w:rPr>
        <w:t xml:space="preserve">, </w:t>
      </w:r>
      <w:r w:rsidRPr="00872E55">
        <w:rPr>
          <w:rFonts w:ascii="Times New Roman" w:eastAsia="Times New Roman" w:hAnsi="Times New Roman" w:cs="Times New Roman"/>
          <w:bCs/>
          <w:lang w:val="sr-Latn-ME"/>
        </w:rPr>
        <w:t>blister, 2</w:t>
      </w:r>
      <w:r>
        <w:rPr>
          <w:rFonts w:ascii="Times New Roman" w:eastAsia="Times New Roman" w:hAnsi="Times New Roman" w:cs="Times New Roman"/>
          <w:bCs/>
          <w:lang w:val="sr-Latn-ME"/>
        </w:rPr>
        <w:t>x1</w:t>
      </w:r>
      <w:r w:rsidRPr="00872E55">
        <w:rPr>
          <w:rFonts w:ascii="Times New Roman" w:eastAsia="Times New Roman" w:hAnsi="Times New Roman" w:cs="Times New Roman"/>
          <w:bCs/>
          <w:lang w:val="sr-Latn-ME"/>
        </w:rPr>
        <w:t>0 tableta</w:t>
      </w:r>
      <w:r>
        <w:rPr>
          <w:rFonts w:ascii="Times New Roman" w:eastAsia="Times New Roman" w:hAnsi="Times New Roman" w:cs="Times New Roman"/>
          <w:bCs/>
          <w:lang w:val="sr-Latn-ME"/>
        </w:rPr>
        <w:t xml:space="preserve">: </w:t>
      </w:r>
      <w:r w:rsidRPr="00872E55">
        <w:rPr>
          <w:rFonts w:ascii="Times New Roman" w:eastAsia="Times New Roman" w:hAnsi="Times New Roman" w:cs="Times New Roman"/>
          <w:bCs/>
          <w:lang w:val="sr-Latn-ME"/>
        </w:rPr>
        <w:t xml:space="preserve">2030/14/283 – 1949 </w:t>
      </w:r>
    </w:p>
    <w:p w:rsidR="00872E55" w:rsidRDefault="00872E55" w:rsidP="00872E55">
      <w:pPr>
        <w:tabs>
          <w:tab w:val="left" w:pos="284"/>
        </w:tabs>
        <w:spacing w:after="0" w:line="240" w:lineRule="auto"/>
        <w:jc w:val="both"/>
        <w:rPr>
          <w:rFonts w:ascii="Times New Roman" w:eastAsia="Times New Roman" w:hAnsi="Times New Roman" w:cs="Times New Roman"/>
          <w:bCs/>
          <w:lang w:val="sr-Latn-ME"/>
        </w:rPr>
      </w:pPr>
      <w:r w:rsidRPr="00872E55">
        <w:rPr>
          <w:rFonts w:ascii="Times New Roman" w:eastAsia="Times New Roman" w:hAnsi="Times New Roman" w:cs="Times New Roman"/>
          <w:bCs/>
          <w:lang w:val="sr-Latn-ME"/>
        </w:rPr>
        <w:t>Redizork, tableta</w:t>
      </w:r>
      <w:r w:rsidR="00C22A2D">
        <w:rPr>
          <w:rFonts w:ascii="Times New Roman" w:eastAsia="Times New Roman" w:hAnsi="Times New Roman" w:cs="Times New Roman"/>
          <w:bCs/>
          <w:lang w:val="sr-Latn-ME"/>
        </w:rPr>
        <w:t>,</w:t>
      </w:r>
      <w:r w:rsidRPr="00872E55">
        <w:rPr>
          <w:rFonts w:ascii="Times New Roman" w:eastAsia="Times New Roman" w:hAnsi="Times New Roman" w:cs="Times New Roman"/>
          <w:bCs/>
          <w:lang w:val="sr-Latn-ME"/>
        </w:rPr>
        <w:t xml:space="preserve"> 4,5 mg</w:t>
      </w:r>
      <w:r>
        <w:rPr>
          <w:rFonts w:ascii="Times New Roman" w:eastAsia="Times New Roman" w:hAnsi="Times New Roman" w:cs="Times New Roman"/>
          <w:bCs/>
          <w:lang w:val="sr-Latn-ME"/>
        </w:rPr>
        <w:t xml:space="preserve">, </w:t>
      </w:r>
      <w:r w:rsidRPr="00872E55">
        <w:rPr>
          <w:rFonts w:ascii="Times New Roman" w:eastAsia="Times New Roman" w:hAnsi="Times New Roman" w:cs="Times New Roman"/>
          <w:bCs/>
          <w:lang w:val="sr-Latn-ME"/>
        </w:rPr>
        <w:t>blister, 2x10 tableta</w:t>
      </w:r>
      <w:r>
        <w:rPr>
          <w:rFonts w:ascii="Times New Roman" w:eastAsia="Times New Roman" w:hAnsi="Times New Roman" w:cs="Times New Roman"/>
          <w:bCs/>
          <w:lang w:val="sr-Latn-ME"/>
        </w:rPr>
        <w:t xml:space="preserve">: </w:t>
      </w:r>
      <w:r w:rsidRPr="00872E55">
        <w:rPr>
          <w:rFonts w:ascii="Times New Roman" w:eastAsia="Times New Roman" w:hAnsi="Times New Roman" w:cs="Times New Roman"/>
          <w:bCs/>
          <w:lang w:val="sr-Latn-ME"/>
        </w:rPr>
        <w:t>2030/14/284 – 1950</w:t>
      </w:r>
    </w:p>
    <w:p w:rsidR="00A8337C" w:rsidRPr="00327D94" w:rsidRDefault="00A8337C" w:rsidP="000045F3">
      <w:pPr>
        <w:tabs>
          <w:tab w:val="left" w:pos="284"/>
        </w:tabs>
        <w:spacing w:after="0" w:line="240" w:lineRule="auto"/>
        <w:jc w:val="both"/>
        <w:rPr>
          <w:rFonts w:ascii="Times New Roman" w:eastAsia="Times New Roman" w:hAnsi="Times New Roman" w:cs="Times New Roman"/>
          <w:lang w:val="sr-Latn-ME"/>
        </w:rPr>
      </w:pPr>
    </w:p>
    <w:p w:rsidR="00B16C9B" w:rsidRPr="00327D94" w:rsidRDefault="00B16C9B" w:rsidP="000045F3">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rsidP="000045F3">
      <w:pPr>
        <w:tabs>
          <w:tab w:val="left" w:pos="284"/>
        </w:tabs>
        <w:spacing w:after="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9. DATUM PRVE DOZVOLE / DATUM OBNOVE DOZVOLE</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872E55" w:rsidRPr="00872E55" w:rsidRDefault="00872E55" w:rsidP="00872E55">
      <w:pPr>
        <w:tabs>
          <w:tab w:val="left" w:pos="284"/>
        </w:tabs>
        <w:spacing w:after="0" w:line="240" w:lineRule="auto"/>
        <w:jc w:val="both"/>
        <w:rPr>
          <w:rFonts w:ascii="Times New Roman" w:eastAsia="Times New Roman" w:hAnsi="Times New Roman" w:cs="Times New Roman"/>
          <w:bCs/>
          <w:lang w:val="sr-Latn-ME"/>
        </w:rPr>
      </w:pPr>
      <w:r w:rsidRPr="00872E55">
        <w:rPr>
          <w:rFonts w:ascii="Times New Roman" w:eastAsia="Times New Roman" w:hAnsi="Times New Roman" w:cs="Times New Roman"/>
          <w:bCs/>
          <w:lang w:val="sr-Latn-ME"/>
        </w:rPr>
        <w:t>Redizork, tableta</w:t>
      </w:r>
      <w:r w:rsidR="00C22A2D">
        <w:rPr>
          <w:rFonts w:ascii="Times New Roman" w:eastAsia="Times New Roman" w:hAnsi="Times New Roman" w:cs="Times New Roman"/>
          <w:bCs/>
          <w:lang w:val="sr-Latn-ME"/>
        </w:rPr>
        <w:t>,</w:t>
      </w:r>
      <w:r w:rsidRPr="00872E55">
        <w:rPr>
          <w:rFonts w:ascii="Times New Roman" w:eastAsia="Times New Roman" w:hAnsi="Times New Roman" w:cs="Times New Roman"/>
          <w:bCs/>
          <w:lang w:val="sr-Latn-ME"/>
        </w:rPr>
        <w:t xml:space="preserve"> 1,5 mg</w:t>
      </w:r>
      <w:r>
        <w:rPr>
          <w:rFonts w:ascii="Times New Roman" w:eastAsia="Times New Roman" w:hAnsi="Times New Roman" w:cs="Times New Roman"/>
          <w:bCs/>
          <w:lang w:val="sr-Latn-ME"/>
        </w:rPr>
        <w:t xml:space="preserve">, </w:t>
      </w:r>
      <w:r w:rsidRPr="00872E55">
        <w:rPr>
          <w:rFonts w:ascii="Times New Roman" w:eastAsia="Times New Roman" w:hAnsi="Times New Roman" w:cs="Times New Roman"/>
          <w:bCs/>
          <w:lang w:val="sr-Latn-ME"/>
        </w:rPr>
        <w:t>blister, 2</w:t>
      </w:r>
      <w:r>
        <w:rPr>
          <w:rFonts w:ascii="Times New Roman" w:eastAsia="Times New Roman" w:hAnsi="Times New Roman" w:cs="Times New Roman"/>
          <w:bCs/>
          <w:lang w:val="sr-Latn-ME"/>
        </w:rPr>
        <w:t>x1</w:t>
      </w:r>
      <w:r w:rsidRPr="00872E55">
        <w:rPr>
          <w:rFonts w:ascii="Times New Roman" w:eastAsia="Times New Roman" w:hAnsi="Times New Roman" w:cs="Times New Roman"/>
          <w:bCs/>
          <w:lang w:val="sr-Latn-ME"/>
        </w:rPr>
        <w:t>0 tableta</w:t>
      </w:r>
      <w:r>
        <w:rPr>
          <w:rFonts w:ascii="Times New Roman" w:eastAsia="Times New Roman" w:hAnsi="Times New Roman" w:cs="Times New Roman"/>
          <w:bCs/>
          <w:lang w:val="sr-Latn-ME"/>
        </w:rPr>
        <w:t xml:space="preserve">: </w:t>
      </w:r>
      <w:r w:rsidRPr="00872E55">
        <w:rPr>
          <w:rFonts w:ascii="Times New Roman" w:eastAsia="Times New Roman" w:hAnsi="Times New Roman" w:cs="Times New Roman"/>
          <w:bCs/>
          <w:lang w:val="sr-Latn-ME"/>
        </w:rPr>
        <w:t>07.05.2014.</w:t>
      </w:r>
    </w:p>
    <w:p w:rsidR="00872E55" w:rsidRDefault="00872E55" w:rsidP="00872E55">
      <w:pPr>
        <w:tabs>
          <w:tab w:val="left" w:pos="284"/>
        </w:tabs>
        <w:spacing w:after="0" w:line="240" w:lineRule="auto"/>
        <w:jc w:val="both"/>
        <w:rPr>
          <w:rFonts w:ascii="Times New Roman" w:eastAsia="Times New Roman" w:hAnsi="Times New Roman" w:cs="Times New Roman"/>
          <w:bCs/>
          <w:lang w:val="sr-Latn-ME"/>
        </w:rPr>
      </w:pPr>
      <w:r w:rsidRPr="00872E55">
        <w:rPr>
          <w:rFonts w:ascii="Times New Roman" w:eastAsia="Times New Roman" w:hAnsi="Times New Roman" w:cs="Times New Roman"/>
          <w:bCs/>
          <w:lang w:val="sr-Latn-ME"/>
        </w:rPr>
        <w:t>Redizork, tableta</w:t>
      </w:r>
      <w:r w:rsidR="00C22A2D">
        <w:rPr>
          <w:rFonts w:ascii="Times New Roman" w:eastAsia="Times New Roman" w:hAnsi="Times New Roman" w:cs="Times New Roman"/>
          <w:bCs/>
          <w:lang w:val="sr-Latn-ME"/>
        </w:rPr>
        <w:t>,</w:t>
      </w:r>
      <w:bookmarkStart w:id="0" w:name="_GoBack"/>
      <w:bookmarkEnd w:id="0"/>
      <w:r w:rsidRPr="00872E55">
        <w:rPr>
          <w:rFonts w:ascii="Times New Roman" w:eastAsia="Times New Roman" w:hAnsi="Times New Roman" w:cs="Times New Roman"/>
          <w:bCs/>
          <w:lang w:val="sr-Latn-ME"/>
        </w:rPr>
        <w:t xml:space="preserve"> 4,5 mg</w:t>
      </w:r>
      <w:r>
        <w:rPr>
          <w:rFonts w:ascii="Times New Roman" w:eastAsia="Times New Roman" w:hAnsi="Times New Roman" w:cs="Times New Roman"/>
          <w:bCs/>
          <w:lang w:val="sr-Latn-ME"/>
        </w:rPr>
        <w:t xml:space="preserve">, </w:t>
      </w:r>
      <w:r w:rsidRPr="00872E55">
        <w:rPr>
          <w:rFonts w:ascii="Times New Roman" w:eastAsia="Times New Roman" w:hAnsi="Times New Roman" w:cs="Times New Roman"/>
          <w:bCs/>
          <w:lang w:val="sr-Latn-ME"/>
        </w:rPr>
        <w:t>blister, 2x10 tableta</w:t>
      </w:r>
      <w:r>
        <w:rPr>
          <w:rFonts w:ascii="Times New Roman" w:eastAsia="Times New Roman" w:hAnsi="Times New Roman" w:cs="Times New Roman"/>
          <w:bCs/>
          <w:lang w:val="sr-Latn-ME"/>
        </w:rPr>
        <w:t xml:space="preserve">: </w:t>
      </w:r>
      <w:r w:rsidRPr="00872E55">
        <w:rPr>
          <w:rFonts w:ascii="Times New Roman" w:eastAsia="Times New Roman" w:hAnsi="Times New Roman" w:cs="Times New Roman"/>
          <w:bCs/>
          <w:lang w:val="sr-Latn-ME"/>
        </w:rPr>
        <w:t>07.05.2014.</w:t>
      </w:r>
    </w:p>
    <w:p w:rsidR="00534703" w:rsidRPr="00327D94" w:rsidRDefault="00534703" w:rsidP="000045F3">
      <w:pPr>
        <w:tabs>
          <w:tab w:val="left" w:pos="284"/>
        </w:tabs>
        <w:spacing w:after="0" w:line="240" w:lineRule="auto"/>
        <w:jc w:val="both"/>
        <w:rPr>
          <w:rFonts w:ascii="Times New Roman" w:eastAsia="Times New Roman" w:hAnsi="Times New Roman" w:cs="Times New Roman"/>
          <w:lang w:val="sr-Latn-ME"/>
        </w:rPr>
      </w:pPr>
    </w:p>
    <w:p w:rsidR="00B16C9B" w:rsidRPr="00327D94" w:rsidRDefault="00B16C9B" w:rsidP="000045F3">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rsidP="000045F3">
      <w:pPr>
        <w:tabs>
          <w:tab w:val="left" w:pos="284"/>
        </w:tabs>
        <w:spacing w:after="0" w:line="240" w:lineRule="auto"/>
        <w:jc w:val="both"/>
        <w:rPr>
          <w:rFonts w:ascii="Times New Roman" w:eastAsia="Times New Roman" w:hAnsi="Times New Roman" w:cs="Times New Roman"/>
          <w:b/>
          <w:bCs/>
          <w:lang w:val="sr-Latn-ME"/>
        </w:rPr>
      </w:pPr>
      <w:r w:rsidRPr="00327D94">
        <w:rPr>
          <w:rFonts w:ascii="Times New Roman" w:eastAsia="Times New Roman" w:hAnsi="Times New Roman" w:cs="Times New Roman"/>
          <w:b/>
          <w:bCs/>
          <w:lang w:val="sr-Latn-ME"/>
        </w:rPr>
        <w:t>10. DATUM POSLEDNJE REVIZIJE TEKSTA SAŽETKA OSNOVNIH KARAKTERISTIKA LIJEKA</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872E55">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Maj, 2014.</w:t>
      </w: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5D2400" w:rsidRPr="00327D94" w:rsidRDefault="005D2400">
      <w:pPr>
        <w:tabs>
          <w:tab w:val="left" w:pos="284"/>
        </w:tabs>
        <w:spacing w:after="0" w:line="240" w:lineRule="auto"/>
        <w:jc w:val="both"/>
        <w:rPr>
          <w:rFonts w:ascii="Times New Roman" w:eastAsia="Times New Roman" w:hAnsi="Times New Roman" w:cs="Times New Roman"/>
          <w:lang w:val="sr-Latn-ME"/>
        </w:rPr>
      </w:pPr>
    </w:p>
    <w:p w:rsidR="00CB4668" w:rsidRPr="00327D94" w:rsidRDefault="00CB4668">
      <w:pPr>
        <w:jc w:val="both"/>
        <w:rPr>
          <w:rFonts w:ascii="Times New Roman" w:hAnsi="Times New Roman" w:cs="Times New Roman"/>
          <w:lang w:val="sr-Latn-ME"/>
        </w:rPr>
      </w:pPr>
    </w:p>
    <w:p w:rsidR="00027410" w:rsidRPr="00327D94" w:rsidRDefault="00027410">
      <w:pPr>
        <w:jc w:val="both"/>
        <w:rPr>
          <w:rFonts w:ascii="Times New Roman" w:hAnsi="Times New Roman" w:cs="Times New Roman"/>
          <w:lang w:val="sr-Latn-ME"/>
        </w:rPr>
      </w:pPr>
    </w:p>
    <w:sectPr w:rsidR="00027410" w:rsidRPr="00327D94" w:rsidSect="00EC7011">
      <w:headerReference w:type="default" r:id="rId10"/>
      <w:footerReference w:type="even" r:id="rId11"/>
      <w:footerReference w:type="default" r:id="rId12"/>
      <w:pgSz w:w="11907" w:h="16840" w:code="9"/>
      <w:pgMar w:top="2160" w:right="1140" w:bottom="1701" w:left="1140" w:header="709" w:footer="8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BEA" w:rsidRDefault="00422BEA">
      <w:pPr>
        <w:spacing w:after="0" w:line="240" w:lineRule="auto"/>
      </w:pPr>
      <w:r>
        <w:separator/>
      </w:r>
    </w:p>
  </w:endnote>
  <w:endnote w:type="continuationSeparator" w:id="0">
    <w:p w:rsidR="00422BEA" w:rsidRDefault="0042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AA0" w:rsidRDefault="005D24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0AA0" w:rsidRDefault="00422B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011" w:rsidRPr="00EC7011" w:rsidRDefault="00EC7011" w:rsidP="00EC7011">
    <w:pPr>
      <w:pStyle w:val="Header"/>
      <w:pBdr>
        <w:top w:val="thinThickSmallGap" w:sz="24" w:space="1" w:color="auto"/>
      </w:pBdr>
      <w:jc w:val="center"/>
      <w:rPr>
        <w:rFonts w:ascii="Times New Roman" w:hAnsi="Times New Roman" w:cs="Times New Roman"/>
        <w:sz w:val="20"/>
        <w:szCs w:val="20"/>
        <w:lang w:val="sr-Latn-ME"/>
      </w:rPr>
    </w:pPr>
  </w:p>
  <w:p w:rsidR="00EC7011" w:rsidRPr="00EC7011" w:rsidRDefault="00EC7011" w:rsidP="00EC7011">
    <w:pPr>
      <w:pStyle w:val="Footer"/>
      <w:jc w:val="center"/>
      <w:rPr>
        <w:color w:val="E65900"/>
        <w:sz w:val="16"/>
        <w:szCs w:val="18"/>
        <w:lang w:val="sr-Latn-ME"/>
      </w:rPr>
    </w:pPr>
    <w:r w:rsidRPr="00EC7011">
      <w:rPr>
        <w:color w:val="FA0000"/>
        <w:sz w:val="16"/>
        <w:szCs w:val="18"/>
        <w:lang w:val="sr-Latn-ME"/>
      </w:rPr>
      <w:t>Agencija za ljekove i medicinska sredstva Crne Gore,</w:t>
    </w:r>
    <w:r w:rsidRPr="00EC7011">
      <w:rPr>
        <w:sz w:val="16"/>
        <w:szCs w:val="18"/>
        <w:lang w:val="sr-Latn-ME"/>
      </w:rPr>
      <w:t xml:space="preserve"> </w:t>
    </w:r>
    <w:r w:rsidRPr="00EC7011">
      <w:rPr>
        <w:color w:val="E65900"/>
        <w:sz w:val="16"/>
        <w:szCs w:val="18"/>
        <w:lang w:val="sr-Latn-ME"/>
      </w:rPr>
      <w:t>81000 Podgorica, Bul. Ivana Crnojevića 64a</w:t>
    </w:r>
  </w:p>
  <w:p w:rsidR="00EC7011" w:rsidRPr="00EC7011" w:rsidRDefault="00EC7011" w:rsidP="00EC7011">
    <w:pPr>
      <w:pStyle w:val="Footer"/>
      <w:jc w:val="center"/>
      <w:rPr>
        <w:color w:val="FA0000"/>
        <w:sz w:val="16"/>
        <w:szCs w:val="18"/>
        <w:lang w:val="sr-Latn-ME"/>
      </w:rPr>
    </w:pPr>
    <w:r w:rsidRPr="00EC7011">
      <w:rPr>
        <w:color w:val="E65900"/>
        <w:sz w:val="16"/>
        <w:szCs w:val="18"/>
        <w:lang w:val="sr-Latn-ME"/>
      </w:rPr>
      <w:t xml:space="preserve">tel: +382 (0) 20 310 280  </w:t>
    </w:r>
    <w:r w:rsidRPr="00EC7011">
      <w:rPr>
        <w:color w:val="FA0000"/>
        <w:sz w:val="16"/>
        <w:szCs w:val="18"/>
        <w:lang w:val="sr-Latn-ME"/>
      </w:rPr>
      <w:t>fax: +382 (0) 20 310 581,</w:t>
    </w:r>
    <w:r w:rsidRPr="00EC7011">
      <w:rPr>
        <w:sz w:val="16"/>
        <w:szCs w:val="18"/>
        <w:lang w:val="sr-Latn-ME"/>
      </w:rPr>
      <w:t xml:space="preserve"> </w:t>
    </w:r>
    <w:r w:rsidRPr="00EC7011">
      <w:rPr>
        <w:color w:val="E65900"/>
        <w:sz w:val="16"/>
        <w:szCs w:val="18"/>
        <w:lang w:val="sr-Latn-ME"/>
      </w:rPr>
      <w:t>e-mail: info@calims.me,</w:t>
    </w:r>
    <w:r w:rsidRPr="00EC7011">
      <w:rPr>
        <w:sz w:val="16"/>
        <w:szCs w:val="18"/>
        <w:lang w:val="sr-Latn-ME"/>
      </w:rPr>
      <w:t xml:space="preserve"> </w:t>
    </w:r>
    <w:r w:rsidRPr="00EC7011">
      <w:rPr>
        <w:color w:val="FA0000"/>
        <w:sz w:val="16"/>
        <w:szCs w:val="18"/>
        <w:lang w:val="sr-Latn-ME"/>
      </w:rPr>
      <w:t>www.calims.me</w:t>
    </w:r>
    <w:r w:rsidRPr="00EC7011">
      <w:rPr>
        <w:sz w:val="16"/>
        <w:szCs w:val="18"/>
        <w:lang w:val="sr-Latn-ME"/>
      </w:rPr>
      <w:t xml:space="preserve">, </w:t>
    </w:r>
    <w:r w:rsidRPr="00EC7011">
      <w:rPr>
        <w:color w:val="E65900"/>
        <w:sz w:val="16"/>
        <w:szCs w:val="18"/>
        <w:lang w:val="sr-Latn-ME"/>
      </w:rPr>
      <w:t>PIB: 02739658,</w:t>
    </w:r>
    <w:r w:rsidRPr="00EC7011">
      <w:rPr>
        <w:sz w:val="16"/>
        <w:szCs w:val="18"/>
        <w:lang w:val="sr-Latn-ME"/>
      </w:rPr>
      <w:t xml:space="preserve"> </w:t>
    </w:r>
    <w:r w:rsidRPr="00EC7011">
      <w:rPr>
        <w:color w:val="FA0000"/>
        <w:sz w:val="16"/>
        <w:szCs w:val="18"/>
        <w:lang w:val="sr-Latn-ME"/>
      </w:rPr>
      <w:t>žiro račun: 520-3603-33</w:t>
    </w:r>
  </w:p>
  <w:p w:rsidR="00EC7011" w:rsidRPr="00EC7011" w:rsidRDefault="00EC7011" w:rsidP="00EC7011">
    <w:pPr>
      <w:pStyle w:val="Footer"/>
      <w:jc w:val="center"/>
      <w:rPr>
        <w:rFonts w:ascii="Times New Roman" w:hAnsi="Times New Roman" w:cs="Times New Roman"/>
        <w:sz w:val="16"/>
        <w:szCs w:val="18"/>
      </w:rPr>
    </w:pPr>
  </w:p>
  <w:p w:rsidR="00EC7011" w:rsidRPr="00EC7011" w:rsidRDefault="00EC7011" w:rsidP="00EC7011">
    <w:pPr>
      <w:pStyle w:val="Header"/>
      <w:rPr>
        <w:rFonts w:ascii="Times New Roman" w:hAnsi="Times New Roman" w:cs="Times New Roman"/>
        <w:sz w:val="20"/>
        <w:szCs w:val="20"/>
      </w:rPr>
    </w:pPr>
  </w:p>
  <w:p w:rsidR="00540AA0" w:rsidRPr="00EC7011" w:rsidRDefault="00EC7011" w:rsidP="00EC7011">
    <w:pPr>
      <w:pStyle w:val="Header"/>
      <w:jc w:val="center"/>
      <w:rPr>
        <w:rFonts w:ascii="Times New Roman" w:hAnsi="Times New Roman" w:cs="Times New Roman"/>
        <w:sz w:val="20"/>
        <w:szCs w:val="20"/>
      </w:rPr>
    </w:pPr>
    <w:r w:rsidRPr="00EC7011">
      <w:rPr>
        <w:rStyle w:val="PageNumber"/>
        <w:rFonts w:ascii="Times New Roman" w:hAnsi="Times New Roman" w:cs="Times New Roman"/>
        <w:sz w:val="20"/>
        <w:szCs w:val="20"/>
      </w:rPr>
      <w:fldChar w:fldCharType="begin"/>
    </w:r>
    <w:r w:rsidRPr="00EC7011">
      <w:rPr>
        <w:rStyle w:val="PageNumber"/>
        <w:rFonts w:ascii="Times New Roman" w:hAnsi="Times New Roman" w:cs="Times New Roman"/>
        <w:sz w:val="20"/>
        <w:szCs w:val="20"/>
      </w:rPr>
      <w:instrText xml:space="preserve"> PAGE </w:instrText>
    </w:r>
    <w:r w:rsidRPr="00EC7011">
      <w:rPr>
        <w:rStyle w:val="PageNumber"/>
        <w:rFonts w:ascii="Times New Roman" w:hAnsi="Times New Roman" w:cs="Times New Roman"/>
        <w:sz w:val="20"/>
        <w:szCs w:val="20"/>
      </w:rPr>
      <w:fldChar w:fldCharType="separate"/>
    </w:r>
    <w:r w:rsidR="00C22A2D">
      <w:rPr>
        <w:rStyle w:val="PageNumber"/>
        <w:rFonts w:ascii="Times New Roman" w:hAnsi="Times New Roman" w:cs="Times New Roman"/>
        <w:noProof/>
        <w:sz w:val="20"/>
        <w:szCs w:val="20"/>
      </w:rPr>
      <w:t>11</w:t>
    </w:r>
    <w:r w:rsidRPr="00EC7011">
      <w:rPr>
        <w:rStyle w:val="PageNumber"/>
        <w:rFonts w:ascii="Times New Roman" w:hAnsi="Times New Roman" w:cs="Times New Roman"/>
        <w:sz w:val="20"/>
        <w:szCs w:val="20"/>
      </w:rPr>
      <w:fldChar w:fldCharType="end"/>
    </w:r>
    <w:r w:rsidRPr="00EC7011">
      <w:rPr>
        <w:rStyle w:val="PageNumber"/>
        <w:rFonts w:ascii="Times New Roman" w:hAnsi="Times New Roman" w:cs="Times New Roman"/>
        <w:sz w:val="20"/>
        <w:szCs w:val="20"/>
      </w:rPr>
      <w:t xml:space="preserve"> / </w:t>
    </w:r>
    <w:r w:rsidRPr="00EC7011">
      <w:rPr>
        <w:rStyle w:val="PageNumber"/>
        <w:rFonts w:ascii="Times New Roman" w:hAnsi="Times New Roman" w:cs="Times New Roman"/>
        <w:sz w:val="20"/>
        <w:szCs w:val="20"/>
      </w:rPr>
      <w:fldChar w:fldCharType="begin"/>
    </w:r>
    <w:r w:rsidRPr="00EC7011">
      <w:rPr>
        <w:rStyle w:val="PageNumber"/>
        <w:rFonts w:ascii="Times New Roman" w:hAnsi="Times New Roman" w:cs="Times New Roman"/>
        <w:sz w:val="20"/>
        <w:szCs w:val="20"/>
      </w:rPr>
      <w:instrText xml:space="preserve"> NUMPAGES </w:instrText>
    </w:r>
    <w:r w:rsidRPr="00EC7011">
      <w:rPr>
        <w:rStyle w:val="PageNumber"/>
        <w:rFonts w:ascii="Times New Roman" w:hAnsi="Times New Roman" w:cs="Times New Roman"/>
        <w:sz w:val="20"/>
        <w:szCs w:val="20"/>
      </w:rPr>
      <w:fldChar w:fldCharType="separate"/>
    </w:r>
    <w:r w:rsidR="00C22A2D">
      <w:rPr>
        <w:rStyle w:val="PageNumber"/>
        <w:rFonts w:ascii="Times New Roman" w:hAnsi="Times New Roman" w:cs="Times New Roman"/>
        <w:noProof/>
        <w:sz w:val="20"/>
        <w:szCs w:val="20"/>
      </w:rPr>
      <w:t>11</w:t>
    </w:r>
    <w:r w:rsidRPr="00EC7011">
      <w:rPr>
        <w:rStyle w:val="PageNumbe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BEA" w:rsidRDefault="00422BEA">
      <w:pPr>
        <w:spacing w:after="0" w:line="240" w:lineRule="auto"/>
      </w:pPr>
      <w:r>
        <w:separator/>
      </w:r>
    </w:p>
  </w:footnote>
  <w:footnote w:type="continuationSeparator" w:id="0">
    <w:p w:rsidR="00422BEA" w:rsidRDefault="00422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011" w:rsidRDefault="00EC7011" w:rsidP="00EC7011">
    <w:pPr>
      <w:pStyle w:val="Header"/>
      <w:rPr>
        <w:sz w:val="16"/>
        <w:szCs w:val="16"/>
      </w:rPr>
    </w:pPr>
  </w:p>
  <w:p w:rsidR="00406B55" w:rsidRDefault="00EC7011" w:rsidP="00EC7011">
    <w:pPr>
      <w:pStyle w:val="Header"/>
      <w:pBdr>
        <w:top w:val="thinThickSmallGap" w:sz="24" w:space="2" w:color="auto"/>
      </w:pBdr>
    </w:pPr>
    <w:r>
      <w:rPr>
        <w:noProof/>
        <w:sz w:val="16"/>
        <w:szCs w:val="16"/>
        <w:lang w:val="sr-Latn-ME" w:eastAsia="sr-Latn-ME"/>
      </w:rPr>
      <w:drawing>
        <wp:inline distT="0" distB="0" distL="0" distR="0" wp14:anchorId="712C8F9A" wp14:editId="558DFB02">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A5CF9"/>
    <w:multiLevelType w:val="hybridMultilevel"/>
    <w:tmpl w:val="1C8C7FB6"/>
    <w:lvl w:ilvl="0" w:tplc="52A4C6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94134D"/>
    <w:multiLevelType w:val="hybridMultilevel"/>
    <w:tmpl w:val="77045C02"/>
    <w:lvl w:ilvl="0" w:tplc="52A4C6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C3"/>
    <w:rsid w:val="000007A1"/>
    <w:rsid w:val="000045F3"/>
    <w:rsid w:val="00027410"/>
    <w:rsid w:val="00045937"/>
    <w:rsid w:val="000619F5"/>
    <w:rsid w:val="000628FC"/>
    <w:rsid w:val="00081E95"/>
    <w:rsid w:val="00096F5D"/>
    <w:rsid w:val="000A3E21"/>
    <w:rsid w:val="000D0043"/>
    <w:rsid w:val="000E228E"/>
    <w:rsid w:val="001656F9"/>
    <w:rsid w:val="001C13CE"/>
    <w:rsid w:val="001E6D1A"/>
    <w:rsid w:val="0020257B"/>
    <w:rsid w:val="00202DC3"/>
    <w:rsid w:val="00223BD4"/>
    <w:rsid w:val="002728B8"/>
    <w:rsid w:val="00283465"/>
    <w:rsid w:val="002920FB"/>
    <w:rsid w:val="00293964"/>
    <w:rsid w:val="002C16DC"/>
    <w:rsid w:val="002D0C0D"/>
    <w:rsid w:val="00314F7D"/>
    <w:rsid w:val="003244FD"/>
    <w:rsid w:val="00327D94"/>
    <w:rsid w:val="00362943"/>
    <w:rsid w:val="003B37D6"/>
    <w:rsid w:val="00406B55"/>
    <w:rsid w:val="00422BEA"/>
    <w:rsid w:val="00427B45"/>
    <w:rsid w:val="00457C9F"/>
    <w:rsid w:val="004E489C"/>
    <w:rsid w:val="004F3664"/>
    <w:rsid w:val="00523AD3"/>
    <w:rsid w:val="00534703"/>
    <w:rsid w:val="005378CC"/>
    <w:rsid w:val="0055472A"/>
    <w:rsid w:val="005664FC"/>
    <w:rsid w:val="00580286"/>
    <w:rsid w:val="00593014"/>
    <w:rsid w:val="005D2400"/>
    <w:rsid w:val="0060160F"/>
    <w:rsid w:val="0060373B"/>
    <w:rsid w:val="006465AD"/>
    <w:rsid w:val="006D2703"/>
    <w:rsid w:val="00707149"/>
    <w:rsid w:val="007071C3"/>
    <w:rsid w:val="00803459"/>
    <w:rsid w:val="00823895"/>
    <w:rsid w:val="00847FEB"/>
    <w:rsid w:val="0087069F"/>
    <w:rsid w:val="00872E55"/>
    <w:rsid w:val="0088060F"/>
    <w:rsid w:val="008A31E6"/>
    <w:rsid w:val="008D62F9"/>
    <w:rsid w:val="008E45C5"/>
    <w:rsid w:val="009006F5"/>
    <w:rsid w:val="00926D16"/>
    <w:rsid w:val="00A020D9"/>
    <w:rsid w:val="00A70780"/>
    <w:rsid w:val="00A8337C"/>
    <w:rsid w:val="00AA6DF1"/>
    <w:rsid w:val="00B06A1C"/>
    <w:rsid w:val="00B16C9B"/>
    <w:rsid w:val="00BB754A"/>
    <w:rsid w:val="00C02CE8"/>
    <w:rsid w:val="00C05EF5"/>
    <w:rsid w:val="00C22A2D"/>
    <w:rsid w:val="00C35C1B"/>
    <w:rsid w:val="00C379E5"/>
    <w:rsid w:val="00C6775E"/>
    <w:rsid w:val="00CB4668"/>
    <w:rsid w:val="00CE511B"/>
    <w:rsid w:val="00DA26D3"/>
    <w:rsid w:val="00DC4D83"/>
    <w:rsid w:val="00E147E0"/>
    <w:rsid w:val="00E2247A"/>
    <w:rsid w:val="00E454EE"/>
    <w:rsid w:val="00E754A5"/>
    <w:rsid w:val="00EC7011"/>
    <w:rsid w:val="00F43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5D2400"/>
    <w:pPr>
      <w:tabs>
        <w:tab w:val="center" w:pos="4702"/>
        <w:tab w:val="right" w:pos="9405"/>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5D2400"/>
  </w:style>
  <w:style w:type="paragraph" w:styleId="Footer">
    <w:name w:val="footer"/>
    <w:basedOn w:val="Normal"/>
    <w:link w:val="FooterChar"/>
    <w:unhideWhenUsed/>
    <w:rsid w:val="005D2400"/>
    <w:pPr>
      <w:tabs>
        <w:tab w:val="center" w:pos="4702"/>
        <w:tab w:val="right" w:pos="9405"/>
      </w:tabs>
      <w:spacing w:after="0" w:line="240" w:lineRule="auto"/>
    </w:pPr>
  </w:style>
  <w:style w:type="character" w:customStyle="1" w:styleId="FooterChar">
    <w:name w:val="Footer Char"/>
    <w:basedOn w:val="DefaultParagraphFont"/>
    <w:link w:val="Footer"/>
    <w:uiPriority w:val="99"/>
    <w:rsid w:val="005D2400"/>
  </w:style>
  <w:style w:type="character" w:styleId="PageNumber">
    <w:name w:val="page number"/>
    <w:basedOn w:val="DefaultParagraphFont"/>
    <w:rsid w:val="005D2400"/>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CB4668"/>
    <w:rPr>
      <w:lang w:val="en-US" w:eastAsia="en-US" w:bidi="ar-SA"/>
    </w:rPr>
  </w:style>
  <w:style w:type="paragraph" w:styleId="BalloonText">
    <w:name w:val="Balloon Text"/>
    <w:basedOn w:val="Normal"/>
    <w:link w:val="BalloonTextChar"/>
    <w:uiPriority w:val="99"/>
    <w:semiHidden/>
    <w:unhideWhenUsed/>
    <w:rsid w:val="00CB4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668"/>
    <w:rPr>
      <w:rFonts w:ascii="Tahoma" w:hAnsi="Tahoma" w:cs="Tahoma"/>
      <w:sz w:val="16"/>
      <w:szCs w:val="16"/>
    </w:rPr>
  </w:style>
  <w:style w:type="paragraph" w:styleId="ListParagraph">
    <w:name w:val="List Paragraph"/>
    <w:basedOn w:val="Normal"/>
    <w:uiPriority w:val="34"/>
    <w:qFormat/>
    <w:rsid w:val="000274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5D2400"/>
    <w:pPr>
      <w:tabs>
        <w:tab w:val="center" w:pos="4702"/>
        <w:tab w:val="right" w:pos="9405"/>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5D2400"/>
  </w:style>
  <w:style w:type="paragraph" w:styleId="Footer">
    <w:name w:val="footer"/>
    <w:basedOn w:val="Normal"/>
    <w:link w:val="FooterChar"/>
    <w:unhideWhenUsed/>
    <w:rsid w:val="005D2400"/>
    <w:pPr>
      <w:tabs>
        <w:tab w:val="center" w:pos="4702"/>
        <w:tab w:val="right" w:pos="9405"/>
      </w:tabs>
      <w:spacing w:after="0" w:line="240" w:lineRule="auto"/>
    </w:pPr>
  </w:style>
  <w:style w:type="character" w:customStyle="1" w:styleId="FooterChar">
    <w:name w:val="Footer Char"/>
    <w:basedOn w:val="DefaultParagraphFont"/>
    <w:link w:val="Footer"/>
    <w:uiPriority w:val="99"/>
    <w:rsid w:val="005D2400"/>
  </w:style>
  <w:style w:type="character" w:styleId="PageNumber">
    <w:name w:val="page number"/>
    <w:basedOn w:val="DefaultParagraphFont"/>
    <w:rsid w:val="005D2400"/>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CB4668"/>
    <w:rPr>
      <w:lang w:val="en-US" w:eastAsia="en-US" w:bidi="ar-SA"/>
    </w:rPr>
  </w:style>
  <w:style w:type="paragraph" w:styleId="BalloonText">
    <w:name w:val="Balloon Text"/>
    <w:basedOn w:val="Normal"/>
    <w:link w:val="BalloonTextChar"/>
    <w:uiPriority w:val="99"/>
    <w:semiHidden/>
    <w:unhideWhenUsed/>
    <w:rsid w:val="00CB4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668"/>
    <w:rPr>
      <w:rFonts w:ascii="Tahoma" w:hAnsi="Tahoma" w:cs="Tahoma"/>
      <w:sz w:val="16"/>
      <w:szCs w:val="16"/>
    </w:rPr>
  </w:style>
  <w:style w:type="paragraph" w:styleId="ListParagraph">
    <w:name w:val="List Paragraph"/>
    <w:basedOn w:val="Normal"/>
    <w:uiPriority w:val="34"/>
    <w:qFormat/>
    <w:rsid w:val="00027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2930</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19592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Madzgalj, Dragomir (Ext)</dc:creator>
  <cp:lastModifiedBy>Tatjana Bankovic</cp:lastModifiedBy>
  <cp:revision>19</cp:revision>
  <cp:lastPrinted>2014-10-07T07:40:00Z</cp:lastPrinted>
  <dcterms:created xsi:type="dcterms:W3CDTF">2014-10-14T10:50:00Z</dcterms:created>
  <dcterms:modified xsi:type="dcterms:W3CDTF">2014-10-15T06:27:00Z</dcterms:modified>
</cp:coreProperties>
</file>