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BB" w:rsidRPr="00C01AF3" w:rsidRDefault="00834DBB">
      <w:pPr>
        <w:spacing w:before="1000"/>
        <w:jc w:val="left"/>
        <w:rPr>
          <w:rFonts w:ascii="Times New Roman" w:hAnsi="Times New Roman" w:cs="Arial"/>
          <w:sz w:val="22"/>
          <w:lang w:val="sr-Latn-ME"/>
        </w:rPr>
      </w:pPr>
    </w:p>
    <w:tbl>
      <w:tblPr>
        <w:tblW w:w="9360" w:type="dxa"/>
        <w:jc w:val="center"/>
        <w:tblLayout w:type="fixed"/>
        <w:tblLook w:val="0000" w:firstRow="0" w:lastRow="0" w:firstColumn="0" w:lastColumn="0" w:noHBand="0" w:noVBand="0"/>
      </w:tblPr>
      <w:tblGrid>
        <w:gridCol w:w="2160"/>
        <w:gridCol w:w="7200"/>
      </w:tblGrid>
      <w:tr w:rsidR="00834DBB" w:rsidRPr="00C01AF3">
        <w:trPr>
          <w:trHeight w:val="530"/>
          <w:jc w:val="center"/>
        </w:trPr>
        <w:tc>
          <w:tcPr>
            <w:tcW w:w="9360" w:type="dxa"/>
            <w:gridSpan w:val="2"/>
            <w:vAlign w:val="center"/>
          </w:tcPr>
          <w:p w:rsidR="00834DBB" w:rsidRPr="00C01AF3" w:rsidRDefault="00834DBB">
            <w:pPr>
              <w:jc w:val="center"/>
              <w:rPr>
                <w:rFonts w:ascii="Times New Roman" w:hAnsi="Times New Roman"/>
                <w:b/>
                <w:bCs/>
                <w:i/>
                <w:iCs/>
                <w:sz w:val="22"/>
                <w:szCs w:val="22"/>
                <w:u w:val="single"/>
                <w:lang w:val="sr-Latn-ME"/>
              </w:rPr>
            </w:pPr>
            <w:r w:rsidRPr="00C01AF3">
              <w:rPr>
                <w:rFonts w:ascii="Times New Roman" w:hAnsi="Times New Roman"/>
                <w:b/>
                <w:bCs/>
                <w:i/>
                <w:iCs/>
                <w:sz w:val="22"/>
                <w:szCs w:val="22"/>
                <w:u w:val="single"/>
                <w:lang w:val="sr-Latn-ME"/>
              </w:rPr>
              <w:t>SAŽETAK KARAKTERISTIKA L</w:t>
            </w:r>
            <w:r w:rsidR="00FD7AC8" w:rsidRPr="00C01AF3">
              <w:rPr>
                <w:rFonts w:ascii="Times New Roman" w:hAnsi="Times New Roman"/>
                <w:b/>
                <w:bCs/>
                <w:i/>
                <w:iCs/>
                <w:sz w:val="22"/>
                <w:szCs w:val="22"/>
                <w:u w:val="single"/>
                <w:lang w:val="sr-Latn-ME"/>
              </w:rPr>
              <w:t>IJ</w:t>
            </w:r>
            <w:r w:rsidRPr="00C01AF3">
              <w:rPr>
                <w:rFonts w:ascii="Times New Roman" w:hAnsi="Times New Roman"/>
                <w:b/>
                <w:bCs/>
                <w:i/>
                <w:iCs/>
                <w:sz w:val="22"/>
                <w:szCs w:val="22"/>
                <w:u w:val="single"/>
                <w:lang w:val="sr-Latn-ME"/>
              </w:rPr>
              <w:t>EKA</w:t>
            </w:r>
          </w:p>
        </w:tc>
      </w:tr>
      <w:tr w:rsidR="00834DBB" w:rsidRPr="00C01AF3">
        <w:trPr>
          <w:trHeight w:val="1969"/>
          <w:jc w:val="center"/>
        </w:trPr>
        <w:tc>
          <w:tcPr>
            <w:tcW w:w="9360" w:type="dxa"/>
            <w:gridSpan w:val="2"/>
            <w:vAlign w:val="bottom"/>
          </w:tcPr>
          <w:p w:rsidR="00834DBB" w:rsidRPr="00C01AF3" w:rsidRDefault="00834DBB">
            <w:pPr>
              <w:spacing w:after="40"/>
              <w:jc w:val="center"/>
              <w:rPr>
                <w:rFonts w:ascii="Times New Roman" w:hAnsi="Times New Roman"/>
                <w:b/>
                <w:bCs/>
                <w:sz w:val="22"/>
                <w:szCs w:val="22"/>
                <w:u w:val="single"/>
                <w:lang w:val="sr-Latn-ME"/>
              </w:rPr>
            </w:pPr>
          </w:p>
        </w:tc>
      </w:tr>
      <w:tr w:rsidR="00834DBB" w:rsidRPr="00C01AF3">
        <w:trPr>
          <w:trHeight w:val="1225"/>
          <w:jc w:val="center"/>
        </w:trPr>
        <w:tc>
          <w:tcPr>
            <w:tcW w:w="9360" w:type="dxa"/>
            <w:gridSpan w:val="2"/>
          </w:tcPr>
          <w:p w:rsidR="009A717F" w:rsidRPr="00C01AF3" w:rsidRDefault="009A717F" w:rsidP="00486402">
            <w:pPr>
              <w:spacing w:after="40"/>
              <w:jc w:val="center"/>
              <w:rPr>
                <w:rFonts w:ascii="Times New Roman" w:hAnsi="Times New Roman"/>
                <w:bCs/>
                <w:sz w:val="22"/>
                <w:lang w:val="sr-Latn-ME"/>
              </w:rPr>
            </w:pPr>
            <w:r w:rsidRPr="00C01AF3">
              <w:rPr>
                <w:rFonts w:ascii="Times New Roman" w:hAnsi="Times New Roman"/>
                <w:bCs/>
                <w:sz w:val="22"/>
                <w:lang w:val="sr-Latn-ME"/>
              </w:rPr>
              <w:t>Exforge HCT</w:t>
            </w:r>
            <w:r w:rsidRPr="00C01AF3">
              <w:rPr>
                <w:rFonts w:ascii="Times New Roman" w:hAnsi="Times New Roman"/>
                <w:bCs/>
                <w:sz w:val="22"/>
                <w:vertAlign w:val="superscript"/>
                <w:lang w:val="sr-Latn-ME"/>
              </w:rPr>
              <w:t>®</w:t>
            </w:r>
            <w:r w:rsidR="006414BA" w:rsidRPr="00C01AF3">
              <w:rPr>
                <w:rFonts w:ascii="Times New Roman" w:hAnsi="Times New Roman"/>
                <w:bCs/>
                <w:sz w:val="22"/>
                <w:lang w:val="sr-Latn-ME"/>
              </w:rPr>
              <w:t>,</w:t>
            </w:r>
            <w:r w:rsidR="00191616" w:rsidRPr="00C01AF3">
              <w:rPr>
                <w:rFonts w:ascii="Times New Roman" w:hAnsi="Times New Roman"/>
                <w:bCs/>
                <w:sz w:val="22"/>
                <w:lang w:val="sr-Latn-ME"/>
              </w:rPr>
              <w:t xml:space="preserve"> </w:t>
            </w:r>
            <w:r w:rsidRPr="00C01AF3">
              <w:rPr>
                <w:rFonts w:ascii="Times New Roman" w:hAnsi="Times New Roman"/>
                <w:bCs/>
                <w:sz w:val="22"/>
                <w:lang w:val="sr-Latn-ME"/>
              </w:rPr>
              <w:t>film tableta</w:t>
            </w:r>
            <w:r w:rsidR="006414BA" w:rsidRPr="00C01AF3">
              <w:rPr>
                <w:rFonts w:ascii="Times New Roman" w:hAnsi="Times New Roman"/>
                <w:bCs/>
                <w:sz w:val="22"/>
                <w:lang w:val="sr-Latn-ME"/>
              </w:rPr>
              <w:t xml:space="preserve">, </w:t>
            </w:r>
            <w:r w:rsidRPr="00C01AF3">
              <w:rPr>
                <w:rFonts w:ascii="Times New Roman" w:hAnsi="Times New Roman"/>
                <w:bCs/>
                <w:sz w:val="22"/>
                <w:lang w:val="sr-Latn-ME"/>
              </w:rPr>
              <w:t>160mg</w:t>
            </w:r>
            <w:r w:rsidR="00A71C2D" w:rsidRPr="00C01AF3">
              <w:rPr>
                <w:rFonts w:ascii="Times New Roman" w:hAnsi="Times New Roman"/>
                <w:bCs/>
                <w:sz w:val="22"/>
                <w:lang w:val="sr-Latn-ME"/>
              </w:rPr>
              <w:t>+5mg</w:t>
            </w:r>
            <w:r w:rsidR="00E51F51" w:rsidRPr="00C01AF3">
              <w:rPr>
                <w:rFonts w:ascii="Times New Roman" w:hAnsi="Times New Roman"/>
                <w:bCs/>
                <w:sz w:val="22"/>
                <w:lang w:val="sr-Latn-ME"/>
              </w:rPr>
              <w:t>+</w:t>
            </w:r>
            <w:r w:rsidRPr="00C01AF3">
              <w:rPr>
                <w:rFonts w:ascii="Times New Roman" w:hAnsi="Times New Roman"/>
                <w:bCs/>
                <w:sz w:val="22"/>
                <w:lang w:val="sr-Latn-ME"/>
              </w:rPr>
              <w:t>12,5mg</w:t>
            </w:r>
            <w:r w:rsidR="006414BA" w:rsidRPr="00C01AF3">
              <w:rPr>
                <w:rFonts w:ascii="Times New Roman" w:hAnsi="Times New Roman"/>
                <w:bCs/>
                <w:sz w:val="22"/>
                <w:lang w:val="sr-Latn-ME"/>
              </w:rPr>
              <w:t xml:space="preserve">, </w:t>
            </w:r>
            <w:r w:rsidRPr="00C01AF3">
              <w:rPr>
                <w:rFonts w:ascii="Times New Roman" w:hAnsi="Times New Roman"/>
                <w:bCs/>
                <w:sz w:val="22"/>
                <w:lang w:val="sr-Latn-ME"/>
              </w:rPr>
              <w:t>blister</w:t>
            </w:r>
            <w:r w:rsidR="006414BA" w:rsidRPr="00C01AF3">
              <w:rPr>
                <w:rFonts w:ascii="Times New Roman" w:hAnsi="Times New Roman"/>
                <w:bCs/>
                <w:sz w:val="22"/>
                <w:lang w:val="sr-Latn-ME"/>
              </w:rPr>
              <w:t xml:space="preserve">, 28 film tableta </w:t>
            </w:r>
            <w:r w:rsidRPr="00C01AF3">
              <w:rPr>
                <w:rFonts w:ascii="Times New Roman" w:hAnsi="Times New Roman"/>
                <w:bCs/>
                <w:sz w:val="22"/>
                <w:lang w:val="sr-Latn-ME"/>
              </w:rPr>
              <w:t>(2 x 14)</w:t>
            </w:r>
          </w:p>
          <w:p w:rsidR="009A717F" w:rsidRPr="00C01AF3" w:rsidRDefault="006414BA" w:rsidP="00486402">
            <w:pPr>
              <w:spacing w:after="40"/>
              <w:jc w:val="center"/>
              <w:rPr>
                <w:rFonts w:ascii="Times New Roman" w:hAnsi="Times New Roman"/>
                <w:bCs/>
                <w:sz w:val="22"/>
                <w:lang w:val="sr-Latn-ME"/>
              </w:rPr>
            </w:pPr>
            <w:r w:rsidRPr="00C01AF3">
              <w:rPr>
                <w:rFonts w:ascii="Times New Roman" w:hAnsi="Times New Roman"/>
                <w:bCs/>
                <w:sz w:val="22"/>
                <w:lang w:val="sr-Latn-ME"/>
              </w:rPr>
              <w:t>Exforge HCT</w:t>
            </w:r>
            <w:r w:rsidRPr="00C01AF3">
              <w:rPr>
                <w:rFonts w:ascii="Times New Roman" w:hAnsi="Times New Roman"/>
                <w:bCs/>
                <w:sz w:val="22"/>
                <w:vertAlign w:val="superscript"/>
                <w:lang w:val="sr-Latn-ME"/>
              </w:rPr>
              <w:t>®</w:t>
            </w:r>
            <w:r w:rsidRPr="00C01AF3">
              <w:rPr>
                <w:rFonts w:ascii="Times New Roman" w:hAnsi="Times New Roman"/>
                <w:bCs/>
                <w:sz w:val="22"/>
                <w:lang w:val="sr-Latn-ME"/>
              </w:rPr>
              <w:t xml:space="preserve">, film tableta, </w:t>
            </w:r>
            <w:r w:rsidR="00E51F51" w:rsidRPr="00C01AF3">
              <w:rPr>
                <w:rFonts w:ascii="Times New Roman" w:hAnsi="Times New Roman"/>
                <w:bCs/>
                <w:sz w:val="22"/>
                <w:lang w:val="sr-Latn-ME"/>
              </w:rPr>
              <w:t>160mg</w:t>
            </w:r>
            <w:r w:rsidR="00A71C2D" w:rsidRPr="00C01AF3">
              <w:rPr>
                <w:rFonts w:ascii="Times New Roman" w:hAnsi="Times New Roman"/>
                <w:bCs/>
                <w:sz w:val="22"/>
                <w:lang w:val="sr-Latn-ME"/>
              </w:rPr>
              <w:t>+10mg</w:t>
            </w:r>
            <w:r w:rsidR="00E51F51" w:rsidRPr="00C01AF3">
              <w:rPr>
                <w:rFonts w:ascii="Times New Roman" w:hAnsi="Times New Roman"/>
                <w:bCs/>
                <w:sz w:val="22"/>
                <w:lang w:val="sr-Latn-ME"/>
              </w:rPr>
              <w:t>+</w:t>
            </w:r>
            <w:r w:rsidR="009A717F" w:rsidRPr="00C01AF3">
              <w:rPr>
                <w:rFonts w:ascii="Times New Roman" w:hAnsi="Times New Roman"/>
                <w:bCs/>
                <w:sz w:val="22"/>
                <w:lang w:val="sr-Latn-ME"/>
              </w:rPr>
              <w:t>12,5mg</w:t>
            </w:r>
            <w:r w:rsidRPr="00C01AF3">
              <w:rPr>
                <w:rFonts w:ascii="Times New Roman" w:hAnsi="Times New Roman"/>
                <w:bCs/>
                <w:sz w:val="22"/>
                <w:lang w:val="sr-Latn-ME"/>
              </w:rPr>
              <w:t>,</w:t>
            </w:r>
            <w:r w:rsidR="009A717F" w:rsidRPr="00C01AF3">
              <w:rPr>
                <w:rFonts w:ascii="Times New Roman" w:hAnsi="Times New Roman"/>
                <w:bCs/>
                <w:sz w:val="22"/>
                <w:lang w:val="sr-Latn-ME"/>
              </w:rPr>
              <w:t xml:space="preserve"> blister</w:t>
            </w:r>
            <w:r w:rsidRPr="00C01AF3">
              <w:rPr>
                <w:rFonts w:ascii="Times New Roman" w:hAnsi="Times New Roman"/>
                <w:bCs/>
                <w:sz w:val="22"/>
                <w:lang w:val="sr-Latn-ME"/>
              </w:rPr>
              <w:t>,</w:t>
            </w:r>
            <w:r w:rsidR="009A717F" w:rsidRPr="00C01AF3">
              <w:rPr>
                <w:rFonts w:ascii="Times New Roman" w:hAnsi="Times New Roman"/>
                <w:bCs/>
                <w:sz w:val="22"/>
                <w:lang w:val="sr-Latn-ME"/>
              </w:rPr>
              <w:t xml:space="preserve"> </w:t>
            </w:r>
            <w:r w:rsidRPr="00C01AF3">
              <w:rPr>
                <w:rFonts w:ascii="Times New Roman" w:hAnsi="Times New Roman"/>
                <w:bCs/>
                <w:sz w:val="22"/>
                <w:lang w:val="sr-Latn-ME"/>
              </w:rPr>
              <w:t xml:space="preserve">28 film tableta </w:t>
            </w:r>
            <w:r w:rsidR="009A717F" w:rsidRPr="00C01AF3">
              <w:rPr>
                <w:rFonts w:ascii="Times New Roman" w:hAnsi="Times New Roman"/>
                <w:bCs/>
                <w:sz w:val="22"/>
                <w:lang w:val="sr-Latn-ME"/>
              </w:rPr>
              <w:t>(2 x 14)</w:t>
            </w:r>
          </w:p>
          <w:p w:rsidR="009A717F" w:rsidRPr="00C01AF3" w:rsidRDefault="006414BA" w:rsidP="00486402">
            <w:pPr>
              <w:spacing w:after="40"/>
              <w:jc w:val="center"/>
              <w:rPr>
                <w:rFonts w:ascii="Times New Roman" w:hAnsi="Times New Roman"/>
                <w:bCs/>
                <w:sz w:val="22"/>
                <w:lang w:val="sr-Latn-ME"/>
              </w:rPr>
            </w:pPr>
            <w:r w:rsidRPr="00C01AF3">
              <w:rPr>
                <w:rFonts w:ascii="Times New Roman" w:hAnsi="Times New Roman"/>
                <w:bCs/>
                <w:sz w:val="22"/>
                <w:lang w:val="sr-Latn-ME"/>
              </w:rPr>
              <w:t>Exforge HCT</w:t>
            </w:r>
            <w:r w:rsidRPr="00C01AF3">
              <w:rPr>
                <w:rFonts w:ascii="Times New Roman" w:hAnsi="Times New Roman"/>
                <w:bCs/>
                <w:sz w:val="22"/>
                <w:vertAlign w:val="superscript"/>
                <w:lang w:val="sr-Latn-ME"/>
              </w:rPr>
              <w:t>®,</w:t>
            </w:r>
            <w:r w:rsidRPr="00C01AF3">
              <w:rPr>
                <w:rFonts w:ascii="Times New Roman" w:hAnsi="Times New Roman"/>
                <w:bCs/>
                <w:sz w:val="22"/>
                <w:lang w:val="sr-Latn-ME"/>
              </w:rPr>
              <w:t xml:space="preserve"> film tableta, </w:t>
            </w:r>
            <w:r w:rsidR="00E51F51" w:rsidRPr="00C01AF3">
              <w:rPr>
                <w:rFonts w:ascii="Times New Roman" w:hAnsi="Times New Roman"/>
                <w:bCs/>
                <w:sz w:val="22"/>
                <w:lang w:val="sr-Latn-ME"/>
              </w:rPr>
              <w:t>160mg</w:t>
            </w:r>
            <w:r w:rsidR="00A71C2D" w:rsidRPr="00C01AF3">
              <w:rPr>
                <w:rFonts w:ascii="Times New Roman" w:hAnsi="Times New Roman"/>
                <w:bCs/>
                <w:sz w:val="22"/>
                <w:lang w:val="sr-Latn-ME"/>
              </w:rPr>
              <w:t>+5mg</w:t>
            </w:r>
            <w:r w:rsidR="00E51F51" w:rsidRPr="00C01AF3">
              <w:rPr>
                <w:rFonts w:ascii="Times New Roman" w:hAnsi="Times New Roman"/>
                <w:bCs/>
                <w:sz w:val="22"/>
                <w:lang w:val="sr-Latn-ME"/>
              </w:rPr>
              <w:t>+</w:t>
            </w:r>
            <w:r w:rsidR="009A717F" w:rsidRPr="00C01AF3">
              <w:rPr>
                <w:rFonts w:ascii="Times New Roman" w:hAnsi="Times New Roman"/>
                <w:bCs/>
                <w:sz w:val="22"/>
                <w:lang w:val="sr-Latn-ME"/>
              </w:rPr>
              <w:t>25 mg</w:t>
            </w:r>
            <w:r w:rsidRPr="00C01AF3">
              <w:rPr>
                <w:rFonts w:ascii="Times New Roman" w:hAnsi="Times New Roman"/>
                <w:bCs/>
                <w:sz w:val="22"/>
                <w:lang w:val="sr-Latn-ME"/>
              </w:rPr>
              <w:t>,</w:t>
            </w:r>
            <w:r w:rsidR="009A717F" w:rsidRPr="00C01AF3">
              <w:rPr>
                <w:rFonts w:ascii="Times New Roman" w:hAnsi="Times New Roman"/>
                <w:bCs/>
                <w:sz w:val="22"/>
                <w:lang w:val="sr-Latn-ME"/>
              </w:rPr>
              <w:t xml:space="preserve"> blister</w:t>
            </w:r>
            <w:r w:rsidRPr="00C01AF3">
              <w:rPr>
                <w:rFonts w:ascii="Times New Roman" w:hAnsi="Times New Roman"/>
                <w:bCs/>
                <w:sz w:val="22"/>
                <w:lang w:val="sr-Latn-ME"/>
              </w:rPr>
              <w:t>,</w:t>
            </w:r>
            <w:r w:rsidR="009A717F" w:rsidRPr="00C01AF3">
              <w:rPr>
                <w:rFonts w:ascii="Times New Roman" w:hAnsi="Times New Roman"/>
                <w:bCs/>
                <w:sz w:val="22"/>
                <w:lang w:val="sr-Latn-ME"/>
              </w:rPr>
              <w:t xml:space="preserve"> </w:t>
            </w:r>
            <w:r w:rsidRPr="00C01AF3">
              <w:rPr>
                <w:rFonts w:ascii="Times New Roman" w:hAnsi="Times New Roman"/>
                <w:bCs/>
                <w:sz w:val="22"/>
                <w:lang w:val="sr-Latn-ME"/>
              </w:rPr>
              <w:t xml:space="preserve">28 film tableta </w:t>
            </w:r>
            <w:r w:rsidR="009A717F" w:rsidRPr="00C01AF3">
              <w:rPr>
                <w:rFonts w:ascii="Times New Roman" w:hAnsi="Times New Roman"/>
                <w:bCs/>
                <w:sz w:val="22"/>
                <w:lang w:val="sr-Latn-ME"/>
              </w:rPr>
              <w:t>(2 x 14)</w:t>
            </w:r>
          </w:p>
          <w:p w:rsidR="00834DBB" w:rsidRPr="00C01AF3" w:rsidRDefault="006414BA" w:rsidP="00486402">
            <w:pPr>
              <w:pStyle w:val="Heading2"/>
              <w:rPr>
                <w:rFonts w:ascii="Times New Roman" w:hAnsi="Times New Roman"/>
                <w:bCs/>
                <w:i w:val="0"/>
                <w:color w:val="auto"/>
                <w:sz w:val="22"/>
                <w:lang w:val="sr-Latn-ME"/>
              </w:rPr>
            </w:pPr>
            <w:r w:rsidRPr="00C01AF3">
              <w:rPr>
                <w:rFonts w:ascii="Times New Roman" w:hAnsi="Times New Roman"/>
                <w:bCs/>
                <w:i w:val="0"/>
                <w:color w:val="auto"/>
                <w:sz w:val="22"/>
                <w:lang w:val="sr-Latn-ME"/>
              </w:rPr>
              <w:t>Exforge HCT</w:t>
            </w:r>
            <w:r w:rsidRPr="00C01AF3">
              <w:rPr>
                <w:rFonts w:ascii="Times New Roman" w:hAnsi="Times New Roman"/>
                <w:bCs/>
                <w:i w:val="0"/>
                <w:color w:val="auto"/>
                <w:sz w:val="22"/>
                <w:vertAlign w:val="superscript"/>
                <w:lang w:val="sr-Latn-ME"/>
              </w:rPr>
              <w:t>®</w:t>
            </w:r>
            <w:r w:rsidRPr="00C01AF3">
              <w:rPr>
                <w:rFonts w:ascii="Times New Roman" w:hAnsi="Times New Roman"/>
                <w:bCs/>
                <w:i w:val="0"/>
                <w:color w:val="auto"/>
                <w:sz w:val="22"/>
                <w:lang w:val="sr-Latn-ME"/>
              </w:rPr>
              <w:t xml:space="preserve">, film tableta, </w:t>
            </w:r>
            <w:r w:rsidR="00E51F51" w:rsidRPr="00C01AF3">
              <w:rPr>
                <w:rFonts w:ascii="Times New Roman" w:hAnsi="Times New Roman"/>
                <w:bCs/>
                <w:i w:val="0"/>
                <w:color w:val="auto"/>
                <w:sz w:val="22"/>
                <w:lang w:val="sr-Latn-ME"/>
              </w:rPr>
              <w:t>160mg</w:t>
            </w:r>
            <w:r w:rsidR="00A71C2D" w:rsidRPr="00C01AF3">
              <w:rPr>
                <w:rFonts w:ascii="Times New Roman" w:hAnsi="Times New Roman"/>
                <w:bCs/>
                <w:i w:val="0"/>
                <w:color w:val="auto"/>
                <w:sz w:val="22"/>
                <w:lang w:val="sr-Latn-ME"/>
              </w:rPr>
              <w:t>+10mg</w:t>
            </w:r>
            <w:r w:rsidR="00E51F51" w:rsidRPr="00C01AF3">
              <w:rPr>
                <w:rFonts w:ascii="Times New Roman" w:hAnsi="Times New Roman"/>
                <w:bCs/>
                <w:i w:val="0"/>
                <w:color w:val="auto"/>
                <w:sz w:val="22"/>
                <w:lang w:val="sr-Latn-ME"/>
              </w:rPr>
              <w:t>+</w:t>
            </w:r>
            <w:r w:rsidR="009A717F" w:rsidRPr="00C01AF3">
              <w:rPr>
                <w:rFonts w:ascii="Times New Roman" w:hAnsi="Times New Roman"/>
                <w:bCs/>
                <w:i w:val="0"/>
                <w:color w:val="auto"/>
                <w:sz w:val="22"/>
                <w:lang w:val="sr-Latn-ME"/>
              </w:rPr>
              <w:t>25 mg</w:t>
            </w:r>
            <w:r w:rsidRPr="00C01AF3">
              <w:rPr>
                <w:rFonts w:ascii="Times New Roman" w:hAnsi="Times New Roman"/>
                <w:bCs/>
                <w:i w:val="0"/>
                <w:color w:val="auto"/>
                <w:sz w:val="22"/>
                <w:lang w:val="sr-Latn-ME"/>
              </w:rPr>
              <w:t>,</w:t>
            </w:r>
            <w:r w:rsidR="009A717F" w:rsidRPr="00C01AF3">
              <w:rPr>
                <w:rFonts w:ascii="Times New Roman" w:hAnsi="Times New Roman"/>
                <w:bCs/>
                <w:i w:val="0"/>
                <w:color w:val="auto"/>
                <w:sz w:val="22"/>
                <w:lang w:val="sr-Latn-ME"/>
              </w:rPr>
              <w:t xml:space="preserve"> blister</w:t>
            </w:r>
            <w:r w:rsidRPr="00C01AF3">
              <w:rPr>
                <w:rFonts w:ascii="Times New Roman" w:hAnsi="Times New Roman"/>
                <w:bCs/>
                <w:i w:val="0"/>
                <w:color w:val="auto"/>
                <w:sz w:val="22"/>
                <w:lang w:val="sr-Latn-ME"/>
              </w:rPr>
              <w:t>,</w:t>
            </w:r>
            <w:r w:rsidR="009A717F" w:rsidRPr="00C01AF3">
              <w:rPr>
                <w:rFonts w:ascii="Times New Roman" w:hAnsi="Times New Roman"/>
                <w:bCs/>
                <w:i w:val="0"/>
                <w:color w:val="auto"/>
                <w:sz w:val="22"/>
                <w:lang w:val="sr-Latn-ME"/>
              </w:rPr>
              <w:t xml:space="preserve"> </w:t>
            </w:r>
            <w:r w:rsidRPr="00C01AF3">
              <w:rPr>
                <w:rFonts w:ascii="Times New Roman" w:hAnsi="Times New Roman"/>
                <w:bCs/>
                <w:i w:val="0"/>
                <w:color w:val="auto"/>
                <w:sz w:val="22"/>
                <w:lang w:val="sr-Latn-ME"/>
              </w:rPr>
              <w:t xml:space="preserve">28 film tableta </w:t>
            </w:r>
            <w:r w:rsidR="009A717F" w:rsidRPr="00C01AF3">
              <w:rPr>
                <w:rFonts w:ascii="Times New Roman" w:hAnsi="Times New Roman"/>
                <w:bCs/>
                <w:i w:val="0"/>
                <w:color w:val="auto"/>
                <w:sz w:val="22"/>
                <w:lang w:val="sr-Latn-ME"/>
              </w:rPr>
              <w:t>(2 x 14)</w:t>
            </w:r>
          </w:p>
          <w:p w:rsidR="009A717F" w:rsidRPr="00C01AF3" w:rsidRDefault="009A717F" w:rsidP="009A717F">
            <w:pPr>
              <w:rPr>
                <w:lang w:val="sr-Latn-ME"/>
              </w:rPr>
            </w:pPr>
          </w:p>
        </w:tc>
      </w:tr>
      <w:tr w:rsidR="004A3D29" w:rsidRPr="00C01AF3" w:rsidTr="00D506DF">
        <w:trPr>
          <w:trHeight w:val="435"/>
          <w:jc w:val="center"/>
        </w:trPr>
        <w:tc>
          <w:tcPr>
            <w:tcW w:w="2160" w:type="dxa"/>
            <w:vAlign w:val="center"/>
          </w:tcPr>
          <w:p w:rsidR="004A3D29" w:rsidRPr="00C01AF3" w:rsidRDefault="004A3D29" w:rsidP="00D506DF">
            <w:pPr>
              <w:jc w:val="center"/>
              <w:rPr>
                <w:rFonts w:ascii="Times New Roman" w:hAnsi="Times New Roman"/>
                <w:sz w:val="22"/>
                <w:szCs w:val="22"/>
                <w:lang w:val="sr-Latn-ME"/>
              </w:rPr>
            </w:pPr>
            <w:r w:rsidRPr="00C01AF3">
              <w:rPr>
                <w:rFonts w:ascii="Times New Roman" w:hAnsi="Times New Roman"/>
                <w:sz w:val="22"/>
                <w:szCs w:val="22"/>
                <w:lang w:val="sr-Latn-ME"/>
              </w:rPr>
              <w:t>Proizvođač</w:t>
            </w:r>
            <w:r w:rsidR="006414BA" w:rsidRPr="00C01AF3">
              <w:rPr>
                <w:rFonts w:ascii="Times New Roman" w:hAnsi="Times New Roman"/>
                <w:sz w:val="22"/>
                <w:szCs w:val="22"/>
                <w:lang w:val="sr-Latn-ME"/>
              </w:rPr>
              <w:t>i</w:t>
            </w:r>
            <w:r w:rsidRPr="00C01AF3">
              <w:rPr>
                <w:rFonts w:ascii="Times New Roman" w:hAnsi="Times New Roman"/>
                <w:sz w:val="22"/>
                <w:szCs w:val="22"/>
                <w:lang w:val="sr-Latn-ME"/>
              </w:rPr>
              <w:t>:</w:t>
            </w:r>
          </w:p>
        </w:tc>
        <w:tc>
          <w:tcPr>
            <w:tcW w:w="7200" w:type="dxa"/>
            <w:vAlign w:val="center"/>
          </w:tcPr>
          <w:p w:rsidR="0018380A" w:rsidRDefault="0018380A" w:rsidP="0018380A">
            <w:pPr>
              <w:tabs>
                <w:tab w:val="clear" w:pos="284"/>
              </w:tabs>
              <w:spacing w:before="200"/>
              <w:rPr>
                <w:rFonts w:ascii="Times New Roman" w:hAnsi="Times New Roman"/>
                <w:bCs/>
                <w:sz w:val="22"/>
                <w:szCs w:val="22"/>
                <w:lang w:val="sr-Latn-ME"/>
              </w:rPr>
            </w:pPr>
            <w:r>
              <w:rPr>
                <w:rFonts w:ascii="Times New Roman" w:hAnsi="Times New Roman"/>
                <w:bCs/>
                <w:sz w:val="22"/>
                <w:szCs w:val="22"/>
                <w:lang w:val="sr-Latn-ME"/>
              </w:rPr>
              <w:t>Novartis Farmaceutica S.A.</w:t>
            </w:r>
          </w:p>
          <w:p w:rsidR="004A3D29" w:rsidRPr="00C01AF3" w:rsidRDefault="004A3D29" w:rsidP="0018380A">
            <w:pPr>
              <w:tabs>
                <w:tab w:val="clear" w:pos="284"/>
              </w:tabs>
              <w:spacing w:before="200"/>
              <w:rPr>
                <w:rFonts w:ascii="Times New Roman" w:hAnsi="Times New Roman"/>
                <w:bCs/>
                <w:sz w:val="22"/>
                <w:szCs w:val="22"/>
                <w:lang w:val="sr-Latn-ME"/>
              </w:rPr>
            </w:pPr>
            <w:r w:rsidRPr="00C01AF3">
              <w:rPr>
                <w:rFonts w:ascii="Times New Roman" w:hAnsi="Times New Roman"/>
                <w:bCs/>
                <w:sz w:val="22"/>
                <w:szCs w:val="22"/>
                <w:lang w:val="sr-Latn-ME"/>
              </w:rPr>
              <w:t>Novartis Pharma Stein AG</w:t>
            </w:r>
          </w:p>
        </w:tc>
      </w:tr>
      <w:tr w:rsidR="004A3D29" w:rsidRPr="00C01AF3" w:rsidTr="00D506DF">
        <w:trPr>
          <w:trHeight w:val="360"/>
          <w:jc w:val="center"/>
        </w:trPr>
        <w:tc>
          <w:tcPr>
            <w:tcW w:w="2160" w:type="dxa"/>
          </w:tcPr>
          <w:p w:rsidR="004A3D29" w:rsidRPr="00C01AF3" w:rsidRDefault="004A3D29" w:rsidP="00D506DF">
            <w:pPr>
              <w:jc w:val="center"/>
              <w:rPr>
                <w:rFonts w:ascii="Times New Roman" w:hAnsi="Times New Roman"/>
                <w:sz w:val="22"/>
                <w:szCs w:val="22"/>
                <w:lang w:val="sr-Latn-ME"/>
              </w:rPr>
            </w:pPr>
            <w:r w:rsidRPr="00C01AF3">
              <w:rPr>
                <w:rFonts w:ascii="Times New Roman" w:hAnsi="Times New Roman"/>
                <w:sz w:val="22"/>
                <w:szCs w:val="22"/>
                <w:lang w:val="sr-Latn-ME"/>
              </w:rPr>
              <w:t>Adresa:</w:t>
            </w:r>
          </w:p>
        </w:tc>
        <w:tc>
          <w:tcPr>
            <w:tcW w:w="7200" w:type="dxa"/>
          </w:tcPr>
          <w:p w:rsidR="004A3D29" w:rsidRPr="00C01AF3" w:rsidRDefault="00A74E15" w:rsidP="00D506DF">
            <w:pPr>
              <w:tabs>
                <w:tab w:val="clear" w:pos="284"/>
              </w:tabs>
              <w:spacing w:before="200"/>
              <w:ind w:left="72" w:hanging="72"/>
              <w:rPr>
                <w:rFonts w:ascii="Times New Roman" w:hAnsi="Times New Roman"/>
                <w:bCs/>
                <w:sz w:val="22"/>
                <w:szCs w:val="22"/>
                <w:lang w:val="sr-Latn-ME"/>
              </w:rPr>
            </w:pPr>
            <w:r w:rsidRPr="00C01AF3">
              <w:rPr>
                <w:rFonts w:ascii="Times New Roman" w:hAnsi="Times New Roman"/>
                <w:bCs/>
                <w:sz w:val="22"/>
                <w:szCs w:val="22"/>
                <w:lang w:val="sr-Latn-ME"/>
              </w:rPr>
              <w:t>Ronda de Santa Maria</w:t>
            </w:r>
            <w:r w:rsidR="004A3D29" w:rsidRPr="00C01AF3">
              <w:rPr>
                <w:rFonts w:ascii="Times New Roman" w:hAnsi="Times New Roman"/>
                <w:bCs/>
                <w:sz w:val="22"/>
                <w:szCs w:val="22"/>
                <w:lang w:val="sr-Latn-ME"/>
              </w:rPr>
              <w:t xml:space="preserve"> 158</w:t>
            </w:r>
            <w:r w:rsidRPr="00C01AF3">
              <w:rPr>
                <w:rFonts w:ascii="Times New Roman" w:hAnsi="Times New Roman"/>
                <w:bCs/>
                <w:sz w:val="22"/>
                <w:szCs w:val="22"/>
                <w:lang w:val="sr-Latn-ME"/>
              </w:rPr>
              <w:t>, Barbera del Valles (Barcelona)</w:t>
            </w:r>
            <w:r w:rsidR="0018380A">
              <w:rPr>
                <w:rFonts w:ascii="Times New Roman" w:hAnsi="Times New Roman"/>
                <w:bCs/>
                <w:sz w:val="22"/>
                <w:szCs w:val="22"/>
                <w:lang w:val="sr-Latn-ME"/>
              </w:rPr>
              <w:t xml:space="preserve">, </w:t>
            </w:r>
            <w:r w:rsidR="0018380A" w:rsidRPr="00C01AF3">
              <w:rPr>
                <w:rFonts w:ascii="Times New Roman" w:hAnsi="Times New Roman"/>
                <w:bCs/>
                <w:sz w:val="22"/>
                <w:szCs w:val="22"/>
                <w:lang w:val="sr-Latn-ME"/>
              </w:rPr>
              <w:t>Španija</w:t>
            </w:r>
          </w:p>
          <w:p w:rsidR="004A3D29" w:rsidRPr="00C01AF3" w:rsidRDefault="004A3D29" w:rsidP="00D506DF">
            <w:pPr>
              <w:tabs>
                <w:tab w:val="clear" w:pos="284"/>
              </w:tabs>
              <w:spacing w:before="200"/>
              <w:ind w:left="72" w:hanging="72"/>
              <w:rPr>
                <w:rFonts w:ascii="Times New Roman" w:hAnsi="Times New Roman"/>
                <w:bCs/>
                <w:sz w:val="22"/>
                <w:szCs w:val="22"/>
                <w:lang w:val="sr-Latn-ME"/>
              </w:rPr>
            </w:pPr>
            <w:r w:rsidRPr="00C01AF3">
              <w:rPr>
                <w:rFonts w:ascii="Times New Roman" w:hAnsi="Times New Roman"/>
                <w:bCs/>
                <w:sz w:val="22"/>
                <w:szCs w:val="22"/>
                <w:lang w:val="sr-Latn-ME"/>
              </w:rPr>
              <w:t>Schaffhauserstrasse, 4332 Stein</w:t>
            </w:r>
            <w:r w:rsidR="0018380A">
              <w:rPr>
                <w:rFonts w:ascii="Times New Roman" w:hAnsi="Times New Roman"/>
                <w:bCs/>
                <w:sz w:val="22"/>
                <w:szCs w:val="22"/>
                <w:lang w:val="sr-Latn-ME"/>
              </w:rPr>
              <w:t xml:space="preserve">, </w:t>
            </w:r>
            <w:r w:rsidR="0018380A" w:rsidRPr="00C01AF3">
              <w:rPr>
                <w:rFonts w:ascii="Times New Roman" w:hAnsi="Times New Roman"/>
                <w:bCs/>
                <w:sz w:val="22"/>
                <w:szCs w:val="22"/>
                <w:lang w:val="sr-Latn-ME"/>
              </w:rPr>
              <w:t>Švajcarska</w:t>
            </w:r>
          </w:p>
        </w:tc>
      </w:tr>
      <w:tr w:rsidR="00FD7AC8" w:rsidRPr="00C01AF3" w:rsidTr="00D506DF">
        <w:trPr>
          <w:trHeight w:val="356"/>
          <w:jc w:val="center"/>
        </w:trPr>
        <w:tc>
          <w:tcPr>
            <w:tcW w:w="2160" w:type="dxa"/>
            <w:vAlign w:val="bottom"/>
          </w:tcPr>
          <w:p w:rsidR="00FD7AC8" w:rsidRPr="00C01AF3" w:rsidRDefault="00FD7AC8" w:rsidP="00D506DF">
            <w:pPr>
              <w:jc w:val="right"/>
              <w:rPr>
                <w:rFonts w:ascii="Times New Roman" w:hAnsi="Times New Roman"/>
                <w:sz w:val="22"/>
                <w:szCs w:val="22"/>
                <w:lang w:val="sr-Latn-ME"/>
              </w:rPr>
            </w:pPr>
            <w:r w:rsidRPr="00C01AF3">
              <w:rPr>
                <w:rFonts w:ascii="Times New Roman" w:hAnsi="Times New Roman"/>
                <w:sz w:val="22"/>
                <w:szCs w:val="22"/>
                <w:lang w:val="sr-Latn-ME"/>
              </w:rPr>
              <w:t>Podnosilac zaht</w:t>
            </w:r>
            <w:r w:rsidR="00A65414" w:rsidRPr="00C01AF3">
              <w:rPr>
                <w:rFonts w:ascii="Times New Roman" w:hAnsi="Times New Roman"/>
                <w:sz w:val="22"/>
                <w:szCs w:val="22"/>
                <w:lang w:val="sr-Latn-ME"/>
              </w:rPr>
              <w:t>j</w:t>
            </w:r>
            <w:r w:rsidRPr="00C01AF3">
              <w:rPr>
                <w:rFonts w:ascii="Times New Roman" w:hAnsi="Times New Roman"/>
                <w:sz w:val="22"/>
                <w:szCs w:val="22"/>
                <w:lang w:val="sr-Latn-ME"/>
              </w:rPr>
              <w:t>eva:</w:t>
            </w:r>
          </w:p>
        </w:tc>
        <w:tc>
          <w:tcPr>
            <w:tcW w:w="7200" w:type="dxa"/>
            <w:vAlign w:val="bottom"/>
          </w:tcPr>
          <w:p w:rsidR="00FD7AC8" w:rsidRPr="00C01AF3" w:rsidRDefault="00FD7AC8" w:rsidP="0018380A">
            <w:pPr>
              <w:tabs>
                <w:tab w:val="clear" w:pos="284"/>
              </w:tabs>
              <w:spacing w:before="200"/>
              <w:ind w:left="72" w:hanging="72"/>
              <w:jc w:val="left"/>
              <w:rPr>
                <w:rFonts w:ascii="Times New Roman" w:hAnsi="Times New Roman" w:cs="Arial"/>
                <w:bCs/>
                <w:sz w:val="22"/>
                <w:lang w:val="sr-Latn-ME"/>
              </w:rPr>
            </w:pPr>
            <w:r w:rsidRPr="00C01AF3">
              <w:rPr>
                <w:rFonts w:ascii="Times New Roman" w:hAnsi="Times New Roman"/>
                <w:sz w:val="22"/>
                <w:lang w:val="sr-Latn-ME"/>
              </w:rPr>
              <w:t>“Novartis Pharma Services AG” dio stranog društva Podgorica</w:t>
            </w:r>
          </w:p>
        </w:tc>
      </w:tr>
      <w:tr w:rsidR="00FD7AC8" w:rsidRPr="00C01AF3" w:rsidTr="00D506DF">
        <w:trPr>
          <w:trHeight w:val="353"/>
          <w:jc w:val="center"/>
        </w:trPr>
        <w:tc>
          <w:tcPr>
            <w:tcW w:w="2160" w:type="dxa"/>
            <w:vAlign w:val="bottom"/>
          </w:tcPr>
          <w:p w:rsidR="00FD7AC8" w:rsidRPr="00C01AF3" w:rsidRDefault="00FD7AC8" w:rsidP="00D506DF">
            <w:pPr>
              <w:jc w:val="right"/>
              <w:rPr>
                <w:rFonts w:ascii="Times New Roman" w:hAnsi="Times New Roman"/>
                <w:sz w:val="22"/>
                <w:szCs w:val="22"/>
                <w:lang w:val="sr-Latn-ME"/>
              </w:rPr>
            </w:pPr>
            <w:r w:rsidRPr="00C01AF3">
              <w:rPr>
                <w:rFonts w:ascii="Times New Roman" w:hAnsi="Times New Roman"/>
                <w:sz w:val="22"/>
                <w:szCs w:val="22"/>
                <w:lang w:val="sr-Latn-ME"/>
              </w:rPr>
              <w:t>Adresa:</w:t>
            </w:r>
          </w:p>
        </w:tc>
        <w:tc>
          <w:tcPr>
            <w:tcW w:w="7200" w:type="dxa"/>
            <w:vAlign w:val="bottom"/>
          </w:tcPr>
          <w:p w:rsidR="00FD7AC8" w:rsidRPr="00C01AF3" w:rsidRDefault="00FD7AC8" w:rsidP="00A65414">
            <w:pPr>
              <w:tabs>
                <w:tab w:val="clear" w:pos="284"/>
              </w:tabs>
              <w:spacing w:before="200"/>
              <w:ind w:left="72" w:hanging="72"/>
              <w:jc w:val="left"/>
              <w:rPr>
                <w:rFonts w:ascii="Times New Roman" w:hAnsi="Times New Roman" w:cs="Arial"/>
                <w:bCs/>
                <w:sz w:val="22"/>
                <w:lang w:val="sr-Latn-ME"/>
              </w:rPr>
            </w:pPr>
            <w:r w:rsidRPr="00C01AF3">
              <w:rPr>
                <w:rFonts w:ascii="Times New Roman" w:hAnsi="Times New Roman"/>
                <w:sz w:val="22"/>
                <w:szCs w:val="22"/>
                <w:lang w:val="sr-Latn-ME"/>
              </w:rPr>
              <w:t>Ul. Svetlane Kane Radović br 3, Podgorica</w:t>
            </w:r>
          </w:p>
        </w:tc>
      </w:tr>
    </w:tbl>
    <w:p w:rsidR="00834DBB" w:rsidRPr="00C01AF3" w:rsidRDefault="00834DBB">
      <w:pPr>
        <w:pStyle w:val="Header"/>
        <w:tabs>
          <w:tab w:val="clear" w:pos="4536"/>
          <w:tab w:val="clear" w:pos="9072"/>
          <w:tab w:val="left" w:pos="284"/>
        </w:tabs>
        <w:spacing w:before="400"/>
        <w:rPr>
          <w:rFonts w:ascii="Times New Roman" w:hAnsi="Times New Roman"/>
          <w:b/>
          <w:bCs/>
          <w:sz w:val="22"/>
          <w:szCs w:val="22"/>
          <w:lang w:val="sr-Latn-ME"/>
        </w:rPr>
      </w:pPr>
    </w:p>
    <w:p w:rsidR="004A3D29" w:rsidRPr="00C01AF3" w:rsidRDefault="004A3D29">
      <w:pPr>
        <w:pStyle w:val="Header"/>
        <w:tabs>
          <w:tab w:val="clear" w:pos="4536"/>
          <w:tab w:val="clear" w:pos="9072"/>
          <w:tab w:val="left" w:pos="284"/>
        </w:tabs>
        <w:spacing w:before="400"/>
        <w:rPr>
          <w:rFonts w:ascii="Times New Roman" w:hAnsi="Times New Roman"/>
          <w:b/>
          <w:bCs/>
          <w:sz w:val="22"/>
          <w:szCs w:val="22"/>
          <w:lang w:val="sr-Latn-ME"/>
        </w:rPr>
      </w:pPr>
    </w:p>
    <w:p w:rsidR="004A3D29" w:rsidRPr="00C01AF3" w:rsidRDefault="004A3D29">
      <w:pPr>
        <w:pStyle w:val="Header"/>
        <w:tabs>
          <w:tab w:val="clear" w:pos="4536"/>
          <w:tab w:val="clear" w:pos="9072"/>
          <w:tab w:val="left" w:pos="284"/>
        </w:tabs>
        <w:spacing w:before="400"/>
        <w:rPr>
          <w:rFonts w:ascii="Times New Roman" w:hAnsi="Times New Roman"/>
          <w:b/>
          <w:bCs/>
          <w:sz w:val="22"/>
          <w:szCs w:val="22"/>
          <w:lang w:val="sr-Latn-ME"/>
        </w:rPr>
      </w:pPr>
    </w:p>
    <w:p w:rsidR="004A3D29" w:rsidRPr="00C01AF3" w:rsidRDefault="004A3D29">
      <w:pPr>
        <w:pStyle w:val="Header"/>
        <w:tabs>
          <w:tab w:val="clear" w:pos="4536"/>
          <w:tab w:val="clear" w:pos="9072"/>
          <w:tab w:val="left" w:pos="284"/>
        </w:tabs>
        <w:spacing w:before="400"/>
        <w:rPr>
          <w:rFonts w:ascii="Times New Roman" w:hAnsi="Times New Roman"/>
          <w:b/>
          <w:bCs/>
          <w:sz w:val="22"/>
          <w:szCs w:val="22"/>
          <w:lang w:val="sr-Latn-ME"/>
        </w:rPr>
      </w:pPr>
    </w:p>
    <w:p w:rsidR="004A3D29" w:rsidRPr="00C01AF3" w:rsidRDefault="004A3D29">
      <w:pPr>
        <w:pStyle w:val="Header"/>
        <w:tabs>
          <w:tab w:val="clear" w:pos="4536"/>
          <w:tab w:val="clear" w:pos="9072"/>
          <w:tab w:val="left" w:pos="284"/>
        </w:tabs>
        <w:spacing w:before="400"/>
        <w:rPr>
          <w:rFonts w:ascii="Times New Roman" w:hAnsi="Times New Roman"/>
          <w:b/>
          <w:bCs/>
          <w:sz w:val="22"/>
          <w:szCs w:val="22"/>
          <w:lang w:val="sr-Latn-ME"/>
        </w:rPr>
      </w:pPr>
    </w:p>
    <w:p w:rsidR="00D741A9" w:rsidRPr="00C01AF3" w:rsidRDefault="00D741A9">
      <w:pPr>
        <w:pStyle w:val="Header"/>
        <w:tabs>
          <w:tab w:val="clear" w:pos="4536"/>
          <w:tab w:val="clear" w:pos="9072"/>
          <w:tab w:val="left" w:pos="284"/>
        </w:tabs>
        <w:spacing w:before="400"/>
        <w:rPr>
          <w:rFonts w:ascii="Times New Roman" w:hAnsi="Times New Roman"/>
          <w:b/>
          <w:bCs/>
          <w:sz w:val="22"/>
          <w:szCs w:val="22"/>
          <w:lang w:val="sr-Latn-ME"/>
        </w:rPr>
      </w:pPr>
    </w:p>
    <w:p w:rsidR="004A3D29" w:rsidRPr="00C01AF3" w:rsidRDefault="004A3D29">
      <w:pPr>
        <w:pStyle w:val="Header"/>
        <w:tabs>
          <w:tab w:val="clear" w:pos="4536"/>
          <w:tab w:val="clear" w:pos="9072"/>
          <w:tab w:val="left" w:pos="284"/>
        </w:tabs>
        <w:spacing w:before="400"/>
        <w:rPr>
          <w:rFonts w:ascii="Times New Roman" w:hAnsi="Times New Roman"/>
          <w:b/>
          <w:bCs/>
          <w:sz w:val="22"/>
          <w:szCs w:val="22"/>
          <w:lang w:val="sr-Latn-ME"/>
        </w:rPr>
      </w:pPr>
    </w:p>
    <w:tbl>
      <w:tblPr>
        <w:tblW w:w="10188" w:type="dxa"/>
        <w:tblLayout w:type="fixed"/>
        <w:tblLook w:val="0000" w:firstRow="0" w:lastRow="0" w:firstColumn="0" w:lastColumn="0" w:noHBand="0" w:noVBand="0"/>
      </w:tblPr>
      <w:tblGrid>
        <w:gridCol w:w="828"/>
        <w:gridCol w:w="360"/>
        <w:gridCol w:w="9000"/>
      </w:tblGrid>
      <w:tr w:rsidR="00834DBB" w:rsidRPr="00C01AF3" w:rsidTr="00DE0A48">
        <w:trPr>
          <w:trHeight w:val="284"/>
        </w:trPr>
        <w:tc>
          <w:tcPr>
            <w:tcW w:w="10188" w:type="dxa"/>
            <w:gridSpan w:val="3"/>
            <w:shd w:val="clear" w:color="auto" w:fill="E0E0E0"/>
            <w:vAlign w:val="center"/>
          </w:tcPr>
          <w:p w:rsidR="00834DBB" w:rsidRPr="00C01AF3" w:rsidRDefault="00834DBB" w:rsidP="00086DBD">
            <w:pPr>
              <w:pStyle w:val="Header"/>
              <w:tabs>
                <w:tab w:val="clear" w:pos="4536"/>
                <w:tab w:val="clear" w:pos="9072"/>
                <w:tab w:val="left" w:pos="284"/>
              </w:tabs>
              <w:rPr>
                <w:rFonts w:ascii="Times New Roman" w:hAnsi="Times New Roman"/>
                <w:b/>
                <w:bCs/>
                <w:sz w:val="22"/>
                <w:szCs w:val="22"/>
                <w:lang w:val="sr-Latn-ME"/>
              </w:rPr>
            </w:pPr>
            <w:r w:rsidRPr="00C01AF3">
              <w:rPr>
                <w:rFonts w:ascii="Times New Roman" w:hAnsi="Times New Roman"/>
                <w:b/>
                <w:bCs/>
                <w:sz w:val="22"/>
                <w:szCs w:val="22"/>
                <w:lang w:val="sr-Latn-ME"/>
              </w:rPr>
              <w:t xml:space="preserve">1. </w:t>
            </w:r>
            <w:r w:rsidR="00086DBD">
              <w:rPr>
                <w:rFonts w:ascii="Times New Roman" w:hAnsi="Times New Roman"/>
                <w:b/>
                <w:bCs/>
                <w:sz w:val="22"/>
                <w:szCs w:val="22"/>
                <w:lang w:val="sr-Latn-ME"/>
              </w:rPr>
              <w:t>IME</w:t>
            </w:r>
            <w:bookmarkStart w:id="0" w:name="_GoBack"/>
            <w:bookmarkEnd w:id="0"/>
            <w:r w:rsidRPr="00C01AF3">
              <w:rPr>
                <w:rFonts w:ascii="Times New Roman" w:hAnsi="Times New Roman"/>
                <w:b/>
                <w:bCs/>
                <w:sz w:val="22"/>
                <w:szCs w:val="22"/>
                <w:lang w:val="sr-Latn-ME"/>
              </w:rPr>
              <w:t xml:space="preserve"> L</w:t>
            </w:r>
            <w:r w:rsidR="00763B80" w:rsidRPr="00C01AF3">
              <w:rPr>
                <w:rFonts w:ascii="Times New Roman" w:hAnsi="Times New Roman"/>
                <w:b/>
                <w:bCs/>
                <w:sz w:val="22"/>
                <w:szCs w:val="22"/>
                <w:lang w:val="sr-Latn-ME"/>
              </w:rPr>
              <w:t>IJ</w:t>
            </w:r>
            <w:r w:rsidRPr="00C01AF3">
              <w:rPr>
                <w:rFonts w:ascii="Times New Roman" w:hAnsi="Times New Roman"/>
                <w:b/>
                <w:bCs/>
                <w:sz w:val="22"/>
                <w:szCs w:val="22"/>
                <w:lang w:val="sr-Latn-ME"/>
              </w:rPr>
              <w:t>EK</w:t>
            </w:r>
            <w:r w:rsidR="002B6F6A" w:rsidRPr="00C01AF3">
              <w:rPr>
                <w:rFonts w:ascii="Times New Roman" w:hAnsi="Times New Roman"/>
                <w:b/>
                <w:bCs/>
                <w:sz w:val="22"/>
                <w:szCs w:val="22"/>
                <w:lang w:val="sr-Latn-ME"/>
              </w:rPr>
              <w:t>A</w:t>
            </w:r>
          </w:p>
        </w:tc>
      </w:tr>
      <w:tr w:rsidR="00834DBB" w:rsidRPr="00C01AF3" w:rsidTr="00DE0A48">
        <w:trPr>
          <w:trHeight w:val="525"/>
        </w:trPr>
        <w:tc>
          <w:tcPr>
            <w:tcW w:w="10188" w:type="dxa"/>
            <w:gridSpan w:val="3"/>
            <w:vAlign w:val="center"/>
          </w:tcPr>
          <w:p w:rsidR="00D741A9" w:rsidRPr="00C01AF3" w:rsidRDefault="00D741A9" w:rsidP="00837F9D">
            <w:pPr>
              <w:widowControl w:val="0"/>
              <w:autoSpaceDE w:val="0"/>
              <w:autoSpaceDN w:val="0"/>
              <w:jc w:val="left"/>
              <w:rPr>
                <w:rFonts w:ascii="Times New Roman" w:hAnsi="Times New Roman" w:cs="Arial"/>
                <w:sz w:val="22"/>
                <w:lang w:val="sr-Latn-ME"/>
              </w:rPr>
            </w:pPr>
          </w:p>
          <w:p w:rsidR="00837F9D" w:rsidRPr="00C01AF3" w:rsidRDefault="00837F9D" w:rsidP="00837F9D">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w:t>
            </w:r>
            <w:r w:rsidRPr="00C01AF3">
              <w:rPr>
                <w:lang w:val="sr-Latn-ME"/>
              </w:rPr>
              <w:t xml:space="preserve"> </w:t>
            </w:r>
            <w:r w:rsidRPr="00C01AF3">
              <w:rPr>
                <w:rFonts w:ascii="Times New Roman" w:hAnsi="Times New Roman" w:cs="Arial"/>
                <w:sz w:val="22"/>
                <w:lang w:val="sr-Latn-ME"/>
              </w:rPr>
              <w:t xml:space="preserve">HCT </w:t>
            </w:r>
            <w:r w:rsidRPr="00C01AF3">
              <w:rPr>
                <w:rFonts w:ascii="Times New Roman" w:hAnsi="Times New Roman" w:cs="Arial"/>
                <w:sz w:val="22"/>
                <w:vertAlign w:val="superscript"/>
                <w:lang w:val="sr-Latn-ME"/>
              </w:rPr>
              <w:t>®</w:t>
            </w:r>
            <w:r w:rsidR="00E50242" w:rsidRPr="00C01AF3">
              <w:rPr>
                <w:rFonts w:ascii="Times New Roman" w:hAnsi="Times New Roman" w:cs="Arial"/>
                <w:sz w:val="22"/>
                <w:lang w:val="sr-Latn-ME"/>
              </w:rPr>
              <w:t xml:space="preserve"> </w:t>
            </w:r>
            <w:r w:rsidR="007C4A86" w:rsidRPr="00C01AF3">
              <w:rPr>
                <w:rFonts w:ascii="Times New Roman" w:hAnsi="Times New Roman" w:cs="Arial"/>
                <w:sz w:val="22"/>
                <w:lang w:val="sr-Latn-ME"/>
              </w:rPr>
              <w:t xml:space="preserve">160mg + 5mg + 12,5mg </w:t>
            </w:r>
            <w:r w:rsidRPr="00C01AF3">
              <w:rPr>
                <w:rFonts w:ascii="Times New Roman" w:hAnsi="Times New Roman" w:cs="Arial"/>
                <w:sz w:val="22"/>
                <w:lang w:val="sr-Latn-ME"/>
              </w:rPr>
              <w:t>; film tableta</w:t>
            </w:r>
          </w:p>
          <w:p w:rsidR="00837F9D" w:rsidRPr="00C01AF3" w:rsidRDefault="00837F9D" w:rsidP="00837F9D">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w:t>
            </w:r>
            <w:r w:rsidRPr="00C01AF3">
              <w:rPr>
                <w:lang w:val="sr-Latn-ME"/>
              </w:rPr>
              <w:t xml:space="preserve"> </w:t>
            </w:r>
            <w:r w:rsidRPr="00C01AF3">
              <w:rPr>
                <w:rFonts w:ascii="Times New Roman" w:hAnsi="Times New Roman" w:cs="Arial"/>
                <w:sz w:val="22"/>
                <w:lang w:val="sr-Latn-ME"/>
              </w:rPr>
              <w:t xml:space="preserve">HCT </w:t>
            </w:r>
            <w:r w:rsidRPr="00C01AF3">
              <w:rPr>
                <w:rFonts w:ascii="Times New Roman" w:hAnsi="Times New Roman" w:cs="Arial"/>
                <w:sz w:val="22"/>
                <w:vertAlign w:val="superscript"/>
                <w:lang w:val="sr-Latn-ME"/>
              </w:rPr>
              <w:t>®</w:t>
            </w:r>
            <w:r w:rsidR="009C51E8" w:rsidRPr="00C01AF3">
              <w:rPr>
                <w:rFonts w:ascii="Times New Roman" w:hAnsi="Times New Roman" w:cs="Arial"/>
                <w:sz w:val="22"/>
                <w:vertAlign w:val="superscript"/>
                <w:lang w:val="sr-Latn-ME"/>
              </w:rPr>
              <w:t xml:space="preserve"> </w:t>
            </w:r>
            <w:r w:rsidR="007C4A86" w:rsidRPr="00C01AF3">
              <w:rPr>
                <w:rFonts w:ascii="Times New Roman" w:hAnsi="Times New Roman" w:cs="Arial"/>
                <w:sz w:val="22"/>
                <w:lang w:val="sr-Latn-ME"/>
              </w:rPr>
              <w:t>160mg + 10mg + 12,5mg</w:t>
            </w:r>
            <w:r w:rsidRPr="00C01AF3">
              <w:rPr>
                <w:rFonts w:ascii="Times New Roman" w:hAnsi="Times New Roman" w:cs="Arial"/>
                <w:sz w:val="22"/>
                <w:lang w:val="sr-Latn-ME"/>
              </w:rPr>
              <w:t>; film tableta</w:t>
            </w:r>
          </w:p>
          <w:p w:rsidR="00837F9D" w:rsidRPr="00C01AF3" w:rsidRDefault="00837F9D" w:rsidP="00837F9D">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w:t>
            </w:r>
            <w:r w:rsidRPr="00C01AF3">
              <w:rPr>
                <w:lang w:val="sr-Latn-ME"/>
              </w:rPr>
              <w:t xml:space="preserve"> </w:t>
            </w:r>
            <w:r w:rsidRPr="00C01AF3">
              <w:rPr>
                <w:rFonts w:ascii="Times New Roman" w:hAnsi="Times New Roman" w:cs="Arial"/>
                <w:sz w:val="22"/>
                <w:lang w:val="sr-Latn-ME"/>
              </w:rPr>
              <w:t xml:space="preserve">HCT </w:t>
            </w:r>
            <w:r w:rsidRPr="00C01AF3">
              <w:rPr>
                <w:rFonts w:ascii="Times New Roman" w:hAnsi="Times New Roman" w:cs="Arial"/>
                <w:sz w:val="22"/>
                <w:vertAlign w:val="superscript"/>
                <w:lang w:val="sr-Latn-ME"/>
              </w:rPr>
              <w:t>®</w:t>
            </w:r>
            <w:r w:rsidR="00E50242" w:rsidRPr="00C01AF3">
              <w:rPr>
                <w:rFonts w:ascii="Times New Roman" w:hAnsi="Times New Roman" w:cs="Arial"/>
                <w:sz w:val="22"/>
                <w:lang w:val="sr-Latn-ME"/>
              </w:rPr>
              <w:t xml:space="preserve"> </w:t>
            </w:r>
            <w:r w:rsidR="007C4A86" w:rsidRPr="00C01AF3">
              <w:rPr>
                <w:rFonts w:ascii="Times New Roman" w:hAnsi="Times New Roman" w:cs="Arial"/>
                <w:sz w:val="22"/>
                <w:lang w:val="sr-Latn-ME"/>
              </w:rPr>
              <w:t>160mg + 5mg + 25mg</w:t>
            </w:r>
            <w:r w:rsidRPr="00C01AF3">
              <w:rPr>
                <w:rFonts w:ascii="Times New Roman" w:hAnsi="Times New Roman" w:cs="Arial"/>
                <w:sz w:val="22"/>
                <w:lang w:val="sr-Latn-ME"/>
              </w:rPr>
              <w:t>; film tableta</w:t>
            </w:r>
          </w:p>
          <w:p w:rsidR="00837F9D" w:rsidRPr="00C01AF3" w:rsidRDefault="00837F9D" w:rsidP="00837F9D">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w:t>
            </w:r>
            <w:r w:rsidRPr="00C01AF3">
              <w:rPr>
                <w:lang w:val="sr-Latn-ME"/>
              </w:rPr>
              <w:t xml:space="preserve"> </w:t>
            </w:r>
            <w:r w:rsidRPr="00C01AF3">
              <w:rPr>
                <w:rFonts w:ascii="Times New Roman" w:hAnsi="Times New Roman" w:cs="Arial"/>
                <w:sz w:val="22"/>
                <w:lang w:val="sr-Latn-ME"/>
              </w:rPr>
              <w:t xml:space="preserve">HCT </w:t>
            </w:r>
            <w:r w:rsidRPr="00C01AF3">
              <w:rPr>
                <w:rFonts w:ascii="Times New Roman" w:hAnsi="Times New Roman" w:cs="Arial"/>
                <w:sz w:val="22"/>
                <w:vertAlign w:val="superscript"/>
                <w:lang w:val="sr-Latn-ME"/>
              </w:rPr>
              <w:t>®</w:t>
            </w:r>
            <w:r w:rsidR="009C51E8" w:rsidRPr="00C01AF3">
              <w:rPr>
                <w:rFonts w:ascii="Times New Roman" w:hAnsi="Times New Roman" w:cs="Arial"/>
                <w:sz w:val="22"/>
                <w:vertAlign w:val="superscript"/>
                <w:lang w:val="sr-Latn-ME"/>
              </w:rPr>
              <w:t xml:space="preserve"> </w:t>
            </w:r>
            <w:r w:rsidR="007C4A86" w:rsidRPr="00C01AF3">
              <w:rPr>
                <w:rFonts w:ascii="Times New Roman" w:hAnsi="Times New Roman" w:cs="Arial"/>
                <w:sz w:val="22"/>
                <w:lang w:val="sr-Latn-ME"/>
              </w:rPr>
              <w:t>160mg + 10 mg + 25 mg</w:t>
            </w:r>
            <w:r w:rsidRPr="00C01AF3">
              <w:rPr>
                <w:rFonts w:ascii="Times New Roman" w:hAnsi="Times New Roman" w:cs="Arial"/>
                <w:sz w:val="22"/>
                <w:lang w:val="sr-Latn-ME"/>
              </w:rPr>
              <w:t>; film tableta</w:t>
            </w:r>
          </w:p>
          <w:p w:rsidR="00373E8B" w:rsidRPr="00C01AF3" w:rsidRDefault="00373E8B" w:rsidP="00373E8B">
            <w:pPr>
              <w:widowControl w:val="0"/>
              <w:autoSpaceDE w:val="0"/>
              <w:autoSpaceDN w:val="0"/>
              <w:jc w:val="left"/>
              <w:rPr>
                <w:rFonts w:ascii="Times New Roman" w:hAnsi="Times New Roman"/>
                <w:b/>
                <w:bCs/>
                <w:sz w:val="22"/>
                <w:szCs w:val="22"/>
                <w:lang w:val="sr-Latn-ME"/>
              </w:rPr>
            </w:pPr>
          </w:p>
          <w:p w:rsidR="00713842" w:rsidRPr="00C01AF3" w:rsidRDefault="00DE5C52" w:rsidP="007C4A86">
            <w:pPr>
              <w:pStyle w:val="Header"/>
              <w:tabs>
                <w:tab w:val="clear" w:pos="4536"/>
                <w:tab w:val="clear" w:pos="9072"/>
                <w:tab w:val="left" w:pos="284"/>
              </w:tabs>
              <w:jc w:val="left"/>
              <w:rPr>
                <w:rFonts w:ascii="Times New Roman" w:hAnsi="Times New Roman"/>
                <w:sz w:val="22"/>
                <w:szCs w:val="22"/>
                <w:lang w:val="sr-Latn-ME"/>
              </w:rPr>
            </w:pPr>
            <w:r w:rsidRPr="00C01AF3">
              <w:rPr>
                <w:rFonts w:ascii="Times New Roman" w:hAnsi="Times New Roman"/>
                <w:sz w:val="22"/>
                <w:szCs w:val="22"/>
                <w:lang w:val="sr-Latn-ME"/>
              </w:rPr>
              <w:t xml:space="preserve">INN: </w:t>
            </w:r>
            <w:r w:rsidR="007C4A86" w:rsidRPr="00C01AF3">
              <w:rPr>
                <w:rFonts w:ascii="Times New Roman" w:hAnsi="Times New Roman"/>
                <w:sz w:val="22"/>
                <w:szCs w:val="22"/>
                <w:lang w:val="sr-Latn-ME"/>
              </w:rPr>
              <w:t>valsartan+ amlodipin</w:t>
            </w:r>
            <w:r w:rsidR="009C51E8" w:rsidRPr="00C01AF3">
              <w:rPr>
                <w:rFonts w:ascii="Times New Roman" w:hAnsi="Times New Roman"/>
                <w:sz w:val="22"/>
                <w:szCs w:val="22"/>
                <w:lang w:val="sr-Latn-ME"/>
              </w:rPr>
              <w:t xml:space="preserve"> </w:t>
            </w:r>
            <w:r w:rsidR="00837F9D" w:rsidRPr="00C01AF3">
              <w:rPr>
                <w:rFonts w:ascii="Times New Roman" w:hAnsi="Times New Roman"/>
                <w:sz w:val="22"/>
                <w:szCs w:val="22"/>
                <w:lang w:val="sr-Latn-ME"/>
              </w:rPr>
              <w:t>+</w:t>
            </w:r>
            <w:r w:rsidR="009C51E8" w:rsidRPr="00C01AF3">
              <w:rPr>
                <w:rFonts w:ascii="Times New Roman" w:hAnsi="Times New Roman"/>
                <w:sz w:val="22"/>
                <w:szCs w:val="22"/>
                <w:lang w:val="sr-Latn-ME"/>
              </w:rPr>
              <w:t xml:space="preserve"> </w:t>
            </w:r>
            <w:r w:rsidR="007C4A86" w:rsidRPr="00C01AF3">
              <w:rPr>
                <w:rFonts w:ascii="Times New Roman" w:hAnsi="Times New Roman"/>
                <w:sz w:val="22"/>
                <w:szCs w:val="22"/>
                <w:lang w:val="sr-Latn-ME"/>
              </w:rPr>
              <w:t>hidrohlortiazid</w:t>
            </w:r>
          </w:p>
        </w:tc>
      </w:tr>
      <w:tr w:rsidR="00834DBB" w:rsidRPr="00C01AF3" w:rsidTr="00DE0A48">
        <w:trPr>
          <w:trHeight w:val="338"/>
        </w:trPr>
        <w:tc>
          <w:tcPr>
            <w:tcW w:w="828" w:type="dxa"/>
          </w:tcPr>
          <w:p w:rsidR="00834DBB" w:rsidRPr="00C01AF3" w:rsidRDefault="00834DBB">
            <w:pPr>
              <w:pStyle w:val="Header"/>
              <w:tabs>
                <w:tab w:val="clear" w:pos="4536"/>
                <w:tab w:val="clear" w:pos="9072"/>
                <w:tab w:val="left" w:pos="284"/>
              </w:tabs>
              <w:jc w:val="left"/>
              <w:rPr>
                <w:rFonts w:ascii="Times New Roman" w:hAnsi="Times New Roman"/>
                <w:sz w:val="22"/>
                <w:szCs w:val="22"/>
                <w:lang w:val="sr-Latn-ME"/>
              </w:rPr>
            </w:pPr>
          </w:p>
        </w:tc>
        <w:tc>
          <w:tcPr>
            <w:tcW w:w="9360" w:type="dxa"/>
            <w:gridSpan w:val="2"/>
            <w:vAlign w:val="center"/>
          </w:tcPr>
          <w:p w:rsidR="00834DBB" w:rsidRPr="00C01AF3" w:rsidRDefault="00834DBB">
            <w:pPr>
              <w:pStyle w:val="Header"/>
              <w:tabs>
                <w:tab w:val="clear" w:pos="4536"/>
                <w:tab w:val="clear" w:pos="9072"/>
                <w:tab w:val="left" w:pos="284"/>
              </w:tabs>
              <w:jc w:val="left"/>
              <w:rPr>
                <w:rFonts w:ascii="Times New Roman" w:hAnsi="Times New Roman"/>
                <w:sz w:val="22"/>
                <w:szCs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2. KVALITATIVNI I KVANTITATIVNI SASTAV</w:t>
            </w:r>
          </w:p>
        </w:tc>
      </w:tr>
      <w:tr w:rsidR="00834DBB" w:rsidRPr="00C01AF3" w:rsidTr="00DE0A48">
        <w:trPr>
          <w:trHeight w:val="1145"/>
        </w:trPr>
        <w:tc>
          <w:tcPr>
            <w:tcW w:w="10188" w:type="dxa"/>
            <w:gridSpan w:val="3"/>
            <w:vAlign w:val="center"/>
          </w:tcPr>
          <w:p w:rsidR="00D741A9" w:rsidRPr="00C01AF3" w:rsidRDefault="00D741A9" w:rsidP="00C67508">
            <w:pPr>
              <w:jc w:val="left"/>
              <w:rPr>
                <w:rFonts w:ascii="Times New Roman" w:hAnsi="Times New Roman" w:cs="Arial"/>
                <w:i/>
                <w:sz w:val="22"/>
                <w:lang w:val="sr-Latn-ME"/>
              </w:rPr>
            </w:pPr>
          </w:p>
          <w:p w:rsidR="00C67508" w:rsidRPr="00C01AF3" w:rsidRDefault="007C4A86" w:rsidP="00C67508">
            <w:pPr>
              <w:jc w:val="left"/>
              <w:rPr>
                <w:rFonts w:ascii="Times New Roman" w:hAnsi="Times New Roman" w:cs="Arial"/>
                <w:i/>
                <w:sz w:val="22"/>
                <w:lang w:val="sr-Latn-ME"/>
              </w:rPr>
            </w:pPr>
            <w:r w:rsidRPr="00C01AF3">
              <w:rPr>
                <w:rFonts w:ascii="Times New Roman" w:hAnsi="Times New Roman" w:cs="Arial"/>
                <w:i/>
                <w:sz w:val="22"/>
                <w:lang w:val="sr-Latn-ME"/>
              </w:rPr>
              <w:t>160mg + 5mg + 12,5mg</w:t>
            </w:r>
            <w:r w:rsidR="00C67508" w:rsidRPr="00C01AF3">
              <w:rPr>
                <w:rFonts w:ascii="Times New Roman" w:hAnsi="Times New Roman" w:cs="Arial"/>
                <w:i/>
                <w:sz w:val="22"/>
                <w:lang w:val="sr-Latn-ME"/>
              </w:rPr>
              <w:t>:</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Jedna film tableta sadrži: </w:t>
            </w:r>
            <w:r w:rsidR="007C4A86" w:rsidRPr="00C01AF3">
              <w:rPr>
                <w:rFonts w:ascii="Times New Roman" w:hAnsi="Times New Roman" w:cs="Arial"/>
                <w:sz w:val="22"/>
                <w:lang w:val="sr-Latn-ME"/>
              </w:rPr>
              <w:t xml:space="preserve">160 mg valsartana, </w:t>
            </w:r>
            <w:r w:rsidRPr="00C01AF3">
              <w:rPr>
                <w:rFonts w:ascii="Times New Roman" w:hAnsi="Times New Roman" w:cs="Arial"/>
                <w:sz w:val="22"/>
                <w:lang w:val="sr-Latn-ME"/>
              </w:rPr>
              <w:t>5</w:t>
            </w:r>
            <w:r w:rsidR="008F6AF9" w:rsidRPr="00C01AF3">
              <w:rPr>
                <w:rFonts w:ascii="Times New Roman" w:hAnsi="Times New Roman" w:cs="Arial"/>
                <w:sz w:val="22"/>
                <w:lang w:val="sr-Latn-ME"/>
              </w:rPr>
              <w:t xml:space="preserve"> </w:t>
            </w:r>
            <w:r w:rsidRPr="00C01AF3">
              <w:rPr>
                <w:rFonts w:ascii="Times New Roman" w:hAnsi="Times New Roman" w:cs="Arial"/>
                <w:sz w:val="22"/>
                <w:lang w:val="sr-Latn-ME"/>
              </w:rPr>
              <w:t>mg</w:t>
            </w:r>
            <w:r w:rsidR="00730683" w:rsidRPr="00C01AF3">
              <w:rPr>
                <w:rFonts w:ascii="Times New Roman" w:hAnsi="Times New Roman" w:cs="Arial"/>
                <w:sz w:val="22"/>
                <w:lang w:val="sr-Latn-ME"/>
              </w:rPr>
              <w:t xml:space="preserve"> amlodipina (u obliku amlodipin </w:t>
            </w:r>
            <w:r w:rsidRPr="00C01AF3">
              <w:rPr>
                <w:rFonts w:ascii="Times New Roman" w:hAnsi="Times New Roman" w:cs="Arial"/>
                <w:sz w:val="22"/>
                <w:lang w:val="sr-Latn-ME"/>
              </w:rPr>
              <w:t xml:space="preserve">besilata) i </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12,5 mg </w:t>
            </w:r>
            <w:r w:rsidR="007C4A86" w:rsidRPr="00C01AF3">
              <w:rPr>
                <w:rFonts w:ascii="Times New Roman" w:hAnsi="Times New Roman" w:cs="Arial"/>
                <w:sz w:val="22"/>
                <w:lang w:val="sr-Latn-ME"/>
              </w:rPr>
              <w:t>hidrohlortiazid</w:t>
            </w:r>
            <w:r w:rsidRPr="00C01AF3">
              <w:rPr>
                <w:rFonts w:ascii="Times New Roman" w:hAnsi="Times New Roman" w:cs="Arial"/>
                <w:sz w:val="22"/>
                <w:lang w:val="sr-Latn-ME"/>
              </w:rPr>
              <w:t>a</w:t>
            </w:r>
            <w:r w:rsidR="00A579B1" w:rsidRPr="00C01AF3">
              <w:rPr>
                <w:rFonts w:ascii="Times New Roman" w:hAnsi="Times New Roman" w:cs="Arial"/>
                <w:sz w:val="22"/>
                <w:lang w:val="sr-Latn-ME"/>
              </w:rPr>
              <w:t>.</w:t>
            </w:r>
          </w:p>
          <w:p w:rsidR="00D741A9" w:rsidRPr="00C01AF3" w:rsidRDefault="00D741A9" w:rsidP="00C67508">
            <w:pPr>
              <w:jc w:val="left"/>
              <w:rPr>
                <w:rFonts w:ascii="Times New Roman" w:hAnsi="Times New Roman" w:cs="Arial"/>
                <w:i/>
                <w:sz w:val="22"/>
                <w:lang w:val="sr-Latn-ME"/>
              </w:rPr>
            </w:pPr>
          </w:p>
          <w:p w:rsidR="008F6AF9" w:rsidRPr="00C01AF3" w:rsidRDefault="007C4A86" w:rsidP="00C67508">
            <w:pPr>
              <w:jc w:val="left"/>
              <w:rPr>
                <w:rFonts w:ascii="Times New Roman" w:hAnsi="Times New Roman" w:cs="Arial"/>
                <w:i/>
                <w:sz w:val="22"/>
                <w:lang w:val="sr-Latn-ME"/>
              </w:rPr>
            </w:pPr>
            <w:r w:rsidRPr="00C01AF3">
              <w:rPr>
                <w:rFonts w:ascii="Times New Roman" w:hAnsi="Times New Roman" w:cs="Arial"/>
                <w:i/>
                <w:sz w:val="22"/>
                <w:lang w:val="sr-Latn-ME"/>
              </w:rPr>
              <w:t>160mg + 10mg + 12,5mg</w:t>
            </w:r>
            <w:r w:rsidR="008F6AF9" w:rsidRPr="00C01AF3">
              <w:rPr>
                <w:rFonts w:ascii="Times New Roman" w:hAnsi="Times New Roman" w:cs="Arial"/>
                <w:i/>
                <w:sz w:val="22"/>
                <w:lang w:val="sr-Latn-ME"/>
              </w:rPr>
              <w:t>:</w:t>
            </w:r>
          </w:p>
          <w:p w:rsidR="00C67508" w:rsidRPr="00C01AF3" w:rsidRDefault="007C4A86" w:rsidP="00C67508">
            <w:pPr>
              <w:jc w:val="left"/>
              <w:rPr>
                <w:rFonts w:ascii="Times New Roman" w:hAnsi="Times New Roman" w:cs="Arial"/>
                <w:sz w:val="22"/>
                <w:lang w:val="sr-Latn-ME"/>
              </w:rPr>
            </w:pPr>
            <w:r w:rsidRPr="00C01AF3" w:rsidDel="007C4A86">
              <w:rPr>
                <w:rFonts w:ascii="Times New Roman" w:hAnsi="Times New Roman" w:cs="Arial"/>
                <w:i/>
                <w:sz w:val="22"/>
                <w:lang w:val="sr-Latn-ME"/>
              </w:rPr>
              <w:t xml:space="preserve"> </w:t>
            </w:r>
            <w:r w:rsidR="00C67508" w:rsidRPr="00C01AF3">
              <w:rPr>
                <w:rFonts w:ascii="Times New Roman" w:hAnsi="Times New Roman" w:cs="Arial"/>
                <w:sz w:val="22"/>
                <w:lang w:val="sr-Latn-ME"/>
              </w:rPr>
              <w:t xml:space="preserve">Jedna film tableta sadrži: </w:t>
            </w:r>
            <w:r w:rsidRPr="00C01AF3">
              <w:rPr>
                <w:rFonts w:ascii="Times New Roman" w:hAnsi="Times New Roman" w:cs="Arial"/>
                <w:sz w:val="22"/>
                <w:lang w:val="sr-Latn-ME"/>
              </w:rPr>
              <w:t xml:space="preserve">160 mg valsartana, </w:t>
            </w:r>
            <w:r w:rsidR="00C67508" w:rsidRPr="00C01AF3">
              <w:rPr>
                <w:rFonts w:ascii="Times New Roman" w:hAnsi="Times New Roman" w:cs="Arial"/>
                <w:sz w:val="22"/>
                <w:lang w:val="sr-Latn-ME"/>
              </w:rPr>
              <w:t>10</w:t>
            </w:r>
            <w:r w:rsidR="008F6AF9" w:rsidRPr="00C01AF3">
              <w:rPr>
                <w:rFonts w:ascii="Times New Roman" w:hAnsi="Times New Roman" w:cs="Arial"/>
                <w:sz w:val="22"/>
                <w:lang w:val="sr-Latn-ME"/>
              </w:rPr>
              <w:t xml:space="preserve"> </w:t>
            </w:r>
            <w:r w:rsidR="00C67508" w:rsidRPr="00C01AF3">
              <w:rPr>
                <w:rFonts w:ascii="Times New Roman" w:hAnsi="Times New Roman" w:cs="Arial"/>
                <w:sz w:val="22"/>
                <w:lang w:val="sr-Latn-ME"/>
              </w:rPr>
              <w:t>mg</w:t>
            </w:r>
            <w:r w:rsidR="00730683" w:rsidRPr="00C01AF3">
              <w:rPr>
                <w:rFonts w:ascii="Times New Roman" w:hAnsi="Times New Roman" w:cs="Arial"/>
                <w:sz w:val="22"/>
                <w:lang w:val="sr-Latn-ME"/>
              </w:rPr>
              <w:t xml:space="preserve"> amlodipina (u obliku amlodipin </w:t>
            </w:r>
            <w:r w:rsidR="00C67508" w:rsidRPr="00C01AF3">
              <w:rPr>
                <w:rFonts w:ascii="Times New Roman" w:hAnsi="Times New Roman" w:cs="Arial"/>
                <w:sz w:val="22"/>
                <w:lang w:val="sr-Latn-ME"/>
              </w:rPr>
              <w:t>besilata)</w:t>
            </w:r>
            <w:r w:rsidR="008F6AF9" w:rsidRPr="00C01AF3">
              <w:rPr>
                <w:rFonts w:ascii="Times New Roman" w:hAnsi="Times New Roman" w:cs="Arial"/>
                <w:sz w:val="22"/>
                <w:lang w:val="sr-Latn-ME"/>
              </w:rPr>
              <w:t xml:space="preserve"> </w:t>
            </w:r>
            <w:r w:rsidR="00C67508" w:rsidRPr="00C01AF3">
              <w:rPr>
                <w:rFonts w:ascii="Times New Roman" w:hAnsi="Times New Roman" w:cs="Arial"/>
                <w:sz w:val="22"/>
                <w:lang w:val="sr-Latn-ME"/>
              </w:rPr>
              <w:t xml:space="preserve">i </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12,5 mg </w:t>
            </w:r>
            <w:r w:rsidR="007C4A86" w:rsidRPr="00C01AF3">
              <w:rPr>
                <w:rFonts w:ascii="Times New Roman" w:hAnsi="Times New Roman" w:cs="Arial"/>
                <w:sz w:val="22"/>
                <w:lang w:val="sr-Latn-ME"/>
              </w:rPr>
              <w:t>hidrohlortiazid</w:t>
            </w:r>
            <w:r w:rsidRPr="00C01AF3">
              <w:rPr>
                <w:rFonts w:ascii="Times New Roman" w:hAnsi="Times New Roman" w:cs="Arial"/>
                <w:sz w:val="22"/>
                <w:lang w:val="sr-Latn-ME"/>
              </w:rPr>
              <w:t>a</w:t>
            </w:r>
            <w:r w:rsidR="00A579B1" w:rsidRPr="00C01AF3">
              <w:rPr>
                <w:rFonts w:ascii="Times New Roman" w:hAnsi="Times New Roman" w:cs="Arial"/>
                <w:sz w:val="22"/>
                <w:lang w:val="sr-Latn-ME"/>
              </w:rPr>
              <w:t>.</w:t>
            </w:r>
          </w:p>
          <w:p w:rsidR="00D741A9" w:rsidRPr="00C01AF3" w:rsidRDefault="00D741A9" w:rsidP="00C67508">
            <w:pPr>
              <w:jc w:val="left"/>
              <w:rPr>
                <w:rFonts w:ascii="Times New Roman" w:hAnsi="Times New Roman" w:cs="Arial"/>
                <w:i/>
                <w:sz w:val="22"/>
                <w:lang w:val="sr-Latn-ME"/>
              </w:rPr>
            </w:pPr>
          </w:p>
          <w:p w:rsidR="00C67508" w:rsidRPr="00C01AF3" w:rsidRDefault="007C4A86" w:rsidP="00C67508">
            <w:pPr>
              <w:jc w:val="left"/>
              <w:rPr>
                <w:rFonts w:ascii="Times New Roman" w:hAnsi="Times New Roman" w:cs="Arial"/>
                <w:i/>
                <w:sz w:val="22"/>
                <w:lang w:val="sr-Latn-ME"/>
              </w:rPr>
            </w:pPr>
            <w:r w:rsidRPr="00C01AF3">
              <w:rPr>
                <w:rFonts w:ascii="Times New Roman" w:hAnsi="Times New Roman" w:cs="Arial"/>
                <w:i/>
                <w:sz w:val="22"/>
                <w:lang w:val="sr-Latn-ME"/>
              </w:rPr>
              <w:t>160mg + 5mg + 25mg</w:t>
            </w:r>
            <w:r w:rsidR="00C67508" w:rsidRPr="00C01AF3">
              <w:rPr>
                <w:rFonts w:ascii="Times New Roman" w:hAnsi="Times New Roman" w:cs="Arial"/>
                <w:i/>
                <w:sz w:val="22"/>
                <w:lang w:val="sr-Latn-ME"/>
              </w:rPr>
              <w:t>:</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Jedna film tableta sadrži: </w:t>
            </w:r>
            <w:r w:rsidR="007C4A86" w:rsidRPr="00C01AF3">
              <w:rPr>
                <w:rFonts w:ascii="Times New Roman" w:hAnsi="Times New Roman" w:cs="Arial"/>
                <w:sz w:val="22"/>
                <w:lang w:val="sr-Latn-ME"/>
              </w:rPr>
              <w:t xml:space="preserve">160 mg valsartana, </w:t>
            </w:r>
            <w:r w:rsidRPr="00C01AF3">
              <w:rPr>
                <w:rFonts w:ascii="Times New Roman" w:hAnsi="Times New Roman" w:cs="Arial"/>
                <w:sz w:val="22"/>
                <w:lang w:val="sr-Latn-ME"/>
              </w:rPr>
              <w:t>5</w:t>
            </w:r>
            <w:r w:rsidR="008F6AF9" w:rsidRPr="00C01AF3">
              <w:rPr>
                <w:rFonts w:ascii="Times New Roman" w:hAnsi="Times New Roman" w:cs="Arial"/>
                <w:sz w:val="22"/>
                <w:lang w:val="sr-Latn-ME"/>
              </w:rPr>
              <w:t xml:space="preserve"> </w:t>
            </w:r>
            <w:r w:rsidRPr="00C01AF3">
              <w:rPr>
                <w:rFonts w:ascii="Times New Roman" w:hAnsi="Times New Roman" w:cs="Arial"/>
                <w:sz w:val="22"/>
                <w:lang w:val="sr-Latn-ME"/>
              </w:rPr>
              <w:t>mg</w:t>
            </w:r>
            <w:r w:rsidR="00730683" w:rsidRPr="00C01AF3">
              <w:rPr>
                <w:rFonts w:ascii="Times New Roman" w:hAnsi="Times New Roman" w:cs="Arial"/>
                <w:sz w:val="22"/>
                <w:lang w:val="sr-Latn-ME"/>
              </w:rPr>
              <w:t xml:space="preserve"> amlodipina (u obliku amlodipin </w:t>
            </w:r>
            <w:r w:rsidRPr="00C01AF3">
              <w:rPr>
                <w:rFonts w:ascii="Times New Roman" w:hAnsi="Times New Roman" w:cs="Arial"/>
                <w:sz w:val="22"/>
                <w:lang w:val="sr-Latn-ME"/>
              </w:rPr>
              <w:t>besilata)</w:t>
            </w:r>
            <w:r w:rsidR="008F6AF9" w:rsidRPr="00C01AF3">
              <w:rPr>
                <w:rFonts w:ascii="Times New Roman" w:hAnsi="Times New Roman" w:cs="Arial"/>
                <w:sz w:val="22"/>
                <w:lang w:val="sr-Latn-ME"/>
              </w:rPr>
              <w:t xml:space="preserve"> </w:t>
            </w:r>
            <w:r w:rsidRPr="00C01AF3">
              <w:rPr>
                <w:rFonts w:ascii="Times New Roman" w:hAnsi="Times New Roman" w:cs="Arial"/>
                <w:sz w:val="22"/>
                <w:lang w:val="sr-Latn-ME"/>
              </w:rPr>
              <w:t xml:space="preserve">i </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25 mg </w:t>
            </w:r>
            <w:r w:rsidR="007C4A86" w:rsidRPr="00C01AF3">
              <w:rPr>
                <w:rFonts w:ascii="Times New Roman" w:hAnsi="Times New Roman" w:cs="Arial"/>
                <w:sz w:val="22"/>
                <w:lang w:val="sr-Latn-ME"/>
              </w:rPr>
              <w:t>hidrohlortiazid</w:t>
            </w:r>
            <w:r w:rsidRPr="00C01AF3">
              <w:rPr>
                <w:rFonts w:ascii="Times New Roman" w:hAnsi="Times New Roman" w:cs="Arial"/>
                <w:sz w:val="22"/>
                <w:lang w:val="sr-Latn-ME"/>
              </w:rPr>
              <w:t>a</w:t>
            </w:r>
            <w:r w:rsidR="00A579B1" w:rsidRPr="00C01AF3">
              <w:rPr>
                <w:rFonts w:ascii="Times New Roman" w:hAnsi="Times New Roman" w:cs="Arial"/>
                <w:sz w:val="22"/>
                <w:lang w:val="sr-Latn-ME"/>
              </w:rPr>
              <w:t>.</w:t>
            </w:r>
          </w:p>
          <w:p w:rsidR="00D741A9" w:rsidRPr="00C01AF3" w:rsidRDefault="00D741A9" w:rsidP="00C67508">
            <w:pPr>
              <w:jc w:val="left"/>
              <w:rPr>
                <w:rFonts w:ascii="Times New Roman" w:hAnsi="Times New Roman" w:cs="Arial"/>
                <w:i/>
                <w:sz w:val="22"/>
                <w:lang w:val="sr-Latn-ME"/>
              </w:rPr>
            </w:pPr>
          </w:p>
          <w:p w:rsidR="008F6AF9" w:rsidRPr="00C01AF3" w:rsidRDefault="007C4A86" w:rsidP="00C67508">
            <w:pPr>
              <w:jc w:val="left"/>
              <w:rPr>
                <w:rFonts w:ascii="Times New Roman" w:hAnsi="Times New Roman" w:cs="Arial"/>
                <w:i/>
                <w:sz w:val="22"/>
                <w:lang w:val="sr-Latn-ME"/>
              </w:rPr>
            </w:pPr>
            <w:r w:rsidRPr="00C01AF3">
              <w:rPr>
                <w:rFonts w:ascii="Times New Roman" w:hAnsi="Times New Roman" w:cs="Arial"/>
                <w:i/>
                <w:sz w:val="22"/>
                <w:lang w:val="sr-Latn-ME"/>
              </w:rPr>
              <w:t>160mg + 10 mg + 25 mg</w:t>
            </w:r>
            <w:r w:rsidR="008F6AF9" w:rsidRPr="00C01AF3">
              <w:rPr>
                <w:rFonts w:ascii="Times New Roman" w:hAnsi="Times New Roman" w:cs="Arial"/>
                <w:i/>
                <w:sz w:val="22"/>
                <w:lang w:val="sr-Latn-ME"/>
              </w:rPr>
              <w:t>:</w:t>
            </w:r>
          </w:p>
          <w:p w:rsidR="008F6AF9"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Jedna film tableta  sadrži: </w:t>
            </w:r>
            <w:r w:rsidR="007C4A86" w:rsidRPr="00C01AF3">
              <w:rPr>
                <w:rFonts w:ascii="Times New Roman" w:hAnsi="Times New Roman" w:cs="Arial"/>
                <w:sz w:val="22"/>
                <w:lang w:val="sr-Latn-ME"/>
              </w:rPr>
              <w:t xml:space="preserve">160 mg valsartana, </w:t>
            </w:r>
            <w:r w:rsidRPr="00C01AF3">
              <w:rPr>
                <w:rFonts w:ascii="Times New Roman" w:hAnsi="Times New Roman" w:cs="Arial"/>
                <w:sz w:val="22"/>
                <w:lang w:val="sr-Latn-ME"/>
              </w:rPr>
              <w:t>10</w:t>
            </w:r>
            <w:r w:rsidR="008F6AF9" w:rsidRPr="00C01AF3">
              <w:rPr>
                <w:rFonts w:ascii="Times New Roman" w:hAnsi="Times New Roman" w:cs="Arial"/>
                <w:sz w:val="22"/>
                <w:lang w:val="sr-Latn-ME"/>
              </w:rPr>
              <w:t xml:space="preserve"> </w:t>
            </w:r>
            <w:r w:rsidRPr="00C01AF3">
              <w:rPr>
                <w:rFonts w:ascii="Times New Roman" w:hAnsi="Times New Roman" w:cs="Arial"/>
                <w:sz w:val="22"/>
                <w:lang w:val="sr-Latn-ME"/>
              </w:rPr>
              <w:t>mg</w:t>
            </w:r>
            <w:r w:rsidR="00730683" w:rsidRPr="00C01AF3">
              <w:rPr>
                <w:rFonts w:ascii="Times New Roman" w:hAnsi="Times New Roman" w:cs="Arial"/>
                <w:sz w:val="22"/>
                <w:lang w:val="sr-Latn-ME"/>
              </w:rPr>
              <w:t xml:space="preserve"> amlodipina (u obliku amlodipin </w:t>
            </w:r>
            <w:r w:rsidRPr="00C01AF3">
              <w:rPr>
                <w:rFonts w:ascii="Times New Roman" w:hAnsi="Times New Roman" w:cs="Arial"/>
                <w:sz w:val="22"/>
                <w:lang w:val="sr-Latn-ME"/>
              </w:rPr>
              <w:t xml:space="preserve">besilata) i </w:t>
            </w:r>
          </w:p>
          <w:p w:rsidR="00C67508" w:rsidRPr="00C01AF3" w:rsidRDefault="00C67508" w:rsidP="00C67508">
            <w:pPr>
              <w:jc w:val="left"/>
              <w:rPr>
                <w:rFonts w:ascii="Times New Roman" w:hAnsi="Times New Roman" w:cs="Arial"/>
                <w:sz w:val="22"/>
                <w:lang w:val="sr-Latn-ME"/>
              </w:rPr>
            </w:pPr>
            <w:r w:rsidRPr="00C01AF3">
              <w:rPr>
                <w:rFonts w:ascii="Times New Roman" w:hAnsi="Times New Roman" w:cs="Arial"/>
                <w:sz w:val="22"/>
                <w:lang w:val="sr-Latn-ME"/>
              </w:rPr>
              <w:t xml:space="preserve">25 mg </w:t>
            </w:r>
            <w:r w:rsidR="007C4A86" w:rsidRPr="00C01AF3">
              <w:rPr>
                <w:rFonts w:ascii="Times New Roman" w:hAnsi="Times New Roman" w:cs="Arial"/>
                <w:sz w:val="22"/>
                <w:lang w:val="sr-Latn-ME"/>
              </w:rPr>
              <w:t>hidrohlortiazid</w:t>
            </w:r>
            <w:r w:rsidRPr="00C01AF3">
              <w:rPr>
                <w:rFonts w:ascii="Times New Roman" w:hAnsi="Times New Roman" w:cs="Arial"/>
                <w:sz w:val="22"/>
                <w:lang w:val="sr-Latn-ME"/>
              </w:rPr>
              <w:t>a</w:t>
            </w:r>
            <w:r w:rsidR="00A579B1" w:rsidRPr="00C01AF3">
              <w:rPr>
                <w:rFonts w:ascii="Times New Roman" w:hAnsi="Times New Roman" w:cs="Arial"/>
                <w:sz w:val="22"/>
                <w:lang w:val="sr-Latn-ME"/>
              </w:rPr>
              <w:t>.</w:t>
            </w:r>
          </w:p>
          <w:p w:rsidR="00A65414" w:rsidRPr="00C01AF3" w:rsidRDefault="00A65414" w:rsidP="00C67508">
            <w:pPr>
              <w:jc w:val="left"/>
              <w:rPr>
                <w:rFonts w:ascii="Times New Roman" w:hAnsi="Times New Roman" w:cs="Arial"/>
                <w:sz w:val="22"/>
                <w:lang w:val="sr-Latn-ME"/>
              </w:rPr>
            </w:pPr>
          </w:p>
          <w:p w:rsidR="00834DBB" w:rsidRPr="00C01AF3" w:rsidRDefault="00A65414" w:rsidP="00A6541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Za kompletan spisak pomoćnih supstanci, vidjeti odjeljak 6.1.</w:t>
            </w:r>
          </w:p>
          <w:p w:rsidR="00D741A9" w:rsidRPr="00C01AF3" w:rsidRDefault="00D741A9" w:rsidP="00A65414">
            <w:pPr>
              <w:pStyle w:val="Header"/>
              <w:tabs>
                <w:tab w:val="clear" w:pos="4536"/>
                <w:tab w:val="clear" w:pos="9072"/>
                <w:tab w:val="left" w:pos="284"/>
              </w:tabs>
              <w:jc w:val="left"/>
              <w:rPr>
                <w:rFonts w:ascii="Times New Roman" w:hAnsi="Times New Roman"/>
                <w:sz w:val="22"/>
                <w:szCs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3. FARMACEUTSKI OBLIK</w:t>
            </w:r>
          </w:p>
        </w:tc>
      </w:tr>
      <w:tr w:rsidR="00834DBB" w:rsidRPr="00C01AF3" w:rsidTr="00DE0A48">
        <w:trPr>
          <w:trHeight w:val="1145"/>
        </w:trPr>
        <w:tc>
          <w:tcPr>
            <w:tcW w:w="10188" w:type="dxa"/>
            <w:gridSpan w:val="3"/>
            <w:vAlign w:val="center"/>
          </w:tcPr>
          <w:p w:rsidR="00A579B1" w:rsidRPr="00C01AF3" w:rsidRDefault="00A579B1" w:rsidP="00B56725">
            <w:pPr>
              <w:pStyle w:val="Header"/>
              <w:tabs>
                <w:tab w:val="clear" w:pos="4536"/>
                <w:tab w:val="clear" w:pos="9072"/>
                <w:tab w:val="left" w:pos="284"/>
              </w:tabs>
              <w:jc w:val="left"/>
              <w:rPr>
                <w:rFonts w:ascii="Times New Roman" w:hAnsi="Times New Roman" w:cs="Arial"/>
                <w:sz w:val="22"/>
                <w:lang w:val="sr-Latn-ME"/>
              </w:rPr>
            </w:pPr>
          </w:p>
          <w:p w:rsidR="00B56725" w:rsidRPr="00C01AF3" w:rsidRDefault="00B56725" w:rsidP="00B56725">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Film tablet</w:t>
            </w:r>
            <w:r w:rsidR="00A35670" w:rsidRPr="00C01AF3">
              <w:rPr>
                <w:rFonts w:ascii="Times New Roman" w:hAnsi="Times New Roman" w:cs="Arial"/>
                <w:sz w:val="22"/>
                <w:lang w:val="sr-Latn-ME"/>
              </w:rPr>
              <w:t>a</w:t>
            </w:r>
            <w:r w:rsidRPr="00C01AF3">
              <w:rPr>
                <w:rFonts w:ascii="Times New Roman" w:hAnsi="Times New Roman" w:cs="Arial"/>
                <w:sz w:val="22"/>
                <w:lang w:val="sr-Latn-ME"/>
              </w:rPr>
              <w:t>.</w:t>
            </w:r>
          </w:p>
          <w:p w:rsidR="002F0FF4" w:rsidRPr="00C01AF3" w:rsidRDefault="002F0FF4" w:rsidP="00B56725">
            <w:pPr>
              <w:pStyle w:val="Header"/>
              <w:tabs>
                <w:tab w:val="clear" w:pos="4536"/>
                <w:tab w:val="clear" w:pos="9072"/>
                <w:tab w:val="left" w:pos="284"/>
              </w:tabs>
              <w:jc w:val="left"/>
              <w:rPr>
                <w:rFonts w:ascii="Times New Roman" w:hAnsi="Times New Roman" w:cs="Arial"/>
                <w:sz w:val="22"/>
                <w:lang w:val="sr-Latn-ME"/>
              </w:rPr>
            </w:pPr>
          </w:p>
          <w:p w:rsidR="00FE7B64" w:rsidRPr="00C01AF3" w:rsidRDefault="007C4A86" w:rsidP="00FE7B6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160mg + 5mg + 12,5mg</w:t>
            </w:r>
            <w:r w:rsidR="00FE7B64" w:rsidRPr="00C01AF3">
              <w:rPr>
                <w:rFonts w:ascii="Times New Roman" w:hAnsi="Times New Roman" w:cs="Arial"/>
                <w:i/>
                <w:sz w:val="22"/>
                <w:lang w:val="sr-Latn-ME"/>
              </w:rPr>
              <w:t>:</w:t>
            </w:r>
            <w:r w:rsidR="00FE7B64" w:rsidRPr="00C01AF3">
              <w:rPr>
                <w:rFonts w:ascii="Times New Roman" w:hAnsi="Times New Roman" w:cs="Arial"/>
                <w:sz w:val="22"/>
                <w:lang w:val="sr-Latn-ME"/>
              </w:rPr>
              <w:t xml:space="preserve"> b</w:t>
            </w:r>
            <w:r w:rsidR="00A65414" w:rsidRPr="00C01AF3">
              <w:rPr>
                <w:rFonts w:ascii="Times New Roman" w:hAnsi="Times New Roman" w:cs="Arial"/>
                <w:sz w:val="22"/>
                <w:lang w:val="sr-Latn-ME"/>
              </w:rPr>
              <w:t>ij</w:t>
            </w:r>
            <w:r w:rsidR="00FE7B64" w:rsidRPr="00C01AF3">
              <w:rPr>
                <w:rFonts w:ascii="Times New Roman" w:hAnsi="Times New Roman" w:cs="Arial"/>
                <w:sz w:val="22"/>
                <w:lang w:val="sr-Latn-ME"/>
              </w:rPr>
              <w:t>ela, oval</w:t>
            </w:r>
            <w:r w:rsidR="008119E3" w:rsidRPr="00C01AF3">
              <w:rPr>
                <w:rFonts w:ascii="Times New Roman" w:hAnsi="Times New Roman" w:cs="Arial"/>
                <w:sz w:val="22"/>
                <w:lang w:val="sr-Latn-ME"/>
              </w:rPr>
              <w:t>na</w:t>
            </w:r>
            <w:r w:rsidR="00FE7B64" w:rsidRPr="00C01AF3">
              <w:rPr>
                <w:rFonts w:ascii="Times New Roman" w:hAnsi="Times New Roman" w:cs="Arial"/>
                <w:sz w:val="22"/>
                <w:lang w:val="sr-Latn-ME"/>
              </w:rPr>
              <w:t xml:space="preserve">, bikonveksna tableta, fasetiranih ivica, sa jedne strane utisnuta je oznaka “NVR”, a sa druge strane oznaka “VCL” </w:t>
            </w:r>
            <w:r w:rsidR="00D741A9" w:rsidRPr="00C01AF3">
              <w:rPr>
                <w:rFonts w:ascii="Times New Roman" w:hAnsi="Times New Roman" w:cs="Arial"/>
                <w:sz w:val="22"/>
                <w:lang w:val="sr-Latn-ME"/>
              </w:rPr>
              <w:t>.</w:t>
            </w:r>
          </w:p>
          <w:p w:rsidR="00FE7B64" w:rsidRPr="00C01AF3" w:rsidRDefault="00FE7B64" w:rsidP="00FE7B64">
            <w:pPr>
              <w:pStyle w:val="Header"/>
              <w:tabs>
                <w:tab w:val="clear" w:pos="4536"/>
                <w:tab w:val="clear" w:pos="9072"/>
                <w:tab w:val="left" w:pos="284"/>
              </w:tabs>
              <w:jc w:val="left"/>
              <w:rPr>
                <w:rFonts w:ascii="Times New Roman" w:hAnsi="Times New Roman" w:cs="Arial"/>
                <w:sz w:val="22"/>
                <w:lang w:val="sr-Latn-ME"/>
              </w:rPr>
            </w:pPr>
          </w:p>
          <w:p w:rsidR="00FE7B64" w:rsidRPr="00C01AF3" w:rsidRDefault="007C4A86" w:rsidP="00FE7B6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160mg + 10mg + 12,5mg</w:t>
            </w:r>
            <w:r w:rsidR="00FE7B64" w:rsidRPr="00C01AF3">
              <w:rPr>
                <w:rFonts w:ascii="Times New Roman" w:hAnsi="Times New Roman" w:cs="Arial"/>
                <w:sz w:val="22"/>
                <w:lang w:val="sr-Latn-ME"/>
              </w:rPr>
              <w:t>: bl</w:t>
            </w:r>
            <w:r w:rsidR="00A65414" w:rsidRPr="00C01AF3">
              <w:rPr>
                <w:rFonts w:ascii="Times New Roman" w:hAnsi="Times New Roman" w:cs="Arial"/>
                <w:sz w:val="22"/>
                <w:lang w:val="sr-Latn-ME"/>
              </w:rPr>
              <w:t>ij</w:t>
            </w:r>
            <w:r w:rsidR="00FE7B64" w:rsidRPr="00C01AF3">
              <w:rPr>
                <w:rFonts w:ascii="Times New Roman" w:hAnsi="Times New Roman" w:cs="Arial"/>
                <w:sz w:val="22"/>
                <w:lang w:val="sr-Latn-ME"/>
              </w:rPr>
              <w:t>edo žuta, oval</w:t>
            </w:r>
            <w:r w:rsidR="008119E3" w:rsidRPr="00C01AF3">
              <w:rPr>
                <w:rFonts w:ascii="Times New Roman" w:hAnsi="Times New Roman" w:cs="Arial"/>
                <w:sz w:val="22"/>
                <w:lang w:val="sr-Latn-ME"/>
              </w:rPr>
              <w:t>na</w:t>
            </w:r>
            <w:r w:rsidR="00FE7B64" w:rsidRPr="00C01AF3">
              <w:rPr>
                <w:rFonts w:ascii="Times New Roman" w:hAnsi="Times New Roman" w:cs="Arial"/>
                <w:sz w:val="22"/>
                <w:lang w:val="sr-Latn-ME"/>
              </w:rPr>
              <w:t xml:space="preserve">, bikonveksna tableta, fasetiranih ivica, sa jedne strane utisnuta je oznaka “NVR”, a sa druge strane oznaka “VDL” </w:t>
            </w:r>
            <w:r w:rsidR="00AC6C48" w:rsidRPr="00C01AF3">
              <w:rPr>
                <w:rFonts w:ascii="Times New Roman" w:hAnsi="Times New Roman" w:cs="Arial"/>
                <w:sz w:val="22"/>
                <w:lang w:val="sr-Latn-ME"/>
              </w:rPr>
              <w:t>.</w:t>
            </w:r>
            <w:r w:rsidR="00FE7B64" w:rsidRPr="00C01AF3">
              <w:rPr>
                <w:rFonts w:ascii="Times New Roman" w:hAnsi="Times New Roman" w:cs="Arial"/>
                <w:sz w:val="22"/>
                <w:lang w:val="sr-Latn-ME"/>
              </w:rPr>
              <w:t xml:space="preserve"> </w:t>
            </w:r>
          </w:p>
          <w:p w:rsidR="00FE7B64" w:rsidRPr="00C01AF3" w:rsidRDefault="00FE7B64" w:rsidP="00FE7B64">
            <w:pPr>
              <w:pStyle w:val="Header"/>
              <w:tabs>
                <w:tab w:val="clear" w:pos="4536"/>
                <w:tab w:val="clear" w:pos="9072"/>
                <w:tab w:val="left" w:pos="284"/>
              </w:tabs>
              <w:jc w:val="left"/>
              <w:rPr>
                <w:rFonts w:ascii="Times New Roman" w:hAnsi="Times New Roman" w:cs="Arial"/>
                <w:sz w:val="22"/>
                <w:lang w:val="sr-Latn-ME"/>
              </w:rPr>
            </w:pPr>
          </w:p>
          <w:p w:rsidR="00FE7B64" w:rsidRPr="00C01AF3" w:rsidRDefault="007C4A86" w:rsidP="00FE7B6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160mg + 5mg + 25mg</w:t>
            </w:r>
            <w:r w:rsidR="00FE7B64" w:rsidRPr="00C01AF3">
              <w:rPr>
                <w:rFonts w:ascii="Times New Roman" w:hAnsi="Times New Roman" w:cs="Arial"/>
                <w:sz w:val="22"/>
                <w:lang w:val="sr-Latn-ME"/>
              </w:rPr>
              <w:t>: žuta, oval</w:t>
            </w:r>
            <w:r w:rsidR="008119E3" w:rsidRPr="00C01AF3">
              <w:rPr>
                <w:rFonts w:ascii="Times New Roman" w:hAnsi="Times New Roman" w:cs="Arial"/>
                <w:sz w:val="22"/>
                <w:lang w:val="sr-Latn-ME"/>
              </w:rPr>
              <w:t>na</w:t>
            </w:r>
            <w:r w:rsidR="00FE7B64" w:rsidRPr="00C01AF3">
              <w:rPr>
                <w:rFonts w:ascii="Times New Roman" w:hAnsi="Times New Roman" w:cs="Arial"/>
                <w:sz w:val="22"/>
                <w:lang w:val="sr-Latn-ME"/>
              </w:rPr>
              <w:t>, bikonveksna tableta, fasetiranih ivica, sa jedne strane utisnuta je oznaka “NVR”, a sa druge strane oznaka “VEL”</w:t>
            </w:r>
            <w:r w:rsidR="00AE6BD0" w:rsidRPr="00C01AF3">
              <w:rPr>
                <w:rFonts w:ascii="Times New Roman" w:hAnsi="Times New Roman" w:cs="Arial"/>
                <w:sz w:val="22"/>
                <w:lang w:val="sr-Latn-ME"/>
              </w:rPr>
              <w:t>.</w:t>
            </w:r>
            <w:r w:rsidR="00FE7B64" w:rsidRPr="00C01AF3">
              <w:rPr>
                <w:rFonts w:ascii="Times New Roman" w:hAnsi="Times New Roman" w:cs="Arial"/>
                <w:sz w:val="22"/>
                <w:lang w:val="sr-Latn-ME"/>
              </w:rPr>
              <w:t xml:space="preserve">  </w:t>
            </w:r>
          </w:p>
          <w:p w:rsidR="00FE7B64" w:rsidRPr="00C01AF3" w:rsidRDefault="00FE7B64" w:rsidP="00FE7B64">
            <w:pPr>
              <w:jc w:val="left"/>
              <w:rPr>
                <w:rFonts w:ascii="Times New Roman" w:hAnsi="Times New Roman" w:cs="Arial"/>
                <w:sz w:val="22"/>
                <w:lang w:val="sr-Latn-ME"/>
              </w:rPr>
            </w:pPr>
          </w:p>
          <w:p w:rsidR="00486402" w:rsidRPr="00C01AF3" w:rsidRDefault="007C4A86" w:rsidP="00FE7B6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160mg + 10 mg + 25mg</w:t>
            </w:r>
            <w:r w:rsidR="00FE7B64" w:rsidRPr="00C01AF3">
              <w:rPr>
                <w:rFonts w:ascii="Times New Roman" w:hAnsi="Times New Roman" w:cs="Arial"/>
                <w:sz w:val="22"/>
                <w:lang w:val="sr-Latn-ME"/>
              </w:rPr>
              <w:t>: braonžuta, oval</w:t>
            </w:r>
            <w:r w:rsidR="008119E3" w:rsidRPr="00C01AF3">
              <w:rPr>
                <w:rFonts w:ascii="Times New Roman" w:hAnsi="Times New Roman" w:cs="Arial"/>
                <w:sz w:val="22"/>
                <w:lang w:val="sr-Latn-ME"/>
              </w:rPr>
              <w:t>na</w:t>
            </w:r>
            <w:r w:rsidR="00FE7B64" w:rsidRPr="00C01AF3">
              <w:rPr>
                <w:rFonts w:ascii="Times New Roman" w:hAnsi="Times New Roman" w:cs="Arial"/>
                <w:sz w:val="22"/>
                <w:lang w:val="sr-Latn-ME"/>
              </w:rPr>
              <w:t xml:space="preserve">, bikonveksna tableta, fasetiranih ivica, sa jedne strane utisnuta je oznaka “NVR”, a sa druge strane oznaka “VHL” </w:t>
            </w:r>
            <w:r w:rsidR="00AE6BD0" w:rsidRPr="00C01AF3">
              <w:rPr>
                <w:rFonts w:ascii="Times New Roman" w:hAnsi="Times New Roman" w:cs="Arial"/>
                <w:sz w:val="22"/>
                <w:lang w:val="sr-Latn-ME"/>
              </w:rPr>
              <w:t>.</w:t>
            </w:r>
            <w:r w:rsidR="00FE7B64" w:rsidRPr="00C01AF3">
              <w:rPr>
                <w:rFonts w:ascii="Times New Roman" w:hAnsi="Times New Roman" w:cs="Arial"/>
                <w:sz w:val="22"/>
                <w:lang w:val="sr-Latn-ME"/>
              </w:rPr>
              <w:t xml:space="preserve"> </w:t>
            </w:r>
          </w:p>
          <w:p w:rsidR="00486402" w:rsidRPr="00C01AF3" w:rsidRDefault="00486402" w:rsidP="00FE7B64">
            <w:pPr>
              <w:pStyle w:val="Header"/>
              <w:tabs>
                <w:tab w:val="clear" w:pos="4536"/>
                <w:tab w:val="clear" w:pos="9072"/>
                <w:tab w:val="left" w:pos="284"/>
              </w:tabs>
              <w:jc w:val="left"/>
              <w:rPr>
                <w:rFonts w:ascii="Times New Roman" w:hAnsi="Times New Roman" w:cs="Arial"/>
                <w:sz w:val="22"/>
                <w:lang w:val="sr-Latn-ME"/>
              </w:rPr>
            </w:pPr>
          </w:p>
          <w:p w:rsidR="00FE7B64" w:rsidRPr="00C01AF3" w:rsidRDefault="00FE7B64" w:rsidP="00FE7B64">
            <w:pPr>
              <w:pStyle w:val="Header"/>
              <w:tabs>
                <w:tab w:val="clear" w:pos="4536"/>
                <w:tab w:val="clear" w:pos="9072"/>
                <w:tab w:val="left" w:pos="284"/>
              </w:tabs>
              <w:jc w:val="left"/>
              <w:rPr>
                <w:rFonts w:ascii="Times New Roman" w:hAnsi="Times New Roman"/>
                <w:sz w:val="22"/>
                <w:szCs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4. KLINIČKI PODACI</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4.1. Terapijske indikacije</w:t>
            </w:r>
          </w:p>
        </w:tc>
      </w:tr>
      <w:tr w:rsidR="00834DBB" w:rsidRPr="00C01AF3" w:rsidTr="00DE0A48">
        <w:trPr>
          <w:trHeight w:val="1145"/>
        </w:trPr>
        <w:tc>
          <w:tcPr>
            <w:tcW w:w="10188" w:type="dxa"/>
            <w:gridSpan w:val="3"/>
            <w:vAlign w:val="center"/>
          </w:tcPr>
          <w:p w:rsidR="00371D4A" w:rsidRPr="00C01AF3" w:rsidRDefault="00B56725" w:rsidP="002E6704">
            <w:pPr>
              <w:jc w:val="left"/>
              <w:rPr>
                <w:rFonts w:ascii="Times New Roman" w:hAnsi="Times New Roman"/>
                <w:sz w:val="22"/>
                <w:szCs w:val="22"/>
                <w:lang w:val="sr-Latn-ME"/>
              </w:rPr>
            </w:pPr>
            <w:r w:rsidRPr="00C01AF3">
              <w:rPr>
                <w:rFonts w:ascii="Times New Roman" w:hAnsi="Times New Roman" w:cs="Arial"/>
                <w:sz w:val="22"/>
                <w:lang w:val="sr-Latn-ME"/>
              </w:rPr>
              <w:t>Terapija esencijalne hipertenzije</w:t>
            </w:r>
            <w:r w:rsidR="00FF6159" w:rsidRPr="00C01AF3">
              <w:rPr>
                <w:rFonts w:ascii="Times New Roman" w:hAnsi="Times New Roman" w:cs="Arial"/>
                <w:sz w:val="22"/>
                <w:lang w:val="sr-Latn-ME"/>
              </w:rPr>
              <w:t xml:space="preserve"> kao supstituciona terapija </w:t>
            </w:r>
            <w:r w:rsidR="00C806C2" w:rsidRPr="00C01AF3">
              <w:rPr>
                <w:rFonts w:ascii="Times New Roman" w:hAnsi="Times New Roman" w:cs="Arial"/>
                <w:sz w:val="22"/>
                <w:lang w:val="sr-Latn-ME"/>
              </w:rPr>
              <w:t>kod odraslih pacijenata čiji</w:t>
            </w:r>
            <w:r w:rsidR="009F749C" w:rsidRPr="00C01AF3">
              <w:rPr>
                <w:rFonts w:ascii="Times New Roman" w:hAnsi="Times New Roman"/>
                <w:noProof/>
                <w:color w:val="000000"/>
                <w:sz w:val="22"/>
                <w:szCs w:val="22"/>
                <w:lang w:val="sr-Latn-ME"/>
              </w:rPr>
              <w:t xml:space="preserve"> </w:t>
            </w:r>
            <w:r w:rsidR="00C806C2" w:rsidRPr="00C01AF3">
              <w:rPr>
                <w:rFonts w:ascii="Times New Roman" w:hAnsi="Times New Roman"/>
                <w:noProof/>
                <w:color w:val="000000"/>
                <w:sz w:val="22"/>
                <w:szCs w:val="22"/>
                <w:lang w:val="sr-Latn-ME"/>
              </w:rPr>
              <w:t xml:space="preserve">je </w:t>
            </w:r>
            <w:r w:rsidR="009F749C" w:rsidRPr="00C01AF3">
              <w:rPr>
                <w:rFonts w:ascii="Times New Roman" w:hAnsi="Times New Roman"/>
                <w:noProof/>
                <w:color w:val="000000"/>
                <w:sz w:val="22"/>
                <w:szCs w:val="22"/>
                <w:lang w:val="sr-Latn-ME"/>
              </w:rPr>
              <w:t xml:space="preserve">krvni pritisak </w:t>
            </w:r>
            <w:r w:rsidR="000A6E92" w:rsidRPr="00C01AF3">
              <w:rPr>
                <w:rFonts w:ascii="Times New Roman" w:hAnsi="Times New Roman"/>
                <w:noProof/>
                <w:color w:val="000000"/>
                <w:sz w:val="22"/>
                <w:szCs w:val="22"/>
                <w:lang w:val="sr-Latn-ME"/>
              </w:rPr>
              <w:t>adekvatno</w:t>
            </w:r>
            <w:r w:rsidR="009F749C" w:rsidRPr="00C01AF3">
              <w:rPr>
                <w:rFonts w:ascii="Times New Roman" w:hAnsi="Times New Roman"/>
                <w:noProof/>
                <w:color w:val="000000"/>
                <w:sz w:val="22"/>
                <w:szCs w:val="22"/>
                <w:lang w:val="sr-Latn-ME"/>
              </w:rPr>
              <w:t xml:space="preserve"> kontrolisan </w:t>
            </w:r>
            <w:r w:rsidR="00C806C2" w:rsidRPr="00C01AF3">
              <w:rPr>
                <w:rFonts w:ascii="Times New Roman" w:hAnsi="Times New Roman"/>
                <w:noProof/>
                <w:color w:val="000000"/>
                <w:sz w:val="22"/>
                <w:szCs w:val="22"/>
                <w:lang w:val="sr-Latn-ME"/>
              </w:rPr>
              <w:t xml:space="preserve">kombinacijom amlodipina, valsartana i </w:t>
            </w:r>
            <w:r w:rsidR="007C4A86" w:rsidRPr="00C01AF3">
              <w:rPr>
                <w:rFonts w:ascii="Times New Roman" w:hAnsi="Times New Roman"/>
                <w:noProof/>
                <w:color w:val="000000"/>
                <w:sz w:val="22"/>
                <w:szCs w:val="22"/>
                <w:lang w:val="sr-Latn-ME"/>
              </w:rPr>
              <w:t>hidrohlortiazid</w:t>
            </w:r>
            <w:r w:rsidR="00C806C2" w:rsidRPr="00C01AF3">
              <w:rPr>
                <w:rFonts w:ascii="Times New Roman" w:hAnsi="Times New Roman"/>
                <w:noProof/>
                <w:color w:val="000000"/>
                <w:sz w:val="22"/>
                <w:szCs w:val="22"/>
                <w:lang w:val="sr-Latn-ME"/>
              </w:rPr>
              <w:t xml:space="preserve">a (HCT), </w:t>
            </w:r>
            <w:r w:rsidR="002E6704" w:rsidRPr="00C01AF3">
              <w:rPr>
                <w:rFonts w:ascii="Times New Roman" w:hAnsi="Times New Roman"/>
                <w:noProof/>
                <w:color w:val="000000"/>
                <w:sz w:val="22"/>
                <w:szCs w:val="22"/>
                <w:lang w:val="sr-Latn-ME"/>
              </w:rPr>
              <w:t xml:space="preserve">uzetih bilo u obliku tri jednokomponentne formulacije </w:t>
            </w:r>
            <w:r w:rsidR="00C806C2" w:rsidRPr="00C01AF3">
              <w:rPr>
                <w:rFonts w:ascii="Times New Roman" w:hAnsi="Times New Roman"/>
                <w:noProof/>
                <w:color w:val="000000"/>
                <w:sz w:val="22"/>
                <w:szCs w:val="22"/>
                <w:lang w:val="sr-Latn-ME"/>
              </w:rPr>
              <w:t xml:space="preserve">ili </w:t>
            </w:r>
            <w:r w:rsidR="002E6704" w:rsidRPr="00C01AF3">
              <w:rPr>
                <w:rFonts w:ascii="Times New Roman" w:hAnsi="Times New Roman"/>
                <w:noProof/>
                <w:color w:val="000000"/>
                <w:sz w:val="22"/>
                <w:szCs w:val="22"/>
                <w:lang w:val="sr-Latn-ME"/>
              </w:rPr>
              <w:t xml:space="preserve">u obliku dvokomponentne i jednokomponentne formulacije. </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4.2. Doziranje i način prim</w:t>
            </w:r>
            <w:r w:rsidR="00C806C2" w:rsidRPr="00C01AF3">
              <w:rPr>
                <w:rFonts w:ascii="Times New Roman" w:hAnsi="Times New Roman"/>
                <w:b/>
                <w:bCs/>
                <w:sz w:val="22"/>
                <w:szCs w:val="22"/>
                <w:lang w:val="sr-Latn-ME"/>
              </w:rPr>
              <w:t>j</w:t>
            </w:r>
            <w:r w:rsidRPr="00C01AF3">
              <w:rPr>
                <w:rFonts w:ascii="Times New Roman" w:hAnsi="Times New Roman"/>
                <w:b/>
                <w:bCs/>
                <w:sz w:val="22"/>
                <w:szCs w:val="22"/>
                <w:lang w:val="sr-Latn-ME"/>
              </w:rPr>
              <w:t>ene</w:t>
            </w:r>
          </w:p>
        </w:tc>
      </w:tr>
      <w:tr w:rsidR="00834DBB" w:rsidRPr="00C01AF3" w:rsidTr="00DE0A48">
        <w:trPr>
          <w:trHeight w:val="1145"/>
        </w:trPr>
        <w:tc>
          <w:tcPr>
            <w:tcW w:w="10188" w:type="dxa"/>
            <w:gridSpan w:val="3"/>
            <w:vAlign w:val="center"/>
          </w:tcPr>
          <w:p w:rsidR="009F749C" w:rsidRPr="00C01AF3" w:rsidRDefault="009F749C" w:rsidP="009F749C">
            <w:pPr>
              <w:tabs>
                <w:tab w:val="clear" w:pos="284"/>
              </w:tabs>
              <w:autoSpaceDE w:val="0"/>
              <w:autoSpaceDN w:val="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Doziranje</w:t>
            </w:r>
          </w:p>
          <w:p w:rsidR="009F749C" w:rsidRPr="00C01AF3" w:rsidRDefault="009F749C" w:rsidP="009F749C">
            <w:pPr>
              <w:tabs>
                <w:tab w:val="clear" w:pos="284"/>
              </w:tabs>
              <w:autoSpaceDE w:val="0"/>
              <w:autoSpaceDN w:val="0"/>
              <w:jc w:val="left"/>
              <w:rPr>
                <w:rFonts w:ascii="Times New Roman" w:hAnsi="Times New Roman"/>
                <w:noProof/>
                <w:color w:val="000000"/>
                <w:sz w:val="22"/>
                <w:szCs w:val="22"/>
                <w:lang w:val="sr-Latn-ME"/>
              </w:rPr>
            </w:pPr>
            <w:r w:rsidRPr="00C01AF3">
              <w:rPr>
                <w:rFonts w:ascii="Times New Roman" w:hAnsi="Times New Roman"/>
                <w:noProof/>
                <w:color w:val="000000"/>
                <w:sz w:val="22"/>
                <w:szCs w:val="22"/>
                <w:lang w:val="sr-Latn-ME"/>
              </w:rPr>
              <w:t>Preporučena doza</w:t>
            </w:r>
            <w:r w:rsidR="00AA0C12" w:rsidRPr="00C01AF3">
              <w:rPr>
                <w:rFonts w:ascii="Times New Roman" w:hAnsi="Times New Roman"/>
                <w:noProof/>
                <w:color w:val="000000"/>
                <w:sz w:val="22"/>
                <w:szCs w:val="22"/>
                <w:lang w:val="sr-Latn-ME"/>
              </w:rPr>
              <w:t xml:space="preserve">  l</w:t>
            </w:r>
            <w:r w:rsidR="00A65414" w:rsidRPr="00C01AF3">
              <w:rPr>
                <w:rFonts w:ascii="Times New Roman" w:hAnsi="Times New Roman"/>
                <w:noProof/>
                <w:color w:val="000000"/>
                <w:sz w:val="22"/>
                <w:szCs w:val="22"/>
                <w:lang w:val="sr-Latn-ME"/>
              </w:rPr>
              <w:t>ij</w:t>
            </w:r>
            <w:r w:rsidR="00C806C2" w:rsidRPr="00C01AF3">
              <w:rPr>
                <w:rFonts w:ascii="Times New Roman" w:hAnsi="Times New Roman"/>
                <w:noProof/>
                <w:color w:val="000000"/>
                <w:sz w:val="22"/>
                <w:szCs w:val="22"/>
                <w:lang w:val="sr-Latn-ME"/>
              </w:rPr>
              <w:t>e</w:t>
            </w:r>
            <w:r w:rsidRPr="00C01AF3">
              <w:rPr>
                <w:rFonts w:ascii="Times New Roman" w:hAnsi="Times New Roman"/>
                <w:noProof/>
                <w:color w:val="000000"/>
                <w:sz w:val="22"/>
                <w:szCs w:val="22"/>
                <w:lang w:val="sr-Latn-ME"/>
              </w:rPr>
              <w:t>ka  Exforge</w:t>
            </w:r>
            <w:r w:rsidR="00AF18D5" w:rsidRPr="00C01AF3">
              <w:rPr>
                <w:rFonts w:ascii="Times New Roman" w:hAnsi="Times New Roman"/>
                <w:noProof/>
                <w:color w:val="000000"/>
                <w:sz w:val="22"/>
                <w:szCs w:val="22"/>
                <w:lang w:val="sr-Latn-ME"/>
              </w:rPr>
              <w:t xml:space="preserve"> </w:t>
            </w:r>
            <w:r w:rsidR="00C806C2" w:rsidRPr="00C01AF3">
              <w:rPr>
                <w:rFonts w:ascii="Times New Roman" w:hAnsi="Times New Roman"/>
                <w:noProof/>
                <w:color w:val="000000"/>
                <w:sz w:val="22"/>
                <w:szCs w:val="22"/>
                <w:lang w:val="sr-Latn-ME"/>
              </w:rPr>
              <w:t xml:space="preserve">HCT je jedna tableta dnevno, </w:t>
            </w:r>
            <w:r w:rsidR="00AA0C12" w:rsidRPr="00C01AF3">
              <w:rPr>
                <w:rFonts w:ascii="Times New Roman" w:hAnsi="Times New Roman"/>
                <w:noProof/>
                <w:color w:val="000000"/>
                <w:sz w:val="22"/>
                <w:szCs w:val="22"/>
                <w:lang w:val="sr-Latn-ME"/>
              </w:rPr>
              <w:t>koju je najbolje uzeti ujutro.</w:t>
            </w:r>
          </w:p>
          <w:p w:rsidR="009F749C" w:rsidRPr="00C01AF3" w:rsidRDefault="009F749C" w:rsidP="009F749C">
            <w:pPr>
              <w:tabs>
                <w:tab w:val="clear" w:pos="284"/>
              </w:tabs>
              <w:autoSpaceDE w:val="0"/>
              <w:autoSpaceDN w:val="0"/>
              <w:jc w:val="left"/>
              <w:rPr>
                <w:rFonts w:ascii="Times New Roman" w:hAnsi="Times New Roman"/>
                <w:noProof/>
                <w:color w:val="000000"/>
                <w:sz w:val="22"/>
                <w:szCs w:val="22"/>
                <w:lang w:val="sr-Latn-ME"/>
              </w:rPr>
            </w:pPr>
          </w:p>
          <w:p w:rsidR="009F749C" w:rsidRPr="00C01AF3" w:rsidRDefault="00AC69E7" w:rsidP="009F749C">
            <w:pPr>
              <w:tabs>
                <w:tab w:val="clear" w:pos="284"/>
              </w:tabs>
              <w:autoSpaceDE w:val="0"/>
              <w:autoSpaceDN w:val="0"/>
              <w:jc w:val="left"/>
              <w:rPr>
                <w:rFonts w:ascii="Times New Roman" w:hAnsi="Times New Roman"/>
                <w:noProof/>
                <w:color w:val="000000"/>
                <w:sz w:val="22"/>
                <w:szCs w:val="22"/>
                <w:lang w:val="sr-Latn-ME"/>
              </w:rPr>
            </w:pPr>
            <w:r w:rsidRPr="00C01AF3">
              <w:rPr>
                <w:rFonts w:ascii="Times New Roman" w:hAnsi="Times New Roman"/>
                <w:noProof/>
                <w:color w:val="000000"/>
                <w:sz w:val="22"/>
                <w:szCs w:val="22"/>
                <w:lang w:val="sr-Latn-ME"/>
              </w:rPr>
              <w:t>Pr</w:t>
            </w:r>
            <w:r w:rsidR="00CB5993" w:rsidRPr="00C01AF3">
              <w:rPr>
                <w:rFonts w:ascii="Times New Roman" w:hAnsi="Times New Roman"/>
                <w:noProof/>
                <w:color w:val="000000"/>
                <w:sz w:val="22"/>
                <w:szCs w:val="22"/>
                <w:lang w:val="sr-Latn-ME"/>
              </w:rPr>
              <w:t>ij</w:t>
            </w:r>
            <w:r w:rsidR="00AF18D5" w:rsidRPr="00C01AF3">
              <w:rPr>
                <w:rFonts w:ascii="Times New Roman" w:hAnsi="Times New Roman"/>
                <w:noProof/>
                <w:color w:val="000000"/>
                <w:sz w:val="22"/>
                <w:szCs w:val="22"/>
                <w:lang w:val="sr-Latn-ME"/>
              </w:rPr>
              <w:t xml:space="preserve">e prelaska na terapiju </w:t>
            </w:r>
            <w:r w:rsidR="0081161D" w:rsidRPr="00C01AF3">
              <w:rPr>
                <w:rFonts w:ascii="Times New Roman" w:hAnsi="Times New Roman"/>
                <w:noProof/>
                <w:color w:val="000000"/>
                <w:sz w:val="22"/>
                <w:szCs w:val="22"/>
                <w:lang w:val="sr-Latn-ME"/>
              </w:rPr>
              <w:t>l</w:t>
            </w:r>
            <w:r w:rsidR="00A65414" w:rsidRPr="00C01AF3">
              <w:rPr>
                <w:rFonts w:ascii="Times New Roman" w:hAnsi="Times New Roman"/>
                <w:noProof/>
                <w:color w:val="000000"/>
                <w:sz w:val="22"/>
                <w:szCs w:val="22"/>
                <w:lang w:val="sr-Latn-ME"/>
              </w:rPr>
              <w:t>ij</w:t>
            </w:r>
            <w:r w:rsidR="00AF18D5" w:rsidRPr="00C01AF3">
              <w:rPr>
                <w:rFonts w:ascii="Times New Roman" w:hAnsi="Times New Roman"/>
                <w:noProof/>
                <w:color w:val="000000"/>
                <w:sz w:val="22"/>
                <w:szCs w:val="22"/>
                <w:lang w:val="sr-Latn-ME"/>
              </w:rPr>
              <w:t>ek</w:t>
            </w:r>
            <w:r w:rsidR="00C806C2" w:rsidRPr="00C01AF3">
              <w:rPr>
                <w:rFonts w:ascii="Times New Roman" w:hAnsi="Times New Roman"/>
                <w:noProof/>
                <w:color w:val="000000"/>
                <w:sz w:val="22"/>
                <w:szCs w:val="22"/>
                <w:lang w:val="sr-Latn-ME"/>
              </w:rPr>
              <w:t>om Exforge HCT</w:t>
            </w:r>
            <w:r w:rsidR="00565671" w:rsidRPr="00C01AF3">
              <w:rPr>
                <w:rFonts w:ascii="Times New Roman" w:hAnsi="Times New Roman"/>
                <w:noProof/>
                <w:color w:val="000000"/>
                <w:sz w:val="22"/>
                <w:szCs w:val="22"/>
                <w:lang w:val="sr-Latn-ME"/>
              </w:rPr>
              <w:t>,</w:t>
            </w:r>
            <w:r w:rsidR="00C806C2" w:rsidRPr="00C01AF3">
              <w:rPr>
                <w:rFonts w:ascii="Times New Roman" w:hAnsi="Times New Roman"/>
                <w:noProof/>
                <w:color w:val="000000"/>
                <w:sz w:val="22"/>
                <w:szCs w:val="22"/>
                <w:lang w:val="sr-Latn-ME"/>
              </w:rPr>
              <w:t xml:space="preserve"> pacijenti</w:t>
            </w:r>
            <w:r w:rsidR="0081161D" w:rsidRPr="00C01AF3">
              <w:rPr>
                <w:rFonts w:ascii="Times New Roman" w:hAnsi="Times New Roman"/>
                <w:noProof/>
                <w:color w:val="000000"/>
                <w:sz w:val="22"/>
                <w:szCs w:val="22"/>
                <w:lang w:val="sr-Latn-ME"/>
              </w:rPr>
              <w:t xml:space="preserve"> treba da budu kontrolisani</w:t>
            </w:r>
            <w:r w:rsidR="00C806C2" w:rsidRPr="00C01AF3">
              <w:rPr>
                <w:rFonts w:ascii="Times New Roman" w:hAnsi="Times New Roman"/>
                <w:noProof/>
                <w:color w:val="000000"/>
                <w:sz w:val="22"/>
                <w:szCs w:val="22"/>
                <w:lang w:val="sr-Latn-ME"/>
              </w:rPr>
              <w:t xml:space="preserve"> </w:t>
            </w:r>
            <w:r w:rsidR="00130304" w:rsidRPr="00C01AF3">
              <w:rPr>
                <w:rFonts w:ascii="Times New Roman" w:hAnsi="Times New Roman"/>
                <w:noProof/>
                <w:color w:val="000000"/>
                <w:sz w:val="22"/>
                <w:szCs w:val="22"/>
                <w:lang w:val="sr-Latn-ME"/>
              </w:rPr>
              <w:t>sa</w:t>
            </w:r>
            <w:r w:rsidR="00C806C2" w:rsidRPr="00C01AF3">
              <w:rPr>
                <w:rFonts w:ascii="Times New Roman" w:hAnsi="Times New Roman"/>
                <w:noProof/>
                <w:color w:val="000000"/>
                <w:sz w:val="22"/>
                <w:szCs w:val="22"/>
                <w:lang w:val="sr-Latn-ME"/>
              </w:rPr>
              <w:t xml:space="preserve"> st</w:t>
            </w:r>
            <w:r w:rsidR="00AF18D5" w:rsidRPr="00C01AF3">
              <w:rPr>
                <w:rFonts w:ascii="Times New Roman" w:hAnsi="Times New Roman"/>
                <w:noProof/>
                <w:color w:val="000000"/>
                <w:sz w:val="22"/>
                <w:szCs w:val="22"/>
                <w:lang w:val="sr-Latn-ME"/>
              </w:rPr>
              <w:t>abilnim dozama monokomponenti</w:t>
            </w:r>
            <w:r w:rsidR="00130304" w:rsidRPr="00C01AF3">
              <w:rPr>
                <w:rFonts w:ascii="Times New Roman" w:hAnsi="Times New Roman"/>
                <w:noProof/>
                <w:color w:val="000000"/>
                <w:sz w:val="22"/>
                <w:szCs w:val="22"/>
                <w:lang w:val="sr-Latn-ME"/>
              </w:rPr>
              <w:t xml:space="preserve"> </w:t>
            </w:r>
            <w:r w:rsidR="002E6704" w:rsidRPr="00C01AF3">
              <w:rPr>
                <w:rFonts w:ascii="Times New Roman" w:hAnsi="Times New Roman"/>
                <w:noProof/>
                <w:color w:val="000000"/>
                <w:sz w:val="22"/>
                <w:szCs w:val="22"/>
                <w:lang w:val="sr-Latn-ME"/>
              </w:rPr>
              <w:t>koje se uzimaju u</w:t>
            </w:r>
            <w:r w:rsidR="00130304" w:rsidRPr="00C01AF3">
              <w:rPr>
                <w:rFonts w:ascii="Times New Roman" w:hAnsi="Times New Roman"/>
                <w:noProof/>
                <w:color w:val="000000"/>
                <w:sz w:val="22"/>
                <w:szCs w:val="22"/>
                <w:lang w:val="sr-Latn-ME"/>
              </w:rPr>
              <w:t xml:space="preserve"> isto vr</w:t>
            </w:r>
            <w:r w:rsidR="00A65414" w:rsidRPr="00C01AF3">
              <w:rPr>
                <w:rFonts w:ascii="Times New Roman" w:hAnsi="Times New Roman"/>
                <w:noProof/>
                <w:color w:val="000000"/>
                <w:sz w:val="22"/>
                <w:szCs w:val="22"/>
                <w:lang w:val="sr-Latn-ME"/>
              </w:rPr>
              <w:t>ij</w:t>
            </w:r>
            <w:r w:rsidR="00F04613" w:rsidRPr="00C01AF3">
              <w:rPr>
                <w:rFonts w:ascii="Times New Roman" w:hAnsi="Times New Roman"/>
                <w:noProof/>
                <w:color w:val="000000"/>
                <w:sz w:val="22"/>
                <w:szCs w:val="22"/>
                <w:lang w:val="sr-Latn-ME"/>
              </w:rPr>
              <w:t>eme. Doza l</w:t>
            </w:r>
            <w:r w:rsidR="00A65414" w:rsidRPr="00C01AF3">
              <w:rPr>
                <w:rFonts w:ascii="Times New Roman" w:hAnsi="Times New Roman"/>
                <w:noProof/>
                <w:color w:val="000000"/>
                <w:sz w:val="22"/>
                <w:szCs w:val="22"/>
                <w:lang w:val="sr-Latn-ME"/>
              </w:rPr>
              <w:t>ij</w:t>
            </w:r>
            <w:r w:rsidR="00C806C2" w:rsidRPr="00C01AF3">
              <w:rPr>
                <w:rFonts w:ascii="Times New Roman" w:hAnsi="Times New Roman"/>
                <w:noProof/>
                <w:color w:val="000000"/>
                <w:sz w:val="22"/>
                <w:szCs w:val="22"/>
                <w:lang w:val="sr-Latn-ME"/>
              </w:rPr>
              <w:t xml:space="preserve">eka Exforge HCT treba da se </w:t>
            </w:r>
            <w:r w:rsidR="00AF18D5" w:rsidRPr="00C01AF3">
              <w:rPr>
                <w:rFonts w:ascii="Times New Roman" w:hAnsi="Times New Roman"/>
                <w:noProof/>
                <w:color w:val="000000"/>
                <w:sz w:val="22"/>
                <w:szCs w:val="22"/>
                <w:lang w:val="sr-Latn-ME"/>
              </w:rPr>
              <w:t xml:space="preserve">zasniva na dozi </w:t>
            </w:r>
            <w:r w:rsidR="002E6704" w:rsidRPr="00C01AF3">
              <w:rPr>
                <w:rFonts w:ascii="Times New Roman" w:hAnsi="Times New Roman"/>
                <w:noProof/>
                <w:color w:val="000000"/>
                <w:sz w:val="22"/>
                <w:szCs w:val="22"/>
                <w:lang w:val="sr-Latn-ME"/>
              </w:rPr>
              <w:t xml:space="preserve">pojedinih  </w:t>
            </w:r>
            <w:r w:rsidR="00B17B36" w:rsidRPr="00C01AF3">
              <w:rPr>
                <w:rFonts w:ascii="Times New Roman" w:hAnsi="Times New Roman"/>
                <w:noProof/>
                <w:color w:val="000000"/>
                <w:sz w:val="22"/>
                <w:szCs w:val="22"/>
                <w:lang w:val="sr-Latn-ME"/>
              </w:rPr>
              <w:t>komponenti koj</w:t>
            </w:r>
            <w:r w:rsidR="00F04613" w:rsidRPr="00C01AF3">
              <w:rPr>
                <w:rFonts w:ascii="Times New Roman" w:hAnsi="Times New Roman"/>
                <w:noProof/>
                <w:color w:val="000000"/>
                <w:sz w:val="22"/>
                <w:szCs w:val="22"/>
                <w:lang w:val="sr-Latn-ME"/>
              </w:rPr>
              <w:t>e</w:t>
            </w:r>
            <w:r w:rsidR="00B17B36" w:rsidRPr="00C01AF3">
              <w:rPr>
                <w:rFonts w:ascii="Times New Roman" w:hAnsi="Times New Roman"/>
                <w:noProof/>
                <w:color w:val="000000"/>
                <w:sz w:val="22"/>
                <w:szCs w:val="22"/>
                <w:lang w:val="sr-Latn-ME"/>
              </w:rPr>
              <w:t xml:space="preserve"> </w:t>
            </w:r>
            <w:r w:rsidR="00AF18D5" w:rsidRPr="00C01AF3">
              <w:rPr>
                <w:rFonts w:ascii="Times New Roman" w:hAnsi="Times New Roman"/>
                <w:noProof/>
                <w:color w:val="000000"/>
                <w:sz w:val="22"/>
                <w:szCs w:val="22"/>
                <w:lang w:val="sr-Latn-ME"/>
              </w:rPr>
              <w:t>se koriste u komb</w:t>
            </w:r>
            <w:r w:rsidR="00F04613" w:rsidRPr="00C01AF3">
              <w:rPr>
                <w:rFonts w:ascii="Times New Roman" w:hAnsi="Times New Roman"/>
                <w:noProof/>
                <w:color w:val="000000"/>
                <w:sz w:val="22"/>
                <w:szCs w:val="22"/>
                <w:lang w:val="sr-Latn-ME"/>
              </w:rPr>
              <w:t>inaciji</w:t>
            </w:r>
            <w:r w:rsidR="00565671" w:rsidRPr="00C01AF3">
              <w:rPr>
                <w:rFonts w:ascii="Times New Roman" w:hAnsi="Times New Roman"/>
                <w:noProof/>
                <w:color w:val="000000"/>
                <w:sz w:val="22"/>
                <w:szCs w:val="22"/>
                <w:lang w:val="sr-Latn-ME"/>
              </w:rPr>
              <w:t>,</w:t>
            </w:r>
            <w:r w:rsidR="00F04613" w:rsidRPr="00C01AF3">
              <w:rPr>
                <w:rFonts w:ascii="Times New Roman" w:hAnsi="Times New Roman"/>
                <w:noProof/>
                <w:color w:val="000000"/>
                <w:sz w:val="22"/>
                <w:szCs w:val="22"/>
                <w:lang w:val="sr-Latn-ME"/>
              </w:rPr>
              <w:t xml:space="preserve"> u vr</w:t>
            </w:r>
            <w:r w:rsidR="00A65414" w:rsidRPr="00C01AF3">
              <w:rPr>
                <w:rFonts w:ascii="Times New Roman" w:hAnsi="Times New Roman"/>
                <w:noProof/>
                <w:color w:val="000000"/>
                <w:sz w:val="22"/>
                <w:szCs w:val="22"/>
                <w:lang w:val="sr-Latn-ME"/>
              </w:rPr>
              <w:t>ij</w:t>
            </w:r>
            <w:r w:rsidR="00F04613" w:rsidRPr="00C01AF3">
              <w:rPr>
                <w:rFonts w:ascii="Times New Roman" w:hAnsi="Times New Roman"/>
                <w:noProof/>
                <w:color w:val="000000"/>
                <w:sz w:val="22"/>
                <w:szCs w:val="22"/>
                <w:lang w:val="sr-Latn-ME"/>
              </w:rPr>
              <w:t>eme prelaska na l</w:t>
            </w:r>
            <w:r w:rsidR="00A65414" w:rsidRPr="00C01AF3">
              <w:rPr>
                <w:rFonts w:ascii="Times New Roman" w:hAnsi="Times New Roman"/>
                <w:noProof/>
                <w:color w:val="000000"/>
                <w:sz w:val="22"/>
                <w:szCs w:val="22"/>
                <w:lang w:val="sr-Latn-ME"/>
              </w:rPr>
              <w:t>ij</w:t>
            </w:r>
            <w:r w:rsidR="00AF18D5" w:rsidRPr="00C01AF3">
              <w:rPr>
                <w:rFonts w:ascii="Times New Roman" w:hAnsi="Times New Roman"/>
                <w:noProof/>
                <w:color w:val="000000"/>
                <w:sz w:val="22"/>
                <w:szCs w:val="22"/>
                <w:lang w:val="sr-Latn-ME"/>
              </w:rPr>
              <w:t xml:space="preserve">ek Exforge HCT. </w:t>
            </w:r>
          </w:p>
          <w:p w:rsidR="00AF18D5" w:rsidRPr="00C01AF3" w:rsidRDefault="00AF18D5" w:rsidP="009F749C">
            <w:pPr>
              <w:tabs>
                <w:tab w:val="clear" w:pos="284"/>
              </w:tabs>
              <w:autoSpaceDE w:val="0"/>
              <w:autoSpaceDN w:val="0"/>
              <w:jc w:val="left"/>
              <w:rPr>
                <w:rFonts w:ascii="Times New Roman" w:hAnsi="Times New Roman"/>
                <w:noProof/>
                <w:color w:val="000000"/>
                <w:sz w:val="22"/>
                <w:szCs w:val="22"/>
                <w:lang w:val="sr-Latn-ME"/>
              </w:rPr>
            </w:pPr>
          </w:p>
          <w:p w:rsidR="009F749C" w:rsidRPr="00C01AF3" w:rsidRDefault="00E7280A" w:rsidP="009F749C">
            <w:pPr>
              <w:tabs>
                <w:tab w:val="clear" w:pos="284"/>
              </w:tabs>
              <w:autoSpaceDE w:val="0"/>
              <w:autoSpaceDN w:val="0"/>
              <w:jc w:val="left"/>
              <w:rPr>
                <w:rFonts w:ascii="Times New Roman" w:hAnsi="Times New Roman"/>
                <w:noProof/>
                <w:color w:val="000000"/>
                <w:sz w:val="22"/>
                <w:szCs w:val="22"/>
                <w:lang w:val="sr-Latn-ME"/>
              </w:rPr>
            </w:pPr>
            <w:r w:rsidRPr="00C01AF3">
              <w:rPr>
                <w:rFonts w:ascii="Times New Roman" w:hAnsi="Times New Roman"/>
                <w:noProof/>
                <w:color w:val="000000"/>
                <w:sz w:val="22"/>
                <w:szCs w:val="22"/>
                <w:lang w:val="sr-Latn-ME"/>
              </w:rPr>
              <w:t xml:space="preserve">Maksimalna preporučena doza </w:t>
            </w:r>
            <w:r w:rsidR="00A65414" w:rsidRPr="00C01AF3">
              <w:rPr>
                <w:rFonts w:ascii="Times New Roman" w:hAnsi="Times New Roman"/>
                <w:noProof/>
                <w:color w:val="000000"/>
                <w:sz w:val="22"/>
                <w:szCs w:val="22"/>
                <w:lang w:val="sr-Latn-ME"/>
              </w:rPr>
              <w:t>lijek</w:t>
            </w:r>
            <w:r w:rsidR="00B17B36" w:rsidRPr="00C01AF3">
              <w:rPr>
                <w:rFonts w:ascii="Times New Roman" w:hAnsi="Times New Roman"/>
                <w:noProof/>
                <w:color w:val="000000"/>
                <w:sz w:val="22"/>
                <w:szCs w:val="22"/>
                <w:lang w:val="sr-Latn-ME"/>
              </w:rPr>
              <w:t xml:space="preserve">a Exforge HCT je </w:t>
            </w:r>
            <w:r w:rsidR="00AC4741" w:rsidRPr="00C01AF3">
              <w:rPr>
                <w:rFonts w:ascii="Times New Roman" w:hAnsi="Times New Roman"/>
                <w:noProof/>
                <w:color w:val="000000"/>
                <w:sz w:val="22"/>
                <w:szCs w:val="22"/>
                <w:lang w:val="sr-Latn-ME"/>
              </w:rPr>
              <w:t>320mg/10mg/25mg</w:t>
            </w:r>
            <w:r w:rsidR="00B17B36" w:rsidRPr="00C01AF3">
              <w:rPr>
                <w:rFonts w:ascii="Times New Roman" w:hAnsi="Times New Roman"/>
                <w:noProof/>
                <w:color w:val="000000"/>
                <w:sz w:val="22"/>
                <w:szCs w:val="22"/>
                <w:lang w:val="sr-Latn-ME"/>
              </w:rPr>
              <w:t>.</w:t>
            </w:r>
          </w:p>
          <w:p w:rsidR="00B56725" w:rsidRPr="00C01AF3" w:rsidRDefault="00B56725" w:rsidP="00B56725">
            <w:pPr>
              <w:jc w:val="left"/>
              <w:rPr>
                <w:rFonts w:ascii="Times New Roman" w:hAnsi="Times New Roman" w:cs="Arial"/>
                <w:sz w:val="22"/>
                <w:lang w:val="sr-Latn-ME"/>
              </w:rPr>
            </w:pPr>
          </w:p>
          <w:p w:rsidR="00B17B36" w:rsidRPr="00C01AF3" w:rsidRDefault="00B17B36" w:rsidP="00B17B36">
            <w:pPr>
              <w:pStyle w:val="Header"/>
              <w:tabs>
                <w:tab w:val="clear" w:pos="4536"/>
                <w:tab w:val="clear" w:pos="9072"/>
                <w:tab w:val="left" w:pos="284"/>
              </w:tabs>
              <w:jc w:val="left"/>
              <w:rPr>
                <w:rFonts w:ascii="Times New Roman" w:hAnsi="Times New Roman" w:cs="Arial"/>
                <w:sz w:val="22"/>
                <w:u w:val="single"/>
                <w:lang w:val="sr-Latn-ME"/>
              </w:rPr>
            </w:pPr>
            <w:r w:rsidRPr="00C01AF3">
              <w:rPr>
                <w:rFonts w:ascii="Times New Roman" w:hAnsi="Times New Roman" w:cs="Arial"/>
                <w:sz w:val="22"/>
                <w:u w:val="single"/>
                <w:lang w:val="sr-Latn-ME"/>
              </w:rPr>
              <w:t>Specijalne populacije</w:t>
            </w:r>
          </w:p>
          <w:p w:rsidR="00806F72" w:rsidRPr="00C01AF3" w:rsidRDefault="00806F72" w:rsidP="00B17B36">
            <w:pPr>
              <w:pStyle w:val="Header"/>
              <w:tabs>
                <w:tab w:val="clear" w:pos="4536"/>
                <w:tab w:val="clear" w:pos="9072"/>
                <w:tab w:val="left" w:pos="284"/>
              </w:tabs>
              <w:jc w:val="left"/>
              <w:rPr>
                <w:rFonts w:ascii="Times New Roman" w:hAnsi="Times New Roman" w:cs="Arial"/>
                <w:i/>
                <w:sz w:val="22"/>
                <w:lang w:val="sr-Latn-ME"/>
              </w:rPr>
            </w:pPr>
            <w:r w:rsidRPr="00C01AF3">
              <w:rPr>
                <w:rFonts w:ascii="Times New Roman" w:hAnsi="Times New Roman" w:cs="Arial"/>
                <w:i/>
                <w:sz w:val="22"/>
                <w:lang w:val="sr-Latn-ME"/>
              </w:rPr>
              <w:t>Poremećaj funkcije bubrega</w:t>
            </w:r>
          </w:p>
          <w:p w:rsidR="00995026" w:rsidRPr="00C01AF3" w:rsidRDefault="00852674" w:rsidP="00B17B36">
            <w:pPr>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Zbog  komponen</w:t>
            </w:r>
            <w:r w:rsidR="00B17B36" w:rsidRPr="00C01AF3">
              <w:rPr>
                <w:rFonts w:ascii="Times New Roman" w:hAnsi="Times New Roman"/>
                <w:bCs/>
                <w:noProof/>
                <w:color w:val="000000"/>
                <w:sz w:val="22"/>
                <w:szCs w:val="22"/>
                <w:lang w:val="sr-Latn-ME"/>
              </w:rPr>
              <w:t xml:space="preserve">te </w:t>
            </w:r>
            <w:r w:rsidR="007C4A86" w:rsidRPr="00C01AF3">
              <w:rPr>
                <w:rFonts w:ascii="Times New Roman" w:hAnsi="Times New Roman"/>
                <w:bCs/>
                <w:noProof/>
                <w:color w:val="000000"/>
                <w:sz w:val="22"/>
                <w:szCs w:val="22"/>
                <w:lang w:val="sr-Latn-ME"/>
              </w:rPr>
              <w:t>hidrohlortiazid</w:t>
            </w:r>
            <w:r w:rsidR="00B17B36" w:rsidRPr="00C01AF3">
              <w:rPr>
                <w:rFonts w:ascii="Times New Roman" w:hAnsi="Times New Roman"/>
                <w:bCs/>
                <w:noProof/>
                <w:color w:val="000000"/>
                <w:sz w:val="22"/>
                <w:szCs w:val="22"/>
                <w:lang w:val="sr-Latn-ME"/>
              </w:rPr>
              <w:t>a</w:t>
            </w:r>
            <w:r w:rsidR="006D4DB2" w:rsidRPr="00C01AF3">
              <w:rPr>
                <w:rFonts w:ascii="Times New Roman" w:hAnsi="Times New Roman"/>
                <w:bCs/>
                <w:noProof/>
                <w:color w:val="000000"/>
                <w:sz w:val="22"/>
                <w:szCs w:val="22"/>
                <w:lang w:val="sr-Latn-ME"/>
              </w:rPr>
              <w:t>,</w:t>
            </w:r>
            <w:r w:rsidR="00B17B36" w:rsidRPr="00C01AF3">
              <w:rPr>
                <w:rFonts w:ascii="Times New Roman" w:hAnsi="Times New Roman"/>
                <w:bCs/>
                <w:noProof/>
                <w:color w:val="000000"/>
                <w:sz w:val="22"/>
                <w:szCs w:val="22"/>
                <w:lang w:val="sr-Latn-ME"/>
              </w:rPr>
              <w:t xml:space="preserve"> </w:t>
            </w:r>
            <w:r w:rsidR="005E1F46" w:rsidRPr="00C01AF3">
              <w:rPr>
                <w:rFonts w:ascii="Times New Roman" w:hAnsi="Times New Roman"/>
                <w:bCs/>
                <w:noProof/>
                <w:color w:val="000000"/>
                <w:sz w:val="22"/>
                <w:szCs w:val="22"/>
                <w:lang w:val="sr-Latn-ME"/>
              </w:rPr>
              <w:t xml:space="preserve"> </w:t>
            </w:r>
            <w:r w:rsidR="00B17B36" w:rsidRPr="00C01AF3">
              <w:rPr>
                <w:rFonts w:ascii="Times New Roman" w:hAnsi="Times New Roman"/>
                <w:bCs/>
                <w:noProof/>
                <w:color w:val="000000"/>
                <w:sz w:val="22"/>
                <w:szCs w:val="22"/>
                <w:lang w:val="sr-Latn-ME"/>
              </w:rPr>
              <w:t xml:space="preserve">Exforge HCT je kontraindikovan  kod pacijenata sa </w:t>
            </w:r>
            <w:r w:rsidR="006D4DB2" w:rsidRPr="00C01AF3">
              <w:rPr>
                <w:rFonts w:ascii="Times New Roman" w:hAnsi="Times New Roman"/>
                <w:bCs/>
                <w:noProof/>
                <w:color w:val="000000"/>
                <w:sz w:val="22"/>
                <w:szCs w:val="22"/>
                <w:lang w:val="sr-Latn-ME"/>
              </w:rPr>
              <w:t>anurijom (</w:t>
            </w:r>
            <w:r w:rsidR="00BD0291" w:rsidRPr="00C01AF3">
              <w:rPr>
                <w:rFonts w:ascii="Times New Roman" w:hAnsi="Times New Roman"/>
                <w:bCs/>
                <w:noProof/>
                <w:color w:val="000000"/>
                <w:sz w:val="22"/>
                <w:szCs w:val="22"/>
                <w:lang w:val="sr-Latn-ME"/>
              </w:rPr>
              <w:t>vidjet</w:t>
            </w:r>
            <w:r w:rsidR="006D4DB2" w:rsidRPr="00C01AF3">
              <w:rPr>
                <w:rFonts w:ascii="Times New Roman" w:hAnsi="Times New Roman"/>
                <w:bCs/>
                <w:noProof/>
                <w:color w:val="000000"/>
                <w:sz w:val="22"/>
                <w:szCs w:val="22"/>
                <w:lang w:val="sr-Latn-ME"/>
              </w:rPr>
              <w:t xml:space="preserve">i </w:t>
            </w:r>
            <w:r w:rsidR="00BD0291" w:rsidRPr="00C01AF3">
              <w:rPr>
                <w:rFonts w:ascii="Times New Roman" w:hAnsi="Times New Roman"/>
                <w:bCs/>
                <w:noProof/>
                <w:color w:val="000000"/>
                <w:sz w:val="22"/>
                <w:szCs w:val="22"/>
                <w:lang w:val="sr-Latn-ME"/>
              </w:rPr>
              <w:t>odjelj</w:t>
            </w:r>
            <w:r w:rsidR="00B17B36" w:rsidRPr="00C01AF3">
              <w:rPr>
                <w:rFonts w:ascii="Times New Roman" w:hAnsi="Times New Roman"/>
                <w:bCs/>
                <w:noProof/>
                <w:color w:val="000000"/>
                <w:sz w:val="22"/>
                <w:szCs w:val="22"/>
                <w:lang w:val="sr-Latn-ME"/>
              </w:rPr>
              <w:t xml:space="preserve">ak 4.3.) i kod pacijenata sa teškim  poremećajem funkcije bubrega (brzina glomerularne filtracije </w:t>
            </w:r>
          </w:p>
          <w:p w:rsidR="00B17B36" w:rsidRPr="00C01AF3" w:rsidRDefault="00B17B36" w:rsidP="00B17B36">
            <w:pPr>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(GFR) &lt;30 ml/ min/1</w:t>
            </w:r>
            <w:r w:rsidR="006A5C76" w:rsidRPr="00C01AF3">
              <w:rPr>
                <w:rFonts w:ascii="Times New Roman" w:hAnsi="Times New Roman"/>
                <w:bCs/>
                <w:noProof/>
                <w:color w:val="000000"/>
                <w:sz w:val="22"/>
                <w:szCs w:val="22"/>
                <w:lang w:val="sr-Latn-ME"/>
              </w:rPr>
              <w:t>,</w:t>
            </w:r>
            <w:r w:rsidRPr="00C01AF3">
              <w:rPr>
                <w:rFonts w:ascii="Times New Roman" w:hAnsi="Times New Roman"/>
                <w:bCs/>
                <w:noProof/>
                <w:color w:val="000000"/>
                <w:sz w:val="22"/>
                <w:szCs w:val="22"/>
                <w:lang w:val="sr-Latn-ME"/>
              </w:rPr>
              <w:t>73m</w:t>
            </w:r>
            <w:r w:rsidRPr="00C01AF3">
              <w:rPr>
                <w:rFonts w:ascii="Times New Roman" w:hAnsi="Times New Roman"/>
                <w:bCs/>
                <w:noProof/>
                <w:color w:val="000000"/>
                <w:sz w:val="22"/>
                <w:szCs w:val="22"/>
                <w:vertAlign w:val="superscript"/>
                <w:lang w:val="sr-Latn-ME"/>
              </w:rPr>
              <w:t>2</w:t>
            </w:r>
            <w:r w:rsidR="00043D06" w:rsidRPr="00C01AF3">
              <w:rPr>
                <w:rFonts w:ascii="Times New Roman" w:hAnsi="Times New Roman"/>
                <w:bCs/>
                <w:noProof/>
                <w:color w:val="000000"/>
                <w:sz w:val="22"/>
                <w:szCs w:val="22"/>
                <w:vertAlign w:val="superscript"/>
                <w:lang w:val="sr-Latn-ME"/>
              </w:rPr>
              <w:t xml:space="preserve"> </w:t>
            </w:r>
            <w:r w:rsidR="006D4DB2" w:rsidRPr="00C01AF3">
              <w:rPr>
                <w:rFonts w:ascii="Times New Roman" w:hAnsi="Times New Roman"/>
                <w:sz w:val="22"/>
                <w:szCs w:val="22"/>
                <w:lang w:val="sr-Latn-ME"/>
              </w:rPr>
              <w:t>)</w:t>
            </w:r>
            <w:r w:rsidR="00995026" w:rsidRPr="00C01AF3">
              <w:rPr>
                <w:rFonts w:ascii="Times New Roman" w:hAnsi="Times New Roman"/>
                <w:sz w:val="22"/>
                <w:szCs w:val="22"/>
                <w:lang w:val="sr-Latn-ME"/>
              </w:rPr>
              <w:t xml:space="preserve"> </w:t>
            </w:r>
            <w:r w:rsidRPr="00C01AF3">
              <w:rPr>
                <w:rFonts w:ascii="Times New Roman" w:hAnsi="Times New Roman"/>
                <w:bCs/>
                <w:noProof/>
                <w:color w:val="000000"/>
                <w:sz w:val="22"/>
                <w:szCs w:val="22"/>
                <w:lang w:val="sr-Latn-ME"/>
              </w:rPr>
              <w:t>(</w:t>
            </w:r>
            <w:r w:rsidR="00BD0291" w:rsidRPr="00C01AF3">
              <w:rPr>
                <w:rFonts w:ascii="Times New Roman" w:hAnsi="Times New Roman"/>
                <w:bCs/>
                <w:noProof/>
                <w:color w:val="000000"/>
                <w:sz w:val="22"/>
                <w:szCs w:val="22"/>
                <w:lang w:val="sr-Latn-ME"/>
              </w:rPr>
              <w:t>vidjet</w:t>
            </w:r>
            <w:r w:rsidRPr="00C01AF3">
              <w:rPr>
                <w:rFonts w:ascii="Times New Roman" w:hAnsi="Times New Roman"/>
                <w:bCs/>
                <w:noProof/>
                <w:color w:val="000000"/>
                <w:sz w:val="22"/>
                <w:szCs w:val="22"/>
                <w:lang w:val="sr-Latn-ME"/>
              </w:rPr>
              <w:t xml:space="preserve">i </w:t>
            </w:r>
            <w:r w:rsidR="00BD0291" w:rsidRPr="00C01AF3">
              <w:rPr>
                <w:rFonts w:ascii="Times New Roman" w:hAnsi="Times New Roman"/>
                <w:bCs/>
                <w:noProof/>
                <w:color w:val="000000"/>
                <w:sz w:val="22"/>
                <w:szCs w:val="22"/>
                <w:lang w:val="sr-Latn-ME"/>
              </w:rPr>
              <w:t>odjelj</w:t>
            </w:r>
            <w:r w:rsidRPr="00C01AF3">
              <w:rPr>
                <w:rFonts w:ascii="Times New Roman" w:hAnsi="Times New Roman"/>
                <w:bCs/>
                <w:noProof/>
                <w:color w:val="000000"/>
                <w:sz w:val="22"/>
                <w:szCs w:val="22"/>
                <w:lang w:val="sr-Latn-ME"/>
              </w:rPr>
              <w:t>ak 4.3, 4.4. i 5.2).</w:t>
            </w:r>
          </w:p>
          <w:p w:rsidR="00852674" w:rsidRPr="00C01AF3" w:rsidRDefault="00852674" w:rsidP="00B17B36">
            <w:pPr>
              <w:jc w:val="left"/>
              <w:rPr>
                <w:rFonts w:ascii="Times New Roman" w:hAnsi="Times New Roman"/>
                <w:bCs/>
                <w:noProof/>
                <w:color w:val="000000"/>
                <w:sz w:val="22"/>
                <w:szCs w:val="22"/>
                <w:lang w:val="sr-Latn-ME"/>
              </w:rPr>
            </w:pPr>
          </w:p>
          <w:p w:rsidR="00852674" w:rsidRPr="00C01AF3" w:rsidRDefault="00FF6159" w:rsidP="00B17B36">
            <w:pPr>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 xml:space="preserve">Nije potrebno podešavanje početne  doze kod pacijenata sa blagim do </w:t>
            </w:r>
            <w:r w:rsidR="00BD0291" w:rsidRPr="00C01AF3">
              <w:rPr>
                <w:rFonts w:ascii="Times New Roman" w:hAnsi="Times New Roman"/>
                <w:bCs/>
                <w:noProof/>
                <w:color w:val="000000"/>
                <w:sz w:val="22"/>
                <w:szCs w:val="22"/>
                <w:lang w:val="sr-Latn-ME"/>
              </w:rPr>
              <w:t>umjeren</w:t>
            </w:r>
            <w:r w:rsidRPr="00C01AF3">
              <w:rPr>
                <w:rFonts w:ascii="Times New Roman" w:hAnsi="Times New Roman"/>
                <w:bCs/>
                <w:noProof/>
                <w:color w:val="000000"/>
                <w:sz w:val="22"/>
                <w:szCs w:val="22"/>
                <w:lang w:val="sr-Latn-ME"/>
              </w:rPr>
              <w:t>im poremećajem funkcije bubrega (</w:t>
            </w:r>
            <w:r w:rsidR="00BD0291" w:rsidRPr="00C01AF3">
              <w:rPr>
                <w:rFonts w:ascii="Times New Roman" w:hAnsi="Times New Roman"/>
                <w:bCs/>
                <w:noProof/>
                <w:color w:val="000000"/>
                <w:sz w:val="22"/>
                <w:szCs w:val="22"/>
                <w:lang w:val="sr-Latn-ME"/>
              </w:rPr>
              <w:t>vidjet</w:t>
            </w:r>
            <w:r w:rsidRPr="00C01AF3">
              <w:rPr>
                <w:rFonts w:ascii="Times New Roman" w:hAnsi="Times New Roman"/>
                <w:bCs/>
                <w:noProof/>
                <w:color w:val="000000"/>
                <w:sz w:val="22"/>
                <w:szCs w:val="22"/>
                <w:lang w:val="sr-Latn-ME"/>
              </w:rPr>
              <w:t xml:space="preserve">i </w:t>
            </w:r>
            <w:r w:rsidR="00BD0291" w:rsidRPr="00C01AF3">
              <w:rPr>
                <w:rFonts w:ascii="Times New Roman" w:hAnsi="Times New Roman"/>
                <w:bCs/>
                <w:noProof/>
                <w:color w:val="000000"/>
                <w:sz w:val="22"/>
                <w:szCs w:val="22"/>
                <w:lang w:val="sr-Latn-ME"/>
              </w:rPr>
              <w:t>odjelj</w:t>
            </w:r>
            <w:r w:rsidRPr="00C01AF3">
              <w:rPr>
                <w:rFonts w:ascii="Times New Roman" w:hAnsi="Times New Roman"/>
                <w:bCs/>
                <w:noProof/>
                <w:color w:val="000000"/>
                <w:sz w:val="22"/>
                <w:szCs w:val="22"/>
                <w:lang w:val="sr-Latn-ME"/>
              </w:rPr>
              <w:t>ak 4.4. i 5.2.).</w:t>
            </w:r>
          </w:p>
          <w:p w:rsidR="00061698" w:rsidRPr="00C01AF3" w:rsidRDefault="00061698" w:rsidP="00B17B36">
            <w:pPr>
              <w:jc w:val="left"/>
              <w:rPr>
                <w:rFonts w:ascii="Times New Roman" w:hAnsi="Times New Roman"/>
                <w:bCs/>
                <w:noProof/>
                <w:color w:val="000000"/>
                <w:sz w:val="22"/>
                <w:szCs w:val="22"/>
                <w:lang w:val="sr-Latn-ME"/>
              </w:rPr>
            </w:pPr>
          </w:p>
          <w:p w:rsidR="00806F72" w:rsidRPr="00C01AF3" w:rsidRDefault="006420C7" w:rsidP="00B17B36">
            <w:pPr>
              <w:pStyle w:val="Header"/>
              <w:tabs>
                <w:tab w:val="clear" w:pos="4536"/>
                <w:tab w:val="clear" w:pos="9072"/>
                <w:tab w:val="left" w:pos="284"/>
              </w:tabs>
              <w:jc w:val="left"/>
              <w:rPr>
                <w:rFonts w:ascii="Times New Roman" w:hAnsi="Times New Roman" w:cs="Arial"/>
                <w:i/>
                <w:sz w:val="22"/>
                <w:lang w:val="sr-Latn-ME"/>
              </w:rPr>
            </w:pPr>
            <w:r w:rsidRPr="00C01AF3">
              <w:rPr>
                <w:rFonts w:ascii="Times New Roman" w:hAnsi="Times New Roman" w:cs="Arial"/>
                <w:i/>
                <w:sz w:val="22"/>
                <w:lang w:val="sr-Latn-ME"/>
              </w:rPr>
              <w:t>Poremećaj</w:t>
            </w:r>
            <w:r w:rsidR="00806F72" w:rsidRPr="00C01AF3">
              <w:rPr>
                <w:rFonts w:ascii="Times New Roman" w:hAnsi="Times New Roman" w:cs="Arial"/>
                <w:i/>
                <w:sz w:val="22"/>
                <w:lang w:val="sr-Latn-ME"/>
              </w:rPr>
              <w:t xml:space="preserve"> funkcije  jetre</w:t>
            </w:r>
          </w:p>
          <w:p w:rsidR="00DB52DB" w:rsidRPr="00C01AF3" w:rsidRDefault="00B17B36" w:rsidP="00B17B36">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bCs/>
                <w:noProof/>
                <w:color w:val="000000"/>
                <w:sz w:val="22"/>
                <w:szCs w:val="22"/>
                <w:lang w:val="sr-Latn-ME"/>
              </w:rPr>
              <w:t>Zbog komponente valsartana</w:t>
            </w:r>
            <w:r w:rsidR="008C518B" w:rsidRPr="00C01AF3">
              <w:rPr>
                <w:rFonts w:ascii="Times New Roman" w:hAnsi="Times New Roman"/>
                <w:bCs/>
                <w:noProof/>
                <w:color w:val="000000"/>
                <w:sz w:val="22"/>
                <w:szCs w:val="22"/>
                <w:lang w:val="sr-Latn-ME"/>
              </w:rPr>
              <w:t>,</w:t>
            </w:r>
            <w:r w:rsidRPr="00C01AF3">
              <w:rPr>
                <w:rFonts w:ascii="Times New Roman" w:hAnsi="Times New Roman"/>
                <w:bCs/>
                <w:noProof/>
                <w:color w:val="000000"/>
                <w:sz w:val="22"/>
                <w:szCs w:val="22"/>
                <w:lang w:val="sr-Latn-ME"/>
              </w:rPr>
              <w:t xml:space="preserve"> </w:t>
            </w:r>
            <w:r w:rsidR="00806F72" w:rsidRPr="00C01AF3">
              <w:rPr>
                <w:rFonts w:ascii="Times New Roman" w:hAnsi="Times New Roman"/>
                <w:bCs/>
                <w:noProof/>
                <w:color w:val="000000"/>
                <w:sz w:val="22"/>
                <w:szCs w:val="22"/>
                <w:lang w:val="sr-Latn-ME"/>
              </w:rPr>
              <w:t xml:space="preserve">Exforge </w:t>
            </w:r>
            <w:r w:rsidRPr="00C01AF3">
              <w:rPr>
                <w:rFonts w:ascii="Times New Roman" w:hAnsi="Times New Roman"/>
                <w:bCs/>
                <w:noProof/>
                <w:color w:val="000000"/>
                <w:sz w:val="22"/>
                <w:szCs w:val="22"/>
                <w:lang w:val="sr-Latn-ME"/>
              </w:rPr>
              <w:t xml:space="preserve">HCT </w:t>
            </w:r>
            <w:r w:rsidR="00806F72" w:rsidRPr="00C01AF3">
              <w:rPr>
                <w:rFonts w:ascii="Times New Roman" w:hAnsi="Times New Roman"/>
                <w:bCs/>
                <w:noProof/>
                <w:color w:val="000000"/>
                <w:sz w:val="22"/>
                <w:szCs w:val="22"/>
                <w:lang w:val="sr-Latn-ME"/>
              </w:rPr>
              <w:t>je kontraindikovan kod</w:t>
            </w:r>
            <w:r w:rsidR="008E0B37" w:rsidRPr="00C01AF3">
              <w:rPr>
                <w:rFonts w:ascii="Times New Roman" w:hAnsi="Times New Roman"/>
                <w:bCs/>
                <w:noProof/>
                <w:color w:val="000000"/>
                <w:sz w:val="22"/>
                <w:szCs w:val="22"/>
                <w:lang w:val="sr-Latn-ME"/>
              </w:rPr>
              <w:t xml:space="preserve"> pacijenata sa teškim poremećajem funkcije</w:t>
            </w:r>
            <w:r w:rsidR="004F79B0" w:rsidRPr="00C01AF3">
              <w:rPr>
                <w:rFonts w:ascii="Times New Roman" w:hAnsi="Times New Roman"/>
                <w:bCs/>
                <w:noProof/>
                <w:color w:val="000000"/>
                <w:sz w:val="22"/>
                <w:szCs w:val="22"/>
                <w:lang w:val="sr-Latn-ME"/>
              </w:rPr>
              <w:t xml:space="preserve"> jetre (</w:t>
            </w:r>
            <w:r w:rsidR="00BD0291" w:rsidRPr="00C01AF3">
              <w:rPr>
                <w:rFonts w:ascii="Times New Roman" w:hAnsi="Times New Roman"/>
                <w:bCs/>
                <w:noProof/>
                <w:color w:val="000000"/>
                <w:sz w:val="22"/>
                <w:szCs w:val="22"/>
                <w:lang w:val="sr-Latn-ME"/>
              </w:rPr>
              <w:t>vidjet</w:t>
            </w:r>
            <w:r w:rsidR="004F79B0" w:rsidRPr="00C01AF3">
              <w:rPr>
                <w:rFonts w:ascii="Times New Roman" w:hAnsi="Times New Roman"/>
                <w:bCs/>
                <w:noProof/>
                <w:color w:val="000000"/>
                <w:sz w:val="22"/>
                <w:szCs w:val="22"/>
                <w:lang w:val="sr-Latn-ME"/>
              </w:rPr>
              <w:t xml:space="preserve">i </w:t>
            </w:r>
            <w:r w:rsidR="00BD0291" w:rsidRPr="00C01AF3">
              <w:rPr>
                <w:rFonts w:ascii="Times New Roman" w:hAnsi="Times New Roman"/>
                <w:bCs/>
                <w:noProof/>
                <w:color w:val="000000"/>
                <w:sz w:val="22"/>
                <w:szCs w:val="22"/>
                <w:lang w:val="sr-Latn-ME"/>
              </w:rPr>
              <w:t>odjelj</w:t>
            </w:r>
            <w:r w:rsidR="004F79B0" w:rsidRPr="00C01AF3">
              <w:rPr>
                <w:rFonts w:ascii="Times New Roman" w:hAnsi="Times New Roman"/>
                <w:bCs/>
                <w:noProof/>
                <w:color w:val="000000"/>
                <w:sz w:val="22"/>
                <w:szCs w:val="22"/>
                <w:lang w:val="sr-Latn-ME"/>
              </w:rPr>
              <w:t>ak</w:t>
            </w:r>
            <w:r w:rsidR="00806F72" w:rsidRPr="00C01AF3">
              <w:rPr>
                <w:rFonts w:ascii="Times New Roman" w:hAnsi="Times New Roman"/>
                <w:bCs/>
                <w:noProof/>
                <w:color w:val="000000"/>
                <w:sz w:val="22"/>
                <w:szCs w:val="22"/>
                <w:lang w:val="sr-Latn-ME"/>
              </w:rPr>
              <w:t xml:space="preserve"> 4.3).</w:t>
            </w:r>
            <w:r w:rsidRPr="00C01AF3">
              <w:rPr>
                <w:rFonts w:ascii="Times New Roman" w:hAnsi="Times New Roman"/>
                <w:bCs/>
                <w:noProof/>
                <w:color w:val="000000"/>
                <w:sz w:val="22"/>
                <w:szCs w:val="22"/>
                <w:lang w:val="sr-Latn-ME"/>
              </w:rPr>
              <w:t xml:space="preserve"> </w:t>
            </w:r>
            <w:r w:rsidR="00806F72" w:rsidRPr="00C01AF3">
              <w:rPr>
                <w:rFonts w:ascii="Times New Roman" w:hAnsi="Times New Roman"/>
                <w:bCs/>
                <w:noProof/>
                <w:color w:val="000000"/>
                <w:sz w:val="22"/>
                <w:szCs w:val="22"/>
                <w:lang w:val="sr-Latn-ME"/>
              </w:rPr>
              <w:t xml:space="preserve">Kod pacijenata s blagim do </w:t>
            </w:r>
            <w:r w:rsidR="00BD0291" w:rsidRPr="00C01AF3">
              <w:rPr>
                <w:rFonts w:ascii="Times New Roman" w:hAnsi="Times New Roman"/>
                <w:bCs/>
                <w:noProof/>
                <w:color w:val="000000"/>
                <w:sz w:val="22"/>
                <w:szCs w:val="22"/>
                <w:lang w:val="sr-Latn-ME"/>
              </w:rPr>
              <w:t>umjeren</w:t>
            </w:r>
            <w:r w:rsidR="00806F72" w:rsidRPr="00C01AF3">
              <w:rPr>
                <w:rFonts w:ascii="Times New Roman" w:hAnsi="Times New Roman"/>
                <w:bCs/>
                <w:noProof/>
                <w:color w:val="000000"/>
                <w:sz w:val="22"/>
                <w:szCs w:val="22"/>
                <w:lang w:val="sr-Latn-ME"/>
              </w:rPr>
              <w:t xml:space="preserve">im </w:t>
            </w:r>
            <w:r w:rsidR="00806F72" w:rsidRPr="00C01AF3">
              <w:rPr>
                <w:rFonts w:ascii="Times New Roman" w:hAnsi="Times New Roman"/>
                <w:color w:val="000000"/>
                <w:sz w:val="22"/>
                <w:szCs w:val="22"/>
                <w:lang w:val="sr-Latn-ME"/>
              </w:rPr>
              <w:t xml:space="preserve"> poremećajem funkcije jetre, bez holestaze, maksimalna preporuče</w:t>
            </w:r>
            <w:r w:rsidRPr="00C01AF3">
              <w:rPr>
                <w:rFonts w:ascii="Times New Roman" w:hAnsi="Times New Roman"/>
                <w:color w:val="000000"/>
                <w:sz w:val="22"/>
                <w:szCs w:val="22"/>
                <w:lang w:val="sr-Latn-ME"/>
              </w:rPr>
              <w:t xml:space="preserve">na doza valsartana </w:t>
            </w:r>
            <w:r w:rsidR="001C6B6F" w:rsidRPr="00C01AF3">
              <w:rPr>
                <w:rFonts w:ascii="Times New Roman" w:hAnsi="Times New Roman"/>
                <w:color w:val="000000"/>
                <w:sz w:val="22"/>
                <w:szCs w:val="22"/>
                <w:lang w:val="sr-Latn-ME"/>
              </w:rPr>
              <w:t>je 80 mg i zato</w:t>
            </w:r>
            <w:r w:rsidRPr="00C01AF3">
              <w:rPr>
                <w:rFonts w:ascii="Times New Roman" w:hAnsi="Times New Roman"/>
                <w:color w:val="000000"/>
                <w:sz w:val="22"/>
                <w:szCs w:val="22"/>
                <w:lang w:val="sr-Latn-ME"/>
              </w:rPr>
              <w:t xml:space="preserve"> Exforge HCT nije pogodan za ovu grupu pacijenata (</w:t>
            </w:r>
            <w:r w:rsidR="00BD0291" w:rsidRPr="00C01AF3">
              <w:rPr>
                <w:rFonts w:ascii="Times New Roman" w:hAnsi="Times New Roman"/>
                <w:color w:val="000000"/>
                <w:sz w:val="22"/>
                <w:szCs w:val="22"/>
                <w:lang w:val="sr-Latn-ME"/>
              </w:rPr>
              <w:t>vidjet</w:t>
            </w:r>
            <w:r w:rsidR="001C6B6F" w:rsidRPr="00C01AF3">
              <w:rPr>
                <w:rFonts w:ascii="Times New Roman" w:hAnsi="Times New Roman"/>
                <w:color w:val="000000"/>
                <w:sz w:val="22"/>
                <w:szCs w:val="22"/>
                <w:lang w:val="sr-Latn-ME"/>
              </w:rPr>
              <w:t xml:space="preserve">i </w:t>
            </w:r>
            <w:r w:rsidR="00BD0291" w:rsidRPr="00C01AF3">
              <w:rPr>
                <w:rFonts w:ascii="Times New Roman" w:hAnsi="Times New Roman"/>
                <w:color w:val="000000"/>
                <w:sz w:val="22"/>
                <w:szCs w:val="22"/>
                <w:lang w:val="sr-Latn-ME"/>
              </w:rPr>
              <w:t>odjelj</w:t>
            </w:r>
            <w:r w:rsidRPr="00C01AF3">
              <w:rPr>
                <w:rFonts w:ascii="Times New Roman" w:hAnsi="Times New Roman"/>
                <w:color w:val="000000"/>
                <w:sz w:val="22"/>
                <w:szCs w:val="22"/>
                <w:lang w:val="sr-Latn-ME"/>
              </w:rPr>
              <w:t>ak 4.3., 4.4. i 4.5.)</w:t>
            </w:r>
            <w:r w:rsidR="001C6B6F" w:rsidRPr="00C01AF3">
              <w:rPr>
                <w:rFonts w:ascii="Times New Roman" w:hAnsi="Times New Roman"/>
                <w:color w:val="000000"/>
                <w:sz w:val="22"/>
                <w:szCs w:val="22"/>
                <w:lang w:val="sr-Latn-ME"/>
              </w:rPr>
              <w:t>. P</w:t>
            </w:r>
            <w:r w:rsidR="00DB52DB" w:rsidRPr="00C01AF3">
              <w:rPr>
                <w:rFonts w:ascii="Times New Roman" w:hAnsi="Times New Roman"/>
                <w:color w:val="000000"/>
                <w:sz w:val="22"/>
                <w:szCs w:val="22"/>
                <w:lang w:val="sr-Latn-ME"/>
              </w:rPr>
              <w:t xml:space="preserve">reporuke za doziranje amlodipina kod pacijenata sa blagim do </w:t>
            </w:r>
            <w:r w:rsidR="00BD0291" w:rsidRPr="00C01AF3">
              <w:rPr>
                <w:rFonts w:ascii="Times New Roman" w:hAnsi="Times New Roman"/>
                <w:color w:val="000000"/>
                <w:sz w:val="22"/>
                <w:szCs w:val="22"/>
                <w:lang w:val="sr-Latn-ME"/>
              </w:rPr>
              <w:t>umjeren</w:t>
            </w:r>
            <w:r w:rsidR="00DB52DB" w:rsidRPr="00C01AF3">
              <w:rPr>
                <w:rFonts w:ascii="Times New Roman" w:hAnsi="Times New Roman"/>
                <w:color w:val="000000"/>
                <w:sz w:val="22"/>
                <w:szCs w:val="22"/>
                <w:lang w:val="sr-Latn-ME"/>
              </w:rPr>
              <w:t>im poremećajem funkcije jetre</w:t>
            </w:r>
            <w:r w:rsidR="001C6B6F" w:rsidRPr="00C01AF3">
              <w:rPr>
                <w:rFonts w:ascii="Times New Roman" w:hAnsi="Times New Roman"/>
                <w:color w:val="000000"/>
                <w:sz w:val="22"/>
                <w:szCs w:val="22"/>
                <w:lang w:val="sr-Latn-ME"/>
              </w:rPr>
              <w:t xml:space="preserve"> ni</w:t>
            </w:r>
            <w:r w:rsidR="00CF6195" w:rsidRPr="00C01AF3">
              <w:rPr>
                <w:rFonts w:ascii="Times New Roman" w:hAnsi="Times New Roman"/>
                <w:color w:val="000000"/>
                <w:sz w:val="22"/>
                <w:szCs w:val="22"/>
                <w:lang w:val="sr-Latn-ME"/>
              </w:rPr>
              <w:t>je</w:t>
            </w:r>
            <w:r w:rsidR="001C6B6F" w:rsidRPr="00C01AF3">
              <w:rPr>
                <w:rFonts w:ascii="Times New Roman" w:hAnsi="Times New Roman"/>
                <w:color w:val="000000"/>
                <w:sz w:val="22"/>
                <w:szCs w:val="22"/>
                <w:lang w:val="sr-Latn-ME"/>
              </w:rPr>
              <w:t>su ustanovljene</w:t>
            </w:r>
            <w:r w:rsidR="00DB52DB" w:rsidRPr="00C01AF3">
              <w:rPr>
                <w:rFonts w:ascii="Times New Roman" w:hAnsi="Times New Roman"/>
                <w:color w:val="000000"/>
                <w:sz w:val="22"/>
                <w:szCs w:val="22"/>
                <w:lang w:val="sr-Latn-ME"/>
              </w:rPr>
              <w:t>.</w:t>
            </w:r>
          </w:p>
          <w:p w:rsidR="00806F72" w:rsidRPr="00C01AF3" w:rsidRDefault="00806F72" w:rsidP="00B17B36">
            <w:pPr>
              <w:tabs>
                <w:tab w:val="clear" w:pos="284"/>
              </w:tabs>
              <w:autoSpaceDE w:val="0"/>
              <w:autoSpaceDN w:val="0"/>
              <w:jc w:val="left"/>
              <w:rPr>
                <w:rFonts w:ascii="Times New Roman" w:hAnsi="Times New Roman"/>
                <w:color w:val="000000"/>
                <w:sz w:val="22"/>
                <w:szCs w:val="22"/>
                <w:lang w:val="sr-Latn-ME"/>
              </w:rPr>
            </w:pPr>
          </w:p>
          <w:p w:rsidR="002C5BD6" w:rsidRPr="00C01AF3" w:rsidRDefault="002C5BD6" w:rsidP="00B17B36">
            <w:pPr>
              <w:tabs>
                <w:tab w:val="clear" w:pos="284"/>
              </w:tabs>
              <w:autoSpaceDE w:val="0"/>
              <w:autoSpaceDN w:val="0"/>
              <w:jc w:val="left"/>
              <w:rPr>
                <w:rFonts w:ascii="Times New Roman" w:hAnsi="Times New Roman"/>
                <w:i/>
                <w:color w:val="000000"/>
                <w:sz w:val="22"/>
                <w:szCs w:val="22"/>
                <w:lang w:val="sr-Latn-ME"/>
              </w:rPr>
            </w:pPr>
            <w:r w:rsidRPr="00C01AF3">
              <w:rPr>
                <w:rFonts w:ascii="Times New Roman" w:hAnsi="Times New Roman"/>
                <w:i/>
                <w:color w:val="000000"/>
                <w:sz w:val="22"/>
                <w:szCs w:val="22"/>
                <w:lang w:val="sr-Latn-ME"/>
              </w:rPr>
              <w:t xml:space="preserve">Srčana insuficijencija i </w:t>
            </w:r>
            <w:r w:rsidR="006D23EA" w:rsidRPr="00C01AF3">
              <w:rPr>
                <w:rFonts w:ascii="Times New Roman" w:hAnsi="Times New Roman"/>
                <w:i/>
                <w:color w:val="000000"/>
                <w:sz w:val="22"/>
                <w:szCs w:val="22"/>
                <w:lang w:val="sr-Latn-ME"/>
              </w:rPr>
              <w:t>bolest koronarnih arterija</w:t>
            </w:r>
          </w:p>
          <w:p w:rsidR="002C5BD6" w:rsidRPr="00C01AF3" w:rsidRDefault="002C5BD6" w:rsidP="00B17B36">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Kod pacijen</w:t>
            </w:r>
            <w:r w:rsidR="006A4323" w:rsidRPr="00C01AF3">
              <w:rPr>
                <w:rFonts w:ascii="Times New Roman" w:hAnsi="Times New Roman"/>
                <w:color w:val="000000"/>
                <w:sz w:val="22"/>
                <w:szCs w:val="22"/>
                <w:lang w:val="sr-Latn-ME"/>
              </w:rPr>
              <w:t>ata sa srčanom insuficijencijom</w:t>
            </w:r>
            <w:r w:rsidRPr="00C01AF3">
              <w:rPr>
                <w:rFonts w:ascii="Times New Roman" w:hAnsi="Times New Roman"/>
                <w:color w:val="000000"/>
                <w:sz w:val="22"/>
                <w:szCs w:val="22"/>
                <w:lang w:val="sr-Latn-ME"/>
              </w:rPr>
              <w:t xml:space="preserve"> i </w:t>
            </w:r>
            <w:r w:rsidR="006A4323" w:rsidRPr="00C01AF3">
              <w:rPr>
                <w:rFonts w:ascii="Times New Roman" w:hAnsi="Times New Roman"/>
                <w:color w:val="000000"/>
                <w:sz w:val="22"/>
                <w:szCs w:val="22"/>
                <w:lang w:val="sr-Latn-ME"/>
              </w:rPr>
              <w:t>bolešću koronarnih arterija</w:t>
            </w:r>
            <w:r w:rsidRPr="00C01AF3">
              <w:rPr>
                <w:rFonts w:ascii="Times New Roman" w:hAnsi="Times New Roman"/>
                <w:color w:val="000000"/>
                <w:sz w:val="22"/>
                <w:szCs w:val="22"/>
                <w:lang w:val="sr-Latn-ME"/>
              </w:rPr>
              <w:t xml:space="preserve"> postoji ograničeno iskustvo sa </w:t>
            </w:r>
            <w:r w:rsidR="006A4323" w:rsidRPr="00C01AF3">
              <w:rPr>
                <w:rFonts w:ascii="Times New Roman" w:hAnsi="Times New Roman"/>
                <w:color w:val="000000"/>
                <w:sz w:val="22"/>
                <w:szCs w:val="22"/>
                <w:lang w:val="sr-Latn-ME"/>
              </w:rPr>
              <w:t>prim</w:t>
            </w:r>
            <w:r w:rsidR="00BD0291" w:rsidRPr="00C01AF3">
              <w:rPr>
                <w:rFonts w:ascii="Times New Roman" w:hAnsi="Times New Roman"/>
                <w:color w:val="000000"/>
                <w:sz w:val="22"/>
                <w:szCs w:val="22"/>
                <w:lang w:val="sr-Latn-ME"/>
              </w:rPr>
              <w:t>j</w:t>
            </w:r>
            <w:r w:rsidR="006A4323" w:rsidRPr="00C01AF3">
              <w:rPr>
                <w:rFonts w:ascii="Times New Roman" w:hAnsi="Times New Roman"/>
                <w:color w:val="000000"/>
                <w:sz w:val="22"/>
                <w:szCs w:val="22"/>
                <w:lang w:val="sr-Latn-ME"/>
              </w:rPr>
              <w:t xml:space="preserve">enom </w:t>
            </w:r>
            <w:r w:rsidR="00A65414" w:rsidRPr="00C01AF3">
              <w:rPr>
                <w:rFonts w:ascii="Times New Roman" w:hAnsi="Times New Roman"/>
                <w:color w:val="000000"/>
                <w:sz w:val="22"/>
                <w:szCs w:val="22"/>
                <w:lang w:val="sr-Latn-ME"/>
              </w:rPr>
              <w:t>lijek</w:t>
            </w:r>
            <w:r w:rsidRPr="00C01AF3">
              <w:rPr>
                <w:rFonts w:ascii="Times New Roman" w:hAnsi="Times New Roman"/>
                <w:color w:val="000000"/>
                <w:sz w:val="22"/>
                <w:szCs w:val="22"/>
                <w:lang w:val="sr-Latn-ME"/>
              </w:rPr>
              <w:t xml:space="preserve">a Exforge HCT, posebno pri maksimalnoj dozi. </w:t>
            </w:r>
            <w:r w:rsidR="00043D06" w:rsidRPr="00C01AF3">
              <w:rPr>
                <w:rFonts w:ascii="Times New Roman" w:hAnsi="Times New Roman"/>
                <w:color w:val="000000"/>
                <w:sz w:val="22"/>
                <w:szCs w:val="22"/>
                <w:lang w:val="sr-Latn-ME"/>
              </w:rPr>
              <w:t xml:space="preserve">Preporučuje se oprez kod pacijenata sa </w:t>
            </w:r>
            <w:r w:rsidR="00783B40" w:rsidRPr="00C01AF3">
              <w:rPr>
                <w:rFonts w:ascii="Times New Roman" w:hAnsi="Times New Roman"/>
                <w:color w:val="000000"/>
                <w:sz w:val="22"/>
                <w:szCs w:val="22"/>
                <w:lang w:val="sr-Latn-ME"/>
              </w:rPr>
              <w:t>srčanom insuficijencijom</w:t>
            </w:r>
            <w:r w:rsidR="00043D06" w:rsidRPr="00C01AF3">
              <w:rPr>
                <w:rFonts w:ascii="Times New Roman" w:hAnsi="Times New Roman"/>
                <w:color w:val="000000"/>
                <w:sz w:val="22"/>
                <w:szCs w:val="22"/>
                <w:lang w:val="sr-Latn-ME"/>
              </w:rPr>
              <w:t xml:space="preserve"> i bolešću</w:t>
            </w:r>
            <w:r w:rsidR="00D805D4" w:rsidRPr="00C01AF3">
              <w:rPr>
                <w:rFonts w:ascii="Times New Roman" w:hAnsi="Times New Roman"/>
                <w:color w:val="000000"/>
                <w:sz w:val="22"/>
                <w:szCs w:val="22"/>
                <w:lang w:val="sr-Latn-ME"/>
              </w:rPr>
              <w:t xml:space="preserve"> koronarnih arterija</w:t>
            </w:r>
            <w:r w:rsidR="00043D06" w:rsidRPr="00C01AF3">
              <w:rPr>
                <w:rFonts w:ascii="Times New Roman" w:hAnsi="Times New Roman"/>
                <w:color w:val="000000"/>
                <w:sz w:val="22"/>
                <w:szCs w:val="22"/>
                <w:lang w:val="sr-Latn-ME"/>
              </w:rPr>
              <w:t xml:space="preserve">, posebno pri maksimalnoj dozi </w:t>
            </w:r>
            <w:r w:rsidR="00A65414" w:rsidRPr="00C01AF3">
              <w:rPr>
                <w:rFonts w:ascii="Times New Roman" w:hAnsi="Times New Roman"/>
                <w:color w:val="000000"/>
                <w:sz w:val="22"/>
                <w:szCs w:val="22"/>
                <w:lang w:val="sr-Latn-ME"/>
              </w:rPr>
              <w:t>lijek</w:t>
            </w:r>
            <w:r w:rsidR="00783B40" w:rsidRPr="00C01AF3">
              <w:rPr>
                <w:rFonts w:ascii="Times New Roman" w:hAnsi="Times New Roman"/>
                <w:color w:val="000000"/>
                <w:sz w:val="22"/>
                <w:szCs w:val="22"/>
                <w:lang w:val="sr-Latn-ME"/>
              </w:rPr>
              <w:t xml:space="preserve">a Exforge HCT </w:t>
            </w:r>
            <w:r w:rsidR="00783B40" w:rsidRPr="00C01AF3">
              <w:rPr>
                <w:rFonts w:ascii="Times New Roman" w:hAnsi="Times New Roman"/>
                <w:vanish/>
                <w:color w:val="000000"/>
                <w:sz w:val="22"/>
                <w:szCs w:val="22"/>
                <w:lang w:val="sr-Latn-ME"/>
              </w:rPr>
              <w:t>THCT</w:t>
            </w:r>
            <w:r w:rsidR="00043D06" w:rsidRPr="00C01AF3">
              <w:rPr>
                <w:rFonts w:ascii="Times New Roman" w:hAnsi="Times New Roman"/>
                <w:color w:val="000000"/>
                <w:sz w:val="22"/>
                <w:szCs w:val="22"/>
                <w:lang w:val="sr-Latn-ME"/>
              </w:rPr>
              <w:t xml:space="preserve">od </w:t>
            </w:r>
            <w:r w:rsidR="00AC4741" w:rsidRPr="00C01AF3">
              <w:rPr>
                <w:rFonts w:ascii="Times New Roman" w:hAnsi="Times New Roman"/>
                <w:color w:val="000000"/>
                <w:sz w:val="22"/>
                <w:szCs w:val="22"/>
                <w:lang w:val="sr-Latn-ME"/>
              </w:rPr>
              <w:t>320mg/10mg/25mg</w:t>
            </w:r>
            <w:r w:rsidR="00043D06" w:rsidRPr="00C01AF3">
              <w:rPr>
                <w:rFonts w:ascii="Times New Roman" w:hAnsi="Times New Roman"/>
                <w:color w:val="000000"/>
                <w:sz w:val="22"/>
                <w:szCs w:val="22"/>
                <w:lang w:val="sr-Latn-ME"/>
              </w:rPr>
              <w:t>.</w:t>
            </w:r>
          </w:p>
          <w:p w:rsidR="00806F72" w:rsidRPr="00C01AF3" w:rsidRDefault="00806F72" w:rsidP="00B17B36">
            <w:pPr>
              <w:tabs>
                <w:tab w:val="clear" w:pos="284"/>
              </w:tabs>
              <w:autoSpaceDE w:val="0"/>
              <w:autoSpaceDN w:val="0"/>
              <w:jc w:val="left"/>
              <w:rPr>
                <w:rFonts w:ascii="Times New Roman" w:hAnsi="Times New Roman"/>
                <w:color w:val="000000"/>
                <w:sz w:val="22"/>
                <w:szCs w:val="22"/>
                <w:lang w:val="sr-Latn-ME"/>
              </w:rPr>
            </w:pPr>
          </w:p>
          <w:p w:rsidR="00806F72" w:rsidRPr="00C01AF3" w:rsidRDefault="00806F72" w:rsidP="00B17B36">
            <w:pPr>
              <w:tabs>
                <w:tab w:val="clear" w:pos="284"/>
              </w:tabs>
              <w:autoSpaceDE w:val="0"/>
              <w:autoSpaceDN w:val="0"/>
              <w:jc w:val="left"/>
              <w:rPr>
                <w:rFonts w:ascii="Times New Roman" w:hAnsi="Times New Roman"/>
                <w:i/>
                <w:iCs/>
                <w:noProof/>
                <w:color w:val="000000"/>
                <w:sz w:val="22"/>
                <w:szCs w:val="22"/>
                <w:lang w:val="sr-Latn-ME"/>
              </w:rPr>
            </w:pPr>
            <w:r w:rsidRPr="00C01AF3">
              <w:rPr>
                <w:rFonts w:ascii="Times New Roman" w:hAnsi="Times New Roman"/>
                <w:i/>
                <w:iCs/>
                <w:noProof/>
                <w:color w:val="000000"/>
                <w:sz w:val="22"/>
                <w:szCs w:val="22"/>
                <w:lang w:val="sr-Latn-ME"/>
              </w:rPr>
              <w:t>Starije osobe (</w:t>
            </w:r>
            <w:r w:rsidR="00970592" w:rsidRPr="00C01AF3">
              <w:rPr>
                <w:rFonts w:ascii="Times New Roman" w:hAnsi="Times New Roman"/>
                <w:i/>
                <w:iCs/>
                <w:noProof/>
                <w:color w:val="000000"/>
                <w:sz w:val="22"/>
                <w:szCs w:val="22"/>
                <w:lang w:val="sr-Latn-ME"/>
              </w:rPr>
              <w:t xml:space="preserve">starosti </w:t>
            </w:r>
            <w:r w:rsidRPr="00C01AF3">
              <w:rPr>
                <w:rFonts w:ascii="Times New Roman" w:hAnsi="Times New Roman"/>
                <w:i/>
                <w:iCs/>
                <w:noProof/>
                <w:color w:val="000000"/>
                <w:sz w:val="22"/>
                <w:szCs w:val="22"/>
                <w:lang w:val="sr-Latn-ME"/>
              </w:rPr>
              <w:t>65 godina</w:t>
            </w:r>
            <w:r w:rsidR="000A6B8E" w:rsidRPr="00C01AF3">
              <w:rPr>
                <w:rFonts w:ascii="Times New Roman" w:hAnsi="Times New Roman"/>
                <w:i/>
                <w:iCs/>
                <w:noProof/>
                <w:color w:val="000000"/>
                <w:sz w:val="22"/>
                <w:szCs w:val="22"/>
                <w:lang w:val="sr-Latn-ME"/>
              </w:rPr>
              <w:t xml:space="preserve"> </w:t>
            </w:r>
            <w:r w:rsidR="00970592" w:rsidRPr="00C01AF3">
              <w:rPr>
                <w:rFonts w:ascii="Times New Roman" w:hAnsi="Times New Roman"/>
                <w:i/>
                <w:iCs/>
                <w:noProof/>
                <w:color w:val="000000"/>
                <w:sz w:val="22"/>
                <w:szCs w:val="22"/>
                <w:lang w:val="sr-Latn-ME"/>
              </w:rPr>
              <w:t>ili stariji</w:t>
            </w:r>
            <w:r w:rsidRPr="00C01AF3">
              <w:rPr>
                <w:rFonts w:ascii="Times New Roman" w:hAnsi="Times New Roman"/>
                <w:i/>
                <w:iCs/>
                <w:noProof/>
                <w:color w:val="000000"/>
                <w:sz w:val="22"/>
                <w:szCs w:val="22"/>
                <w:lang w:val="sr-Latn-ME"/>
              </w:rPr>
              <w:t>)</w:t>
            </w:r>
          </w:p>
          <w:p w:rsidR="00806F72" w:rsidRPr="00C01AF3" w:rsidRDefault="00AB42FE" w:rsidP="00B17B36">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noProof/>
                <w:color w:val="000000"/>
                <w:sz w:val="22"/>
                <w:szCs w:val="22"/>
                <w:lang w:val="sr-Latn-ME"/>
              </w:rPr>
              <w:t xml:space="preserve">Opreznost sa češćim </w:t>
            </w:r>
            <w:r w:rsidR="00CF6195" w:rsidRPr="00C01AF3">
              <w:rPr>
                <w:rFonts w:ascii="Times New Roman" w:hAnsi="Times New Roman"/>
                <w:noProof/>
                <w:color w:val="000000"/>
                <w:sz w:val="22"/>
                <w:szCs w:val="22"/>
                <w:lang w:val="sr-Latn-ME"/>
              </w:rPr>
              <w:t xml:space="preserve">praćenjem </w:t>
            </w:r>
            <w:r w:rsidRPr="00C01AF3">
              <w:rPr>
                <w:rFonts w:ascii="Times New Roman" w:hAnsi="Times New Roman"/>
                <w:noProof/>
                <w:color w:val="000000"/>
                <w:sz w:val="22"/>
                <w:szCs w:val="22"/>
                <w:lang w:val="sr-Latn-ME"/>
              </w:rPr>
              <w:t xml:space="preserve">krvnog pritiska se preporučuje kod </w:t>
            </w:r>
            <w:r w:rsidR="000E7C5D" w:rsidRPr="00C01AF3">
              <w:rPr>
                <w:rFonts w:ascii="Times New Roman" w:hAnsi="Times New Roman"/>
                <w:noProof/>
                <w:color w:val="000000"/>
                <w:sz w:val="22"/>
                <w:szCs w:val="22"/>
                <w:lang w:val="sr-Latn-ME"/>
              </w:rPr>
              <w:t>starijih pacije</w:t>
            </w:r>
            <w:r w:rsidR="00806F72" w:rsidRPr="00C01AF3">
              <w:rPr>
                <w:rFonts w:ascii="Times New Roman" w:hAnsi="Times New Roman"/>
                <w:noProof/>
                <w:color w:val="000000"/>
                <w:sz w:val="22"/>
                <w:szCs w:val="22"/>
                <w:lang w:val="sr-Latn-ME"/>
              </w:rPr>
              <w:t>nata</w:t>
            </w:r>
            <w:r w:rsidR="00966BA2" w:rsidRPr="00C01AF3">
              <w:rPr>
                <w:rFonts w:ascii="Times New Roman" w:hAnsi="Times New Roman"/>
                <w:noProof/>
                <w:color w:val="000000"/>
                <w:sz w:val="22"/>
                <w:szCs w:val="22"/>
                <w:lang w:val="sr-Latn-ME"/>
              </w:rPr>
              <w:t>,</w:t>
            </w:r>
            <w:r w:rsidR="00806F72" w:rsidRPr="00C01AF3">
              <w:rPr>
                <w:rFonts w:ascii="Times New Roman" w:hAnsi="Times New Roman"/>
                <w:noProof/>
                <w:color w:val="000000"/>
                <w:sz w:val="22"/>
                <w:szCs w:val="22"/>
                <w:lang w:val="sr-Latn-ME"/>
              </w:rPr>
              <w:t xml:space="preserve"> </w:t>
            </w:r>
            <w:r w:rsidR="002C7FB0" w:rsidRPr="00C01AF3">
              <w:rPr>
                <w:rFonts w:ascii="Times New Roman" w:hAnsi="Times New Roman"/>
                <w:noProof/>
                <w:color w:val="000000"/>
                <w:sz w:val="22"/>
                <w:szCs w:val="22"/>
                <w:lang w:val="sr-Latn-ME"/>
              </w:rPr>
              <w:t xml:space="preserve"> </w:t>
            </w:r>
            <w:r w:rsidR="00966BA2" w:rsidRPr="00C01AF3">
              <w:rPr>
                <w:rFonts w:ascii="Times New Roman" w:hAnsi="Times New Roman"/>
                <w:noProof/>
                <w:color w:val="000000"/>
                <w:sz w:val="22"/>
                <w:szCs w:val="22"/>
                <w:lang w:val="sr-Latn-ME"/>
              </w:rPr>
              <w:t xml:space="preserve">posebno pri maksimalnoj dozi </w:t>
            </w:r>
            <w:r w:rsidR="00A65414" w:rsidRPr="00C01AF3">
              <w:rPr>
                <w:rFonts w:ascii="Times New Roman" w:hAnsi="Times New Roman"/>
                <w:noProof/>
                <w:color w:val="000000"/>
                <w:sz w:val="22"/>
                <w:szCs w:val="22"/>
                <w:lang w:val="sr-Latn-ME"/>
              </w:rPr>
              <w:t>lijek</w:t>
            </w:r>
            <w:r w:rsidR="002C7FB0" w:rsidRPr="00C01AF3">
              <w:rPr>
                <w:rFonts w:ascii="Times New Roman" w:hAnsi="Times New Roman"/>
                <w:noProof/>
                <w:color w:val="000000"/>
                <w:sz w:val="22"/>
                <w:szCs w:val="22"/>
                <w:lang w:val="sr-Latn-ME"/>
              </w:rPr>
              <w:t xml:space="preserve">a Exforge HCT, </w:t>
            </w:r>
            <w:r w:rsidR="00AC4741" w:rsidRPr="00C01AF3">
              <w:rPr>
                <w:rFonts w:ascii="Times New Roman" w:hAnsi="Times New Roman"/>
                <w:noProof/>
                <w:color w:val="000000"/>
                <w:sz w:val="22"/>
                <w:szCs w:val="22"/>
                <w:lang w:val="sr-Latn-ME"/>
              </w:rPr>
              <w:t>320mg/10mg/25mg</w:t>
            </w:r>
            <w:r w:rsidR="002C7FB0" w:rsidRPr="00C01AF3">
              <w:rPr>
                <w:rFonts w:ascii="Times New Roman" w:hAnsi="Times New Roman"/>
                <w:noProof/>
                <w:color w:val="000000"/>
                <w:sz w:val="22"/>
                <w:szCs w:val="22"/>
                <w:lang w:val="sr-Latn-ME"/>
              </w:rPr>
              <w:t xml:space="preserve">, </w:t>
            </w:r>
            <w:r w:rsidR="00CF6195" w:rsidRPr="00C01AF3">
              <w:rPr>
                <w:rFonts w:ascii="Times New Roman" w:hAnsi="Times New Roman"/>
                <w:noProof/>
                <w:color w:val="000000"/>
                <w:sz w:val="22"/>
                <w:szCs w:val="22"/>
                <w:lang w:val="sr-Latn-ME"/>
              </w:rPr>
              <w:t>zbog ograničenog broja dostupnih</w:t>
            </w:r>
            <w:r w:rsidR="002C7FB0" w:rsidRPr="00C01AF3">
              <w:rPr>
                <w:rFonts w:ascii="Times New Roman" w:hAnsi="Times New Roman"/>
                <w:noProof/>
                <w:color w:val="000000"/>
                <w:sz w:val="22"/>
                <w:szCs w:val="22"/>
                <w:lang w:val="sr-Latn-ME"/>
              </w:rPr>
              <w:t xml:space="preserve">  poda</w:t>
            </w:r>
            <w:r w:rsidR="00CF6195" w:rsidRPr="00C01AF3">
              <w:rPr>
                <w:rFonts w:ascii="Times New Roman" w:hAnsi="Times New Roman"/>
                <w:noProof/>
                <w:color w:val="000000"/>
                <w:sz w:val="22"/>
                <w:szCs w:val="22"/>
                <w:lang w:val="sr-Latn-ME"/>
              </w:rPr>
              <w:t>taka u ovoj populaciji pacijenata</w:t>
            </w:r>
            <w:r w:rsidR="00CF6195" w:rsidRPr="00C01AF3">
              <w:rPr>
                <w:rFonts w:ascii="Times New Roman" w:hAnsi="Times New Roman"/>
                <w:sz w:val="22"/>
                <w:szCs w:val="22"/>
                <w:lang w:val="sr-Latn-ME"/>
              </w:rPr>
              <w:t>.</w:t>
            </w:r>
          </w:p>
          <w:p w:rsidR="00CF6195" w:rsidRPr="00C01AF3" w:rsidRDefault="00CF6195" w:rsidP="00B17B36">
            <w:pPr>
              <w:tabs>
                <w:tab w:val="clear" w:pos="284"/>
              </w:tabs>
              <w:autoSpaceDE w:val="0"/>
              <w:autoSpaceDN w:val="0"/>
              <w:jc w:val="left"/>
              <w:rPr>
                <w:rFonts w:ascii="Times New Roman" w:hAnsi="Times New Roman"/>
                <w:sz w:val="22"/>
                <w:szCs w:val="22"/>
                <w:lang w:val="sr-Latn-ME"/>
              </w:rPr>
            </w:pPr>
          </w:p>
          <w:p w:rsidR="00806F72" w:rsidRPr="00C01AF3" w:rsidRDefault="00806F72" w:rsidP="00B17B36">
            <w:pPr>
              <w:tabs>
                <w:tab w:val="clear" w:pos="284"/>
              </w:tabs>
              <w:autoSpaceDE w:val="0"/>
              <w:autoSpaceDN w:val="0"/>
              <w:jc w:val="left"/>
              <w:rPr>
                <w:rFonts w:ascii="Times New Roman" w:hAnsi="Times New Roman"/>
                <w:i/>
                <w:sz w:val="22"/>
                <w:szCs w:val="22"/>
                <w:lang w:val="sr-Latn-ME"/>
              </w:rPr>
            </w:pPr>
            <w:r w:rsidRPr="00C01AF3">
              <w:rPr>
                <w:rFonts w:ascii="Times New Roman" w:hAnsi="Times New Roman"/>
                <w:i/>
                <w:sz w:val="22"/>
                <w:szCs w:val="22"/>
                <w:lang w:val="sr-Latn-ME"/>
              </w:rPr>
              <w:t>Pedijatrijska populacija</w:t>
            </w:r>
          </w:p>
          <w:p w:rsidR="00806F72" w:rsidRPr="00C01AF3" w:rsidRDefault="00043D06" w:rsidP="00B17B36">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sz w:val="22"/>
                <w:szCs w:val="22"/>
                <w:lang w:val="sr-Latn-ME"/>
              </w:rPr>
              <w:t>Ne</w:t>
            </w:r>
            <w:r w:rsidR="00A2187C" w:rsidRPr="00C01AF3">
              <w:rPr>
                <w:rFonts w:ascii="Times New Roman" w:hAnsi="Times New Roman"/>
                <w:sz w:val="22"/>
                <w:szCs w:val="22"/>
                <w:lang w:val="sr-Latn-ME"/>
              </w:rPr>
              <w:t xml:space="preserve">ma </w:t>
            </w:r>
            <w:r w:rsidR="00CF6195" w:rsidRPr="00C01AF3">
              <w:rPr>
                <w:rFonts w:ascii="Times New Roman" w:hAnsi="Times New Roman"/>
                <w:sz w:val="22"/>
                <w:szCs w:val="22"/>
                <w:lang w:val="sr-Latn-ME"/>
              </w:rPr>
              <w:t>relevantne</w:t>
            </w:r>
            <w:r w:rsidR="00966BA2" w:rsidRPr="00C01AF3">
              <w:rPr>
                <w:rFonts w:ascii="Times New Roman" w:hAnsi="Times New Roman"/>
                <w:sz w:val="22"/>
                <w:szCs w:val="22"/>
                <w:lang w:val="sr-Latn-ME"/>
              </w:rPr>
              <w:t xml:space="preserve"> prim</w:t>
            </w:r>
            <w:r w:rsidR="00BD0291" w:rsidRPr="00C01AF3">
              <w:rPr>
                <w:rFonts w:ascii="Times New Roman" w:hAnsi="Times New Roman"/>
                <w:sz w:val="22"/>
                <w:szCs w:val="22"/>
                <w:lang w:val="sr-Latn-ME"/>
              </w:rPr>
              <w:t>j</w:t>
            </w:r>
            <w:r w:rsidR="00966BA2" w:rsidRPr="00C01AF3">
              <w:rPr>
                <w:rFonts w:ascii="Times New Roman" w:hAnsi="Times New Roman"/>
                <w:sz w:val="22"/>
                <w:szCs w:val="22"/>
                <w:lang w:val="sr-Latn-ME"/>
              </w:rPr>
              <w:t xml:space="preserve">ene </w:t>
            </w:r>
            <w:r w:rsidR="00A65414" w:rsidRPr="00C01AF3">
              <w:rPr>
                <w:rFonts w:ascii="Times New Roman" w:hAnsi="Times New Roman"/>
                <w:sz w:val="22"/>
                <w:szCs w:val="22"/>
                <w:lang w:val="sr-Latn-ME"/>
              </w:rPr>
              <w:t>lijek</w:t>
            </w:r>
            <w:r w:rsidRPr="00C01AF3">
              <w:rPr>
                <w:rFonts w:ascii="Times New Roman" w:hAnsi="Times New Roman"/>
                <w:sz w:val="22"/>
                <w:szCs w:val="22"/>
                <w:lang w:val="sr-Latn-ME"/>
              </w:rPr>
              <w:t>a Exforge HCT u pedijatrijskoj populaciji (pacijenti ispod 18 godina) u indikaciji esencijalne hipertenzije.</w:t>
            </w:r>
          </w:p>
          <w:p w:rsidR="00806F72" w:rsidRPr="00C01AF3" w:rsidRDefault="00806F72" w:rsidP="00806F72">
            <w:pPr>
              <w:tabs>
                <w:tab w:val="clear" w:pos="284"/>
              </w:tabs>
              <w:autoSpaceDE w:val="0"/>
              <w:autoSpaceDN w:val="0"/>
              <w:jc w:val="left"/>
              <w:rPr>
                <w:rFonts w:ascii="Times New Roman" w:hAnsi="Times New Roman"/>
                <w:sz w:val="22"/>
                <w:szCs w:val="22"/>
                <w:u w:val="single"/>
                <w:lang w:val="sr-Latn-ME"/>
              </w:rPr>
            </w:pPr>
            <w:r w:rsidRPr="00C01AF3">
              <w:rPr>
                <w:rFonts w:ascii="Times New Roman" w:hAnsi="Times New Roman"/>
                <w:sz w:val="22"/>
                <w:szCs w:val="22"/>
                <w:u w:val="single"/>
                <w:lang w:val="sr-Latn-ME"/>
              </w:rPr>
              <w:lastRenderedPageBreak/>
              <w:t>Način prim</w:t>
            </w:r>
            <w:r w:rsidR="00BD0291" w:rsidRPr="00C01AF3">
              <w:rPr>
                <w:rFonts w:ascii="Times New Roman" w:hAnsi="Times New Roman"/>
                <w:sz w:val="22"/>
                <w:szCs w:val="22"/>
                <w:u w:val="single"/>
                <w:lang w:val="sr-Latn-ME"/>
              </w:rPr>
              <w:t>j</w:t>
            </w:r>
            <w:r w:rsidRPr="00C01AF3">
              <w:rPr>
                <w:rFonts w:ascii="Times New Roman" w:hAnsi="Times New Roman"/>
                <w:sz w:val="22"/>
                <w:szCs w:val="22"/>
                <w:u w:val="single"/>
                <w:lang w:val="sr-Latn-ME"/>
              </w:rPr>
              <w:t>ene</w:t>
            </w:r>
          </w:p>
          <w:p w:rsidR="00CA1AFF" w:rsidRPr="00C01AF3" w:rsidRDefault="00CA1AFF" w:rsidP="00806F72">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sz w:val="22"/>
                <w:szCs w:val="22"/>
                <w:lang w:val="sr-Latn-ME"/>
              </w:rPr>
              <w:t>Oralna prim</w:t>
            </w:r>
            <w:r w:rsidR="00BD0291" w:rsidRPr="00C01AF3">
              <w:rPr>
                <w:rFonts w:ascii="Times New Roman" w:hAnsi="Times New Roman"/>
                <w:sz w:val="22"/>
                <w:szCs w:val="22"/>
                <w:lang w:val="sr-Latn-ME"/>
              </w:rPr>
              <w:t>j</w:t>
            </w:r>
            <w:r w:rsidRPr="00C01AF3">
              <w:rPr>
                <w:rFonts w:ascii="Times New Roman" w:hAnsi="Times New Roman"/>
                <w:sz w:val="22"/>
                <w:szCs w:val="22"/>
                <w:lang w:val="sr-Latn-ME"/>
              </w:rPr>
              <w:t>ena.</w:t>
            </w:r>
          </w:p>
          <w:p w:rsidR="00371D4A" w:rsidRPr="00C01AF3" w:rsidRDefault="002C5BD6" w:rsidP="00806F72">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sz w:val="22"/>
                <w:szCs w:val="22"/>
                <w:lang w:val="sr-Latn-ME"/>
              </w:rPr>
              <w:t>Exforge HCT se može uz</w:t>
            </w:r>
            <w:r w:rsidR="00CF6195" w:rsidRPr="00C01AF3">
              <w:rPr>
                <w:rFonts w:ascii="Times New Roman" w:hAnsi="Times New Roman"/>
                <w:sz w:val="22"/>
                <w:szCs w:val="22"/>
                <w:lang w:val="sr-Latn-ME"/>
              </w:rPr>
              <w:t>imati</w:t>
            </w:r>
            <w:r w:rsidRPr="00C01AF3">
              <w:rPr>
                <w:rFonts w:ascii="Times New Roman" w:hAnsi="Times New Roman"/>
                <w:sz w:val="22"/>
                <w:szCs w:val="22"/>
                <w:lang w:val="sr-Latn-ME"/>
              </w:rPr>
              <w:t xml:space="preserve"> sa </w:t>
            </w:r>
            <w:r w:rsidR="00CF6195" w:rsidRPr="00C01AF3">
              <w:rPr>
                <w:rFonts w:ascii="Times New Roman" w:hAnsi="Times New Roman"/>
                <w:sz w:val="22"/>
                <w:szCs w:val="22"/>
                <w:lang w:val="sr-Latn-ME"/>
              </w:rPr>
              <w:t xml:space="preserve">hranom </w:t>
            </w:r>
            <w:r w:rsidRPr="00C01AF3">
              <w:rPr>
                <w:rFonts w:ascii="Times New Roman" w:hAnsi="Times New Roman"/>
                <w:sz w:val="22"/>
                <w:szCs w:val="22"/>
                <w:lang w:val="sr-Latn-ME"/>
              </w:rPr>
              <w:t xml:space="preserve">ili bez </w:t>
            </w:r>
            <w:r w:rsidR="00CF6195" w:rsidRPr="00C01AF3">
              <w:rPr>
                <w:rFonts w:ascii="Times New Roman" w:hAnsi="Times New Roman"/>
                <w:sz w:val="22"/>
                <w:szCs w:val="22"/>
                <w:lang w:val="sr-Latn-ME"/>
              </w:rPr>
              <w:t>nje</w:t>
            </w:r>
            <w:r w:rsidR="003D584E" w:rsidRPr="00C01AF3">
              <w:rPr>
                <w:rFonts w:ascii="Times New Roman" w:hAnsi="Times New Roman"/>
                <w:sz w:val="22"/>
                <w:szCs w:val="22"/>
                <w:lang w:val="sr-Latn-ME"/>
              </w:rPr>
              <w:t>. Tablete treba progutati c</w:t>
            </w:r>
            <w:r w:rsidR="00BD0291" w:rsidRPr="00C01AF3">
              <w:rPr>
                <w:rFonts w:ascii="Times New Roman" w:hAnsi="Times New Roman"/>
                <w:sz w:val="22"/>
                <w:szCs w:val="22"/>
                <w:lang w:val="sr-Latn-ME"/>
              </w:rPr>
              <w:t>ij</w:t>
            </w:r>
            <w:r w:rsidR="003D584E" w:rsidRPr="00C01AF3">
              <w:rPr>
                <w:rFonts w:ascii="Times New Roman" w:hAnsi="Times New Roman"/>
                <w:sz w:val="22"/>
                <w:szCs w:val="22"/>
                <w:lang w:val="sr-Latn-ME"/>
              </w:rPr>
              <w:t>ele uz malo vode, u isto vr</w:t>
            </w:r>
            <w:r w:rsidR="00BD0291" w:rsidRPr="00C01AF3">
              <w:rPr>
                <w:rFonts w:ascii="Times New Roman" w:hAnsi="Times New Roman"/>
                <w:sz w:val="22"/>
                <w:szCs w:val="22"/>
                <w:lang w:val="sr-Latn-ME"/>
              </w:rPr>
              <w:t>ij</w:t>
            </w:r>
            <w:r w:rsidRPr="00C01AF3">
              <w:rPr>
                <w:rFonts w:ascii="Times New Roman" w:hAnsi="Times New Roman"/>
                <w:sz w:val="22"/>
                <w:szCs w:val="22"/>
                <w:lang w:val="sr-Latn-ME"/>
              </w:rPr>
              <w:t>em</w:t>
            </w:r>
            <w:r w:rsidR="00043D06" w:rsidRPr="00C01AF3">
              <w:rPr>
                <w:rFonts w:ascii="Times New Roman" w:hAnsi="Times New Roman"/>
                <w:sz w:val="22"/>
                <w:szCs w:val="22"/>
                <w:lang w:val="sr-Latn-ME"/>
              </w:rPr>
              <w:t>e</w:t>
            </w:r>
            <w:r w:rsidR="000C5A0C" w:rsidRPr="00C01AF3">
              <w:rPr>
                <w:rFonts w:ascii="Times New Roman" w:hAnsi="Times New Roman"/>
                <w:sz w:val="22"/>
                <w:szCs w:val="22"/>
                <w:lang w:val="sr-Latn-ME"/>
              </w:rPr>
              <w:t xml:space="preserve"> u toku dana i</w:t>
            </w:r>
            <w:r w:rsidR="003D584E" w:rsidRPr="00C01AF3">
              <w:rPr>
                <w:rFonts w:ascii="Times New Roman" w:hAnsi="Times New Roman"/>
                <w:sz w:val="22"/>
                <w:szCs w:val="22"/>
                <w:lang w:val="sr-Latn-ME"/>
              </w:rPr>
              <w:t xml:space="preserve"> najbolje ujutro.</w:t>
            </w:r>
          </w:p>
          <w:p w:rsidR="00806F72" w:rsidRPr="00C01AF3" w:rsidRDefault="00806F72" w:rsidP="00B56725">
            <w:pPr>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4.3. Kontraindikacije</w:t>
            </w:r>
          </w:p>
        </w:tc>
      </w:tr>
      <w:tr w:rsidR="00834DBB" w:rsidRPr="00C01AF3" w:rsidTr="00DE0A48">
        <w:trPr>
          <w:trHeight w:val="1145"/>
        </w:trPr>
        <w:tc>
          <w:tcPr>
            <w:tcW w:w="10188" w:type="dxa"/>
            <w:gridSpan w:val="3"/>
            <w:vAlign w:val="center"/>
          </w:tcPr>
          <w:p w:rsidR="00B56725" w:rsidRPr="00C01AF3" w:rsidRDefault="00CF7A10" w:rsidP="00CF7A10">
            <w:pPr>
              <w:pStyle w:val="Header"/>
              <w:numPr>
                <w:ilvl w:val="0"/>
                <w:numId w:val="13"/>
              </w:numP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P</w:t>
            </w:r>
            <w:r w:rsidR="00B56725" w:rsidRPr="00C01AF3">
              <w:rPr>
                <w:rFonts w:ascii="Times New Roman" w:hAnsi="Times New Roman" w:cs="Arial"/>
                <w:sz w:val="22"/>
                <w:lang w:val="sr-Latn-ME"/>
              </w:rPr>
              <w:t>re</w:t>
            </w:r>
            <w:r w:rsidR="00FD7F8C" w:rsidRPr="00C01AF3">
              <w:rPr>
                <w:rFonts w:ascii="Times New Roman" w:hAnsi="Times New Roman" w:cs="Arial"/>
                <w:sz w:val="22"/>
                <w:lang w:val="sr-Latn-ME"/>
              </w:rPr>
              <w:t>osjet</w:t>
            </w:r>
            <w:r w:rsidR="0092543C" w:rsidRPr="00C01AF3">
              <w:rPr>
                <w:rFonts w:ascii="Times New Roman" w:hAnsi="Times New Roman" w:cs="Arial"/>
                <w:sz w:val="22"/>
                <w:lang w:val="sr-Latn-ME"/>
              </w:rPr>
              <w:t xml:space="preserve">ljivost na aktivne supstance,  </w:t>
            </w:r>
            <w:r w:rsidR="00043D06" w:rsidRPr="00C01AF3">
              <w:rPr>
                <w:rFonts w:ascii="Times New Roman" w:hAnsi="Times New Roman" w:cs="Arial"/>
                <w:sz w:val="22"/>
                <w:lang w:val="sr-Latn-ME"/>
              </w:rPr>
              <w:t xml:space="preserve">druge sulfonamidske derivate, </w:t>
            </w:r>
            <w:r w:rsidRPr="00C01AF3">
              <w:rPr>
                <w:rFonts w:ascii="Times New Roman" w:hAnsi="Times New Roman" w:cs="Arial"/>
                <w:sz w:val="22"/>
                <w:lang w:val="sr-Latn-ME"/>
              </w:rPr>
              <w:t xml:space="preserve">derivate </w:t>
            </w:r>
            <w:r w:rsidR="0092543C" w:rsidRPr="00C01AF3">
              <w:rPr>
                <w:rFonts w:ascii="Times New Roman" w:hAnsi="Times New Roman" w:cs="Arial"/>
                <w:sz w:val="22"/>
                <w:lang w:val="sr-Latn-ME"/>
              </w:rPr>
              <w:t>dihidropridin</w:t>
            </w:r>
            <w:r w:rsidRPr="00C01AF3">
              <w:rPr>
                <w:rFonts w:ascii="Times New Roman" w:hAnsi="Times New Roman" w:cs="Arial"/>
                <w:sz w:val="22"/>
                <w:lang w:val="sr-Latn-ME"/>
              </w:rPr>
              <w:t>a</w:t>
            </w:r>
            <w:r w:rsidR="0092543C" w:rsidRPr="00C01AF3">
              <w:rPr>
                <w:rFonts w:ascii="Times New Roman" w:hAnsi="Times New Roman" w:cs="Arial"/>
                <w:sz w:val="22"/>
                <w:lang w:val="sr-Latn-ME"/>
              </w:rPr>
              <w:t>, ili</w:t>
            </w:r>
            <w:r w:rsidR="00B56725" w:rsidRPr="00C01AF3">
              <w:rPr>
                <w:rFonts w:ascii="Times New Roman" w:hAnsi="Times New Roman" w:cs="Arial"/>
                <w:sz w:val="22"/>
                <w:lang w:val="sr-Latn-ME"/>
              </w:rPr>
              <w:t xml:space="preserve"> na </w:t>
            </w:r>
            <w:r w:rsidR="00043D06" w:rsidRPr="00C01AF3">
              <w:rPr>
                <w:rFonts w:ascii="Times New Roman" w:hAnsi="Times New Roman" w:cs="Arial"/>
                <w:sz w:val="22"/>
                <w:lang w:val="sr-Latn-ME"/>
              </w:rPr>
              <w:t>bilo koju od pomoćnih supstanci</w:t>
            </w:r>
            <w:r w:rsidR="00DD21F9" w:rsidRPr="00C01AF3">
              <w:rPr>
                <w:rFonts w:ascii="Times New Roman" w:hAnsi="Times New Roman" w:cs="Arial"/>
                <w:sz w:val="22"/>
                <w:lang w:val="sr-Latn-ME"/>
              </w:rPr>
              <w:t xml:space="preserve"> navedenih u </w:t>
            </w:r>
            <w:r w:rsidR="00BD0291" w:rsidRPr="00C01AF3">
              <w:rPr>
                <w:rFonts w:ascii="Times New Roman" w:hAnsi="Times New Roman" w:cs="Arial"/>
                <w:sz w:val="22"/>
                <w:lang w:val="sr-Latn-ME"/>
              </w:rPr>
              <w:t>odjelj</w:t>
            </w:r>
            <w:r w:rsidR="00DD21F9" w:rsidRPr="00C01AF3">
              <w:rPr>
                <w:rFonts w:ascii="Times New Roman" w:hAnsi="Times New Roman" w:cs="Arial"/>
                <w:sz w:val="22"/>
                <w:lang w:val="sr-Latn-ME"/>
              </w:rPr>
              <w:t>ku 6.1.</w:t>
            </w:r>
          </w:p>
          <w:p w:rsidR="006A5C76" w:rsidRPr="00C01AF3" w:rsidRDefault="00BB5489" w:rsidP="00CF7A10">
            <w:pPr>
              <w:pStyle w:val="ListParagraph"/>
              <w:numPr>
                <w:ilvl w:val="0"/>
                <w:numId w:val="13"/>
              </w:numPr>
              <w:rPr>
                <w:rFonts w:ascii="Times New Roman" w:hAnsi="Times New Roman" w:cs="Arial"/>
                <w:sz w:val="22"/>
                <w:lang w:val="sr-Latn-ME"/>
              </w:rPr>
            </w:pPr>
            <w:r w:rsidRPr="00C01AF3">
              <w:rPr>
                <w:rFonts w:ascii="Times New Roman" w:hAnsi="Times New Roman" w:cs="Arial"/>
                <w:sz w:val="22"/>
                <w:lang w:val="sr-Latn-ME"/>
              </w:rPr>
              <w:t>D</w:t>
            </w:r>
            <w:r w:rsidR="006A5C76" w:rsidRPr="00C01AF3">
              <w:rPr>
                <w:rFonts w:ascii="Times New Roman" w:hAnsi="Times New Roman" w:cs="Arial"/>
                <w:sz w:val="22"/>
                <w:lang w:val="sr-Latn-ME"/>
              </w:rPr>
              <w:t>rugi i treći trimestar trudnoće (</w:t>
            </w:r>
            <w:r w:rsidR="00BD0291" w:rsidRPr="00C01AF3">
              <w:rPr>
                <w:rFonts w:ascii="Times New Roman" w:hAnsi="Times New Roman" w:cs="Arial"/>
                <w:sz w:val="22"/>
                <w:lang w:val="sr-Latn-ME"/>
              </w:rPr>
              <w:t>vidjet</w:t>
            </w:r>
            <w:r w:rsidR="006A5C76" w:rsidRPr="00C01AF3">
              <w:rPr>
                <w:rFonts w:ascii="Times New Roman" w:hAnsi="Times New Roman" w:cs="Arial"/>
                <w:sz w:val="22"/>
                <w:lang w:val="sr-Latn-ME"/>
              </w:rPr>
              <w:t xml:space="preserve">i </w:t>
            </w:r>
            <w:r w:rsidR="00BD0291" w:rsidRPr="00C01AF3">
              <w:rPr>
                <w:rFonts w:ascii="Times New Roman" w:hAnsi="Times New Roman" w:cs="Arial"/>
                <w:sz w:val="22"/>
                <w:lang w:val="sr-Latn-ME"/>
              </w:rPr>
              <w:t>odjelj</w:t>
            </w:r>
            <w:r w:rsidR="006A5C76" w:rsidRPr="00C01AF3">
              <w:rPr>
                <w:rFonts w:ascii="Times New Roman" w:hAnsi="Times New Roman" w:cs="Arial"/>
                <w:sz w:val="22"/>
                <w:lang w:val="sr-Latn-ME"/>
              </w:rPr>
              <w:t>ak 4.4. i 4.6).</w:t>
            </w:r>
          </w:p>
          <w:p w:rsidR="00B56725" w:rsidRPr="00C01AF3" w:rsidRDefault="00B80EFE" w:rsidP="00CF7A10">
            <w:pPr>
              <w:pStyle w:val="Header"/>
              <w:numPr>
                <w:ilvl w:val="0"/>
                <w:numId w:val="13"/>
              </w:numP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P</w:t>
            </w:r>
            <w:r w:rsidR="00806F72" w:rsidRPr="00C01AF3">
              <w:rPr>
                <w:rFonts w:ascii="Times New Roman" w:hAnsi="Times New Roman" w:cs="Arial"/>
                <w:sz w:val="22"/>
                <w:lang w:val="sr-Latn-ME"/>
              </w:rPr>
              <w:t>oremećaj funkcije</w:t>
            </w:r>
            <w:r w:rsidR="00B56725" w:rsidRPr="00C01AF3">
              <w:rPr>
                <w:rFonts w:ascii="Times New Roman" w:hAnsi="Times New Roman" w:cs="Arial"/>
                <w:sz w:val="22"/>
                <w:lang w:val="sr-Latn-ME"/>
              </w:rPr>
              <w:t xml:space="preserve"> jetr</w:t>
            </w:r>
            <w:r w:rsidRPr="00C01AF3">
              <w:rPr>
                <w:rFonts w:ascii="Times New Roman" w:hAnsi="Times New Roman" w:cs="Arial"/>
                <w:sz w:val="22"/>
                <w:lang w:val="sr-Latn-ME"/>
              </w:rPr>
              <w:t>e, bilijarna ciroza i holestaza.</w:t>
            </w:r>
          </w:p>
          <w:p w:rsidR="00B56725" w:rsidRPr="00C01AF3" w:rsidRDefault="00D506DF" w:rsidP="00CF7A10">
            <w:pPr>
              <w:pStyle w:val="Header"/>
              <w:numPr>
                <w:ilvl w:val="0"/>
                <w:numId w:val="13"/>
              </w:numP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Težak</w:t>
            </w:r>
            <w:r w:rsidR="00806F72" w:rsidRPr="00C01AF3">
              <w:rPr>
                <w:rFonts w:ascii="Times New Roman" w:hAnsi="Times New Roman" w:cs="Arial"/>
                <w:sz w:val="22"/>
                <w:lang w:val="sr-Latn-ME"/>
              </w:rPr>
              <w:t xml:space="preserve"> poremećaj f</w:t>
            </w:r>
            <w:r w:rsidR="006A5C76" w:rsidRPr="00C01AF3">
              <w:rPr>
                <w:rFonts w:ascii="Times New Roman" w:hAnsi="Times New Roman" w:cs="Arial"/>
                <w:sz w:val="22"/>
                <w:lang w:val="sr-Latn-ME"/>
              </w:rPr>
              <w:t>u</w:t>
            </w:r>
            <w:r w:rsidR="00806F72" w:rsidRPr="00C01AF3">
              <w:rPr>
                <w:rFonts w:ascii="Times New Roman" w:hAnsi="Times New Roman" w:cs="Arial"/>
                <w:sz w:val="22"/>
                <w:lang w:val="sr-Latn-ME"/>
              </w:rPr>
              <w:t>nkcije</w:t>
            </w:r>
            <w:r w:rsidR="00952142" w:rsidRPr="00C01AF3">
              <w:rPr>
                <w:rFonts w:ascii="Times New Roman" w:hAnsi="Times New Roman" w:cs="Arial"/>
                <w:sz w:val="22"/>
                <w:lang w:val="sr-Latn-ME"/>
              </w:rPr>
              <w:t xml:space="preserve"> </w:t>
            </w:r>
            <w:r w:rsidR="00B56725" w:rsidRPr="00C01AF3">
              <w:rPr>
                <w:rFonts w:ascii="Times New Roman" w:hAnsi="Times New Roman" w:cs="Arial"/>
                <w:sz w:val="22"/>
                <w:lang w:val="sr-Latn-ME"/>
              </w:rPr>
              <w:t xml:space="preserve">bubrega (GFR </w:t>
            </w:r>
            <w:r w:rsidRPr="00C01AF3">
              <w:rPr>
                <w:rFonts w:ascii="Times New Roman" w:hAnsi="Times New Roman" w:cs="Arial"/>
                <w:sz w:val="22"/>
                <w:lang w:val="sr-Latn-ME"/>
              </w:rPr>
              <w:t>&lt;</w:t>
            </w:r>
            <w:r w:rsidR="00B56725" w:rsidRPr="00C01AF3">
              <w:rPr>
                <w:rFonts w:ascii="Times New Roman" w:hAnsi="Times New Roman" w:cs="Arial"/>
                <w:sz w:val="22"/>
                <w:lang w:val="sr-Latn-ME"/>
              </w:rPr>
              <w:t xml:space="preserve"> 30 ml /min/1,73 m</w:t>
            </w:r>
            <w:r w:rsidR="00B56725" w:rsidRPr="00C01AF3">
              <w:rPr>
                <w:rFonts w:ascii="Times New Roman" w:hAnsi="Times New Roman" w:cs="Arial"/>
                <w:sz w:val="22"/>
                <w:szCs w:val="22"/>
                <w:vertAlign w:val="superscript"/>
                <w:lang w:val="sr-Latn-ME"/>
              </w:rPr>
              <w:t>2</w:t>
            </w:r>
            <w:r w:rsidR="00B56725" w:rsidRPr="00C01AF3">
              <w:rPr>
                <w:rFonts w:ascii="Times New Roman" w:hAnsi="Times New Roman" w:cs="Arial"/>
                <w:sz w:val="22"/>
                <w:szCs w:val="22"/>
                <w:lang w:val="sr-Latn-ME"/>
              </w:rPr>
              <w:t>)</w:t>
            </w:r>
            <w:r w:rsidR="006A5C76" w:rsidRPr="00C01AF3">
              <w:rPr>
                <w:rFonts w:ascii="Times New Roman" w:hAnsi="Times New Roman" w:cs="Arial"/>
                <w:sz w:val="22"/>
                <w:szCs w:val="22"/>
                <w:lang w:val="sr-Latn-ME"/>
              </w:rPr>
              <w:t>, anurija</w:t>
            </w:r>
            <w:r w:rsidRPr="00C01AF3">
              <w:rPr>
                <w:rFonts w:ascii="Times New Roman" w:hAnsi="Times New Roman" w:cs="Arial"/>
                <w:sz w:val="22"/>
                <w:szCs w:val="22"/>
                <w:lang w:val="sr-Latn-ME"/>
              </w:rPr>
              <w:t xml:space="preserve"> i kod pacijenata na dijalizi.</w:t>
            </w:r>
          </w:p>
          <w:p w:rsidR="00D506DF" w:rsidRPr="00C01AF3" w:rsidRDefault="00D506DF" w:rsidP="00CF7A10">
            <w:pPr>
              <w:pStyle w:val="Header"/>
              <w:numPr>
                <w:ilvl w:val="0"/>
                <w:numId w:val="13"/>
              </w:numP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szCs w:val="22"/>
                <w:lang w:val="sr-Latn-ME"/>
              </w:rPr>
              <w:t>Isto</w:t>
            </w:r>
            <w:r w:rsidR="00C40D1D" w:rsidRPr="00C01AF3">
              <w:rPr>
                <w:rFonts w:ascii="Times New Roman" w:hAnsi="Times New Roman" w:cs="Arial"/>
                <w:sz w:val="22"/>
                <w:szCs w:val="22"/>
                <w:lang w:val="sr-Latn-ME"/>
              </w:rPr>
              <w:t>vreme</w:t>
            </w:r>
            <w:r w:rsidRPr="00C01AF3">
              <w:rPr>
                <w:rFonts w:ascii="Times New Roman" w:hAnsi="Times New Roman" w:cs="Arial"/>
                <w:sz w:val="22"/>
                <w:szCs w:val="22"/>
                <w:lang w:val="sr-Latn-ME"/>
              </w:rPr>
              <w:t xml:space="preserve">na </w:t>
            </w:r>
            <w:r w:rsidR="00BD0291" w:rsidRPr="00C01AF3">
              <w:rPr>
                <w:rFonts w:ascii="Times New Roman" w:hAnsi="Times New Roman" w:cs="Arial"/>
                <w:sz w:val="22"/>
                <w:szCs w:val="22"/>
                <w:lang w:val="sr-Latn-ME"/>
              </w:rPr>
              <w:t>primje</w:t>
            </w:r>
            <w:r w:rsidRPr="00C01AF3">
              <w:rPr>
                <w:rFonts w:ascii="Times New Roman" w:hAnsi="Times New Roman" w:cs="Arial"/>
                <w:sz w:val="22"/>
                <w:szCs w:val="22"/>
                <w:lang w:val="sr-Latn-ME"/>
              </w:rPr>
              <w:t xml:space="preserve">na </w:t>
            </w:r>
            <w:r w:rsidR="00F73073" w:rsidRPr="00C01AF3">
              <w:rPr>
                <w:rFonts w:ascii="Times New Roman" w:hAnsi="Times New Roman" w:cs="Arial"/>
                <w:sz w:val="22"/>
                <w:szCs w:val="22"/>
                <w:lang w:val="sr-Latn-ME"/>
              </w:rPr>
              <w:t>lijeka Exforge HCT</w:t>
            </w:r>
            <w:r w:rsidR="008B3AB5" w:rsidRPr="00C01AF3">
              <w:rPr>
                <w:rFonts w:ascii="Times New Roman" w:hAnsi="Times New Roman" w:cs="Arial"/>
                <w:sz w:val="22"/>
                <w:szCs w:val="22"/>
                <w:lang w:val="sr-Latn-ME"/>
              </w:rPr>
              <w:t xml:space="preserve"> sa</w:t>
            </w:r>
            <w:r w:rsidR="00176CF7" w:rsidRPr="00C01AF3">
              <w:rPr>
                <w:rFonts w:ascii="Times New Roman" w:hAnsi="Times New Roman" w:cs="Arial"/>
                <w:sz w:val="22"/>
                <w:szCs w:val="22"/>
                <w:lang w:val="sr-Latn-ME"/>
              </w:rPr>
              <w:t xml:space="preserve"> </w:t>
            </w:r>
            <w:r w:rsidR="00F73073" w:rsidRPr="00C01AF3">
              <w:rPr>
                <w:rFonts w:ascii="Times New Roman" w:hAnsi="Times New Roman" w:cs="Arial"/>
                <w:sz w:val="22"/>
                <w:szCs w:val="22"/>
                <w:lang w:val="sr-Latn-ME"/>
              </w:rPr>
              <w:t xml:space="preserve">ljekovima koji sadrže </w:t>
            </w:r>
            <w:r w:rsidR="00176CF7" w:rsidRPr="00C01AF3">
              <w:rPr>
                <w:rFonts w:ascii="Times New Roman" w:hAnsi="Times New Roman" w:cs="Arial"/>
                <w:sz w:val="22"/>
                <w:szCs w:val="22"/>
                <w:lang w:val="sr-Latn-ME"/>
              </w:rPr>
              <w:t xml:space="preserve">aliskiren </w:t>
            </w:r>
            <w:r w:rsidR="008B3AB5" w:rsidRPr="00C01AF3">
              <w:rPr>
                <w:rFonts w:ascii="Times New Roman" w:hAnsi="Times New Roman" w:cs="Arial"/>
                <w:sz w:val="22"/>
                <w:szCs w:val="22"/>
                <w:lang w:val="sr-Latn-ME"/>
              </w:rPr>
              <w:t xml:space="preserve">kontraindikovana je </w:t>
            </w:r>
            <w:r w:rsidR="00176CF7" w:rsidRPr="00C01AF3">
              <w:rPr>
                <w:rFonts w:ascii="Times New Roman" w:hAnsi="Times New Roman" w:cs="Arial"/>
                <w:sz w:val="22"/>
                <w:szCs w:val="22"/>
                <w:lang w:val="sr-Latn-ME"/>
              </w:rPr>
              <w:t>kod pacijenata sa</w:t>
            </w:r>
            <w:r w:rsidR="008B3AB5" w:rsidRPr="00C01AF3">
              <w:rPr>
                <w:rFonts w:ascii="Times New Roman" w:hAnsi="Times New Roman" w:cs="Arial"/>
                <w:sz w:val="22"/>
                <w:szCs w:val="22"/>
                <w:lang w:val="sr-Latn-ME"/>
              </w:rPr>
              <w:t xml:space="preserve"> </w:t>
            </w:r>
            <w:r w:rsidR="00176CF7" w:rsidRPr="00C01AF3">
              <w:rPr>
                <w:rFonts w:ascii="Times New Roman" w:hAnsi="Times New Roman" w:cs="Arial"/>
                <w:sz w:val="22"/>
                <w:szCs w:val="22"/>
                <w:lang w:val="sr-Latn-ME"/>
              </w:rPr>
              <w:t xml:space="preserve"> </w:t>
            </w:r>
            <w:r w:rsidR="00176CF7" w:rsidRPr="00C01AF3">
              <w:rPr>
                <w:rFonts w:ascii="Times New Roman" w:hAnsi="Times New Roman" w:cs="Arial"/>
                <w:i/>
                <w:sz w:val="22"/>
                <w:szCs w:val="22"/>
                <w:lang w:val="sr-Latn-ME"/>
              </w:rPr>
              <w:t>diabete</w:t>
            </w:r>
            <w:r w:rsidR="00044D9E" w:rsidRPr="00C01AF3">
              <w:rPr>
                <w:rFonts w:ascii="Times New Roman" w:hAnsi="Times New Roman" w:cs="Arial"/>
                <w:i/>
                <w:sz w:val="22"/>
                <w:szCs w:val="22"/>
                <w:lang w:val="sr-Latn-ME"/>
              </w:rPr>
              <w:t>s</w:t>
            </w:r>
            <w:r w:rsidR="00176CF7" w:rsidRPr="00C01AF3">
              <w:rPr>
                <w:rFonts w:ascii="Times New Roman" w:hAnsi="Times New Roman" w:cs="Arial"/>
                <w:i/>
                <w:sz w:val="22"/>
                <w:szCs w:val="22"/>
                <w:lang w:val="sr-Latn-ME"/>
              </w:rPr>
              <w:t xml:space="preserve"> mellitus</w:t>
            </w:r>
            <w:r w:rsidR="00176CF7" w:rsidRPr="00C01AF3">
              <w:rPr>
                <w:rFonts w:ascii="Times New Roman" w:hAnsi="Times New Roman" w:cs="Arial"/>
                <w:sz w:val="22"/>
                <w:szCs w:val="22"/>
                <w:lang w:val="sr-Latn-ME"/>
              </w:rPr>
              <w:t xml:space="preserve"> ili poremećajem funkcije </w:t>
            </w:r>
            <w:r w:rsidR="00995026" w:rsidRPr="00C01AF3">
              <w:rPr>
                <w:rFonts w:ascii="Times New Roman" w:hAnsi="Times New Roman" w:cs="Arial"/>
                <w:sz w:val="22"/>
                <w:lang w:val="sr-Latn-ME"/>
              </w:rPr>
              <w:t>bubrega (</w:t>
            </w:r>
            <w:r w:rsidR="00176CF7" w:rsidRPr="00C01AF3">
              <w:rPr>
                <w:rFonts w:ascii="Times New Roman" w:hAnsi="Times New Roman" w:cs="Arial"/>
                <w:sz w:val="22"/>
                <w:lang w:val="sr-Latn-ME"/>
              </w:rPr>
              <w:t>GFR &lt; 60 ml /min/1,73 m</w:t>
            </w:r>
            <w:r w:rsidR="00176CF7" w:rsidRPr="00C01AF3">
              <w:rPr>
                <w:rFonts w:ascii="Times New Roman" w:hAnsi="Times New Roman" w:cs="Arial"/>
                <w:sz w:val="22"/>
                <w:szCs w:val="22"/>
                <w:vertAlign w:val="superscript"/>
                <w:lang w:val="sr-Latn-ME"/>
              </w:rPr>
              <w:t>2</w:t>
            </w:r>
            <w:r w:rsidR="00176CF7" w:rsidRPr="00C01AF3">
              <w:rPr>
                <w:rFonts w:ascii="Times New Roman" w:hAnsi="Times New Roman" w:cs="Arial"/>
                <w:sz w:val="22"/>
                <w:szCs w:val="22"/>
                <w:lang w:val="sr-Latn-ME"/>
              </w:rPr>
              <w:t>)</w:t>
            </w:r>
            <w:r w:rsidR="00740BB5" w:rsidRPr="00C01AF3">
              <w:rPr>
                <w:rFonts w:ascii="Times New Roman" w:hAnsi="Times New Roman" w:cs="Arial"/>
                <w:sz w:val="22"/>
                <w:szCs w:val="22"/>
                <w:lang w:val="sr-Latn-ME"/>
              </w:rPr>
              <w:t xml:space="preserve"> (</w:t>
            </w:r>
            <w:r w:rsidR="00BD0291" w:rsidRPr="00C01AF3">
              <w:rPr>
                <w:rFonts w:ascii="Times New Roman" w:hAnsi="Times New Roman" w:cs="Arial"/>
                <w:sz w:val="22"/>
                <w:szCs w:val="22"/>
                <w:lang w:val="sr-Latn-ME"/>
              </w:rPr>
              <w:t>vidjet</w:t>
            </w:r>
            <w:r w:rsidR="00740BB5" w:rsidRPr="00C01AF3">
              <w:rPr>
                <w:rFonts w:ascii="Times New Roman" w:hAnsi="Times New Roman" w:cs="Arial"/>
                <w:sz w:val="22"/>
                <w:szCs w:val="22"/>
                <w:lang w:val="sr-Latn-ME"/>
              </w:rPr>
              <w:t xml:space="preserve">i </w:t>
            </w:r>
            <w:r w:rsidR="00BD0291" w:rsidRPr="00C01AF3">
              <w:rPr>
                <w:rFonts w:ascii="Times New Roman" w:hAnsi="Times New Roman" w:cs="Arial"/>
                <w:sz w:val="22"/>
                <w:szCs w:val="22"/>
                <w:lang w:val="sr-Latn-ME"/>
              </w:rPr>
              <w:t>odjelj</w:t>
            </w:r>
            <w:r w:rsidR="00740BB5" w:rsidRPr="00C01AF3">
              <w:rPr>
                <w:rFonts w:ascii="Times New Roman" w:hAnsi="Times New Roman" w:cs="Arial"/>
                <w:sz w:val="22"/>
                <w:szCs w:val="22"/>
                <w:lang w:val="sr-Latn-ME"/>
              </w:rPr>
              <w:t>k</w:t>
            </w:r>
            <w:r w:rsidR="00F73073" w:rsidRPr="00C01AF3">
              <w:rPr>
                <w:rFonts w:ascii="Times New Roman" w:hAnsi="Times New Roman" w:cs="Arial"/>
                <w:sz w:val="22"/>
                <w:szCs w:val="22"/>
                <w:lang w:val="sr-Latn-ME"/>
              </w:rPr>
              <w:t>e</w:t>
            </w:r>
            <w:r w:rsidR="00740BB5" w:rsidRPr="00C01AF3">
              <w:rPr>
                <w:rFonts w:ascii="Times New Roman" w:hAnsi="Times New Roman" w:cs="Arial"/>
                <w:sz w:val="22"/>
                <w:szCs w:val="22"/>
                <w:lang w:val="sr-Latn-ME"/>
              </w:rPr>
              <w:t xml:space="preserve"> 4.5</w:t>
            </w:r>
            <w:r w:rsidR="00F73073" w:rsidRPr="00C01AF3">
              <w:rPr>
                <w:rFonts w:ascii="Times New Roman" w:hAnsi="Times New Roman" w:cs="Arial"/>
                <w:sz w:val="22"/>
                <w:szCs w:val="22"/>
                <w:lang w:val="sr-Latn-ME"/>
              </w:rPr>
              <w:t xml:space="preserve"> i 5.1.</w:t>
            </w:r>
            <w:r w:rsidR="00740BB5" w:rsidRPr="00C01AF3">
              <w:rPr>
                <w:rFonts w:ascii="Times New Roman" w:hAnsi="Times New Roman" w:cs="Arial"/>
                <w:sz w:val="22"/>
                <w:szCs w:val="22"/>
                <w:lang w:val="sr-Latn-ME"/>
              </w:rPr>
              <w:t>).</w:t>
            </w:r>
          </w:p>
          <w:p w:rsidR="00740BB5" w:rsidRPr="00C01AF3" w:rsidRDefault="00740BB5" w:rsidP="00CF7A10">
            <w:pPr>
              <w:pStyle w:val="Header"/>
              <w:numPr>
                <w:ilvl w:val="0"/>
                <w:numId w:val="13"/>
              </w:numP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szCs w:val="22"/>
                <w:lang w:val="sr-Latn-ME"/>
              </w:rPr>
              <w:t>Refraktarna hipokal</w:t>
            </w:r>
            <w:r w:rsidR="008B3AB5" w:rsidRPr="00C01AF3">
              <w:rPr>
                <w:rFonts w:ascii="Times New Roman" w:hAnsi="Times New Roman" w:cs="Arial"/>
                <w:sz w:val="22"/>
                <w:szCs w:val="22"/>
                <w:lang w:val="sr-Latn-ME"/>
              </w:rPr>
              <w:t>ij</w:t>
            </w:r>
            <w:r w:rsidRPr="00C01AF3">
              <w:rPr>
                <w:rFonts w:ascii="Times New Roman" w:hAnsi="Times New Roman" w:cs="Arial"/>
                <w:sz w:val="22"/>
                <w:szCs w:val="22"/>
                <w:lang w:val="sr-Latn-ME"/>
              </w:rPr>
              <w:t>emija, hiponatr</w:t>
            </w:r>
            <w:r w:rsidR="008B3AB5" w:rsidRPr="00C01AF3">
              <w:rPr>
                <w:rFonts w:ascii="Times New Roman" w:hAnsi="Times New Roman" w:cs="Arial"/>
                <w:sz w:val="22"/>
                <w:szCs w:val="22"/>
                <w:lang w:val="sr-Latn-ME"/>
              </w:rPr>
              <w:t>ij</w:t>
            </w:r>
            <w:r w:rsidRPr="00C01AF3">
              <w:rPr>
                <w:rFonts w:ascii="Times New Roman" w:hAnsi="Times New Roman" w:cs="Arial"/>
                <w:sz w:val="22"/>
                <w:szCs w:val="22"/>
                <w:lang w:val="sr-Latn-ME"/>
              </w:rPr>
              <w:t>emija, hiperkalc</w:t>
            </w:r>
            <w:r w:rsidR="008B3AB5" w:rsidRPr="00C01AF3">
              <w:rPr>
                <w:rFonts w:ascii="Times New Roman" w:hAnsi="Times New Roman" w:cs="Arial"/>
                <w:sz w:val="22"/>
                <w:szCs w:val="22"/>
                <w:lang w:val="sr-Latn-ME"/>
              </w:rPr>
              <w:t>ij</w:t>
            </w:r>
            <w:r w:rsidRPr="00C01AF3">
              <w:rPr>
                <w:rFonts w:ascii="Times New Roman" w:hAnsi="Times New Roman" w:cs="Arial"/>
                <w:sz w:val="22"/>
                <w:szCs w:val="22"/>
                <w:lang w:val="sr-Latn-ME"/>
              </w:rPr>
              <w:t>emija i simptomatska hiperurikemija.</w:t>
            </w:r>
          </w:p>
          <w:p w:rsidR="0087711B" w:rsidRPr="00C01AF3" w:rsidRDefault="00D648C7" w:rsidP="00CF7A10">
            <w:pPr>
              <w:numPr>
                <w:ilvl w:val="0"/>
                <w:numId w:val="13"/>
              </w:numPr>
              <w:jc w:val="left"/>
              <w:rPr>
                <w:rFonts w:ascii="Times New Roman" w:hAnsi="Times New Roman"/>
                <w:sz w:val="22"/>
                <w:szCs w:val="22"/>
                <w:lang w:val="sr-Latn-ME"/>
              </w:rPr>
            </w:pPr>
            <w:r w:rsidRPr="00C01AF3">
              <w:rPr>
                <w:rFonts w:ascii="Times New Roman" w:hAnsi="Times New Roman"/>
                <w:sz w:val="22"/>
                <w:szCs w:val="22"/>
                <w:lang w:val="sr-Latn-ME"/>
              </w:rPr>
              <w:t>T</w:t>
            </w:r>
            <w:r w:rsidR="00952142" w:rsidRPr="00C01AF3">
              <w:rPr>
                <w:rFonts w:ascii="Times New Roman" w:hAnsi="Times New Roman"/>
                <w:sz w:val="22"/>
                <w:szCs w:val="22"/>
                <w:lang w:val="sr-Latn-ME"/>
              </w:rPr>
              <w:t>e</w:t>
            </w:r>
            <w:r w:rsidR="0087711B" w:rsidRPr="00C01AF3">
              <w:rPr>
                <w:rFonts w:ascii="Times New Roman" w:hAnsi="Times New Roman"/>
                <w:sz w:val="22"/>
                <w:szCs w:val="22"/>
                <w:lang w:val="sr-Latn-ME"/>
              </w:rPr>
              <w:t>ška hipotenzija.</w:t>
            </w:r>
          </w:p>
          <w:p w:rsidR="0087711B" w:rsidRPr="00C01AF3" w:rsidRDefault="00D648C7" w:rsidP="00CF7A10">
            <w:pPr>
              <w:numPr>
                <w:ilvl w:val="0"/>
                <w:numId w:val="13"/>
              </w:numPr>
              <w:jc w:val="left"/>
              <w:rPr>
                <w:rFonts w:ascii="Times New Roman" w:hAnsi="Times New Roman"/>
                <w:sz w:val="22"/>
                <w:szCs w:val="22"/>
                <w:lang w:val="sr-Latn-ME"/>
              </w:rPr>
            </w:pPr>
            <w:r w:rsidRPr="00C01AF3">
              <w:rPr>
                <w:rFonts w:ascii="Times New Roman" w:hAnsi="Times New Roman"/>
                <w:sz w:val="22"/>
                <w:szCs w:val="22"/>
                <w:lang w:val="sr-Latn-ME"/>
              </w:rPr>
              <w:t>Š</w:t>
            </w:r>
            <w:r w:rsidR="0087711B" w:rsidRPr="00C01AF3">
              <w:rPr>
                <w:rFonts w:ascii="Times New Roman" w:hAnsi="Times New Roman"/>
                <w:sz w:val="22"/>
                <w:szCs w:val="22"/>
                <w:lang w:val="sr-Latn-ME"/>
              </w:rPr>
              <w:t>ok (uključujući kardiogeni šok).</w:t>
            </w:r>
          </w:p>
          <w:p w:rsidR="0087711B" w:rsidRPr="00C01AF3" w:rsidRDefault="00D648C7" w:rsidP="00CF7A10">
            <w:pPr>
              <w:numPr>
                <w:ilvl w:val="0"/>
                <w:numId w:val="13"/>
              </w:numPr>
              <w:jc w:val="left"/>
              <w:rPr>
                <w:rFonts w:ascii="Times New Roman" w:hAnsi="Times New Roman"/>
                <w:sz w:val="22"/>
                <w:szCs w:val="22"/>
                <w:lang w:val="sr-Latn-ME"/>
              </w:rPr>
            </w:pPr>
            <w:r w:rsidRPr="00C01AF3">
              <w:rPr>
                <w:rFonts w:ascii="Times New Roman" w:hAnsi="Times New Roman"/>
                <w:sz w:val="22"/>
                <w:szCs w:val="22"/>
                <w:lang w:val="sr-Latn-ME"/>
              </w:rPr>
              <w:t>O</w:t>
            </w:r>
            <w:r w:rsidR="0087711B" w:rsidRPr="00C01AF3">
              <w:rPr>
                <w:rFonts w:ascii="Times New Roman" w:hAnsi="Times New Roman"/>
                <w:sz w:val="22"/>
                <w:szCs w:val="22"/>
                <w:lang w:val="sr-Latn-ME"/>
              </w:rPr>
              <w:t xml:space="preserve">pstrukcija izlaznog </w:t>
            </w:r>
            <w:r w:rsidR="00CB09EE" w:rsidRPr="00C01AF3">
              <w:rPr>
                <w:rFonts w:ascii="Times New Roman" w:hAnsi="Times New Roman"/>
                <w:sz w:val="22"/>
                <w:szCs w:val="22"/>
                <w:lang w:val="sr-Latn-ME"/>
              </w:rPr>
              <w:t xml:space="preserve">dijela </w:t>
            </w:r>
            <w:r w:rsidR="00E9309D" w:rsidRPr="00C01AF3">
              <w:rPr>
                <w:rFonts w:ascii="Times New Roman" w:hAnsi="Times New Roman"/>
                <w:sz w:val="22"/>
                <w:szCs w:val="22"/>
                <w:lang w:val="sr-Latn-ME"/>
              </w:rPr>
              <w:t>lijeve</w:t>
            </w:r>
            <w:r w:rsidRPr="00C01AF3">
              <w:rPr>
                <w:rFonts w:ascii="Times New Roman" w:hAnsi="Times New Roman"/>
                <w:sz w:val="22"/>
                <w:szCs w:val="22"/>
                <w:lang w:val="sr-Latn-ME"/>
              </w:rPr>
              <w:t xml:space="preserve"> komore</w:t>
            </w:r>
            <w:r w:rsidR="0087711B" w:rsidRPr="00C01AF3">
              <w:rPr>
                <w:rFonts w:ascii="Times New Roman" w:hAnsi="Times New Roman"/>
                <w:sz w:val="22"/>
                <w:szCs w:val="22"/>
                <w:lang w:val="sr-Latn-ME"/>
              </w:rPr>
              <w:t xml:space="preserve"> (npr. hipertrofična opstruktivna kardiomiopatija</w:t>
            </w:r>
            <w:r w:rsidR="00952142" w:rsidRPr="00C01AF3">
              <w:rPr>
                <w:rFonts w:ascii="Times New Roman" w:hAnsi="Times New Roman"/>
                <w:sz w:val="22"/>
                <w:szCs w:val="22"/>
                <w:lang w:val="sr-Latn-ME"/>
              </w:rPr>
              <w:t xml:space="preserve"> i </w:t>
            </w:r>
            <w:r w:rsidRPr="00C01AF3">
              <w:rPr>
                <w:rFonts w:ascii="Times New Roman" w:hAnsi="Times New Roman"/>
                <w:sz w:val="22"/>
                <w:szCs w:val="22"/>
                <w:lang w:val="sr-Latn-ME"/>
              </w:rPr>
              <w:t>aortna stenoza visokog stepena</w:t>
            </w:r>
            <w:r w:rsidR="0087711B" w:rsidRPr="00C01AF3">
              <w:rPr>
                <w:rFonts w:ascii="Times New Roman" w:hAnsi="Times New Roman"/>
                <w:sz w:val="22"/>
                <w:szCs w:val="22"/>
                <w:lang w:val="sr-Latn-ME"/>
              </w:rPr>
              <w:t>).</w:t>
            </w:r>
          </w:p>
          <w:p w:rsidR="0087711B" w:rsidRPr="00C01AF3" w:rsidRDefault="00873D32" w:rsidP="00CF7A10">
            <w:pPr>
              <w:numPr>
                <w:ilvl w:val="0"/>
                <w:numId w:val="13"/>
              </w:numPr>
              <w:jc w:val="left"/>
              <w:rPr>
                <w:rFonts w:ascii="Times New Roman" w:hAnsi="Times New Roman"/>
                <w:sz w:val="22"/>
                <w:szCs w:val="22"/>
                <w:lang w:val="sr-Latn-ME"/>
              </w:rPr>
            </w:pPr>
            <w:r w:rsidRPr="00C01AF3">
              <w:rPr>
                <w:rFonts w:ascii="Times New Roman" w:hAnsi="Times New Roman"/>
                <w:sz w:val="22"/>
                <w:szCs w:val="22"/>
                <w:lang w:val="sr-Latn-ME"/>
              </w:rPr>
              <w:t>H</w:t>
            </w:r>
            <w:r w:rsidR="0087711B" w:rsidRPr="00C01AF3">
              <w:rPr>
                <w:rFonts w:ascii="Times New Roman" w:hAnsi="Times New Roman"/>
                <w:sz w:val="22"/>
                <w:szCs w:val="22"/>
                <w:lang w:val="sr-Latn-ME"/>
              </w:rPr>
              <w:t xml:space="preserve">emodinamski nestabilna </w:t>
            </w:r>
            <w:r w:rsidRPr="00C01AF3">
              <w:rPr>
                <w:rFonts w:ascii="Times New Roman" w:hAnsi="Times New Roman"/>
                <w:sz w:val="22"/>
                <w:szCs w:val="22"/>
                <w:lang w:val="sr-Latn-ME"/>
              </w:rPr>
              <w:t xml:space="preserve">srčana </w:t>
            </w:r>
            <w:r w:rsidR="0087711B" w:rsidRPr="00C01AF3">
              <w:rPr>
                <w:rFonts w:ascii="Times New Roman" w:hAnsi="Times New Roman"/>
                <w:sz w:val="22"/>
                <w:szCs w:val="22"/>
                <w:lang w:val="sr-Latn-ME"/>
              </w:rPr>
              <w:t>insuficijencija</w:t>
            </w:r>
            <w:r w:rsidR="00952142" w:rsidRPr="00C01AF3">
              <w:rPr>
                <w:rFonts w:ascii="Times New Roman" w:hAnsi="Times New Roman"/>
                <w:sz w:val="22"/>
                <w:szCs w:val="22"/>
                <w:lang w:val="sr-Latn-ME"/>
              </w:rPr>
              <w:t xml:space="preserve"> </w:t>
            </w:r>
            <w:r w:rsidR="001B7840" w:rsidRPr="00C01AF3">
              <w:rPr>
                <w:rFonts w:ascii="Times New Roman" w:hAnsi="Times New Roman"/>
                <w:sz w:val="22"/>
                <w:szCs w:val="22"/>
                <w:lang w:val="sr-Latn-ME"/>
              </w:rPr>
              <w:t>poslije</w:t>
            </w:r>
            <w:r w:rsidR="0087711B" w:rsidRPr="00C01AF3">
              <w:rPr>
                <w:rFonts w:ascii="Times New Roman" w:hAnsi="Times New Roman"/>
                <w:sz w:val="22"/>
                <w:szCs w:val="22"/>
                <w:lang w:val="sr-Latn-ME"/>
              </w:rPr>
              <w:t xml:space="preserve"> akutnog infarkta miokarda.</w:t>
            </w:r>
          </w:p>
          <w:p w:rsidR="00834DBB" w:rsidRPr="00C01AF3" w:rsidRDefault="00834DBB" w:rsidP="005473D6">
            <w:pPr>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4.4. Posebna upozorenja i m</w:t>
            </w:r>
            <w:r w:rsidR="00BD0291" w:rsidRPr="00C01AF3">
              <w:rPr>
                <w:rFonts w:ascii="Times New Roman" w:hAnsi="Times New Roman"/>
                <w:b/>
                <w:bCs/>
                <w:sz w:val="22"/>
                <w:szCs w:val="22"/>
                <w:lang w:val="sr-Latn-ME"/>
              </w:rPr>
              <w:t>j</w:t>
            </w:r>
            <w:r w:rsidRPr="00C01AF3">
              <w:rPr>
                <w:rFonts w:ascii="Times New Roman" w:hAnsi="Times New Roman"/>
                <w:b/>
                <w:bCs/>
                <w:sz w:val="22"/>
                <w:szCs w:val="22"/>
                <w:lang w:val="sr-Latn-ME"/>
              </w:rPr>
              <w:t xml:space="preserve">ere opreza pri upotrebi </w:t>
            </w:r>
            <w:r w:rsidR="00A65414" w:rsidRPr="00C01AF3">
              <w:rPr>
                <w:rFonts w:ascii="Times New Roman" w:hAnsi="Times New Roman"/>
                <w:b/>
                <w:bCs/>
                <w:sz w:val="22"/>
                <w:szCs w:val="22"/>
                <w:lang w:val="sr-Latn-ME"/>
              </w:rPr>
              <w:t>lijek</w:t>
            </w:r>
            <w:r w:rsidRPr="00C01AF3">
              <w:rPr>
                <w:rFonts w:ascii="Times New Roman" w:hAnsi="Times New Roman"/>
                <w:b/>
                <w:bCs/>
                <w:sz w:val="22"/>
                <w:szCs w:val="22"/>
                <w:lang w:val="sr-Latn-ME"/>
              </w:rPr>
              <w:t>a</w:t>
            </w:r>
          </w:p>
        </w:tc>
      </w:tr>
      <w:tr w:rsidR="00834DBB" w:rsidRPr="00C01AF3" w:rsidTr="00DE0A48">
        <w:trPr>
          <w:trHeight w:val="1145"/>
        </w:trPr>
        <w:tc>
          <w:tcPr>
            <w:tcW w:w="10188" w:type="dxa"/>
            <w:gridSpan w:val="3"/>
            <w:vAlign w:val="center"/>
          </w:tcPr>
          <w:p w:rsidR="0087711B" w:rsidRPr="00C01AF3" w:rsidRDefault="00910CD1" w:rsidP="0087711B">
            <w:pPr>
              <w:tabs>
                <w:tab w:val="clear" w:pos="284"/>
              </w:tabs>
              <w:jc w:val="left"/>
              <w:rPr>
                <w:rFonts w:ascii="Times New Roman" w:hAnsi="Times New Roman"/>
                <w:bCs/>
                <w:sz w:val="22"/>
                <w:szCs w:val="22"/>
                <w:lang w:val="sr-Latn-ME"/>
              </w:rPr>
            </w:pPr>
            <w:r w:rsidRPr="00C01AF3">
              <w:rPr>
                <w:rFonts w:ascii="Times New Roman" w:hAnsi="Times New Roman"/>
                <w:bCs/>
                <w:sz w:val="22"/>
                <w:szCs w:val="22"/>
                <w:lang w:val="sr-Latn-ME"/>
              </w:rPr>
              <w:t xml:space="preserve">Bezbjednost </w:t>
            </w:r>
            <w:r w:rsidR="0087711B" w:rsidRPr="00C01AF3">
              <w:rPr>
                <w:rFonts w:ascii="Times New Roman" w:hAnsi="Times New Roman"/>
                <w:bCs/>
                <w:sz w:val="22"/>
                <w:szCs w:val="22"/>
                <w:lang w:val="sr-Latn-ME"/>
              </w:rPr>
              <w:t>i efikasnost amlodipina u hipertenzivnoj krizi</w:t>
            </w:r>
            <w:r w:rsidR="00474C9C" w:rsidRPr="00C01AF3">
              <w:rPr>
                <w:rFonts w:ascii="Times New Roman" w:hAnsi="Times New Roman"/>
                <w:bCs/>
                <w:sz w:val="22"/>
                <w:szCs w:val="22"/>
                <w:lang w:val="sr-Latn-ME"/>
              </w:rPr>
              <w:t xml:space="preserve"> ni</w:t>
            </w:r>
            <w:r w:rsidR="00CB09EE" w:rsidRPr="00C01AF3">
              <w:rPr>
                <w:rFonts w:ascii="Times New Roman" w:hAnsi="Times New Roman"/>
                <w:bCs/>
                <w:sz w:val="22"/>
                <w:szCs w:val="22"/>
                <w:lang w:val="sr-Latn-ME"/>
              </w:rPr>
              <w:t>je</w:t>
            </w:r>
            <w:r w:rsidR="00474C9C" w:rsidRPr="00C01AF3">
              <w:rPr>
                <w:rFonts w:ascii="Times New Roman" w:hAnsi="Times New Roman"/>
                <w:bCs/>
                <w:sz w:val="22"/>
                <w:szCs w:val="22"/>
                <w:lang w:val="sr-Latn-ME"/>
              </w:rPr>
              <w:t>su utvrđene</w:t>
            </w:r>
            <w:r w:rsidR="0087711B" w:rsidRPr="00C01AF3">
              <w:rPr>
                <w:rFonts w:ascii="Times New Roman" w:hAnsi="Times New Roman"/>
                <w:bCs/>
                <w:sz w:val="22"/>
                <w:szCs w:val="22"/>
                <w:lang w:val="sr-Latn-ME"/>
              </w:rPr>
              <w:t>.</w:t>
            </w:r>
          </w:p>
          <w:p w:rsidR="0087711B" w:rsidRPr="00C01AF3" w:rsidRDefault="0087711B" w:rsidP="00B56725">
            <w:pPr>
              <w:tabs>
                <w:tab w:val="clear" w:pos="284"/>
              </w:tabs>
              <w:jc w:val="left"/>
              <w:rPr>
                <w:rFonts w:ascii="Times New Roman" w:hAnsi="Times New Roman"/>
                <w:sz w:val="22"/>
                <w:szCs w:val="22"/>
                <w:u w:val="single"/>
                <w:lang w:val="sr-Latn-ME"/>
              </w:rPr>
            </w:pPr>
          </w:p>
          <w:p w:rsidR="00B56725" w:rsidRPr="00C01AF3" w:rsidRDefault="00B56725" w:rsidP="00B56725">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Pacijenti sa smanjenom količinom natrijuma i</w:t>
            </w:r>
            <w:r w:rsidR="00145096" w:rsidRPr="00C01AF3">
              <w:rPr>
                <w:rFonts w:ascii="Times New Roman" w:hAnsi="Times New Roman" w:cs="Arial"/>
                <w:bCs/>
                <w:sz w:val="22"/>
                <w:u w:val="single"/>
                <w:lang w:val="sr-Latn-ME"/>
              </w:rPr>
              <w:t>/ili</w:t>
            </w:r>
            <w:r w:rsidRPr="00C01AF3">
              <w:rPr>
                <w:rFonts w:ascii="Times New Roman" w:hAnsi="Times New Roman" w:cs="Arial"/>
                <w:bCs/>
                <w:sz w:val="22"/>
                <w:u w:val="single"/>
                <w:lang w:val="sr-Latn-ME"/>
              </w:rPr>
              <w:t xml:space="preserve"> smanjenim </w:t>
            </w:r>
            <w:r w:rsidR="00145B57" w:rsidRPr="00C01AF3">
              <w:rPr>
                <w:rFonts w:ascii="Times New Roman" w:hAnsi="Times New Roman" w:cs="Arial"/>
                <w:bCs/>
                <w:sz w:val="22"/>
                <w:u w:val="single"/>
                <w:lang w:val="sr-Latn-ME"/>
              </w:rPr>
              <w:t>cirkulatornim</w:t>
            </w:r>
            <w:r w:rsidR="00105542" w:rsidRPr="00C01AF3">
              <w:rPr>
                <w:rFonts w:ascii="Times New Roman" w:hAnsi="Times New Roman" w:cs="Arial"/>
                <w:bCs/>
                <w:sz w:val="22"/>
                <w:u w:val="single"/>
                <w:lang w:val="sr-Latn-ME"/>
              </w:rPr>
              <w:t xml:space="preserve"> </w:t>
            </w:r>
            <w:r w:rsidRPr="00C01AF3">
              <w:rPr>
                <w:rFonts w:ascii="Times New Roman" w:hAnsi="Times New Roman" w:cs="Arial"/>
                <w:bCs/>
                <w:sz w:val="22"/>
                <w:u w:val="single"/>
                <w:lang w:val="sr-Latn-ME"/>
              </w:rPr>
              <w:t xml:space="preserve">volumenom </w:t>
            </w:r>
          </w:p>
          <w:p w:rsidR="00607C04" w:rsidRPr="00C01AF3" w:rsidRDefault="00B56725" w:rsidP="00B56725">
            <w:pPr>
              <w:pStyle w:val="Header"/>
              <w:tabs>
                <w:tab w:val="clear" w:pos="4536"/>
                <w:tab w:val="clear" w:pos="9072"/>
                <w:tab w:val="left" w:pos="284"/>
              </w:tabs>
              <w:spacing w:before="80" w:after="80"/>
              <w:jc w:val="left"/>
              <w:rPr>
                <w:rFonts w:ascii="Times New Roman" w:hAnsi="Times New Roman" w:cs="Arial"/>
                <w:sz w:val="22"/>
                <w:lang w:val="sr-Latn-ME"/>
              </w:rPr>
            </w:pPr>
            <w:r w:rsidRPr="00C01AF3">
              <w:rPr>
                <w:rFonts w:ascii="Times New Roman" w:hAnsi="Times New Roman" w:cs="Arial"/>
                <w:bCs/>
                <w:sz w:val="22"/>
                <w:lang w:val="sr-Latn-ME"/>
              </w:rPr>
              <w:t>Izražena hipotenzija</w:t>
            </w:r>
            <w:r w:rsidR="00607C04" w:rsidRPr="00C01AF3">
              <w:rPr>
                <w:rFonts w:ascii="Times New Roman" w:hAnsi="Times New Roman" w:cs="Arial"/>
                <w:bCs/>
                <w:sz w:val="22"/>
                <w:lang w:val="sr-Latn-ME"/>
              </w:rPr>
              <w:t xml:space="preserve">, uključujući ortostatsku hipotenziju, </w:t>
            </w:r>
            <w:r w:rsidRPr="00C01AF3">
              <w:rPr>
                <w:rFonts w:ascii="Times New Roman" w:hAnsi="Times New Roman" w:cs="Arial"/>
                <w:bCs/>
                <w:sz w:val="22"/>
                <w:lang w:val="sr-Latn-ME"/>
              </w:rPr>
              <w:t xml:space="preserve">bila je </w:t>
            </w:r>
            <w:r w:rsidR="003309F3" w:rsidRPr="00C01AF3">
              <w:rPr>
                <w:rFonts w:ascii="Times New Roman" w:hAnsi="Times New Roman" w:cs="Arial"/>
                <w:bCs/>
                <w:sz w:val="22"/>
                <w:lang w:val="sr-Latn-ME"/>
              </w:rPr>
              <w:t>zabilje</w:t>
            </w:r>
            <w:r w:rsidR="00607C04" w:rsidRPr="00C01AF3">
              <w:rPr>
                <w:rFonts w:ascii="Times New Roman" w:hAnsi="Times New Roman" w:cs="Arial"/>
                <w:bCs/>
                <w:sz w:val="22"/>
                <w:lang w:val="sr-Latn-ME"/>
              </w:rPr>
              <w:t>žena kod 1,7</w:t>
            </w:r>
            <w:r w:rsidR="007A4FA5" w:rsidRPr="00C01AF3">
              <w:rPr>
                <w:rFonts w:ascii="Times New Roman" w:hAnsi="Times New Roman" w:cs="Arial"/>
                <w:bCs/>
                <w:sz w:val="22"/>
                <w:lang w:val="sr-Latn-ME"/>
              </w:rPr>
              <w:t xml:space="preserve">% pacijenata na </w:t>
            </w:r>
            <w:r w:rsidR="00F741B7" w:rsidRPr="00C01AF3">
              <w:rPr>
                <w:rFonts w:ascii="Times New Roman" w:hAnsi="Times New Roman" w:cs="Arial"/>
                <w:bCs/>
                <w:sz w:val="22"/>
                <w:lang w:val="sr-Latn-ME"/>
              </w:rPr>
              <w:t xml:space="preserve">terapiji </w:t>
            </w:r>
            <w:r w:rsidR="00607C04" w:rsidRPr="00C01AF3">
              <w:rPr>
                <w:rFonts w:ascii="Times New Roman" w:hAnsi="Times New Roman" w:cs="Arial"/>
                <w:bCs/>
                <w:sz w:val="22"/>
                <w:lang w:val="sr-Latn-ME"/>
              </w:rPr>
              <w:t>maksimalno</w:t>
            </w:r>
            <w:r w:rsidR="00F741B7" w:rsidRPr="00C01AF3">
              <w:rPr>
                <w:rFonts w:ascii="Times New Roman" w:hAnsi="Times New Roman" w:cs="Arial"/>
                <w:bCs/>
                <w:sz w:val="22"/>
                <w:lang w:val="sr-Latn-ME"/>
              </w:rPr>
              <w:t>m</w:t>
            </w:r>
            <w:r w:rsidR="00607C04" w:rsidRPr="00C01AF3">
              <w:rPr>
                <w:rFonts w:ascii="Times New Roman" w:hAnsi="Times New Roman" w:cs="Arial"/>
                <w:bCs/>
                <w:sz w:val="22"/>
                <w:lang w:val="sr-Latn-ME"/>
              </w:rPr>
              <w:t xml:space="preserve"> doz</w:t>
            </w:r>
            <w:r w:rsidR="00F741B7" w:rsidRPr="00C01AF3">
              <w:rPr>
                <w:rFonts w:ascii="Times New Roman" w:hAnsi="Times New Roman" w:cs="Arial"/>
                <w:bCs/>
                <w:sz w:val="22"/>
                <w:lang w:val="sr-Latn-ME"/>
              </w:rPr>
              <w:t>om</w:t>
            </w:r>
            <w:r w:rsidR="00607C04" w:rsidRPr="00C01AF3">
              <w:rPr>
                <w:rFonts w:ascii="Times New Roman" w:hAnsi="Times New Roman" w:cs="Arial"/>
                <w:bCs/>
                <w:sz w:val="22"/>
                <w:lang w:val="sr-Latn-ME"/>
              </w:rPr>
              <w:t xml:space="preserve"> </w:t>
            </w:r>
            <w:r w:rsidR="00A65414" w:rsidRPr="00C01AF3">
              <w:rPr>
                <w:rFonts w:ascii="Times New Roman" w:hAnsi="Times New Roman" w:cs="Arial"/>
                <w:bCs/>
                <w:sz w:val="22"/>
                <w:lang w:val="sr-Latn-ME"/>
              </w:rPr>
              <w:t>lijek</w:t>
            </w:r>
            <w:r w:rsidR="00607C04" w:rsidRPr="00C01AF3">
              <w:rPr>
                <w:rFonts w:ascii="Times New Roman" w:hAnsi="Times New Roman" w:cs="Arial"/>
                <w:bCs/>
                <w:sz w:val="22"/>
                <w:lang w:val="sr-Latn-ME"/>
              </w:rPr>
              <w:t>a E</w:t>
            </w:r>
            <w:r w:rsidR="00607C04" w:rsidRPr="00C01AF3">
              <w:rPr>
                <w:rFonts w:ascii="Times New Roman" w:hAnsi="Times New Roman" w:cs="Arial"/>
                <w:sz w:val="22"/>
                <w:lang w:val="sr-Latn-ME"/>
              </w:rPr>
              <w:t>xforge HCT</w:t>
            </w:r>
            <w:r w:rsidR="00995026" w:rsidRPr="00C01AF3">
              <w:rPr>
                <w:rFonts w:ascii="Times New Roman" w:hAnsi="Times New Roman" w:cs="Arial"/>
                <w:sz w:val="22"/>
                <w:lang w:val="sr-Latn-ME"/>
              </w:rPr>
              <w:t xml:space="preserve"> </w:t>
            </w:r>
            <w:r w:rsidR="00607C04" w:rsidRPr="00C01AF3">
              <w:rPr>
                <w:rFonts w:ascii="Times New Roman" w:hAnsi="Times New Roman" w:cs="Arial"/>
                <w:sz w:val="22"/>
                <w:lang w:val="sr-Latn-ME"/>
              </w:rPr>
              <w:t>(</w:t>
            </w:r>
            <w:r w:rsidR="00AC4741" w:rsidRPr="00C01AF3">
              <w:rPr>
                <w:rFonts w:ascii="Times New Roman" w:hAnsi="Times New Roman" w:cs="Arial"/>
                <w:sz w:val="22"/>
                <w:lang w:val="sr-Latn-ME"/>
              </w:rPr>
              <w:t>320mg/10mg/25mg</w:t>
            </w:r>
            <w:r w:rsidR="00607C04" w:rsidRPr="00C01AF3">
              <w:rPr>
                <w:rFonts w:ascii="Times New Roman" w:hAnsi="Times New Roman" w:cs="Arial"/>
                <w:sz w:val="22"/>
                <w:lang w:val="sr-Latn-ME"/>
              </w:rPr>
              <w:t xml:space="preserve">) u </w:t>
            </w:r>
            <w:r w:rsidR="00F741B7" w:rsidRPr="00C01AF3">
              <w:rPr>
                <w:rFonts w:ascii="Times New Roman" w:hAnsi="Times New Roman" w:cs="Arial"/>
                <w:sz w:val="22"/>
                <w:lang w:val="sr-Latn-ME"/>
              </w:rPr>
              <w:t xml:space="preserve">poređenju sa </w:t>
            </w:r>
            <w:r w:rsidR="00607C04" w:rsidRPr="00C01AF3">
              <w:rPr>
                <w:rFonts w:ascii="Times New Roman" w:hAnsi="Times New Roman" w:cs="Arial"/>
                <w:sz w:val="22"/>
                <w:lang w:val="sr-Latn-ME"/>
              </w:rPr>
              <w:t xml:space="preserve">1,8 % pacijenata na </w:t>
            </w:r>
            <w:r w:rsidR="00F741B7" w:rsidRPr="00C01AF3">
              <w:rPr>
                <w:rFonts w:ascii="Times New Roman" w:hAnsi="Times New Roman" w:cs="Arial"/>
                <w:sz w:val="22"/>
                <w:lang w:val="sr-Latn-ME"/>
              </w:rPr>
              <w:t xml:space="preserve">terapiji </w:t>
            </w:r>
            <w:r w:rsidR="00607C04" w:rsidRPr="00C01AF3">
              <w:rPr>
                <w:rFonts w:ascii="Times New Roman" w:hAnsi="Times New Roman" w:cs="Arial"/>
                <w:sz w:val="22"/>
                <w:lang w:val="sr-Latn-ME"/>
              </w:rPr>
              <w:t>valasartan</w:t>
            </w:r>
            <w:r w:rsidR="00F741B7" w:rsidRPr="00C01AF3">
              <w:rPr>
                <w:rFonts w:ascii="Times New Roman" w:hAnsi="Times New Roman" w:cs="Arial"/>
                <w:sz w:val="22"/>
                <w:lang w:val="sr-Latn-ME"/>
              </w:rPr>
              <w:t xml:space="preserve">/ </w:t>
            </w:r>
            <w:r w:rsidR="007C4A86" w:rsidRPr="00C01AF3">
              <w:rPr>
                <w:rFonts w:ascii="Times New Roman" w:hAnsi="Times New Roman" w:cs="Arial"/>
                <w:sz w:val="22"/>
                <w:lang w:val="sr-Latn-ME"/>
              </w:rPr>
              <w:t>hidrohlortiazid</w:t>
            </w:r>
            <w:r w:rsidR="00F741B7" w:rsidRPr="00C01AF3">
              <w:rPr>
                <w:rFonts w:ascii="Times New Roman" w:hAnsi="Times New Roman" w:cs="Arial"/>
                <w:sz w:val="22"/>
                <w:lang w:val="sr-Latn-ME"/>
              </w:rPr>
              <w:t xml:space="preserve"> (320 mg/25mg),</w:t>
            </w:r>
            <w:r w:rsidR="00607C04" w:rsidRPr="00C01AF3">
              <w:rPr>
                <w:rFonts w:ascii="Times New Roman" w:hAnsi="Times New Roman" w:cs="Arial"/>
                <w:sz w:val="22"/>
                <w:lang w:val="sr-Latn-ME"/>
              </w:rPr>
              <w:t xml:space="preserve"> 0, 4 % pacijenata </w:t>
            </w:r>
            <w:r w:rsidR="00F741B7" w:rsidRPr="00C01AF3">
              <w:rPr>
                <w:rFonts w:ascii="Times New Roman" w:hAnsi="Times New Roman" w:cs="Arial"/>
                <w:sz w:val="22"/>
                <w:lang w:val="sr-Latn-ME"/>
              </w:rPr>
              <w:t>na terapiji amlodipin/</w:t>
            </w:r>
            <w:r w:rsidR="00607C04" w:rsidRPr="00C01AF3">
              <w:rPr>
                <w:rFonts w:ascii="Times New Roman" w:hAnsi="Times New Roman" w:cs="Arial"/>
                <w:sz w:val="22"/>
                <w:lang w:val="sr-Latn-ME"/>
              </w:rPr>
              <w:t xml:space="preserve">valsartan (10 mg/320mg) i </w:t>
            </w:r>
            <w:r w:rsidR="007A4FA5" w:rsidRPr="00C01AF3">
              <w:rPr>
                <w:rFonts w:ascii="Times New Roman" w:hAnsi="Times New Roman" w:cs="Arial"/>
                <w:sz w:val="22"/>
                <w:lang w:val="sr-Latn-ME"/>
              </w:rPr>
              <w:t xml:space="preserve">   </w:t>
            </w:r>
            <w:r w:rsidR="00A76CC4" w:rsidRPr="00C01AF3">
              <w:rPr>
                <w:rFonts w:ascii="Times New Roman" w:hAnsi="Times New Roman" w:cs="Arial"/>
                <w:sz w:val="22"/>
                <w:lang w:val="sr-Latn-ME"/>
              </w:rPr>
              <w:t>0, 2 % pacije</w:t>
            </w:r>
            <w:r w:rsidR="00607C04" w:rsidRPr="00C01AF3">
              <w:rPr>
                <w:rFonts w:ascii="Times New Roman" w:hAnsi="Times New Roman" w:cs="Arial"/>
                <w:sz w:val="22"/>
                <w:lang w:val="sr-Latn-ME"/>
              </w:rPr>
              <w:t>nata na</w:t>
            </w:r>
            <w:r w:rsidR="00A76CC4" w:rsidRPr="00C01AF3">
              <w:rPr>
                <w:rFonts w:ascii="Times New Roman" w:hAnsi="Times New Roman" w:cs="Arial"/>
                <w:sz w:val="22"/>
                <w:lang w:val="sr-Latn-ME"/>
              </w:rPr>
              <w:t xml:space="preserve"> </w:t>
            </w:r>
            <w:r w:rsidR="00F741B7" w:rsidRPr="00C01AF3">
              <w:rPr>
                <w:rFonts w:ascii="Times New Roman" w:hAnsi="Times New Roman" w:cs="Arial"/>
                <w:sz w:val="22"/>
                <w:lang w:val="sr-Latn-ME"/>
              </w:rPr>
              <w:t xml:space="preserve">terapiji </w:t>
            </w:r>
            <w:r w:rsidR="007C4A86" w:rsidRPr="00C01AF3">
              <w:rPr>
                <w:rFonts w:ascii="Times New Roman" w:hAnsi="Times New Roman" w:cs="Arial"/>
                <w:sz w:val="22"/>
                <w:lang w:val="sr-Latn-ME"/>
              </w:rPr>
              <w:t>hidrohlortiazid</w:t>
            </w:r>
            <w:r w:rsidR="00F741B7" w:rsidRPr="00C01AF3">
              <w:rPr>
                <w:rFonts w:ascii="Times New Roman" w:hAnsi="Times New Roman" w:cs="Arial"/>
                <w:sz w:val="22"/>
                <w:lang w:val="sr-Latn-ME"/>
              </w:rPr>
              <w:t xml:space="preserve"> /</w:t>
            </w:r>
            <w:r w:rsidR="00607C04" w:rsidRPr="00C01AF3">
              <w:rPr>
                <w:rFonts w:ascii="Times New Roman" w:hAnsi="Times New Roman" w:cs="Arial"/>
                <w:sz w:val="22"/>
                <w:lang w:val="sr-Latn-ME"/>
              </w:rPr>
              <w:t>amlodipin (25 mg/10 mg) u kontrolisan</w:t>
            </w:r>
            <w:r w:rsidR="00F741B7" w:rsidRPr="00C01AF3">
              <w:rPr>
                <w:rFonts w:ascii="Times New Roman" w:hAnsi="Times New Roman" w:cs="Arial"/>
                <w:sz w:val="22"/>
                <w:lang w:val="sr-Latn-ME"/>
              </w:rPr>
              <w:t xml:space="preserve">oj studiji kod pacijenata sa </w:t>
            </w:r>
            <w:r w:rsidR="00BD0291" w:rsidRPr="00C01AF3">
              <w:rPr>
                <w:rFonts w:ascii="Times New Roman" w:hAnsi="Times New Roman" w:cs="Arial"/>
                <w:sz w:val="22"/>
                <w:lang w:val="sr-Latn-ME"/>
              </w:rPr>
              <w:t>umjeren</w:t>
            </w:r>
            <w:r w:rsidR="00607C04" w:rsidRPr="00C01AF3">
              <w:rPr>
                <w:rFonts w:ascii="Times New Roman" w:hAnsi="Times New Roman" w:cs="Arial"/>
                <w:sz w:val="22"/>
                <w:lang w:val="sr-Latn-ME"/>
              </w:rPr>
              <w:t xml:space="preserve">om do teškom nekomplikovanom hipertenzijom. </w:t>
            </w:r>
          </w:p>
          <w:p w:rsidR="00B56725" w:rsidRPr="00C01AF3" w:rsidRDefault="00607C04"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sz w:val="22"/>
                <w:lang w:val="sr-Latn-ME"/>
              </w:rPr>
              <w:t>Ko</w:t>
            </w:r>
            <w:r w:rsidR="00B56725" w:rsidRPr="00C01AF3">
              <w:rPr>
                <w:rFonts w:ascii="Times New Roman" w:hAnsi="Times New Roman" w:cs="Arial"/>
                <w:bCs/>
                <w:sz w:val="22"/>
                <w:lang w:val="sr-Latn-ME"/>
              </w:rPr>
              <w:t xml:space="preserve">d pacijenata </w:t>
            </w:r>
            <w:r w:rsidR="00145B57" w:rsidRPr="00C01AF3">
              <w:rPr>
                <w:rFonts w:ascii="Times New Roman" w:hAnsi="Times New Roman" w:cs="Arial"/>
                <w:bCs/>
                <w:sz w:val="22"/>
                <w:lang w:val="sr-Latn-ME"/>
              </w:rPr>
              <w:t>sa smanjenom količinom natrijuma i/ili smanjenim cirkulatornim volumenom</w:t>
            </w:r>
            <w:r w:rsidRPr="00C01AF3">
              <w:rPr>
                <w:rFonts w:ascii="Times New Roman" w:hAnsi="Times New Roman" w:cs="Arial"/>
                <w:bCs/>
                <w:sz w:val="22"/>
                <w:lang w:val="sr-Latn-ME"/>
              </w:rPr>
              <w:t xml:space="preserve">, kao što su oni koji </w:t>
            </w:r>
            <w:r w:rsidR="00B56725" w:rsidRPr="00C01AF3">
              <w:rPr>
                <w:rFonts w:ascii="Times New Roman" w:hAnsi="Times New Roman" w:cs="Arial"/>
                <w:bCs/>
                <w:sz w:val="22"/>
                <w:lang w:val="sr-Latn-ME"/>
              </w:rPr>
              <w:t xml:space="preserve"> primaju visoke doze diuretika</w:t>
            </w:r>
            <w:r w:rsidRPr="00C01AF3">
              <w:rPr>
                <w:rFonts w:ascii="Times New Roman" w:hAnsi="Times New Roman" w:cs="Arial"/>
                <w:bCs/>
                <w:sz w:val="22"/>
                <w:lang w:val="sr-Latn-ME"/>
              </w:rPr>
              <w:t>, na</w:t>
            </w:r>
            <w:r w:rsidR="00145B57" w:rsidRPr="00C01AF3">
              <w:rPr>
                <w:rFonts w:ascii="Times New Roman" w:hAnsi="Times New Roman" w:cs="Arial"/>
                <w:bCs/>
                <w:sz w:val="22"/>
                <w:lang w:val="sr-Latn-ME"/>
              </w:rPr>
              <w:t>kon</w:t>
            </w:r>
            <w:r w:rsidRPr="00C01AF3">
              <w:rPr>
                <w:rFonts w:ascii="Times New Roman" w:hAnsi="Times New Roman" w:cs="Arial"/>
                <w:bCs/>
                <w:sz w:val="22"/>
                <w:lang w:val="sr-Latn-ME"/>
              </w:rPr>
              <w:t xml:space="preserve"> početk</w:t>
            </w:r>
            <w:r w:rsidR="00145B57" w:rsidRPr="00C01AF3">
              <w:rPr>
                <w:rFonts w:ascii="Times New Roman" w:hAnsi="Times New Roman" w:cs="Arial"/>
                <w:bCs/>
                <w:sz w:val="22"/>
                <w:lang w:val="sr-Latn-ME"/>
              </w:rPr>
              <w:t xml:space="preserve">a terapije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om Exforge HCT</w:t>
            </w:r>
            <w:r w:rsidR="00145B57" w:rsidRPr="00C01AF3">
              <w:rPr>
                <w:rFonts w:ascii="Times New Roman" w:hAnsi="Times New Roman" w:cs="Arial"/>
                <w:bCs/>
                <w:sz w:val="22"/>
                <w:lang w:val="sr-Latn-ME"/>
              </w:rPr>
              <w:t>,</w:t>
            </w:r>
            <w:r w:rsidR="00B56725" w:rsidRPr="00C01AF3">
              <w:rPr>
                <w:rFonts w:ascii="Times New Roman" w:hAnsi="Times New Roman" w:cs="Arial"/>
                <w:bCs/>
                <w:sz w:val="22"/>
                <w:lang w:val="sr-Latn-ME"/>
              </w:rPr>
              <w:t xml:space="preserve"> </w:t>
            </w:r>
            <w:r w:rsidR="00145B57" w:rsidRPr="00C01AF3">
              <w:rPr>
                <w:rFonts w:ascii="Times New Roman" w:hAnsi="Times New Roman" w:cs="Arial"/>
                <w:bCs/>
                <w:sz w:val="22"/>
                <w:lang w:val="sr-Latn-ME"/>
              </w:rPr>
              <w:t xml:space="preserve">se </w:t>
            </w:r>
            <w:r w:rsidR="00B56725" w:rsidRPr="00C01AF3">
              <w:rPr>
                <w:rFonts w:ascii="Times New Roman" w:hAnsi="Times New Roman" w:cs="Arial"/>
                <w:bCs/>
                <w:sz w:val="22"/>
                <w:lang w:val="sr-Latn-ME"/>
              </w:rPr>
              <w:t xml:space="preserve">može javiti simptomatska hipotenzija. </w:t>
            </w:r>
            <w:r w:rsidRPr="00C01AF3">
              <w:rPr>
                <w:rFonts w:ascii="Times New Roman" w:hAnsi="Times New Roman" w:cs="Arial"/>
                <w:bCs/>
                <w:sz w:val="22"/>
                <w:lang w:val="sr-Latn-ME"/>
              </w:rPr>
              <w:t>Exfo</w:t>
            </w:r>
            <w:r w:rsidR="00145B57" w:rsidRPr="00C01AF3">
              <w:rPr>
                <w:rFonts w:ascii="Times New Roman" w:hAnsi="Times New Roman" w:cs="Arial"/>
                <w:bCs/>
                <w:sz w:val="22"/>
                <w:lang w:val="sr-Latn-ME"/>
              </w:rPr>
              <w:t xml:space="preserve">rge HCT se može koristiti </w:t>
            </w:r>
            <w:r w:rsidR="008A4548" w:rsidRPr="00C01AF3">
              <w:rPr>
                <w:rFonts w:ascii="Times New Roman" w:hAnsi="Times New Roman" w:cs="Arial"/>
                <w:bCs/>
                <w:sz w:val="22"/>
                <w:lang w:val="sr-Latn-ME"/>
              </w:rPr>
              <w:t xml:space="preserve">tek </w:t>
            </w:r>
            <w:r w:rsidR="001B7840" w:rsidRPr="00C01AF3">
              <w:rPr>
                <w:rFonts w:ascii="Times New Roman" w:hAnsi="Times New Roman" w:cs="Arial"/>
                <w:bCs/>
                <w:sz w:val="22"/>
                <w:lang w:val="sr-Latn-ME"/>
              </w:rPr>
              <w:t>poslije</w:t>
            </w:r>
            <w:r w:rsidR="00145B57" w:rsidRPr="00C01AF3">
              <w:rPr>
                <w:rFonts w:ascii="Times New Roman" w:hAnsi="Times New Roman" w:cs="Arial"/>
                <w:bCs/>
                <w:sz w:val="22"/>
                <w:lang w:val="sr-Latn-ME"/>
              </w:rPr>
              <w:t xml:space="preserve"> </w:t>
            </w:r>
            <w:r w:rsidR="008A4548" w:rsidRPr="00C01AF3">
              <w:rPr>
                <w:rFonts w:ascii="Times New Roman" w:hAnsi="Times New Roman" w:cs="Arial"/>
                <w:bCs/>
                <w:sz w:val="22"/>
                <w:lang w:val="sr-Latn-ME"/>
              </w:rPr>
              <w:t xml:space="preserve">korigovanja </w:t>
            </w:r>
            <w:r w:rsidR="00145B57" w:rsidRPr="00C01AF3">
              <w:rPr>
                <w:rFonts w:ascii="Times New Roman" w:hAnsi="Times New Roman" w:cs="Arial"/>
                <w:bCs/>
                <w:sz w:val="22"/>
                <w:lang w:val="sr-Latn-ME"/>
              </w:rPr>
              <w:t>smanjenj</w:t>
            </w:r>
            <w:r w:rsidR="008A4548" w:rsidRPr="00C01AF3">
              <w:rPr>
                <w:rFonts w:ascii="Times New Roman" w:hAnsi="Times New Roman" w:cs="Arial"/>
                <w:bCs/>
                <w:sz w:val="22"/>
                <w:lang w:val="sr-Latn-ME"/>
              </w:rPr>
              <w:t>enog</w:t>
            </w:r>
            <w:r w:rsidR="00145B57" w:rsidRPr="00C01AF3">
              <w:rPr>
                <w:rFonts w:ascii="Times New Roman" w:hAnsi="Times New Roman" w:cs="Arial"/>
                <w:bCs/>
                <w:sz w:val="22"/>
                <w:lang w:val="sr-Latn-ME"/>
              </w:rPr>
              <w:t xml:space="preserve"> </w:t>
            </w:r>
            <w:r w:rsidR="008A4548" w:rsidRPr="00C01AF3">
              <w:rPr>
                <w:rFonts w:ascii="Times New Roman" w:hAnsi="Times New Roman" w:cs="Arial"/>
                <w:bCs/>
                <w:sz w:val="22"/>
                <w:lang w:val="sr-Latn-ME"/>
              </w:rPr>
              <w:t xml:space="preserve">nivoa </w:t>
            </w:r>
            <w:r w:rsidR="00145B57" w:rsidRPr="00C01AF3">
              <w:rPr>
                <w:rFonts w:ascii="Times New Roman" w:hAnsi="Times New Roman" w:cs="Arial"/>
                <w:bCs/>
                <w:sz w:val="22"/>
                <w:lang w:val="sr-Latn-ME"/>
              </w:rPr>
              <w:t>natrijuma i/ili smanjenja cirkulatornog volumena.</w:t>
            </w:r>
          </w:p>
          <w:p w:rsidR="00B56725" w:rsidRPr="00C01AF3" w:rsidRDefault="00B56725"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Ako dođe do pojave </w:t>
            </w:r>
            <w:r w:rsidR="002D7A0E" w:rsidRPr="00C01AF3">
              <w:rPr>
                <w:rFonts w:ascii="Times New Roman" w:hAnsi="Times New Roman" w:cs="Arial"/>
                <w:bCs/>
                <w:sz w:val="22"/>
                <w:lang w:val="sr-Latn-ME"/>
              </w:rPr>
              <w:t xml:space="preserve">izražene </w:t>
            </w:r>
            <w:r w:rsidRPr="00C01AF3">
              <w:rPr>
                <w:rFonts w:ascii="Times New Roman" w:hAnsi="Times New Roman" w:cs="Arial"/>
                <w:bCs/>
                <w:sz w:val="22"/>
                <w:lang w:val="sr-Latn-ME"/>
              </w:rPr>
              <w:t>hipot</w:t>
            </w:r>
            <w:r w:rsidR="00F06DC7" w:rsidRPr="00C01AF3">
              <w:rPr>
                <w:rFonts w:ascii="Times New Roman" w:hAnsi="Times New Roman" w:cs="Arial"/>
                <w:bCs/>
                <w:sz w:val="22"/>
                <w:lang w:val="sr-Latn-ME"/>
              </w:rPr>
              <w:t xml:space="preserve">enzije </w:t>
            </w:r>
            <w:r w:rsidR="002D7A0E" w:rsidRPr="00C01AF3">
              <w:rPr>
                <w:rFonts w:ascii="Times New Roman" w:hAnsi="Times New Roman" w:cs="Arial"/>
                <w:bCs/>
                <w:sz w:val="22"/>
                <w:lang w:val="sr-Latn-ME"/>
              </w:rPr>
              <w:t>u toku</w:t>
            </w:r>
            <w:r w:rsidR="00F06DC7" w:rsidRPr="00C01AF3">
              <w:rPr>
                <w:rFonts w:ascii="Times New Roman" w:hAnsi="Times New Roman" w:cs="Arial"/>
                <w:bCs/>
                <w:sz w:val="22"/>
                <w:lang w:val="sr-Latn-ME"/>
              </w:rPr>
              <w:t xml:space="preserve"> </w:t>
            </w:r>
            <w:r w:rsidR="00BD0291" w:rsidRPr="00C01AF3">
              <w:rPr>
                <w:rFonts w:ascii="Times New Roman" w:hAnsi="Times New Roman" w:cs="Arial"/>
                <w:bCs/>
                <w:sz w:val="22"/>
                <w:lang w:val="sr-Latn-ME"/>
              </w:rPr>
              <w:t>primje</w:t>
            </w:r>
            <w:r w:rsidR="00F06DC7" w:rsidRPr="00C01AF3">
              <w:rPr>
                <w:rFonts w:ascii="Times New Roman" w:hAnsi="Times New Roman" w:cs="Arial"/>
                <w:bCs/>
                <w:sz w:val="22"/>
                <w:lang w:val="sr-Latn-ME"/>
              </w:rPr>
              <w:t xml:space="preserve">ne </w:t>
            </w:r>
            <w:r w:rsidR="00A65414" w:rsidRPr="00C01AF3">
              <w:rPr>
                <w:rFonts w:ascii="Times New Roman" w:hAnsi="Times New Roman" w:cs="Arial"/>
                <w:bCs/>
                <w:sz w:val="22"/>
                <w:lang w:val="sr-Latn-ME"/>
              </w:rPr>
              <w:t>lijek</w:t>
            </w:r>
            <w:r w:rsidR="00F06DC7" w:rsidRPr="00C01AF3">
              <w:rPr>
                <w:rFonts w:ascii="Times New Roman" w:hAnsi="Times New Roman" w:cs="Arial"/>
                <w:bCs/>
                <w:sz w:val="22"/>
                <w:lang w:val="sr-Latn-ME"/>
              </w:rPr>
              <w:t>a</w:t>
            </w:r>
            <w:r w:rsidRPr="00C01AF3">
              <w:rPr>
                <w:rFonts w:ascii="Times New Roman" w:hAnsi="Times New Roman" w:cs="Arial"/>
                <w:bCs/>
                <w:sz w:val="22"/>
                <w:lang w:val="sr-Latn-ME"/>
              </w:rPr>
              <w:t xml:space="preserve"> </w:t>
            </w:r>
            <w:r w:rsidRPr="00C01AF3">
              <w:rPr>
                <w:rFonts w:ascii="Times New Roman" w:hAnsi="Times New Roman" w:cs="Arial"/>
                <w:sz w:val="22"/>
                <w:lang w:val="sr-Latn-ME"/>
              </w:rPr>
              <w:t>Exforge</w:t>
            </w:r>
            <w:r w:rsidR="00607C04" w:rsidRPr="00C01AF3">
              <w:rPr>
                <w:rFonts w:ascii="Times New Roman" w:hAnsi="Times New Roman" w:cs="Arial"/>
                <w:sz w:val="22"/>
                <w:lang w:val="sr-Latn-ME"/>
              </w:rPr>
              <w:t xml:space="preserve"> HCT</w:t>
            </w:r>
            <w:r w:rsidRPr="00C01AF3">
              <w:rPr>
                <w:rFonts w:ascii="Times New Roman" w:hAnsi="Times New Roman" w:cs="Arial"/>
                <w:bCs/>
                <w:sz w:val="22"/>
                <w:lang w:val="sr-Latn-ME"/>
              </w:rPr>
              <w:t xml:space="preserve">, pacijenta treba staviti u ležeći položaj i po potrebi, </w:t>
            </w:r>
            <w:r w:rsidR="008A4548" w:rsidRPr="00C01AF3">
              <w:rPr>
                <w:rFonts w:ascii="Times New Roman" w:hAnsi="Times New Roman" w:cs="Arial"/>
                <w:bCs/>
                <w:sz w:val="22"/>
                <w:lang w:val="sr-Latn-ME"/>
              </w:rPr>
              <w:t xml:space="preserve">mu </w:t>
            </w:r>
            <w:r w:rsidRPr="00C01AF3">
              <w:rPr>
                <w:rFonts w:ascii="Times New Roman" w:hAnsi="Times New Roman" w:cs="Arial"/>
                <w:bCs/>
                <w:sz w:val="22"/>
                <w:lang w:val="sr-Latn-ME"/>
              </w:rPr>
              <w:t>dati i.v. infuziju fiziološkog rastvora. Terapija se</w:t>
            </w:r>
            <w:r w:rsidR="008A4548" w:rsidRPr="00C01AF3">
              <w:rPr>
                <w:rFonts w:ascii="Times New Roman" w:hAnsi="Times New Roman" w:cs="Arial"/>
                <w:bCs/>
                <w:sz w:val="22"/>
                <w:lang w:val="sr-Latn-ME"/>
              </w:rPr>
              <w:t xml:space="preserve"> može</w:t>
            </w:r>
            <w:r w:rsidRPr="00C01AF3">
              <w:rPr>
                <w:rFonts w:ascii="Times New Roman" w:hAnsi="Times New Roman" w:cs="Arial"/>
                <w:bCs/>
                <w:sz w:val="22"/>
                <w:lang w:val="sr-Latn-ME"/>
              </w:rPr>
              <w:t xml:space="preserve"> nastavi</w:t>
            </w:r>
            <w:r w:rsidR="008A4548" w:rsidRPr="00C01AF3">
              <w:rPr>
                <w:rFonts w:ascii="Times New Roman" w:hAnsi="Times New Roman" w:cs="Arial"/>
                <w:bCs/>
                <w:sz w:val="22"/>
                <w:lang w:val="sr-Latn-ME"/>
              </w:rPr>
              <w:t>ti</w:t>
            </w:r>
            <w:r w:rsidRPr="00C01AF3">
              <w:rPr>
                <w:rFonts w:ascii="Times New Roman" w:hAnsi="Times New Roman" w:cs="Arial"/>
                <w:bCs/>
                <w:sz w:val="22"/>
                <w:lang w:val="sr-Latn-ME"/>
              </w:rPr>
              <w:t xml:space="preserve"> kad se krvni pritisak stabilizuje.</w:t>
            </w:r>
          </w:p>
          <w:p w:rsidR="00607C04" w:rsidRPr="00C01AF3" w:rsidRDefault="00607C04" w:rsidP="00B56725">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 xml:space="preserve"> </w:t>
            </w:r>
            <w:r w:rsidR="00644CBB" w:rsidRPr="00C01AF3">
              <w:rPr>
                <w:rFonts w:ascii="Times New Roman" w:hAnsi="Times New Roman" w:cs="Arial"/>
                <w:bCs/>
                <w:sz w:val="22"/>
                <w:u w:val="single"/>
                <w:lang w:val="sr-Latn-ME"/>
              </w:rPr>
              <w:t>Promjen</w:t>
            </w:r>
            <w:r w:rsidRPr="00C01AF3">
              <w:rPr>
                <w:rFonts w:ascii="Times New Roman" w:hAnsi="Times New Roman" w:cs="Arial"/>
                <w:bCs/>
                <w:sz w:val="22"/>
                <w:u w:val="single"/>
                <w:lang w:val="sr-Latn-ME"/>
              </w:rPr>
              <w:t>a serumskih e</w:t>
            </w:r>
            <w:r w:rsidR="00A65414" w:rsidRPr="00C01AF3">
              <w:rPr>
                <w:rFonts w:ascii="Times New Roman" w:hAnsi="Times New Roman" w:cs="Arial"/>
                <w:bCs/>
                <w:sz w:val="22"/>
                <w:u w:val="single"/>
                <w:lang w:val="sr-Latn-ME"/>
              </w:rPr>
              <w:t>lek</w:t>
            </w:r>
            <w:r w:rsidRPr="00C01AF3">
              <w:rPr>
                <w:rFonts w:ascii="Times New Roman" w:hAnsi="Times New Roman" w:cs="Arial"/>
                <w:bCs/>
                <w:sz w:val="22"/>
                <w:u w:val="single"/>
                <w:lang w:val="sr-Latn-ME"/>
              </w:rPr>
              <w:t>trolita</w:t>
            </w:r>
          </w:p>
          <w:p w:rsidR="00607C04" w:rsidRPr="00C01AF3" w:rsidRDefault="00DC6E92" w:rsidP="00B56725">
            <w:pPr>
              <w:pStyle w:val="Header"/>
              <w:tabs>
                <w:tab w:val="clear" w:pos="4536"/>
                <w:tab w:val="clear" w:pos="9072"/>
                <w:tab w:val="left" w:pos="284"/>
              </w:tabs>
              <w:spacing w:before="80" w:after="80"/>
              <w:jc w:val="left"/>
              <w:rPr>
                <w:rFonts w:ascii="Times New Roman" w:hAnsi="Times New Roman" w:cs="Arial"/>
                <w:bCs/>
                <w:i/>
                <w:sz w:val="22"/>
                <w:u w:val="single"/>
                <w:lang w:val="sr-Latn-ME"/>
              </w:rPr>
            </w:pPr>
            <w:r w:rsidRPr="00C01AF3">
              <w:rPr>
                <w:rFonts w:ascii="Times New Roman" w:hAnsi="Times New Roman" w:cs="Arial"/>
                <w:bCs/>
                <w:i/>
                <w:sz w:val="22"/>
                <w:u w:val="single"/>
                <w:lang w:val="sr-Latn-ME"/>
              </w:rPr>
              <w:t>Amlodipin,v</w:t>
            </w:r>
            <w:r w:rsidR="00607C04" w:rsidRPr="00C01AF3">
              <w:rPr>
                <w:rFonts w:ascii="Times New Roman" w:hAnsi="Times New Roman" w:cs="Arial"/>
                <w:bCs/>
                <w:i/>
                <w:sz w:val="22"/>
                <w:u w:val="single"/>
                <w:lang w:val="sr-Latn-ME"/>
              </w:rPr>
              <w:t xml:space="preserve">alsartan, </w:t>
            </w:r>
            <w:r w:rsidR="007C4A86" w:rsidRPr="00C01AF3">
              <w:rPr>
                <w:rFonts w:ascii="Times New Roman" w:hAnsi="Times New Roman" w:cs="Arial"/>
                <w:bCs/>
                <w:i/>
                <w:sz w:val="22"/>
                <w:u w:val="single"/>
                <w:lang w:val="sr-Latn-ME"/>
              </w:rPr>
              <w:t>hidrohlortiazid</w:t>
            </w:r>
            <w:r w:rsidR="00607C04" w:rsidRPr="00C01AF3">
              <w:rPr>
                <w:rFonts w:ascii="Times New Roman" w:hAnsi="Times New Roman" w:cs="Arial"/>
                <w:bCs/>
                <w:i/>
                <w:sz w:val="22"/>
                <w:u w:val="single"/>
                <w:lang w:val="sr-Latn-ME"/>
              </w:rPr>
              <w:t xml:space="preserve"> </w:t>
            </w:r>
          </w:p>
          <w:p w:rsidR="00E04ADF" w:rsidRPr="00C01AF3" w:rsidRDefault="00E04ADF"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U kontrolisan</w:t>
            </w:r>
            <w:r w:rsidR="0073193C" w:rsidRPr="00C01AF3">
              <w:rPr>
                <w:rFonts w:ascii="Times New Roman" w:hAnsi="Times New Roman" w:cs="Arial"/>
                <w:bCs/>
                <w:sz w:val="22"/>
                <w:lang w:val="sr-Latn-ME"/>
              </w:rPr>
              <w:t xml:space="preserve">oj studiji sa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om Exforge HCT, suprotni efekti 320 mg valsartana i 25 mg </w:t>
            </w:r>
            <w:r w:rsidR="007C4A86" w:rsidRPr="00C01AF3">
              <w:rPr>
                <w:rFonts w:ascii="Times New Roman" w:hAnsi="Times New Roman" w:cs="Arial"/>
                <w:bCs/>
                <w:sz w:val="22"/>
                <w:lang w:val="sr-Latn-ME"/>
              </w:rPr>
              <w:t>hidrohlortiazid</w:t>
            </w:r>
            <w:r w:rsidRPr="00C01AF3">
              <w:rPr>
                <w:rFonts w:ascii="Times New Roman" w:hAnsi="Times New Roman" w:cs="Arial"/>
                <w:bCs/>
                <w:sz w:val="22"/>
                <w:lang w:val="sr-Latn-ME"/>
              </w:rPr>
              <w:t xml:space="preserve">a na nivo kalijuma u serumu </w:t>
            </w:r>
            <w:r w:rsidR="0073193C"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približno su </w:t>
            </w:r>
            <w:r w:rsidR="0073193C" w:rsidRPr="00C01AF3">
              <w:rPr>
                <w:rFonts w:ascii="Times New Roman" w:hAnsi="Times New Roman" w:cs="Arial"/>
                <w:bCs/>
                <w:sz w:val="22"/>
                <w:lang w:val="sr-Latn-ME"/>
              </w:rPr>
              <w:t xml:space="preserve">se </w:t>
            </w:r>
            <w:r w:rsidRPr="00C01AF3">
              <w:rPr>
                <w:rFonts w:ascii="Times New Roman" w:hAnsi="Times New Roman" w:cs="Arial"/>
                <w:bCs/>
                <w:sz w:val="22"/>
                <w:lang w:val="sr-Latn-ME"/>
              </w:rPr>
              <w:t>uravnotež</w:t>
            </w:r>
            <w:r w:rsidR="0073193C" w:rsidRPr="00C01AF3">
              <w:rPr>
                <w:rFonts w:ascii="Times New Roman" w:hAnsi="Times New Roman" w:cs="Arial"/>
                <w:bCs/>
                <w:sz w:val="22"/>
                <w:lang w:val="sr-Latn-ME"/>
              </w:rPr>
              <w:t>ili</w:t>
            </w:r>
            <w:r w:rsidRPr="00C01AF3">
              <w:rPr>
                <w:rFonts w:ascii="Times New Roman" w:hAnsi="Times New Roman" w:cs="Arial"/>
                <w:bCs/>
                <w:sz w:val="22"/>
                <w:lang w:val="sr-Latn-ME"/>
              </w:rPr>
              <w:t xml:space="preserve"> kod mnogih pacijenata. Kod drugih pacijenata, jedan od ova dv</w:t>
            </w:r>
            <w:r w:rsidR="00D85D2F" w:rsidRPr="00C01AF3">
              <w:rPr>
                <w:rFonts w:ascii="Times New Roman" w:hAnsi="Times New Roman" w:cs="Arial"/>
                <w:bCs/>
                <w:sz w:val="22"/>
                <w:lang w:val="sr-Latn-ME"/>
              </w:rPr>
              <w:t>a efekta može biti dominantan. P</w:t>
            </w:r>
            <w:r w:rsidRPr="00C01AF3">
              <w:rPr>
                <w:rFonts w:ascii="Times New Roman" w:hAnsi="Times New Roman" w:cs="Arial"/>
                <w:bCs/>
                <w:sz w:val="22"/>
                <w:lang w:val="sr-Latn-ME"/>
              </w:rPr>
              <w:t>eriodično</w:t>
            </w:r>
            <w:r w:rsidR="00D85D2F" w:rsidRPr="00C01AF3">
              <w:rPr>
                <w:rFonts w:ascii="Times New Roman" w:hAnsi="Times New Roman" w:cs="Arial"/>
                <w:bCs/>
                <w:sz w:val="22"/>
                <w:lang w:val="sr-Latn-ME"/>
              </w:rPr>
              <w:t xml:space="preserve"> određivanje serumskih</w:t>
            </w:r>
            <w:r w:rsidRPr="00C01AF3">
              <w:rPr>
                <w:rFonts w:ascii="Times New Roman" w:hAnsi="Times New Roman" w:cs="Arial"/>
                <w:bCs/>
                <w:sz w:val="22"/>
                <w:lang w:val="sr-Latn-ME"/>
              </w:rPr>
              <w:t xml:space="preserve"> elektrolit</w:t>
            </w:r>
            <w:r w:rsidR="00D85D2F" w:rsidRPr="00C01AF3">
              <w:rPr>
                <w:rFonts w:ascii="Times New Roman" w:hAnsi="Times New Roman" w:cs="Arial"/>
                <w:bCs/>
                <w:sz w:val="22"/>
                <w:lang w:val="sr-Latn-ME"/>
              </w:rPr>
              <w:t xml:space="preserve">a bi trebalo raditi u </w:t>
            </w:r>
            <w:r w:rsidR="00FF3DFD" w:rsidRPr="00C01AF3">
              <w:rPr>
                <w:rFonts w:ascii="Times New Roman" w:hAnsi="Times New Roman" w:cs="Arial"/>
                <w:bCs/>
                <w:sz w:val="22"/>
                <w:lang w:val="sr-Latn-ME"/>
              </w:rPr>
              <w:t>odgovarajućim</w:t>
            </w:r>
            <w:r w:rsidR="00D85D2F" w:rsidRPr="00C01AF3">
              <w:rPr>
                <w:rFonts w:ascii="Times New Roman" w:hAnsi="Times New Roman" w:cs="Arial"/>
                <w:bCs/>
                <w:sz w:val="22"/>
                <w:lang w:val="sr-Latn-ME"/>
              </w:rPr>
              <w:t xml:space="preserve"> vremenskim intervalima radi otkrivanja mogućeg elektrolitnog disbalansa.</w:t>
            </w:r>
          </w:p>
          <w:p w:rsidR="009650CA" w:rsidRPr="00C01AF3" w:rsidRDefault="009650CA"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lastRenderedPageBreak/>
              <w:t xml:space="preserve">Periodično određivanje serumskih elektrolita i </w:t>
            </w:r>
            <w:r w:rsidR="0037475C" w:rsidRPr="00C01AF3">
              <w:rPr>
                <w:rFonts w:ascii="Times New Roman" w:hAnsi="Times New Roman" w:cs="Arial"/>
                <w:bCs/>
                <w:sz w:val="22"/>
                <w:lang w:val="sr-Latn-ME"/>
              </w:rPr>
              <w:t xml:space="preserve">naročito </w:t>
            </w:r>
            <w:r w:rsidRPr="00C01AF3">
              <w:rPr>
                <w:rFonts w:ascii="Times New Roman" w:hAnsi="Times New Roman" w:cs="Arial"/>
                <w:bCs/>
                <w:sz w:val="22"/>
                <w:lang w:val="sr-Latn-ME"/>
              </w:rPr>
              <w:t>kalijuma bi trebalo raditi u odgovarajućim vremenskim intervalima radi otkrivanja mogućeg elektrolitnog disbalans</w:t>
            </w:r>
            <w:r w:rsidR="00214CAF" w:rsidRPr="00C01AF3">
              <w:rPr>
                <w:rFonts w:ascii="Times New Roman" w:hAnsi="Times New Roman" w:cs="Arial"/>
                <w:bCs/>
                <w:sz w:val="22"/>
                <w:lang w:val="sr-Latn-ME"/>
              </w:rPr>
              <w:t>a</w:t>
            </w:r>
            <w:r w:rsidRPr="00C01AF3">
              <w:rPr>
                <w:rFonts w:ascii="Times New Roman" w:hAnsi="Times New Roman" w:cs="Arial"/>
                <w:bCs/>
                <w:sz w:val="22"/>
                <w:lang w:val="sr-Latn-ME"/>
              </w:rPr>
              <w:t xml:space="preserve"> </w:t>
            </w:r>
            <w:r w:rsidR="00214CAF" w:rsidRPr="00C01AF3">
              <w:rPr>
                <w:rFonts w:ascii="Times New Roman" w:hAnsi="Times New Roman" w:cs="Arial"/>
                <w:bCs/>
                <w:sz w:val="22"/>
                <w:lang w:val="sr-Latn-ME"/>
              </w:rPr>
              <w:t xml:space="preserve">posebno </w:t>
            </w:r>
            <w:r w:rsidRPr="00C01AF3">
              <w:rPr>
                <w:rFonts w:ascii="Times New Roman" w:hAnsi="Times New Roman" w:cs="Arial"/>
                <w:bCs/>
                <w:sz w:val="22"/>
                <w:lang w:val="sr-Latn-ME"/>
              </w:rPr>
              <w:t>kod pacijenata</w:t>
            </w:r>
            <w:r w:rsidR="00214CAF" w:rsidRPr="00C01AF3">
              <w:rPr>
                <w:rFonts w:ascii="Times New Roman" w:hAnsi="Times New Roman" w:cs="Arial"/>
                <w:bCs/>
                <w:sz w:val="22"/>
                <w:lang w:val="sr-Latn-ME"/>
              </w:rPr>
              <w:t xml:space="preserve"> kod kojih postoje i </w:t>
            </w:r>
            <w:r w:rsidRPr="00C01AF3">
              <w:rPr>
                <w:rFonts w:ascii="Times New Roman" w:hAnsi="Times New Roman" w:cs="Arial"/>
                <w:bCs/>
                <w:sz w:val="22"/>
                <w:lang w:val="sr-Latn-ME"/>
              </w:rPr>
              <w:t>drugi</w:t>
            </w:r>
            <w:r w:rsidR="00214CAF" w:rsidRPr="00C01AF3">
              <w:rPr>
                <w:rFonts w:ascii="Times New Roman" w:hAnsi="Times New Roman" w:cs="Arial"/>
                <w:bCs/>
                <w:sz w:val="22"/>
                <w:lang w:val="sr-Latn-ME"/>
              </w:rPr>
              <w:t xml:space="preserve"> </w:t>
            </w:r>
            <w:r w:rsidRPr="00C01AF3">
              <w:rPr>
                <w:rFonts w:ascii="Times New Roman" w:hAnsi="Times New Roman" w:cs="Arial"/>
                <w:bCs/>
                <w:sz w:val="22"/>
                <w:lang w:val="sr-Latn-ME"/>
              </w:rPr>
              <w:t>faktori rizika kao što su poremećaj funkcije bubrega, terapija drugim l</w:t>
            </w:r>
            <w:r w:rsidR="00A65414" w:rsidRPr="00C01AF3">
              <w:rPr>
                <w:rFonts w:ascii="Times New Roman" w:hAnsi="Times New Roman" w:cs="Arial"/>
                <w:bCs/>
                <w:sz w:val="22"/>
                <w:lang w:val="sr-Latn-ME"/>
              </w:rPr>
              <w:t>j</w:t>
            </w:r>
            <w:r w:rsidRPr="00C01AF3">
              <w:rPr>
                <w:rFonts w:ascii="Times New Roman" w:hAnsi="Times New Roman" w:cs="Arial"/>
                <w:bCs/>
                <w:sz w:val="22"/>
                <w:lang w:val="sr-Latn-ME"/>
              </w:rPr>
              <w:t>ek</w:t>
            </w:r>
            <w:r w:rsidR="00A65414" w:rsidRPr="00C01AF3">
              <w:rPr>
                <w:rFonts w:ascii="Times New Roman" w:hAnsi="Times New Roman" w:cs="Arial"/>
                <w:bCs/>
                <w:sz w:val="22"/>
                <w:lang w:val="sr-Latn-ME"/>
              </w:rPr>
              <w:t>o</w:t>
            </w:r>
            <w:r w:rsidRPr="00C01AF3">
              <w:rPr>
                <w:rFonts w:ascii="Times New Roman" w:hAnsi="Times New Roman" w:cs="Arial"/>
                <w:bCs/>
                <w:sz w:val="22"/>
                <w:lang w:val="sr-Latn-ME"/>
              </w:rPr>
              <w:t xml:space="preserve">vima ili </w:t>
            </w:r>
            <w:r w:rsidR="00214CAF" w:rsidRPr="00C01AF3">
              <w:rPr>
                <w:rFonts w:ascii="Times New Roman" w:hAnsi="Times New Roman" w:cs="Arial"/>
                <w:bCs/>
                <w:sz w:val="22"/>
                <w:lang w:val="sr-Latn-ME"/>
              </w:rPr>
              <w:t xml:space="preserve">elektrolitni disbalans u </w:t>
            </w:r>
            <w:r w:rsidRPr="00C01AF3">
              <w:rPr>
                <w:rFonts w:ascii="Times New Roman" w:hAnsi="Times New Roman" w:cs="Arial"/>
                <w:bCs/>
                <w:sz w:val="22"/>
                <w:lang w:val="sr-Latn-ME"/>
              </w:rPr>
              <w:t>anamne</w:t>
            </w:r>
            <w:r w:rsidR="00214CAF" w:rsidRPr="00C01AF3">
              <w:rPr>
                <w:rFonts w:ascii="Times New Roman" w:hAnsi="Times New Roman" w:cs="Arial"/>
                <w:bCs/>
                <w:sz w:val="22"/>
                <w:lang w:val="sr-Latn-ME"/>
              </w:rPr>
              <w:t>zi</w:t>
            </w:r>
            <w:r w:rsidR="008F4B39" w:rsidRPr="00C01AF3">
              <w:rPr>
                <w:rFonts w:ascii="Times New Roman" w:hAnsi="Times New Roman" w:cs="Arial"/>
                <w:bCs/>
                <w:sz w:val="22"/>
                <w:lang w:val="sr-Latn-ME"/>
              </w:rPr>
              <w:t>.</w:t>
            </w:r>
          </w:p>
          <w:p w:rsidR="00E04ADF" w:rsidRPr="00C01AF3" w:rsidRDefault="00E04ADF" w:rsidP="00B56725">
            <w:pPr>
              <w:pStyle w:val="Header"/>
              <w:tabs>
                <w:tab w:val="clear" w:pos="4536"/>
                <w:tab w:val="clear" w:pos="9072"/>
                <w:tab w:val="left" w:pos="284"/>
              </w:tabs>
              <w:spacing w:before="80" w:after="80"/>
              <w:jc w:val="left"/>
              <w:rPr>
                <w:rFonts w:ascii="Times New Roman" w:hAnsi="Times New Roman" w:cs="Arial"/>
                <w:bCs/>
                <w:i/>
                <w:sz w:val="22"/>
                <w:u w:val="single"/>
                <w:lang w:val="sr-Latn-ME"/>
              </w:rPr>
            </w:pPr>
            <w:r w:rsidRPr="00C01AF3">
              <w:rPr>
                <w:rFonts w:ascii="Times New Roman" w:hAnsi="Times New Roman" w:cs="Arial"/>
                <w:bCs/>
                <w:i/>
                <w:sz w:val="22"/>
                <w:u w:val="single"/>
                <w:lang w:val="sr-Latn-ME"/>
              </w:rPr>
              <w:t>Valsartan</w:t>
            </w:r>
          </w:p>
          <w:p w:rsidR="00E04ADF" w:rsidRPr="00C01AF3" w:rsidRDefault="00E04ADF" w:rsidP="00E04ADF">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Ne preporučuje se istovremena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 xml:space="preserve">na </w:t>
            </w:r>
            <w:r w:rsidR="00AA5F41" w:rsidRPr="00C01AF3">
              <w:rPr>
                <w:rFonts w:ascii="Times New Roman" w:hAnsi="Times New Roman" w:cs="Arial"/>
                <w:bCs/>
                <w:sz w:val="22"/>
                <w:lang w:val="sr-Latn-ME"/>
              </w:rPr>
              <w:t xml:space="preserve">sa </w:t>
            </w:r>
            <w:r w:rsidRPr="00C01AF3">
              <w:rPr>
                <w:rFonts w:ascii="Times New Roman" w:hAnsi="Times New Roman" w:cs="Arial"/>
                <w:bCs/>
                <w:sz w:val="22"/>
                <w:lang w:val="sr-Latn-ME"/>
              </w:rPr>
              <w:t>supleme</w:t>
            </w:r>
            <w:r w:rsidR="00AA5F41" w:rsidRPr="00C01AF3">
              <w:rPr>
                <w:rFonts w:ascii="Times New Roman" w:hAnsi="Times New Roman" w:cs="Arial"/>
                <w:bCs/>
                <w:sz w:val="22"/>
                <w:lang w:val="sr-Latn-ME"/>
              </w:rPr>
              <w:t>ntima</w:t>
            </w:r>
            <w:r w:rsidRPr="00C01AF3">
              <w:rPr>
                <w:rFonts w:ascii="Times New Roman" w:hAnsi="Times New Roman" w:cs="Arial"/>
                <w:bCs/>
                <w:sz w:val="22"/>
                <w:lang w:val="sr-Latn-ME"/>
              </w:rPr>
              <w:t xml:space="preserve"> kalijuma, diuret</w:t>
            </w:r>
            <w:r w:rsidR="00AA5F41" w:rsidRPr="00C01AF3">
              <w:rPr>
                <w:rFonts w:ascii="Times New Roman" w:hAnsi="Times New Roman" w:cs="Arial"/>
                <w:bCs/>
                <w:sz w:val="22"/>
                <w:lang w:val="sr-Latn-ME"/>
              </w:rPr>
              <w:t>icima</w:t>
            </w:r>
            <w:r w:rsidRPr="00C01AF3">
              <w:rPr>
                <w:rFonts w:ascii="Times New Roman" w:hAnsi="Times New Roman" w:cs="Arial"/>
                <w:bCs/>
                <w:sz w:val="22"/>
                <w:lang w:val="sr-Latn-ME"/>
              </w:rPr>
              <w:t xml:space="preserve"> koji štede kalijum, </w:t>
            </w:r>
            <w:r w:rsidR="009D7207" w:rsidRPr="00C01AF3">
              <w:rPr>
                <w:rFonts w:ascii="Times New Roman" w:hAnsi="Times New Roman" w:cs="Arial"/>
                <w:bCs/>
                <w:sz w:val="22"/>
                <w:lang w:val="sr-Latn-ME"/>
              </w:rPr>
              <w:t>zamjen</w:t>
            </w:r>
            <w:r w:rsidR="001C6C0F" w:rsidRPr="00C01AF3">
              <w:rPr>
                <w:rFonts w:ascii="Times New Roman" w:hAnsi="Times New Roman" w:cs="Arial"/>
                <w:bCs/>
                <w:sz w:val="22"/>
                <w:lang w:val="sr-Latn-ME"/>
              </w:rPr>
              <w:t>a</w:t>
            </w:r>
            <w:r w:rsidR="00AA5F41" w:rsidRPr="00C01AF3">
              <w:rPr>
                <w:rFonts w:ascii="Times New Roman" w:hAnsi="Times New Roman" w:cs="Arial"/>
                <w:bCs/>
                <w:sz w:val="22"/>
                <w:lang w:val="sr-Latn-ME"/>
              </w:rPr>
              <w:t>ma</w:t>
            </w:r>
            <w:r w:rsidR="001C6C0F" w:rsidRPr="00C01AF3">
              <w:rPr>
                <w:rFonts w:ascii="Times New Roman" w:hAnsi="Times New Roman" w:cs="Arial"/>
                <w:bCs/>
                <w:sz w:val="22"/>
                <w:lang w:val="sr-Latn-ME"/>
              </w:rPr>
              <w:t xml:space="preserve"> za so</w:t>
            </w:r>
            <w:r w:rsidR="008010CC" w:rsidRPr="00C01AF3">
              <w:rPr>
                <w:rFonts w:ascii="Times New Roman" w:hAnsi="Times New Roman" w:cs="Arial"/>
                <w:bCs/>
                <w:sz w:val="22"/>
                <w:lang w:val="sr-Latn-ME"/>
              </w:rPr>
              <w:t xml:space="preserve"> koje sadrže kalijum ili</w:t>
            </w:r>
            <w:r w:rsidRPr="00C01AF3">
              <w:rPr>
                <w:rFonts w:ascii="Times New Roman" w:hAnsi="Times New Roman" w:cs="Arial"/>
                <w:bCs/>
                <w:sz w:val="22"/>
                <w:lang w:val="sr-Latn-ME"/>
              </w:rPr>
              <w:t xml:space="preserve"> drugi</w:t>
            </w:r>
            <w:r w:rsidR="00AA5F41" w:rsidRPr="00C01AF3">
              <w:rPr>
                <w:rFonts w:ascii="Times New Roman" w:hAnsi="Times New Roman" w:cs="Arial"/>
                <w:bCs/>
                <w:sz w:val="22"/>
                <w:lang w:val="sr-Latn-ME"/>
              </w:rPr>
              <w:t>m</w:t>
            </w:r>
            <w:r w:rsidRPr="00C01AF3">
              <w:rPr>
                <w:rFonts w:ascii="Times New Roman" w:hAnsi="Times New Roman" w:cs="Arial"/>
                <w:bCs/>
                <w:sz w:val="22"/>
                <w:lang w:val="sr-Latn-ME"/>
              </w:rPr>
              <w:t xml:space="preserve"> l</w:t>
            </w:r>
            <w:r w:rsidR="00A65414" w:rsidRPr="00C01AF3">
              <w:rPr>
                <w:rFonts w:ascii="Times New Roman" w:hAnsi="Times New Roman" w:cs="Arial"/>
                <w:bCs/>
                <w:sz w:val="22"/>
                <w:lang w:val="sr-Latn-ME"/>
              </w:rPr>
              <w:t>j</w:t>
            </w:r>
            <w:r w:rsidRPr="00C01AF3">
              <w:rPr>
                <w:rFonts w:ascii="Times New Roman" w:hAnsi="Times New Roman" w:cs="Arial"/>
                <w:bCs/>
                <w:sz w:val="22"/>
                <w:lang w:val="sr-Latn-ME"/>
              </w:rPr>
              <w:t>eko</w:t>
            </w:r>
            <w:r w:rsidR="00AA5F41" w:rsidRPr="00C01AF3">
              <w:rPr>
                <w:rFonts w:ascii="Times New Roman" w:hAnsi="Times New Roman" w:cs="Arial"/>
                <w:bCs/>
                <w:sz w:val="22"/>
                <w:lang w:val="sr-Latn-ME"/>
              </w:rPr>
              <w:t>vima</w:t>
            </w:r>
            <w:r w:rsidRPr="00C01AF3">
              <w:rPr>
                <w:rFonts w:ascii="Times New Roman" w:hAnsi="Times New Roman" w:cs="Arial"/>
                <w:bCs/>
                <w:sz w:val="22"/>
                <w:lang w:val="sr-Latn-ME"/>
              </w:rPr>
              <w:t xml:space="preserve"> koji mogu da povise nivoe kalijuma (heparin, itd.). Potrebno je </w:t>
            </w:r>
            <w:r w:rsidR="008010CC" w:rsidRPr="00C01AF3">
              <w:rPr>
                <w:rFonts w:ascii="Times New Roman" w:hAnsi="Times New Roman" w:cs="Arial"/>
                <w:bCs/>
                <w:sz w:val="22"/>
                <w:lang w:val="sr-Latn-ME"/>
              </w:rPr>
              <w:t>odgovarajuće praćenje</w:t>
            </w:r>
            <w:r w:rsidRPr="00C01AF3">
              <w:rPr>
                <w:rFonts w:ascii="Times New Roman" w:hAnsi="Times New Roman" w:cs="Arial"/>
                <w:bCs/>
                <w:sz w:val="22"/>
                <w:lang w:val="sr-Latn-ME"/>
              </w:rPr>
              <w:t xml:space="preserve"> nivo</w:t>
            </w:r>
            <w:r w:rsidR="008010CC" w:rsidRPr="00C01AF3">
              <w:rPr>
                <w:rFonts w:ascii="Times New Roman" w:hAnsi="Times New Roman" w:cs="Arial"/>
                <w:bCs/>
                <w:sz w:val="22"/>
                <w:lang w:val="sr-Latn-ME"/>
              </w:rPr>
              <w:t>a</w:t>
            </w:r>
            <w:r w:rsidRPr="00C01AF3">
              <w:rPr>
                <w:rFonts w:ascii="Times New Roman" w:hAnsi="Times New Roman" w:cs="Arial"/>
                <w:bCs/>
                <w:sz w:val="22"/>
                <w:lang w:val="sr-Latn-ME"/>
              </w:rPr>
              <w:t xml:space="preserve"> kalijuma u serumu.</w:t>
            </w:r>
          </w:p>
          <w:p w:rsidR="00E04ADF" w:rsidRPr="00C01AF3" w:rsidRDefault="007C4A86" w:rsidP="00B56725">
            <w:pPr>
              <w:pStyle w:val="Header"/>
              <w:tabs>
                <w:tab w:val="clear" w:pos="4536"/>
                <w:tab w:val="clear" w:pos="9072"/>
                <w:tab w:val="left" w:pos="284"/>
              </w:tabs>
              <w:spacing w:before="80" w:after="80"/>
              <w:jc w:val="left"/>
              <w:rPr>
                <w:rFonts w:ascii="Times New Roman" w:hAnsi="Times New Roman" w:cs="Arial"/>
                <w:bCs/>
                <w:i/>
                <w:sz w:val="22"/>
                <w:u w:val="single"/>
                <w:lang w:val="sr-Latn-ME"/>
              </w:rPr>
            </w:pPr>
            <w:r w:rsidRPr="00C01AF3">
              <w:rPr>
                <w:rFonts w:ascii="Times New Roman" w:hAnsi="Times New Roman" w:cs="Arial"/>
                <w:bCs/>
                <w:i/>
                <w:sz w:val="22"/>
                <w:u w:val="single"/>
                <w:lang w:val="sr-Latn-ME"/>
              </w:rPr>
              <w:t>Hidrohlortiazid</w:t>
            </w:r>
          </w:p>
          <w:p w:rsidR="00D971CF" w:rsidRPr="00C01AF3" w:rsidRDefault="00FF3DFD"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Terapija </w:t>
            </w:r>
            <w:r w:rsidR="00A65414" w:rsidRPr="00C01AF3">
              <w:rPr>
                <w:rFonts w:ascii="Times New Roman" w:hAnsi="Times New Roman" w:cs="Arial"/>
                <w:bCs/>
                <w:sz w:val="22"/>
                <w:lang w:val="sr-Latn-ME"/>
              </w:rPr>
              <w:t>lijek</w:t>
            </w:r>
            <w:r w:rsidR="004E2CA8" w:rsidRPr="00C01AF3">
              <w:rPr>
                <w:rFonts w:ascii="Times New Roman" w:hAnsi="Times New Roman" w:cs="Arial"/>
                <w:bCs/>
                <w:sz w:val="22"/>
                <w:lang w:val="sr-Latn-ME"/>
              </w:rPr>
              <w:t>om Exforge</w:t>
            </w:r>
            <w:r w:rsidRPr="00C01AF3">
              <w:rPr>
                <w:rFonts w:ascii="Times New Roman" w:hAnsi="Times New Roman" w:cs="Arial"/>
                <w:bCs/>
                <w:sz w:val="22"/>
                <w:lang w:val="sr-Latn-ME"/>
              </w:rPr>
              <w:t xml:space="preserve"> HCT</w:t>
            </w:r>
            <w:r w:rsidR="004E2CA8" w:rsidRPr="00C01AF3">
              <w:rPr>
                <w:rFonts w:ascii="Times New Roman" w:hAnsi="Times New Roman" w:cs="Arial"/>
                <w:bCs/>
                <w:sz w:val="22"/>
                <w:lang w:val="sr-Latn-ME"/>
              </w:rPr>
              <w:t xml:space="preserve"> se može započeti samo </w:t>
            </w:r>
            <w:r w:rsidR="001B7840" w:rsidRPr="00C01AF3">
              <w:rPr>
                <w:rFonts w:ascii="Times New Roman" w:hAnsi="Times New Roman" w:cs="Arial"/>
                <w:bCs/>
                <w:sz w:val="22"/>
                <w:lang w:val="sr-Latn-ME"/>
              </w:rPr>
              <w:t>poslije</w:t>
            </w:r>
            <w:r w:rsidRPr="00C01AF3">
              <w:rPr>
                <w:rFonts w:ascii="Times New Roman" w:hAnsi="Times New Roman" w:cs="Arial"/>
                <w:bCs/>
                <w:sz w:val="22"/>
                <w:lang w:val="sr-Latn-ME"/>
              </w:rPr>
              <w:t xml:space="preserve"> otklanjanja </w:t>
            </w:r>
            <w:r w:rsidR="00A80696" w:rsidRPr="00C01AF3">
              <w:rPr>
                <w:rFonts w:ascii="Times New Roman" w:hAnsi="Times New Roman" w:cs="Arial"/>
                <w:bCs/>
                <w:sz w:val="22"/>
                <w:lang w:val="sr-Latn-ME"/>
              </w:rPr>
              <w:t>hipokal</w:t>
            </w:r>
            <w:r w:rsidR="00AA5F41" w:rsidRPr="00C01AF3">
              <w:rPr>
                <w:rFonts w:ascii="Times New Roman" w:hAnsi="Times New Roman" w:cs="Arial"/>
                <w:bCs/>
                <w:sz w:val="22"/>
                <w:lang w:val="sr-Latn-ME"/>
              </w:rPr>
              <w:t>ij</w:t>
            </w:r>
            <w:r w:rsidR="004E2CA8" w:rsidRPr="00C01AF3">
              <w:rPr>
                <w:rFonts w:ascii="Times New Roman" w:hAnsi="Times New Roman" w:cs="Arial"/>
                <w:bCs/>
                <w:sz w:val="22"/>
                <w:lang w:val="sr-Latn-ME"/>
              </w:rPr>
              <w:t xml:space="preserve">emije i bilo koje istovremeno prisutne hipomagnezijemije. Tiazidni diuretici mogu </w:t>
            </w:r>
            <w:r w:rsidR="00EE159B" w:rsidRPr="00C01AF3">
              <w:rPr>
                <w:rFonts w:ascii="Times New Roman" w:hAnsi="Times New Roman" w:cs="Arial"/>
                <w:bCs/>
                <w:sz w:val="22"/>
                <w:lang w:val="sr-Latn-ME"/>
              </w:rPr>
              <w:t xml:space="preserve">da </w:t>
            </w:r>
            <w:r w:rsidR="00C37C38" w:rsidRPr="00C01AF3">
              <w:rPr>
                <w:rFonts w:ascii="Times New Roman" w:hAnsi="Times New Roman" w:cs="Arial"/>
                <w:bCs/>
                <w:sz w:val="22"/>
                <w:lang w:val="sr-Latn-ME"/>
              </w:rPr>
              <w:t>ubrza</w:t>
            </w:r>
            <w:r w:rsidR="00EE159B" w:rsidRPr="00C01AF3">
              <w:rPr>
                <w:rFonts w:ascii="Times New Roman" w:hAnsi="Times New Roman" w:cs="Arial"/>
                <w:bCs/>
                <w:sz w:val="22"/>
                <w:lang w:val="sr-Latn-ME"/>
              </w:rPr>
              <w:t>ju</w:t>
            </w:r>
            <w:r w:rsidR="00C37C38" w:rsidRPr="00C01AF3">
              <w:rPr>
                <w:rFonts w:ascii="Times New Roman" w:hAnsi="Times New Roman" w:cs="Arial"/>
                <w:bCs/>
                <w:sz w:val="22"/>
                <w:lang w:val="sr-Latn-ME"/>
              </w:rPr>
              <w:t xml:space="preserve"> </w:t>
            </w:r>
            <w:r w:rsidR="00774E34" w:rsidRPr="00C01AF3">
              <w:rPr>
                <w:rFonts w:ascii="Times New Roman" w:hAnsi="Times New Roman" w:cs="Arial"/>
                <w:bCs/>
                <w:sz w:val="22"/>
                <w:lang w:val="sr-Latn-ME"/>
              </w:rPr>
              <w:t xml:space="preserve">pojavu </w:t>
            </w:r>
            <w:r w:rsidR="00A80696" w:rsidRPr="00C01AF3">
              <w:rPr>
                <w:rFonts w:ascii="Times New Roman" w:hAnsi="Times New Roman" w:cs="Arial"/>
                <w:bCs/>
                <w:sz w:val="22"/>
                <w:lang w:val="sr-Latn-ME"/>
              </w:rPr>
              <w:t>nov</w:t>
            </w:r>
            <w:r w:rsidR="00774E34" w:rsidRPr="00C01AF3">
              <w:rPr>
                <w:rFonts w:ascii="Times New Roman" w:hAnsi="Times New Roman" w:cs="Arial"/>
                <w:bCs/>
                <w:sz w:val="22"/>
                <w:lang w:val="sr-Latn-ME"/>
              </w:rPr>
              <w:t>onastale</w:t>
            </w:r>
            <w:r w:rsidRPr="00C01AF3">
              <w:rPr>
                <w:rFonts w:ascii="Times New Roman" w:hAnsi="Times New Roman" w:cs="Arial"/>
                <w:bCs/>
                <w:sz w:val="22"/>
                <w:lang w:val="sr-Latn-ME"/>
              </w:rPr>
              <w:t xml:space="preserve"> hipokal</w:t>
            </w:r>
            <w:r w:rsidR="00AA5F41" w:rsidRPr="00C01AF3">
              <w:rPr>
                <w:rFonts w:ascii="Times New Roman" w:hAnsi="Times New Roman" w:cs="Arial"/>
                <w:bCs/>
                <w:sz w:val="22"/>
                <w:lang w:val="sr-Latn-ME"/>
              </w:rPr>
              <w:t>ij</w:t>
            </w:r>
            <w:r w:rsidRPr="00C01AF3">
              <w:rPr>
                <w:rFonts w:ascii="Times New Roman" w:hAnsi="Times New Roman" w:cs="Arial"/>
                <w:bCs/>
                <w:sz w:val="22"/>
                <w:lang w:val="sr-Latn-ME"/>
              </w:rPr>
              <w:t xml:space="preserve">emije ili </w:t>
            </w:r>
            <w:r w:rsidR="004E2CA8" w:rsidRPr="00C01AF3">
              <w:rPr>
                <w:rFonts w:ascii="Times New Roman" w:hAnsi="Times New Roman" w:cs="Arial"/>
                <w:bCs/>
                <w:sz w:val="22"/>
                <w:lang w:val="sr-Latn-ME"/>
              </w:rPr>
              <w:t>pogorša</w:t>
            </w:r>
            <w:r w:rsidRPr="00C01AF3">
              <w:rPr>
                <w:rFonts w:ascii="Times New Roman" w:hAnsi="Times New Roman" w:cs="Arial"/>
                <w:bCs/>
                <w:sz w:val="22"/>
                <w:lang w:val="sr-Latn-ME"/>
              </w:rPr>
              <w:t>ti već postojeću hipokal</w:t>
            </w:r>
            <w:r w:rsidR="00AA5F41" w:rsidRPr="00C01AF3">
              <w:rPr>
                <w:rFonts w:ascii="Times New Roman" w:hAnsi="Times New Roman" w:cs="Arial"/>
                <w:bCs/>
                <w:sz w:val="22"/>
                <w:lang w:val="sr-Latn-ME"/>
              </w:rPr>
              <w:t>ij</w:t>
            </w:r>
            <w:r w:rsidRPr="00C01AF3">
              <w:rPr>
                <w:rFonts w:ascii="Times New Roman" w:hAnsi="Times New Roman" w:cs="Arial"/>
                <w:bCs/>
                <w:sz w:val="22"/>
                <w:lang w:val="sr-Latn-ME"/>
              </w:rPr>
              <w:t xml:space="preserve">emiju. </w:t>
            </w:r>
            <w:r w:rsidR="004E2CA8" w:rsidRPr="00C01AF3">
              <w:rPr>
                <w:rFonts w:ascii="Times New Roman" w:hAnsi="Times New Roman" w:cs="Arial"/>
                <w:bCs/>
                <w:sz w:val="22"/>
                <w:lang w:val="sr-Latn-ME"/>
              </w:rPr>
              <w:t xml:space="preserve">Tiazidne diuretike treba primjenjivati oprezno kod pacijenata </w:t>
            </w:r>
            <w:r w:rsidRPr="00C01AF3">
              <w:rPr>
                <w:rFonts w:ascii="Times New Roman" w:hAnsi="Times New Roman" w:cs="Arial"/>
                <w:bCs/>
                <w:sz w:val="22"/>
                <w:lang w:val="sr-Latn-ME"/>
              </w:rPr>
              <w:t>sa simptomima koji obuhvataju povećani gubitak kalijuma</w:t>
            </w:r>
            <w:r w:rsidR="004E2CA8" w:rsidRPr="00C01AF3">
              <w:rPr>
                <w:rFonts w:ascii="Times New Roman" w:hAnsi="Times New Roman" w:cs="Arial"/>
                <w:bCs/>
                <w:sz w:val="22"/>
                <w:lang w:val="sr-Latn-ME"/>
              </w:rPr>
              <w:t xml:space="preserve">, npr. </w:t>
            </w:r>
            <w:r w:rsidR="00A80696" w:rsidRPr="00C01AF3">
              <w:rPr>
                <w:rFonts w:ascii="Times New Roman" w:hAnsi="Times New Roman" w:cs="Arial"/>
                <w:bCs/>
                <w:sz w:val="22"/>
                <w:lang w:val="sr-Latn-ME"/>
              </w:rPr>
              <w:t>n</w:t>
            </w:r>
            <w:r w:rsidR="00CD73FE" w:rsidRPr="00C01AF3">
              <w:rPr>
                <w:rFonts w:ascii="Times New Roman" w:hAnsi="Times New Roman" w:cs="Arial"/>
                <w:bCs/>
                <w:sz w:val="22"/>
                <w:lang w:val="sr-Latn-ME"/>
              </w:rPr>
              <w:t xml:space="preserve">efropatije </w:t>
            </w:r>
            <w:r w:rsidRPr="00C01AF3">
              <w:rPr>
                <w:rFonts w:ascii="Times New Roman" w:hAnsi="Times New Roman" w:cs="Arial"/>
                <w:bCs/>
                <w:sz w:val="22"/>
                <w:lang w:val="sr-Latn-ME"/>
              </w:rPr>
              <w:t>sa gubitkom soli</w:t>
            </w:r>
            <w:r w:rsidR="00CD73FE" w:rsidRPr="00C01AF3">
              <w:rPr>
                <w:rFonts w:ascii="Times New Roman" w:hAnsi="Times New Roman" w:cs="Arial"/>
                <w:bCs/>
                <w:sz w:val="22"/>
                <w:lang w:val="sr-Latn-ME"/>
              </w:rPr>
              <w:t xml:space="preserve"> i prerenaln</w:t>
            </w:r>
            <w:r w:rsidR="00AA5F41" w:rsidRPr="00C01AF3">
              <w:rPr>
                <w:rFonts w:ascii="Times New Roman" w:hAnsi="Times New Roman" w:cs="Arial"/>
                <w:bCs/>
                <w:sz w:val="22"/>
                <w:lang w:val="sr-Latn-ME"/>
              </w:rPr>
              <w:t>og</w:t>
            </w:r>
            <w:r w:rsidR="00CD73FE" w:rsidRPr="00C01AF3">
              <w:rPr>
                <w:rFonts w:ascii="Times New Roman" w:hAnsi="Times New Roman" w:cs="Arial"/>
                <w:bCs/>
                <w:sz w:val="22"/>
                <w:lang w:val="sr-Latn-ME"/>
              </w:rPr>
              <w:t xml:space="preserve"> (kardiogen</w:t>
            </w:r>
            <w:r w:rsidR="00AA5F41" w:rsidRPr="00C01AF3">
              <w:rPr>
                <w:rFonts w:ascii="Times New Roman" w:hAnsi="Times New Roman" w:cs="Arial"/>
                <w:bCs/>
                <w:sz w:val="22"/>
                <w:lang w:val="sr-Latn-ME"/>
              </w:rPr>
              <w:t>og</w:t>
            </w:r>
            <w:r w:rsidR="00CD73FE" w:rsidRPr="00C01AF3">
              <w:rPr>
                <w:rFonts w:ascii="Times New Roman" w:hAnsi="Times New Roman" w:cs="Arial"/>
                <w:bCs/>
                <w:sz w:val="22"/>
                <w:lang w:val="sr-Latn-ME"/>
              </w:rPr>
              <w:t>) poremećaj</w:t>
            </w:r>
            <w:r w:rsidR="00AA5F41" w:rsidRPr="00C01AF3">
              <w:rPr>
                <w:rFonts w:ascii="Times New Roman" w:hAnsi="Times New Roman" w:cs="Arial"/>
                <w:bCs/>
                <w:sz w:val="22"/>
                <w:lang w:val="sr-Latn-ME"/>
              </w:rPr>
              <w:t>a</w:t>
            </w:r>
            <w:r w:rsidR="00CD73FE" w:rsidRPr="00C01AF3">
              <w:rPr>
                <w:rFonts w:ascii="Times New Roman" w:hAnsi="Times New Roman" w:cs="Arial"/>
                <w:bCs/>
                <w:sz w:val="22"/>
                <w:lang w:val="sr-Latn-ME"/>
              </w:rPr>
              <w:t xml:space="preserve"> funk</w:t>
            </w:r>
            <w:r w:rsidR="00C03C61" w:rsidRPr="00C01AF3">
              <w:rPr>
                <w:rFonts w:ascii="Times New Roman" w:hAnsi="Times New Roman" w:cs="Arial"/>
                <w:bCs/>
                <w:sz w:val="22"/>
                <w:lang w:val="sr-Latn-ME"/>
              </w:rPr>
              <w:t xml:space="preserve">cije bubrega. Ako se tokom </w:t>
            </w:r>
            <w:r w:rsidR="00BD0291" w:rsidRPr="00C01AF3">
              <w:rPr>
                <w:rFonts w:ascii="Times New Roman" w:hAnsi="Times New Roman" w:cs="Arial"/>
                <w:bCs/>
                <w:sz w:val="22"/>
                <w:lang w:val="sr-Latn-ME"/>
              </w:rPr>
              <w:t>primje</w:t>
            </w:r>
            <w:r w:rsidR="00CD73FE" w:rsidRPr="00C01AF3">
              <w:rPr>
                <w:rFonts w:ascii="Times New Roman" w:hAnsi="Times New Roman" w:cs="Arial"/>
                <w:bCs/>
                <w:sz w:val="22"/>
                <w:lang w:val="sr-Latn-ME"/>
              </w:rPr>
              <w:t xml:space="preserve">ne  </w:t>
            </w:r>
            <w:r w:rsidR="007C4A86" w:rsidRPr="00C01AF3">
              <w:rPr>
                <w:rFonts w:ascii="Times New Roman" w:hAnsi="Times New Roman" w:cs="Arial"/>
                <w:bCs/>
                <w:sz w:val="22"/>
                <w:lang w:val="sr-Latn-ME"/>
              </w:rPr>
              <w:t>hidrohlortiazid</w:t>
            </w:r>
            <w:r w:rsidR="00CD73FE" w:rsidRPr="00C01AF3">
              <w:rPr>
                <w:rFonts w:ascii="Times New Roman" w:hAnsi="Times New Roman" w:cs="Arial"/>
                <w:bCs/>
                <w:sz w:val="22"/>
                <w:lang w:val="sr-Latn-ME"/>
              </w:rPr>
              <w:t>a razv</w:t>
            </w:r>
            <w:r w:rsidR="00C03C61" w:rsidRPr="00C01AF3">
              <w:rPr>
                <w:rFonts w:ascii="Times New Roman" w:hAnsi="Times New Roman" w:cs="Arial"/>
                <w:bCs/>
                <w:sz w:val="22"/>
                <w:lang w:val="sr-Latn-ME"/>
              </w:rPr>
              <w:t>ije hipokal</w:t>
            </w:r>
            <w:r w:rsidR="00AA5F41" w:rsidRPr="00C01AF3">
              <w:rPr>
                <w:rFonts w:ascii="Times New Roman" w:hAnsi="Times New Roman" w:cs="Arial"/>
                <w:bCs/>
                <w:sz w:val="22"/>
                <w:lang w:val="sr-Latn-ME"/>
              </w:rPr>
              <w:t>ij</w:t>
            </w:r>
            <w:r w:rsidR="00C03C61" w:rsidRPr="00C01AF3">
              <w:rPr>
                <w:rFonts w:ascii="Times New Roman" w:hAnsi="Times New Roman" w:cs="Arial"/>
                <w:bCs/>
                <w:sz w:val="22"/>
                <w:lang w:val="sr-Latn-ME"/>
              </w:rPr>
              <w:t xml:space="preserve">emija, terapiju </w:t>
            </w:r>
            <w:r w:rsidR="00A65414" w:rsidRPr="00C01AF3">
              <w:rPr>
                <w:rFonts w:ascii="Times New Roman" w:hAnsi="Times New Roman" w:cs="Arial"/>
                <w:bCs/>
                <w:sz w:val="22"/>
                <w:lang w:val="sr-Latn-ME"/>
              </w:rPr>
              <w:t>lijek</w:t>
            </w:r>
            <w:r w:rsidR="00CD73FE" w:rsidRPr="00C01AF3">
              <w:rPr>
                <w:rFonts w:ascii="Times New Roman" w:hAnsi="Times New Roman" w:cs="Arial"/>
                <w:bCs/>
                <w:sz w:val="22"/>
                <w:lang w:val="sr-Latn-ME"/>
              </w:rPr>
              <w:t>om Exforge HCT treba prekinuti  d</w:t>
            </w:r>
            <w:r w:rsidR="00D971CF" w:rsidRPr="00C01AF3">
              <w:rPr>
                <w:rFonts w:ascii="Times New Roman" w:hAnsi="Times New Roman" w:cs="Arial"/>
                <w:bCs/>
                <w:sz w:val="22"/>
                <w:lang w:val="sr-Latn-ME"/>
              </w:rPr>
              <w:t>o</w:t>
            </w:r>
            <w:r w:rsidR="00CD73FE" w:rsidRPr="00C01AF3">
              <w:rPr>
                <w:rFonts w:ascii="Times New Roman" w:hAnsi="Times New Roman" w:cs="Arial"/>
                <w:bCs/>
                <w:sz w:val="22"/>
                <w:lang w:val="sr-Latn-ME"/>
              </w:rPr>
              <w:t xml:space="preserve">k se ne </w:t>
            </w:r>
            <w:r w:rsidR="00C03C61" w:rsidRPr="00C01AF3">
              <w:rPr>
                <w:rFonts w:ascii="Times New Roman" w:hAnsi="Times New Roman" w:cs="Arial"/>
                <w:bCs/>
                <w:sz w:val="22"/>
                <w:lang w:val="sr-Latn-ME"/>
              </w:rPr>
              <w:t>postigne stabiln</w:t>
            </w:r>
            <w:r w:rsidR="00AA5F41" w:rsidRPr="00C01AF3">
              <w:rPr>
                <w:rFonts w:ascii="Times New Roman" w:hAnsi="Times New Roman" w:cs="Arial"/>
                <w:bCs/>
                <w:sz w:val="22"/>
                <w:lang w:val="sr-Latn-ME"/>
              </w:rPr>
              <w:t>a korekcija</w:t>
            </w:r>
            <w:r w:rsidR="00C03C61" w:rsidRPr="00C01AF3">
              <w:rPr>
                <w:rFonts w:ascii="Times New Roman" w:hAnsi="Times New Roman" w:cs="Arial"/>
                <w:bCs/>
                <w:sz w:val="22"/>
                <w:lang w:val="sr-Latn-ME"/>
              </w:rPr>
              <w:t xml:space="preserve"> </w:t>
            </w:r>
            <w:r w:rsidR="00AA5F41" w:rsidRPr="00C01AF3">
              <w:rPr>
                <w:rFonts w:ascii="Times New Roman" w:hAnsi="Times New Roman" w:cs="Arial"/>
                <w:bCs/>
                <w:sz w:val="22"/>
                <w:lang w:val="sr-Latn-ME"/>
              </w:rPr>
              <w:t>ravnoteže</w:t>
            </w:r>
            <w:r w:rsidR="00CD73FE" w:rsidRPr="00C01AF3">
              <w:rPr>
                <w:rFonts w:ascii="Times New Roman" w:hAnsi="Times New Roman" w:cs="Arial"/>
                <w:bCs/>
                <w:sz w:val="22"/>
                <w:lang w:val="sr-Latn-ME"/>
              </w:rPr>
              <w:t xml:space="preserve"> kalijuma</w:t>
            </w:r>
            <w:r w:rsidR="00D971CF" w:rsidRPr="00C01AF3">
              <w:rPr>
                <w:rFonts w:ascii="Times New Roman" w:hAnsi="Times New Roman" w:cs="Arial"/>
                <w:bCs/>
                <w:sz w:val="22"/>
                <w:lang w:val="sr-Latn-ME"/>
              </w:rPr>
              <w:t>.</w:t>
            </w:r>
          </w:p>
          <w:p w:rsidR="00C37C38" w:rsidRPr="00C01AF3" w:rsidRDefault="00D971CF"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Tiazidni diuretici</w:t>
            </w:r>
            <w:r w:rsidR="00CD73FE"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 mogu </w:t>
            </w:r>
            <w:r w:rsidR="00EE159B" w:rsidRPr="00C01AF3">
              <w:rPr>
                <w:rFonts w:ascii="Times New Roman" w:hAnsi="Times New Roman" w:cs="Arial"/>
                <w:bCs/>
                <w:sz w:val="22"/>
                <w:lang w:val="sr-Latn-ME"/>
              </w:rPr>
              <w:t xml:space="preserve">da </w:t>
            </w:r>
            <w:r w:rsidR="00A80696" w:rsidRPr="00C01AF3">
              <w:rPr>
                <w:rFonts w:ascii="Times New Roman" w:hAnsi="Times New Roman" w:cs="Arial"/>
                <w:bCs/>
                <w:sz w:val="22"/>
                <w:lang w:val="sr-Latn-ME"/>
              </w:rPr>
              <w:t>ubrza</w:t>
            </w:r>
            <w:r w:rsidR="00EE159B" w:rsidRPr="00C01AF3">
              <w:rPr>
                <w:rFonts w:ascii="Times New Roman" w:hAnsi="Times New Roman" w:cs="Arial"/>
                <w:bCs/>
                <w:sz w:val="22"/>
                <w:lang w:val="sr-Latn-ME"/>
              </w:rPr>
              <w:t>ju</w:t>
            </w:r>
            <w:r w:rsidR="00A80696" w:rsidRPr="00C01AF3">
              <w:rPr>
                <w:rFonts w:ascii="Times New Roman" w:hAnsi="Times New Roman" w:cs="Arial"/>
                <w:bCs/>
                <w:sz w:val="22"/>
                <w:lang w:val="sr-Latn-ME"/>
              </w:rPr>
              <w:t xml:space="preserve"> </w:t>
            </w:r>
            <w:r w:rsidR="000000C9" w:rsidRPr="00C01AF3">
              <w:rPr>
                <w:rFonts w:ascii="Times New Roman" w:hAnsi="Times New Roman" w:cs="Arial"/>
                <w:bCs/>
                <w:sz w:val="22"/>
                <w:lang w:val="sr-Latn-ME"/>
              </w:rPr>
              <w:t xml:space="preserve">pojavu </w:t>
            </w:r>
            <w:r w:rsidR="00A80696" w:rsidRPr="00C01AF3">
              <w:rPr>
                <w:rFonts w:ascii="Times New Roman" w:hAnsi="Times New Roman" w:cs="Arial"/>
                <w:bCs/>
                <w:sz w:val="22"/>
                <w:lang w:val="sr-Latn-ME"/>
              </w:rPr>
              <w:t>nov</w:t>
            </w:r>
            <w:r w:rsidR="00EE159B" w:rsidRPr="00C01AF3">
              <w:rPr>
                <w:rFonts w:ascii="Times New Roman" w:hAnsi="Times New Roman" w:cs="Arial"/>
                <w:bCs/>
                <w:sz w:val="22"/>
                <w:lang w:val="sr-Latn-ME"/>
              </w:rPr>
              <w:t>onastal</w:t>
            </w:r>
            <w:r w:rsidR="000000C9" w:rsidRPr="00C01AF3">
              <w:rPr>
                <w:rFonts w:ascii="Times New Roman" w:hAnsi="Times New Roman" w:cs="Arial"/>
                <w:bCs/>
                <w:sz w:val="22"/>
                <w:lang w:val="sr-Latn-ME"/>
              </w:rPr>
              <w:t>e</w:t>
            </w:r>
            <w:r w:rsidRPr="00C01AF3">
              <w:rPr>
                <w:rFonts w:ascii="Times New Roman" w:hAnsi="Times New Roman" w:cs="Arial"/>
                <w:bCs/>
                <w:sz w:val="22"/>
                <w:lang w:val="sr-Latn-ME"/>
              </w:rPr>
              <w:t xml:space="preserve"> hiponatr</w:t>
            </w:r>
            <w:r w:rsidR="00CB49AC" w:rsidRPr="00C01AF3">
              <w:rPr>
                <w:rFonts w:ascii="Times New Roman" w:hAnsi="Times New Roman" w:cs="Arial"/>
                <w:bCs/>
                <w:sz w:val="22"/>
                <w:lang w:val="sr-Latn-ME"/>
              </w:rPr>
              <w:t>ij</w:t>
            </w:r>
            <w:r w:rsidRPr="00C01AF3">
              <w:rPr>
                <w:rFonts w:ascii="Times New Roman" w:hAnsi="Times New Roman" w:cs="Arial"/>
                <w:bCs/>
                <w:sz w:val="22"/>
                <w:lang w:val="sr-Latn-ME"/>
              </w:rPr>
              <w:t>emij</w:t>
            </w:r>
            <w:r w:rsidR="000000C9" w:rsidRPr="00C01AF3">
              <w:rPr>
                <w:rFonts w:ascii="Times New Roman" w:hAnsi="Times New Roman" w:cs="Arial"/>
                <w:bCs/>
                <w:sz w:val="22"/>
                <w:lang w:val="sr-Latn-ME"/>
              </w:rPr>
              <w:t>e</w:t>
            </w:r>
            <w:r w:rsidRPr="00C01AF3">
              <w:rPr>
                <w:rFonts w:ascii="Times New Roman" w:hAnsi="Times New Roman" w:cs="Arial"/>
                <w:bCs/>
                <w:sz w:val="22"/>
                <w:lang w:val="sr-Latn-ME"/>
              </w:rPr>
              <w:t xml:space="preserve"> i hipohloremijsk</w:t>
            </w:r>
            <w:r w:rsidR="000000C9" w:rsidRPr="00C01AF3">
              <w:rPr>
                <w:rFonts w:ascii="Times New Roman" w:hAnsi="Times New Roman" w:cs="Arial"/>
                <w:bCs/>
                <w:sz w:val="22"/>
                <w:lang w:val="sr-Latn-ME"/>
              </w:rPr>
              <w:t>e</w:t>
            </w:r>
            <w:r w:rsidRPr="00C01AF3">
              <w:rPr>
                <w:rFonts w:ascii="Times New Roman" w:hAnsi="Times New Roman" w:cs="Arial"/>
                <w:bCs/>
                <w:sz w:val="22"/>
                <w:lang w:val="sr-Latn-ME"/>
              </w:rPr>
              <w:t xml:space="preserve"> alkaloz</w:t>
            </w:r>
            <w:r w:rsidR="000000C9" w:rsidRPr="00C01AF3">
              <w:rPr>
                <w:rFonts w:ascii="Times New Roman" w:hAnsi="Times New Roman" w:cs="Arial"/>
                <w:bCs/>
                <w:sz w:val="22"/>
                <w:lang w:val="sr-Latn-ME"/>
              </w:rPr>
              <w:t>e</w:t>
            </w:r>
            <w:r w:rsidRPr="00C01AF3">
              <w:rPr>
                <w:rFonts w:ascii="Times New Roman" w:hAnsi="Times New Roman" w:cs="Arial"/>
                <w:bCs/>
                <w:sz w:val="22"/>
                <w:lang w:val="sr-Latn-ME"/>
              </w:rPr>
              <w:t xml:space="preserve"> ili </w:t>
            </w:r>
            <w:r w:rsidR="00EE159B" w:rsidRPr="00C01AF3">
              <w:rPr>
                <w:rFonts w:ascii="Times New Roman" w:hAnsi="Times New Roman" w:cs="Arial"/>
                <w:bCs/>
                <w:sz w:val="22"/>
                <w:lang w:val="sr-Latn-ME"/>
              </w:rPr>
              <w:t xml:space="preserve">da </w:t>
            </w:r>
            <w:r w:rsidRPr="00C01AF3">
              <w:rPr>
                <w:rFonts w:ascii="Times New Roman" w:hAnsi="Times New Roman" w:cs="Arial"/>
                <w:bCs/>
                <w:sz w:val="22"/>
                <w:lang w:val="sr-Latn-ME"/>
              </w:rPr>
              <w:t>pogorša</w:t>
            </w:r>
            <w:r w:rsidR="00EE159B" w:rsidRPr="00C01AF3">
              <w:rPr>
                <w:rFonts w:ascii="Times New Roman" w:hAnsi="Times New Roman" w:cs="Arial"/>
                <w:bCs/>
                <w:sz w:val="22"/>
                <w:lang w:val="sr-Latn-ME"/>
              </w:rPr>
              <w:t>ju</w:t>
            </w:r>
            <w:r w:rsidRPr="00C01AF3">
              <w:rPr>
                <w:rFonts w:ascii="Times New Roman" w:hAnsi="Times New Roman" w:cs="Arial"/>
                <w:bCs/>
                <w:sz w:val="22"/>
                <w:lang w:val="sr-Latn-ME"/>
              </w:rPr>
              <w:t xml:space="preserve"> postojeć</w:t>
            </w:r>
            <w:r w:rsidR="00EE159B" w:rsidRPr="00C01AF3">
              <w:rPr>
                <w:rFonts w:ascii="Times New Roman" w:hAnsi="Times New Roman" w:cs="Arial"/>
                <w:bCs/>
                <w:sz w:val="22"/>
                <w:lang w:val="sr-Latn-ME"/>
              </w:rPr>
              <w:t>u</w:t>
            </w:r>
            <w:r w:rsidRPr="00C01AF3">
              <w:rPr>
                <w:rFonts w:ascii="Times New Roman" w:hAnsi="Times New Roman" w:cs="Arial"/>
                <w:bCs/>
                <w:sz w:val="22"/>
                <w:lang w:val="sr-Latn-ME"/>
              </w:rPr>
              <w:t xml:space="preserve"> hiponatr</w:t>
            </w:r>
            <w:r w:rsidR="00CB49AC" w:rsidRPr="00C01AF3">
              <w:rPr>
                <w:rFonts w:ascii="Times New Roman" w:hAnsi="Times New Roman" w:cs="Arial"/>
                <w:bCs/>
                <w:sz w:val="22"/>
                <w:lang w:val="sr-Latn-ME"/>
              </w:rPr>
              <w:t>ij</w:t>
            </w:r>
            <w:r w:rsidR="00A80696" w:rsidRPr="00C01AF3">
              <w:rPr>
                <w:rFonts w:ascii="Times New Roman" w:hAnsi="Times New Roman" w:cs="Arial"/>
                <w:bCs/>
                <w:sz w:val="22"/>
                <w:lang w:val="sr-Latn-ME"/>
              </w:rPr>
              <w:t>e</w:t>
            </w:r>
            <w:r w:rsidRPr="00C01AF3">
              <w:rPr>
                <w:rFonts w:ascii="Times New Roman" w:hAnsi="Times New Roman" w:cs="Arial"/>
                <w:bCs/>
                <w:sz w:val="22"/>
                <w:lang w:val="sr-Latn-ME"/>
              </w:rPr>
              <w:t>mij</w:t>
            </w:r>
            <w:r w:rsidR="00EE159B" w:rsidRPr="00C01AF3">
              <w:rPr>
                <w:rFonts w:ascii="Times New Roman" w:hAnsi="Times New Roman" w:cs="Arial"/>
                <w:bCs/>
                <w:sz w:val="22"/>
                <w:lang w:val="sr-Latn-ME"/>
              </w:rPr>
              <w:t>u</w:t>
            </w:r>
            <w:r w:rsidR="00573FF7" w:rsidRPr="00C01AF3">
              <w:rPr>
                <w:rFonts w:ascii="Times New Roman" w:hAnsi="Times New Roman" w:cs="Arial"/>
                <w:bCs/>
                <w:sz w:val="22"/>
                <w:lang w:val="sr-Latn-ME"/>
              </w:rPr>
              <w:t xml:space="preserve">. </w:t>
            </w:r>
            <w:r w:rsidR="003309F3" w:rsidRPr="00C01AF3">
              <w:rPr>
                <w:rFonts w:ascii="Times New Roman" w:hAnsi="Times New Roman" w:cs="Arial"/>
                <w:bCs/>
                <w:sz w:val="22"/>
                <w:lang w:val="sr-Latn-ME"/>
              </w:rPr>
              <w:t>Zabilj</w:t>
            </w:r>
            <w:r w:rsidRPr="00C01AF3">
              <w:rPr>
                <w:rFonts w:ascii="Times New Roman" w:hAnsi="Times New Roman" w:cs="Arial"/>
                <w:bCs/>
                <w:sz w:val="22"/>
                <w:lang w:val="sr-Latn-ME"/>
              </w:rPr>
              <w:t>ežena je hiponatr</w:t>
            </w:r>
            <w:r w:rsidR="00CB49AC" w:rsidRPr="00C01AF3">
              <w:rPr>
                <w:rFonts w:ascii="Times New Roman" w:hAnsi="Times New Roman" w:cs="Arial"/>
                <w:bCs/>
                <w:sz w:val="22"/>
                <w:lang w:val="sr-Latn-ME"/>
              </w:rPr>
              <w:t>ij</w:t>
            </w:r>
            <w:r w:rsidRPr="00C01AF3">
              <w:rPr>
                <w:rFonts w:ascii="Times New Roman" w:hAnsi="Times New Roman" w:cs="Arial"/>
                <w:bCs/>
                <w:sz w:val="22"/>
                <w:lang w:val="sr-Latn-ME"/>
              </w:rPr>
              <w:t>emija,</w:t>
            </w:r>
            <w:r w:rsidR="00C37C38"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 praćena neurološkim simptomima (mučnina, progres</w:t>
            </w:r>
            <w:r w:rsidR="00573FF7" w:rsidRPr="00C01AF3">
              <w:rPr>
                <w:rFonts w:ascii="Times New Roman" w:hAnsi="Times New Roman" w:cs="Arial"/>
                <w:bCs/>
                <w:sz w:val="22"/>
                <w:lang w:val="sr-Latn-ME"/>
              </w:rPr>
              <w:t>ivna dezor</w:t>
            </w:r>
            <w:r w:rsidR="002F322F" w:rsidRPr="00C01AF3">
              <w:rPr>
                <w:rFonts w:ascii="Times New Roman" w:hAnsi="Times New Roman" w:cs="Arial"/>
                <w:bCs/>
                <w:sz w:val="22"/>
                <w:lang w:val="sr-Latn-ME"/>
              </w:rPr>
              <w:t>i</w:t>
            </w:r>
            <w:r w:rsidR="00573FF7" w:rsidRPr="00C01AF3">
              <w:rPr>
                <w:rFonts w:ascii="Times New Roman" w:hAnsi="Times New Roman" w:cs="Arial"/>
                <w:bCs/>
                <w:sz w:val="22"/>
                <w:lang w:val="sr-Latn-ME"/>
              </w:rPr>
              <w:t xml:space="preserve">jentacija, apatija). </w:t>
            </w:r>
            <w:r w:rsidRPr="00C01AF3">
              <w:rPr>
                <w:rFonts w:ascii="Times New Roman" w:hAnsi="Times New Roman" w:cs="Arial"/>
                <w:bCs/>
                <w:sz w:val="22"/>
                <w:lang w:val="sr-Latn-ME"/>
              </w:rPr>
              <w:t xml:space="preserve">Terapija </w:t>
            </w:r>
            <w:r w:rsidR="007C4A86" w:rsidRPr="00C01AF3">
              <w:rPr>
                <w:rFonts w:ascii="Times New Roman" w:hAnsi="Times New Roman" w:cs="Arial"/>
                <w:bCs/>
                <w:sz w:val="22"/>
                <w:lang w:val="sr-Latn-ME"/>
              </w:rPr>
              <w:t>hidrohlortiazid</w:t>
            </w:r>
            <w:r w:rsidRPr="00C01AF3">
              <w:rPr>
                <w:rFonts w:ascii="Times New Roman" w:hAnsi="Times New Roman" w:cs="Arial"/>
                <w:bCs/>
                <w:sz w:val="22"/>
                <w:lang w:val="sr-Latn-ME"/>
              </w:rPr>
              <w:t xml:space="preserve">om se može započeti </w:t>
            </w:r>
            <w:r w:rsidR="00CB49AC" w:rsidRPr="00C01AF3">
              <w:rPr>
                <w:rFonts w:ascii="Times New Roman" w:hAnsi="Times New Roman" w:cs="Arial"/>
                <w:bCs/>
                <w:sz w:val="22"/>
                <w:lang w:val="sr-Latn-ME"/>
              </w:rPr>
              <w:t xml:space="preserve">tek </w:t>
            </w:r>
            <w:r w:rsidR="001B7840" w:rsidRPr="00C01AF3">
              <w:rPr>
                <w:rFonts w:ascii="Times New Roman" w:hAnsi="Times New Roman" w:cs="Arial"/>
                <w:bCs/>
                <w:sz w:val="22"/>
                <w:lang w:val="sr-Latn-ME"/>
              </w:rPr>
              <w:t>poslije</w:t>
            </w:r>
            <w:r w:rsidRPr="00C01AF3">
              <w:rPr>
                <w:rFonts w:ascii="Times New Roman" w:hAnsi="Times New Roman" w:cs="Arial"/>
                <w:bCs/>
                <w:sz w:val="22"/>
                <w:lang w:val="sr-Latn-ME"/>
              </w:rPr>
              <w:t xml:space="preserve"> </w:t>
            </w:r>
            <w:r w:rsidR="00573FF7" w:rsidRPr="00C01AF3">
              <w:rPr>
                <w:rFonts w:ascii="Times New Roman" w:hAnsi="Times New Roman" w:cs="Arial"/>
                <w:bCs/>
                <w:sz w:val="22"/>
                <w:lang w:val="sr-Latn-ME"/>
              </w:rPr>
              <w:t>otklanjanja</w:t>
            </w:r>
            <w:r w:rsidRPr="00C01AF3">
              <w:rPr>
                <w:rFonts w:ascii="Times New Roman" w:hAnsi="Times New Roman" w:cs="Arial"/>
                <w:bCs/>
                <w:sz w:val="22"/>
                <w:lang w:val="sr-Latn-ME"/>
              </w:rPr>
              <w:t xml:space="preserve"> postojeće hiponatr</w:t>
            </w:r>
            <w:r w:rsidR="00CB49AC" w:rsidRPr="00C01AF3">
              <w:rPr>
                <w:rFonts w:ascii="Times New Roman" w:hAnsi="Times New Roman" w:cs="Arial"/>
                <w:bCs/>
                <w:sz w:val="22"/>
                <w:lang w:val="sr-Latn-ME"/>
              </w:rPr>
              <w:t>ij</w:t>
            </w:r>
            <w:r w:rsidR="00C37C38" w:rsidRPr="00C01AF3">
              <w:rPr>
                <w:rFonts w:ascii="Times New Roman" w:hAnsi="Times New Roman" w:cs="Arial"/>
                <w:bCs/>
                <w:sz w:val="22"/>
                <w:lang w:val="sr-Latn-ME"/>
              </w:rPr>
              <w:t>e</w:t>
            </w:r>
            <w:r w:rsidR="00573FF7" w:rsidRPr="00C01AF3">
              <w:rPr>
                <w:rFonts w:ascii="Times New Roman" w:hAnsi="Times New Roman" w:cs="Arial"/>
                <w:bCs/>
                <w:sz w:val="22"/>
                <w:lang w:val="sr-Latn-ME"/>
              </w:rPr>
              <w:t xml:space="preserve">mije. </w:t>
            </w:r>
            <w:r w:rsidRPr="00C01AF3">
              <w:rPr>
                <w:rFonts w:ascii="Times New Roman" w:hAnsi="Times New Roman" w:cs="Arial"/>
                <w:bCs/>
                <w:sz w:val="22"/>
                <w:lang w:val="sr-Latn-ME"/>
              </w:rPr>
              <w:t>U slu</w:t>
            </w:r>
            <w:r w:rsidR="004420E9" w:rsidRPr="00C01AF3">
              <w:rPr>
                <w:rFonts w:ascii="Times New Roman" w:hAnsi="Times New Roman" w:cs="Arial"/>
                <w:bCs/>
                <w:sz w:val="22"/>
                <w:lang w:val="sr-Latn-ME"/>
              </w:rPr>
              <w:t xml:space="preserve">čaju da se prilikom terapije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om Exforge HCT razvije </w:t>
            </w:r>
            <w:r w:rsidR="004420E9" w:rsidRPr="00C01AF3">
              <w:rPr>
                <w:rFonts w:ascii="Times New Roman" w:hAnsi="Times New Roman" w:cs="Arial"/>
                <w:bCs/>
                <w:sz w:val="22"/>
                <w:lang w:val="sr-Latn-ME"/>
              </w:rPr>
              <w:t xml:space="preserve">teška i </w:t>
            </w:r>
            <w:r w:rsidRPr="00C01AF3">
              <w:rPr>
                <w:rFonts w:ascii="Times New Roman" w:hAnsi="Times New Roman" w:cs="Arial"/>
                <w:bCs/>
                <w:sz w:val="22"/>
                <w:lang w:val="sr-Latn-ME"/>
              </w:rPr>
              <w:t>nagl</w:t>
            </w:r>
            <w:r w:rsidR="00C37C38" w:rsidRPr="00C01AF3">
              <w:rPr>
                <w:rFonts w:ascii="Times New Roman" w:hAnsi="Times New Roman" w:cs="Arial"/>
                <w:bCs/>
                <w:sz w:val="22"/>
                <w:lang w:val="sr-Latn-ME"/>
              </w:rPr>
              <w:t>a</w:t>
            </w:r>
            <w:r w:rsidRPr="00C01AF3">
              <w:rPr>
                <w:rFonts w:ascii="Times New Roman" w:hAnsi="Times New Roman" w:cs="Arial"/>
                <w:bCs/>
                <w:sz w:val="22"/>
                <w:lang w:val="sr-Latn-ME"/>
              </w:rPr>
              <w:t xml:space="preserve"> hiponatr</w:t>
            </w:r>
            <w:r w:rsidR="00CB49AC" w:rsidRPr="00C01AF3">
              <w:rPr>
                <w:rFonts w:ascii="Times New Roman" w:hAnsi="Times New Roman" w:cs="Arial"/>
                <w:bCs/>
                <w:sz w:val="22"/>
                <w:lang w:val="sr-Latn-ME"/>
              </w:rPr>
              <w:t>ij</w:t>
            </w:r>
            <w:r w:rsidRPr="00C01AF3">
              <w:rPr>
                <w:rFonts w:ascii="Times New Roman" w:hAnsi="Times New Roman" w:cs="Arial"/>
                <w:bCs/>
                <w:sz w:val="22"/>
                <w:lang w:val="sr-Latn-ME"/>
              </w:rPr>
              <w:t>emija, terapiju treba prekinuti do</w:t>
            </w:r>
            <w:r w:rsidR="00A80696" w:rsidRPr="00C01AF3">
              <w:rPr>
                <w:rFonts w:ascii="Times New Roman" w:hAnsi="Times New Roman" w:cs="Arial"/>
                <w:bCs/>
                <w:sz w:val="22"/>
                <w:lang w:val="sr-Latn-ME"/>
              </w:rPr>
              <w:t xml:space="preserve"> </w:t>
            </w:r>
            <w:r w:rsidRPr="00C01AF3">
              <w:rPr>
                <w:rFonts w:ascii="Times New Roman" w:hAnsi="Times New Roman" w:cs="Arial"/>
                <w:bCs/>
                <w:sz w:val="22"/>
                <w:lang w:val="sr-Latn-ME"/>
              </w:rPr>
              <w:t>normalizacije natr</w:t>
            </w:r>
            <w:r w:rsidR="002F322F" w:rsidRPr="00C01AF3">
              <w:rPr>
                <w:rFonts w:ascii="Times New Roman" w:hAnsi="Times New Roman" w:cs="Arial"/>
                <w:bCs/>
                <w:sz w:val="22"/>
                <w:lang w:val="sr-Latn-ME"/>
              </w:rPr>
              <w:t>ij</w:t>
            </w:r>
            <w:r w:rsidRPr="00C01AF3">
              <w:rPr>
                <w:rFonts w:ascii="Times New Roman" w:hAnsi="Times New Roman" w:cs="Arial"/>
                <w:bCs/>
                <w:sz w:val="22"/>
                <w:lang w:val="sr-Latn-ME"/>
              </w:rPr>
              <w:t>emije.</w:t>
            </w:r>
          </w:p>
          <w:p w:rsidR="00C37C38" w:rsidRPr="00C01AF3" w:rsidRDefault="00C37C38" w:rsidP="00B56725">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Svi pacijenti koji primaju tiazidne diuretike</w:t>
            </w:r>
            <w:r w:rsidR="00D971CF"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bi trebalo da </w:t>
            </w:r>
            <w:r w:rsidR="004420E9" w:rsidRPr="00C01AF3">
              <w:rPr>
                <w:rFonts w:ascii="Times New Roman" w:hAnsi="Times New Roman" w:cs="Arial"/>
                <w:bCs/>
                <w:sz w:val="22"/>
                <w:lang w:val="sr-Latn-ME"/>
              </w:rPr>
              <w:t xml:space="preserve">budu </w:t>
            </w:r>
            <w:r w:rsidRPr="00C01AF3">
              <w:rPr>
                <w:rFonts w:ascii="Times New Roman" w:hAnsi="Times New Roman" w:cs="Arial"/>
                <w:bCs/>
                <w:sz w:val="22"/>
                <w:lang w:val="sr-Latn-ME"/>
              </w:rPr>
              <w:t>periodično pra</w:t>
            </w:r>
            <w:r w:rsidR="004420E9" w:rsidRPr="00C01AF3">
              <w:rPr>
                <w:rFonts w:ascii="Times New Roman" w:hAnsi="Times New Roman" w:cs="Arial"/>
                <w:bCs/>
                <w:sz w:val="22"/>
                <w:lang w:val="sr-Latn-ME"/>
              </w:rPr>
              <w:t>ćeni zbog</w:t>
            </w:r>
            <w:r w:rsidRPr="00C01AF3">
              <w:rPr>
                <w:rFonts w:ascii="Times New Roman" w:hAnsi="Times New Roman" w:cs="Arial"/>
                <w:bCs/>
                <w:sz w:val="22"/>
                <w:lang w:val="sr-Latn-ME"/>
              </w:rPr>
              <w:t xml:space="preserve"> elektrolit</w:t>
            </w:r>
            <w:r w:rsidR="004420E9" w:rsidRPr="00C01AF3">
              <w:rPr>
                <w:rFonts w:ascii="Times New Roman" w:hAnsi="Times New Roman" w:cs="Arial"/>
                <w:bCs/>
                <w:sz w:val="22"/>
                <w:lang w:val="sr-Latn-ME"/>
              </w:rPr>
              <w:t>nog disbalansa</w:t>
            </w:r>
            <w:r w:rsidRPr="00C01AF3">
              <w:rPr>
                <w:rFonts w:ascii="Times New Roman" w:hAnsi="Times New Roman" w:cs="Arial"/>
                <w:bCs/>
                <w:sz w:val="22"/>
                <w:lang w:val="sr-Latn-ME"/>
              </w:rPr>
              <w:t>, posebno kalijuma, natrijuma i magnezijuma.</w:t>
            </w:r>
          </w:p>
          <w:p w:rsidR="00C37C38" w:rsidRPr="00C01AF3" w:rsidRDefault="00C37C38" w:rsidP="00C37C38">
            <w:pPr>
              <w:pStyle w:val="Header"/>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Poremećaj funkcije bubrega</w:t>
            </w:r>
          </w:p>
          <w:p w:rsidR="00A80696" w:rsidRPr="00C01AF3" w:rsidRDefault="00A80696" w:rsidP="00C37C38">
            <w:pPr>
              <w:pStyle w:val="Header"/>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Tiazidni diuretici mogu ubrzati </w:t>
            </w:r>
            <w:r w:rsidR="00774E34" w:rsidRPr="00C01AF3">
              <w:rPr>
                <w:rFonts w:ascii="Times New Roman" w:hAnsi="Times New Roman" w:cs="Arial"/>
                <w:bCs/>
                <w:sz w:val="22"/>
                <w:lang w:val="sr-Latn-ME"/>
              </w:rPr>
              <w:t>nastanak</w:t>
            </w:r>
            <w:r w:rsidRPr="00C01AF3">
              <w:rPr>
                <w:rFonts w:ascii="Times New Roman" w:hAnsi="Times New Roman" w:cs="Arial"/>
                <w:bCs/>
                <w:sz w:val="22"/>
                <w:lang w:val="sr-Latn-ME"/>
              </w:rPr>
              <w:t xml:space="preserve"> azotemij</w:t>
            </w:r>
            <w:r w:rsidR="002C61C3" w:rsidRPr="00C01AF3">
              <w:rPr>
                <w:rFonts w:ascii="Times New Roman" w:hAnsi="Times New Roman" w:cs="Arial"/>
                <w:bCs/>
                <w:sz w:val="22"/>
                <w:lang w:val="sr-Latn-ME"/>
              </w:rPr>
              <w:t>e</w:t>
            </w:r>
            <w:r w:rsidRPr="00C01AF3">
              <w:rPr>
                <w:rFonts w:ascii="Times New Roman" w:hAnsi="Times New Roman" w:cs="Arial"/>
                <w:bCs/>
                <w:sz w:val="22"/>
                <w:lang w:val="sr-Latn-ME"/>
              </w:rPr>
              <w:t xml:space="preserve"> kod pacijenata sa hroni</w:t>
            </w:r>
            <w:r w:rsidR="002C61C3" w:rsidRPr="00C01AF3">
              <w:rPr>
                <w:rFonts w:ascii="Times New Roman" w:hAnsi="Times New Roman" w:cs="Arial"/>
                <w:bCs/>
                <w:sz w:val="22"/>
                <w:lang w:val="sr-Latn-ME"/>
              </w:rPr>
              <w:t xml:space="preserve">čnom bolešću bubrega. Kada se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 Exforge HCT koristi kod pacijenata sa poremećajem funkcije bubrega</w:t>
            </w:r>
            <w:r w:rsidR="002C61C3" w:rsidRPr="00C01AF3">
              <w:rPr>
                <w:rFonts w:ascii="Times New Roman" w:hAnsi="Times New Roman" w:cs="Arial"/>
                <w:bCs/>
                <w:sz w:val="22"/>
                <w:lang w:val="sr-Latn-ME"/>
              </w:rPr>
              <w:t>,</w:t>
            </w:r>
            <w:r w:rsidRPr="00C01AF3">
              <w:rPr>
                <w:rFonts w:ascii="Times New Roman" w:hAnsi="Times New Roman" w:cs="Arial"/>
                <w:bCs/>
                <w:sz w:val="22"/>
                <w:lang w:val="sr-Latn-ME"/>
              </w:rPr>
              <w:t xml:space="preserve">  preporučuje se periodično praćenje </w:t>
            </w:r>
            <w:r w:rsidR="002C61C3" w:rsidRPr="00C01AF3">
              <w:rPr>
                <w:rFonts w:ascii="Times New Roman" w:hAnsi="Times New Roman" w:cs="Arial"/>
                <w:bCs/>
                <w:sz w:val="22"/>
                <w:lang w:val="sr-Latn-ME"/>
              </w:rPr>
              <w:t xml:space="preserve">serumskih </w:t>
            </w:r>
            <w:r w:rsidRPr="00C01AF3">
              <w:rPr>
                <w:rFonts w:ascii="Times New Roman" w:hAnsi="Times New Roman" w:cs="Arial"/>
                <w:bCs/>
                <w:sz w:val="22"/>
                <w:lang w:val="sr-Latn-ME"/>
              </w:rPr>
              <w:t>elektrolita (uključujući kalijum), kreatinin</w:t>
            </w:r>
            <w:r w:rsidR="002C61C3" w:rsidRPr="00C01AF3">
              <w:rPr>
                <w:rFonts w:ascii="Times New Roman" w:hAnsi="Times New Roman" w:cs="Arial"/>
                <w:bCs/>
                <w:sz w:val="22"/>
                <w:lang w:val="sr-Latn-ME"/>
              </w:rPr>
              <w:t>a</w:t>
            </w:r>
            <w:r w:rsidRPr="00C01AF3">
              <w:rPr>
                <w:rFonts w:ascii="Times New Roman" w:hAnsi="Times New Roman" w:cs="Arial"/>
                <w:bCs/>
                <w:sz w:val="22"/>
                <w:lang w:val="sr-Latn-ME"/>
              </w:rPr>
              <w:t xml:space="preserve"> i</w:t>
            </w:r>
            <w:r w:rsidR="002C61C3" w:rsidRPr="00C01AF3">
              <w:rPr>
                <w:rFonts w:ascii="Times New Roman" w:hAnsi="Times New Roman" w:cs="Arial"/>
                <w:bCs/>
                <w:sz w:val="22"/>
                <w:lang w:val="sr-Latn-ME"/>
              </w:rPr>
              <w:t xml:space="preserve">  </w:t>
            </w:r>
            <w:r w:rsidRPr="00C01AF3">
              <w:rPr>
                <w:rFonts w:ascii="Times New Roman" w:hAnsi="Times New Roman" w:cs="Arial"/>
                <w:bCs/>
                <w:sz w:val="22"/>
                <w:lang w:val="sr-Latn-ME"/>
              </w:rPr>
              <w:t>nivo</w:t>
            </w:r>
            <w:r w:rsidR="002C61C3" w:rsidRPr="00C01AF3">
              <w:rPr>
                <w:rFonts w:ascii="Times New Roman" w:hAnsi="Times New Roman" w:cs="Arial"/>
                <w:bCs/>
                <w:sz w:val="22"/>
                <w:lang w:val="sr-Latn-ME"/>
              </w:rPr>
              <w:t>a</w:t>
            </w:r>
            <w:r w:rsidRPr="00C01AF3">
              <w:rPr>
                <w:rFonts w:ascii="Times New Roman" w:hAnsi="Times New Roman" w:cs="Arial"/>
                <w:bCs/>
                <w:sz w:val="22"/>
                <w:lang w:val="sr-Latn-ME"/>
              </w:rPr>
              <w:t xml:space="preserve"> mokraćne kiseline. Exforge HCT je kontraind</w:t>
            </w:r>
            <w:r w:rsidR="00625A0F" w:rsidRPr="00C01AF3">
              <w:rPr>
                <w:rFonts w:ascii="Times New Roman" w:hAnsi="Times New Roman" w:cs="Arial"/>
                <w:bCs/>
                <w:sz w:val="22"/>
                <w:lang w:val="sr-Latn-ME"/>
              </w:rPr>
              <w:t>i</w:t>
            </w:r>
            <w:r w:rsidR="00434DFA" w:rsidRPr="00C01AF3">
              <w:rPr>
                <w:rFonts w:ascii="Times New Roman" w:hAnsi="Times New Roman" w:cs="Arial"/>
                <w:bCs/>
                <w:sz w:val="22"/>
                <w:lang w:val="sr-Latn-ME"/>
              </w:rPr>
              <w:t>kovan kod pacije</w:t>
            </w:r>
            <w:r w:rsidRPr="00C01AF3">
              <w:rPr>
                <w:rFonts w:ascii="Times New Roman" w:hAnsi="Times New Roman" w:cs="Arial"/>
                <w:bCs/>
                <w:sz w:val="22"/>
                <w:lang w:val="sr-Latn-ME"/>
              </w:rPr>
              <w:t>nata sa teškim oštećenjem bubrega</w:t>
            </w:r>
            <w:r w:rsidR="00434DFA" w:rsidRPr="00C01AF3">
              <w:rPr>
                <w:rFonts w:ascii="Times New Roman" w:hAnsi="Times New Roman" w:cs="Arial"/>
                <w:bCs/>
                <w:sz w:val="22"/>
                <w:lang w:val="sr-Latn-ME"/>
              </w:rPr>
              <w:t>, anurijom</w:t>
            </w:r>
            <w:r w:rsidRPr="00C01AF3">
              <w:rPr>
                <w:rFonts w:ascii="Times New Roman" w:hAnsi="Times New Roman" w:cs="Arial"/>
                <w:bCs/>
                <w:sz w:val="22"/>
                <w:lang w:val="sr-Latn-ME"/>
              </w:rPr>
              <w:t xml:space="preserve"> i k</w:t>
            </w:r>
            <w:r w:rsidR="002F322F" w:rsidRPr="00C01AF3">
              <w:rPr>
                <w:rFonts w:ascii="Times New Roman" w:hAnsi="Times New Roman" w:cs="Arial"/>
                <w:bCs/>
                <w:sz w:val="22"/>
                <w:lang w:val="sr-Latn-ME"/>
              </w:rPr>
              <w:t>od pacijenata na dijalizi (</w:t>
            </w:r>
            <w:r w:rsidR="00BD0291" w:rsidRPr="00C01AF3">
              <w:rPr>
                <w:rFonts w:ascii="Times New Roman" w:hAnsi="Times New Roman" w:cs="Arial"/>
                <w:bCs/>
                <w:sz w:val="22"/>
                <w:lang w:val="sr-Latn-ME"/>
              </w:rPr>
              <w:t>vidjet</w:t>
            </w:r>
            <w:r w:rsidR="00434DFA" w:rsidRPr="00C01AF3">
              <w:rPr>
                <w:rFonts w:ascii="Times New Roman" w:hAnsi="Times New Roman" w:cs="Arial"/>
                <w:bCs/>
                <w:sz w:val="22"/>
                <w:lang w:val="sr-Latn-ME"/>
              </w:rPr>
              <w:t xml:space="preserve">i </w:t>
            </w:r>
            <w:r w:rsidR="00BD0291" w:rsidRPr="00C01AF3">
              <w:rPr>
                <w:rFonts w:ascii="Times New Roman" w:hAnsi="Times New Roman" w:cs="Arial"/>
                <w:bCs/>
                <w:sz w:val="22"/>
                <w:lang w:val="sr-Latn-ME"/>
              </w:rPr>
              <w:t>odjelj</w:t>
            </w:r>
            <w:r w:rsidRPr="00C01AF3">
              <w:rPr>
                <w:rFonts w:ascii="Times New Roman" w:hAnsi="Times New Roman" w:cs="Arial"/>
                <w:bCs/>
                <w:sz w:val="22"/>
                <w:lang w:val="sr-Latn-ME"/>
              </w:rPr>
              <w:t>ak 4.3)</w:t>
            </w:r>
            <w:r w:rsidR="00147462" w:rsidRPr="00C01AF3">
              <w:rPr>
                <w:rFonts w:ascii="Times New Roman" w:hAnsi="Times New Roman" w:cs="Arial"/>
                <w:bCs/>
                <w:sz w:val="22"/>
                <w:lang w:val="sr-Latn-ME"/>
              </w:rPr>
              <w:t>.</w:t>
            </w:r>
          </w:p>
          <w:p w:rsidR="00C37C38" w:rsidRPr="00C01AF3" w:rsidRDefault="00A80696" w:rsidP="00C37C38">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N</w:t>
            </w:r>
            <w:r w:rsidR="00796C95" w:rsidRPr="00C01AF3">
              <w:rPr>
                <w:rFonts w:ascii="Times New Roman" w:hAnsi="Times New Roman" w:cs="Arial"/>
                <w:bCs/>
                <w:sz w:val="22"/>
                <w:lang w:val="sr-Latn-ME"/>
              </w:rPr>
              <w:t>ije potrebno</w:t>
            </w:r>
            <w:r w:rsidRPr="00C01AF3">
              <w:rPr>
                <w:rFonts w:ascii="Times New Roman" w:hAnsi="Times New Roman" w:cs="Arial"/>
                <w:bCs/>
                <w:sz w:val="22"/>
                <w:lang w:val="sr-Latn-ME"/>
              </w:rPr>
              <w:t xml:space="preserve"> podešavanje </w:t>
            </w:r>
            <w:r w:rsidR="00796C95" w:rsidRPr="00C01AF3">
              <w:rPr>
                <w:rFonts w:ascii="Times New Roman" w:hAnsi="Times New Roman" w:cs="Arial"/>
                <w:bCs/>
                <w:sz w:val="22"/>
                <w:lang w:val="sr-Latn-ME"/>
              </w:rPr>
              <w:t xml:space="preserve"> doze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a Exforge HCT kod pacijenata sa blagim do </w:t>
            </w:r>
            <w:r w:rsidR="00BD0291" w:rsidRPr="00C01AF3">
              <w:rPr>
                <w:rFonts w:ascii="Times New Roman" w:hAnsi="Times New Roman" w:cs="Arial"/>
                <w:bCs/>
                <w:sz w:val="22"/>
                <w:lang w:val="sr-Latn-ME"/>
              </w:rPr>
              <w:t>umjeren</w:t>
            </w:r>
            <w:r w:rsidRPr="00C01AF3">
              <w:rPr>
                <w:rFonts w:ascii="Times New Roman" w:hAnsi="Times New Roman" w:cs="Arial"/>
                <w:bCs/>
                <w:sz w:val="22"/>
                <w:lang w:val="sr-Latn-ME"/>
              </w:rPr>
              <w:t>im poremećajem funkcij</w:t>
            </w:r>
            <w:r w:rsidR="00595314" w:rsidRPr="00C01AF3">
              <w:rPr>
                <w:rFonts w:ascii="Times New Roman" w:hAnsi="Times New Roman" w:cs="Arial"/>
                <w:bCs/>
                <w:sz w:val="22"/>
                <w:lang w:val="sr-Latn-ME"/>
              </w:rPr>
              <w:t xml:space="preserve">e bubrega </w:t>
            </w:r>
            <w:r w:rsidR="00C37C38" w:rsidRPr="00C01AF3">
              <w:rPr>
                <w:rFonts w:ascii="Times New Roman" w:hAnsi="Times New Roman" w:cs="Arial"/>
                <w:bCs/>
                <w:sz w:val="22"/>
                <w:lang w:val="sr-Latn-ME"/>
              </w:rPr>
              <w:t>(GFR</w:t>
            </w:r>
            <w:r w:rsidR="00090171" w:rsidRPr="00C01AF3">
              <w:rPr>
                <w:rFonts w:ascii="Times New Roman" w:hAnsi="Times New Roman"/>
                <w:bCs/>
                <w:sz w:val="22"/>
                <w:lang w:val="sr-Latn-ME"/>
              </w:rPr>
              <w:t>≥</w:t>
            </w:r>
            <w:r w:rsidR="00C37C38" w:rsidRPr="00C01AF3">
              <w:rPr>
                <w:rFonts w:ascii="Times New Roman" w:hAnsi="Times New Roman" w:cs="Arial"/>
                <w:bCs/>
                <w:sz w:val="22"/>
                <w:lang w:val="sr-Latn-ME"/>
              </w:rPr>
              <w:t xml:space="preserve"> 30 ml /min/1,73 m</w:t>
            </w:r>
            <w:r w:rsidR="00C37C38" w:rsidRPr="00C01AF3">
              <w:rPr>
                <w:rFonts w:ascii="Times New Roman" w:hAnsi="Times New Roman" w:cs="Arial"/>
                <w:bCs/>
                <w:sz w:val="22"/>
                <w:vertAlign w:val="superscript"/>
                <w:lang w:val="sr-Latn-ME"/>
              </w:rPr>
              <w:t>2</w:t>
            </w:r>
            <w:r w:rsidR="00C37C38" w:rsidRPr="00C01AF3">
              <w:rPr>
                <w:rFonts w:ascii="Times New Roman" w:hAnsi="Times New Roman" w:cs="Arial"/>
                <w:bCs/>
                <w:sz w:val="22"/>
                <w:lang w:val="sr-Latn-ME"/>
              </w:rPr>
              <w:t xml:space="preserve">). </w:t>
            </w:r>
          </w:p>
          <w:p w:rsidR="00B56725" w:rsidRPr="00C01AF3" w:rsidRDefault="00B56725" w:rsidP="00090171">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u w:val="single"/>
                <w:lang w:val="sr-Latn-ME"/>
              </w:rPr>
              <w:t>Stenoza renalne arterije</w:t>
            </w:r>
          </w:p>
          <w:p w:rsidR="0087711B" w:rsidRPr="00C01AF3" w:rsidRDefault="00E0322A" w:rsidP="00090171">
            <w:pPr>
              <w:pStyle w:val="Header"/>
              <w:tabs>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Ex</w:t>
            </w:r>
            <w:r w:rsidR="007D2B54" w:rsidRPr="00C01AF3">
              <w:rPr>
                <w:rFonts w:ascii="Times New Roman" w:hAnsi="Times New Roman" w:cs="Arial"/>
                <w:bCs/>
                <w:sz w:val="22"/>
                <w:lang w:val="sr-Latn-ME"/>
              </w:rPr>
              <w:t>f</w:t>
            </w:r>
            <w:r w:rsidRPr="00C01AF3">
              <w:rPr>
                <w:rFonts w:ascii="Times New Roman" w:hAnsi="Times New Roman" w:cs="Arial"/>
                <w:bCs/>
                <w:sz w:val="22"/>
                <w:lang w:val="sr-Latn-ME"/>
              </w:rPr>
              <w:t>orge</w:t>
            </w:r>
            <w:r w:rsidR="00D41C5A" w:rsidRPr="00C01AF3">
              <w:rPr>
                <w:rFonts w:ascii="Times New Roman" w:hAnsi="Times New Roman" w:cs="Arial"/>
                <w:bCs/>
                <w:sz w:val="22"/>
                <w:lang w:val="sr-Latn-ME"/>
              </w:rPr>
              <w:t xml:space="preserve"> HCT</w:t>
            </w:r>
            <w:r w:rsidRPr="00C01AF3">
              <w:rPr>
                <w:rFonts w:ascii="Times New Roman" w:hAnsi="Times New Roman" w:cs="Arial"/>
                <w:bCs/>
                <w:sz w:val="22"/>
                <w:lang w:val="sr-Latn-ME"/>
              </w:rPr>
              <w:t xml:space="preserve"> treba </w:t>
            </w:r>
            <w:r w:rsidR="00D41C5A" w:rsidRPr="00C01AF3">
              <w:rPr>
                <w:rFonts w:ascii="Times New Roman" w:hAnsi="Times New Roman" w:cs="Arial"/>
                <w:bCs/>
                <w:sz w:val="22"/>
                <w:lang w:val="sr-Latn-ME"/>
              </w:rPr>
              <w:t xml:space="preserve">oprezno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 xml:space="preserve">njivati </w:t>
            </w:r>
            <w:r w:rsidR="00D41C5A" w:rsidRPr="00C01AF3">
              <w:rPr>
                <w:rFonts w:ascii="Times New Roman" w:hAnsi="Times New Roman" w:cs="Arial"/>
                <w:bCs/>
                <w:sz w:val="22"/>
                <w:lang w:val="sr-Latn-ME"/>
              </w:rPr>
              <w:t>u terapiji</w:t>
            </w:r>
            <w:r w:rsidR="00090171" w:rsidRPr="00C01AF3">
              <w:rPr>
                <w:rFonts w:ascii="Times New Roman" w:hAnsi="Times New Roman" w:cs="Arial"/>
                <w:bCs/>
                <w:sz w:val="22"/>
                <w:lang w:val="sr-Latn-ME"/>
              </w:rPr>
              <w:t xml:space="preserve"> hipertenzije </w:t>
            </w:r>
            <w:r w:rsidRPr="00C01AF3">
              <w:rPr>
                <w:rFonts w:ascii="Times New Roman" w:hAnsi="Times New Roman" w:cs="Arial"/>
                <w:bCs/>
                <w:sz w:val="22"/>
                <w:lang w:val="sr-Latn-ME"/>
              </w:rPr>
              <w:t xml:space="preserve">kod pacijenata sa </w:t>
            </w:r>
            <w:r w:rsidR="0087711B" w:rsidRPr="00C01AF3">
              <w:rPr>
                <w:rFonts w:ascii="Times New Roman" w:hAnsi="Times New Roman" w:cs="Arial"/>
                <w:bCs/>
                <w:sz w:val="22"/>
                <w:lang w:val="sr-Latn-ME"/>
              </w:rPr>
              <w:t>jednostranom ili obostranom stenozom bubrežne arterije ili stenozom bubrežne arterije kod postojanja samo jednog bubrega</w:t>
            </w:r>
            <w:r w:rsidR="00D41C5A" w:rsidRPr="00C01AF3">
              <w:rPr>
                <w:rFonts w:ascii="Times New Roman" w:hAnsi="Times New Roman" w:cs="Arial"/>
                <w:bCs/>
                <w:sz w:val="22"/>
                <w:lang w:val="sr-Latn-ME"/>
              </w:rPr>
              <w:t>, s</w:t>
            </w:r>
            <w:r w:rsidR="0087711B" w:rsidRPr="00C01AF3">
              <w:rPr>
                <w:rFonts w:ascii="Times New Roman" w:hAnsi="Times New Roman" w:cs="Arial"/>
                <w:bCs/>
                <w:sz w:val="22"/>
                <w:lang w:val="sr-Latn-ME"/>
              </w:rPr>
              <w:t xml:space="preserve"> obzirom da </w:t>
            </w:r>
            <w:r w:rsidR="00D41C5A" w:rsidRPr="00C01AF3">
              <w:rPr>
                <w:rFonts w:ascii="Times New Roman" w:hAnsi="Times New Roman" w:cs="Arial"/>
                <w:bCs/>
                <w:sz w:val="22"/>
                <w:lang w:val="sr-Latn-ME"/>
              </w:rPr>
              <w:t xml:space="preserve">se </w:t>
            </w:r>
            <w:r w:rsidR="0087711B" w:rsidRPr="00C01AF3">
              <w:rPr>
                <w:rFonts w:ascii="Times New Roman" w:hAnsi="Times New Roman" w:cs="Arial"/>
                <w:bCs/>
                <w:sz w:val="22"/>
                <w:lang w:val="sr-Latn-ME"/>
              </w:rPr>
              <w:t xml:space="preserve">kod ovih </w:t>
            </w:r>
            <w:r w:rsidR="00D82E55" w:rsidRPr="00C01AF3">
              <w:rPr>
                <w:rFonts w:ascii="Times New Roman" w:hAnsi="Times New Roman" w:cs="Arial"/>
                <w:bCs/>
                <w:sz w:val="22"/>
                <w:lang w:val="sr-Latn-ME"/>
              </w:rPr>
              <w:t>pacijenata</w:t>
            </w:r>
            <w:r w:rsidR="0087711B" w:rsidRPr="00C01AF3">
              <w:rPr>
                <w:rFonts w:ascii="Times New Roman" w:hAnsi="Times New Roman" w:cs="Arial"/>
                <w:bCs/>
                <w:sz w:val="22"/>
                <w:lang w:val="sr-Latn-ME"/>
              </w:rPr>
              <w:t xml:space="preserve"> mo</w:t>
            </w:r>
            <w:r w:rsidR="00CB49AC" w:rsidRPr="00C01AF3">
              <w:rPr>
                <w:rFonts w:ascii="Times New Roman" w:hAnsi="Times New Roman" w:cs="Arial"/>
                <w:bCs/>
                <w:sz w:val="22"/>
                <w:lang w:val="sr-Latn-ME"/>
              </w:rPr>
              <w:t xml:space="preserve">že povisiti </w:t>
            </w:r>
            <w:r w:rsidR="00D41C5A" w:rsidRPr="00C01AF3">
              <w:rPr>
                <w:rFonts w:ascii="Times New Roman" w:hAnsi="Times New Roman" w:cs="Arial"/>
                <w:bCs/>
                <w:sz w:val="22"/>
                <w:lang w:val="sr-Latn-ME"/>
              </w:rPr>
              <w:t>nivo</w:t>
            </w:r>
            <w:r w:rsidR="00CB49AC" w:rsidRPr="00C01AF3">
              <w:rPr>
                <w:rFonts w:ascii="Times New Roman" w:hAnsi="Times New Roman" w:cs="Arial"/>
                <w:bCs/>
                <w:sz w:val="22"/>
                <w:lang w:val="sr-Latn-ME"/>
              </w:rPr>
              <w:t>i</w:t>
            </w:r>
            <w:r w:rsidR="0087711B" w:rsidRPr="00C01AF3">
              <w:rPr>
                <w:rFonts w:ascii="Times New Roman" w:hAnsi="Times New Roman" w:cs="Arial"/>
                <w:bCs/>
                <w:sz w:val="22"/>
                <w:lang w:val="sr-Latn-ME"/>
              </w:rPr>
              <w:t xml:space="preserve"> ure</w:t>
            </w:r>
            <w:r w:rsidR="00D41C5A" w:rsidRPr="00C01AF3">
              <w:rPr>
                <w:rFonts w:ascii="Times New Roman" w:hAnsi="Times New Roman" w:cs="Arial"/>
                <w:bCs/>
                <w:sz w:val="22"/>
                <w:lang w:val="sr-Latn-ME"/>
              </w:rPr>
              <w:t>e</w:t>
            </w:r>
            <w:r w:rsidR="0087711B" w:rsidRPr="00C01AF3">
              <w:rPr>
                <w:rFonts w:ascii="Times New Roman" w:hAnsi="Times New Roman" w:cs="Arial"/>
                <w:bCs/>
                <w:sz w:val="22"/>
                <w:lang w:val="sr-Latn-ME"/>
              </w:rPr>
              <w:t xml:space="preserve"> u krvi i serumsk</w:t>
            </w:r>
            <w:r w:rsidR="00CB49AC" w:rsidRPr="00C01AF3">
              <w:rPr>
                <w:rFonts w:ascii="Times New Roman" w:hAnsi="Times New Roman" w:cs="Arial"/>
                <w:bCs/>
                <w:sz w:val="22"/>
                <w:lang w:val="sr-Latn-ME"/>
              </w:rPr>
              <w:t>og</w:t>
            </w:r>
            <w:r w:rsidR="0087711B" w:rsidRPr="00C01AF3">
              <w:rPr>
                <w:rFonts w:ascii="Times New Roman" w:hAnsi="Times New Roman" w:cs="Arial"/>
                <w:bCs/>
                <w:sz w:val="22"/>
                <w:lang w:val="sr-Latn-ME"/>
              </w:rPr>
              <w:t xml:space="preserve"> kreatinin</w:t>
            </w:r>
            <w:r w:rsidR="00CB49AC" w:rsidRPr="00C01AF3">
              <w:rPr>
                <w:rFonts w:ascii="Times New Roman" w:hAnsi="Times New Roman" w:cs="Arial"/>
                <w:bCs/>
                <w:sz w:val="22"/>
                <w:lang w:val="sr-Latn-ME"/>
              </w:rPr>
              <w:t>a</w:t>
            </w:r>
            <w:r w:rsidR="0087711B" w:rsidRPr="00C01AF3">
              <w:rPr>
                <w:rFonts w:ascii="Times New Roman" w:hAnsi="Times New Roman" w:cs="Arial"/>
                <w:bCs/>
                <w:sz w:val="22"/>
                <w:lang w:val="sr-Latn-ME"/>
              </w:rPr>
              <w:t>.</w:t>
            </w:r>
          </w:p>
          <w:p w:rsidR="00B56725" w:rsidRPr="00C01AF3" w:rsidRDefault="00B56725" w:rsidP="00090171">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Transplantacija bubrega</w:t>
            </w:r>
          </w:p>
          <w:p w:rsidR="00B56725" w:rsidRPr="00C01AF3" w:rsidRDefault="00B56725" w:rsidP="00090171">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Nema dovoljnog iskustva sa </w:t>
            </w:r>
            <w:r w:rsidR="006A1297" w:rsidRPr="00C01AF3">
              <w:rPr>
                <w:rFonts w:ascii="Times New Roman" w:hAnsi="Times New Roman" w:cs="Arial"/>
                <w:bCs/>
                <w:sz w:val="22"/>
                <w:lang w:val="sr-Latn-ME"/>
              </w:rPr>
              <w:t>bezbjedn</w:t>
            </w:r>
            <w:r w:rsidRPr="00C01AF3">
              <w:rPr>
                <w:rFonts w:ascii="Times New Roman" w:hAnsi="Times New Roman" w:cs="Arial"/>
                <w:bCs/>
                <w:sz w:val="22"/>
                <w:lang w:val="sr-Latn-ME"/>
              </w:rPr>
              <w:t xml:space="preserve">om </w:t>
            </w:r>
            <w:r w:rsidR="00BD0291" w:rsidRPr="00C01AF3">
              <w:rPr>
                <w:rFonts w:ascii="Times New Roman" w:hAnsi="Times New Roman" w:cs="Arial"/>
                <w:bCs/>
                <w:sz w:val="22"/>
                <w:lang w:val="sr-Latn-ME"/>
              </w:rPr>
              <w:t>primje</w:t>
            </w:r>
            <w:r w:rsidR="002E4842" w:rsidRPr="00C01AF3">
              <w:rPr>
                <w:rFonts w:ascii="Times New Roman" w:hAnsi="Times New Roman" w:cs="Arial"/>
                <w:bCs/>
                <w:sz w:val="22"/>
                <w:lang w:val="sr-Latn-ME"/>
              </w:rPr>
              <w:t>nom</w:t>
            </w:r>
            <w:r w:rsidRPr="00C01AF3">
              <w:rPr>
                <w:rFonts w:ascii="Times New Roman" w:hAnsi="Times New Roman" w:cs="Arial"/>
                <w:bCs/>
                <w:sz w:val="22"/>
                <w:lang w:val="sr-Latn-ME"/>
              </w:rPr>
              <w:t xml:space="preserv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a </w:t>
            </w:r>
            <w:r w:rsidRPr="00C01AF3">
              <w:rPr>
                <w:rFonts w:ascii="Times New Roman" w:hAnsi="Times New Roman" w:cs="Arial"/>
                <w:sz w:val="22"/>
                <w:lang w:val="sr-Latn-ME"/>
              </w:rPr>
              <w:t>Exforge</w:t>
            </w:r>
            <w:r w:rsidR="002E4842" w:rsidRPr="00C01AF3">
              <w:rPr>
                <w:rFonts w:ascii="Times New Roman" w:hAnsi="Times New Roman" w:cs="Arial"/>
                <w:sz w:val="22"/>
                <w:lang w:val="sr-Latn-ME"/>
              </w:rPr>
              <w:t xml:space="preserve"> HCT</w:t>
            </w:r>
            <w:r w:rsidRPr="00C01AF3">
              <w:rPr>
                <w:rFonts w:ascii="Times New Roman" w:hAnsi="Times New Roman" w:cs="Arial"/>
                <w:bCs/>
                <w:sz w:val="22"/>
                <w:lang w:val="sr-Latn-ME"/>
              </w:rPr>
              <w:t xml:space="preserve"> kod pacijenata </w:t>
            </w:r>
            <w:r w:rsidR="00CB49AC" w:rsidRPr="00C01AF3">
              <w:rPr>
                <w:rFonts w:ascii="Times New Roman" w:hAnsi="Times New Roman" w:cs="Arial"/>
                <w:bCs/>
                <w:sz w:val="22"/>
                <w:lang w:val="sr-Latn-ME"/>
              </w:rPr>
              <w:t xml:space="preserve">kojima je </w:t>
            </w:r>
            <w:r w:rsidRPr="00C01AF3">
              <w:rPr>
                <w:rFonts w:ascii="Times New Roman" w:hAnsi="Times New Roman" w:cs="Arial"/>
                <w:bCs/>
                <w:sz w:val="22"/>
                <w:lang w:val="sr-Latn-ME"/>
              </w:rPr>
              <w:t>nedavno obavljen</w:t>
            </w:r>
            <w:r w:rsidR="00CB49AC" w:rsidRPr="00C01AF3">
              <w:rPr>
                <w:rFonts w:ascii="Times New Roman" w:hAnsi="Times New Roman" w:cs="Arial"/>
                <w:bCs/>
                <w:sz w:val="22"/>
                <w:lang w:val="sr-Latn-ME"/>
              </w:rPr>
              <w:t>a</w:t>
            </w:r>
            <w:r w:rsidRPr="00C01AF3">
              <w:rPr>
                <w:rFonts w:ascii="Times New Roman" w:hAnsi="Times New Roman" w:cs="Arial"/>
                <w:bCs/>
                <w:sz w:val="22"/>
                <w:lang w:val="sr-Latn-ME"/>
              </w:rPr>
              <w:t xml:space="preserve"> transplantacij</w:t>
            </w:r>
            <w:r w:rsidR="00CB49AC" w:rsidRPr="00C01AF3">
              <w:rPr>
                <w:rFonts w:ascii="Times New Roman" w:hAnsi="Times New Roman" w:cs="Arial"/>
                <w:bCs/>
                <w:sz w:val="22"/>
                <w:lang w:val="sr-Latn-ME"/>
              </w:rPr>
              <w:t>a</w:t>
            </w:r>
            <w:r w:rsidRPr="00C01AF3">
              <w:rPr>
                <w:rFonts w:ascii="Times New Roman" w:hAnsi="Times New Roman" w:cs="Arial"/>
                <w:bCs/>
                <w:sz w:val="22"/>
                <w:lang w:val="sr-Latn-ME"/>
              </w:rPr>
              <w:t xml:space="preserve"> bubrega.</w:t>
            </w:r>
          </w:p>
          <w:p w:rsidR="00F960B1" w:rsidRPr="00C01AF3" w:rsidRDefault="002808BC" w:rsidP="00F960B1">
            <w:pPr>
              <w:pStyle w:val="Header"/>
              <w:tabs>
                <w:tab w:val="clear" w:pos="4536"/>
                <w:tab w:val="clear" w:pos="9072"/>
                <w:tab w:val="left" w:pos="284"/>
              </w:tabs>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 xml:space="preserve">Poremećaj funkcije </w:t>
            </w:r>
            <w:r w:rsidR="00B56725" w:rsidRPr="00C01AF3">
              <w:rPr>
                <w:rFonts w:ascii="Times New Roman" w:hAnsi="Times New Roman" w:cs="Arial"/>
                <w:bCs/>
                <w:sz w:val="22"/>
                <w:u w:val="single"/>
                <w:lang w:val="sr-Latn-ME"/>
              </w:rPr>
              <w:t xml:space="preserve"> jetre</w:t>
            </w:r>
          </w:p>
          <w:p w:rsidR="00834DBB" w:rsidRPr="00C01AF3" w:rsidRDefault="00B56725" w:rsidP="00F960B1">
            <w:pPr>
              <w:pStyle w:val="Header"/>
              <w:tabs>
                <w:tab w:val="clear" w:pos="4536"/>
                <w:tab w:val="clear" w:pos="9072"/>
                <w:tab w:val="left" w:pos="284"/>
              </w:tabs>
              <w:jc w:val="left"/>
              <w:rPr>
                <w:rFonts w:ascii="Times New Roman" w:hAnsi="Times New Roman" w:cs="Arial"/>
                <w:bCs/>
                <w:sz w:val="22"/>
                <w:u w:val="single"/>
                <w:lang w:val="sr-Latn-ME"/>
              </w:rPr>
            </w:pPr>
            <w:r w:rsidRPr="00C01AF3">
              <w:rPr>
                <w:rFonts w:ascii="Times New Roman" w:hAnsi="Times New Roman" w:cs="Arial"/>
                <w:bCs/>
                <w:sz w:val="22"/>
                <w:lang w:val="sr-Latn-ME"/>
              </w:rPr>
              <w:t xml:space="preserve">Valsartan se </w:t>
            </w:r>
            <w:r w:rsidR="000B0410" w:rsidRPr="00C01AF3">
              <w:rPr>
                <w:rFonts w:ascii="Times New Roman" w:hAnsi="Times New Roman" w:cs="Arial"/>
                <w:bCs/>
                <w:sz w:val="22"/>
                <w:lang w:val="sr-Latn-ME"/>
              </w:rPr>
              <w:t>uglavnom</w:t>
            </w:r>
            <w:r w:rsidRPr="00C01AF3">
              <w:rPr>
                <w:rFonts w:ascii="Times New Roman" w:hAnsi="Times New Roman" w:cs="Arial"/>
                <w:bCs/>
                <w:sz w:val="22"/>
                <w:lang w:val="sr-Latn-ME"/>
              </w:rPr>
              <w:t xml:space="preserve"> eliminiše ne</w:t>
            </w:r>
            <w:r w:rsidR="00644CBB" w:rsidRPr="00C01AF3">
              <w:rPr>
                <w:rFonts w:ascii="Times New Roman" w:hAnsi="Times New Roman" w:cs="Arial"/>
                <w:bCs/>
                <w:sz w:val="22"/>
                <w:lang w:val="sr-Latn-ME"/>
              </w:rPr>
              <w:t>promijen</w:t>
            </w:r>
            <w:r w:rsidRPr="00C01AF3">
              <w:rPr>
                <w:rFonts w:ascii="Times New Roman" w:hAnsi="Times New Roman" w:cs="Arial"/>
                <w:bCs/>
                <w:sz w:val="22"/>
                <w:lang w:val="sr-Latn-ME"/>
              </w:rPr>
              <w:t>jen preko žuči</w:t>
            </w:r>
            <w:r w:rsidR="00D110E3" w:rsidRPr="00C01AF3">
              <w:rPr>
                <w:rFonts w:ascii="Times New Roman" w:hAnsi="Times New Roman" w:cs="Arial"/>
                <w:bCs/>
                <w:sz w:val="22"/>
                <w:lang w:val="sr-Latn-ME"/>
              </w:rPr>
              <w:t>. Poluvr</w:t>
            </w:r>
            <w:r w:rsidR="00BD0291" w:rsidRPr="00C01AF3">
              <w:rPr>
                <w:rFonts w:ascii="Times New Roman" w:hAnsi="Times New Roman" w:cs="Arial"/>
                <w:bCs/>
                <w:sz w:val="22"/>
                <w:lang w:val="sr-Latn-ME"/>
              </w:rPr>
              <w:t>ij</w:t>
            </w:r>
            <w:r w:rsidR="00D110E3" w:rsidRPr="00C01AF3">
              <w:rPr>
                <w:rFonts w:ascii="Times New Roman" w:hAnsi="Times New Roman" w:cs="Arial"/>
                <w:bCs/>
                <w:sz w:val="22"/>
                <w:lang w:val="sr-Latn-ME"/>
              </w:rPr>
              <w:t>eme el</w:t>
            </w:r>
            <w:r w:rsidR="00DC3393" w:rsidRPr="00C01AF3">
              <w:rPr>
                <w:rFonts w:ascii="Times New Roman" w:hAnsi="Times New Roman" w:cs="Arial"/>
                <w:bCs/>
                <w:sz w:val="22"/>
                <w:lang w:val="sr-Latn-ME"/>
              </w:rPr>
              <w:t>imi</w:t>
            </w:r>
            <w:r w:rsidR="00D110E3" w:rsidRPr="00C01AF3">
              <w:rPr>
                <w:rFonts w:ascii="Times New Roman" w:hAnsi="Times New Roman" w:cs="Arial"/>
                <w:bCs/>
                <w:sz w:val="22"/>
                <w:lang w:val="sr-Latn-ME"/>
              </w:rPr>
              <w:t xml:space="preserve">nacije amlodipina je produženo i PIK </w:t>
            </w:r>
            <w:r w:rsidR="004853F5" w:rsidRPr="00C01AF3">
              <w:rPr>
                <w:rFonts w:ascii="Times New Roman" w:hAnsi="Times New Roman" w:cs="Arial"/>
                <w:bCs/>
                <w:sz w:val="22"/>
                <w:lang w:val="sr-Latn-ME"/>
              </w:rPr>
              <w:t>vrijedno</w:t>
            </w:r>
            <w:r w:rsidR="00D110E3" w:rsidRPr="00C01AF3">
              <w:rPr>
                <w:rFonts w:ascii="Times New Roman" w:hAnsi="Times New Roman" w:cs="Arial"/>
                <w:bCs/>
                <w:sz w:val="22"/>
                <w:lang w:val="sr-Latn-ME"/>
              </w:rPr>
              <w:t>sti su više kod pacijenata sa poremećajem funkcije jetre; ni</w:t>
            </w:r>
            <w:r w:rsidR="00CB49AC" w:rsidRPr="00C01AF3">
              <w:rPr>
                <w:rFonts w:ascii="Times New Roman" w:hAnsi="Times New Roman" w:cs="Arial"/>
                <w:bCs/>
                <w:sz w:val="22"/>
                <w:lang w:val="sr-Latn-ME"/>
              </w:rPr>
              <w:t>je</w:t>
            </w:r>
            <w:r w:rsidR="00D110E3" w:rsidRPr="00C01AF3">
              <w:rPr>
                <w:rFonts w:ascii="Times New Roman" w:hAnsi="Times New Roman" w:cs="Arial"/>
                <w:bCs/>
                <w:sz w:val="22"/>
                <w:lang w:val="sr-Latn-ME"/>
              </w:rPr>
              <w:t>su utvrđene preporuke za doziranje.</w:t>
            </w:r>
            <w:r w:rsidRPr="00C01AF3">
              <w:rPr>
                <w:rFonts w:ascii="Times New Roman" w:hAnsi="Times New Roman" w:cs="Arial"/>
                <w:bCs/>
                <w:sz w:val="22"/>
                <w:lang w:val="sr-Latn-ME"/>
              </w:rPr>
              <w:t xml:space="preserve"> </w:t>
            </w:r>
            <w:r w:rsidR="00CD2B3E" w:rsidRPr="00C01AF3">
              <w:rPr>
                <w:rFonts w:ascii="Times New Roman" w:hAnsi="Times New Roman" w:cs="Arial"/>
                <w:bCs/>
                <w:sz w:val="22"/>
                <w:lang w:val="sr-Latn-ME"/>
              </w:rPr>
              <w:t xml:space="preserve">Kod pacijenata sa blagim do </w:t>
            </w:r>
            <w:r w:rsidR="00BD0291" w:rsidRPr="00C01AF3">
              <w:rPr>
                <w:rFonts w:ascii="Times New Roman" w:hAnsi="Times New Roman" w:cs="Arial"/>
                <w:bCs/>
                <w:sz w:val="22"/>
                <w:lang w:val="sr-Latn-ME"/>
              </w:rPr>
              <w:t>umjeren</w:t>
            </w:r>
            <w:r w:rsidR="00CD2B3E" w:rsidRPr="00C01AF3">
              <w:rPr>
                <w:rFonts w:ascii="Times New Roman" w:hAnsi="Times New Roman" w:cs="Arial"/>
                <w:bCs/>
                <w:sz w:val="22"/>
                <w:lang w:val="sr-Latn-ME"/>
              </w:rPr>
              <w:t>im poremećajem funkcije jetre bez holestaze, maksimalna preporučena doza valsartana je 80 mg  i z</w:t>
            </w:r>
            <w:r w:rsidRPr="00C01AF3">
              <w:rPr>
                <w:rFonts w:ascii="Times New Roman" w:hAnsi="Times New Roman" w:cs="Arial"/>
                <w:bCs/>
                <w:sz w:val="22"/>
                <w:lang w:val="sr-Latn-ME"/>
              </w:rPr>
              <w:t>bog</w:t>
            </w:r>
            <w:r w:rsidR="002A164E" w:rsidRPr="00C01AF3">
              <w:rPr>
                <w:rFonts w:ascii="Times New Roman" w:hAnsi="Times New Roman" w:cs="Arial"/>
                <w:bCs/>
                <w:sz w:val="22"/>
                <w:lang w:val="sr-Latn-ME"/>
              </w:rPr>
              <w:t xml:space="preserve"> toga</w:t>
            </w:r>
            <w:r w:rsidR="00CD2B3E" w:rsidRPr="00C01AF3">
              <w:rPr>
                <w:rFonts w:ascii="Times New Roman" w:hAnsi="Times New Roman" w:cs="Arial"/>
                <w:bCs/>
                <w:sz w:val="22"/>
                <w:lang w:val="sr-Latn-ME"/>
              </w:rPr>
              <w:t xml:space="preserve">  Exforge HCT nije preporučljiv za ovu grupu pacijenata (vidjeti odjeljak 4.2, 4.3 i 5.2)</w:t>
            </w:r>
            <w:r w:rsidR="00F95706" w:rsidRPr="00C01AF3">
              <w:rPr>
                <w:rFonts w:ascii="Times New Roman" w:hAnsi="Times New Roman" w:cs="Arial"/>
                <w:bCs/>
                <w:sz w:val="22"/>
                <w:lang w:val="sr-Latn-ME"/>
              </w:rPr>
              <w:t>.</w:t>
            </w:r>
          </w:p>
          <w:p w:rsidR="00D110E3" w:rsidRPr="00C01AF3" w:rsidRDefault="00D110E3" w:rsidP="00995026">
            <w:pPr>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lastRenderedPageBreak/>
              <w:t>Angioedem</w:t>
            </w:r>
          </w:p>
          <w:p w:rsidR="00D110E3" w:rsidRPr="00C01AF3" w:rsidRDefault="00DE0A48" w:rsidP="00090171">
            <w:pPr>
              <w:pStyle w:val="Header"/>
              <w:tabs>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 xml:space="preserve">Kod pacijenata </w:t>
            </w:r>
            <w:r w:rsidR="003A4828" w:rsidRPr="00C01AF3">
              <w:rPr>
                <w:rFonts w:ascii="Times New Roman" w:hAnsi="Times New Roman" w:cs="Arial"/>
                <w:bCs/>
                <w:sz w:val="22"/>
                <w:lang w:val="sr-Latn-ME"/>
              </w:rPr>
              <w:t>na terapiji</w:t>
            </w:r>
            <w:r w:rsidRPr="00C01AF3">
              <w:rPr>
                <w:rFonts w:ascii="Times New Roman" w:hAnsi="Times New Roman" w:cs="Arial"/>
                <w:bCs/>
                <w:sz w:val="22"/>
                <w:lang w:val="sr-Latn-ME"/>
              </w:rPr>
              <w:t xml:space="preserve"> valsartanom </w:t>
            </w:r>
            <w:r w:rsidR="003309F3" w:rsidRPr="00C01AF3">
              <w:rPr>
                <w:rFonts w:ascii="Times New Roman" w:hAnsi="Times New Roman" w:cs="Arial"/>
                <w:bCs/>
                <w:sz w:val="22"/>
                <w:lang w:val="sr-Latn-ME"/>
              </w:rPr>
              <w:t>zabilje</w:t>
            </w:r>
            <w:r w:rsidR="003A4828" w:rsidRPr="00C01AF3">
              <w:rPr>
                <w:rFonts w:ascii="Times New Roman" w:hAnsi="Times New Roman" w:cs="Arial"/>
                <w:bCs/>
                <w:sz w:val="22"/>
                <w:lang w:val="sr-Latn-ME"/>
              </w:rPr>
              <w:t>žen</w:t>
            </w:r>
            <w:r w:rsidRPr="00C01AF3">
              <w:rPr>
                <w:rFonts w:ascii="Times New Roman" w:hAnsi="Times New Roman" w:cs="Arial"/>
                <w:bCs/>
                <w:sz w:val="22"/>
                <w:lang w:val="sr-Latn-ME"/>
              </w:rPr>
              <w:t xml:space="preserve"> je a</w:t>
            </w:r>
            <w:r w:rsidR="00D110E3" w:rsidRPr="00C01AF3">
              <w:rPr>
                <w:rFonts w:ascii="Times New Roman" w:hAnsi="Times New Roman" w:cs="Arial"/>
                <w:bCs/>
                <w:sz w:val="22"/>
                <w:lang w:val="sr-Latn-ME"/>
              </w:rPr>
              <w:t>ngioedem, uključujući oticanje larinksa i glotisa, k</w:t>
            </w:r>
            <w:r w:rsidRPr="00C01AF3">
              <w:rPr>
                <w:rFonts w:ascii="Times New Roman" w:hAnsi="Times New Roman" w:cs="Arial"/>
                <w:bCs/>
                <w:sz w:val="22"/>
                <w:lang w:val="sr-Latn-ME"/>
              </w:rPr>
              <w:t>oji dovodi do opstrukcije disajnih</w:t>
            </w:r>
            <w:r w:rsidR="00D110E3" w:rsidRPr="00C01AF3">
              <w:rPr>
                <w:rFonts w:ascii="Times New Roman" w:hAnsi="Times New Roman" w:cs="Arial"/>
                <w:bCs/>
                <w:sz w:val="22"/>
                <w:lang w:val="sr-Latn-ME"/>
              </w:rPr>
              <w:t xml:space="preserve"> puteva i/ili oticanja lica</w:t>
            </w:r>
            <w:r w:rsidRPr="00C01AF3">
              <w:rPr>
                <w:rFonts w:ascii="Times New Roman" w:hAnsi="Times New Roman" w:cs="Arial"/>
                <w:bCs/>
                <w:sz w:val="22"/>
                <w:lang w:val="sr-Latn-ME"/>
              </w:rPr>
              <w:t xml:space="preserve">, usana, farinksa i/ili jezika. </w:t>
            </w:r>
            <w:r w:rsidR="003A4828" w:rsidRPr="00C01AF3">
              <w:rPr>
                <w:rFonts w:ascii="Times New Roman" w:hAnsi="Times New Roman" w:cs="Arial"/>
                <w:bCs/>
                <w:sz w:val="22"/>
                <w:lang w:val="sr-Latn-ME"/>
              </w:rPr>
              <w:t>Neki</w:t>
            </w:r>
            <w:r w:rsidR="00D110E3" w:rsidRPr="00C01AF3">
              <w:rPr>
                <w:rFonts w:ascii="Times New Roman" w:hAnsi="Times New Roman" w:cs="Arial"/>
                <w:bCs/>
                <w:sz w:val="22"/>
                <w:lang w:val="sr-Latn-ME"/>
              </w:rPr>
              <w:t xml:space="preserve"> od ovih pacijenata </w:t>
            </w:r>
            <w:r w:rsidR="003A4828" w:rsidRPr="00C01AF3">
              <w:rPr>
                <w:rFonts w:ascii="Times New Roman" w:hAnsi="Times New Roman" w:cs="Arial"/>
                <w:bCs/>
                <w:sz w:val="22"/>
                <w:lang w:val="sr-Latn-ME"/>
              </w:rPr>
              <w:t>su</w:t>
            </w:r>
            <w:r w:rsidR="00D110E3" w:rsidRPr="00C01AF3">
              <w:rPr>
                <w:rFonts w:ascii="Times New Roman" w:hAnsi="Times New Roman" w:cs="Arial"/>
                <w:bCs/>
                <w:sz w:val="22"/>
                <w:lang w:val="sr-Latn-ME"/>
              </w:rPr>
              <w:t xml:space="preserve"> </w:t>
            </w:r>
            <w:r w:rsidR="00CB49AC" w:rsidRPr="00C01AF3">
              <w:rPr>
                <w:rFonts w:ascii="Times New Roman" w:hAnsi="Times New Roman" w:cs="Arial"/>
                <w:bCs/>
                <w:sz w:val="22"/>
                <w:lang w:val="sr-Latn-ME"/>
              </w:rPr>
              <w:t xml:space="preserve">i </w:t>
            </w:r>
            <w:r w:rsidR="00D110E3" w:rsidRPr="00C01AF3">
              <w:rPr>
                <w:rFonts w:ascii="Times New Roman" w:hAnsi="Times New Roman" w:cs="Arial"/>
                <w:bCs/>
                <w:sz w:val="22"/>
                <w:lang w:val="sr-Latn-ME"/>
              </w:rPr>
              <w:t>rani</w:t>
            </w:r>
            <w:r w:rsidRPr="00C01AF3">
              <w:rPr>
                <w:rFonts w:ascii="Times New Roman" w:hAnsi="Times New Roman" w:cs="Arial"/>
                <w:bCs/>
                <w:sz w:val="22"/>
                <w:lang w:val="sr-Latn-ME"/>
              </w:rPr>
              <w:t xml:space="preserve">je </w:t>
            </w:r>
            <w:r w:rsidR="003A4828" w:rsidRPr="00C01AF3">
              <w:rPr>
                <w:rFonts w:ascii="Times New Roman" w:hAnsi="Times New Roman" w:cs="Arial"/>
                <w:bCs/>
                <w:sz w:val="22"/>
                <w:lang w:val="sr-Latn-ME"/>
              </w:rPr>
              <w:t xml:space="preserve">imali </w:t>
            </w:r>
            <w:r w:rsidRPr="00C01AF3">
              <w:rPr>
                <w:rFonts w:ascii="Times New Roman" w:hAnsi="Times New Roman" w:cs="Arial"/>
                <w:bCs/>
                <w:sz w:val="22"/>
                <w:lang w:val="sr-Latn-ME"/>
              </w:rPr>
              <w:t xml:space="preserve">angioedem sa drugim </w:t>
            </w:r>
            <w:r w:rsidR="00A65414" w:rsidRPr="00C01AF3">
              <w:rPr>
                <w:rFonts w:ascii="Times New Roman" w:hAnsi="Times New Roman" w:cs="Arial"/>
                <w:bCs/>
                <w:sz w:val="22"/>
                <w:lang w:val="sr-Latn-ME"/>
              </w:rPr>
              <w:t>ljek</w:t>
            </w:r>
            <w:r w:rsidR="00D110E3" w:rsidRPr="00C01AF3">
              <w:rPr>
                <w:rFonts w:ascii="Times New Roman" w:hAnsi="Times New Roman" w:cs="Arial"/>
                <w:bCs/>
                <w:sz w:val="22"/>
                <w:lang w:val="sr-Latn-ME"/>
              </w:rPr>
              <w:t>ovima, uključujući inhib</w:t>
            </w:r>
            <w:r w:rsidR="00E72F23" w:rsidRPr="00C01AF3">
              <w:rPr>
                <w:rFonts w:ascii="Times New Roman" w:hAnsi="Times New Roman" w:cs="Arial"/>
                <w:bCs/>
                <w:sz w:val="22"/>
                <w:lang w:val="sr-Latn-ME"/>
              </w:rPr>
              <w:t>itore angiotenzin-konvertujuće</w:t>
            </w:r>
            <w:r w:rsidR="00D110E3" w:rsidRPr="00C01AF3">
              <w:rPr>
                <w:rFonts w:ascii="Times New Roman" w:hAnsi="Times New Roman" w:cs="Arial"/>
                <w:bCs/>
                <w:sz w:val="22"/>
                <w:lang w:val="sr-Latn-ME"/>
              </w:rPr>
              <w:t xml:space="preserve">g enzima (ACE). Kod pacijenata kod kojih se javi angioedem, potrebno je odmah obustaviti </w:t>
            </w:r>
            <w:r w:rsidR="00BD0291" w:rsidRPr="00C01AF3">
              <w:rPr>
                <w:rFonts w:ascii="Times New Roman" w:hAnsi="Times New Roman" w:cs="Arial"/>
                <w:bCs/>
                <w:sz w:val="22"/>
                <w:lang w:val="sr-Latn-ME"/>
              </w:rPr>
              <w:t>primje</w:t>
            </w:r>
            <w:r w:rsidR="00D110E3" w:rsidRPr="00C01AF3">
              <w:rPr>
                <w:rFonts w:ascii="Times New Roman" w:hAnsi="Times New Roman" w:cs="Arial"/>
                <w:bCs/>
                <w:sz w:val="22"/>
                <w:lang w:val="sr-Latn-ME"/>
              </w:rPr>
              <w:t>nu</w:t>
            </w:r>
            <w:r w:rsidRPr="00C01AF3">
              <w:rPr>
                <w:rFonts w:ascii="Times New Roman" w:hAnsi="Times New Roman" w:cs="Arial"/>
                <w:bCs/>
                <w:sz w:val="22"/>
                <w:lang w:val="sr-Latn-ME"/>
              </w:rPr>
              <w:t xml:space="preserv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a </w:t>
            </w:r>
            <w:r w:rsidR="00CD2B3E" w:rsidRPr="00C01AF3">
              <w:rPr>
                <w:rFonts w:ascii="Times New Roman" w:hAnsi="Times New Roman" w:cs="Arial"/>
                <w:bCs/>
                <w:sz w:val="22"/>
                <w:lang w:val="sr-Latn-ME"/>
              </w:rPr>
              <w:t>Exforge HCT</w:t>
            </w:r>
            <w:r w:rsidR="00D110E3" w:rsidRPr="00C01AF3">
              <w:rPr>
                <w:rFonts w:ascii="Times New Roman" w:hAnsi="Times New Roman" w:cs="Arial"/>
                <w:bCs/>
                <w:sz w:val="22"/>
                <w:lang w:val="sr-Latn-ME"/>
              </w:rPr>
              <w:t xml:space="preserve"> i </w:t>
            </w:r>
            <w:r w:rsidR="00CB49AC" w:rsidRPr="00C01AF3">
              <w:rPr>
                <w:rFonts w:ascii="Times New Roman" w:hAnsi="Times New Roman" w:cs="Arial"/>
                <w:bCs/>
                <w:sz w:val="22"/>
                <w:lang w:val="sr-Latn-ME"/>
              </w:rPr>
              <w:t xml:space="preserve">više ga ne smiju </w:t>
            </w:r>
            <w:r w:rsidRPr="00C01AF3">
              <w:rPr>
                <w:rFonts w:ascii="Times New Roman" w:hAnsi="Times New Roman" w:cs="Arial"/>
                <w:bCs/>
                <w:sz w:val="22"/>
                <w:lang w:val="sr-Latn-ME"/>
              </w:rPr>
              <w:t xml:space="preserve">ponovo </w:t>
            </w:r>
            <w:r w:rsidR="00CB49AC" w:rsidRPr="00C01AF3">
              <w:rPr>
                <w:rFonts w:ascii="Times New Roman" w:hAnsi="Times New Roman" w:cs="Arial"/>
                <w:bCs/>
                <w:sz w:val="22"/>
                <w:lang w:val="sr-Latn-ME"/>
              </w:rPr>
              <w:t>uzimati</w:t>
            </w:r>
            <w:r w:rsidR="00D110E3" w:rsidRPr="00C01AF3">
              <w:rPr>
                <w:rFonts w:ascii="Times New Roman" w:hAnsi="Times New Roman" w:cs="Arial"/>
                <w:bCs/>
                <w:sz w:val="22"/>
                <w:lang w:val="sr-Latn-ME"/>
              </w:rPr>
              <w:t>.</w:t>
            </w:r>
          </w:p>
          <w:p w:rsidR="00B56725" w:rsidRPr="00C01AF3" w:rsidRDefault="00B56725" w:rsidP="00B56725">
            <w:pPr>
              <w:pStyle w:val="Header"/>
              <w:tabs>
                <w:tab w:val="clear" w:pos="4536"/>
                <w:tab w:val="clear" w:pos="9072"/>
                <w:tab w:val="left" w:pos="284"/>
              </w:tabs>
              <w:jc w:val="left"/>
              <w:rPr>
                <w:rFonts w:ascii="Times New Roman" w:hAnsi="Times New Roman" w:cs="Arial"/>
                <w:bCs/>
                <w:sz w:val="22"/>
                <w:lang w:val="sr-Latn-ME"/>
              </w:rPr>
            </w:pPr>
          </w:p>
          <w:p w:rsidR="00B56725" w:rsidRPr="00C01AF3" w:rsidRDefault="00B743BC" w:rsidP="00B56725">
            <w:pPr>
              <w:pStyle w:val="Header"/>
              <w:tabs>
                <w:tab w:val="clear" w:pos="4536"/>
                <w:tab w:val="clear" w:pos="9072"/>
                <w:tab w:val="left" w:pos="284"/>
              </w:tabs>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Srčana</w:t>
            </w:r>
            <w:r w:rsidR="00596A2F" w:rsidRPr="00C01AF3">
              <w:rPr>
                <w:rFonts w:ascii="Times New Roman" w:hAnsi="Times New Roman" w:cs="Arial"/>
                <w:bCs/>
                <w:sz w:val="22"/>
                <w:u w:val="single"/>
                <w:lang w:val="sr-Latn-ME"/>
              </w:rPr>
              <w:t xml:space="preserve"> insuficijencija</w:t>
            </w:r>
            <w:r w:rsidR="005740BB" w:rsidRPr="00C01AF3">
              <w:rPr>
                <w:rFonts w:ascii="Times New Roman" w:hAnsi="Times New Roman" w:cs="Arial"/>
                <w:bCs/>
                <w:sz w:val="22"/>
                <w:u w:val="single"/>
                <w:lang w:val="sr-Latn-ME"/>
              </w:rPr>
              <w:t xml:space="preserve"> i </w:t>
            </w:r>
            <w:r w:rsidRPr="00C01AF3">
              <w:rPr>
                <w:rFonts w:ascii="Times New Roman" w:hAnsi="Times New Roman" w:cs="Arial"/>
                <w:bCs/>
                <w:sz w:val="22"/>
                <w:u w:val="single"/>
                <w:lang w:val="sr-Latn-ME"/>
              </w:rPr>
              <w:t>bolest koronarnih arterija</w:t>
            </w:r>
            <w:r w:rsidR="00D110E3" w:rsidRPr="00C01AF3">
              <w:rPr>
                <w:rFonts w:ascii="Times New Roman" w:hAnsi="Times New Roman" w:cs="Arial"/>
                <w:bCs/>
                <w:sz w:val="22"/>
                <w:u w:val="single"/>
                <w:lang w:val="sr-Latn-ME"/>
              </w:rPr>
              <w:t>/</w:t>
            </w:r>
            <w:r w:rsidR="00A87602" w:rsidRPr="00C01AF3">
              <w:rPr>
                <w:rFonts w:ascii="Times New Roman" w:hAnsi="Times New Roman" w:cs="Arial"/>
                <w:bCs/>
                <w:sz w:val="22"/>
                <w:u w:val="single"/>
                <w:lang w:val="sr-Latn-ME"/>
              </w:rPr>
              <w:t xml:space="preserve">stanje </w:t>
            </w:r>
            <w:r w:rsidR="001B7840" w:rsidRPr="00C01AF3">
              <w:rPr>
                <w:rFonts w:ascii="Times New Roman" w:hAnsi="Times New Roman" w:cs="Arial"/>
                <w:bCs/>
                <w:sz w:val="22"/>
                <w:u w:val="single"/>
                <w:lang w:val="sr-Latn-ME"/>
              </w:rPr>
              <w:t>poslije</w:t>
            </w:r>
            <w:r w:rsidR="00D110E3" w:rsidRPr="00C01AF3">
              <w:rPr>
                <w:rFonts w:ascii="Times New Roman" w:hAnsi="Times New Roman" w:cs="Arial"/>
                <w:bCs/>
                <w:sz w:val="22"/>
                <w:u w:val="single"/>
                <w:lang w:val="sr-Latn-ME"/>
              </w:rPr>
              <w:t xml:space="preserve"> infarkta miokarda</w:t>
            </w:r>
          </w:p>
          <w:p w:rsidR="00D110E3" w:rsidRPr="00C01AF3" w:rsidRDefault="00B56725" w:rsidP="00D110E3">
            <w:pPr>
              <w:pStyle w:val="Text"/>
              <w:autoSpaceDE w:val="0"/>
              <w:autoSpaceDN w:val="0"/>
              <w:spacing w:before="0"/>
              <w:jc w:val="left"/>
              <w:rPr>
                <w:sz w:val="22"/>
                <w:szCs w:val="22"/>
                <w:lang w:val="sr-Latn-ME"/>
              </w:rPr>
            </w:pPr>
            <w:r w:rsidRPr="00C01AF3">
              <w:rPr>
                <w:rFonts w:cs="Arial"/>
                <w:bCs/>
                <w:sz w:val="22"/>
                <w:lang w:val="sr-Latn-ME"/>
              </w:rPr>
              <w:t xml:space="preserve">Kao </w:t>
            </w:r>
            <w:r w:rsidR="001B7840" w:rsidRPr="00C01AF3">
              <w:rPr>
                <w:rFonts w:cs="Arial"/>
                <w:bCs/>
                <w:sz w:val="22"/>
                <w:lang w:val="sr-Latn-ME"/>
              </w:rPr>
              <w:t>poslje</w:t>
            </w:r>
            <w:r w:rsidRPr="00C01AF3">
              <w:rPr>
                <w:rFonts w:cs="Arial"/>
                <w:bCs/>
                <w:sz w:val="22"/>
                <w:lang w:val="sr-Latn-ME"/>
              </w:rPr>
              <w:t xml:space="preserve">dica inhibicije renin-angiotenzin-aldosteron sistema, </w:t>
            </w:r>
            <w:r w:rsidR="00644CBB" w:rsidRPr="00C01AF3">
              <w:rPr>
                <w:rFonts w:cs="Arial"/>
                <w:bCs/>
                <w:sz w:val="22"/>
                <w:lang w:val="sr-Latn-ME"/>
              </w:rPr>
              <w:t>promjen</w:t>
            </w:r>
            <w:r w:rsidRPr="00C01AF3">
              <w:rPr>
                <w:rFonts w:cs="Arial"/>
                <w:bCs/>
                <w:sz w:val="22"/>
                <w:lang w:val="sr-Latn-ME"/>
              </w:rPr>
              <w:t>e u bubrežnoj funkciji se mogu pred</w:t>
            </w:r>
            <w:r w:rsidR="00BD0291" w:rsidRPr="00C01AF3">
              <w:rPr>
                <w:rFonts w:cs="Arial"/>
                <w:bCs/>
                <w:sz w:val="22"/>
                <w:lang w:val="sr-Latn-ME"/>
              </w:rPr>
              <w:t>vidjet</w:t>
            </w:r>
            <w:r w:rsidRPr="00C01AF3">
              <w:rPr>
                <w:rFonts w:cs="Arial"/>
                <w:bCs/>
                <w:sz w:val="22"/>
                <w:lang w:val="sr-Latn-ME"/>
              </w:rPr>
              <w:t>i kod određenih pojedinaca. Kod pacij</w:t>
            </w:r>
            <w:r w:rsidR="00596A2F" w:rsidRPr="00C01AF3">
              <w:rPr>
                <w:rFonts w:cs="Arial"/>
                <w:bCs/>
                <w:sz w:val="22"/>
                <w:lang w:val="sr-Latn-ME"/>
              </w:rPr>
              <w:t>enata sa teškom srčanom insuficijencijom</w:t>
            </w:r>
            <w:r w:rsidRPr="00C01AF3">
              <w:rPr>
                <w:rFonts w:cs="Arial"/>
                <w:bCs/>
                <w:sz w:val="22"/>
                <w:lang w:val="sr-Latn-ME"/>
              </w:rPr>
              <w:t>, čija bubrežna funkcija zavisi od sistema renin-angiotenzin-aldosteron, terapija ACE inhibitorima i antagonistima angiotenzinskih receptora može dovesti do oligurije i/ili (r</w:t>
            </w:r>
            <w:r w:rsidR="006A1297" w:rsidRPr="00C01AF3">
              <w:rPr>
                <w:rFonts w:cs="Arial"/>
                <w:bCs/>
                <w:sz w:val="22"/>
                <w:lang w:val="sr-Latn-ME"/>
              </w:rPr>
              <w:t>ij</w:t>
            </w:r>
            <w:r w:rsidRPr="00C01AF3">
              <w:rPr>
                <w:rFonts w:cs="Arial"/>
                <w:bCs/>
                <w:sz w:val="22"/>
                <w:lang w:val="sr-Latn-ME"/>
              </w:rPr>
              <w:t>etko) progresivne azotemi</w:t>
            </w:r>
            <w:r w:rsidR="0043258B" w:rsidRPr="00C01AF3">
              <w:rPr>
                <w:rFonts w:cs="Arial"/>
                <w:bCs/>
                <w:sz w:val="22"/>
                <w:lang w:val="sr-Latn-ME"/>
              </w:rPr>
              <w:t>je sa akutnom bubrežnom insuficijencijom</w:t>
            </w:r>
            <w:r w:rsidRPr="00C01AF3">
              <w:rPr>
                <w:rFonts w:cs="Arial"/>
                <w:bCs/>
                <w:sz w:val="22"/>
                <w:lang w:val="sr-Latn-ME"/>
              </w:rPr>
              <w:t xml:space="preserve"> i/ili smrću. Slični ishodi </w:t>
            </w:r>
            <w:r w:rsidR="00627D33" w:rsidRPr="00C01AF3">
              <w:rPr>
                <w:rFonts w:cs="Arial"/>
                <w:bCs/>
                <w:sz w:val="22"/>
                <w:lang w:val="sr-Latn-ME"/>
              </w:rPr>
              <w:t>prijavljeni su za</w:t>
            </w:r>
            <w:r w:rsidRPr="00C01AF3">
              <w:rPr>
                <w:rFonts w:cs="Arial"/>
                <w:bCs/>
                <w:sz w:val="22"/>
                <w:lang w:val="sr-Latn-ME"/>
              </w:rPr>
              <w:t xml:space="preserve"> valsartan.</w:t>
            </w:r>
            <w:r w:rsidR="000368BE" w:rsidRPr="00C01AF3">
              <w:rPr>
                <w:rFonts w:cs="Arial"/>
                <w:bCs/>
                <w:sz w:val="22"/>
                <w:lang w:val="sr-Latn-ME"/>
              </w:rPr>
              <w:t xml:space="preserve"> </w:t>
            </w:r>
            <w:r w:rsidR="00627D33" w:rsidRPr="00C01AF3">
              <w:rPr>
                <w:rFonts w:cs="Arial"/>
                <w:bCs/>
                <w:sz w:val="22"/>
                <w:lang w:val="sr-Latn-ME"/>
              </w:rPr>
              <w:t>E</w:t>
            </w:r>
            <w:r w:rsidR="00D110E3" w:rsidRPr="00C01AF3">
              <w:rPr>
                <w:sz w:val="22"/>
                <w:szCs w:val="22"/>
                <w:lang w:val="sr-Latn-ME"/>
              </w:rPr>
              <w:t>va</w:t>
            </w:r>
            <w:r w:rsidR="000368BE" w:rsidRPr="00C01AF3">
              <w:rPr>
                <w:sz w:val="22"/>
                <w:szCs w:val="22"/>
                <w:lang w:val="sr-Latn-ME"/>
              </w:rPr>
              <w:t>luacij</w:t>
            </w:r>
            <w:r w:rsidR="00627D33" w:rsidRPr="00C01AF3">
              <w:rPr>
                <w:sz w:val="22"/>
                <w:szCs w:val="22"/>
                <w:lang w:val="sr-Latn-ME"/>
              </w:rPr>
              <w:t>a</w:t>
            </w:r>
            <w:r w:rsidR="00DE0A48" w:rsidRPr="00C01AF3">
              <w:rPr>
                <w:sz w:val="22"/>
                <w:szCs w:val="22"/>
                <w:lang w:val="sr-Latn-ME"/>
              </w:rPr>
              <w:t xml:space="preserve"> pacijenata sa </w:t>
            </w:r>
            <w:r w:rsidR="00B743BC" w:rsidRPr="00C01AF3">
              <w:rPr>
                <w:sz w:val="22"/>
                <w:szCs w:val="22"/>
                <w:lang w:val="sr-Latn-ME"/>
              </w:rPr>
              <w:t>srčanom ins</w:t>
            </w:r>
            <w:r w:rsidR="00DE0A48" w:rsidRPr="00C01AF3">
              <w:rPr>
                <w:sz w:val="22"/>
                <w:szCs w:val="22"/>
                <w:lang w:val="sr-Latn-ME"/>
              </w:rPr>
              <w:t>uficijencijom</w:t>
            </w:r>
            <w:r w:rsidR="00D110E3" w:rsidRPr="00C01AF3">
              <w:rPr>
                <w:sz w:val="22"/>
                <w:szCs w:val="22"/>
                <w:lang w:val="sr-Latn-ME"/>
              </w:rPr>
              <w:t xml:space="preserve"> ili </w:t>
            </w:r>
            <w:r w:rsidR="001B7840" w:rsidRPr="00C01AF3">
              <w:rPr>
                <w:sz w:val="22"/>
                <w:szCs w:val="22"/>
                <w:lang w:val="sr-Latn-ME"/>
              </w:rPr>
              <w:t>poslije</w:t>
            </w:r>
            <w:r w:rsidR="00D110E3" w:rsidRPr="00C01AF3">
              <w:rPr>
                <w:sz w:val="22"/>
                <w:szCs w:val="22"/>
                <w:lang w:val="sr-Latn-ME"/>
              </w:rPr>
              <w:t xml:space="preserve"> infarkta miokarda </w:t>
            </w:r>
            <w:r w:rsidR="00E41C5E" w:rsidRPr="00C01AF3">
              <w:rPr>
                <w:sz w:val="22"/>
                <w:szCs w:val="22"/>
                <w:lang w:val="sr-Latn-ME"/>
              </w:rPr>
              <w:t>uvijek</w:t>
            </w:r>
            <w:r w:rsidR="00D110E3" w:rsidRPr="00C01AF3">
              <w:rPr>
                <w:sz w:val="22"/>
                <w:szCs w:val="22"/>
                <w:lang w:val="sr-Latn-ME"/>
              </w:rPr>
              <w:t xml:space="preserve"> </w:t>
            </w:r>
            <w:r w:rsidR="00627D33" w:rsidRPr="00C01AF3">
              <w:rPr>
                <w:sz w:val="22"/>
                <w:szCs w:val="22"/>
                <w:lang w:val="sr-Latn-ME"/>
              </w:rPr>
              <w:t xml:space="preserve">mora </w:t>
            </w:r>
            <w:r w:rsidR="00D110E3" w:rsidRPr="00C01AF3">
              <w:rPr>
                <w:sz w:val="22"/>
                <w:szCs w:val="22"/>
                <w:lang w:val="sr-Latn-ME"/>
              </w:rPr>
              <w:t>uključi</w:t>
            </w:r>
            <w:r w:rsidR="00627D33" w:rsidRPr="00C01AF3">
              <w:rPr>
                <w:sz w:val="22"/>
                <w:szCs w:val="22"/>
                <w:lang w:val="sr-Latn-ME"/>
              </w:rPr>
              <w:t>vati i</w:t>
            </w:r>
            <w:r w:rsidR="00D110E3" w:rsidRPr="00C01AF3">
              <w:rPr>
                <w:sz w:val="22"/>
                <w:szCs w:val="22"/>
                <w:lang w:val="sr-Latn-ME"/>
              </w:rPr>
              <w:t xml:space="preserve"> proc</w:t>
            </w:r>
            <w:r w:rsidR="006A1297" w:rsidRPr="00C01AF3">
              <w:rPr>
                <w:sz w:val="22"/>
                <w:szCs w:val="22"/>
                <w:lang w:val="sr-Latn-ME"/>
              </w:rPr>
              <w:t>j</w:t>
            </w:r>
            <w:r w:rsidR="00D110E3" w:rsidRPr="00C01AF3">
              <w:rPr>
                <w:sz w:val="22"/>
                <w:szCs w:val="22"/>
                <w:lang w:val="sr-Latn-ME"/>
              </w:rPr>
              <w:t>enu funkcije bubrega.</w:t>
            </w:r>
          </w:p>
          <w:p w:rsidR="00B56725" w:rsidRPr="00C01AF3" w:rsidRDefault="00B56725" w:rsidP="00B56725">
            <w:pPr>
              <w:pStyle w:val="Header"/>
              <w:tabs>
                <w:tab w:val="clear" w:pos="4536"/>
                <w:tab w:val="clear" w:pos="9072"/>
                <w:tab w:val="left" w:pos="284"/>
              </w:tabs>
              <w:jc w:val="left"/>
              <w:rPr>
                <w:rFonts w:ascii="Times New Roman" w:hAnsi="Times New Roman" w:cs="Arial"/>
                <w:bCs/>
                <w:sz w:val="22"/>
                <w:lang w:val="sr-Latn-ME"/>
              </w:rPr>
            </w:pPr>
          </w:p>
          <w:p w:rsidR="00B56725" w:rsidRPr="00C01AF3" w:rsidRDefault="00B56725" w:rsidP="00B56725">
            <w:pPr>
              <w:tabs>
                <w:tab w:val="clear" w:pos="284"/>
              </w:tabs>
              <w:autoSpaceDE w:val="0"/>
              <w:autoSpaceDN w:val="0"/>
              <w:jc w:val="left"/>
              <w:rPr>
                <w:rFonts w:ascii="Times New Roman" w:hAnsi="Times New Roman"/>
                <w:noProof/>
                <w:color w:val="000000"/>
                <w:sz w:val="22"/>
                <w:szCs w:val="22"/>
                <w:lang w:val="sr-Latn-ME"/>
              </w:rPr>
            </w:pPr>
            <w:r w:rsidRPr="00C01AF3">
              <w:rPr>
                <w:rFonts w:ascii="Times New Roman" w:hAnsi="Times New Roman"/>
                <w:noProof/>
                <w:color w:val="000000"/>
                <w:sz w:val="22"/>
                <w:szCs w:val="22"/>
                <w:lang w:val="sr-Latn-ME"/>
              </w:rPr>
              <w:t>U dugotrajno</w:t>
            </w:r>
            <w:r w:rsidR="002F64B6" w:rsidRPr="00C01AF3">
              <w:rPr>
                <w:rFonts w:ascii="Times New Roman" w:hAnsi="Times New Roman"/>
                <w:noProof/>
                <w:color w:val="000000"/>
                <w:sz w:val="22"/>
                <w:szCs w:val="22"/>
                <w:lang w:val="sr-Latn-ME"/>
              </w:rPr>
              <w:t>j</w:t>
            </w:r>
            <w:r w:rsidRPr="00C01AF3">
              <w:rPr>
                <w:rFonts w:ascii="Times New Roman" w:hAnsi="Times New Roman"/>
                <w:noProof/>
                <w:color w:val="000000"/>
                <w:sz w:val="22"/>
                <w:szCs w:val="22"/>
                <w:lang w:val="sr-Latn-ME"/>
              </w:rPr>
              <w:t>, placebo-kontrolisano</w:t>
            </w:r>
            <w:r w:rsidR="002F64B6" w:rsidRPr="00C01AF3">
              <w:rPr>
                <w:rFonts w:ascii="Times New Roman" w:hAnsi="Times New Roman"/>
                <w:noProof/>
                <w:color w:val="000000"/>
                <w:sz w:val="22"/>
                <w:szCs w:val="22"/>
                <w:lang w:val="sr-Latn-ME"/>
              </w:rPr>
              <w:t xml:space="preserve">j studiji </w:t>
            </w:r>
            <w:r w:rsidRPr="00C01AF3">
              <w:rPr>
                <w:rFonts w:ascii="Times New Roman" w:hAnsi="Times New Roman"/>
                <w:noProof/>
                <w:color w:val="000000"/>
                <w:sz w:val="22"/>
                <w:szCs w:val="22"/>
                <w:lang w:val="sr-Latn-ME"/>
              </w:rPr>
              <w:t xml:space="preserve"> (PRAISE-2) amlodipina kod pacijenata sa</w:t>
            </w:r>
            <w:r w:rsidR="002F64B6" w:rsidRPr="00C01AF3">
              <w:rPr>
                <w:rFonts w:ascii="Times New Roman" w:hAnsi="Times New Roman"/>
                <w:noProof/>
                <w:color w:val="000000"/>
                <w:sz w:val="22"/>
                <w:szCs w:val="22"/>
                <w:lang w:val="sr-Latn-ME"/>
              </w:rPr>
              <w:t xml:space="preserve"> srčanom </w:t>
            </w:r>
            <w:r w:rsidRPr="00C01AF3">
              <w:rPr>
                <w:rFonts w:ascii="Times New Roman" w:hAnsi="Times New Roman"/>
                <w:noProof/>
                <w:color w:val="000000"/>
                <w:sz w:val="22"/>
                <w:szCs w:val="22"/>
                <w:lang w:val="sr-Latn-ME"/>
              </w:rPr>
              <w:t>insuficijencijom  ne-ishemijske etiologije</w:t>
            </w:r>
            <w:r w:rsidR="002F64B6" w:rsidRPr="00C01AF3">
              <w:rPr>
                <w:rFonts w:ascii="Times New Roman" w:hAnsi="Times New Roman"/>
                <w:noProof/>
                <w:color w:val="000000"/>
                <w:sz w:val="22"/>
                <w:szCs w:val="22"/>
                <w:lang w:val="sr-Latn-ME"/>
              </w:rPr>
              <w:t>, III i IV</w:t>
            </w:r>
            <w:r w:rsidRPr="00C01AF3">
              <w:rPr>
                <w:rFonts w:ascii="Times New Roman" w:hAnsi="Times New Roman"/>
                <w:noProof/>
                <w:color w:val="000000"/>
                <w:sz w:val="22"/>
                <w:szCs w:val="22"/>
                <w:lang w:val="sr-Latn-ME"/>
              </w:rPr>
              <w:t xml:space="preserve"> stepena prema NYHA (New York Heart Association Classification), amlodipin je bio povezan s</w:t>
            </w:r>
            <w:r w:rsidR="005779E5" w:rsidRPr="00C01AF3">
              <w:rPr>
                <w:rFonts w:ascii="Times New Roman" w:hAnsi="Times New Roman"/>
                <w:noProof/>
                <w:color w:val="000000"/>
                <w:sz w:val="22"/>
                <w:szCs w:val="22"/>
                <w:lang w:val="sr-Latn-ME"/>
              </w:rPr>
              <w:t>a učestalim</w:t>
            </w:r>
            <w:r w:rsidRPr="00C01AF3">
              <w:rPr>
                <w:rFonts w:ascii="Times New Roman" w:hAnsi="Times New Roman"/>
                <w:noProof/>
                <w:color w:val="000000"/>
                <w:sz w:val="22"/>
                <w:szCs w:val="22"/>
                <w:lang w:val="sr-Latn-ME"/>
              </w:rPr>
              <w:t xml:space="preserve"> </w:t>
            </w:r>
            <w:r w:rsidR="002F64B6" w:rsidRPr="00C01AF3">
              <w:rPr>
                <w:rFonts w:ascii="Times New Roman" w:hAnsi="Times New Roman"/>
                <w:noProof/>
                <w:color w:val="000000"/>
                <w:sz w:val="22"/>
                <w:szCs w:val="22"/>
                <w:lang w:val="sr-Latn-ME"/>
              </w:rPr>
              <w:t>prijavljivanjem</w:t>
            </w:r>
            <w:r w:rsidRPr="00C01AF3">
              <w:rPr>
                <w:rFonts w:ascii="Times New Roman" w:hAnsi="Times New Roman"/>
                <w:noProof/>
                <w:color w:val="000000"/>
                <w:sz w:val="22"/>
                <w:szCs w:val="22"/>
                <w:lang w:val="sr-Latn-ME"/>
              </w:rPr>
              <w:t xml:space="preserve"> plućno</w:t>
            </w:r>
            <w:r w:rsidR="002F64B6" w:rsidRPr="00C01AF3">
              <w:rPr>
                <w:rFonts w:ascii="Times New Roman" w:hAnsi="Times New Roman"/>
                <w:noProof/>
                <w:color w:val="000000"/>
                <w:sz w:val="22"/>
                <w:szCs w:val="22"/>
                <w:lang w:val="sr-Latn-ME"/>
              </w:rPr>
              <w:t>g</w:t>
            </w:r>
            <w:r w:rsidRPr="00C01AF3">
              <w:rPr>
                <w:rFonts w:ascii="Times New Roman" w:hAnsi="Times New Roman"/>
                <w:noProof/>
                <w:color w:val="000000"/>
                <w:sz w:val="22"/>
                <w:szCs w:val="22"/>
                <w:lang w:val="sr-Latn-ME"/>
              </w:rPr>
              <w:t xml:space="preserve"> edem</w:t>
            </w:r>
            <w:r w:rsidR="002F64B6" w:rsidRPr="00C01AF3">
              <w:rPr>
                <w:rFonts w:ascii="Times New Roman" w:hAnsi="Times New Roman"/>
                <w:noProof/>
                <w:color w:val="000000"/>
                <w:sz w:val="22"/>
                <w:szCs w:val="22"/>
                <w:lang w:val="sr-Latn-ME"/>
              </w:rPr>
              <w:t>a</w:t>
            </w:r>
            <w:r w:rsidRPr="00C01AF3">
              <w:rPr>
                <w:rFonts w:ascii="Times New Roman" w:hAnsi="Times New Roman"/>
                <w:noProof/>
                <w:color w:val="000000"/>
                <w:sz w:val="22"/>
                <w:szCs w:val="22"/>
                <w:lang w:val="sr-Latn-ME"/>
              </w:rPr>
              <w:t xml:space="preserve">, uprkos </w:t>
            </w:r>
            <w:r w:rsidR="00411FDF" w:rsidRPr="00C01AF3">
              <w:rPr>
                <w:rFonts w:ascii="Times New Roman" w:hAnsi="Times New Roman"/>
                <w:noProof/>
                <w:color w:val="000000"/>
                <w:sz w:val="22"/>
                <w:szCs w:val="22"/>
                <w:lang w:val="sr-Latn-ME"/>
              </w:rPr>
              <w:t xml:space="preserve">beznačajnoj razlici u incidenci pogoršanja srčane </w:t>
            </w:r>
            <w:r w:rsidRPr="00C01AF3">
              <w:rPr>
                <w:rFonts w:ascii="Times New Roman" w:hAnsi="Times New Roman"/>
                <w:noProof/>
                <w:color w:val="000000"/>
                <w:sz w:val="22"/>
                <w:szCs w:val="22"/>
                <w:lang w:val="sr-Latn-ME"/>
              </w:rPr>
              <w:t>insuficijencije u poređenju sa placebom.</w:t>
            </w:r>
          </w:p>
          <w:p w:rsidR="00362F0D" w:rsidRPr="00C01AF3" w:rsidRDefault="00362F0D" w:rsidP="00B56725">
            <w:pPr>
              <w:tabs>
                <w:tab w:val="clear" w:pos="284"/>
              </w:tabs>
              <w:autoSpaceDE w:val="0"/>
              <w:autoSpaceDN w:val="0"/>
              <w:jc w:val="left"/>
              <w:rPr>
                <w:rFonts w:ascii="Times New Roman" w:hAnsi="Times New Roman"/>
                <w:noProof/>
                <w:color w:val="000000"/>
                <w:sz w:val="22"/>
                <w:szCs w:val="22"/>
                <w:lang w:val="sr-Latn-ME"/>
              </w:rPr>
            </w:pPr>
          </w:p>
          <w:p w:rsidR="00D110E3" w:rsidRPr="00C01AF3" w:rsidRDefault="00D110E3" w:rsidP="00D52719">
            <w:pPr>
              <w:pStyle w:val="Header"/>
              <w:tabs>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 xml:space="preserve">Blokatore </w:t>
            </w:r>
            <w:r w:rsidR="00DE0A48" w:rsidRPr="00C01AF3">
              <w:rPr>
                <w:rFonts w:ascii="Times New Roman" w:hAnsi="Times New Roman" w:cs="Arial"/>
                <w:bCs/>
                <w:sz w:val="22"/>
                <w:lang w:val="sr-Latn-ME"/>
              </w:rPr>
              <w:t>kalcijumovih kanala</w:t>
            </w:r>
            <w:r w:rsidRPr="00C01AF3">
              <w:rPr>
                <w:rFonts w:ascii="Times New Roman" w:hAnsi="Times New Roman" w:cs="Arial"/>
                <w:bCs/>
                <w:sz w:val="22"/>
                <w:lang w:val="sr-Latn-ME"/>
              </w:rPr>
              <w:t xml:space="preserve">, uključujući amlodipin, treba </w:t>
            </w:r>
            <w:r w:rsidR="00D52719" w:rsidRPr="00C01AF3">
              <w:rPr>
                <w:rFonts w:ascii="Times New Roman" w:hAnsi="Times New Roman" w:cs="Arial"/>
                <w:bCs/>
                <w:sz w:val="22"/>
                <w:lang w:val="sr-Latn-ME"/>
              </w:rPr>
              <w:t>oprezno ko</w:t>
            </w:r>
            <w:r w:rsidRPr="00C01AF3">
              <w:rPr>
                <w:rFonts w:ascii="Times New Roman" w:hAnsi="Times New Roman" w:cs="Arial"/>
                <w:bCs/>
                <w:sz w:val="22"/>
                <w:lang w:val="sr-Latn-ME"/>
              </w:rPr>
              <w:t>ristiti kod pacij</w:t>
            </w:r>
            <w:r w:rsidR="00DE0A48" w:rsidRPr="00C01AF3">
              <w:rPr>
                <w:rFonts w:ascii="Times New Roman" w:hAnsi="Times New Roman" w:cs="Arial"/>
                <w:bCs/>
                <w:sz w:val="22"/>
                <w:lang w:val="sr-Latn-ME"/>
              </w:rPr>
              <w:t>enata sa kongestivn</w:t>
            </w:r>
            <w:r w:rsidR="003A6398" w:rsidRPr="00C01AF3">
              <w:rPr>
                <w:rFonts w:ascii="Times New Roman" w:hAnsi="Times New Roman" w:cs="Arial"/>
                <w:bCs/>
                <w:sz w:val="22"/>
                <w:lang w:val="sr-Latn-ME"/>
              </w:rPr>
              <w:t>o</w:t>
            </w:r>
            <w:r w:rsidR="00DE0A48" w:rsidRPr="00C01AF3">
              <w:rPr>
                <w:rFonts w:ascii="Times New Roman" w:hAnsi="Times New Roman" w:cs="Arial"/>
                <w:bCs/>
                <w:sz w:val="22"/>
                <w:lang w:val="sr-Latn-ME"/>
              </w:rPr>
              <w:t>m srčanom insuficijencijom</w:t>
            </w:r>
            <w:r w:rsidRPr="00C01AF3">
              <w:rPr>
                <w:rFonts w:ascii="Times New Roman" w:hAnsi="Times New Roman" w:cs="Arial"/>
                <w:bCs/>
                <w:sz w:val="22"/>
                <w:lang w:val="sr-Latn-ME"/>
              </w:rPr>
              <w:t xml:space="preserve">, </w:t>
            </w:r>
            <w:r w:rsidR="00DE0A48" w:rsidRPr="00C01AF3">
              <w:rPr>
                <w:rFonts w:ascii="Times New Roman" w:hAnsi="Times New Roman" w:cs="Arial"/>
                <w:bCs/>
                <w:sz w:val="22"/>
                <w:lang w:val="sr-Latn-ME"/>
              </w:rPr>
              <w:t xml:space="preserve">s </w:t>
            </w:r>
            <w:r w:rsidRPr="00C01AF3">
              <w:rPr>
                <w:rFonts w:ascii="Times New Roman" w:hAnsi="Times New Roman" w:cs="Arial"/>
                <w:bCs/>
                <w:sz w:val="22"/>
                <w:lang w:val="sr-Latn-ME"/>
              </w:rPr>
              <w:t xml:space="preserve">obzirom da mogu </w:t>
            </w:r>
            <w:r w:rsidR="003A6398" w:rsidRPr="00C01AF3">
              <w:rPr>
                <w:rFonts w:ascii="Times New Roman" w:hAnsi="Times New Roman" w:cs="Arial"/>
                <w:bCs/>
                <w:sz w:val="22"/>
                <w:lang w:val="sr-Latn-ME"/>
              </w:rPr>
              <w:t>poveća</w:t>
            </w:r>
            <w:r w:rsidR="00564B38" w:rsidRPr="00C01AF3">
              <w:rPr>
                <w:rFonts w:ascii="Times New Roman" w:hAnsi="Times New Roman" w:cs="Arial"/>
                <w:bCs/>
                <w:sz w:val="22"/>
                <w:lang w:val="sr-Latn-ME"/>
              </w:rPr>
              <w:t>ti</w:t>
            </w:r>
            <w:r w:rsidRPr="00C01AF3">
              <w:rPr>
                <w:rFonts w:ascii="Times New Roman" w:hAnsi="Times New Roman" w:cs="Arial"/>
                <w:bCs/>
                <w:sz w:val="22"/>
                <w:lang w:val="sr-Latn-ME"/>
              </w:rPr>
              <w:t xml:space="preserve"> rizik od budućih kardiovaskularnih događaja i mortaliteta.</w:t>
            </w:r>
          </w:p>
          <w:p w:rsidR="003A6398" w:rsidRPr="00C01AF3" w:rsidRDefault="003A6398" w:rsidP="00D52719">
            <w:pPr>
              <w:pStyle w:val="Header"/>
              <w:tabs>
                <w:tab w:val="left" w:pos="284"/>
              </w:tabs>
              <w:jc w:val="left"/>
              <w:rPr>
                <w:rFonts w:ascii="Times New Roman" w:hAnsi="Times New Roman" w:cs="Arial"/>
                <w:bCs/>
                <w:sz w:val="22"/>
                <w:lang w:val="sr-Latn-ME"/>
              </w:rPr>
            </w:pPr>
          </w:p>
          <w:p w:rsidR="00362F0D" w:rsidRPr="00C01AF3" w:rsidRDefault="00362F0D" w:rsidP="00D52719">
            <w:pPr>
              <w:pStyle w:val="Header"/>
              <w:tabs>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 xml:space="preserve">Preporučuje se oprez kod pacijenata sa srčanom insuficijencijom i </w:t>
            </w:r>
            <w:r w:rsidR="00E77E77" w:rsidRPr="00C01AF3">
              <w:rPr>
                <w:rFonts w:ascii="Times New Roman" w:hAnsi="Times New Roman" w:cs="Arial"/>
                <w:bCs/>
                <w:sz w:val="22"/>
                <w:lang w:val="sr-Latn-ME"/>
              </w:rPr>
              <w:t xml:space="preserve">bolešću </w:t>
            </w:r>
            <w:r w:rsidRPr="00C01AF3">
              <w:rPr>
                <w:rFonts w:ascii="Times New Roman" w:hAnsi="Times New Roman" w:cs="Arial"/>
                <w:bCs/>
                <w:sz w:val="22"/>
                <w:lang w:val="sr-Latn-ME"/>
              </w:rPr>
              <w:t>koronarn</w:t>
            </w:r>
            <w:r w:rsidR="00E77E77" w:rsidRPr="00C01AF3">
              <w:rPr>
                <w:rFonts w:ascii="Times New Roman" w:hAnsi="Times New Roman" w:cs="Arial"/>
                <w:bCs/>
                <w:sz w:val="22"/>
                <w:lang w:val="sr-Latn-ME"/>
              </w:rPr>
              <w:t>ih</w:t>
            </w:r>
            <w:r w:rsidRPr="00C01AF3">
              <w:rPr>
                <w:rFonts w:ascii="Times New Roman" w:hAnsi="Times New Roman" w:cs="Arial"/>
                <w:bCs/>
                <w:sz w:val="22"/>
                <w:lang w:val="sr-Latn-ME"/>
              </w:rPr>
              <w:t xml:space="preserve"> arterij</w:t>
            </w:r>
            <w:r w:rsidR="00E77E77" w:rsidRPr="00C01AF3">
              <w:rPr>
                <w:rFonts w:ascii="Times New Roman" w:hAnsi="Times New Roman" w:cs="Arial"/>
                <w:bCs/>
                <w:sz w:val="22"/>
                <w:lang w:val="sr-Latn-ME"/>
              </w:rPr>
              <w:t>a</w:t>
            </w:r>
            <w:r w:rsidRPr="00C01AF3">
              <w:rPr>
                <w:rFonts w:ascii="Times New Roman" w:hAnsi="Times New Roman" w:cs="Arial"/>
                <w:bCs/>
                <w:sz w:val="22"/>
                <w:lang w:val="sr-Latn-ME"/>
              </w:rPr>
              <w:t xml:space="preserve">, </w:t>
            </w:r>
            <w:r w:rsidR="003E759A" w:rsidRPr="00C01AF3">
              <w:rPr>
                <w:rFonts w:ascii="Times New Roman" w:hAnsi="Times New Roman" w:cs="Arial"/>
                <w:bCs/>
                <w:sz w:val="22"/>
                <w:lang w:val="sr-Latn-ME"/>
              </w:rPr>
              <w:t>posebno pri maksimal</w:t>
            </w:r>
            <w:r w:rsidR="0007696D" w:rsidRPr="00C01AF3">
              <w:rPr>
                <w:rFonts w:ascii="Times New Roman" w:hAnsi="Times New Roman" w:cs="Arial"/>
                <w:bCs/>
                <w:sz w:val="22"/>
                <w:lang w:val="sr-Latn-ME"/>
              </w:rPr>
              <w:t xml:space="preserve">noj dozi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a Exforge HCT, 320mg/</w:t>
            </w:r>
            <w:r w:rsidR="00AC4741" w:rsidRPr="00C01AF3">
              <w:rPr>
                <w:rFonts w:ascii="Times New Roman" w:hAnsi="Times New Roman" w:cs="Arial"/>
                <w:bCs/>
                <w:sz w:val="22"/>
                <w:lang w:val="sr-Latn-ME"/>
              </w:rPr>
              <w:t>10mg/</w:t>
            </w:r>
            <w:r w:rsidR="0007696D" w:rsidRPr="00C01AF3">
              <w:rPr>
                <w:rFonts w:ascii="Times New Roman" w:hAnsi="Times New Roman" w:cs="Arial"/>
                <w:bCs/>
                <w:sz w:val="22"/>
                <w:lang w:val="sr-Latn-ME"/>
              </w:rPr>
              <w:t>25mg, s obzirom da su podaci za ovu populaciju</w:t>
            </w:r>
            <w:r w:rsidRPr="00C01AF3">
              <w:rPr>
                <w:rFonts w:ascii="Times New Roman" w:hAnsi="Times New Roman" w:cs="Arial"/>
                <w:bCs/>
                <w:sz w:val="22"/>
                <w:lang w:val="sr-Latn-ME"/>
              </w:rPr>
              <w:t xml:space="preserve"> pacijenata</w:t>
            </w:r>
            <w:r w:rsidR="0007696D" w:rsidRPr="00C01AF3">
              <w:rPr>
                <w:rFonts w:ascii="Times New Roman" w:hAnsi="Times New Roman" w:cs="Arial"/>
                <w:bCs/>
                <w:sz w:val="22"/>
                <w:lang w:val="sr-Latn-ME"/>
              </w:rPr>
              <w:t xml:space="preserve"> ograničeni</w:t>
            </w:r>
            <w:r w:rsidRPr="00C01AF3">
              <w:rPr>
                <w:rFonts w:ascii="Times New Roman" w:hAnsi="Times New Roman" w:cs="Arial"/>
                <w:bCs/>
                <w:sz w:val="22"/>
                <w:lang w:val="sr-Latn-ME"/>
              </w:rPr>
              <w:t>.</w:t>
            </w:r>
          </w:p>
          <w:p w:rsidR="00D70C23" w:rsidRPr="00C01AF3" w:rsidRDefault="00D70C23" w:rsidP="00362F0D">
            <w:pPr>
              <w:pStyle w:val="Header"/>
              <w:tabs>
                <w:tab w:val="left" w:pos="284"/>
              </w:tabs>
              <w:jc w:val="left"/>
              <w:rPr>
                <w:rFonts w:ascii="Times New Roman" w:hAnsi="Times New Roman" w:cs="Arial"/>
                <w:bCs/>
                <w:sz w:val="22"/>
                <w:lang w:val="sr-Latn-ME"/>
              </w:rPr>
            </w:pPr>
          </w:p>
          <w:p w:rsidR="00D70C23" w:rsidRPr="00C01AF3" w:rsidRDefault="00D70C23" w:rsidP="00D70C23">
            <w:pPr>
              <w:pStyle w:val="Header"/>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 xml:space="preserve">Stenoza aortne i mitralne valvule </w:t>
            </w:r>
          </w:p>
          <w:p w:rsidR="00D70C23" w:rsidRPr="00C01AF3" w:rsidRDefault="00D70C23" w:rsidP="00D70C23">
            <w:pPr>
              <w:pStyle w:val="Header"/>
              <w:tabs>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 xml:space="preserve">Kao i sa drugim vazodilatatorima, </w:t>
            </w:r>
            <w:r w:rsidR="00313383" w:rsidRPr="00C01AF3">
              <w:rPr>
                <w:rFonts w:ascii="Times New Roman" w:hAnsi="Times New Roman" w:cs="Arial"/>
                <w:bCs/>
                <w:sz w:val="22"/>
                <w:lang w:val="sr-Latn-ME"/>
              </w:rPr>
              <w:t xml:space="preserve">potreban je </w:t>
            </w:r>
            <w:r w:rsidRPr="00C01AF3">
              <w:rPr>
                <w:rFonts w:ascii="Times New Roman" w:hAnsi="Times New Roman" w:cs="Arial"/>
                <w:bCs/>
                <w:sz w:val="22"/>
                <w:lang w:val="sr-Latn-ME"/>
              </w:rPr>
              <w:t>poseban oprez kod pacijenata sa mitralnom stenozom  ili značajnom aortnom stenozom koja nije visokog stepena</w:t>
            </w:r>
            <w:r w:rsidR="00D47EFD" w:rsidRPr="00C01AF3">
              <w:rPr>
                <w:rFonts w:ascii="Times New Roman" w:hAnsi="Times New Roman" w:cs="Arial"/>
                <w:bCs/>
                <w:sz w:val="22"/>
                <w:lang w:val="sr-Latn-ME"/>
              </w:rPr>
              <w:t>.</w:t>
            </w:r>
          </w:p>
          <w:p w:rsidR="00145096" w:rsidRPr="00C01AF3" w:rsidRDefault="00145096" w:rsidP="00D110E3">
            <w:pPr>
              <w:pStyle w:val="Header"/>
              <w:tabs>
                <w:tab w:val="left" w:pos="284"/>
              </w:tabs>
              <w:rPr>
                <w:rFonts w:ascii="Times New Roman" w:hAnsi="Times New Roman" w:cs="Arial"/>
                <w:bCs/>
                <w:sz w:val="22"/>
                <w:lang w:val="sr-Latn-ME"/>
              </w:rPr>
            </w:pPr>
          </w:p>
          <w:p w:rsidR="00145096" w:rsidRPr="00C01AF3" w:rsidRDefault="00145096" w:rsidP="00145096">
            <w:pPr>
              <w:pStyle w:val="Header"/>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Trudnoća</w:t>
            </w:r>
          </w:p>
          <w:p w:rsidR="00B56725" w:rsidRPr="00C01AF3" w:rsidRDefault="00BD0291" w:rsidP="00145096">
            <w:pPr>
              <w:pStyle w:val="Header"/>
              <w:tabs>
                <w:tab w:val="clear" w:pos="4536"/>
                <w:tab w:val="clear" w:pos="9072"/>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Primje</w:t>
            </w:r>
            <w:r w:rsidR="00145096" w:rsidRPr="00C01AF3">
              <w:rPr>
                <w:rFonts w:ascii="Times New Roman" w:hAnsi="Times New Roman" w:cs="Arial"/>
                <w:bCs/>
                <w:sz w:val="22"/>
                <w:lang w:val="sr-Latn-ME"/>
              </w:rPr>
              <w:t>n</w:t>
            </w:r>
            <w:r w:rsidR="00313383" w:rsidRPr="00C01AF3">
              <w:rPr>
                <w:rFonts w:ascii="Times New Roman" w:hAnsi="Times New Roman" w:cs="Arial"/>
                <w:bCs/>
                <w:sz w:val="22"/>
                <w:lang w:val="sr-Latn-ME"/>
              </w:rPr>
              <w:t>a</w:t>
            </w:r>
            <w:r w:rsidR="00145096" w:rsidRPr="00C01AF3">
              <w:rPr>
                <w:rFonts w:ascii="Times New Roman" w:hAnsi="Times New Roman" w:cs="Arial"/>
                <w:bCs/>
                <w:sz w:val="22"/>
                <w:lang w:val="sr-Latn-ME"/>
              </w:rPr>
              <w:t xml:space="preserve"> antagonista angiotenzin II receptora (AIIRA) ne </w:t>
            </w:r>
            <w:r w:rsidR="00313383" w:rsidRPr="00C01AF3">
              <w:rPr>
                <w:rFonts w:ascii="Times New Roman" w:hAnsi="Times New Roman" w:cs="Arial"/>
                <w:bCs/>
                <w:sz w:val="22"/>
                <w:lang w:val="sr-Latn-ME"/>
              </w:rPr>
              <w:t xml:space="preserve">smije se </w:t>
            </w:r>
            <w:r w:rsidR="00A61339" w:rsidRPr="00C01AF3">
              <w:rPr>
                <w:rFonts w:ascii="Times New Roman" w:hAnsi="Times New Roman" w:cs="Arial"/>
                <w:bCs/>
                <w:sz w:val="22"/>
                <w:lang w:val="sr-Latn-ME"/>
              </w:rPr>
              <w:t>započeti tokom trudnoće. Osim ukoliko se  smatra da</w:t>
            </w:r>
            <w:r w:rsidR="00145096" w:rsidRPr="00C01AF3">
              <w:rPr>
                <w:rFonts w:ascii="Times New Roman" w:hAnsi="Times New Roman" w:cs="Arial"/>
                <w:bCs/>
                <w:sz w:val="22"/>
                <w:lang w:val="sr-Latn-ME"/>
              </w:rPr>
              <w:t xml:space="preserve"> je nastavak terapije AIIRA-om  neophodan, pacijentkinje koje planiraju trudnoću treba prebaciti na alternativnu antihipertenzivnu terapiju koja ima utvrđen </w:t>
            </w:r>
            <w:r w:rsidR="006A1297" w:rsidRPr="00C01AF3">
              <w:rPr>
                <w:rFonts w:ascii="Times New Roman" w:hAnsi="Times New Roman" w:cs="Arial"/>
                <w:bCs/>
                <w:sz w:val="22"/>
                <w:lang w:val="sr-Latn-ME"/>
              </w:rPr>
              <w:t>bezbjedn</w:t>
            </w:r>
            <w:r w:rsidR="00145096" w:rsidRPr="00C01AF3">
              <w:rPr>
                <w:rFonts w:ascii="Times New Roman" w:hAnsi="Times New Roman" w:cs="Arial"/>
                <w:bCs/>
                <w:sz w:val="22"/>
                <w:lang w:val="sr-Latn-ME"/>
              </w:rPr>
              <w:t xml:space="preserve">osni profil za </w:t>
            </w:r>
            <w:r w:rsidRPr="00C01AF3">
              <w:rPr>
                <w:rFonts w:ascii="Times New Roman" w:hAnsi="Times New Roman" w:cs="Arial"/>
                <w:bCs/>
                <w:sz w:val="22"/>
                <w:lang w:val="sr-Latn-ME"/>
              </w:rPr>
              <w:t>primje</w:t>
            </w:r>
            <w:r w:rsidR="00145096" w:rsidRPr="00C01AF3">
              <w:rPr>
                <w:rFonts w:ascii="Times New Roman" w:hAnsi="Times New Roman" w:cs="Arial"/>
                <w:bCs/>
                <w:sz w:val="22"/>
                <w:lang w:val="sr-Latn-ME"/>
              </w:rPr>
              <w:t>nu u trudnoći. Kada se trudnoća utvrdi, l</w:t>
            </w:r>
            <w:r w:rsidR="006A1297" w:rsidRPr="00C01AF3">
              <w:rPr>
                <w:rFonts w:ascii="Times New Roman" w:hAnsi="Times New Roman" w:cs="Arial"/>
                <w:bCs/>
                <w:sz w:val="22"/>
                <w:lang w:val="sr-Latn-ME"/>
              </w:rPr>
              <w:t>ij</w:t>
            </w:r>
            <w:r w:rsidR="00145096" w:rsidRPr="00C01AF3">
              <w:rPr>
                <w:rFonts w:ascii="Times New Roman" w:hAnsi="Times New Roman" w:cs="Arial"/>
                <w:bCs/>
                <w:sz w:val="22"/>
                <w:lang w:val="sr-Latn-ME"/>
              </w:rPr>
              <w:t>ečenje AIIRA-om treba odmah prekin</w:t>
            </w:r>
            <w:r w:rsidR="00313383" w:rsidRPr="00C01AF3">
              <w:rPr>
                <w:rFonts w:ascii="Times New Roman" w:hAnsi="Times New Roman" w:cs="Arial"/>
                <w:bCs/>
                <w:sz w:val="22"/>
                <w:lang w:val="sr-Latn-ME"/>
              </w:rPr>
              <w:t>uti</w:t>
            </w:r>
            <w:r w:rsidR="00A61339" w:rsidRPr="00C01AF3">
              <w:rPr>
                <w:rFonts w:ascii="Times New Roman" w:hAnsi="Times New Roman" w:cs="Arial"/>
                <w:bCs/>
                <w:sz w:val="22"/>
                <w:lang w:val="sr-Latn-ME"/>
              </w:rPr>
              <w:t xml:space="preserve"> i</w:t>
            </w:r>
            <w:r w:rsidR="00145096" w:rsidRPr="00C01AF3">
              <w:rPr>
                <w:rFonts w:ascii="Times New Roman" w:hAnsi="Times New Roman" w:cs="Arial"/>
                <w:bCs/>
                <w:sz w:val="22"/>
                <w:lang w:val="sr-Latn-ME"/>
              </w:rPr>
              <w:t xml:space="preserve"> ako je prikladno, započeti alternativn</w:t>
            </w:r>
            <w:r w:rsidR="00313383" w:rsidRPr="00C01AF3">
              <w:rPr>
                <w:rFonts w:ascii="Times New Roman" w:hAnsi="Times New Roman" w:cs="Arial"/>
                <w:bCs/>
                <w:sz w:val="22"/>
                <w:lang w:val="sr-Latn-ME"/>
              </w:rPr>
              <w:t>u</w:t>
            </w:r>
            <w:r w:rsidR="00145096" w:rsidRPr="00C01AF3">
              <w:rPr>
                <w:rFonts w:ascii="Times New Roman" w:hAnsi="Times New Roman" w:cs="Arial"/>
                <w:bCs/>
                <w:sz w:val="22"/>
                <w:lang w:val="sr-Latn-ME"/>
              </w:rPr>
              <w:t xml:space="preserve"> terapij</w:t>
            </w:r>
            <w:r w:rsidR="00313383" w:rsidRPr="00C01AF3">
              <w:rPr>
                <w:rFonts w:ascii="Times New Roman" w:hAnsi="Times New Roman" w:cs="Arial"/>
                <w:bCs/>
                <w:sz w:val="22"/>
                <w:lang w:val="sr-Latn-ME"/>
              </w:rPr>
              <w:t>u</w:t>
            </w:r>
            <w:r w:rsidR="00145096" w:rsidRPr="00C01AF3">
              <w:rPr>
                <w:rFonts w:ascii="Times New Roman" w:hAnsi="Times New Roman" w:cs="Arial"/>
                <w:bCs/>
                <w:sz w:val="22"/>
                <w:lang w:val="sr-Latn-ME"/>
              </w:rPr>
              <w:t xml:space="preserve"> (vid</w:t>
            </w:r>
            <w:r w:rsidR="00D70C23" w:rsidRPr="00C01AF3">
              <w:rPr>
                <w:rFonts w:ascii="Times New Roman" w:hAnsi="Times New Roman" w:cs="Arial"/>
                <w:bCs/>
                <w:sz w:val="22"/>
                <w:lang w:val="sr-Latn-ME"/>
              </w:rPr>
              <w:t>j</w:t>
            </w:r>
            <w:r w:rsidR="00145096" w:rsidRPr="00C01AF3">
              <w:rPr>
                <w:rFonts w:ascii="Times New Roman" w:hAnsi="Times New Roman" w:cs="Arial"/>
                <w:bCs/>
                <w:sz w:val="22"/>
                <w:lang w:val="sr-Latn-ME"/>
              </w:rPr>
              <w:t xml:space="preserve">eti </w:t>
            </w:r>
            <w:r w:rsidRPr="00C01AF3">
              <w:rPr>
                <w:rFonts w:ascii="Times New Roman" w:hAnsi="Times New Roman" w:cs="Arial"/>
                <w:bCs/>
                <w:sz w:val="22"/>
                <w:lang w:val="sr-Latn-ME"/>
              </w:rPr>
              <w:t>odjelj</w:t>
            </w:r>
            <w:r w:rsidR="00145096" w:rsidRPr="00C01AF3">
              <w:rPr>
                <w:rFonts w:ascii="Times New Roman" w:hAnsi="Times New Roman" w:cs="Arial"/>
                <w:bCs/>
                <w:sz w:val="22"/>
                <w:lang w:val="sr-Latn-ME"/>
              </w:rPr>
              <w:t>ak 4.3 i 4.6).</w:t>
            </w:r>
          </w:p>
          <w:p w:rsidR="00CD2B3E" w:rsidRPr="00C01AF3" w:rsidRDefault="00CD2B3E" w:rsidP="00145096">
            <w:pPr>
              <w:pStyle w:val="Header"/>
              <w:tabs>
                <w:tab w:val="clear" w:pos="4536"/>
                <w:tab w:val="clear" w:pos="9072"/>
                <w:tab w:val="left" w:pos="284"/>
              </w:tabs>
              <w:jc w:val="left"/>
              <w:rPr>
                <w:rFonts w:ascii="Times New Roman" w:hAnsi="Times New Roman" w:cs="Arial"/>
                <w:bCs/>
                <w:sz w:val="22"/>
                <w:lang w:val="sr-Latn-ME"/>
              </w:rPr>
            </w:pPr>
          </w:p>
          <w:p w:rsidR="00CD2B3E" w:rsidRPr="00C01AF3" w:rsidRDefault="00CD2B3E" w:rsidP="00CD2B3E">
            <w:pPr>
              <w:pStyle w:val="Header"/>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Primarni hiperaldosteronizam</w:t>
            </w:r>
          </w:p>
          <w:p w:rsidR="00CD2B3E" w:rsidRPr="00C01AF3" w:rsidRDefault="00CD2B3E" w:rsidP="00CD2B3E">
            <w:pPr>
              <w:pStyle w:val="Header"/>
              <w:tabs>
                <w:tab w:val="clear" w:pos="4536"/>
                <w:tab w:val="clear" w:pos="9072"/>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 xml:space="preserve">Kod pacijenata sa primarnim hiperaldosteronizmom ne bi trebalo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njivati antagons</w:t>
            </w:r>
            <w:r w:rsidR="00D14124" w:rsidRPr="00C01AF3">
              <w:rPr>
                <w:rFonts w:ascii="Times New Roman" w:hAnsi="Times New Roman" w:cs="Arial"/>
                <w:bCs/>
                <w:sz w:val="22"/>
                <w:lang w:val="sr-Latn-ME"/>
              </w:rPr>
              <w:t>te</w:t>
            </w:r>
            <w:r w:rsidRPr="00C01AF3">
              <w:rPr>
                <w:rFonts w:ascii="Times New Roman" w:hAnsi="Times New Roman" w:cs="Arial"/>
                <w:bCs/>
                <w:sz w:val="22"/>
                <w:lang w:val="sr-Latn-ME"/>
              </w:rPr>
              <w:t xml:space="preserve"> angiotenizina II valsartan jer njihov renin-angiotenzinski sistem </w:t>
            </w:r>
            <w:r w:rsidR="00D14124" w:rsidRPr="00C01AF3">
              <w:rPr>
                <w:rFonts w:ascii="Times New Roman" w:hAnsi="Times New Roman" w:cs="Arial"/>
                <w:bCs/>
                <w:sz w:val="22"/>
                <w:lang w:val="sr-Latn-ME"/>
              </w:rPr>
              <w:t>nije aktivan</w:t>
            </w:r>
            <w:r w:rsidRPr="00C01AF3">
              <w:rPr>
                <w:rFonts w:ascii="Times New Roman" w:hAnsi="Times New Roman" w:cs="Arial"/>
                <w:bCs/>
                <w:sz w:val="22"/>
                <w:lang w:val="sr-Latn-ME"/>
              </w:rPr>
              <w:t>.</w:t>
            </w:r>
            <w:r w:rsidR="00D70C23" w:rsidRPr="00C01AF3">
              <w:rPr>
                <w:rFonts w:ascii="Times New Roman" w:hAnsi="Times New Roman" w:cs="Arial"/>
                <w:bCs/>
                <w:sz w:val="22"/>
                <w:lang w:val="sr-Latn-ME"/>
              </w:rPr>
              <w:t xml:space="preserve"> Stoga</w:t>
            </w:r>
            <w:r w:rsidR="00D14124" w:rsidRPr="00C01AF3">
              <w:rPr>
                <w:rFonts w:ascii="Times New Roman" w:hAnsi="Times New Roman" w:cs="Arial"/>
                <w:bCs/>
                <w:sz w:val="22"/>
                <w:lang w:val="sr-Latn-ME"/>
              </w:rPr>
              <w:t xml:space="preserve"> se ne preporučuje upotreba </w:t>
            </w:r>
            <w:r w:rsidR="00A65414" w:rsidRPr="00C01AF3">
              <w:rPr>
                <w:rFonts w:ascii="Times New Roman" w:hAnsi="Times New Roman" w:cs="Arial"/>
                <w:bCs/>
                <w:sz w:val="22"/>
                <w:lang w:val="sr-Latn-ME"/>
              </w:rPr>
              <w:t>lijek</w:t>
            </w:r>
            <w:r w:rsidR="00D70C23" w:rsidRPr="00C01AF3">
              <w:rPr>
                <w:rFonts w:ascii="Times New Roman" w:hAnsi="Times New Roman" w:cs="Arial"/>
                <w:bCs/>
                <w:sz w:val="22"/>
                <w:lang w:val="sr-Latn-ME"/>
              </w:rPr>
              <w:t>a Exforge HCT kod ove populacije.</w:t>
            </w:r>
          </w:p>
          <w:p w:rsidR="00B56725" w:rsidRPr="00C01AF3" w:rsidRDefault="00B56725" w:rsidP="00B56725">
            <w:pPr>
              <w:pStyle w:val="Header"/>
              <w:tabs>
                <w:tab w:val="clear" w:pos="4536"/>
                <w:tab w:val="clear" w:pos="9072"/>
                <w:tab w:val="left" w:pos="284"/>
              </w:tabs>
              <w:jc w:val="left"/>
              <w:rPr>
                <w:rFonts w:ascii="Times New Roman" w:hAnsi="Times New Roman" w:cs="Arial"/>
                <w:bCs/>
                <w:sz w:val="22"/>
                <w:lang w:val="sr-Latn-ME"/>
              </w:rPr>
            </w:pPr>
          </w:p>
          <w:p w:rsidR="002808BC" w:rsidRPr="00C01AF3" w:rsidRDefault="005E589F" w:rsidP="002808BC">
            <w:pPr>
              <w:tabs>
                <w:tab w:val="clear" w:pos="284"/>
              </w:tabs>
              <w:autoSpaceDE w:val="0"/>
              <w:autoSpaceDN w:val="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Sistemski lupus er</w:t>
            </w:r>
            <w:r w:rsidR="00313383" w:rsidRPr="00C01AF3">
              <w:rPr>
                <w:rFonts w:ascii="Times New Roman" w:hAnsi="Times New Roman" w:cs="Arial"/>
                <w:bCs/>
                <w:sz w:val="22"/>
                <w:u w:val="single"/>
                <w:lang w:val="sr-Latn-ME"/>
              </w:rPr>
              <w:t>i</w:t>
            </w:r>
            <w:r w:rsidRPr="00C01AF3">
              <w:rPr>
                <w:rFonts w:ascii="Times New Roman" w:hAnsi="Times New Roman" w:cs="Arial"/>
                <w:bCs/>
                <w:sz w:val="22"/>
                <w:u w:val="single"/>
                <w:lang w:val="sr-Latn-ME"/>
              </w:rPr>
              <w:t>temato</w:t>
            </w:r>
            <w:r w:rsidR="00313383" w:rsidRPr="00C01AF3">
              <w:rPr>
                <w:rFonts w:ascii="Times New Roman" w:hAnsi="Times New Roman" w:cs="Arial"/>
                <w:bCs/>
                <w:sz w:val="22"/>
                <w:u w:val="single"/>
                <w:lang w:val="sr-Latn-ME"/>
              </w:rPr>
              <w:t>z</w:t>
            </w:r>
            <w:r w:rsidRPr="00C01AF3">
              <w:rPr>
                <w:rFonts w:ascii="Times New Roman" w:hAnsi="Times New Roman" w:cs="Arial"/>
                <w:bCs/>
                <w:sz w:val="22"/>
                <w:u w:val="single"/>
                <w:lang w:val="sr-Latn-ME"/>
              </w:rPr>
              <w:t>us</w:t>
            </w:r>
          </w:p>
          <w:p w:rsidR="005E589F" w:rsidRPr="00C01AF3" w:rsidRDefault="003309F3" w:rsidP="002808BC">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cs="Arial"/>
                <w:bCs/>
                <w:sz w:val="22"/>
                <w:lang w:val="sr-Latn-ME"/>
              </w:rPr>
              <w:t>Zabilje</w:t>
            </w:r>
            <w:r w:rsidR="005E589F" w:rsidRPr="00C01AF3">
              <w:rPr>
                <w:rFonts w:ascii="Times New Roman" w:hAnsi="Times New Roman" w:cs="Arial"/>
                <w:bCs/>
                <w:sz w:val="22"/>
                <w:lang w:val="sr-Latn-ME"/>
              </w:rPr>
              <w:t>ženo je da tiazidni diuretici</w:t>
            </w:r>
            <w:r w:rsidR="00EF2C34" w:rsidRPr="00C01AF3">
              <w:rPr>
                <w:rFonts w:ascii="Times New Roman" w:hAnsi="Times New Roman" w:cs="Arial"/>
                <w:bCs/>
                <w:sz w:val="22"/>
                <w:lang w:val="sr-Latn-ME"/>
              </w:rPr>
              <w:t xml:space="preserve">, uključujući </w:t>
            </w:r>
            <w:r w:rsidR="007C4A86" w:rsidRPr="00C01AF3">
              <w:rPr>
                <w:rFonts w:ascii="Times New Roman" w:hAnsi="Times New Roman" w:cs="Arial"/>
                <w:bCs/>
                <w:sz w:val="22"/>
                <w:lang w:val="sr-Latn-ME"/>
              </w:rPr>
              <w:t>hidrohlortiazid</w:t>
            </w:r>
            <w:r w:rsidR="005E589F" w:rsidRPr="00C01AF3">
              <w:rPr>
                <w:rFonts w:ascii="Times New Roman" w:hAnsi="Times New Roman" w:cs="Arial"/>
                <w:bCs/>
                <w:sz w:val="22"/>
                <w:lang w:val="sr-Latn-ME"/>
              </w:rPr>
              <w:t xml:space="preserve"> pogoršavaju</w:t>
            </w:r>
            <w:r w:rsidR="00EF2C34" w:rsidRPr="00C01AF3">
              <w:rPr>
                <w:rFonts w:ascii="Times New Roman" w:hAnsi="Times New Roman" w:cs="Arial"/>
                <w:bCs/>
                <w:sz w:val="22"/>
                <w:lang w:val="sr-Latn-ME"/>
              </w:rPr>
              <w:t xml:space="preserve"> ili aktiviraju</w:t>
            </w:r>
            <w:r w:rsidR="005E589F" w:rsidRPr="00C01AF3">
              <w:rPr>
                <w:rFonts w:ascii="Times New Roman" w:hAnsi="Times New Roman" w:cs="Arial"/>
                <w:bCs/>
                <w:sz w:val="22"/>
                <w:lang w:val="sr-Latn-ME"/>
              </w:rPr>
              <w:t xml:space="preserve"> sistemski lupus er</w:t>
            </w:r>
            <w:r w:rsidR="00313383" w:rsidRPr="00C01AF3">
              <w:rPr>
                <w:rFonts w:ascii="Times New Roman" w:hAnsi="Times New Roman" w:cs="Arial"/>
                <w:bCs/>
                <w:sz w:val="22"/>
                <w:lang w:val="sr-Latn-ME"/>
              </w:rPr>
              <w:t>i</w:t>
            </w:r>
            <w:r w:rsidR="005E589F" w:rsidRPr="00C01AF3">
              <w:rPr>
                <w:rFonts w:ascii="Times New Roman" w:hAnsi="Times New Roman" w:cs="Arial"/>
                <w:bCs/>
                <w:sz w:val="22"/>
                <w:lang w:val="sr-Latn-ME"/>
              </w:rPr>
              <w:t>temato</w:t>
            </w:r>
            <w:r w:rsidR="00313383" w:rsidRPr="00C01AF3">
              <w:rPr>
                <w:rFonts w:ascii="Times New Roman" w:hAnsi="Times New Roman" w:cs="Arial"/>
                <w:bCs/>
                <w:sz w:val="22"/>
                <w:lang w:val="sr-Latn-ME"/>
              </w:rPr>
              <w:t>z</w:t>
            </w:r>
            <w:r w:rsidR="005E589F" w:rsidRPr="00C01AF3">
              <w:rPr>
                <w:rFonts w:ascii="Times New Roman" w:hAnsi="Times New Roman" w:cs="Arial"/>
                <w:bCs/>
                <w:sz w:val="22"/>
                <w:lang w:val="sr-Latn-ME"/>
              </w:rPr>
              <w:t>us</w:t>
            </w:r>
            <w:r w:rsidR="00EF2C34" w:rsidRPr="00C01AF3">
              <w:rPr>
                <w:rFonts w:ascii="Times New Roman" w:hAnsi="Times New Roman" w:cs="Arial"/>
                <w:bCs/>
                <w:sz w:val="22"/>
                <w:lang w:val="sr-Latn-ME"/>
              </w:rPr>
              <w:t>.</w:t>
            </w:r>
          </w:p>
          <w:p w:rsidR="00B56725" w:rsidRPr="00C01AF3" w:rsidRDefault="00B56725" w:rsidP="00B56725">
            <w:pPr>
              <w:jc w:val="left"/>
              <w:rPr>
                <w:rFonts w:ascii="Times New Roman" w:hAnsi="Times New Roman"/>
                <w:sz w:val="22"/>
                <w:szCs w:val="22"/>
                <w:lang w:val="sr-Latn-ME"/>
              </w:rPr>
            </w:pPr>
          </w:p>
          <w:p w:rsidR="005E589F" w:rsidRPr="00C01AF3" w:rsidRDefault="005E589F" w:rsidP="005E589F">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lastRenderedPageBreak/>
              <w:t>Drugi metabolički poremećaji</w:t>
            </w:r>
          </w:p>
          <w:p w:rsidR="005E589F" w:rsidRPr="00C01AF3" w:rsidRDefault="005E589F" w:rsidP="005E589F">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 xml:space="preserve">Tiazidni diuretici, uključujući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 mogu da izm</w:t>
            </w:r>
            <w:r w:rsidR="008D6177" w:rsidRPr="00C01AF3">
              <w:rPr>
                <w:rFonts w:ascii="Times New Roman" w:hAnsi="Times New Roman"/>
                <w:sz w:val="22"/>
                <w:szCs w:val="22"/>
                <w:lang w:val="sr-Latn-ME"/>
              </w:rPr>
              <w:t>i</w:t>
            </w:r>
            <w:r w:rsidR="006A1297" w:rsidRPr="00C01AF3">
              <w:rPr>
                <w:rFonts w:ascii="Times New Roman" w:hAnsi="Times New Roman"/>
                <w:sz w:val="22"/>
                <w:szCs w:val="22"/>
                <w:lang w:val="sr-Latn-ME"/>
              </w:rPr>
              <w:t>j</w:t>
            </w:r>
            <w:r w:rsidRPr="00C01AF3">
              <w:rPr>
                <w:rFonts w:ascii="Times New Roman" w:hAnsi="Times New Roman"/>
                <w:sz w:val="22"/>
                <w:szCs w:val="22"/>
                <w:lang w:val="sr-Latn-ME"/>
              </w:rPr>
              <w:t>ene</w:t>
            </w:r>
            <w:r w:rsidR="0046616D" w:rsidRPr="00C01AF3">
              <w:rPr>
                <w:rFonts w:ascii="Times New Roman" w:hAnsi="Times New Roman"/>
                <w:sz w:val="22"/>
                <w:szCs w:val="22"/>
                <w:lang w:val="sr-Latn-ME"/>
              </w:rPr>
              <w:t xml:space="preserve"> </w:t>
            </w:r>
            <w:r w:rsidRPr="00C01AF3">
              <w:rPr>
                <w:rFonts w:ascii="Times New Roman" w:hAnsi="Times New Roman"/>
                <w:sz w:val="22"/>
                <w:szCs w:val="22"/>
                <w:lang w:val="sr-Latn-ME"/>
              </w:rPr>
              <w:t>toleranciju na glukozu i povećaju serumske nivoe holesterola, triglicerida i mokraćne kiseline. Kod pacijenata sa dijabetes</w:t>
            </w:r>
            <w:r w:rsidR="00E9072B" w:rsidRPr="00C01AF3">
              <w:rPr>
                <w:rFonts w:ascii="Times New Roman" w:hAnsi="Times New Roman"/>
                <w:sz w:val="22"/>
                <w:szCs w:val="22"/>
                <w:lang w:val="sr-Latn-ME"/>
              </w:rPr>
              <w:t>om</w:t>
            </w:r>
            <w:r w:rsidRPr="00C01AF3">
              <w:rPr>
                <w:rFonts w:ascii="Times New Roman" w:hAnsi="Times New Roman"/>
                <w:sz w:val="22"/>
                <w:szCs w:val="22"/>
                <w:lang w:val="sr-Latn-ME"/>
              </w:rPr>
              <w:t xml:space="preserve"> može biti potrebno prilagođavanje doze insulina ili oralnih hipoglikemijskih l</w:t>
            </w:r>
            <w:r w:rsidR="00A65414" w:rsidRPr="00C01AF3">
              <w:rPr>
                <w:rFonts w:ascii="Times New Roman" w:hAnsi="Times New Roman"/>
                <w:sz w:val="22"/>
                <w:szCs w:val="22"/>
                <w:lang w:val="sr-Latn-ME"/>
              </w:rPr>
              <w:t>j</w:t>
            </w:r>
            <w:r w:rsidRPr="00C01AF3">
              <w:rPr>
                <w:rFonts w:ascii="Times New Roman" w:hAnsi="Times New Roman"/>
                <w:sz w:val="22"/>
                <w:szCs w:val="22"/>
                <w:lang w:val="sr-Latn-ME"/>
              </w:rPr>
              <w:t>ekova.</w:t>
            </w:r>
          </w:p>
          <w:p w:rsidR="005E589F" w:rsidRPr="00C01AF3" w:rsidRDefault="005E589F" w:rsidP="005E589F">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Z</w:t>
            </w:r>
            <w:r w:rsidR="003D5BB2" w:rsidRPr="00C01AF3">
              <w:rPr>
                <w:rFonts w:ascii="Times New Roman" w:hAnsi="Times New Roman"/>
                <w:sz w:val="22"/>
                <w:szCs w:val="22"/>
                <w:lang w:val="sr-Latn-ME"/>
              </w:rPr>
              <w:t xml:space="preserve">bog komponente </w:t>
            </w:r>
            <w:r w:rsidR="007C4A86" w:rsidRPr="00C01AF3">
              <w:rPr>
                <w:rFonts w:ascii="Times New Roman" w:hAnsi="Times New Roman"/>
                <w:sz w:val="22"/>
                <w:szCs w:val="22"/>
                <w:lang w:val="sr-Latn-ME"/>
              </w:rPr>
              <w:t>hidrohlortiazid</w:t>
            </w:r>
            <w:r w:rsidR="003D5BB2" w:rsidRPr="00C01AF3">
              <w:rPr>
                <w:rFonts w:ascii="Times New Roman" w:hAnsi="Times New Roman"/>
                <w:sz w:val="22"/>
                <w:szCs w:val="22"/>
                <w:lang w:val="sr-Latn-ME"/>
              </w:rPr>
              <w:t>a</w:t>
            </w:r>
            <w:r w:rsidR="00E0586D" w:rsidRPr="00C01AF3">
              <w:rPr>
                <w:rFonts w:ascii="Times New Roman" w:hAnsi="Times New Roman"/>
                <w:sz w:val="22"/>
                <w:szCs w:val="22"/>
                <w:lang w:val="sr-Latn-ME"/>
              </w:rPr>
              <w:t>, Exforge HCT</w:t>
            </w:r>
            <w:r w:rsidRPr="00C01AF3">
              <w:rPr>
                <w:rFonts w:ascii="Times New Roman" w:hAnsi="Times New Roman"/>
                <w:sz w:val="22"/>
                <w:szCs w:val="22"/>
                <w:lang w:val="sr-Latn-ME"/>
              </w:rPr>
              <w:t xml:space="preserve"> je kontraindikovan kod simtpomatske hiperurikemije. </w:t>
            </w:r>
            <w:r w:rsidR="007C4A86" w:rsidRPr="00C01AF3">
              <w:rPr>
                <w:rFonts w:ascii="Times New Roman" w:hAnsi="Times New Roman"/>
                <w:sz w:val="22"/>
                <w:szCs w:val="22"/>
                <w:lang w:val="sr-Latn-ME"/>
              </w:rPr>
              <w:t>Hidrohlortiazid</w:t>
            </w:r>
            <w:r w:rsidR="003D5BB2" w:rsidRPr="00C01AF3">
              <w:rPr>
                <w:rFonts w:ascii="Times New Roman" w:hAnsi="Times New Roman"/>
                <w:sz w:val="22"/>
                <w:szCs w:val="22"/>
                <w:lang w:val="sr-Latn-ME"/>
              </w:rPr>
              <w:t xml:space="preserve"> može povećati nivo mokraćne kiseline u serumu zbog smanjenog </w:t>
            </w:r>
            <w:r w:rsidR="00E0586D" w:rsidRPr="00C01AF3">
              <w:rPr>
                <w:rFonts w:ascii="Times New Roman" w:hAnsi="Times New Roman"/>
                <w:sz w:val="22"/>
                <w:szCs w:val="22"/>
                <w:lang w:val="sr-Latn-ME"/>
              </w:rPr>
              <w:t>klirensa</w:t>
            </w:r>
            <w:r w:rsidR="003D5BB2" w:rsidRPr="00C01AF3">
              <w:rPr>
                <w:rFonts w:ascii="Times New Roman" w:hAnsi="Times New Roman"/>
                <w:sz w:val="22"/>
                <w:szCs w:val="22"/>
                <w:lang w:val="sr-Latn-ME"/>
              </w:rPr>
              <w:t xml:space="preserve"> mokraćne kiseline i može </w:t>
            </w:r>
            <w:r w:rsidR="00E0586D" w:rsidRPr="00C01AF3">
              <w:rPr>
                <w:rFonts w:ascii="Times New Roman" w:hAnsi="Times New Roman"/>
                <w:sz w:val="22"/>
                <w:szCs w:val="22"/>
                <w:lang w:val="sr-Latn-ME"/>
              </w:rPr>
              <w:t xml:space="preserve">prouzrokovati ili </w:t>
            </w:r>
            <w:r w:rsidR="003D5BB2" w:rsidRPr="00C01AF3">
              <w:rPr>
                <w:rFonts w:ascii="Times New Roman" w:hAnsi="Times New Roman"/>
                <w:sz w:val="22"/>
                <w:szCs w:val="22"/>
                <w:lang w:val="sr-Latn-ME"/>
              </w:rPr>
              <w:t>pogoršati hiperurikemiju</w:t>
            </w:r>
            <w:r w:rsidR="00B96EE2" w:rsidRPr="00C01AF3">
              <w:rPr>
                <w:rFonts w:ascii="Times New Roman" w:hAnsi="Times New Roman"/>
                <w:sz w:val="22"/>
                <w:szCs w:val="22"/>
                <w:lang w:val="sr-Latn-ME"/>
              </w:rPr>
              <w:t>,</w:t>
            </w:r>
            <w:r w:rsidR="003D5BB2" w:rsidRPr="00C01AF3">
              <w:rPr>
                <w:rFonts w:ascii="Times New Roman" w:hAnsi="Times New Roman"/>
                <w:sz w:val="22"/>
                <w:szCs w:val="22"/>
                <w:lang w:val="sr-Latn-ME"/>
              </w:rPr>
              <w:t xml:space="preserve"> kao i </w:t>
            </w:r>
            <w:r w:rsidR="00B96EE2" w:rsidRPr="00C01AF3">
              <w:rPr>
                <w:rFonts w:ascii="Times New Roman" w:hAnsi="Times New Roman"/>
                <w:sz w:val="22"/>
                <w:szCs w:val="22"/>
                <w:lang w:val="sr-Latn-ME"/>
              </w:rPr>
              <w:t xml:space="preserve">podstaknuti pojavu </w:t>
            </w:r>
            <w:r w:rsidR="003D5BB2" w:rsidRPr="00C01AF3">
              <w:rPr>
                <w:rFonts w:ascii="Times New Roman" w:hAnsi="Times New Roman"/>
                <w:sz w:val="22"/>
                <w:szCs w:val="22"/>
                <w:lang w:val="sr-Latn-ME"/>
              </w:rPr>
              <w:t xml:space="preserve">gihta kod </w:t>
            </w:r>
            <w:r w:rsidR="00FD7F8C" w:rsidRPr="00C01AF3">
              <w:rPr>
                <w:rFonts w:ascii="Times New Roman" w:hAnsi="Times New Roman"/>
                <w:sz w:val="22"/>
                <w:szCs w:val="22"/>
                <w:lang w:val="sr-Latn-ME"/>
              </w:rPr>
              <w:t>osjet</w:t>
            </w:r>
            <w:r w:rsidR="003D5BB2" w:rsidRPr="00C01AF3">
              <w:rPr>
                <w:rFonts w:ascii="Times New Roman" w:hAnsi="Times New Roman"/>
                <w:sz w:val="22"/>
                <w:szCs w:val="22"/>
                <w:lang w:val="sr-Latn-ME"/>
              </w:rPr>
              <w:t>ljivih pacijenata.</w:t>
            </w:r>
          </w:p>
          <w:p w:rsidR="005E589F" w:rsidRPr="00C01AF3" w:rsidRDefault="005E589F" w:rsidP="005E589F">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Tiazidi mogu smanjiti izlučivanje kalcijuma mokraćom, te prouzrokovati povremena i blaga povećanja kalcijuma u serumu iako ni</w:t>
            </w:r>
            <w:r w:rsidR="00B96EE2" w:rsidRPr="00C01AF3">
              <w:rPr>
                <w:rFonts w:ascii="Times New Roman" w:hAnsi="Times New Roman"/>
                <w:sz w:val="22"/>
                <w:szCs w:val="22"/>
                <w:lang w:val="sr-Latn-ME"/>
              </w:rPr>
              <w:t>je</w:t>
            </w:r>
            <w:r w:rsidRPr="00C01AF3">
              <w:rPr>
                <w:rFonts w:ascii="Times New Roman" w:hAnsi="Times New Roman"/>
                <w:sz w:val="22"/>
                <w:szCs w:val="22"/>
                <w:lang w:val="sr-Latn-ME"/>
              </w:rPr>
              <w:t>su prisutni poznati poremećaji metabolizma kalcijuma.</w:t>
            </w:r>
            <w:r w:rsidR="00467FE6" w:rsidRPr="00C01AF3">
              <w:rPr>
                <w:rFonts w:ascii="Times New Roman" w:hAnsi="Times New Roman"/>
                <w:sz w:val="22"/>
                <w:szCs w:val="22"/>
                <w:lang w:val="sr-Latn-ME"/>
              </w:rPr>
              <w:t xml:space="preserve"> Exforge HCT je kontraindikovan kod pacijenata sa hiperkal</w:t>
            </w:r>
            <w:r w:rsidR="00E57F23" w:rsidRPr="00C01AF3">
              <w:rPr>
                <w:rFonts w:ascii="Times New Roman" w:hAnsi="Times New Roman"/>
                <w:sz w:val="22"/>
                <w:szCs w:val="22"/>
                <w:lang w:val="sr-Latn-ME"/>
              </w:rPr>
              <w:t>c</w:t>
            </w:r>
            <w:r w:rsidR="00B96EE2" w:rsidRPr="00C01AF3">
              <w:rPr>
                <w:rFonts w:ascii="Times New Roman" w:hAnsi="Times New Roman"/>
                <w:sz w:val="22"/>
                <w:szCs w:val="22"/>
                <w:lang w:val="sr-Latn-ME"/>
              </w:rPr>
              <w:t>ij</w:t>
            </w:r>
            <w:r w:rsidR="00E57F23" w:rsidRPr="00C01AF3">
              <w:rPr>
                <w:rFonts w:ascii="Times New Roman" w:hAnsi="Times New Roman"/>
                <w:sz w:val="22"/>
                <w:szCs w:val="22"/>
                <w:lang w:val="sr-Latn-ME"/>
              </w:rPr>
              <w:t xml:space="preserve">emijom </w:t>
            </w:r>
            <w:r w:rsidR="00467FE6" w:rsidRPr="00C01AF3">
              <w:rPr>
                <w:rFonts w:ascii="Times New Roman" w:hAnsi="Times New Roman"/>
                <w:sz w:val="22"/>
                <w:szCs w:val="22"/>
                <w:lang w:val="sr-Latn-ME"/>
              </w:rPr>
              <w:t xml:space="preserve">i može se koristiti samo </w:t>
            </w:r>
            <w:r w:rsidR="001B7840" w:rsidRPr="00C01AF3">
              <w:rPr>
                <w:rFonts w:ascii="Times New Roman" w:hAnsi="Times New Roman"/>
                <w:sz w:val="22"/>
                <w:szCs w:val="22"/>
                <w:lang w:val="sr-Latn-ME"/>
              </w:rPr>
              <w:t>poslije</w:t>
            </w:r>
            <w:r w:rsidR="00467FE6" w:rsidRPr="00C01AF3">
              <w:rPr>
                <w:rFonts w:ascii="Times New Roman" w:hAnsi="Times New Roman"/>
                <w:sz w:val="22"/>
                <w:szCs w:val="22"/>
                <w:lang w:val="sr-Latn-ME"/>
              </w:rPr>
              <w:t xml:space="preserve"> </w:t>
            </w:r>
            <w:r w:rsidR="00E57F23" w:rsidRPr="00C01AF3">
              <w:rPr>
                <w:rFonts w:ascii="Times New Roman" w:hAnsi="Times New Roman"/>
                <w:sz w:val="22"/>
                <w:szCs w:val="22"/>
                <w:lang w:val="sr-Latn-ME"/>
              </w:rPr>
              <w:t>otklanjanja</w:t>
            </w:r>
            <w:r w:rsidR="00467FE6" w:rsidRPr="00C01AF3">
              <w:rPr>
                <w:rFonts w:ascii="Times New Roman" w:hAnsi="Times New Roman"/>
                <w:sz w:val="22"/>
                <w:szCs w:val="22"/>
                <w:lang w:val="sr-Latn-ME"/>
              </w:rPr>
              <w:t xml:space="preserve"> bilo</w:t>
            </w:r>
            <w:r w:rsidR="00E57F23" w:rsidRPr="00C01AF3">
              <w:rPr>
                <w:rFonts w:ascii="Times New Roman" w:hAnsi="Times New Roman"/>
                <w:sz w:val="22"/>
                <w:szCs w:val="22"/>
                <w:lang w:val="sr-Latn-ME"/>
              </w:rPr>
              <w:t xml:space="preserve"> koje</w:t>
            </w:r>
            <w:r w:rsidR="00467FE6" w:rsidRPr="00C01AF3">
              <w:rPr>
                <w:rFonts w:ascii="Times New Roman" w:hAnsi="Times New Roman"/>
                <w:sz w:val="22"/>
                <w:szCs w:val="22"/>
                <w:lang w:val="sr-Latn-ME"/>
              </w:rPr>
              <w:t xml:space="preserve"> prethodno posto</w:t>
            </w:r>
            <w:r w:rsidR="00DD0055" w:rsidRPr="00C01AF3">
              <w:rPr>
                <w:rFonts w:ascii="Times New Roman" w:hAnsi="Times New Roman"/>
                <w:sz w:val="22"/>
                <w:szCs w:val="22"/>
                <w:lang w:val="sr-Latn-ME"/>
              </w:rPr>
              <w:t>jeće hiperkalc</w:t>
            </w:r>
            <w:r w:rsidR="00B96EE2" w:rsidRPr="00C01AF3">
              <w:rPr>
                <w:rFonts w:ascii="Times New Roman" w:hAnsi="Times New Roman"/>
                <w:sz w:val="22"/>
                <w:szCs w:val="22"/>
                <w:lang w:val="sr-Latn-ME"/>
              </w:rPr>
              <w:t>ij</w:t>
            </w:r>
            <w:r w:rsidR="00DD0055" w:rsidRPr="00C01AF3">
              <w:rPr>
                <w:rFonts w:ascii="Times New Roman" w:hAnsi="Times New Roman"/>
                <w:sz w:val="22"/>
                <w:szCs w:val="22"/>
                <w:lang w:val="sr-Latn-ME"/>
              </w:rPr>
              <w:t xml:space="preserve">emije. Terapiju </w:t>
            </w:r>
            <w:r w:rsidR="00A65414" w:rsidRPr="00C01AF3">
              <w:rPr>
                <w:rFonts w:ascii="Times New Roman" w:hAnsi="Times New Roman"/>
                <w:sz w:val="22"/>
                <w:szCs w:val="22"/>
                <w:lang w:val="sr-Latn-ME"/>
              </w:rPr>
              <w:t>lijek</w:t>
            </w:r>
            <w:r w:rsidR="00DD0055" w:rsidRPr="00C01AF3">
              <w:rPr>
                <w:rFonts w:ascii="Times New Roman" w:hAnsi="Times New Roman"/>
                <w:sz w:val="22"/>
                <w:szCs w:val="22"/>
                <w:lang w:val="sr-Latn-ME"/>
              </w:rPr>
              <w:t xml:space="preserve">om Exforge HCT treba prekinuti </w:t>
            </w:r>
            <w:r w:rsidR="00467FE6" w:rsidRPr="00C01AF3">
              <w:rPr>
                <w:rFonts w:ascii="Times New Roman" w:hAnsi="Times New Roman"/>
                <w:sz w:val="22"/>
                <w:szCs w:val="22"/>
                <w:lang w:val="sr-Latn-ME"/>
              </w:rPr>
              <w:t>ako se razvije hiperkalc</w:t>
            </w:r>
            <w:r w:rsidR="00B96EE2" w:rsidRPr="00C01AF3">
              <w:rPr>
                <w:rFonts w:ascii="Times New Roman" w:hAnsi="Times New Roman"/>
                <w:sz w:val="22"/>
                <w:szCs w:val="22"/>
                <w:lang w:val="sr-Latn-ME"/>
              </w:rPr>
              <w:t>ij</w:t>
            </w:r>
            <w:r w:rsidR="00467FE6" w:rsidRPr="00C01AF3">
              <w:rPr>
                <w:rFonts w:ascii="Times New Roman" w:hAnsi="Times New Roman"/>
                <w:sz w:val="22"/>
                <w:szCs w:val="22"/>
                <w:lang w:val="sr-Latn-ME"/>
              </w:rPr>
              <w:t>emija</w:t>
            </w:r>
            <w:r w:rsidR="00DD0055" w:rsidRPr="00C01AF3">
              <w:rPr>
                <w:rFonts w:ascii="Times New Roman" w:hAnsi="Times New Roman"/>
                <w:sz w:val="22"/>
                <w:szCs w:val="22"/>
                <w:lang w:val="sr-Latn-ME"/>
              </w:rPr>
              <w:t xml:space="preserve"> </w:t>
            </w:r>
            <w:r w:rsidR="00B96EE2" w:rsidRPr="00C01AF3">
              <w:rPr>
                <w:rFonts w:ascii="Times New Roman" w:hAnsi="Times New Roman"/>
                <w:sz w:val="22"/>
                <w:szCs w:val="22"/>
                <w:lang w:val="sr-Latn-ME"/>
              </w:rPr>
              <w:t>tokom</w:t>
            </w:r>
            <w:r w:rsidR="00DD0055" w:rsidRPr="00C01AF3">
              <w:rPr>
                <w:rFonts w:ascii="Times New Roman" w:hAnsi="Times New Roman"/>
                <w:sz w:val="22"/>
                <w:szCs w:val="22"/>
                <w:lang w:val="sr-Latn-ME"/>
              </w:rPr>
              <w:t xml:space="preserve"> </w:t>
            </w:r>
            <w:r w:rsidR="006A1297" w:rsidRPr="00C01AF3">
              <w:rPr>
                <w:rFonts w:ascii="Times New Roman" w:hAnsi="Times New Roman"/>
                <w:sz w:val="22"/>
                <w:szCs w:val="22"/>
                <w:lang w:val="sr-Latn-ME"/>
              </w:rPr>
              <w:t>liječ</w:t>
            </w:r>
            <w:r w:rsidR="00DD0055" w:rsidRPr="00C01AF3">
              <w:rPr>
                <w:rFonts w:ascii="Times New Roman" w:hAnsi="Times New Roman"/>
                <w:sz w:val="22"/>
                <w:szCs w:val="22"/>
                <w:lang w:val="sr-Latn-ME"/>
              </w:rPr>
              <w:t>enja. Nivo kalcijuma u serumu</w:t>
            </w:r>
            <w:r w:rsidR="00DC6D65" w:rsidRPr="00C01AF3">
              <w:rPr>
                <w:rFonts w:ascii="Times New Roman" w:hAnsi="Times New Roman"/>
                <w:sz w:val="22"/>
                <w:szCs w:val="22"/>
                <w:lang w:val="sr-Latn-ME"/>
              </w:rPr>
              <w:t xml:space="preserve"> </w:t>
            </w:r>
            <w:r w:rsidR="00985E95" w:rsidRPr="00C01AF3">
              <w:rPr>
                <w:rFonts w:ascii="Times New Roman" w:hAnsi="Times New Roman"/>
                <w:sz w:val="22"/>
                <w:szCs w:val="22"/>
                <w:lang w:val="sr-Latn-ME"/>
              </w:rPr>
              <w:t>tr</w:t>
            </w:r>
            <w:r w:rsidR="00DD0055" w:rsidRPr="00C01AF3">
              <w:rPr>
                <w:rFonts w:ascii="Times New Roman" w:hAnsi="Times New Roman"/>
                <w:sz w:val="22"/>
                <w:szCs w:val="22"/>
                <w:lang w:val="sr-Latn-ME"/>
              </w:rPr>
              <w:t>eba periodično pratiti tokom terapije</w:t>
            </w:r>
            <w:r w:rsidR="00985E95" w:rsidRPr="00C01AF3">
              <w:rPr>
                <w:rFonts w:ascii="Times New Roman" w:hAnsi="Times New Roman"/>
                <w:sz w:val="22"/>
                <w:szCs w:val="22"/>
                <w:lang w:val="sr-Latn-ME"/>
              </w:rPr>
              <w:t xml:space="preserve"> tiazidima. </w:t>
            </w:r>
            <w:r w:rsidRPr="00C01AF3">
              <w:rPr>
                <w:rFonts w:ascii="Times New Roman" w:hAnsi="Times New Roman"/>
                <w:sz w:val="22"/>
                <w:szCs w:val="22"/>
                <w:lang w:val="sr-Latn-ME"/>
              </w:rPr>
              <w:t xml:space="preserve">Značajna hiperkalcijemija može biti dokaz </w:t>
            </w:r>
            <w:r w:rsidR="00FE17B9" w:rsidRPr="00C01AF3">
              <w:rPr>
                <w:rFonts w:ascii="Times New Roman" w:hAnsi="Times New Roman"/>
                <w:sz w:val="22"/>
                <w:szCs w:val="22"/>
                <w:lang w:val="sr-Latn-ME"/>
              </w:rPr>
              <w:t>skrivenog</w:t>
            </w:r>
            <w:r w:rsidRPr="00C01AF3">
              <w:rPr>
                <w:rFonts w:ascii="Times New Roman" w:hAnsi="Times New Roman"/>
                <w:sz w:val="22"/>
                <w:szCs w:val="22"/>
                <w:lang w:val="sr-Latn-ME"/>
              </w:rPr>
              <w:t xml:space="preserve"> hiperparatireoidizma. </w:t>
            </w:r>
            <w:r w:rsidR="00BD0291" w:rsidRPr="00C01AF3">
              <w:rPr>
                <w:rFonts w:ascii="Times New Roman" w:hAnsi="Times New Roman"/>
                <w:sz w:val="22"/>
                <w:szCs w:val="22"/>
                <w:lang w:val="sr-Latn-ME"/>
              </w:rPr>
              <w:t>Primje</w:t>
            </w:r>
            <w:r w:rsidRPr="00C01AF3">
              <w:rPr>
                <w:rFonts w:ascii="Times New Roman" w:hAnsi="Times New Roman"/>
                <w:sz w:val="22"/>
                <w:szCs w:val="22"/>
                <w:lang w:val="sr-Latn-ME"/>
              </w:rPr>
              <w:t>nu</w:t>
            </w:r>
            <w:r w:rsidR="002F322F" w:rsidRPr="00C01AF3">
              <w:rPr>
                <w:rFonts w:ascii="Times New Roman" w:hAnsi="Times New Roman"/>
                <w:sz w:val="22"/>
                <w:szCs w:val="22"/>
                <w:lang w:val="sr-Latn-ME"/>
              </w:rPr>
              <w:t xml:space="preserve"> tiazida treba prekinuti </w:t>
            </w:r>
            <w:r w:rsidR="00CB5993" w:rsidRPr="00C01AF3">
              <w:rPr>
                <w:rFonts w:ascii="Times New Roman" w:hAnsi="Times New Roman"/>
                <w:sz w:val="22"/>
                <w:szCs w:val="22"/>
                <w:lang w:val="sr-Latn-ME"/>
              </w:rPr>
              <w:t>prije</w:t>
            </w:r>
            <w:r w:rsidR="002F322F" w:rsidRPr="00C01AF3">
              <w:rPr>
                <w:rFonts w:ascii="Times New Roman" w:hAnsi="Times New Roman"/>
                <w:sz w:val="22"/>
                <w:szCs w:val="22"/>
                <w:lang w:val="sr-Latn-ME"/>
              </w:rPr>
              <w:t xml:space="preserve"> is</w:t>
            </w:r>
            <w:r w:rsidRPr="00C01AF3">
              <w:rPr>
                <w:rFonts w:ascii="Times New Roman" w:hAnsi="Times New Roman"/>
                <w:sz w:val="22"/>
                <w:szCs w:val="22"/>
                <w:lang w:val="sr-Latn-ME"/>
              </w:rPr>
              <w:t>pitivanja paratireoidne funkcije.</w:t>
            </w:r>
          </w:p>
          <w:p w:rsidR="005E589F" w:rsidRPr="00C01AF3" w:rsidRDefault="005E589F" w:rsidP="005E589F">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Fotosenzitivnost</w:t>
            </w:r>
          </w:p>
          <w:p w:rsidR="005E589F" w:rsidRPr="00C01AF3" w:rsidRDefault="003309F3" w:rsidP="00956115">
            <w:pPr>
              <w:pStyle w:val="Header"/>
              <w:tabs>
                <w:tab w:val="clear" w:pos="4536"/>
                <w:tab w:val="clear" w:pos="9072"/>
                <w:tab w:val="left" w:pos="284"/>
              </w:tabs>
              <w:spacing w:before="80" w:after="80"/>
              <w:jc w:val="left"/>
              <w:rPr>
                <w:rFonts w:ascii="Times New Roman" w:hAnsi="Times New Roman"/>
                <w:sz w:val="22"/>
                <w:szCs w:val="22"/>
                <w:lang w:val="sr-Latn-ME"/>
              </w:rPr>
            </w:pPr>
            <w:r w:rsidRPr="00C01AF3">
              <w:rPr>
                <w:rFonts w:ascii="Times New Roman" w:hAnsi="Times New Roman"/>
                <w:sz w:val="22"/>
                <w:szCs w:val="22"/>
                <w:lang w:val="sr-Latn-ME"/>
              </w:rPr>
              <w:t>Zabilje</w:t>
            </w:r>
            <w:r w:rsidR="005E589F" w:rsidRPr="00C01AF3">
              <w:rPr>
                <w:rFonts w:ascii="Times New Roman" w:hAnsi="Times New Roman"/>
                <w:sz w:val="22"/>
                <w:szCs w:val="22"/>
                <w:lang w:val="sr-Latn-ME"/>
              </w:rPr>
              <w:t>ženi su slučajevi fotosenzitivnih reakcija sa tiazidnim diureticima (</w:t>
            </w:r>
            <w:r w:rsidR="00BD0291" w:rsidRPr="00C01AF3">
              <w:rPr>
                <w:rFonts w:ascii="Times New Roman" w:hAnsi="Times New Roman"/>
                <w:sz w:val="22"/>
                <w:szCs w:val="22"/>
                <w:lang w:val="sr-Latn-ME"/>
              </w:rPr>
              <w:t>vidjet</w:t>
            </w:r>
            <w:r w:rsidR="005E589F" w:rsidRPr="00C01AF3">
              <w:rPr>
                <w:rFonts w:ascii="Times New Roman" w:hAnsi="Times New Roman"/>
                <w:sz w:val="22"/>
                <w:szCs w:val="22"/>
                <w:lang w:val="sr-Latn-ME"/>
              </w:rPr>
              <w:t xml:space="preserve">i </w:t>
            </w:r>
            <w:r w:rsidR="00BD0291" w:rsidRPr="00C01AF3">
              <w:rPr>
                <w:rFonts w:ascii="Times New Roman" w:hAnsi="Times New Roman"/>
                <w:sz w:val="22"/>
                <w:szCs w:val="22"/>
                <w:lang w:val="sr-Latn-ME"/>
              </w:rPr>
              <w:t>odjelj</w:t>
            </w:r>
            <w:r w:rsidR="005E589F" w:rsidRPr="00C01AF3">
              <w:rPr>
                <w:rFonts w:ascii="Times New Roman" w:hAnsi="Times New Roman"/>
                <w:sz w:val="22"/>
                <w:szCs w:val="22"/>
                <w:lang w:val="sr-Latn-ME"/>
              </w:rPr>
              <w:t xml:space="preserve">ak 4.8). Ako se tokom </w:t>
            </w:r>
            <w:r w:rsidR="0012087C" w:rsidRPr="00C01AF3">
              <w:rPr>
                <w:rFonts w:ascii="Times New Roman" w:hAnsi="Times New Roman"/>
                <w:sz w:val="22"/>
                <w:szCs w:val="22"/>
                <w:lang w:val="sr-Latn-ME"/>
              </w:rPr>
              <w:t xml:space="preserve">terapije </w:t>
            </w:r>
            <w:r w:rsidR="00A65414" w:rsidRPr="00C01AF3">
              <w:rPr>
                <w:rFonts w:ascii="Times New Roman" w:hAnsi="Times New Roman"/>
                <w:sz w:val="22"/>
                <w:szCs w:val="22"/>
                <w:lang w:val="sr-Latn-ME"/>
              </w:rPr>
              <w:t>lijek</w:t>
            </w:r>
            <w:r w:rsidR="0012087C" w:rsidRPr="00C01AF3">
              <w:rPr>
                <w:rFonts w:ascii="Times New Roman" w:hAnsi="Times New Roman"/>
                <w:sz w:val="22"/>
                <w:szCs w:val="22"/>
                <w:lang w:val="sr-Latn-ME"/>
              </w:rPr>
              <w:t xml:space="preserve">om Exforge HCT  </w:t>
            </w:r>
            <w:r w:rsidR="005E589F" w:rsidRPr="00C01AF3">
              <w:rPr>
                <w:rFonts w:ascii="Times New Roman" w:hAnsi="Times New Roman"/>
                <w:sz w:val="22"/>
                <w:szCs w:val="22"/>
                <w:lang w:val="sr-Latn-ME"/>
              </w:rPr>
              <w:t xml:space="preserve">jave fotosenzitivne reakcije, preporučuje se prekid terapije. Ako se ponovna </w:t>
            </w:r>
            <w:r w:rsidR="00BD0291" w:rsidRPr="00C01AF3">
              <w:rPr>
                <w:rFonts w:ascii="Times New Roman" w:hAnsi="Times New Roman"/>
                <w:sz w:val="22"/>
                <w:szCs w:val="22"/>
                <w:lang w:val="sr-Latn-ME"/>
              </w:rPr>
              <w:t>primje</w:t>
            </w:r>
            <w:r w:rsidR="005E589F" w:rsidRPr="00C01AF3">
              <w:rPr>
                <w:rFonts w:ascii="Times New Roman" w:hAnsi="Times New Roman"/>
                <w:sz w:val="22"/>
                <w:szCs w:val="22"/>
                <w:lang w:val="sr-Latn-ME"/>
              </w:rPr>
              <w:t xml:space="preserve">na diuretika smatra neophodnom, </w:t>
            </w:r>
            <w:r w:rsidR="0012087C" w:rsidRPr="00C01AF3">
              <w:rPr>
                <w:rFonts w:ascii="Times New Roman" w:hAnsi="Times New Roman"/>
                <w:sz w:val="22"/>
                <w:szCs w:val="22"/>
                <w:lang w:val="sr-Latn-ME"/>
              </w:rPr>
              <w:t>preporučuje se zaštita</w:t>
            </w:r>
            <w:r w:rsidR="005E589F" w:rsidRPr="00C01AF3">
              <w:rPr>
                <w:rFonts w:ascii="Times New Roman" w:hAnsi="Times New Roman"/>
                <w:sz w:val="22"/>
                <w:szCs w:val="22"/>
                <w:lang w:val="sr-Latn-ME"/>
              </w:rPr>
              <w:t xml:space="preserve"> izložen</w:t>
            </w:r>
            <w:r w:rsidR="00A63DEB" w:rsidRPr="00C01AF3">
              <w:rPr>
                <w:rFonts w:ascii="Times New Roman" w:hAnsi="Times New Roman"/>
                <w:sz w:val="22"/>
                <w:szCs w:val="22"/>
                <w:lang w:val="sr-Latn-ME"/>
              </w:rPr>
              <w:t>e kože</w:t>
            </w:r>
            <w:r w:rsidR="005E589F" w:rsidRPr="00C01AF3">
              <w:rPr>
                <w:rFonts w:ascii="Times New Roman" w:hAnsi="Times New Roman"/>
                <w:sz w:val="22"/>
                <w:szCs w:val="22"/>
                <w:lang w:val="sr-Latn-ME"/>
              </w:rPr>
              <w:t xml:space="preserve"> od sunca ili v</w:t>
            </w:r>
            <w:r w:rsidR="007725F7" w:rsidRPr="00C01AF3">
              <w:rPr>
                <w:rFonts w:ascii="Times New Roman" w:hAnsi="Times New Roman"/>
                <w:sz w:val="22"/>
                <w:szCs w:val="22"/>
                <w:lang w:val="sr-Latn-ME"/>
              </w:rPr>
              <w:t>j</w:t>
            </w:r>
            <w:r w:rsidR="005E589F" w:rsidRPr="00C01AF3">
              <w:rPr>
                <w:rFonts w:ascii="Times New Roman" w:hAnsi="Times New Roman"/>
                <w:sz w:val="22"/>
                <w:szCs w:val="22"/>
                <w:lang w:val="sr-Latn-ME"/>
              </w:rPr>
              <w:t>eštačkog UVA zračenja.</w:t>
            </w:r>
          </w:p>
          <w:p w:rsidR="004A1FAE" w:rsidRPr="00C01AF3" w:rsidRDefault="004A1FAE" w:rsidP="004A1FAE">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Akutni glaukom zatvorenog ugla</w:t>
            </w:r>
          </w:p>
          <w:p w:rsidR="004A1FAE" w:rsidRPr="00C01AF3" w:rsidRDefault="00BD0291" w:rsidP="004A1FAE">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Primje</w:t>
            </w:r>
            <w:r w:rsidR="00D37F86" w:rsidRPr="00C01AF3">
              <w:rPr>
                <w:rFonts w:ascii="Times New Roman" w:hAnsi="Times New Roman"/>
                <w:sz w:val="22"/>
                <w:szCs w:val="22"/>
                <w:lang w:val="sr-Latn-ME"/>
              </w:rPr>
              <w:t xml:space="preserve">na </w:t>
            </w:r>
            <w:r w:rsidR="007C4A86" w:rsidRPr="00C01AF3">
              <w:rPr>
                <w:rFonts w:ascii="Times New Roman" w:hAnsi="Times New Roman"/>
                <w:sz w:val="22"/>
                <w:szCs w:val="22"/>
                <w:lang w:val="sr-Latn-ME"/>
              </w:rPr>
              <w:t>hidrohlortiazid</w:t>
            </w:r>
            <w:r w:rsidR="00937335" w:rsidRPr="00C01AF3">
              <w:rPr>
                <w:rFonts w:ascii="Times New Roman" w:hAnsi="Times New Roman"/>
                <w:sz w:val="22"/>
                <w:szCs w:val="22"/>
                <w:lang w:val="sr-Latn-ME"/>
              </w:rPr>
              <w:t>a</w:t>
            </w:r>
            <w:r w:rsidR="004A1FAE" w:rsidRPr="00C01AF3">
              <w:rPr>
                <w:rFonts w:ascii="Times New Roman" w:hAnsi="Times New Roman"/>
                <w:sz w:val="22"/>
                <w:szCs w:val="22"/>
                <w:lang w:val="sr-Latn-ME"/>
              </w:rPr>
              <w:t>, sulfonamid</w:t>
            </w:r>
            <w:r w:rsidR="00937335" w:rsidRPr="00C01AF3">
              <w:rPr>
                <w:rFonts w:ascii="Times New Roman" w:hAnsi="Times New Roman"/>
                <w:sz w:val="22"/>
                <w:szCs w:val="22"/>
                <w:lang w:val="sr-Latn-ME"/>
              </w:rPr>
              <w:t>a</w:t>
            </w:r>
            <w:r w:rsidR="004A1FAE" w:rsidRPr="00C01AF3">
              <w:rPr>
                <w:rFonts w:ascii="Times New Roman" w:hAnsi="Times New Roman"/>
                <w:sz w:val="22"/>
                <w:szCs w:val="22"/>
                <w:lang w:val="sr-Latn-ME"/>
              </w:rPr>
              <w:t>, povez</w:t>
            </w:r>
            <w:r w:rsidR="007725F7" w:rsidRPr="00C01AF3">
              <w:rPr>
                <w:rFonts w:ascii="Times New Roman" w:hAnsi="Times New Roman"/>
                <w:sz w:val="22"/>
                <w:szCs w:val="22"/>
                <w:lang w:val="sr-Latn-ME"/>
              </w:rPr>
              <w:t>uje se</w:t>
            </w:r>
            <w:r w:rsidR="004A1FAE" w:rsidRPr="00C01AF3">
              <w:rPr>
                <w:rFonts w:ascii="Times New Roman" w:hAnsi="Times New Roman"/>
                <w:sz w:val="22"/>
                <w:szCs w:val="22"/>
                <w:lang w:val="sr-Latn-ME"/>
              </w:rPr>
              <w:t xml:space="preserve"> sa idiosinkrazijskom reakcijom koja dovodi do akutne prolazne miopije i akutnog glaukoma zatvorenog ugla. Simptomi uključuju akutno </w:t>
            </w:r>
            <w:r w:rsidR="00D37F86" w:rsidRPr="00C01AF3">
              <w:rPr>
                <w:rFonts w:ascii="Times New Roman" w:hAnsi="Times New Roman"/>
                <w:sz w:val="22"/>
                <w:szCs w:val="22"/>
                <w:lang w:val="sr-Latn-ME"/>
              </w:rPr>
              <w:t>novo</w:t>
            </w:r>
            <w:r w:rsidR="004A1FAE" w:rsidRPr="00C01AF3">
              <w:rPr>
                <w:rFonts w:ascii="Times New Roman" w:hAnsi="Times New Roman"/>
                <w:sz w:val="22"/>
                <w:szCs w:val="22"/>
                <w:lang w:val="sr-Latn-ME"/>
              </w:rPr>
              <w:t>nastalo smanjenje oštrine vida ili bol u o</w:t>
            </w:r>
            <w:r w:rsidR="00D37F86" w:rsidRPr="00C01AF3">
              <w:rPr>
                <w:rFonts w:ascii="Times New Roman" w:hAnsi="Times New Roman"/>
                <w:sz w:val="22"/>
                <w:szCs w:val="22"/>
                <w:lang w:val="sr-Latn-ME"/>
              </w:rPr>
              <w:t>ku</w:t>
            </w:r>
            <w:r w:rsidR="004A1FAE" w:rsidRPr="00C01AF3">
              <w:rPr>
                <w:rFonts w:ascii="Times New Roman" w:hAnsi="Times New Roman"/>
                <w:sz w:val="22"/>
                <w:szCs w:val="22"/>
                <w:lang w:val="sr-Latn-ME"/>
              </w:rPr>
              <w:t xml:space="preserve"> i obično nastaju nekoliko sati do jedne ned</w:t>
            </w:r>
            <w:r w:rsidR="006A1297" w:rsidRPr="00C01AF3">
              <w:rPr>
                <w:rFonts w:ascii="Times New Roman" w:hAnsi="Times New Roman"/>
                <w:sz w:val="22"/>
                <w:szCs w:val="22"/>
                <w:lang w:val="sr-Latn-ME"/>
              </w:rPr>
              <w:t>j</w:t>
            </w:r>
            <w:r w:rsidR="004A1FAE" w:rsidRPr="00C01AF3">
              <w:rPr>
                <w:rFonts w:ascii="Times New Roman" w:hAnsi="Times New Roman"/>
                <w:sz w:val="22"/>
                <w:szCs w:val="22"/>
                <w:lang w:val="sr-Latn-ME"/>
              </w:rPr>
              <w:t xml:space="preserve">elje nakon uvođenja </w:t>
            </w:r>
            <w:r w:rsidR="00A65414" w:rsidRPr="00C01AF3">
              <w:rPr>
                <w:rFonts w:ascii="Times New Roman" w:hAnsi="Times New Roman"/>
                <w:sz w:val="22"/>
                <w:szCs w:val="22"/>
                <w:lang w:val="sr-Latn-ME"/>
              </w:rPr>
              <w:t>lijek</w:t>
            </w:r>
            <w:r w:rsidR="004A1FAE" w:rsidRPr="00C01AF3">
              <w:rPr>
                <w:rFonts w:ascii="Times New Roman" w:hAnsi="Times New Roman"/>
                <w:sz w:val="22"/>
                <w:szCs w:val="22"/>
                <w:lang w:val="sr-Latn-ME"/>
              </w:rPr>
              <w:t>a. Ne</w:t>
            </w:r>
            <w:r w:rsidR="006A1297" w:rsidRPr="00C01AF3">
              <w:rPr>
                <w:rFonts w:ascii="Times New Roman" w:hAnsi="Times New Roman"/>
                <w:sz w:val="22"/>
                <w:szCs w:val="22"/>
                <w:lang w:val="sr-Latn-ME"/>
              </w:rPr>
              <w:t>liječ</w:t>
            </w:r>
            <w:r w:rsidR="004A1FAE" w:rsidRPr="00C01AF3">
              <w:rPr>
                <w:rFonts w:ascii="Times New Roman" w:hAnsi="Times New Roman"/>
                <w:sz w:val="22"/>
                <w:szCs w:val="22"/>
                <w:lang w:val="sr-Latn-ME"/>
              </w:rPr>
              <w:t>en akutni glaukom zatvorenog ugla može dovesti do trajnog gubitka vida.</w:t>
            </w:r>
          </w:p>
          <w:p w:rsidR="004A1FAE" w:rsidRPr="00C01AF3" w:rsidRDefault="001445C9" w:rsidP="004A1FAE">
            <w:pPr>
              <w:pStyle w:val="Header"/>
              <w:tabs>
                <w:tab w:val="clear" w:pos="4536"/>
                <w:tab w:val="clear" w:pos="9072"/>
                <w:tab w:val="left" w:pos="284"/>
              </w:tabs>
              <w:spacing w:before="80" w:after="80"/>
              <w:jc w:val="left"/>
              <w:rPr>
                <w:rFonts w:ascii="Times New Roman" w:hAnsi="Times New Roman"/>
                <w:sz w:val="22"/>
                <w:szCs w:val="22"/>
                <w:lang w:val="sr-Latn-ME"/>
              </w:rPr>
            </w:pPr>
            <w:r w:rsidRPr="00C01AF3">
              <w:rPr>
                <w:rFonts w:ascii="Times New Roman" w:hAnsi="Times New Roman"/>
                <w:sz w:val="22"/>
                <w:szCs w:val="22"/>
                <w:lang w:val="sr-Latn-ME"/>
              </w:rPr>
              <w:t xml:space="preserve">Primarno </w:t>
            </w:r>
            <w:r w:rsidR="004A1FAE" w:rsidRPr="00C01AF3">
              <w:rPr>
                <w:rFonts w:ascii="Times New Roman" w:hAnsi="Times New Roman"/>
                <w:sz w:val="22"/>
                <w:szCs w:val="22"/>
                <w:lang w:val="sr-Latn-ME"/>
              </w:rPr>
              <w:t xml:space="preserve">je potrebno prekinuti uzimanje </w:t>
            </w:r>
            <w:r w:rsidR="007C4A86" w:rsidRPr="00C01AF3">
              <w:rPr>
                <w:rFonts w:ascii="Times New Roman" w:hAnsi="Times New Roman"/>
                <w:sz w:val="22"/>
                <w:szCs w:val="22"/>
                <w:lang w:val="sr-Latn-ME"/>
              </w:rPr>
              <w:t>hidrohlortiazid</w:t>
            </w:r>
            <w:r w:rsidR="004A1FAE" w:rsidRPr="00C01AF3">
              <w:rPr>
                <w:rFonts w:ascii="Times New Roman" w:hAnsi="Times New Roman"/>
                <w:sz w:val="22"/>
                <w:szCs w:val="22"/>
                <w:lang w:val="sr-Latn-ME"/>
              </w:rPr>
              <w:t xml:space="preserve">a, što je </w:t>
            </w:r>
            <w:r w:rsidR="00CB5993" w:rsidRPr="00C01AF3">
              <w:rPr>
                <w:rFonts w:ascii="Times New Roman" w:hAnsi="Times New Roman"/>
                <w:sz w:val="22"/>
                <w:szCs w:val="22"/>
                <w:lang w:val="sr-Latn-ME"/>
              </w:rPr>
              <w:t>prije</w:t>
            </w:r>
            <w:r w:rsidR="004A1FAE" w:rsidRPr="00C01AF3">
              <w:rPr>
                <w:rFonts w:ascii="Times New Roman" w:hAnsi="Times New Roman"/>
                <w:sz w:val="22"/>
                <w:szCs w:val="22"/>
                <w:lang w:val="sr-Latn-ME"/>
              </w:rPr>
              <w:t xml:space="preserve"> moguće. Ukoliko intraokularni pritisak ostane nekontrolisan trebalo bi razmotriti hitno medicinsko ili hirurško </w:t>
            </w:r>
            <w:r w:rsidR="006A1297" w:rsidRPr="00C01AF3">
              <w:rPr>
                <w:rFonts w:ascii="Times New Roman" w:hAnsi="Times New Roman"/>
                <w:sz w:val="22"/>
                <w:szCs w:val="22"/>
                <w:lang w:val="sr-Latn-ME"/>
              </w:rPr>
              <w:t>liječ</w:t>
            </w:r>
            <w:r w:rsidR="004A1FAE" w:rsidRPr="00C01AF3">
              <w:rPr>
                <w:rFonts w:ascii="Times New Roman" w:hAnsi="Times New Roman"/>
                <w:sz w:val="22"/>
                <w:szCs w:val="22"/>
                <w:lang w:val="sr-Latn-ME"/>
              </w:rPr>
              <w:t xml:space="preserve">enje. Faktori rizika za </w:t>
            </w:r>
            <w:r w:rsidR="00EC3098" w:rsidRPr="00C01AF3">
              <w:rPr>
                <w:rFonts w:ascii="Times New Roman" w:hAnsi="Times New Roman"/>
                <w:sz w:val="22"/>
                <w:szCs w:val="22"/>
                <w:lang w:val="sr-Latn-ME"/>
              </w:rPr>
              <w:t xml:space="preserve">razvoj </w:t>
            </w:r>
            <w:r w:rsidR="004A1FAE" w:rsidRPr="00C01AF3">
              <w:rPr>
                <w:rFonts w:ascii="Times New Roman" w:hAnsi="Times New Roman"/>
                <w:sz w:val="22"/>
                <w:szCs w:val="22"/>
                <w:lang w:val="sr-Latn-ME"/>
              </w:rPr>
              <w:t xml:space="preserve">akutnog glaukoma zatvorenog ugla mogu </w:t>
            </w:r>
            <w:r w:rsidR="00EC3098" w:rsidRPr="00C01AF3">
              <w:rPr>
                <w:rFonts w:ascii="Times New Roman" w:hAnsi="Times New Roman"/>
                <w:sz w:val="22"/>
                <w:szCs w:val="22"/>
                <w:lang w:val="sr-Latn-ME"/>
              </w:rPr>
              <w:t>uključiti i</w:t>
            </w:r>
            <w:r w:rsidR="00634531" w:rsidRPr="00C01AF3">
              <w:rPr>
                <w:rFonts w:ascii="Times New Roman" w:hAnsi="Times New Roman"/>
                <w:sz w:val="22"/>
                <w:szCs w:val="22"/>
                <w:lang w:val="sr-Latn-ME"/>
              </w:rPr>
              <w:t xml:space="preserve"> </w:t>
            </w:r>
            <w:r w:rsidR="004A1FAE" w:rsidRPr="00C01AF3">
              <w:rPr>
                <w:rFonts w:ascii="Times New Roman" w:hAnsi="Times New Roman"/>
                <w:sz w:val="22"/>
                <w:szCs w:val="22"/>
                <w:lang w:val="sr-Latn-ME"/>
              </w:rPr>
              <w:t>alergij</w:t>
            </w:r>
            <w:r w:rsidR="00EC3098" w:rsidRPr="00C01AF3">
              <w:rPr>
                <w:rFonts w:ascii="Times New Roman" w:hAnsi="Times New Roman"/>
                <w:sz w:val="22"/>
                <w:szCs w:val="22"/>
                <w:lang w:val="sr-Latn-ME"/>
              </w:rPr>
              <w:t>u</w:t>
            </w:r>
            <w:r w:rsidR="004A1FAE" w:rsidRPr="00C01AF3">
              <w:rPr>
                <w:rFonts w:ascii="Times New Roman" w:hAnsi="Times New Roman"/>
                <w:sz w:val="22"/>
                <w:szCs w:val="22"/>
                <w:lang w:val="sr-Latn-ME"/>
              </w:rPr>
              <w:t xml:space="preserve"> na sulfonamide ili penicilin</w:t>
            </w:r>
            <w:r w:rsidR="00EC3098" w:rsidRPr="00C01AF3">
              <w:rPr>
                <w:rFonts w:ascii="Times New Roman" w:hAnsi="Times New Roman"/>
                <w:sz w:val="22"/>
                <w:szCs w:val="22"/>
                <w:lang w:val="sr-Latn-ME"/>
              </w:rPr>
              <w:t xml:space="preserve"> u anamnezi</w:t>
            </w:r>
            <w:r w:rsidR="004A1FAE" w:rsidRPr="00C01AF3">
              <w:rPr>
                <w:rFonts w:ascii="Times New Roman" w:hAnsi="Times New Roman"/>
                <w:sz w:val="22"/>
                <w:szCs w:val="22"/>
                <w:lang w:val="sr-Latn-ME"/>
              </w:rPr>
              <w:t>.</w:t>
            </w:r>
          </w:p>
          <w:p w:rsidR="000A5A2B" w:rsidRPr="00C01AF3" w:rsidRDefault="000A5A2B" w:rsidP="000A5A2B">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Opšta upozorenja</w:t>
            </w:r>
          </w:p>
          <w:p w:rsidR="000A5A2B" w:rsidRPr="00C01AF3" w:rsidRDefault="000A5A2B" w:rsidP="000A5A2B">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Potreban je oprez kod pacijenata koji su već bili pre</w:t>
            </w:r>
            <w:r w:rsidR="00FD7F8C" w:rsidRPr="00C01AF3">
              <w:rPr>
                <w:rFonts w:ascii="Times New Roman" w:hAnsi="Times New Roman"/>
                <w:sz w:val="22"/>
                <w:szCs w:val="22"/>
                <w:lang w:val="sr-Latn-ME"/>
              </w:rPr>
              <w:t>osjet</w:t>
            </w:r>
            <w:r w:rsidRPr="00C01AF3">
              <w:rPr>
                <w:rFonts w:ascii="Times New Roman" w:hAnsi="Times New Roman"/>
                <w:sz w:val="22"/>
                <w:szCs w:val="22"/>
                <w:lang w:val="sr-Latn-ME"/>
              </w:rPr>
              <w:t>ljivi na druge antagoniste angiotenzin II receptora.</w:t>
            </w:r>
          </w:p>
          <w:p w:rsidR="004A1FAE" w:rsidRPr="00C01AF3" w:rsidRDefault="000A5A2B" w:rsidP="000A5A2B">
            <w:pPr>
              <w:pStyle w:val="Header"/>
              <w:tabs>
                <w:tab w:val="clear" w:pos="4536"/>
                <w:tab w:val="clear" w:pos="9072"/>
                <w:tab w:val="left" w:pos="284"/>
              </w:tabs>
              <w:spacing w:before="80" w:after="80"/>
              <w:jc w:val="left"/>
              <w:rPr>
                <w:rFonts w:ascii="Times New Roman" w:hAnsi="Times New Roman"/>
                <w:sz w:val="22"/>
                <w:szCs w:val="22"/>
                <w:lang w:val="sr-Latn-ME"/>
              </w:rPr>
            </w:pPr>
            <w:r w:rsidRPr="00C01AF3">
              <w:rPr>
                <w:rFonts w:ascii="Times New Roman" w:hAnsi="Times New Roman"/>
                <w:sz w:val="22"/>
                <w:szCs w:val="22"/>
                <w:lang w:val="sr-Latn-ME"/>
              </w:rPr>
              <w:t>Reakcije pre</w:t>
            </w:r>
            <w:r w:rsidR="00FD7F8C" w:rsidRPr="00C01AF3">
              <w:rPr>
                <w:rFonts w:ascii="Times New Roman" w:hAnsi="Times New Roman"/>
                <w:sz w:val="22"/>
                <w:szCs w:val="22"/>
                <w:lang w:val="sr-Latn-ME"/>
              </w:rPr>
              <w:t>osjet</w:t>
            </w:r>
            <w:r w:rsidRPr="00C01AF3">
              <w:rPr>
                <w:rFonts w:ascii="Times New Roman" w:hAnsi="Times New Roman"/>
                <w:sz w:val="22"/>
                <w:szCs w:val="22"/>
                <w:lang w:val="sr-Latn-ME"/>
              </w:rPr>
              <w:t xml:space="preserve">ljivosti na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 xml:space="preserve"> su </w:t>
            </w:r>
            <w:r w:rsidR="00123F8B" w:rsidRPr="00C01AF3">
              <w:rPr>
                <w:rFonts w:ascii="Times New Roman" w:hAnsi="Times New Roman"/>
                <w:sz w:val="22"/>
                <w:szCs w:val="22"/>
                <w:lang w:val="sr-Latn-ME"/>
              </w:rPr>
              <w:t>vjerovat</w:t>
            </w:r>
            <w:r w:rsidRPr="00C01AF3">
              <w:rPr>
                <w:rFonts w:ascii="Times New Roman" w:hAnsi="Times New Roman"/>
                <w:sz w:val="22"/>
                <w:szCs w:val="22"/>
                <w:lang w:val="sr-Latn-ME"/>
              </w:rPr>
              <w:t>nije kod pacijenata sa alergijom i astmom.</w:t>
            </w:r>
          </w:p>
          <w:p w:rsidR="004E571A" w:rsidRPr="00C01AF3" w:rsidRDefault="004E571A" w:rsidP="004E571A">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Starije osobe (</w:t>
            </w:r>
            <w:r w:rsidR="00AC7C71" w:rsidRPr="00C01AF3">
              <w:rPr>
                <w:rFonts w:ascii="Times New Roman" w:hAnsi="Times New Roman"/>
                <w:sz w:val="22"/>
                <w:szCs w:val="22"/>
                <w:u w:val="single"/>
                <w:lang w:val="sr-Latn-ME"/>
              </w:rPr>
              <w:t xml:space="preserve">starosti </w:t>
            </w:r>
            <w:r w:rsidRPr="00C01AF3">
              <w:rPr>
                <w:rFonts w:ascii="Times New Roman" w:hAnsi="Times New Roman"/>
                <w:sz w:val="22"/>
                <w:szCs w:val="22"/>
                <w:u w:val="single"/>
                <w:lang w:val="sr-Latn-ME"/>
              </w:rPr>
              <w:t>65 godina</w:t>
            </w:r>
            <w:r w:rsidR="00AC7C71" w:rsidRPr="00C01AF3">
              <w:rPr>
                <w:rFonts w:ascii="Times New Roman" w:hAnsi="Times New Roman"/>
                <w:sz w:val="22"/>
                <w:szCs w:val="22"/>
                <w:u w:val="single"/>
                <w:lang w:val="sr-Latn-ME"/>
              </w:rPr>
              <w:t xml:space="preserve"> ili stariji</w:t>
            </w:r>
            <w:r w:rsidRPr="00C01AF3">
              <w:rPr>
                <w:rFonts w:ascii="Times New Roman" w:hAnsi="Times New Roman"/>
                <w:sz w:val="22"/>
                <w:szCs w:val="22"/>
                <w:u w:val="single"/>
                <w:lang w:val="sr-Latn-ME"/>
              </w:rPr>
              <w:t>)</w:t>
            </w:r>
          </w:p>
          <w:p w:rsidR="00CD1995" w:rsidRPr="00C01AF3" w:rsidRDefault="004E571A" w:rsidP="00347113">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Preporučuje se oprez</w:t>
            </w:r>
            <w:r w:rsidR="00DD5923" w:rsidRPr="00C01AF3">
              <w:rPr>
                <w:rFonts w:ascii="Times New Roman" w:hAnsi="Times New Roman"/>
                <w:sz w:val="22"/>
                <w:szCs w:val="22"/>
                <w:lang w:val="sr-Latn-ME"/>
              </w:rPr>
              <w:t>nost</w:t>
            </w:r>
            <w:r w:rsidRPr="00C01AF3">
              <w:rPr>
                <w:rFonts w:ascii="Times New Roman" w:hAnsi="Times New Roman"/>
                <w:sz w:val="22"/>
                <w:szCs w:val="22"/>
                <w:lang w:val="sr-Latn-ME"/>
              </w:rPr>
              <w:t xml:space="preserve">, uključujući češće praćenje krvnog pritiska kod starijih pacijenata </w:t>
            </w:r>
            <w:r w:rsidR="00DD5923" w:rsidRPr="00C01AF3">
              <w:rPr>
                <w:rFonts w:ascii="Times New Roman" w:hAnsi="Times New Roman"/>
                <w:sz w:val="22"/>
                <w:szCs w:val="22"/>
                <w:lang w:val="sr-Latn-ME"/>
              </w:rPr>
              <w:t xml:space="preserve">posebno pri maksimalnoj dozi </w:t>
            </w:r>
            <w:r w:rsidR="00A65414" w:rsidRPr="00C01AF3">
              <w:rPr>
                <w:rFonts w:ascii="Times New Roman" w:hAnsi="Times New Roman"/>
                <w:sz w:val="22"/>
                <w:szCs w:val="22"/>
                <w:lang w:val="sr-Latn-ME"/>
              </w:rPr>
              <w:t>lijek</w:t>
            </w:r>
            <w:r w:rsidRPr="00C01AF3">
              <w:rPr>
                <w:rFonts w:ascii="Times New Roman" w:hAnsi="Times New Roman"/>
                <w:sz w:val="22"/>
                <w:szCs w:val="22"/>
                <w:lang w:val="sr-Latn-ME"/>
              </w:rPr>
              <w:t xml:space="preserve">a Exforge HCT, </w:t>
            </w:r>
            <w:r w:rsidR="00AC4741" w:rsidRPr="00C01AF3">
              <w:rPr>
                <w:rFonts w:ascii="Times New Roman" w:hAnsi="Times New Roman"/>
                <w:sz w:val="22"/>
                <w:szCs w:val="22"/>
                <w:lang w:val="sr-Latn-ME"/>
              </w:rPr>
              <w:t>320mg/10mg/25mg</w:t>
            </w:r>
            <w:r w:rsidRPr="00C01AF3">
              <w:rPr>
                <w:rFonts w:ascii="Times New Roman" w:hAnsi="Times New Roman"/>
                <w:sz w:val="22"/>
                <w:szCs w:val="22"/>
                <w:lang w:val="sr-Latn-ME"/>
              </w:rPr>
              <w:t>, s obzirom da su  podaci iz ove grupe pacijenata ograničeni.</w:t>
            </w:r>
          </w:p>
          <w:p w:rsidR="00347113" w:rsidRPr="00C01AF3" w:rsidRDefault="000E238E" w:rsidP="00347113">
            <w:pPr>
              <w:pStyle w:val="Header"/>
              <w:spacing w:before="80" w:after="8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Dvostruka blokada sistema renin-angiotenzin-aldosteron (RAAS)</w:t>
            </w:r>
          </w:p>
          <w:p w:rsidR="00026EF5" w:rsidRPr="00C01AF3" w:rsidRDefault="00F73073" w:rsidP="00026EF5">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Pokazano je da i</w:t>
            </w:r>
            <w:r w:rsidR="000E238E" w:rsidRPr="00C01AF3">
              <w:rPr>
                <w:rFonts w:ascii="Times New Roman" w:hAnsi="Times New Roman"/>
                <w:sz w:val="22"/>
                <w:szCs w:val="22"/>
                <w:lang w:val="sr-Latn-ME"/>
              </w:rPr>
              <w:t xml:space="preserve">stovremena </w:t>
            </w:r>
            <w:r w:rsidR="00BD0291" w:rsidRPr="00C01AF3">
              <w:rPr>
                <w:rFonts w:ascii="Times New Roman" w:hAnsi="Times New Roman"/>
                <w:sz w:val="22"/>
                <w:szCs w:val="22"/>
                <w:lang w:val="sr-Latn-ME"/>
              </w:rPr>
              <w:t>primje</w:t>
            </w:r>
            <w:r w:rsidR="000E238E" w:rsidRPr="00C01AF3">
              <w:rPr>
                <w:rFonts w:ascii="Times New Roman" w:hAnsi="Times New Roman"/>
                <w:sz w:val="22"/>
                <w:szCs w:val="22"/>
                <w:lang w:val="sr-Latn-ME"/>
              </w:rPr>
              <w:t xml:space="preserve">na </w:t>
            </w:r>
            <w:r w:rsidRPr="00C01AF3">
              <w:rPr>
                <w:rFonts w:ascii="Times New Roman" w:hAnsi="Times New Roman"/>
                <w:sz w:val="22"/>
                <w:szCs w:val="22"/>
                <w:lang w:val="sr-Latn-ME"/>
              </w:rPr>
              <w:t xml:space="preserve">ACE inhibitora, </w:t>
            </w:r>
            <w:r w:rsidR="000E238E" w:rsidRPr="00C01AF3">
              <w:rPr>
                <w:rFonts w:ascii="Times New Roman" w:hAnsi="Times New Roman"/>
                <w:sz w:val="22"/>
                <w:szCs w:val="22"/>
                <w:lang w:val="sr-Latn-ME"/>
              </w:rPr>
              <w:t>antagonista angiotenzinskih receptora</w:t>
            </w:r>
            <w:r w:rsidR="003A61F5" w:rsidRPr="00C01AF3">
              <w:rPr>
                <w:rFonts w:ascii="Times New Roman" w:hAnsi="Times New Roman"/>
                <w:sz w:val="22"/>
                <w:szCs w:val="22"/>
                <w:lang w:val="sr-Latn-ME"/>
              </w:rPr>
              <w:t xml:space="preserve"> (ARBs)</w:t>
            </w:r>
            <w:r w:rsidRPr="00C01AF3">
              <w:rPr>
                <w:rFonts w:ascii="Times New Roman" w:hAnsi="Times New Roman"/>
                <w:sz w:val="22"/>
                <w:szCs w:val="22"/>
                <w:lang w:val="sr-Latn-ME"/>
              </w:rPr>
              <w:t xml:space="preserve"> ili aliskirena</w:t>
            </w:r>
            <w:r w:rsidR="00CA7179" w:rsidRPr="00C01AF3">
              <w:rPr>
                <w:rFonts w:ascii="Times New Roman" w:hAnsi="Times New Roman"/>
                <w:sz w:val="22"/>
                <w:szCs w:val="22"/>
                <w:lang w:val="sr-Latn-ME"/>
              </w:rPr>
              <w:t xml:space="preserve"> </w:t>
            </w:r>
            <w:r w:rsidR="000E238E" w:rsidRPr="00C01AF3">
              <w:rPr>
                <w:rFonts w:ascii="Times New Roman" w:hAnsi="Times New Roman"/>
                <w:sz w:val="22"/>
                <w:szCs w:val="22"/>
                <w:lang w:val="sr-Latn-ME"/>
              </w:rPr>
              <w:t>poveća</w:t>
            </w:r>
            <w:r w:rsidR="005C3350" w:rsidRPr="00C01AF3">
              <w:rPr>
                <w:rFonts w:ascii="Times New Roman" w:hAnsi="Times New Roman"/>
                <w:sz w:val="22"/>
                <w:szCs w:val="22"/>
                <w:lang w:val="sr-Latn-ME"/>
              </w:rPr>
              <w:t>va</w:t>
            </w:r>
            <w:r w:rsidR="000E238E" w:rsidRPr="00C01AF3">
              <w:rPr>
                <w:rFonts w:ascii="Times New Roman" w:hAnsi="Times New Roman"/>
                <w:sz w:val="22"/>
                <w:szCs w:val="22"/>
                <w:lang w:val="sr-Latn-ME"/>
              </w:rPr>
              <w:t xml:space="preserve"> </w:t>
            </w:r>
            <w:r w:rsidR="005C3350" w:rsidRPr="00C01AF3">
              <w:rPr>
                <w:rFonts w:ascii="Times New Roman" w:hAnsi="Times New Roman"/>
                <w:sz w:val="22"/>
                <w:szCs w:val="22"/>
                <w:lang w:val="sr-Latn-ME"/>
              </w:rPr>
              <w:t>rizik</w:t>
            </w:r>
            <w:r w:rsidRPr="00C01AF3">
              <w:rPr>
                <w:rFonts w:ascii="Times New Roman" w:hAnsi="Times New Roman"/>
                <w:sz w:val="22"/>
                <w:szCs w:val="22"/>
                <w:lang w:val="sr-Latn-ME"/>
              </w:rPr>
              <w:t xml:space="preserve"> od </w:t>
            </w:r>
            <w:r w:rsidR="000E238E" w:rsidRPr="00C01AF3">
              <w:rPr>
                <w:rFonts w:ascii="Times New Roman" w:hAnsi="Times New Roman"/>
                <w:sz w:val="22"/>
                <w:szCs w:val="22"/>
                <w:lang w:val="sr-Latn-ME"/>
              </w:rPr>
              <w:t>hipotenzije, hiperkal</w:t>
            </w:r>
            <w:r w:rsidR="00EC3098" w:rsidRPr="00C01AF3">
              <w:rPr>
                <w:rFonts w:ascii="Times New Roman" w:hAnsi="Times New Roman"/>
                <w:sz w:val="22"/>
                <w:szCs w:val="22"/>
                <w:lang w:val="sr-Latn-ME"/>
              </w:rPr>
              <w:t>ij</w:t>
            </w:r>
            <w:r w:rsidR="000E238E" w:rsidRPr="00C01AF3">
              <w:rPr>
                <w:rFonts w:ascii="Times New Roman" w:hAnsi="Times New Roman"/>
                <w:sz w:val="22"/>
                <w:szCs w:val="22"/>
                <w:lang w:val="sr-Latn-ME"/>
              </w:rPr>
              <w:t>emij</w:t>
            </w:r>
            <w:r w:rsidRPr="00C01AF3">
              <w:rPr>
                <w:rFonts w:ascii="Times New Roman" w:hAnsi="Times New Roman"/>
                <w:sz w:val="22"/>
                <w:szCs w:val="22"/>
                <w:lang w:val="sr-Latn-ME"/>
              </w:rPr>
              <w:t>e</w:t>
            </w:r>
            <w:r w:rsidR="000E238E" w:rsidRPr="00C01AF3">
              <w:rPr>
                <w:rFonts w:ascii="Times New Roman" w:hAnsi="Times New Roman"/>
                <w:sz w:val="22"/>
                <w:szCs w:val="22"/>
                <w:lang w:val="sr-Latn-ME"/>
              </w:rPr>
              <w:t xml:space="preserve">, i </w:t>
            </w:r>
            <w:r w:rsidR="005C3350" w:rsidRPr="00C01AF3">
              <w:rPr>
                <w:rFonts w:ascii="Times New Roman" w:hAnsi="Times New Roman"/>
                <w:sz w:val="22"/>
                <w:szCs w:val="22"/>
                <w:lang w:val="sr-Latn-ME"/>
              </w:rPr>
              <w:t>sma</w:t>
            </w:r>
            <w:r w:rsidR="00DC00D9" w:rsidRPr="00C01AF3">
              <w:rPr>
                <w:rFonts w:ascii="Times New Roman" w:hAnsi="Times New Roman"/>
                <w:sz w:val="22"/>
                <w:szCs w:val="22"/>
                <w:lang w:val="sr-Latn-ME"/>
              </w:rPr>
              <w:t>njenj</w:t>
            </w:r>
            <w:r w:rsidR="005C3350" w:rsidRPr="00C01AF3">
              <w:rPr>
                <w:rFonts w:ascii="Times New Roman" w:hAnsi="Times New Roman"/>
                <w:sz w:val="22"/>
                <w:szCs w:val="22"/>
                <w:lang w:val="sr-Latn-ME"/>
              </w:rPr>
              <w:t>a</w:t>
            </w:r>
            <w:r w:rsidR="00EC3098" w:rsidRPr="00C01AF3">
              <w:rPr>
                <w:rFonts w:ascii="Times New Roman" w:hAnsi="Times New Roman"/>
                <w:sz w:val="22"/>
                <w:szCs w:val="22"/>
                <w:lang w:val="sr-Latn-ME"/>
              </w:rPr>
              <w:t xml:space="preserve"> </w:t>
            </w:r>
            <w:r w:rsidR="000E238E" w:rsidRPr="00C01AF3">
              <w:rPr>
                <w:rFonts w:ascii="Times New Roman" w:hAnsi="Times New Roman"/>
                <w:sz w:val="22"/>
                <w:szCs w:val="22"/>
                <w:lang w:val="sr-Latn-ME"/>
              </w:rPr>
              <w:t>bubrežn</w:t>
            </w:r>
            <w:r w:rsidR="00DC00D9" w:rsidRPr="00C01AF3">
              <w:rPr>
                <w:rFonts w:ascii="Times New Roman" w:hAnsi="Times New Roman"/>
                <w:sz w:val="22"/>
                <w:szCs w:val="22"/>
                <w:lang w:val="sr-Latn-ME"/>
              </w:rPr>
              <w:t>e</w:t>
            </w:r>
            <w:r w:rsidR="000E238E" w:rsidRPr="00C01AF3">
              <w:rPr>
                <w:rFonts w:ascii="Times New Roman" w:hAnsi="Times New Roman"/>
                <w:sz w:val="22"/>
                <w:szCs w:val="22"/>
                <w:lang w:val="sr-Latn-ME"/>
              </w:rPr>
              <w:t xml:space="preserve"> funkcij</w:t>
            </w:r>
            <w:r w:rsidR="00DC00D9" w:rsidRPr="00C01AF3">
              <w:rPr>
                <w:rFonts w:ascii="Times New Roman" w:hAnsi="Times New Roman"/>
                <w:sz w:val="22"/>
                <w:szCs w:val="22"/>
                <w:lang w:val="sr-Latn-ME"/>
              </w:rPr>
              <w:t>e</w:t>
            </w:r>
            <w:r w:rsidR="00EE4F6A" w:rsidRPr="00C01AF3">
              <w:rPr>
                <w:rFonts w:ascii="Times New Roman" w:hAnsi="Times New Roman"/>
                <w:sz w:val="22"/>
                <w:szCs w:val="22"/>
                <w:lang w:val="sr-Latn-ME"/>
              </w:rPr>
              <w:t xml:space="preserve"> </w:t>
            </w:r>
            <w:r w:rsidR="005C3350" w:rsidRPr="00C01AF3">
              <w:rPr>
                <w:rFonts w:ascii="Times New Roman" w:hAnsi="Times New Roman"/>
                <w:sz w:val="22"/>
                <w:szCs w:val="22"/>
                <w:lang w:val="sr-Latn-ME"/>
              </w:rPr>
              <w:t xml:space="preserve">(uključujući </w:t>
            </w:r>
            <w:r w:rsidR="00DC00D9" w:rsidRPr="00C01AF3">
              <w:rPr>
                <w:rFonts w:ascii="Times New Roman" w:hAnsi="Times New Roman"/>
                <w:sz w:val="22"/>
                <w:szCs w:val="22"/>
                <w:lang w:val="sr-Latn-ME"/>
              </w:rPr>
              <w:t>akutn</w:t>
            </w:r>
            <w:r w:rsidR="00EC3098" w:rsidRPr="00C01AF3">
              <w:rPr>
                <w:rFonts w:ascii="Times New Roman" w:hAnsi="Times New Roman"/>
                <w:sz w:val="22"/>
                <w:szCs w:val="22"/>
                <w:lang w:val="sr-Latn-ME"/>
              </w:rPr>
              <w:t>u</w:t>
            </w:r>
            <w:r w:rsidR="00DC00D9" w:rsidRPr="00C01AF3">
              <w:rPr>
                <w:rFonts w:ascii="Times New Roman" w:hAnsi="Times New Roman"/>
                <w:sz w:val="22"/>
                <w:szCs w:val="22"/>
                <w:lang w:val="sr-Latn-ME"/>
              </w:rPr>
              <w:t xml:space="preserve"> </w:t>
            </w:r>
            <w:r w:rsidR="00EC3098" w:rsidRPr="00C01AF3">
              <w:rPr>
                <w:rFonts w:ascii="Times New Roman" w:hAnsi="Times New Roman"/>
                <w:sz w:val="22"/>
                <w:szCs w:val="22"/>
                <w:lang w:val="sr-Latn-ME"/>
              </w:rPr>
              <w:t xml:space="preserve">insuficijenciju  </w:t>
            </w:r>
            <w:r w:rsidR="00DC00D9" w:rsidRPr="00C01AF3">
              <w:rPr>
                <w:rFonts w:ascii="Times New Roman" w:hAnsi="Times New Roman"/>
                <w:sz w:val="22"/>
                <w:szCs w:val="22"/>
                <w:lang w:val="sr-Latn-ME"/>
              </w:rPr>
              <w:t>bubrega)</w:t>
            </w:r>
            <w:r w:rsidR="000E238E" w:rsidRPr="00C01AF3">
              <w:rPr>
                <w:rFonts w:ascii="Times New Roman" w:hAnsi="Times New Roman"/>
                <w:sz w:val="22"/>
                <w:szCs w:val="22"/>
                <w:lang w:val="sr-Latn-ME"/>
              </w:rPr>
              <w:t>.</w:t>
            </w:r>
            <w:r w:rsidR="00026EF5" w:rsidRPr="00C01AF3">
              <w:rPr>
                <w:rFonts w:ascii="Times New Roman" w:hAnsi="Times New Roman"/>
                <w:sz w:val="22"/>
                <w:szCs w:val="22"/>
                <w:lang w:val="sr-Latn-ME"/>
              </w:rPr>
              <w:t xml:space="preserve"> </w:t>
            </w:r>
            <w:r w:rsidR="00DC00D9" w:rsidRPr="00C01AF3">
              <w:rPr>
                <w:rFonts w:ascii="Times New Roman" w:hAnsi="Times New Roman"/>
                <w:sz w:val="22"/>
                <w:szCs w:val="22"/>
                <w:lang w:val="sr-Latn-ME"/>
              </w:rPr>
              <w:t xml:space="preserve">Zbog toga se ne preporučuje dvostruka blokada sistema renin-angiotenzin-aldosteron (RAAS) </w:t>
            </w:r>
            <w:r w:rsidR="005C3350" w:rsidRPr="00C01AF3">
              <w:rPr>
                <w:rFonts w:ascii="Times New Roman" w:hAnsi="Times New Roman"/>
                <w:sz w:val="22"/>
                <w:szCs w:val="22"/>
                <w:lang w:val="sr-Latn-ME"/>
              </w:rPr>
              <w:t>kombinovanom</w:t>
            </w:r>
            <w:r w:rsidR="00DC00D9" w:rsidRPr="00C01AF3">
              <w:rPr>
                <w:rFonts w:ascii="Times New Roman" w:hAnsi="Times New Roman"/>
                <w:sz w:val="22"/>
                <w:szCs w:val="22"/>
                <w:lang w:val="sr-Latn-ME"/>
              </w:rPr>
              <w:t xml:space="preserve"> primjenom </w:t>
            </w:r>
            <w:r w:rsidR="00CF2A65" w:rsidRPr="00C01AF3">
              <w:rPr>
                <w:rFonts w:ascii="Times New Roman" w:hAnsi="Times New Roman"/>
                <w:sz w:val="22"/>
                <w:szCs w:val="22"/>
                <w:lang w:val="sr-Latn-ME"/>
              </w:rPr>
              <w:t>ACE inhibitora, antagonista</w:t>
            </w:r>
            <w:r w:rsidR="00DC00D9" w:rsidRPr="00C01AF3">
              <w:rPr>
                <w:rFonts w:ascii="Times New Roman" w:hAnsi="Times New Roman"/>
                <w:sz w:val="22"/>
                <w:szCs w:val="22"/>
                <w:lang w:val="sr-Latn-ME"/>
              </w:rPr>
              <w:t xml:space="preserve"> angiotenzinskih receptora ili aliskirena.</w:t>
            </w:r>
          </w:p>
          <w:p w:rsidR="00026EF5" w:rsidRPr="00C01AF3" w:rsidRDefault="005C3350" w:rsidP="00995026">
            <w:pPr>
              <w:pStyle w:val="Header"/>
              <w:spacing w:before="80" w:after="80"/>
              <w:jc w:val="left"/>
              <w:rPr>
                <w:rFonts w:ascii="Times New Roman" w:hAnsi="Times New Roman"/>
                <w:sz w:val="22"/>
                <w:szCs w:val="22"/>
                <w:lang w:val="sr-Latn-ME"/>
              </w:rPr>
            </w:pPr>
            <w:r w:rsidRPr="00C01AF3">
              <w:rPr>
                <w:rFonts w:ascii="Times New Roman" w:hAnsi="Times New Roman"/>
                <w:sz w:val="22"/>
                <w:szCs w:val="22"/>
                <w:lang w:val="sr-Latn-ME"/>
              </w:rPr>
              <w:t xml:space="preserve">Ukoliko je apsolutno neophodna terapija dvostrukom blokadom, trebalo bi da se sprovodi pod nadzorom specijalista i uz pažljivo praćenje bubrežne funkcije, elektrolita i krvnog pritiska. Kod pacijenata sa dijabetičkom nefropatijom ACE inhibitori i </w:t>
            </w:r>
            <w:r w:rsidR="00CF2A65" w:rsidRPr="00C01AF3">
              <w:rPr>
                <w:rFonts w:ascii="Times New Roman" w:hAnsi="Times New Roman"/>
                <w:sz w:val="22"/>
                <w:szCs w:val="22"/>
                <w:lang w:val="sr-Latn-ME"/>
              </w:rPr>
              <w:t>antagonisti</w:t>
            </w:r>
            <w:r w:rsidRPr="00C01AF3">
              <w:rPr>
                <w:rFonts w:ascii="Times New Roman" w:hAnsi="Times New Roman"/>
                <w:sz w:val="22"/>
                <w:szCs w:val="22"/>
                <w:lang w:val="sr-Latn-ME"/>
              </w:rPr>
              <w:t xml:space="preserve"> angiotenzinskih receptora ne sm</w:t>
            </w:r>
            <w:r w:rsidR="00CF2A65" w:rsidRPr="00C01AF3">
              <w:rPr>
                <w:rFonts w:ascii="Times New Roman" w:hAnsi="Times New Roman"/>
                <w:sz w:val="22"/>
                <w:szCs w:val="22"/>
                <w:lang w:val="sr-Latn-ME"/>
              </w:rPr>
              <w:t>i</w:t>
            </w:r>
            <w:r w:rsidRPr="00C01AF3">
              <w:rPr>
                <w:rFonts w:ascii="Times New Roman" w:hAnsi="Times New Roman"/>
                <w:sz w:val="22"/>
                <w:szCs w:val="22"/>
                <w:lang w:val="sr-Latn-ME"/>
              </w:rPr>
              <w:t>ju</w:t>
            </w:r>
            <w:r w:rsidR="00CF2A65" w:rsidRPr="00C01AF3">
              <w:rPr>
                <w:rFonts w:ascii="Times New Roman" w:hAnsi="Times New Roman"/>
                <w:sz w:val="22"/>
                <w:szCs w:val="22"/>
                <w:lang w:val="sr-Latn-ME"/>
              </w:rPr>
              <w:t xml:space="preserve"> se</w:t>
            </w:r>
            <w:r w:rsidRPr="00C01AF3">
              <w:rPr>
                <w:rFonts w:ascii="Times New Roman" w:hAnsi="Times New Roman"/>
                <w:sz w:val="22"/>
                <w:szCs w:val="22"/>
                <w:lang w:val="sr-Latn-ME"/>
              </w:rPr>
              <w:t xml:space="preserve"> primjenjivati istovremeno.</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4.5. Interakcije sa drugim l</w:t>
            </w:r>
            <w:r w:rsidR="00A65414" w:rsidRPr="00C01AF3">
              <w:rPr>
                <w:rFonts w:ascii="Times New Roman" w:hAnsi="Times New Roman"/>
                <w:b/>
                <w:bCs/>
                <w:sz w:val="22"/>
                <w:szCs w:val="22"/>
                <w:lang w:val="sr-Latn-ME"/>
              </w:rPr>
              <w:t>j</w:t>
            </w:r>
            <w:r w:rsidRPr="00C01AF3">
              <w:rPr>
                <w:rFonts w:ascii="Times New Roman" w:hAnsi="Times New Roman"/>
                <w:b/>
                <w:bCs/>
                <w:sz w:val="22"/>
                <w:szCs w:val="22"/>
                <w:lang w:val="sr-Latn-ME"/>
              </w:rPr>
              <w:t>ekovima i druge vrste interakcija</w:t>
            </w:r>
          </w:p>
        </w:tc>
      </w:tr>
      <w:tr w:rsidR="00834DBB" w:rsidRPr="00C01AF3" w:rsidTr="00DE0A48">
        <w:trPr>
          <w:trHeight w:val="1145"/>
        </w:trPr>
        <w:tc>
          <w:tcPr>
            <w:tcW w:w="10188" w:type="dxa"/>
            <w:gridSpan w:val="3"/>
            <w:vAlign w:val="center"/>
          </w:tcPr>
          <w:p w:rsidR="002808BC" w:rsidRPr="00C01AF3" w:rsidRDefault="002808BC" w:rsidP="002808BC">
            <w:pPr>
              <w:pStyle w:val="Header"/>
              <w:tabs>
                <w:tab w:val="clear" w:pos="4536"/>
                <w:tab w:val="clear" w:pos="9072"/>
                <w:tab w:val="left" w:pos="284"/>
              </w:tabs>
              <w:jc w:val="left"/>
              <w:rPr>
                <w:rFonts w:ascii="Times New Roman" w:hAnsi="Times New Roman" w:cs="Arial"/>
                <w:bCs/>
                <w:sz w:val="22"/>
                <w:lang w:val="sr-Latn-ME"/>
              </w:rPr>
            </w:pPr>
            <w:r w:rsidRPr="00C01AF3">
              <w:rPr>
                <w:rFonts w:ascii="Times New Roman" w:hAnsi="Times New Roman" w:cs="Arial"/>
                <w:bCs/>
                <w:sz w:val="22"/>
                <w:lang w:val="sr-Latn-ME"/>
              </w:rPr>
              <w:t>Ni</w:t>
            </w:r>
            <w:r w:rsidR="00EC3098" w:rsidRPr="00C01AF3">
              <w:rPr>
                <w:rFonts w:ascii="Times New Roman" w:hAnsi="Times New Roman" w:cs="Arial"/>
                <w:bCs/>
                <w:sz w:val="22"/>
                <w:lang w:val="sr-Latn-ME"/>
              </w:rPr>
              <w:t>je</w:t>
            </w:r>
            <w:r w:rsidRPr="00C01AF3">
              <w:rPr>
                <w:rFonts w:ascii="Times New Roman" w:hAnsi="Times New Roman" w:cs="Arial"/>
                <w:bCs/>
                <w:sz w:val="22"/>
                <w:lang w:val="sr-Latn-ME"/>
              </w:rPr>
              <w:t>su obav</w:t>
            </w:r>
            <w:r w:rsidR="004E571A" w:rsidRPr="00C01AF3">
              <w:rPr>
                <w:rFonts w:ascii="Times New Roman" w:hAnsi="Times New Roman" w:cs="Arial"/>
                <w:bCs/>
                <w:sz w:val="22"/>
                <w:lang w:val="sr-Latn-ME"/>
              </w:rPr>
              <w:t xml:space="preserve">ljena formalna ispitivanja interakcija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a </w:t>
            </w:r>
            <w:r w:rsidRPr="00C01AF3">
              <w:rPr>
                <w:rFonts w:ascii="Times New Roman" w:hAnsi="Times New Roman" w:cs="Arial"/>
                <w:sz w:val="22"/>
                <w:lang w:val="sr-Latn-ME"/>
              </w:rPr>
              <w:t>Exforge</w:t>
            </w:r>
            <w:r w:rsidR="004E571A" w:rsidRPr="00C01AF3">
              <w:rPr>
                <w:rFonts w:ascii="Times New Roman" w:hAnsi="Times New Roman" w:cs="Arial"/>
                <w:sz w:val="22"/>
                <w:lang w:val="sr-Latn-ME"/>
              </w:rPr>
              <w:t xml:space="preserve"> HCT</w:t>
            </w:r>
            <w:r w:rsidRPr="00C01AF3">
              <w:rPr>
                <w:rFonts w:ascii="Times New Roman" w:hAnsi="Times New Roman" w:cs="Arial"/>
                <w:bCs/>
                <w:sz w:val="22"/>
                <w:lang w:val="sr-Latn-ME"/>
              </w:rPr>
              <w:t xml:space="preserve"> sa drugim l</w:t>
            </w:r>
            <w:r w:rsidR="00A65414" w:rsidRPr="00C01AF3">
              <w:rPr>
                <w:rFonts w:ascii="Times New Roman" w:hAnsi="Times New Roman" w:cs="Arial"/>
                <w:bCs/>
                <w:sz w:val="22"/>
                <w:lang w:val="sr-Latn-ME"/>
              </w:rPr>
              <w:t>j</w:t>
            </w:r>
            <w:r w:rsidRPr="00C01AF3">
              <w:rPr>
                <w:rFonts w:ascii="Times New Roman" w:hAnsi="Times New Roman" w:cs="Arial"/>
                <w:bCs/>
                <w:sz w:val="22"/>
                <w:lang w:val="sr-Latn-ME"/>
              </w:rPr>
              <w:t>ekovima.</w:t>
            </w:r>
            <w:r w:rsidR="004E571A" w:rsidRPr="00C01AF3">
              <w:rPr>
                <w:rFonts w:ascii="Times New Roman" w:hAnsi="Times New Roman" w:cs="Arial"/>
                <w:bCs/>
                <w:sz w:val="22"/>
                <w:lang w:val="sr-Latn-ME"/>
              </w:rPr>
              <w:t xml:space="preserve"> Stoga, u ovom </w:t>
            </w:r>
            <w:r w:rsidR="00BD0291" w:rsidRPr="00C01AF3">
              <w:rPr>
                <w:rFonts w:ascii="Times New Roman" w:hAnsi="Times New Roman" w:cs="Arial"/>
                <w:bCs/>
                <w:sz w:val="22"/>
                <w:lang w:val="sr-Latn-ME"/>
              </w:rPr>
              <w:t>odjelj</w:t>
            </w:r>
            <w:r w:rsidR="004E571A" w:rsidRPr="00C01AF3">
              <w:rPr>
                <w:rFonts w:ascii="Times New Roman" w:hAnsi="Times New Roman" w:cs="Arial"/>
                <w:bCs/>
                <w:sz w:val="22"/>
                <w:lang w:val="sr-Latn-ME"/>
              </w:rPr>
              <w:t xml:space="preserve">ku su date informacije o interakcijama sa drugim </w:t>
            </w:r>
            <w:r w:rsidR="00965F84" w:rsidRPr="00C01AF3">
              <w:rPr>
                <w:rFonts w:ascii="Times New Roman" w:hAnsi="Times New Roman" w:cs="Arial"/>
                <w:bCs/>
                <w:sz w:val="22"/>
                <w:lang w:val="sr-Latn-ME"/>
              </w:rPr>
              <w:t>l</w:t>
            </w:r>
            <w:r w:rsidR="00A65414" w:rsidRPr="00C01AF3">
              <w:rPr>
                <w:rFonts w:ascii="Times New Roman" w:hAnsi="Times New Roman" w:cs="Arial"/>
                <w:bCs/>
                <w:sz w:val="22"/>
                <w:lang w:val="sr-Latn-ME"/>
              </w:rPr>
              <w:t>j</w:t>
            </w:r>
            <w:r w:rsidR="004E571A" w:rsidRPr="00C01AF3">
              <w:rPr>
                <w:rFonts w:ascii="Times New Roman" w:hAnsi="Times New Roman" w:cs="Arial"/>
                <w:bCs/>
                <w:sz w:val="22"/>
                <w:lang w:val="sr-Latn-ME"/>
              </w:rPr>
              <w:t xml:space="preserve">ekovima koje su poznate za </w:t>
            </w:r>
            <w:r w:rsidR="00965F84" w:rsidRPr="00C01AF3">
              <w:rPr>
                <w:rFonts w:ascii="Times New Roman" w:hAnsi="Times New Roman" w:cs="Arial"/>
                <w:bCs/>
                <w:sz w:val="22"/>
                <w:lang w:val="sr-Latn-ME"/>
              </w:rPr>
              <w:t>pojedinačne</w:t>
            </w:r>
            <w:r w:rsidR="004E571A" w:rsidRPr="00C01AF3">
              <w:rPr>
                <w:rFonts w:ascii="Times New Roman" w:hAnsi="Times New Roman" w:cs="Arial"/>
                <w:bCs/>
                <w:sz w:val="22"/>
                <w:lang w:val="sr-Latn-ME"/>
              </w:rPr>
              <w:t xml:space="preserve"> aktivne supstance.</w:t>
            </w:r>
          </w:p>
          <w:p w:rsidR="002808BC" w:rsidRPr="00C01AF3" w:rsidRDefault="004E571A" w:rsidP="002808BC">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Međutim, veoma je bitno uzeti u obzir da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 Exforge HCT može povećati hipotenzivni efekat drugih antihipertenzivnih </w:t>
            </w:r>
            <w:r w:rsidR="00213BA7" w:rsidRPr="00C01AF3">
              <w:rPr>
                <w:rFonts w:ascii="Times New Roman" w:hAnsi="Times New Roman" w:cs="Arial"/>
                <w:bCs/>
                <w:sz w:val="22"/>
                <w:lang w:val="sr-Latn-ME"/>
              </w:rPr>
              <w:t>l</w:t>
            </w:r>
            <w:r w:rsidR="00A65414" w:rsidRPr="00C01AF3">
              <w:rPr>
                <w:rFonts w:ascii="Times New Roman" w:hAnsi="Times New Roman" w:cs="Arial"/>
                <w:bCs/>
                <w:sz w:val="22"/>
                <w:lang w:val="sr-Latn-ME"/>
              </w:rPr>
              <w:t>j</w:t>
            </w:r>
            <w:r w:rsidRPr="00C01AF3">
              <w:rPr>
                <w:rFonts w:ascii="Times New Roman" w:hAnsi="Times New Roman" w:cs="Arial"/>
                <w:bCs/>
                <w:sz w:val="22"/>
                <w:lang w:val="sr-Latn-ME"/>
              </w:rPr>
              <w:t>ekova.</w:t>
            </w:r>
          </w:p>
          <w:p w:rsidR="00213BA7" w:rsidRPr="00C01AF3" w:rsidRDefault="00213BA7" w:rsidP="002808BC">
            <w:pPr>
              <w:pStyle w:val="Header"/>
              <w:tabs>
                <w:tab w:val="clear" w:pos="4536"/>
                <w:tab w:val="clear" w:pos="9072"/>
                <w:tab w:val="left" w:pos="284"/>
              </w:tabs>
              <w:spacing w:before="80" w:after="80"/>
              <w:jc w:val="left"/>
              <w:rPr>
                <w:rFonts w:ascii="Times New Roman" w:hAnsi="Times New Roman" w:cs="Arial"/>
                <w:bCs/>
                <w:sz w:val="22"/>
                <w:lang w:val="sr-Latn-ME"/>
              </w:rPr>
            </w:pPr>
          </w:p>
          <w:p w:rsidR="00A93DC3" w:rsidRPr="00C01AF3" w:rsidRDefault="00A93DC3" w:rsidP="002808BC">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i/>
                <w:sz w:val="22"/>
                <w:u w:val="single"/>
                <w:lang w:val="sr-Latn-ME"/>
              </w:rPr>
              <w:t xml:space="preserve"> </w:t>
            </w:r>
            <w:r w:rsidRPr="00C01AF3">
              <w:rPr>
                <w:rFonts w:ascii="Times New Roman" w:hAnsi="Times New Roman" w:cs="Arial"/>
                <w:bCs/>
                <w:sz w:val="22"/>
                <w:u w:val="single"/>
                <w:lang w:val="sr-Latn-ME"/>
              </w:rPr>
              <w:t>Ne preporučuje se istovremena upotreba</w:t>
            </w:r>
          </w:p>
          <w:tbl>
            <w:tblPr>
              <w:tblW w:w="9108" w:type="dxa"/>
              <w:tblLayout w:type="fixed"/>
              <w:tblLook w:val="01E0" w:firstRow="1" w:lastRow="1" w:firstColumn="1" w:lastColumn="1" w:noHBand="0" w:noVBand="0"/>
            </w:tblPr>
            <w:tblGrid>
              <w:gridCol w:w="1560"/>
              <w:gridCol w:w="2138"/>
              <w:gridCol w:w="5410"/>
            </w:tblGrid>
            <w:tr w:rsidR="00A93DC3" w:rsidRPr="00C01AF3" w:rsidTr="007F773F">
              <w:trPr>
                <w:tblHeader/>
              </w:trPr>
              <w:tc>
                <w:tcPr>
                  <w:tcW w:w="1560" w:type="dxa"/>
                  <w:tcBorders>
                    <w:bottom w:val="single" w:sz="4" w:space="0" w:color="auto"/>
                  </w:tcBorders>
                </w:tcPr>
                <w:p w:rsidR="00A93DC3" w:rsidRPr="00C01AF3" w:rsidRDefault="00A93DC3">
                  <w:pPr>
                    <w:keepNext/>
                    <w:jc w:val="left"/>
                    <w:rPr>
                      <w:rFonts w:ascii="Times New Roman" w:hAnsi="Times New Roman"/>
                      <w:b/>
                      <w:noProof/>
                      <w:sz w:val="22"/>
                      <w:szCs w:val="22"/>
                      <w:lang w:val="sr-Latn-ME"/>
                    </w:rPr>
                  </w:pPr>
                  <w:r w:rsidRPr="00C01AF3">
                    <w:rPr>
                      <w:rFonts w:ascii="Times New Roman" w:hAnsi="Times New Roman"/>
                      <w:b/>
                      <w:noProof/>
                      <w:sz w:val="22"/>
                      <w:szCs w:val="22"/>
                      <w:lang w:val="sr-Latn-ME"/>
                    </w:rPr>
                    <w:t xml:space="preserve">Exforge HCT </w:t>
                  </w:r>
                  <w:r w:rsidR="008F0EDB" w:rsidRPr="00C01AF3">
                    <w:rPr>
                      <w:rFonts w:ascii="Times New Roman" w:hAnsi="Times New Roman"/>
                      <w:b/>
                      <w:noProof/>
                      <w:sz w:val="22"/>
                      <w:szCs w:val="22"/>
                      <w:lang w:val="sr-Latn-ME"/>
                    </w:rPr>
                    <w:t xml:space="preserve">pojedinačne    </w:t>
                  </w:r>
                  <w:r w:rsidRPr="00C01AF3">
                    <w:rPr>
                      <w:rFonts w:ascii="Times New Roman" w:hAnsi="Times New Roman"/>
                      <w:b/>
                      <w:noProof/>
                      <w:sz w:val="22"/>
                      <w:szCs w:val="22"/>
                      <w:lang w:val="sr-Latn-ME"/>
                    </w:rPr>
                    <w:t>komponenete</w:t>
                  </w:r>
                </w:p>
              </w:tc>
              <w:tc>
                <w:tcPr>
                  <w:tcW w:w="2138" w:type="dxa"/>
                  <w:tcBorders>
                    <w:bottom w:val="single" w:sz="8" w:space="0" w:color="auto"/>
                  </w:tcBorders>
                </w:tcPr>
                <w:p w:rsidR="00A93DC3" w:rsidRPr="00C01AF3" w:rsidRDefault="00A93DC3" w:rsidP="00A93DC3">
                  <w:pPr>
                    <w:keepNext/>
                    <w:jc w:val="left"/>
                    <w:rPr>
                      <w:rFonts w:ascii="Times New Roman" w:hAnsi="Times New Roman"/>
                      <w:b/>
                      <w:noProof/>
                      <w:sz w:val="22"/>
                      <w:szCs w:val="22"/>
                      <w:lang w:val="sr-Latn-ME"/>
                    </w:rPr>
                  </w:pPr>
                  <w:r w:rsidRPr="00C01AF3">
                    <w:rPr>
                      <w:rFonts w:ascii="Times New Roman" w:hAnsi="Times New Roman"/>
                      <w:b/>
                      <w:noProof/>
                      <w:sz w:val="22"/>
                      <w:szCs w:val="22"/>
                      <w:lang w:val="sr-Latn-ME"/>
                    </w:rPr>
                    <w:t>Poz</w:t>
                  </w:r>
                  <w:r w:rsidR="006E08BB" w:rsidRPr="00C01AF3">
                    <w:rPr>
                      <w:rFonts w:ascii="Times New Roman" w:hAnsi="Times New Roman"/>
                      <w:b/>
                      <w:noProof/>
                      <w:sz w:val="22"/>
                      <w:szCs w:val="22"/>
                      <w:lang w:val="sr-Latn-ME"/>
                    </w:rPr>
                    <w:t xml:space="preserve">nate interakcije sa </w:t>
                  </w:r>
                  <w:r w:rsidR="001B0A1F" w:rsidRPr="00C01AF3">
                    <w:rPr>
                      <w:rFonts w:ascii="Times New Roman" w:hAnsi="Times New Roman"/>
                      <w:b/>
                      <w:noProof/>
                      <w:sz w:val="22"/>
                      <w:szCs w:val="22"/>
                      <w:lang w:val="sr-Latn-ME"/>
                    </w:rPr>
                    <w:t>sljedeć</w:t>
                  </w:r>
                  <w:r w:rsidR="006E08BB" w:rsidRPr="00C01AF3">
                    <w:rPr>
                      <w:rFonts w:ascii="Times New Roman" w:hAnsi="Times New Roman"/>
                      <w:b/>
                      <w:noProof/>
                      <w:sz w:val="22"/>
                      <w:szCs w:val="22"/>
                      <w:lang w:val="sr-Latn-ME"/>
                    </w:rPr>
                    <w:t>im l</w:t>
                  </w:r>
                  <w:r w:rsidR="00A65414" w:rsidRPr="00C01AF3">
                    <w:rPr>
                      <w:rFonts w:ascii="Times New Roman" w:hAnsi="Times New Roman"/>
                      <w:b/>
                      <w:noProof/>
                      <w:sz w:val="22"/>
                      <w:szCs w:val="22"/>
                      <w:lang w:val="sr-Latn-ME"/>
                    </w:rPr>
                    <w:t>j</w:t>
                  </w:r>
                  <w:r w:rsidRPr="00C01AF3">
                    <w:rPr>
                      <w:rFonts w:ascii="Times New Roman" w:hAnsi="Times New Roman"/>
                      <w:b/>
                      <w:noProof/>
                      <w:sz w:val="22"/>
                      <w:szCs w:val="22"/>
                      <w:lang w:val="sr-Latn-ME"/>
                    </w:rPr>
                    <w:t>ekovima</w:t>
                  </w:r>
                </w:p>
              </w:tc>
              <w:tc>
                <w:tcPr>
                  <w:tcW w:w="5410" w:type="dxa"/>
                  <w:tcBorders>
                    <w:bottom w:val="single" w:sz="8" w:space="0" w:color="auto"/>
                  </w:tcBorders>
                </w:tcPr>
                <w:p w:rsidR="00A93DC3" w:rsidRPr="00C01AF3" w:rsidRDefault="00A93DC3" w:rsidP="00A93DC3">
                  <w:pPr>
                    <w:keepNext/>
                    <w:rPr>
                      <w:rFonts w:ascii="Times New Roman" w:hAnsi="Times New Roman"/>
                      <w:b/>
                      <w:noProof/>
                      <w:sz w:val="22"/>
                      <w:szCs w:val="22"/>
                      <w:lang w:val="sr-Latn-ME"/>
                    </w:rPr>
                  </w:pPr>
                  <w:r w:rsidRPr="00C01AF3">
                    <w:rPr>
                      <w:rFonts w:ascii="Times New Roman" w:hAnsi="Times New Roman"/>
                      <w:b/>
                      <w:noProof/>
                      <w:sz w:val="22"/>
                      <w:szCs w:val="22"/>
                      <w:lang w:val="sr-Latn-ME"/>
                    </w:rPr>
                    <w:t>Efekt</w:t>
                  </w:r>
                  <w:r w:rsidR="006E08BB" w:rsidRPr="00C01AF3">
                    <w:rPr>
                      <w:rFonts w:ascii="Times New Roman" w:hAnsi="Times New Roman"/>
                      <w:b/>
                      <w:noProof/>
                      <w:sz w:val="22"/>
                      <w:szCs w:val="22"/>
                      <w:lang w:val="sr-Latn-ME"/>
                    </w:rPr>
                    <w:t>i interakcija sa drugim l</w:t>
                  </w:r>
                  <w:r w:rsidR="00A65414" w:rsidRPr="00C01AF3">
                    <w:rPr>
                      <w:rFonts w:ascii="Times New Roman" w:hAnsi="Times New Roman"/>
                      <w:b/>
                      <w:noProof/>
                      <w:sz w:val="22"/>
                      <w:szCs w:val="22"/>
                      <w:lang w:val="sr-Latn-ME"/>
                    </w:rPr>
                    <w:t>j</w:t>
                  </w:r>
                  <w:r w:rsidRPr="00C01AF3">
                    <w:rPr>
                      <w:rFonts w:ascii="Times New Roman" w:hAnsi="Times New Roman"/>
                      <w:b/>
                      <w:noProof/>
                      <w:sz w:val="22"/>
                      <w:szCs w:val="22"/>
                      <w:lang w:val="sr-Latn-ME"/>
                    </w:rPr>
                    <w:t>ekovima</w:t>
                  </w:r>
                </w:p>
              </w:tc>
            </w:tr>
            <w:tr w:rsidR="00A93DC3" w:rsidRPr="00C01AF3" w:rsidTr="007F773F">
              <w:trPr>
                <w:trHeight w:val="383"/>
              </w:trPr>
              <w:tc>
                <w:tcPr>
                  <w:tcW w:w="1560" w:type="dxa"/>
                  <w:tcBorders>
                    <w:top w:val="single" w:sz="4" w:space="0" w:color="auto"/>
                    <w:bottom w:val="single" w:sz="4" w:space="0" w:color="auto"/>
                  </w:tcBorders>
                </w:tcPr>
                <w:p w:rsidR="00A93DC3" w:rsidRPr="00C01AF3" w:rsidRDefault="00A93DC3" w:rsidP="00BB203B">
                  <w:pPr>
                    <w:jc w:val="left"/>
                    <w:rPr>
                      <w:rFonts w:ascii="Times New Roman" w:hAnsi="Times New Roman"/>
                      <w:noProof/>
                      <w:sz w:val="22"/>
                      <w:szCs w:val="22"/>
                      <w:lang w:val="sr-Latn-ME"/>
                    </w:rPr>
                  </w:pPr>
                  <w:r w:rsidRPr="00C01AF3">
                    <w:rPr>
                      <w:rFonts w:ascii="Times New Roman" w:hAnsi="Times New Roman"/>
                      <w:noProof/>
                      <w:sz w:val="22"/>
                      <w:szCs w:val="22"/>
                      <w:lang w:val="sr-Latn-ME"/>
                    </w:rPr>
                    <w:t>Valsartan</w:t>
                  </w:r>
                  <w:r w:rsidR="00CB17C0" w:rsidRPr="00C01AF3">
                    <w:rPr>
                      <w:rFonts w:ascii="Times New Roman" w:hAnsi="Times New Roman"/>
                      <w:noProof/>
                      <w:sz w:val="22"/>
                      <w:szCs w:val="22"/>
                      <w:lang w:val="sr-Latn-ME"/>
                    </w:rPr>
                    <w:t xml:space="preserve"> </w:t>
                  </w:r>
                  <w:r w:rsidR="00BB203B" w:rsidRPr="00C01AF3">
                    <w:rPr>
                      <w:rFonts w:ascii="Times New Roman" w:hAnsi="Times New Roman"/>
                      <w:noProof/>
                      <w:sz w:val="22"/>
                      <w:szCs w:val="22"/>
                      <w:lang w:val="sr-Latn-ME"/>
                    </w:rPr>
                    <w:t xml:space="preserve">i </w:t>
                  </w:r>
                  <w:r w:rsidR="007C4A86" w:rsidRPr="00C01AF3">
                    <w:rPr>
                      <w:rFonts w:ascii="Times New Roman" w:hAnsi="Times New Roman"/>
                      <w:noProof/>
                      <w:sz w:val="22"/>
                      <w:szCs w:val="22"/>
                      <w:lang w:val="sr-Latn-ME"/>
                    </w:rPr>
                    <w:t>hidrohlortiazid</w:t>
                  </w:r>
                </w:p>
              </w:tc>
              <w:tc>
                <w:tcPr>
                  <w:tcW w:w="2138" w:type="dxa"/>
                  <w:tcBorders>
                    <w:top w:val="single" w:sz="8" w:space="0" w:color="auto"/>
                    <w:bottom w:val="single" w:sz="4" w:space="0" w:color="auto"/>
                  </w:tcBorders>
                </w:tcPr>
                <w:p w:rsidR="00A93DC3" w:rsidRPr="00C01AF3" w:rsidRDefault="00A93DC3" w:rsidP="00A93DC3">
                  <w:pPr>
                    <w:ind w:left="-296" w:firstLine="296"/>
                    <w:rPr>
                      <w:rFonts w:ascii="Times New Roman" w:hAnsi="Times New Roman"/>
                      <w:noProof/>
                      <w:sz w:val="22"/>
                      <w:szCs w:val="22"/>
                      <w:lang w:val="sr-Latn-ME"/>
                    </w:rPr>
                  </w:pPr>
                  <w:r w:rsidRPr="00C01AF3">
                    <w:rPr>
                      <w:rFonts w:ascii="Times New Roman" w:hAnsi="Times New Roman"/>
                      <w:noProof/>
                      <w:sz w:val="22"/>
                      <w:szCs w:val="22"/>
                      <w:lang w:val="sr-Latn-ME"/>
                    </w:rPr>
                    <w:t>Lit</w:t>
                  </w:r>
                  <w:r w:rsidR="00431581" w:rsidRPr="00C01AF3">
                    <w:rPr>
                      <w:rFonts w:ascii="Times New Roman" w:hAnsi="Times New Roman"/>
                      <w:noProof/>
                      <w:sz w:val="22"/>
                      <w:szCs w:val="22"/>
                      <w:lang w:val="sr-Latn-ME"/>
                    </w:rPr>
                    <w:t>iju</w:t>
                  </w:r>
                  <w:r w:rsidRPr="00C01AF3">
                    <w:rPr>
                      <w:rFonts w:ascii="Times New Roman" w:hAnsi="Times New Roman"/>
                      <w:noProof/>
                      <w:sz w:val="22"/>
                      <w:szCs w:val="22"/>
                      <w:lang w:val="sr-Latn-ME"/>
                    </w:rPr>
                    <w:t>m</w:t>
                  </w:r>
                </w:p>
              </w:tc>
              <w:tc>
                <w:tcPr>
                  <w:tcW w:w="5410" w:type="dxa"/>
                  <w:tcBorders>
                    <w:top w:val="single" w:sz="8" w:space="0" w:color="auto"/>
                    <w:bottom w:val="single" w:sz="4" w:space="0" w:color="auto"/>
                  </w:tcBorders>
                  <w:vAlign w:val="center"/>
                </w:tcPr>
                <w:p w:rsidR="00A93DC3" w:rsidRPr="00C01AF3" w:rsidRDefault="00A93DC3">
                  <w:pPr>
                    <w:jc w:val="left"/>
                    <w:rPr>
                      <w:rFonts w:ascii="Times New Roman" w:hAnsi="Times New Roman"/>
                      <w:noProof/>
                      <w:sz w:val="22"/>
                      <w:szCs w:val="22"/>
                      <w:lang w:val="sr-Latn-ME"/>
                    </w:rPr>
                  </w:pPr>
                  <w:r w:rsidRPr="00C01AF3">
                    <w:rPr>
                      <w:rFonts w:ascii="Times New Roman" w:hAnsi="Times New Roman"/>
                      <w:noProof/>
                      <w:sz w:val="22"/>
                      <w:szCs w:val="22"/>
                      <w:lang w:val="sr-Latn-ME"/>
                    </w:rPr>
                    <w:t>Reverzibilno povećanje koncentracije litijuma u serumu i toksičnost su bili prijavlj</w:t>
                  </w:r>
                  <w:r w:rsidR="006E08BB" w:rsidRPr="00C01AF3">
                    <w:rPr>
                      <w:rFonts w:ascii="Times New Roman" w:hAnsi="Times New Roman"/>
                      <w:noProof/>
                      <w:sz w:val="22"/>
                      <w:szCs w:val="22"/>
                      <w:lang w:val="sr-Latn-ME"/>
                    </w:rPr>
                    <w:t>ivani</w:t>
                  </w:r>
                  <w:r w:rsidRPr="00C01AF3">
                    <w:rPr>
                      <w:rFonts w:ascii="Times New Roman" w:hAnsi="Times New Roman"/>
                      <w:noProof/>
                      <w:sz w:val="22"/>
                      <w:szCs w:val="22"/>
                      <w:lang w:val="sr-Latn-ME"/>
                    </w:rPr>
                    <w:t xml:space="preserve"> tokom istovremene</w:t>
                  </w:r>
                  <w:r w:rsidR="00E13CF8" w:rsidRPr="00C01AF3">
                    <w:rPr>
                      <w:rFonts w:ascii="Times New Roman" w:hAnsi="Times New Roman"/>
                      <w:noProof/>
                      <w:sz w:val="22"/>
                      <w:szCs w:val="22"/>
                      <w:lang w:val="sr-Latn-ME"/>
                    </w:rPr>
                    <w:t xml:space="preserve"> </w:t>
                  </w:r>
                  <w:r w:rsidR="00BD0291" w:rsidRPr="00C01AF3">
                    <w:rPr>
                      <w:rFonts w:ascii="Times New Roman" w:hAnsi="Times New Roman"/>
                      <w:noProof/>
                      <w:sz w:val="22"/>
                      <w:szCs w:val="22"/>
                      <w:lang w:val="sr-Latn-ME"/>
                    </w:rPr>
                    <w:t>primje</w:t>
                  </w:r>
                  <w:r w:rsidR="002A08C8" w:rsidRPr="00C01AF3">
                    <w:rPr>
                      <w:rFonts w:ascii="Times New Roman" w:hAnsi="Times New Roman"/>
                      <w:noProof/>
                      <w:sz w:val="22"/>
                      <w:szCs w:val="22"/>
                      <w:lang w:val="sr-Latn-ME"/>
                    </w:rPr>
                    <w:t>ne litijuma</w:t>
                  </w:r>
                  <w:r w:rsidRPr="00C01AF3">
                    <w:rPr>
                      <w:rFonts w:ascii="Times New Roman" w:hAnsi="Times New Roman"/>
                      <w:noProof/>
                      <w:sz w:val="22"/>
                      <w:szCs w:val="22"/>
                      <w:lang w:val="sr-Latn-ME"/>
                    </w:rPr>
                    <w:t xml:space="preserve"> sa ACE inhibitorima</w:t>
                  </w:r>
                  <w:r w:rsidR="006E08BB" w:rsidRPr="00C01AF3">
                    <w:rPr>
                      <w:rFonts w:ascii="Times New Roman" w:hAnsi="Times New Roman"/>
                      <w:noProof/>
                      <w:sz w:val="22"/>
                      <w:szCs w:val="22"/>
                      <w:lang w:val="sr-Latn-ME"/>
                    </w:rPr>
                    <w:t>, antagonist</w:t>
                  </w:r>
                  <w:r w:rsidR="00E13CF8" w:rsidRPr="00C01AF3">
                    <w:rPr>
                      <w:rFonts w:ascii="Times New Roman" w:hAnsi="Times New Roman"/>
                      <w:noProof/>
                      <w:sz w:val="22"/>
                      <w:szCs w:val="22"/>
                      <w:lang w:val="sr-Latn-ME"/>
                    </w:rPr>
                    <w:t>im</w:t>
                  </w:r>
                  <w:r w:rsidR="006E08BB" w:rsidRPr="00C01AF3">
                    <w:rPr>
                      <w:rFonts w:ascii="Times New Roman" w:hAnsi="Times New Roman"/>
                      <w:noProof/>
                      <w:sz w:val="22"/>
                      <w:szCs w:val="22"/>
                      <w:lang w:val="sr-Latn-ME"/>
                    </w:rPr>
                    <w:t>a angiotenzin II receptora uključujući valsartan il</w:t>
                  </w:r>
                  <w:r w:rsidR="00431581" w:rsidRPr="00C01AF3">
                    <w:rPr>
                      <w:rFonts w:ascii="Times New Roman" w:hAnsi="Times New Roman"/>
                      <w:noProof/>
                      <w:sz w:val="22"/>
                      <w:szCs w:val="22"/>
                      <w:lang w:val="sr-Latn-ME"/>
                    </w:rPr>
                    <w:t>i</w:t>
                  </w:r>
                  <w:r w:rsidRPr="00C01AF3">
                    <w:rPr>
                      <w:rFonts w:ascii="Times New Roman" w:hAnsi="Times New Roman"/>
                      <w:noProof/>
                      <w:sz w:val="22"/>
                      <w:szCs w:val="22"/>
                      <w:lang w:val="sr-Latn-ME"/>
                    </w:rPr>
                    <w:t xml:space="preserve"> tizaidima</w:t>
                  </w:r>
                  <w:r w:rsidR="006E08BB" w:rsidRPr="00C01AF3">
                    <w:rPr>
                      <w:rFonts w:ascii="Times New Roman" w:hAnsi="Times New Roman"/>
                      <w:noProof/>
                      <w:sz w:val="22"/>
                      <w:szCs w:val="22"/>
                      <w:lang w:val="sr-Latn-ME"/>
                    </w:rPr>
                    <w:t>.</w:t>
                  </w:r>
                  <w:r w:rsidRPr="00C01AF3">
                    <w:rPr>
                      <w:rFonts w:ascii="Times New Roman" w:hAnsi="Times New Roman"/>
                      <w:noProof/>
                      <w:sz w:val="22"/>
                      <w:szCs w:val="22"/>
                      <w:lang w:val="sr-Latn-ME"/>
                    </w:rPr>
                    <w:t xml:space="preserve"> </w:t>
                  </w:r>
                  <w:r w:rsidR="002A08C8" w:rsidRPr="00C01AF3">
                    <w:rPr>
                      <w:rFonts w:ascii="Times New Roman" w:hAnsi="Times New Roman"/>
                      <w:noProof/>
                      <w:sz w:val="22"/>
                      <w:szCs w:val="22"/>
                      <w:lang w:val="sr-Latn-ME"/>
                    </w:rPr>
                    <w:t xml:space="preserve">S obzirom da je klirens litijuma snižen zbog tiazida, rizik od toksičnosti litijuma </w:t>
                  </w:r>
                  <w:r w:rsidR="008F0EDB" w:rsidRPr="00C01AF3">
                    <w:rPr>
                      <w:rFonts w:ascii="Times New Roman" w:hAnsi="Times New Roman"/>
                      <w:noProof/>
                      <w:sz w:val="22"/>
                      <w:szCs w:val="22"/>
                      <w:lang w:val="sr-Latn-ME"/>
                    </w:rPr>
                    <w:t>vjerovatno se može</w:t>
                  </w:r>
                  <w:r w:rsidR="002A08C8" w:rsidRPr="00C01AF3">
                    <w:rPr>
                      <w:rFonts w:ascii="Times New Roman" w:hAnsi="Times New Roman"/>
                      <w:noProof/>
                      <w:sz w:val="22"/>
                      <w:szCs w:val="22"/>
                      <w:lang w:val="sr-Latn-ME"/>
                    </w:rPr>
                    <w:t xml:space="preserve"> poveća</w:t>
                  </w:r>
                  <w:r w:rsidR="008F0EDB" w:rsidRPr="00C01AF3">
                    <w:rPr>
                      <w:rFonts w:ascii="Times New Roman" w:hAnsi="Times New Roman"/>
                      <w:noProof/>
                      <w:sz w:val="22"/>
                      <w:szCs w:val="22"/>
                      <w:lang w:val="sr-Latn-ME"/>
                    </w:rPr>
                    <w:t xml:space="preserve">ti </w:t>
                  </w:r>
                  <w:r w:rsidR="002A08C8" w:rsidRPr="00C01AF3">
                    <w:rPr>
                      <w:rFonts w:ascii="Times New Roman" w:hAnsi="Times New Roman"/>
                      <w:noProof/>
                      <w:sz w:val="22"/>
                      <w:szCs w:val="22"/>
                      <w:lang w:val="sr-Latn-ME"/>
                    </w:rPr>
                    <w:t xml:space="preserve">sa daljom </w:t>
                  </w:r>
                  <w:r w:rsidR="00BD0291" w:rsidRPr="00C01AF3">
                    <w:rPr>
                      <w:rFonts w:ascii="Times New Roman" w:hAnsi="Times New Roman"/>
                      <w:noProof/>
                      <w:sz w:val="22"/>
                      <w:szCs w:val="22"/>
                      <w:lang w:val="sr-Latn-ME"/>
                    </w:rPr>
                    <w:t>primje</w:t>
                  </w:r>
                  <w:r w:rsidR="002A08C8" w:rsidRPr="00C01AF3">
                    <w:rPr>
                      <w:rFonts w:ascii="Times New Roman" w:hAnsi="Times New Roman"/>
                      <w:noProof/>
                      <w:sz w:val="22"/>
                      <w:szCs w:val="22"/>
                      <w:lang w:val="sr-Latn-ME"/>
                    </w:rPr>
                    <w:t xml:space="preserve">nom </w:t>
                  </w:r>
                  <w:r w:rsidR="00A65414" w:rsidRPr="00C01AF3">
                    <w:rPr>
                      <w:rFonts w:ascii="Times New Roman" w:hAnsi="Times New Roman"/>
                      <w:noProof/>
                      <w:sz w:val="22"/>
                      <w:szCs w:val="22"/>
                      <w:lang w:val="sr-Latn-ME"/>
                    </w:rPr>
                    <w:t>lijek</w:t>
                  </w:r>
                  <w:r w:rsidR="002A08C8" w:rsidRPr="00C01AF3">
                    <w:rPr>
                      <w:rFonts w:ascii="Times New Roman" w:hAnsi="Times New Roman"/>
                      <w:noProof/>
                      <w:sz w:val="22"/>
                      <w:szCs w:val="22"/>
                      <w:lang w:val="sr-Latn-ME"/>
                    </w:rPr>
                    <w:t xml:space="preserve">a Exforge HCT. Zbog toga se preporučuje pažljivo praćenje nivoa litijuma u serumu tokom istovremene </w:t>
                  </w:r>
                  <w:r w:rsidR="00BD0291" w:rsidRPr="00C01AF3">
                    <w:rPr>
                      <w:rFonts w:ascii="Times New Roman" w:hAnsi="Times New Roman"/>
                      <w:noProof/>
                      <w:sz w:val="22"/>
                      <w:szCs w:val="22"/>
                      <w:lang w:val="sr-Latn-ME"/>
                    </w:rPr>
                    <w:t>primje</w:t>
                  </w:r>
                  <w:r w:rsidR="002A08C8" w:rsidRPr="00C01AF3">
                    <w:rPr>
                      <w:rFonts w:ascii="Times New Roman" w:hAnsi="Times New Roman"/>
                      <w:noProof/>
                      <w:sz w:val="22"/>
                      <w:szCs w:val="22"/>
                      <w:lang w:val="sr-Latn-ME"/>
                    </w:rPr>
                    <w:t>ne.</w:t>
                  </w:r>
                </w:p>
              </w:tc>
            </w:tr>
            <w:tr w:rsidR="00A93DC3" w:rsidRPr="00C01AF3" w:rsidTr="007F773F">
              <w:trPr>
                <w:trHeight w:val="382"/>
              </w:trPr>
              <w:tc>
                <w:tcPr>
                  <w:tcW w:w="1560" w:type="dxa"/>
                  <w:tcBorders>
                    <w:top w:val="single" w:sz="4" w:space="0" w:color="auto"/>
                    <w:bottom w:val="single" w:sz="8" w:space="0" w:color="auto"/>
                  </w:tcBorders>
                </w:tcPr>
                <w:p w:rsidR="00A93DC3" w:rsidRPr="00C01AF3" w:rsidRDefault="00A93DC3" w:rsidP="001E4969">
                  <w:pPr>
                    <w:rPr>
                      <w:rFonts w:ascii="Times New Roman" w:hAnsi="Times New Roman"/>
                      <w:noProof/>
                      <w:sz w:val="22"/>
                      <w:szCs w:val="22"/>
                      <w:lang w:val="sr-Latn-ME"/>
                    </w:rPr>
                  </w:pPr>
                  <w:r w:rsidRPr="00C01AF3">
                    <w:rPr>
                      <w:rFonts w:ascii="Times New Roman" w:hAnsi="Times New Roman"/>
                      <w:noProof/>
                      <w:sz w:val="22"/>
                      <w:szCs w:val="22"/>
                      <w:lang w:val="sr-Latn-ME"/>
                    </w:rPr>
                    <w:t>Valsartan</w:t>
                  </w:r>
                </w:p>
              </w:tc>
              <w:tc>
                <w:tcPr>
                  <w:tcW w:w="2138" w:type="dxa"/>
                  <w:tcBorders>
                    <w:top w:val="single" w:sz="4" w:space="0" w:color="auto"/>
                    <w:bottom w:val="single" w:sz="8" w:space="0" w:color="auto"/>
                  </w:tcBorders>
                </w:tcPr>
                <w:p w:rsidR="00A93DC3" w:rsidRPr="00C01AF3" w:rsidRDefault="00A93DC3" w:rsidP="00BB3D3A">
                  <w:pPr>
                    <w:jc w:val="left"/>
                    <w:rPr>
                      <w:rFonts w:ascii="Times New Roman" w:hAnsi="Times New Roman"/>
                      <w:noProof/>
                      <w:sz w:val="22"/>
                      <w:szCs w:val="22"/>
                      <w:lang w:val="sr-Latn-ME"/>
                    </w:rPr>
                  </w:pPr>
                  <w:r w:rsidRPr="00C01AF3">
                    <w:rPr>
                      <w:rFonts w:ascii="Times New Roman" w:hAnsi="Times New Roman"/>
                      <w:noProof/>
                      <w:sz w:val="22"/>
                      <w:szCs w:val="22"/>
                      <w:lang w:val="sr-Latn-ME"/>
                    </w:rPr>
                    <w:t xml:space="preserve">Diuretici koji štede kalijum, suplementi kalijuma, </w:t>
                  </w:r>
                  <w:r w:rsidR="009D7207" w:rsidRPr="00C01AF3">
                    <w:rPr>
                      <w:rFonts w:ascii="Times New Roman" w:hAnsi="Times New Roman"/>
                      <w:noProof/>
                      <w:sz w:val="22"/>
                      <w:szCs w:val="22"/>
                      <w:lang w:val="sr-Latn-ME"/>
                    </w:rPr>
                    <w:t>zamjen</w:t>
                  </w:r>
                  <w:r w:rsidR="00BB3D3A" w:rsidRPr="00C01AF3">
                    <w:rPr>
                      <w:rFonts w:ascii="Times New Roman" w:hAnsi="Times New Roman"/>
                      <w:noProof/>
                      <w:sz w:val="22"/>
                      <w:szCs w:val="22"/>
                      <w:lang w:val="sr-Latn-ME"/>
                    </w:rPr>
                    <w:t>e</w:t>
                  </w:r>
                  <w:r w:rsidRPr="00C01AF3">
                    <w:rPr>
                      <w:rFonts w:ascii="Times New Roman" w:hAnsi="Times New Roman"/>
                      <w:noProof/>
                      <w:sz w:val="22"/>
                      <w:szCs w:val="22"/>
                      <w:lang w:val="sr-Latn-ME"/>
                    </w:rPr>
                    <w:t xml:space="preserve"> za soli koje sadrže kalijum ili drugi l</w:t>
                  </w:r>
                  <w:r w:rsidR="00A65414" w:rsidRPr="00C01AF3">
                    <w:rPr>
                      <w:rFonts w:ascii="Times New Roman" w:hAnsi="Times New Roman"/>
                      <w:noProof/>
                      <w:sz w:val="22"/>
                      <w:szCs w:val="22"/>
                      <w:lang w:val="sr-Latn-ME"/>
                    </w:rPr>
                    <w:t>j</w:t>
                  </w:r>
                  <w:r w:rsidRPr="00C01AF3">
                    <w:rPr>
                      <w:rFonts w:ascii="Times New Roman" w:hAnsi="Times New Roman"/>
                      <w:noProof/>
                      <w:sz w:val="22"/>
                      <w:szCs w:val="22"/>
                      <w:lang w:val="sr-Latn-ME"/>
                    </w:rPr>
                    <w:t xml:space="preserve">ekovi koji mogu da povise nivoe kalijuma </w:t>
                  </w:r>
                </w:p>
              </w:tc>
              <w:tc>
                <w:tcPr>
                  <w:tcW w:w="5410" w:type="dxa"/>
                  <w:tcBorders>
                    <w:top w:val="single" w:sz="4" w:space="0" w:color="auto"/>
                    <w:bottom w:val="single" w:sz="8" w:space="0" w:color="auto"/>
                  </w:tcBorders>
                </w:tcPr>
                <w:p w:rsidR="00A93DC3" w:rsidRPr="00C01AF3" w:rsidRDefault="00A93DC3" w:rsidP="00482A2B">
                  <w:pPr>
                    <w:pStyle w:val="Text"/>
                    <w:spacing w:before="0"/>
                    <w:jc w:val="left"/>
                    <w:rPr>
                      <w:sz w:val="22"/>
                      <w:szCs w:val="22"/>
                      <w:lang w:val="sr-Latn-ME" w:bidi="th-TH"/>
                    </w:rPr>
                  </w:pPr>
                  <w:r w:rsidRPr="00C01AF3">
                    <w:rPr>
                      <w:noProof/>
                      <w:sz w:val="22"/>
                      <w:szCs w:val="22"/>
                      <w:lang w:val="sr-Latn-ME"/>
                    </w:rPr>
                    <w:t xml:space="preserve">Ukoliko se </w:t>
                  </w:r>
                  <w:r w:rsidR="00431581" w:rsidRPr="00C01AF3">
                    <w:rPr>
                      <w:noProof/>
                      <w:sz w:val="22"/>
                      <w:szCs w:val="22"/>
                      <w:lang w:val="sr-Latn-ME"/>
                    </w:rPr>
                    <w:t xml:space="preserve">smatra da je </w:t>
                  </w:r>
                  <w:r w:rsidR="00A65414" w:rsidRPr="00C01AF3">
                    <w:rPr>
                      <w:noProof/>
                      <w:sz w:val="22"/>
                      <w:szCs w:val="22"/>
                      <w:lang w:val="sr-Latn-ME"/>
                    </w:rPr>
                    <w:t>lijek</w:t>
                  </w:r>
                  <w:r w:rsidRPr="00C01AF3">
                    <w:rPr>
                      <w:noProof/>
                      <w:sz w:val="22"/>
                      <w:szCs w:val="22"/>
                      <w:lang w:val="sr-Latn-ME"/>
                    </w:rPr>
                    <w:t xml:space="preserve"> koji utiče na nivoe kalijuma u serumu </w:t>
                  </w:r>
                  <w:r w:rsidR="00431581" w:rsidRPr="00C01AF3">
                    <w:rPr>
                      <w:noProof/>
                      <w:sz w:val="22"/>
                      <w:szCs w:val="22"/>
                      <w:lang w:val="sr-Latn-ME"/>
                    </w:rPr>
                    <w:t xml:space="preserve"> neophodan </w:t>
                  </w:r>
                  <w:r w:rsidRPr="00C01AF3">
                    <w:rPr>
                      <w:noProof/>
                      <w:sz w:val="22"/>
                      <w:szCs w:val="22"/>
                      <w:lang w:val="sr-Latn-ME"/>
                    </w:rPr>
                    <w:t xml:space="preserve">u kombinaciji sa valsartanom, </w:t>
                  </w:r>
                  <w:r w:rsidR="00E701F3" w:rsidRPr="00C01AF3">
                    <w:rPr>
                      <w:noProof/>
                      <w:sz w:val="22"/>
                      <w:szCs w:val="22"/>
                      <w:lang w:val="sr-Latn-ME"/>
                    </w:rPr>
                    <w:t>savjet</w:t>
                  </w:r>
                  <w:r w:rsidRPr="00C01AF3">
                    <w:rPr>
                      <w:noProof/>
                      <w:sz w:val="22"/>
                      <w:szCs w:val="22"/>
                      <w:lang w:val="sr-Latn-ME"/>
                    </w:rPr>
                    <w:t xml:space="preserve">uje se </w:t>
                  </w:r>
                  <w:r w:rsidR="00482A2B" w:rsidRPr="00C01AF3">
                    <w:rPr>
                      <w:noProof/>
                      <w:sz w:val="22"/>
                      <w:szCs w:val="22"/>
                      <w:lang w:val="sr-Latn-ME"/>
                    </w:rPr>
                    <w:t xml:space="preserve">češće praćenje </w:t>
                  </w:r>
                  <w:r w:rsidRPr="00C01AF3">
                    <w:rPr>
                      <w:noProof/>
                      <w:sz w:val="22"/>
                      <w:szCs w:val="22"/>
                      <w:lang w:val="sr-Latn-ME"/>
                    </w:rPr>
                    <w:t>nivoa kalijuma</w:t>
                  </w:r>
                  <w:r w:rsidR="00431581" w:rsidRPr="00C01AF3">
                    <w:rPr>
                      <w:noProof/>
                      <w:sz w:val="22"/>
                      <w:szCs w:val="22"/>
                      <w:lang w:val="sr-Latn-ME"/>
                    </w:rPr>
                    <w:t xml:space="preserve"> u plazmi.</w:t>
                  </w:r>
                </w:p>
              </w:tc>
            </w:tr>
            <w:tr w:rsidR="00A93DC3" w:rsidRPr="00C01AF3" w:rsidTr="007F773F">
              <w:trPr>
                <w:trHeight w:val="382"/>
              </w:trPr>
              <w:tc>
                <w:tcPr>
                  <w:tcW w:w="1560" w:type="dxa"/>
                  <w:tcBorders>
                    <w:top w:val="single" w:sz="4" w:space="0" w:color="auto"/>
                    <w:bottom w:val="single" w:sz="8" w:space="0" w:color="auto"/>
                  </w:tcBorders>
                </w:tcPr>
                <w:p w:rsidR="00A93DC3" w:rsidRPr="00C01AF3" w:rsidRDefault="00A93DC3" w:rsidP="001E4969">
                  <w:pPr>
                    <w:rPr>
                      <w:rFonts w:ascii="Times New Roman" w:hAnsi="Times New Roman"/>
                      <w:noProof/>
                      <w:sz w:val="22"/>
                      <w:szCs w:val="22"/>
                      <w:lang w:val="sr-Latn-ME"/>
                    </w:rPr>
                  </w:pPr>
                  <w:r w:rsidRPr="00C01AF3">
                    <w:rPr>
                      <w:rFonts w:ascii="Times New Roman" w:hAnsi="Times New Roman"/>
                      <w:noProof/>
                      <w:sz w:val="22"/>
                      <w:szCs w:val="22"/>
                      <w:lang w:val="sr-Latn-ME"/>
                    </w:rPr>
                    <w:t>Amlodipin</w:t>
                  </w:r>
                </w:p>
              </w:tc>
              <w:tc>
                <w:tcPr>
                  <w:tcW w:w="2138" w:type="dxa"/>
                  <w:tcBorders>
                    <w:top w:val="single" w:sz="4" w:space="0" w:color="auto"/>
                    <w:bottom w:val="single" w:sz="8" w:space="0" w:color="auto"/>
                  </w:tcBorders>
                </w:tcPr>
                <w:p w:rsidR="00A93DC3" w:rsidRPr="00C01AF3" w:rsidRDefault="00C62CA9" w:rsidP="00C62CA9">
                  <w:pPr>
                    <w:jc w:val="left"/>
                    <w:rPr>
                      <w:rFonts w:ascii="Times New Roman" w:hAnsi="Times New Roman"/>
                      <w:noProof/>
                      <w:sz w:val="22"/>
                      <w:szCs w:val="22"/>
                      <w:lang w:val="sr-Latn-ME"/>
                    </w:rPr>
                  </w:pPr>
                  <w:r w:rsidRPr="00C01AF3">
                    <w:rPr>
                      <w:rFonts w:ascii="Times New Roman" w:hAnsi="Times New Roman"/>
                      <w:noProof/>
                      <w:sz w:val="22"/>
                      <w:szCs w:val="22"/>
                      <w:lang w:val="sr-Latn-ME"/>
                    </w:rPr>
                    <w:t>Grejpfrut ili sok od grejpfruta</w:t>
                  </w:r>
                </w:p>
              </w:tc>
              <w:tc>
                <w:tcPr>
                  <w:tcW w:w="5410" w:type="dxa"/>
                  <w:tcBorders>
                    <w:top w:val="single" w:sz="4" w:space="0" w:color="auto"/>
                    <w:bottom w:val="single" w:sz="8" w:space="0" w:color="auto"/>
                  </w:tcBorders>
                </w:tcPr>
                <w:p w:rsidR="00A93DC3" w:rsidRPr="00C01AF3" w:rsidRDefault="00431581" w:rsidP="00431581">
                  <w:pPr>
                    <w:pStyle w:val="Text"/>
                    <w:spacing w:before="0"/>
                    <w:jc w:val="left"/>
                    <w:rPr>
                      <w:noProof/>
                      <w:sz w:val="22"/>
                      <w:szCs w:val="22"/>
                      <w:lang w:val="sr-Latn-ME"/>
                    </w:rPr>
                  </w:pPr>
                  <w:r w:rsidRPr="00C01AF3">
                    <w:rPr>
                      <w:noProof/>
                      <w:sz w:val="22"/>
                      <w:szCs w:val="22"/>
                      <w:lang w:val="sr-Latn-ME"/>
                    </w:rPr>
                    <w:t xml:space="preserve">Ne preporučuje se </w:t>
                  </w:r>
                  <w:r w:rsidR="00BD0291" w:rsidRPr="00C01AF3">
                    <w:rPr>
                      <w:noProof/>
                      <w:sz w:val="22"/>
                      <w:szCs w:val="22"/>
                      <w:lang w:val="sr-Latn-ME"/>
                    </w:rPr>
                    <w:t>primje</w:t>
                  </w:r>
                  <w:r w:rsidRPr="00C01AF3">
                    <w:rPr>
                      <w:noProof/>
                      <w:sz w:val="22"/>
                      <w:szCs w:val="22"/>
                      <w:lang w:val="sr-Latn-ME"/>
                    </w:rPr>
                    <w:t xml:space="preserve">na amlodipina sa grejpfrutom ili sokom od grejpfruta, </w:t>
                  </w:r>
                  <w:r w:rsidR="00A3025B" w:rsidRPr="00C01AF3">
                    <w:rPr>
                      <w:noProof/>
                      <w:sz w:val="22"/>
                      <w:szCs w:val="22"/>
                      <w:lang w:val="sr-Latn-ME"/>
                    </w:rPr>
                    <w:t xml:space="preserve">s </w:t>
                  </w:r>
                  <w:r w:rsidRPr="00C01AF3">
                    <w:rPr>
                      <w:noProof/>
                      <w:sz w:val="22"/>
                      <w:szCs w:val="22"/>
                      <w:lang w:val="sr-Latn-ME"/>
                    </w:rPr>
                    <w:t xml:space="preserve">obzirom da bioraspoloživost može biti povećana kod nekih pacijenata, što dovodi do  povećanog efekta snižavanja krvnog pritiska. </w:t>
                  </w:r>
                </w:p>
              </w:tc>
            </w:tr>
          </w:tbl>
          <w:p w:rsidR="00A93DC3" w:rsidRPr="00C01AF3" w:rsidRDefault="00A93DC3" w:rsidP="002808BC">
            <w:pPr>
              <w:pStyle w:val="Header"/>
              <w:tabs>
                <w:tab w:val="clear" w:pos="4536"/>
                <w:tab w:val="clear" w:pos="9072"/>
                <w:tab w:val="left" w:pos="284"/>
              </w:tabs>
              <w:spacing w:before="80" w:after="80"/>
              <w:jc w:val="left"/>
              <w:rPr>
                <w:rFonts w:ascii="Times New Roman" w:hAnsi="Times New Roman" w:cs="Arial"/>
                <w:bCs/>
                <w:i/>
                <w:sz w:val="22"/>
                <w:u w:val="single"/>
                <w:lang w:val="sr-Latn-ME"/>
              </w:rPr>
            </w:pPr>
          </w:p>
          <w:p w:rsidR="002808BC" w:rsidRPr="00C01AF3" w:rsidRDefault="00BC03B1" w:rsidP="002808BC">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Potreban je oprez</w:t>
            </w:r>
            <w:r w:rsidR="00431581" w:rsidRPr="00C01AF3">
              <w:rPr>
                <w:rFonts w:ascii="Times New Roman" w:hAnsi="Times New Roman" w:cs="Arial"/>
                <w:bCs/>
                <w:sz w:val="22"/>
                <w:u w:val="single"/>
                <w:lang w:val="sr-Latn-ME"/>
              </w:rPr>
              <w:t xml:space="preserve"> </w:t>
            </w:r>
            <w:r w:rsidR="002808BC" w:rsidRPr="00C01AF3">
              <w:rPr>
                <w:rFonts w:ascii="Times New Roman" w:hAnsi="Times New Roman" w:cs="Arial"/>
                <w:bCs/>
                <w:sz w:val="22"/>
                <w:u w:val="single"/>
                <w:lang w:val="sr-Latn-ME"/>
              </w:rPr>
              <w:t xml:space="preserve"> prilikom istovremene upotrebe</w:t>
            </w:r>
          </w:p>
          <w:p w:rsidR="00431581" w:rsidRPr="00C01AF3" w:rsidRDefault="00431581" w:rsidP="002808BC">
            <w:pPr>
              <w:pStyle w:val="Header"/>
              <w:tabs>
                <w:tab w:val="clear" w:pos="4536"/>
                <w:tab w:val="clear" w:pos="9072"/>
                <w:tab w:val="left" w:pos="284"/>
              </w:tabs>
              <w:spacing w:before="80" w:after="80"/>
              <w:jc w:val="left"/>
              <w:rPr>
                <w:rFonts w:ascii="Times New Roman" w:hAnsi="Times New Roman" w:cs="Arial"/>
                <w:bCs/>
                <w:i/>
                <w:sz w:val="22"/>
                <w:lang w:val="sr-Latn-ME"/>
              </w:rPr>
            </w:pPr>
          </w:p>
          <w:tbl>
            <w:tblPr>
              <w:tblW w:w="9108" w:type="dxa"/>
              <w:tblLayout w:type="fixed"/>
              <w:tblLook w:val="01E0" w:firstRow="1" w:lastRow="1" w:firstColumn="1" w:lastColumn="1" w:noHBand="0" w:noVBand="0"/>
            </w:tblPr>
            <w:tblGrid>
              <w:gridCol w:w="1701"/>
              <w:gridCol w:w="1997"/>
              <w:gridCol w:w="5410"/>
            </w:tblGrid>
            <w:tr w:rsidR="00431581" w:rsidRPr="00C01AF3" w:rsidTr="001312E4">
              <w:trPr>
                <w:trHeight w:val="321"/>
              </w:trPr>
              <w:tc>
                <w:tcPr>
                  <w:tcW w:w="1701" w:type="dxa"/>
                  <w:tcBorders>
                    <w:bottom w:val="single" w:sz="8" w:space="0" w:color="auto"/>
                  </w:tcBorders>
                </w:tcPr>
                <w:p w:rsidR="00431581" w:rsidRPr="00C01AF3" w:rsidRDefault="00431581">
                  <w:pPr>
                    <w:keepNext/>
                    <w:jc w:val="left"/>
                    <w:rPr>
                      <w:rFonts w:ascii="Times New Roman" w:hAnsi="Times New Roman"/>
                      <w:b/>
                      <w:noProof/>
                      <w:sz w:val="22"/>
                      <w:szCs w:val="22"/>
                      <w:lang w:val="sr-Latn-ME"/>
                    </w:rPr>
                  </w:pPr>
                  <w:r w:rsidRPr="00C01AF3">
                    <w:rPr>
                      <w:rFonts w:ascii="Times New Roman" w:hAnsi="Times New Roman"/>
                      <w:b/>
                      <w:noProof/>
                      <w:sz w:val="22"/>
                      <w:szCs w:val="22"/>
                      <w:lang w:val="sr-Latn-ME"/>
                    </w:rPr>
                    <w:t xml:space="preserve">Exforge </w:t>
                  </w:r>
                  <w:smartTag w:uri="urn:schemas-microsoft-com:office:smarttags" w:element="stockticker">
                    <w:r w:rsidRPr="00C01AF3">
                      <w:rPr>
                        <w:rFonts w:ascii="Times New Roman" w:hAnsi="Times New Roman"/>
                        <w:b/>
                        <w:noProof/>
                        <w:sz w:val="22"/>
                        <w:szCs w:val="22"/>
                        <w:lang w:val="sr-Latn-ME"/>
                      </w:rPr>
                      <w:t>HCT</w:t>
                    </w:r>
                  </w:smartTag>
                  <w:r w:rsidRPr="00C01AF3">
                    <w:rPr>
                      <w:rFonts w:ascii="Times New Roman" w:hAnsi="Times New Roman"/>
                      <w:b/>
                      <w:noProof/>
                      <w:sz w:val="22"/>
                      <w:szCs w:val="22"/>
                      <w:lang w:val="sr-Latn-ME"/>
                    </w:rPr>
                    <w:t xml:space="preserve"> </w:t>
                  </w:r>
                  <w:r w:rsidR="008F0EDB" w:rsidRPr="00C01AF3">
                    <w:rPr>
                      <w:rFonts w:ascii="Times New Roman" w:hAnsi="Times New Roman"/>
                      <w:b/>
                      <w:noProof/>
                      <w:sz w:val="22"/>
                      <w:szCs w:val="22"/>
                      <w:lang w:val="sr-Latn-ME"/>
                    </w:rPr>
                    <w:t xml:space="preserve">pojedinačne </w:t>
                  </w:r>
                  <w:r w:rsidRPr="00C01AF3">
                    <w:rPr>
                      <w:rFonts w:ascii="Times New Roman" w:hAnsi="Times New Roman"/>
                      <w:b/>
                      <w:noProof/>
                      <w:sz w:val="22"/>
                      <w:szCs w:val="22"/>
                      <w:lang w:val="sr-Latn-ME"/>
                    </w:rPr>
                    <w:t>komponente</w:t>
                  </w:r>
                </w:p>
              </w:tc>
              <w:tc>
                <w:tcPr>
                  <w:tcW w:w="1997" w:type="dxa"/>
                  <w:tcBorders>
                    <w:bottom w:val="single" w:sz="8" w:space="0" w:color="auto"/>
                  </w:tcBorders>
                </w:tcPr>
                <w:p w:rsidR="00431581" w:rsidRPr="00C01AF3" w:rsidRDefault="001312E4" w:rsidP="001312E4">
                  <w:pPr>
                    <w:keepNext/>
                    <w:jc w:val="left"/>
                    <w:rPr>
                      <w:rFonts w:ascii="Times New Roman" w:hAnsi="Times New Roman"/>
                      <w:b/>
                      <w:noProof/>
                      <w:sz w:val="22"/>
                      <w:szCs w:val="22"/>
                      <w:lang w:val="sr-Latn-ME"/>
                    </w:rPr>
                  </w:pPr>
                  <w:r w:rsidRPr="00C01AF3">
                    <w:rPr>
                      <w:rFonts w:ascii="Times New Roman" w:hAnsi="Times New Roman"/>
                      <w:b/>
                      <w:noProof/>
                      <w:sz w:val="22"/>
                      <w:szCs w:val="22"/>
                      <w:lang w:val="sr-Latn-ME"/>
                    </w:rPr>
                    <w:t xml:space="preserve">Poznate interakcije sa </w:t>
                  </w:r>
                  <w:r w:rsidR="001B0A1F" w:rsidRPr="00C01AF3">
                    <w:rPr>
                      <w:rFonts w:ascii="Times New Roman" w:hAnsi="Times New Roman"/>
                      <w:b/>
                      <w:noProof/>
                      <w:sz w:val="22"/>
                      <w:szCs w:val="22"/>
                      <w:lang w:val="sr-Latn-ME"/>
                    </w:rPr>
                    <w:t>sljedeć</w:t>
                  </w:r>
                  <w:r w:rsidR="00431581" w:rsidRPr="00C01AF3">
                    <w:rPr>
                      <w:rFonts w:ascii="Times New Roman" w:hAnsi="Times New Roman"/>
                      <w:b/>
                      <w:noProof/>
                      <w:sz w:val="22"/>
                      <w:szCs w:val="22"/>
                      <w:lang w:val="sr-Latn-ME"/>
                    </w:rPr>
                    <w:t>im l</w:t>
                  </w:r>
                  <w:r w:rsidR="00A65414" w:rsidRPr="00C01AF3">
                    <w:rPr>
                      <w:rFonts w:ascii="Times New Roman" w:hAnsi="Times New Roman"/>
                      <w:b/>
                      <w:noProof/>
                      <w:sz w:val="22"/>
                      <w:szCs w:val="22"/>
                      <w:lang w:val="sr-Latn-ME"/>
                    </w:rPr>
                    <w:t>j</w:t>
                  </w:r>
                  <w:r w:rsidR="00431581" w:rsidRPr="00C01AF3">
                    <w:rPr>
                      <w:rFonts w:ascii="Times New Roman" w:hAnsi="Times New Roman"/>
                      <w:b/>
                      <w:noProof/>
                      <w:sz w:val="22"/>
                      <w:szCs w:val="22"/>
                      <w:lang w:val="sr-Latn-ME"/>
                    </w:rPr>
                    <w:t>ekovima</w:t>
                  </w:r>
                </w:p>
              </w:tc>
              <w:tc>
                <w:tcPr>
                  <w:tcW w:w="5410" w:type="dxa"/>
                  <w:tcBorders>
                    <w:bottom w:val="single" w:sz="8" w:space="0" w:color="auto"/>
                  </w:tcBorders>
                </w:tcPr>
                <w:p w:rsidR="00431581" w:rsidRPr="00C01AF3" w:rsidRDefault="001312E4" w:rsidP="001312E4">
                  <w:pPr>
                    <w:keepNext/>
                    <w:jc w:val="left"/>
                    <w:rPr>
                      <w:rFonts w:ascii="Times New Roman" w:hAnsi="Times New Roman"/>
                      <w:b/>
                      <w:noProof/>
                      <w:sz w:val="22"/>
                      <w:szCs w:val="22"/>
                      <w:lang w:val="sr-Latn-ME"/>
                    </w:rPr>
                  </w:pPr>
                  <w:r w:rsidRPr="00C01AF3">
                    <w:rPr>
                      <w:rFonts w:ascii="Times New Roman" w:hAnsi="Times New Roman"/>
                      <w:b/>
                      <w:noProof/>
                      <w:sz w:val="22"/>
                      <w:szCs w:val="22"/>
                      <w:lang w:val="sr-Latn-ME"/>
                    </w:rPr>
                    <w:t>Efekti interakcija sa drugim l</w:t>
                  </w:r>
                  <w:r w:rsidR="00A65414" w:rsidRPr="00C01AF3">
                    <w:rPr>
                      <w:rFonts w:ascii="Times New Roman" w:hAnsi="Times New Roman"/>
                      <w:b/>
                      <w:noProof/>
                      <w:sz w:val="22"/>
                      <w:szCs w:val="22"/>
                      <w:lang w:val="sr-Latn-ME"/>
                    </w:rPr>
                    <w:t>j</w:t>
                  </w:r>
                  <w:r w:rsidR="00431581" w:rsidRPr="00C01AF3">
                    <w:rPr>
                      <w:rFonts w:ascii="Times New Roman" w:hAnsi="Times New Roman"/>
                      <w:b/>
                      <w:noProof/>
                      <w:sz w:val="22"/>
                      <w:szCs w:val="22"/>
                      <w:lang w:val="sr-Latn-ME"/>
                    </w:rPr>
                    <w:t>ekovima</w:t>
                  </w:r>
                </w:p>
              </w:tc>
            </w:tr>
            <w:tr w:rsidR="00431581" w:rsidRPr="00C01AF3" w:rsidTr="001312E4">
              <w:trPr>
                <w:cantSplit/>
                <w:trHeight w:val="321"/>
              </w:trPr>
              <w:tc>
                <w:tcPr>
                  <w:tcW w:w="1701" w:type="dxa"/>
                  <w:vMerge w:val="restart"/>
                  <w:tcBorders>
                    <w:top w:val="single" w:sz="8" w:space="0" w:color="auto"/>
                  </w:tcBorders>
                </w:tcPr>
                <w:p w:rsidR="00431581" w:rsidRPr="00C01AF3" w:rsidRDefault="00CB17C0" w:rsidP="001E4969">
                  <w:pPr>
                    <w:rPr>
                      <w:rFonts w:ascii="Times New Roman" w:hAnsi="Times New Roman"/>
                      <w:noProof/>
                      <w:sz w:val="22"/>
                      <w:szCs w:val="22"/>
                      <w:lang w:val="sr-Latn-ME"/>
                    </w:rPr>
                  </w:pPr>
                  <w:r w:rsidRPr="00C01AF3">
                    <w:rPr>
                      <w:rFonts w:ascii="Times New Roman" w:hAnsi="Times New Roman"/>
                      <w:noProof/>
                      <w:sz w:val="22"/>
                      <w:szCs w:val="22"/>
                      <w:lang w:val="sr-Latn-ME"/>
                    </w:rPr>
                    <w:lastRenderedPageBreak/>
                    <w:t>Amlodipin</w:t>
                  </w:r>
                </w:p>
              </w:tc>
              <w:tc>
                <w:tcPr>
                  <w:tcW w:w="1997" w:type="dxa"/>
                  <w:tcBorders>
                    <w:top w:val="single" w:sz="8" w:space="0" w:color="auto"/>
                    <w:bottom w:val="single" w:sz="4" w:space="0" w:color="auto"/>
                  </w:tcBorders>
                </w:tcPr>
                <w:p w:rsidR="00431581" w:rsidRPr="00C01AF3" w:rsidRDefault="00431581" w:rsidP="00431581">
                  <w:pPr>
                    <w:jc w:val="left"/>
                    <w:rPr>
                      <w:rFonts w:ascii="Times New Roman" w:hAnsi="Times New Roman"/>
                      <w:i/>
                      <w:noProof/>
                      <w:sz w:val="22"/>
                      <w:szCs w:val="22"/>
                      <w:lang w:val="sr-Latn-ME"/>
                    </w:rPr>
                  </w:pPr>
                  <w:r w:rsidRPr="00C01AF3">
                    <w:rPr>
                      <w:rFonts w:ascii="Times New Roman" w:hAnsi="Times New Roman"/>
                      <w:i/>
                      <w:noProof/>
                      <w:sz w:val="22"/>
                      <w:szCs w:val="22"/>
                      <w:lang w:val="sr-Latn-ME"/>
                    </w:rPr>
                    <w:t>CYP3A4 inhibitori</w:t>
                  </w:r>
                </w:p>
                <w:p w:rsidR="00431581" w:rsidRPr="00C01AF3" w:rsidRDefault="004545CB" w:rsidP="00431581">
                  <w:pPr>
                    <w:jc w:val="left"/>
                    <w:rPr>
                      <w:rFonts w:ascii="Times New Roman" w:hAnsi="Times New Roman"/>
                      <w:noProof/>
                      <w:sz w:val="22"/>
                      <w:szCs w:val="22"/>
                      <w:lang w:val="sr-Latn-ME"/>
                    </w:rPr>
                  </w:pPr>
                  <w:r w:rsidRPr="00C01AF3">
                    <w:rPr>
                      <w:rFonts w:ascii="Times New Roman" w:hAnsi="Times New Roman"/>
                      <w:noProof/>
                      <w:sz w:val="22"/>
                      <w:szCs w:val="22"/>
                      <w:lang w:val="sr-Latn-ME"/>
                    </w:rPr>
                    <w:t>(npr</w:t>
                  </w:r>
                  <w:r w:rsidR="00431581" w:rsidRPr="00C01AF3">
                    <w:rPr>
                      <w:rFonts w:ascii="Times New Roman" w:hAnsi="Times New Roman"/>
                      <w:noProof/>
                      <w:sz w:val="22"/>
                      <w:szCs w:val="22"/>
                      <w:lang w:val="sr-Latn-ME"/>
                    </w:rPr>
                    <w:t>. ketokonazol, itrakonazol, ritonavir)</w:t>
                  </w:r>
                </w:p>
              </w:tc>
              <w:tc>
                <w:tcPr>
                  <w:tcW w:w="5410" w:type="dxa"/>
                  <w:tcBorders>
                    <w:top w:val="single" w:sz="8" w:space="0" w:color="auto"/>
                    <w:bottom w:val="single" w:sz="4" w:space="0" w:color="auto"/>
                  </w:tcBorders>
                </w:tcPr>
                <w:p w:rsidR="00431581" w:rsidRPr="00C01AF3" w:rsidRDefault="00431581">
                  <w:pPr>
                    <w:jc w:val="left"/>
                    <w:rPr>
                      <w:rFonts w:ascii="Times New Roman" w:hAnsi="Times New Roman"/>
                      <w:noProof/>
                      <w:sz w:val="22"/>
                      <w:szCs w:val="22"/>
                      <w:lang w:val="sr-Latn-ME"/>
                    </w:rPr>
                  </w:pPr>
                  <w:r w:rsidRPr="00C01AF3">
                    <w:rPr>
                      <w:rFonts w:ascii="Times New Roman" w:hAnsi="Times New Roman"/>
                      <w:noProof/>
                      <w:sz w:val="22"/>
                      <w:szCs w:val="22"/>
                      <w:lang w:val="sr-Latn-ME"/>
                    </w:rPr>
                    <w:t xml:space="preserve">Istovremena </w:t>
                  </w:r>
                  <w:r w:rsidR="008F0EDB" w:rsidRPr="00C01AF3">
                    <w:rPr>
                      <w:rFonts w:ascii="Times New Roman" w:hAnsi="Times New Roman"/>
                      <w:noProof/>
                      <w:sz w:val="22"/>
                      <w:szCs w:val="22"/>
                      <w:lang w:val="sr-Latn-ME"/>
                    </w:rPr>
                    <w:t xml:space="preserve">primjena </w:t>
                  </w:r>
                  <w:r w:rsidRPr="00C01AF3">
                    <w:rPr>
                      <w:rFonts w:ascii="Times New Roman" w:hAnsi="Times New Roman"/>
                      <w:noProof/>
                      <w:sz w:val="22"/>
                      <w:szCs w:val="22"/>
                      <w:lang w:val="sr-Latn-ME"/>
                    </w:rPr>
                    <w:t xml:space="preserve">amlodipinima sa jakim ili </w:t>
                  </w:r>
                  <w:r w:rsidR="00BD0291" w:rsidRPr="00C01AF3">
                    <w:rPr>
                      <w:rFonts w:ascii="Times New Roman" w:hAnsi="Times New Roman"/>
                      <w:noProof/>
                      <w:sz w:val="22"/>
                      <w:szCs w:val="22"/>
                      <w:lang w:val="sr-Latn-ME"/>
                    </w:rPr>
                    <w:t>umjeren</w:t>
                  </w:r>
                  <w:r w:rsidRPr="00C01AF3">
                    <w:rPr>
                      <w:rFonts w:ascii="Times New Roman" w:hAnsi="Times New Roman"/>
                      <w:noProof/>
                      <w:sz w:val="22"/>
                      <w:szCs w:val="22"/>
                      <w:lang w:val="sr-Latn-ME"/>
                    </w:rPr>
                    <w:t>im inhibitorima CYP3A4 (inhibitori proteaze, azolni antimikotici, makrolidi kao što su eritromicin ili klaritromicin, verapamil ili diltiazem) mogu dovesti do  značajnog povećanja izloženosti amlodipinu. Klinički značaj ovih farmakokoinetičkih varijacija može biti više izražen kod starijih. Stoga može biti potrebno kliničko praćenje i podešavanje doze.</w:t>
                  </w:r>
                </w:p>
              </w:tc>
            </w:tr>
            <w:tr w:rsidR="00431581" w:rsidRPr="00C01AF3" w:rsidTr="001312E4">
              <w:trPr>
                <w:cantSplit/>
                <w:trHeight w:val="318"/>
              </w:trPr>
              <w:tc>
                <w:tcPr>
                  <w:tcW w:w="1701" w:type="dxa"/>
                  <w:vMerge/>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8" w:space="0" w:color="auto"/>
                  </w:tcBorders>
                </w:tcPr>
                <w:p w:rsidR="00431581" w:rsidRPr="00C01AF3" w:rsidRDefault="00EC3272" w:rsidP="007814E7">
                  <w:pPr>
                    <w:jc w:val="left"/>
                    <w:rPr>
                      <w:rFonts w:ascii="Times New Roman" w:hAnsi="Times New Roman"/>
                      <w:noProof/>
                      <w:sz w:val="22"/>
                      <w:szCs w:val="22"/>
                      <w:lang w:val="sr-Latn-ME"/>
                    </w:rPr>
                  </w:pPr>
                  <w:r w:rsidRPr="00C01AF3">
                    <w:rPr>
                      <w:rFonts w:ascii="Times New Roman" w:hAnsi="Times New Roman"/>
                      <w:i/>
                      <w:noProof/>
                      <w:sz w:val="22"/>
                      <w:szCs w:val="22"/>
                      <w:lang w:val="sr-Latn-ME"/>
                    </w:rPr>
                    <w:t xml:space="preserve">CYP3A4 </w:t>
                  </w:r>
                  <w:r w:rsidR="00AF3288" w:rsidRPr="00C01AF3">
                    <w:rPr>
                      <w:rFonts w:ascii="Times New Roman" w:hAnsi="Times New Roman"/>
                      <w:i/>
                      <w:noProof/>
                      <w:sz w:val="22"/>
                      <w:szCs w:val="22"/>
                      <w:lang w:val="sr-Latn-ME"/>
                    </w:rPr>
                    <w:t>induktori</w:t>
                  </w:r>
                  <w:r w:rsidR="00AF3288" w:rsidRPr="00C01AF3">
                    <w:rPr>
                      <w:rFonts w:ascii="Times New Roman" w:hAnsi="Times New Roman"/>
                      <w:noProof/>
                      <w:sz w:val="22"/>
                      <w:szCs w:val="22"/>
                      <w:lang w:val="sr-Latn-ME"/>
                    </w:rPr>
                    <w:t xml:space="preserve"> </w:t>
                  </w:r>
                  <w:r w:rsidRPr="00C01AF3">
                    <w:rPr>
                      <w:rFonts w:ascii="Times New Roman" w:hAnsi="Times New Roman"/>
                      <w:noProof/>
                      <w:sz w:val="22"/>
                      <w:szCs w:val="22"/>
                      <w:lang w:val="sr-Latn-ME"/>
                    </w:rPr>
                    <w:t>(antikonvulzivni l</w:t>
                  </w:r>
                  <w:r w:rsidR="00A65414" w:rsidRPr="00C01AF3">
                    <w:rPr>
                      <w:rFonts w:ascii="Times New Roman" w:hAnsi="Times New Roman"/>
                      <w:noProof/>
                      <w:sz w:val="22"/>
                      <w:szCs w:val="22"/>
                      <w:lang w:val="sr-Latn-ME"/>
                    </w:rPr>
                    <w:t>j</w:t>
                  </w:r>
                  <w:r w:rsidRPr="00C01AF3">
                    <w:rPr>
                      <w:rFonts w:ascii="Times New Roman" w:hAnsi="Times New Roman"/>
                      <w:noProof/>
                      <w:sz w:val="22"/>
                      <w:szCs w:val="22"/>
                      <w:lang w:val="sr-Latn-ME"/>
                    </w:rPr>
                    <w:t>ekovi</w:t>
                  </w:r>
                  <w:r w:rsidR="007814E7" w:rsidRPr="00C01AF3">
                    <w:rPr>
                      <w:rFonts w:ascii="Times New Roman" w:hAnsi="Times New Roman"/>
                      <w:noProof/>
                      <w:sz w:val="22"/>
                      <w:szCs w:val="22"/>
                      <w:lang w:val="sr-Latn-ME"/>
                    </w:rPr>
                    <w:t xml:space="preserve"> [</w:t>
                  </w:r>
                  <w:r w:rsidRPr="00C01AF3">
                    <w:rPr>
                      <w:rFonts w:ascii="Times New Roman" w:hAnsi="Times New Roman"/>
                      <w:noProof/>
                      <w:sz w:val="22"/>
                      <w:szCs w:val="22"/>
                      <w:lang w:val="sr-Latn-ME"/>
                    </w:rPr>
                    <w:t>npr. karbamazepin, fenobarbiton, fenitoin, fosfenitoin, primidon</w:t>
                  </w:r>
                  <w:r w:rsidR="007814E7" w:rsidRPr="00C01AF3">
                    <w:rPr>
                      <w:rFonts w:ascii="Times New Roman" w:hAnsi="Times New Roman"/>
                      <w:noProof/>
                      <w:sz w:val="22"/>
                      <w:szCs w:val="22"/>
                      <w:lang w:val="sr-Latn-ME"/>
                    </w:rPr>
                    <w:t>]</w:t>
                  </w:r>
                  <w:r w:rsidRPr="00C01AF3">
                    <w:rPr>
                      <w:rFonts w:ascii="Times New Roman" w:hAnsi="Times New Roman"/>
                      <w:noProof/>
                      <w:sz w:val="22"/>
                      <w:szCs w:val="22"/>
                      <w:lang w:val="sr-Latn-ME"/>
                    </w:rPr>
                    <w:t xml:space="preserve">, rifampicin, </w:t>
                  </w:r>
                  <w:r w:rsidRPr="00C01AF3">
                    <w:rPr>
                      <w:rFonts w:ascii="Times New Roman" w:hAnsi="Times New Roman"/>
                      <w:i/>
                      <w:noProof/>
                      <w:sz w:val="22"/>
                      <w:szCs w:val="22"/>
                      <w:lang w:val="sr-Latn-ME"/>
                    </w:rPr>
                    <w:t>Hypericum perforatum</w:t>
                  </w:r>
                  <w:r w:rsidRPr="00C01AF3">
                    <w:rPr>
                      <w:rFonts w:ascii="Times New Roman" w:hAnsi="Times New Roman"/>
                      <w:noProof/>
                      <w:sz w:val="22"/>
                      <w:szCs w:val="22"/>
                      <w:lang w:val="sr-Latn-ME"/>
                    </w:rPr>
                    <w:t xml:space="preserve"> (kantarion)</w:t>
                  </w:r>
                </w:p>
              </w:tc>
              <w:tc>
                <w:tcPr>
                  <w:tcW w:w="5410" w:type="dxa"/>
                  <w:tcBorders>
                    <w:top w:val="single" w:sz="4" w:space="0" w:color="auto"/>
                    <w:bottom w:val="single" w:sz="8" w:space="0" w:color="auto"/>
                  </w:tcBorders>
                </w:tcPr>
                <w:p w:rsidR="00EC3272" w:rsidRPr="00C01AF3" w:rsidRDefault="00EC3272" w:rsidP="0042413A">
                  <w:pPr>
                    <w:jc w:val="left"/>
                    <w:rPr>
                      <w:rFonts w:ascii="Times New Roman" w:hAnsi="Times New Roman"/>
                      <w:noProof/>
                      <w:sz w:val="22"/>
                      <w:szCs w:val="22"/>
                      <w:lang w:val="sr-Latn-ME"/>
                    </w:rPr>
                  </w:pPr>
                  <w:r w:rsidRPr="00C01AF3">
                    <w:rPr>
                      <w:rFonts w:ascii="Times New Roman" w:hAnsi="Times New Roman"/>
                      <w:noProof/>
                      <w:sz w:val="22"/>
                      <w:szCs w:val="22"/>
                      <w:lang w:val="sr-Latn-ME"/>
                    </w:rPr>
                    <w:t xml:space="preserve">Nema dostupnih podataka o efektu CYP3A4 induktora na amlodipin. Istovremena </w:t>
                  </w:r>
                  <w:r w:rsidR="00BD0291" w:rsidRPr="00C01AF3">
                    <w:rPr>
                      <w:rFonts w:ascii="Times New Roman" w:hAnsi="Times New Roman"/>
                      <w:noProof/>
                      <w:sz w:val="22"/>
                      <w:szCs w:val="22"/>
                      <w:lang w:val="sr-Latn-ME"/>
                    </w:rPr>
                    <w:t>primje</w:t>
                  </w:r>
                  <w:r w:rsidRPr="00C01AF3">
                    <w:rPr>
                      <w:rFonts w:ascii="Times New Roman" w:hAnsi="Times New Roman"/>
                      <w:noProof/>
                      <w:sz w:val="22"/>
                      <w:szCs w:val="22"/>
                      <w:lang w:val="sr-Latn-ME"/>
                    </w:rPr>
                    <w:t xml:space="preserve">na CYP3A4 induktora (npr. rifampicin, kantarion) može dovesti do smanjene koncentracije amlodipina u plazmi. Amlodipin </w:t>
                  </w:r>
                  <w:r w:rsidR="00FF1B1F" w:rsidRPr="00C01AF3">
                    <w:rPr>
                      <w:rFonts w:ascii="Times New Roman" w:hAnsi="Times New Roman"/>
                      <w:noProof/>
                      <w:sz w:val="22"/>
                      <w:szCs w:val="22"/>
                      <w:lang w:val="sr-Latn-ME"/>
                    </w:rPr>
                    <w:t xml:space="preserve">bi </w:t>
                  </w:r>
                  <w:r w:rsidRPr="00C01AF3">
                    <w:rPr>
                      <w:rFonts w:ascii="Times New Roman" w:hAnsi="Times New Roman"/>
                      <w:noProof/>
                      <w:sz w:val="22"/>
                      <w:szCs w:val="22"/>
                      <w:lang w:val="sr-Latn-ME"/>
                    </w:rPr>
                    <w:t>treba</w:t>
                  </w:r>
                  <w:r w:rsidR="00FF1B1F" w:rsidRPr="00C01AF3">
                    <w:rPr>
                      <w:rFonts w:ascii="Times New Roman" w:hAnsi="Times New Roman"/>
                      <w:noProof/>
                      <w:sz w:val="22"/>
                      <w:szCs w:val="22"/>
                      <w:lang w:val="sr-Latn-ME"/>
                    </w:rPr>
                    <w:t xml:space="preserve">lo oprezno </w:t>
                  </w:r>
                  <w:r w:rsidRPr="00C01AF3">
                    <w:rPr>
                      <w:rFonts w:ascii="Times New Roman" w:hAnsi="Times New Roman"/>
                      <w:noProof/>
                      <w:sz w:val="22"/>
                      <w:szCs w:val="22"/>
                      <w:lang w:val="sr-Latn-ME"/>
                    </w:rPr>
                    <w:t xml:space="preserve">koristiti </w:t>
                  </w:r>
                  <w:r w:rsidR="00FF1B1F" w:rsidRPr="00C01AF3">
                    <w:rPr>
                      <w:rFonts w:ascii="Times New Roman" w:hAnsi="Times New Roman"/>
                      <w:noProof/>
                      <w:sz w:val="22"/>
                      <w:szCs w:val="22"/>
                      <w:lang w:val="sr-Latn-ME"/>
                    </w:rPr>
                    <w:t>zajedno</w:t>
                  </w:r>
                  <w:r w:rsidRPr="00C01AF3">
                    <w:rPr>
                      <w:rFonts w:ascii="Times New Roman" w:hAnsi="Times New Roman"/>
                      <w:noProof/>
                      <w:sz w:val="22"/>
                      <w:szCs w:val="22"/>
                      <w:lang w:val="sr-Latn-ME"/>
                    </w:rPr>
                    <w:t xml:space="preserve"> sa CYP3A4 induktorima. </w:t>
                  </w:r>
                </w:p>
                <w:p w:rsidR="00431581" w:rsidRPr="00C01AF3" w:rsidRDefault="00431581" w:rsidP="001E4969">
                  <w:pPr>
                    <w:rPr>
                      <w:rFonts w:ascii="Times New Roman" w:hAnsi="Times New Roman"/>
                      <w:noProof/>
                      <w:sz w:val="22"/>
                      <w:szCs w:val="22"/>
                      <w:lang w:val="sr-Latn-ME"/>
                    </w:rPr>
                  </w:pPr>
                </w:p>
              </w:tc>
            </w:tr>
            <w:tr w:rsidR="00431581" w:rsidRPr="00C01AF3" w:rsidTr="001312E4">
              <w:trPr>
                <w:cantSplit/>
                <w:trHeight w:val="318"/>
              </w:trPr>
              <w:tc>
                <w:tcPr>
                  <w:tcW w:w="1701" w:type="dxa"/>
                  <w:vMerge/>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8" w:space="0" w:color="auto"/>
                  </w:tcBorders>
                </w:tcPr>
                <w:p w:rsidR="00431581" w:rsidRPr="00C01AF3" w:rsidRDefault="00431581" w:rsidP="001E4969">
                  <w:pPr>
                    <w:rPr>
                      <w:rFonts w:ascii="Times New Roman" w:hAnsi="Times New Roman"/>
                      <w:i/>
                      <w:noProof/>
                      <w:sz w:val="22"/>
                      <w:szCs w:val="22"/>
                      <w:lang w:val="sr-Latn-ME"/>
                    </w:rPr>
                  </w:pPr>
                  <w:r w:rsidRPr="00C01AF3">
                    <w:rPr>
                      <w:rFonts w:ascii="Times New Roman" w:hAnsi="Times New Roman"/>
                      <w:i/>
                      <w:noProof/>
                      <w:sz w:val="22"/>
                      <w:szCs w:val="22"/>
                      <w:lang w:val="sr-Latn-ME"/>
                    </w:rPr>
                    <w:t>Simvastatin</w:t>
                  </w:r>
                </w:p>
              </w:tc>
              <w:tc>
                <w:tcPr>
                  <w:tcW w:w="5410" w:type="dxa"/>
                  <w:tcBorders>
                    <w:top w:val="single" w:sz="4" w:space="0" w:color="auto"/>
                    <w:bottom w:val="single" w:sz="8" w:space="0" w:color="auto"/>
                  </w:tcBorders>
                </w:tcPr>
                <w:p w:rsidR="00DB3BBA" w:rsidRPr="00C01AF3" w:rsidRDefault="00DB3BBA" w:rsidP="0042413A">
                  <w:pPr>
                    <w:pStyle w:val="Header"/>
                    <w:tabs>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Istovremena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 xml:space="preserve">na višestrukih doza 10 mg amlodipina sa 80 mg simvastatina je rezultovala povećanjem izloženosti simvastatinu </w:t>
                  </w:r>
                  <w:r w:rsidR="0081599B" w:rsidRPr="00C01AF3">
                    <w:rPr>
                      <w:rFonts w:ascii="Times New Roman" w:hAnsi="Times New Roman" w:cs="Arial"/>
                      <w:bCs/>
                      <w:sz w:val="22"/>
                      <w:lang w:val="sr-Latn-ME"/>
                    </w:rPr>
                    <w:t xml:space="preserve">za 77% </w:t>
                  </w:r>
                  <w:r w:rsidRPr="00C01AF3">
                    <w:rPr>
                      <w:rFonts w:ascii="Times New Roman" w:hAnsi="Times New Roman" w:cs="Arial"/>
                      <w:bCs/>
                      <w:sz w:val="22"/>
                      <w:lang w:val="sr-Latn-ME"/>
                    </w:rPr>
                    <w:t xml:space="preserve">u poređenju sa </w:t>
                  </w:r>
                  <w:r w:rsidR="0081599B" w:rsidRPr="00C01AF3">
                    <w:rPr>
                      <w:rFonts w:ascii="Times New Roman" w:hAnsi="Times New Roman" w:cs="Arial"/>
                      <w:bCs/>
                      <w:sz w:val="22"/>
                      <w:lang w:val="sr-Latn-ME"/>
                    </w:rPr>
                    <w:t>samostalnim</w:t>
                  </w:r>
                  <w:r w:rsidRPr="00C01AF3">
                    <w:rPr>
                      <w:rFonts w:ascii="Times New Roman" w:hAnsi="Times New Roman" w:cs="Arial"/>
                      <w:bCs/>
                      <w:sz w:val="22"/>
                      <w:lang w:val="sr-Latn-ME"/>
                    </w:rPr>
                    <w:t xml:space="preserve"> simvastatinom. Preporučuje se ograničenje doze simvastatina na 20 mg dnevno kod pacijenata na amlodipinu.</w:t>
                  </w:r>
                </w:p>
                <w:p w:rsidR="00431581" w:rsidRPr="00C01AF3" w:rsidRDefault="00431581" w:rsidP="001E4969">
                  <w:pPr>
                    <w:rPr>
                      <w:rFonts w:ascii="Times New Roman" w:hAnsi="Times New Roman"/>
                      <w:noProof/>
                      <w:sz w:val="22"/>
                      <w:szCs w:val="22"/>
                      <w:lang w:val="sr-Latn-ME"/>
                    </w:rPr>
                  </w:pPr>
                </w:p>
              </w:tc>
            </w:tr>
            <w:tr w:rsidR="00431581" w:rsidRPr="00C01AF3" w:rsidTr="001312E4">
              <w:trPr>
                <w:cantSplit/>
                <w:trHeight w:val="318"/>
              </w:trPr>
              <w:tc>
                <w:tcPr>
                  <w:tcW w:w="1701" w:type="dxa"/>
                  <w:vMerge/>
                  <w:tcBorders>
                    <w:bottom w:val="single" w:sz="8" w:space="0" w:color="auto"/>
                  </w:tcBorders>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8" w:space="0" w:color="auto"/>
                  </w:tcBorders>
                </w:tcPr>
                <w:p w:rsidR="00431581" w:rsidRPr="00C01AF3" w:rsidRDefault="00DB3BBA" w:rsidP="00DB3BBA">
                  <w:pPr>
                    <w:rPr>
                      <w:rFonts w:ascii="Times New Roman" w:hAnsi="Times New Roman"/>
                      <w:i/>
                      <w:noProof/>
                      <w:sz w:val="22"/>
                      <w:szCs w:val="22"/>
                      <w:lang w:val="sr-Latn-ME"/>
                    </w:rPr>
                  </w:pPr>
                  <w:r w:rsidRPr="00C01AF3">
                    <w:rPr>
                      <w:rFonts w:ascii="Times New Roman" w:hAnsi="Times New Roman"/>
                      <w:i/>
                      <w:noProof/>
                      <w:sz w:val="22"/>
                      <w:szCs w:val="22"/>
                      <w:lang w:val="sr-Latn-ME"/>
                    </w:rPr>
                    <w:t>Dantrolen (infuzija</w:t>
                  </w:r>
                  <w:r w:rsidR="00431581" w:rsidRPr="00C01AF3">
                    <w:rPr>
                      <w:rFonts w:ascii="Times New Roman" w:hAnsi="Times New Roman"/>
                      <w:i/>
                      <w:noProof/>
                      <w:sz w:val="22"/>
                      <w:szCs w:val="22"/>
                      <w:lang w:val="sr-Latn-ME"/>
                    </w:rPr>
                    <w:t>)</w:t>
                  </w:r>
                </w:p>
              </w:tc>
              <w:tc>
                <w:tcPr>
                  <w:tcW w:w="5410" w:type="dxa"/>
                  <w:tcBorders>
                    <w:top w:val="single" w:sz="4" w:space="0" w:color="auto"/>
                    <w:bottom w:val="single" w:sz="8" w:space="0" w:color="auto"/>
                  </w:tcBorders>
                </w:tcPr>
                <w:p w:rsidR="00431581" w:rsidRPr="00C01AF3" w:rsidRDefault="00B54DBB">
                  <w:pPr>
                    <w:pStyle w:val="Header"/>
                    <w:tabs>
                      <w:tab w:val="left" w:pos="284"/>
                    </w:tabs>
                    <w:spacing w:before="80" w:after="80"/>
                    <w:jc w:val="left"/>
                    <w:rPr>
                      <w:rFonts w:ascii="Times New Roman" w:hAnsi="Times New Roman"/>
                      <w:noProof/>
                      <w:sz w:val="22"/>
                      <w:szCs w:val="22"/>
                      <w:lang w:val="sr-Latn-ME"/>
                    </w:rPr>
                  </w:pPr>
                  <w:r w:rsidRPr="00C01AF3">
                    <w:rPr>
                      <w:rFonts w:ascii="Times New Roman" w:hAnsi="Times New Roman" w:cs="Arial"/>
                      <w:bCs/>
                      <w:sz w:val="22"/>
                      <w:lang w:val="sr-Latn-ME"/>
                    </w:rPr>
                    <w:t xml:space="preserve">Kod životinja su </w:t>
                  </w:r>
                  <w:r w:rsidR="003309F3" w:rsidRPr="00C01AF3">
                    <w:rPr>
                      <w:rFonts w:ascii="Times New Roman" w:hAnsi="Times New Roman" w:cs="Arial"/>
                      <w:bCs/>
                      <w:sz w:val="22"/>
                      <w:lang w:val="sr-Latn-ME"/>
                    </w:rPr>
                    <w:t>zabilje</w:t>
                  </w:r>
                  <w:r w:rsidRPr="00C01AF3">
                    <w:rPr>
                      <w:rFonts w:ascii="Times New Roman" w:hAnsi="Times New Roman" w:cs="Arial"/>
                      <w:bCs/>
                      <w:sz w:val="22"/>
                      <w:lang w:val="sr-Latn-ME"/>
                    </w:rPr>
                    <w:t>žene letalna ventrikularna fibrilacija i kardiovaskularni kolaps povezani</w:t>
                  </w:r>
                  <w:r w:rsidR="00892BA7" w:rsidRPr="00C01AF3">
                    <w:rPr>
                      <w:rFonts w:ascii="Times New Roman" w:hAnsi="Times New Roman" w:cs="Arial"/>
                      <w:bCs/>
                      <w:sz w:val="22"/>
                      <w:lang w:val="sr-Latn-ME"/>
                    </w:rPr>
                    <w:t xml:space="preserve"> sa hiperkal</w:t>
                  </w:r>
                  <w:r w:rsidR="008F0EDB" w:rsidRPr="00C01AF3">
                    <w:rPr>
                      <w:rFonts w:ascii="Times New Roman" w:hAnsi="Times New Roman" w:cs="Arial"/>
                      <w:bCs/>
                      <w:sz w:val="22"/>
                      <w:lang w:val="sr-Latn-ME"/>
                    </w:rPr>
                    <w:t>ij</w:t>
                  </w:r>
                  <w:r w:rsidRPr="00C01AF3">
                    <w:rPr>
                      <w:rFonts w:ascii="Times New Roman" w:hAnsi="Times New Roman" w:cs="Arial"/>
                      <w:bCs/>
                      <w:sz w:val="22"/>
                      <w:lang w:val="sr-Latn-ME"/>
                    </w:rPr>
                    <w:t>emijom n</w:t>
                  </w:r>
                  <w:r w:rsidR="00892BA7" w:rsidRPr="00C01AF3">
                    <w:rPr>
                      <w:rFonts w:ascii="Times New Roman" w:hAnsi="Times New Roman" w:cs="Arial"/>
                      <w:bCs/>
                      <w:sz w:val="22"/>
                      <w:lang w:val="sr-Latn-ME"/>
                    </w:rPr>
                    <w:t xml:space="preserve">akon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ne verapamila i intravenskog dantorlena. Zbog rizika od hiperkalijemije, prepor</w:t>
                  </w:r>
                  <w:r w:rsidR="00892BA7" w:rsidRPr="00C01AF3">
                    <w:rPr>
                      <w:rFonts w:ascii="Times New Roman" w:hAnsi="Times New Roman" w:cs="Arial"/>
                      <w:bCs/>
                      <w:sz w:val="22"/>
                      <w:lang w:val="sr-Latn-ME"/>
                    </w:rPr>
                    <w:t xml:space="preserve">učuje se da se istovremena </w:t>
                  </w:r>
                  <w:r w:rsidR="00BD0291" w:rsidRPr="00C01AF3">
                    <w:rPr>
                      <w:rFonts w:ascii="Times New Roman" w:hAnsi="Times New Roman" w:cs="Arial"/>
                      <w:bCs/>
                      <w:sz w:val="22"/>
                      <w:lang w:val="sr-Latn-ME"/>
                    </w:rPr>
                    <w:t>primje</w:t>
                  </w:r>
                  <w:r w:rsidRPr="00C01AF3">
                    <w:rPr>
                      <w:rFonts w:ascii="Times New Roman" w:hAnsi="Times New Roman" w:cs="Arial"/>
                      <w:bCs/>
                      <w:sz w:val="22"/>
                      <w:lang w:val="sr-Latn-ME"/>
                    </w:rPr>
                    <w:t>na blokatora kalcijumovih kanala</w:t>
                  </w:r>
                  <w:r w:rsidR="00892BA7" w:rsidRPr="00C01AF3">
                    <w:rPr>
                      <w:rFonts w:ascii="Times New Roman" w:hAnsi="Times New Roman" w:cs="Arial"/>
                      <w:bCs/>
                      <w:sz w:val="22"/>
                      <w:lang w:val="sr-Latn-ME"/>
                    </w:rPr>
                    <w:t>, poput amlodipina, izb</w:t>
                  </w:r>
                  <w:r w:rsidR="008F0EDB" w:rsidRPr="00C01AF3">
                    <w:rPr>
                      <w:rFonts w:ascii="Times New Roman" w:hAnsi="Times New Roman" w:cs="Arial"/>
                      <w:bCs/>
                      <w:sz w:val="22"/>
                      <w:lang w:val="sr-Latn-ME"/>
                    </w:rPr>
                    <w:t>j</w:t>
                  </w:r>
                  <w:r w:rsidR="00892BA7" w:rsidRPr="00C01AF3">
                    <w:rPr>
                      <w:rFonts w:ascii="Times New Roman" w:hAnsi="Times New Roman" w:cs="Arial"/>
                      <w:bCs/>
                      <w:sz w:val="22"/>
                      <w:lang w:val="sr-Latn-ME"/>
                    </w:rPr>
                    <w:t xml:space="preserve">egava kod pacijenata </w:t>
                  </w:r>
                  <w:r w:rsidR="00FD7F8C" w:rsidRPr="00C01AF3">
                    <w:rPr>
                      <w:rFonts w:ascii="Times New Roman" w:hAnsi="Times New Roman" w:cs="Arial"/>
                      <w:bCs/>
                      <w:sz w:val="22"/>
                      <w:lang w:val="sr-Latn-ME"/>
                    </w:rPr>
                    <w:t>osjet</w:t>
                  </w:r>
                  <w:r w:rsidRPr="00C01AF3">
                    <w:rPr>
                      <w:rFonts w:ascii="Times New Roman" w:hAnsi="Times New Roman" w:cs="Arial"/>
                      <w:bCs/>
                      <w:sz w:val="22"/>
                      <w:lang w:val="sr-Latn-ME"/>
                    </w:rPr>
                    <w:t>ljivih na mali</w:t>
                  </w:r>
                  <w:r w:rsidR="00892BA7" w:rsidRPr="00C01AF3">
                    <w:rPr>
                      <w:rFonts w:ascii="Times New Roman" w:hAnsi="Times New Roman" w:cs="Arial"/>
                      <w:bCs/>
                      <w:sz w:val="22"/>
                      <w:lang w:val="sr-Latn-ME"/>
                    </w:rPr>
                    <w:t xml:space="preserve">gnu hipertermiju i kod </w:t>
                  </w:r>
                  <w:r w:rsidR="008F0EDB" w:rsidRPr="00C01AF3">
                    <w:rPr>
                      <w:rFonts w:ascii="Times New Roman" w:hAnsi="Times New Roman" w:cs="Arial"/>
                      <w:bCs/>
                      <w:sz w:val="22"/>
                      <w:lang w:val="sr-Latn-ME"/>
                    </w:rPr>
                    <w:t xml:space="preserve">zbrinjavanja </w:t>
                  </w:r>
                  <w:r w:rsidRPr="00C01AF3">
                    <w:rPr>
                      <w:rFonts w:ascii="Times New Roman" w:hAnsi="Times New Roman" w:cs="Arial"/>
                      <w:bCs/>
                      <w:sz w:val="22"/>
                      <w:lang w:val="sr-Latn-ME"/>
                    </w:rPr>
                    <w:t>maligne hipertermije.</w:t>
                  </w:r>
                </w:p>
              </w:tc>
            </w:tr>
            <w:tr w:rsidR="00431581" w:rsidRPr="00C01AF3" w:rsidTr="001312E4">
              <w:trPr>
                <w:cantSplit/>
                <w:trHeight w:val="318"/>
              </w:trPr>
              <w:tc>
                <w:tcPr>
                  <w:tcW w:w="1701" w:type="dxa"/>
                  <w:tcBorders>
                    <w:top w:val="single" w:sz="8" w:space="0" w:color="auto"/>
                  </w:tcBorders>
                </w:tcPr>
                <w:p w:rsidR="00431581" w:rsidRPr="00C01AF3" w:rsidRDefault="00B54DBB" w:rsidP="0079279D">
                  <w:pPr>
                    <w:jc w:val="left"/>
                    <w:rPr>
                      <w:rFonts w:ascii="Times New Roman" w:hAnsi="Times New Roman"/>
                      <w:noProof/>
                      <w:sz w:val="22"/>
                      <w:szCs w:val="22"/>
                      <w:lang w:val="sr-Latn-ME"/>
                    </w:rPr>
                  </w:pPr>
                  <w:r w:rsidRPr="00C01AF3">
                    <w:rPr>
                      <w:rFonts w:ascii="Times New Roman" w:hAnsi="Times New Roman"/>
                      <w:noProof/>
                      <w:sz w:val="22"/>
                      <w:szCs w:val="22"/>
                      <w:lang w:val="sr-Latn-ME"/>
                    </w:rPr>
                    <w:t>Valsartan i</w:t>
                  </w:r>
                  <w:r w:rsidR="00431581" w:rsidRPr="00C01AF3">
                    <w:rPr>
                      <w:rFonts w:ascii="Times New Roman" w:hAnsi="Times New Roman"/>
                      <w:noProof/>
                      <w:sz w:val="22"/>
                      <w:szCs w:val="22"/>
                      <w:lang w:val="sr-Latn-ME"/>
                    </w:rPr>
                    <w:t xml:space="preserve"> </w:t>
                  </w:r>
                  <w:r w:rsidR="007C4A86" w:rsidRPr="00C01AF3">
                    <w:rPr>
                      <w:rFonts w:ascii="Times New Roman" w:hAnsi="Times New Roman"/>
                      <w:noProof/>
                      <w:sz w:val="22"/>
                      <w:szCs w:val="22"/>
                      <w:lang w:val="sr-Latn-ME"/>
                    </w:rPr>
                    <w:t>hidrohlortiazid</w:t>
                  </w:r>
                </w:p>
              </w:tc>
              <w:tc>
                <w:tcPr>
                  <w:tcW w:w="1997" w:type="dxa"/>
                  <w:tcBorders>
                    <w:top w:val="single" w:sz="8" w:space="0" w:color="auto"/>
                    <w:bottom w:val="single" w:sz="8" w:space="0" w:color="auto"/>
                  </w:tcBorders>
                </w:tcPr>
                <w:p w:rsidR="00431581" w:rsidRPr="00C01AF3" w:rsidRDefault="00B54DBB" w:rsidP="00240452">
                  <w:pPr>
                    <w:jc w:val="left"/>
                    <w:rPr>
                      <w:rFonts w:ascii="Times New Roman" w:hAnsi="Times New Roman"/>
                      <w:noProof/>
                      <w:sz w:val="22"/>
                      <w:szCs w:val="22"/>
                      <w:lang w:val="sr-Latn-ME"/>
                    </w:rPr>
                  </w:pPr>
                  <w:r w:rsidRPr="00C01AF3">
                    <w:rPr>
                      <w:rFonts w:ascii="Times New Roman" w:hAnsi="Times New Roman"/>
                      <w:i/>
                      <w:noProof/>
                      <w:sz w:val="22"/>
                      <w:szCs w:val="22"/>
                      <w:lang w:val="sr-Latn-ME"/>
                    </w:rPr>
                    <w:t>Nesteoridni antiinflamatorni l</w:t>
                  </w:r>
                  <w:r w:rsidR="00A65414" w:rsidRPr="00C01AF3">
                    <w:rPr>
                      <w:rFonts w:ascii="Times New Roman" w:hAnsi="Times New Roman"/>
                      <w:i/>
                      <w:noProof/>
                      <w:sz w:val="22"/>
                      <w:szCs w:val="22"/>
                      <w:lang w:val="sr-Latn-ME"/>
                    </w:rPr>
                    <w:t>j</w:t>
                  </w:r>
                  <w:r w:rsidRPr="00C01AF3">
                    <w:rPr>
                      <w:rFonts w:ascii="Times New Roman" w:hAnsi="Times New Roman"/>
                      <w:i/>
                      <w:noProof/>
                      <w:sz w:val="22"/>
                      <w:szCs w:val="22"/>
                      <w:lang w:val="sr-Latn-ME"/>
                    </w:rPr>
                    <w:t xml:space="preserve">ekovi (NSAIL), uključujući i selektivne COX-2 inhibitore, acetilsalicilnu kiselinu (&gt;3g/dan), i drugi neselektivni NSAIL </w:t>
                  </w:r>
                </w:p>
              </w:tc>
              <w:tc>
                <w:tcPr>
                  <w:tcW w:w="5410" w:type="dxa"/>
                  <w:tcBorders>
                    <w:top w:val="single" w:sz="8" w:space="0" w:color="auto"/>
                    <w:bottom w:val="single" w:sz="8" w:space="0" w:color="auto"/>
                  </w:tcBorders>
                </w:tcPr>
                <w:p w:rsidR="00431581" w:rsidRPr="00C01AF3" w:rsidRDefault="00B54DBB" w:rsidP="00F54170">
                  <w:pPr>
                    <w:jc w:val="left"/>
                    <w:rPr>
                      <w:rFonts w:ascii="Times New Roman" w:hAnsi="Times New Roman"/>
                      <w:sz w:val="22"/>
                      <w:szCs w:val="22"/>
                      <w:lang w:val="sr-Latn-ME" w:bidi="th-TH"/>
                    </w:rPr>
                  </w:pPr>
                  <w:r w:rsidRPr="00C01AF3">
                    <w:rPr>
                      <w:rFonts w:ascii="Times New Roman" w:hAnsi="Times New Roman"/>
                      <w:sz w:val="22"/>
                      <w:szCs w:val="22"/>
                      <w:lang w:val="sr-Latn-ME" w:bidi="th-TH"/>
                    </w:rPr>
                    <w:t xml:space="preserve">Kada se angiotenzin II antagonisti </w:t>
                  </w:r>
                  <w:r w:rsidR="00FD1726" w:rsidRPr="00C01AF3">
                    <w:rPr>
                      <w:rFonts w:ascii="Times New Roman" w:hAnsi="Times New Roman"/>
                      <w:sz w:val="22"/>
                      <w:szCs w:val="22"/>
                      <w:lang w:val="sr-Latn-ME" w:bidi="th-TH"/>
                    </w:rPr>
                    <w:t>i</w:t>
                  </w:r>
                  <w:r w:rsidR="00F54170" w:rsidRPr="00C01AF3">
                    <w:rPr>
                      <w:rFonts w:ascii="Times New Roman" w:hAnsi="Times New Roman"/>
                      <w:sz w:val="22"/>
                      <w:szCs w:val="22"/>
                      <w:lang w:val="sr-Latn-ME" w:bidi="th-TH"/>
                    </w:rPr>
                    <w:t xml:space="preserve"> </w:t>
                  </w:r>
                  <w:r w:rsidR="007C4A86" w:rsidRPr="00C01AF3">
                    <w:rPr>
                      <w:rFonts w:ascii="Times New Roman" w:hAnsi="Times New Roman"/>
                      <w:sz w:val="22"/>
                      <w:szCs w:val="22"/>
                      <w:lang w:val="sr-Latn-ME" w:bidi="th-TH"/>
                    </w:rPr>
                    <w:t>hidrohlortiazid</w:t>
                  </w:r>
                  <w:r w:rsidR="00F54170" w:rsidRPr="00C01AF3">
                    <w:rPr>
                      <w:rFonts w:ascii="Times New Roman" w:hAnsi="Times New Roman"/>
                      <w:sz w:val="22"/>
                      <w:szCs w:val="22"/>
                      <w:lang w:val="sr-Latn-ME" w:bidi="th-TH"/>
                    </w:rPr>
                    <w:t xml:space="preserve"> </w:t>
                  </w:r>
                  <w:r w:rsidRPr="00C01AF3">
                    <w:rPr>
                      <w:rFonts w:ascii="Times New Roman" w:hAnsi="Times New Roman"/>
                      <w:sz w:val="22"/>
                      <w:szCs w:val="22"/>
                      <w:lang w:val="sr-Latn-ME" w:bidi="th-TH"/>
                    </w:rPr>
                    <w:t xml:space="preserve">primjenjuju istovremeno </w:t>
                  </w:r>
                  <w:r w:rsidR="00F54170" w:rsidRPr="00C01AF3">
                    <w:rPr>
                      <w:rFonts w:ascii="Times New Roman" w:hAnsi="Times New Roman"/>
                      <w:sz w:val="22"/>
                      <w:szCs w:val="22"/>
                      <w:lang w:val="sr-Latn-ME" w:bidi="th-TH"/>
                    </w:rPr>
                    <w:t>sa NSAIL</w:t>
                  </w:r>
                  <w:r w:rsidRPr="00C01AF3">
                    <w:rPr>
                      <w:rFonts w:ascii="Times New Roman" w:hAnsi="Times New Roman"/>
                      <w:sz w:val="22"/>
                      <w:szCs w:val="22"/>
                      <w:lang w:val="sr-Latn-ME" w:bidi="th-TH"/>
                    </w:rPr>
                    <w:t xml:space="preserve">, može doći do umanjenja antihipertenzivnog dejstva. Šta više, istovremena upotreba </w:t>
                  </w:r>
                  <w:r w:rsidR="00F54170" w:rsidRPr="00C01AF3">
                    <w:rPr>
                      <w:rFonts w:ascii="Times New Roman" w:hAnsi="Times New Roman"/>
                      <w:sz w:val="22"/>
                      <w:szCs w:val="22"/>
                      <w:lang w:val="sr-Latn-ME" w:bidi="th-TH"/>
                    </w:rPr>
                    <w:t>Exforge HCT</w:t>
                  </w:r>
                  <w:r w:rsidRPr="00C01AF3">
                    <w:rPr>
                      <w:rFonts w:ascii="Times New Roman" w:hAnsi="Times New Roman"/>
                      <w:sz w:val="22"/>
                      <w:szCs w:val="22"/>
                      <w:lang w:val="sr-Latn-ME" w:bidi="th-TH"/>
                    </w:rPr>
                    <w:t xml:space="preserve"> i NSAIL</w:t>
                  </w:r>
                  <w:r w:rsidR="00F54170" w:rsidRPr="00C01AF3">
                    <w:rPr>
                      <w:rFonts w:ascii="Times New Roman" w:hAnsi="Times New Roman"/>
                      <w:sz w:val="22"/>
                      <w:szCs w:val="22"/>
                      <w:lang w:val="sr-Latn-ME" w:bidi="th-TH"/>
                    </w:rPr>
                    <w:t>-a</w:t>
                  </w:r>
                  <w:r w:rsidRPr="00C01AF3">
                    <w:rPr>
                      <w:rFonts w:ascii="Times New Roman" w:hAnsi="Times New Roman"/>
                      <w:sz w:val="22"/>
                      <w:szCs w:val="22"/>
                      <w:lang w:val="sr-Latn-ME" w:bidi="th-TH"/>
                    </w:rPr>
                    <w:t xml:space="preserve"> može dovesti do pogoršanja bubrežne funkcije i povećanja </w:t>
                  </w:r>
                  <w:r w:rsidR="00F54170" w:rsidRPr="00C01AF3">
                    <w:rPr>
                      <w:rFonts w:ascii="Times New Roman" w:hAnsi="Times New Roman"/>
                      <w:sz w:val="22"/>
                      <w:szCs w:val="22"/>
                      <w:lang w:val="sr-Latn-ME" w:bidi="th-TH"/>
                    </w:rPr>
                    <w:t xml:space="preserve">serumskog kalijuma. Zbog toga, </w:t>
                  </w:r>
                  <w:r w:rsidRPr="00C01AF3">
                    <w:rPr>
                      <w:rFonts w:ascii="Times New Roman" w:hAnsi="Times New Roman"/>
                      <w:sz w:val="22"/>
                      <w:szCs w:val="22"/>
                      <w:lang w:val="sr-Latn-ME" w:bidi="th-TH"/>
                    </w:rPr>
                    <w:t xml:space="preserve">se preporučuje praćenje bubrežne funkcije na početku terapije, </w:t>
                  </w:r>
                  <w:r w:rsidR="00F54170" w:rsidRPr="00C01AF3">
                    <w:rPr>
                      <w:rFonts w:ascii="Times New Roman" w:hAnsi="Times New Roman"/>
                      <w:sz w:val="22"/>
                      <w:szCs w:val="22"/>
                      <w:lang w:val="sr-Latn-ME" w:bidi="th-TH"/>
                    </w:rPr>
                    <w:t>kao</w:t>
                  </w:r>
                  <w:r w:rsidRPr="00C01AF3">
                    <w:rPr>
                      <w:rFonts w:ascii="Times New Roman" w:hAnsi="Times New Roman"/>
                      <w:sz w:val="22"/>
                      <w:szCs w:val="22"/>
                      <w:lang w:val="sr-Latn-ME" w:bidi="th-TH"/>
                    </w:rPr>
                    <w:t xml:space="preserve"> i adekvatna </w:t>
                  </w:r>
                  <w:r w:rsidR="00F54170" w:rsidRPr="00C01AF3">
                    <w:rPr>
                      <w:rFonts w:ascii="Times New Roman" w:hAnsi="Times New Roman"/>
                      <w:sz w:val="22"/>
                      <w:szCs w:val="22"/>
                      <w:lang w:val="sr-Latn-ME" w:bidi="th-TH"/>
                    </w:rPr>
                    <w:t>hidratacija pacijenata</w:t>
                  </w:r>
                  <w:r w:rsidRPr="00C01AF3">
                    <w:rPr>
                      <w:rFonts w:ascii="Times New Roman" w:hAnsi="Times New Roman"/>
                      <w:sz w:val="22"/>
                      <w:szCs w:val="22"/>
                      <w:lang w:val="sr-Latn-ME" w:bidi="th-TH"/>
                    </w:rPr>
                    <w:t>.</w:t>
                  </w:r>
                </w:p>
              </w:tc>
            </w:tr>
            <w:tr w:rsidR="00431581" w:rsidRPr="00C01AF3" w:rsidTr="001312E4">
              <w:trPr>
                <w:cantSplit/>
                <w:trHeight w:val="318"/>
              </w:trPr>
              <w:tc>
                <w:tcPr>
                  <w:tcW w:w="1701" w:type="dxa"/>
                  <w:tcBorders>
                    <w:top w:val="single" w:sz="8" w:space="0" w:color="auto"/>
                  </w:tcBorders>
                </w:tcPr>
                <w:p w:rsidR="00431581" w:rsidRPr="00C01AF3" w:rsidRDefault="00431581" w:rsidP="001E4969">
                  <w:pPr>
                    <w:rPr>
                      <w:rFonts w:ascii="Times New Roman" w:hAnsi="Times New Roman"/>
                      <w:noProof/>
                      <w:sz w:val="22"/>
                      <w:szCs w:val="22"/>
                      <w:lang w:val="sr-Latn-ME"/>
                    </w:rPr>
                  </w:pPr>
                  <w:r w:rsidRPr="00C01AF3">
                    <w:rPr>
                      <w:rFonts w:ascii="Times New Roman" w:hAnsi="Times New Roman"/>
                      <w:noProof/>
                      <w:sz w:val="22"/>
                      <w:szCs w:val="22"/>
                      <w:lang w:val="sr-Latn-ME"/>
                    </w:rPr>
                    <w:lastRenderedPageBreak/>
                    <w:t>Valsartan</w:t>
                  </w:r>
                </w:p>
              </w:tc>
              <w:tc>
                <w:tcPr>
                  <w:tcW w:w="1997" w:type="dxa"/>
                  <w:tcBorders>
                    <w:top w:val="single" w:sz="8" w:space="0" w:color="auto"/>
                    <w:bottom w:val="single" w:sz="8" w:space="0" w:color="auto"/>
                  </w:tcBorders>
                </w:tcPr>
                <w:p w:rsidR="004F35B9" w:rsidRPr="00C01AF3" w:rsidRDefault="004F35B9" w:rsidP="004F35B9">
                  <w:pPr>
                    <w:pStyle w:val="Header"/>
                    <w:tabs>
                      <w:tab w:val="left" w:pos="284"/>
                    </w:tabs>
                    <w:spacing w:before="80" w:after="80"/>
                    <w:jc w:val="left"/>
                    <w:rPr>
                      <w:rFonts w:ascii="Times New Roman" w:hAnsi="Times New Roman" w:cs="Arial"/>
                      <w:bCs/>
                      <w:i/>
                      <w:sz w:val="22"/>
                      <w:lang w:val="sr-Latn-ME"/>
                    </w:rPr>
                  </w:pPr>
                  <w:r w:rsidRPr="00C01AF3">
                    <w:rPr>
                      <w:rFonts w:ascii="Times New Roman" w:hAnsi="Times New Roman" w:cs="Arial"/>
                      <w:bCs/>
                      <w:i/>
                      <w:sz w:val="22"/>
                      <w:lang w:val="sr-Latn-ME"/>
                    </w:rPr>
                    <w:t>Inhibitori transportera preuzimanja (rifampicin, ciklosporin) ili efluksnog transportera (ritonavir)</w:t>
                  </w:r>
                </w:p>
                <w:p w:rsidR="00431581" w:rsidRPr="00C01AF3" w:rsidRDefault="00431581" w:rsidP="001E4969">
                  <w:pPr>
                    <w:rPr>
                      <w:rFonts w:ascii="Times New Roman" w:hAnsi="Times New Roman"/>
                      <w:i/>
                      <w:noProof/>
                      <w:sz w:val="22"/>
                      <w:szCs w:val="22"/>
                      <w:lang w:val="sr-Latn-ME"/>
                    </w:rPr>
                  </w:pPr>
                </w:p>
              </w:tc>
              <w:tc>
                <w:tcPr>
                  <w:tcW w:w="5410" w:type="dxa"/>
                  <w:tcBorders>
                    <w:top w:val="single" w:sz="8" w:space="0" w:color="auto"/>
                    <w:bottom w:val="single" w:sz="8" w:space="0" w:color="auto"/>
                  </w:tcBorders>
                </w:tcPr>
                <w:p w:rsidR="00431581" w:rsidRPr="00C01AF3" w:rsidRDefault="002F2E63" w:rsidP="001B7874">
                  <w:pPr>
                    <w:jc w:val="left"/>
                    <w:rPr>
                      <w:rFonts w:ascii="Times New Roman" w:hAnsi="Times New Roman"/>
                      <w:sz w:val="22"/>
                      <w:szCs w:val="22"/>
                      <w:lang w:val="sr-Latn-ME" w:bidi="th-TH"/>
                    </w:rPr>
                  </w:pPr>
                  <w:r w:rsidRPr="00C01AF3">
                    <w:rPr>
                      <w:rFonts w:ascii="Times New Roman" w:hAnsi="Times New Roman"/>
                      <w:sz w:val="22"/>
                      <w:szCs w:val="22"/>
                      <w:lang w:val="sr-Latn-ME" w:bidi="th-TH"/>
                    </w:rPr>
                    <w:t xml:space="preserve">Rezultati </w:t>
                  </w:r>
                  <w:r w:rsidRPr="00C01AF3">
                    <w:rPr>
                      <w:rFonts w:ascii="Times New Roman" w:hAnsi="Times New Roman"/>
                      <w:i/>
                      <w:sz w:val="22"/>
                      <w:szCs w:val="22"/>
                      <w:lang w:val="sr-Latn-ME" w:bidi="th-TH"/>
                    </w:rPr>
                    <w:t>in vitro</w:t>
                  </w:r>
                  <w:r w:rsidRPr="00C01AF3">
                    <w:rPr>
                      <w:rFonts w:ascii="Times New Roman" w:hAnsi="Times New Roman"/>
                      <w:sz w:val="22"/>
                      <w:szCs w:val="22"/>
                      <w:lang w:val="sr-Latn-ME" w:bidi="th-TH"/>
                    </w:rPr>
                    <w:t xml:space="preserve"> </w:t>
                  </w:r>
                  <w:r w:rsidR="001B7874" w:rsidRPr="00C01AF3">
                    <w:rPr>
                      <w:rFonts w:ascii="Times New Roman" w:hAnsi="Times New Roman"/>
                      <w:sz w:val="22"/>
                      <w:szCs w:val="22"/>
                      <w:lang w:val="sr-Latn-ME" w:bidi="th-TH"/>
                    </w:rPr>
                    <w:t>studije</w:t>
                  </w:r>
                  <w:r w:rsidRPr="00C01AF3">
                    <w:rPr>
                      <w:rFonts w:ascii="Times New Roman" w:hAnsi="Times New Roman"/>
                      <w:sz w:val="22"/>
                      <w:szCs w:val="22"/>
                      <w:lang w:val="sr-Latn-ME" w:bidi="th-TH"/>
                    </w:rPr>
                    <w:t xml:space="preserve"> sa tkivom humane jetre pokazuju da je valsartan supstrat jetrinog transportera preuzimanja OATP1B1 i jetrenog efluksnog transportera MRP2. Istovremena primjena inhibitora transportera preuzimanja (rifampicin, ciklosporin) ili efluksnog transportera (ritonavir) može povećati sistemsku izloženost valsartanu.</w:t>
                  </w:r>
                </w:p>
              </w:tc>
            </w:tr>
            <w:tr w:rsidR="00431581" w:rsidRPr="00C01AF3" w:rsidTr="001312E4">
              <w:trPr>
                <w:cantSplit/>
                <w:trHeight w:val="63"/>
              </w:trPr>
              <w:tc>
                <w:tcPr>
                  <w:tcW w:w="1701" w:type="dxa"/>
                  <w:vMerge w:val="restart"/>
                  <w:tcBorders>
                    <w:top w:val="single" w:sz="8" w:space="0" w:color="auto"/>
                  </w:tcBorders>
                </w:tcPr>
                <w:p w:rsidR="00431581" w:rsidRPr="00C01AF3" w:rsidRDefault="007C4A86" w:rsidP="00464A58">
                  <w:pPr>
                    <w:jc w:val="left"/>
                    <w:rPr>
                      <w:rFonts w:ascii="Times New Roman" w:hAnsi="Times New Roman"/>
                      <w:noProof/>
                      <w:sz w:val="22"/>
                      <w:szCs w:val="22"/>
                      <w:lang w:val="sr-Latn-ME"/>
                    </w:rPr>
                  </w:pPr>
                  <w:r w:rsidRPr="00C01AF3">
                    <w:rPr>
                      <w:rFonts w:ascii="Times New Roman" w:hAnsi="Times New Roman"/>
                      <w:noProof/>
                      <w:sz w:val="22"/>
                      <w:szCs w:val="22"/>
                      <w:lang w:val="sr-Latn-ME"/>
                    </w:rPr>
                    <w:t>Hidrohlortiazid</w:t>
                  </w:r>
                  <w:r w:rsidR="00464A58" w:rsidRPr="00C01AF3">
                    <w:rPr>
                      <w:rFonts w:ascii="Times New Roman" w:hAnsi="Times New Roman"/>
                      <w:noProof/>
                      <w:sz w:val="22"/>
                      <w:szCs w:val="22"/>
                      <w:lang w:val="sr-Latn-ME"/>
                    </w:rPr>
                    <w:t xml:space="preserve"> </w:t>
                  </w:r>
                </w:p>
              </w:tc>
              <w:tc>
                <w:tcPr>
                  <w:tcW w:w="1997" w:type="dxa"/>
                  <w:tcBorders>
                    <w:top w:val="single" w:sz="8" w:space="0" w:color="auto"/>
                    <w:bottom w:val="single" w:sz="4" w:space="0" w:color="auto"/>
                  </w:tcBorders>
                </w:tcPr>
                <w:p w:rsidR="00431581" w:rsidRPr="00C01AF3" w:rsidRDefault="001D1987" w:rsidP="001D1987">
                  <w:pPr>
                    <w:pStyle w:val="Text"/>
                    <w:spacing w:before="0"/>
                    <w:jc w:val="left"/>
                    <w:rPr>
                      <w:i/>
                      <w:iCs/>
                      <w:sz w:val="22"/>
                      <w:szCs w:val="22"/>
                      <w:lang w:val="sr-Latn-ME"/>
                    </w:rPr>
                  </w:pPr>
                  <w:r w:rsidRPr="00C01AF3">
                    <w:rPr>
                      <w:i/>
                      <w:sz w:val="22"/>
                      <w:szCs w:val="22"/>
                      <w:lang w:val="sr-Latn-ME"/>
                    </w:rPr>
                    <w:t>Alkohol, barbiturati ili narkotici</w:t>
                  </w:r>
                </w:p>
              </w:tc>
              <w:tc>
                <w:tcPr>
                  <w:tcW w:w="5410" w:type="dxa"/>
                  <w:tcBorders>
                    <w:top w:val="single" w:sz="8" w:space="0" w:color="auto"/>
                    <w:bottom w:val="single" w:sz="4" w:space="0" w:color="auto"/>
                  </w:tcBorders>
                </w:tcPr>
                <w:p w:rsidR="00431581" w:rsidRPr="00C01AF3" w:rsidRDefault="00C67EE9" w:rsidP="00C67EE9">
                  <w:pPr>
                    <w:pStyle w:val="Text"/>
                    <w:spacing w:before="0"/>
                    <w:jc w:val="left"/>
                    <w:rPr>
                      <w:sz w:val="22"/>
                      <w:szCs w:val="22"/>
                      <w:lang w:val="sr-Latn-ME" w:bidi="th-TH"/>
                    </w:rPr>
                  </w:pPr>
                  <w:r w:rsidRPr="00C01AF3">
                    <w:rPr>
                      <w:color w:val="000000"/>
                      <w:sz w:val="22"/>
                      <w:szCs w:val="22"/>
                      <w:lang w:val="sr-Latn-ME"/>
                    </w:rPr>
                    <w:t xml:space="preserve">Istovremena </w:t>
                  </w:r>
                  <w:r w:rsidR="00BD0291" w:rsidRPr="00C01AF3">
                    <w:rPr>
                      <w:color w:val="000000"/>
                      <w:sz w:val="22"/>
                      <w:szCs w:val="22"/>
                      <w:lang w:val="sr-Latn-ME"/>
                    </w:rPr>
                    <w:t>primje</w:t>
                  </w:r>
                  <w:r w:rsidR="00563701" w:rsidRPr="00C01AF3">
                    <w:rPr>
                      <w:color w:val="000000"/>
                      <w:sz w:val="22"/>
                      <w:szCs w:val="22"/>
                      <w:lang w:val="sr-Latn-ME"/>
                    </w:rPr>
                    <w:t xml:space="preserve">na tiazidnih diuretika sa </w:t>
                  </w:r>
                  <w:r w:rsidRPr="00C01AF3">
                    <w:rPr>
                      <w:color w:val="000000"/>
                      <w:sz w:val="22"/>
                      <w:szCs w:val="22"/>
                      <w:lang w:val="sr-Latn-ME"/>
                    </w:rPr>
                    <w:t>l</w:t>
                  </w:r>
                  <w:r w:rsidR="00A65414" w:rsidRPr="00C01AF3">
                    <w:rPr>
                      <w:color w:val="000000"/>
                      <w:sz w:val="22"/>
                      <w:szCs w:val="22"/>
                      <w:lang w:val="sr-Latn-ME"/>
                    </w:rPr>
                    <w:t>j</w:t>
                  </w:r>
                  <w:r w:rsidRPr="00C01AF3">
                    <w:rPr>
                      <w:color w:val="000000"/>
                      <w:sz w:val="22"/>
                      <w:szCs w:val="22"/>
                      <w:lang w:val="sr-Latn-ME"/>
                    </w:rPr>
                    <w:t>ekovima koji takođ</w:t>
                  </w:r>
                  <w:r w:rsidR="00563701" w:rsidRPr="00C01AF3">
                    <w:rPr>
                      <w:color w:val="000000"/>
                      <w:sz w:val="22"/>
                      <w:szCs w:val="22"/>
                      <w:lang w:val="sr-Latn-ME"/>
                    </w:rPr>
                    <w:t xml:space="preserve">e imaju efekat na snižavanje krvnog pritiska ( npr. </w:t>
                  </w:r>
                  <w:r w:rsidRPr="00C01AF3">
                    <w:rPr>
                      <w:color w:val="000000"/>
                      <w:sz w:val="22"/>
                      <w:szCs w:val="22"/>
                      <w:lang w:val="sr-Latn-ME"/>
                    </w:rPr>
                    <w:t>s</w:t>
                  </w:r>
                  <w:r w:rsidR="00563701" w:rsidRPr="00C01AF3">
                    <w:rPr>
                      <w:color w:val="000000"/>
                      <w:sz w:val="22"/>
                      <w:szCs w:val="22"/>
                      <w:lang w:val="sr-Latn-ME"/>
                    </w:rPr>
                    <w:t>manjujući aktivnost simpatičkog centralnog  nervnog sistema ili direktnom vazodilatacijom) može potencirati ortostatsku hipotenziju.</w:t>
                  </w:r>
                </w:p>
              </w:tc>
            </w:tr>
            <w:tr w:rsidR="00431581" w:rsidRPr="00C01AF3" w:rsidTr="001312E4">
              <w:trPr>
                <w:cantSplit/>
                <w:trHeight w:val="63"/>
              </w:trPr>
              <w:tc>
                <w:tcPr>
                  <w:tcW w:w="1701" w:type="dxa"/>
                  <w:vMerge/>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431581" w:rsidP="00563701">
                  <w:pPr>
                    <w:pStyle w:val="Text"/>
                    <w:spacing w:before="0"/>
                    <w:jc w:val="left"/>
                    <w:rPr>
                      <w:i/>
                      <w:iCs/>
                      <w:sz w:val="22"/>
                      <w:szCs w:val="22"/>
                      <w:lang w:val="sr-Latn-ME"/>
                    </w:rPr>
                  </w:pPr>
                  <w:r w:rsidRPr="00C01AF3">
                    <w:rPr>
                      <w:i/>
                      <w:iCs/>
                      <w:sz w:val="22"/>
                      <w:szCs w:val="22"/>
                      <w:lang w:val="sr-Latn-ME"/>
                    </w:rPr>
                    <w:t>Amantadin</w:t>
                  </w:r>
                </w:p>
              </w:tc>
              <w:tc>
                <w:tcPr>
                  <w:tcW w:w="5410" w:type="dxa"/>
                  <w:tcBorders>
                    <w:top w:val="single" w:sz="4" w:space="0" w:color="auto"/>
                    <w:bottom w:val="single" w:sz="4" w:space="0" w:color="auto"/>
                  </w:tcBorders>
                </w:tcPr>
                <w:p w:rsidR="00431581" w:rsidRPr="00C01AF3" w:rsidRDefault="00563701" w:rsidP="00563701">
                  <w:pPr>
                    <w:pStyle w:val="Header"/>
                    <w:tabs>
                      <w:tab w:val="clear" w:pos="4536"/>
                      <w:tab w:val="clear" w:pos="9072"/>
                      <w:tab w:val="left" w:pos="284"/>
                    </w:tabs>
                    <w:jc w:val="left"/>
                    <w:rPr>
                      <w:sz w:val="22"/>
                      <w:szCs w:val="22"/>
                      <w:lang w:val="sr-Latn-ME" w:bidi="th-TH"/>
                    </w:rPr>
                  </w:pPr>
                  <w:r w:rsidRPr="00C01AF3">
                    <w:rPr>
                      <w:rFonts w:ascii="Times New Roman" w:hAnsi="Times New Roman"/>
                      <w:color w:val="000000"/>
                      <w:sz w:val="22"/>
                      <w:szCs w:val="22"/>
                      <w:lang w:val="sr-Latn-ME"/>
                    </w:rPr>
                    <w:t xml:space="preserve">Tiazidi, uključujući i </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 mogu povećati rizik od neželjenih dejstava izazvanih amantadinom.</w:t>
                  </w:r>
                </w:p>
              </w:tc>
            </w:tr>
            <w:tr w:rsidR="00431581" w:rsidRPr="00C01AF3" w:rsidTr="001312E4">
              <w:trPr>
                <w:cantSplit/>
                <w:trHeight w:val="63"/>
              </w:trPr>
              <w:tc>
                <w:tcPr>
                  <w:tcW w:w="1701" w:type="dxa"/>
                  <w:vMerge/>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563701" w:rsidP="001E4969">
                  <w:pPr>
                    <w:pStyle w:val="Text"/>
                    <w:spacing w:before="0"/>
                    <w:jc w:val="left"/>
                    <w:rPr>
                      <w:i/>
                      <w:iCs/>
                      <w:sz w:val="22"/>
                      <w:szCs w:val="22"/>
                      <w:lang w:val="sr-Latn-ME"/>
                    </w:rPr>
                  </w:pPr>
                  <w:r w:rsidRPr="00C01AF3">
                    <w:rPr>
                      <w:i/>
                      <w:iCs/>
                      <w:sz w:val="22"/>
                      <w:szCs w:val="22"/>
                      <w:lang w:val="sr-Latn-ME"/>
                    </w:rPr>
                    <w:t>Antiholinergici i drugi l</w:t>
                  </w:r>
                  <w:r w:rsidR="00A65414" w:rsidRPr="00C01AF3">
                    <w:rPr>
                      <w:i/>
                      <w:iCs/>
                      <w:sz w:val="22"/>
                      <w:szCs w:val="22"/>
                      <w:lang w:val="sr-Latn-ME"/>
                    </w:rPr>
                    <w:t>j</w:t>
                  </w:r>
                  <w:r w:rsidRPr="00C01AF3">
                    <w:rPr>
                      <w:i/>
                      <w:iCs/>
                      <w:sz w:val="22"/>
                      <w:szCs w:val="22"/>
                      <w:lang w:val="sr-Latn-ME"/>
                    </w:rPr>
                    <w:t>ekovi koji utiču na gastrointestinalni motilitet</w:t>
                  </w:r>
                </w:p>
              </w:tc>
              <w:tc>
                <w:tcPr>
                  <w:tcW w:w="5410" w:type="dxa"/>
                  <w:tcBorders>
                    <w:top w:val="single" w:sz="4" w:space="0" w:color="auto"/>
                    <w:bottom w:val="single" w:sz="4" w:space="0" w:color="auto"/>
                  </w:tcBorders>
                </w:tcPr>
                <w:p w:rsidR="00431581" w:rsidRPr="00C01AF3" w:rsidRDefault="00563701" w:rsidP="001E4969">
                  <w:pPr>
                    <w:pStyle w:val="Text"/>
                    <w:spacing w:before="0"/>
                    <w:jc w:val="left"/>
                    <w:rPr>
                      <w:sz w:val="22"/>
                      <w:szCs w:val="22"/>
                      <w:lang w:val="sr-Latn-ME" w:bidi="th-TH"/>
                    </w:rPr>
                  </w:pPr>
                  <w:r w:rsidRPr="00C01AF3">
                    <w:rPr>
                      <w:sz w:val="22"/>
                      <w:szCs w:val="22"/>
                      <w:lang w:val="sr-Latn-ME" w:bidi="th-TH"/>
                    </w:rPr>
                    <w:t xml:space="preserve">Bioraspoloživost tiazidnih diuretika može se povećati antiholinergijskim </w:t>
                  </w:r>
                  <w:r w:rsidR="00A65414" w:rsidRPr="00C01AF3">
                    <w:rPr>
                      <w:sz w:val="22"/>
                      <w:szCs w:val="22"/>
                      <w:lang w:val="sr-Latn-ME" w:bidi="th-TH"/>
                    </w:rPr>
                    <w:t>ljeko</w:t>
                  </w:r>
                  <w:r w:rsidRPr="00C01AF3">
                    <w:rPr>
                      <w:sz w:val="22"/>
                      <w:szCs w:val="22"/>
                      <w:lang w:val="sr-Latn-ME" w:bidi="th-TH"/>
                    </w:rPr>
                    <w:t xml:space="preserve">vima (npr. atropin, biperiden), </w:t>
                  </w:r>
                  <w:r w:rsidR="00123F8B" w:rsidRPr="00C01AF3">
                    <w:rPr>
                      <w:sz w:val="22"/>
                      <w:szCs w:val="22"/>
                      <w:lang w:val="sr-Latn-ME" w:bidi="th-TH"/>
                    </w:rPr>
                    <w:t>vjerovat</w:t>
                  </w:r>
                  <w:r w:rsidRPr="00C01AF3">
                    <w:rPr>
                      <w:sz w:val="22"/>
                      <w:szCs w:val="22"/>
                      <w:lang w:val="sr-Latn-ME" w:bidi="th-TH"/>
                    </w:rPr>
                    <w:t>no zbog smanjenja gastrointestinalnog motiliteta i brzine pražnjenja želuca. Nasuprot tome, očekuje se da prokinet</w:t>
                  </w:r>
                  <w:r w:rsidR="00520B5E" w:rsidRPr="00C01AF3">
                    <w:rPr>
                      <w:sz w:val="22"/>
                      <w:szCs w:val="22"/>
                      <w:lang w:val="sr-Latn-ME" w:bidi="th-TH"/>
                    </w:rPr>
                    <w:t>ski</w:t>
                  </w:r>
                  <w:r w:rsidRPr="00C01AF3">
                    <w:rPr>
                      <w:sz w:val="22"/>
                      <w:szCs w:val="22"/>
                      <w:lang w:val="sr-Latn-ME" w:bidi="th-TH"/>
                    </w:rPr>
                    <w:t xml:space="preserve"> </w:t>
                  </w:r>
                  <w:r w:rsidR="00A65414" w:rsidRPr="00C01AF3">
                    <w:rPr>
                      <w:sz w:val="22"/>
                      <w:szCs w:val="22"/>
                      <w:lang w:val="sr-Latn-ME" w:bidi="th-TH"/>
                    </w:rPr>
                    <w:t>ljeko</w:t>
                  </w:r>
                  <w:r w:rsidRPr="00C01AF3">
                    <w:rPr>
                      <w:sz w:val="22"/>
                      <w:szCs w:val="22"/>
                      <w:lang w:val="sr-Latn-ME" w:bidi="th-TH"/>
                    </w:rPr>
                    <w:t>vi kao što je cisaprid mogu smanjiti bioraspoloživost tiazidnih diuretika.</w:t>
                  </w:r>
                </w:p>
              </w:tc>
            </w:tr>
            <w:tr w:rsidR="003F3BE3" w:rsidRPr="00C01AF3" w:rsidTr="001312E4">
              <w:trPr>
                <w:cantSplit/>
                <w:trHeight w:val="63"/>
              </w:trPr>
              <w:tc>
                <w:tcPr>
                  <w:tcW w:w="1701" w:type="dxa"/>
                  <w:vMerge/>
                </w:tcPr>
                <w:p w:rsidR="003F3BE3" w:rsidRPr="00C01AF3" w:rsidRDefault="003F3BE3" w:rsidP="001E4969">
                  <w:pPr>
                    <w:rPr>
                      <w:rFonts w:ascii="Times New Roman" w:hAnsi="Times New Roman"/>
                      <w:noProof/>
                      <w:sz w:val="22"/>
                      <w:szCs w:val="22"/>
                      <w:lang w:val="sr-Latn-ME"/>
                    </w:rPr>
                  </w:pPr>
                </w:p>
              </w:tc>
              <w:tc>
                <w:tcPr>
                  <w:tcW w:w="1997" w:type="dxa"/>
                  <w:tcBorders>
                    <w:top w:val="single" w:sz="4" w:space="0" w:color="auto"/>
                  </w:tcBorders>
                </w:tcPr>
                <w:p w:rsidR="003F3BE3" w:rsidRPr="00C01AF3" w:rsidRDefault="003F3BE3" w:rsidP="003F3BE3">
                  <w:pPr>
                    <w:pStyle w:val="Text"/>
                    <w:spacing w:before="0"/>
                    <w:jc w:val="left"/>
                    <w:rPr>
                      <w:i/>
                      <w:iCs/>
                      <w:sz w:val="22"/>
                      <w:szCs w:val="22"/>
                      <w:lang w:val="sr-Latn-ME"/>
                    </w:rPr>
                  </w:pPr>
                  <w:r w:rsidRPr="00C01AF3">
                    <w:rPr>
                      <w:i/>
                      <w:iCs/>
                      <w:sz w:val="22"/>
                      <w:szCs w:val="22"/>
                      <w:lang w:val="sr-Latn-ME"/>
                    </w:rPr>
                    <w:t xml:space="preserve">Antidijabetici (npr, insulin i  oralni </w:t>
                  </w:r>
                  <w:r w:rsidR="00A65414" w:rsidRPr="00C01AF3">
                    <w:rPr>
                      <w:i/>
                      <w:iCs/>
                      <w:sz w:val="22"/>
                      <w:szCs w:val="22"/>
                      <w:lang w:val="sr-Latn-ME"/>
                    </w:rPr>
                    <w:t>ljeko</w:t>
                  </w:r>
                  <w:r w:rsidRPr="00C01AF3">
                    <w:rPr>
                      <w:i/>
                      <w:iCs/>
                      <w:sz w:val="22"/>
                      <w:szCs w:val="22"/>
                      <w:lang w:val="sr-Latn-ME"/>
                    </w:rPr>
                    <w:t>vi)</w:t>
                  </w:r>
                </w:p>
              </w:tc>
              <w:tc>
                <w:tcPr>
                  <w:tcW w:w="5410" w:type="dxa"/>
                  <w:tcBorders>
                    <w:top w:val="single" w:sz="4" w:space="0" w:color="auto"/>
                  </w:tcBorders>
                </w:tcPr>
                <w:p w:rsidR="003F3BE3" w:rsidRPr="00C01AF3" w:rsidRDefault="00D204DF" w:rsidP="00D204DF">
                  <w:pPr>
                    <w:jc w:val="left"/>
                    <w:rPr>
                      <w:rFonts w:ascii="Times New Roman" w:hAnsi="Times New Roman"/>
                      <w:sz w:val="22"/>
                      <w:szCs w:val="22"/>
                      <w:lang w:val="sr-Latn-ME"/>
                    </w:rPr>
                  </w:pPr>
                  <w:r w:rsidRPr="00C01AF3">
                    <w:rPr>
                      <w:rFonts w:ascii="Times New Roman" w:hAnsi="Times New Roman"/>
                      <w:sz w:val="22"/>
                      <w:szCs w:val="22"/>
                      <w:lang w:val="sr-Latn-ME"/>
                    </w:rPr>
                    <w:t>T</w:t>
                  </w:r>
                  <w:r w:rsidR="003F3BE3" w:rsidRPr="00C01AF3">
                    <w:rPr>
                      <w:rFonts w:ascii="Times New Roman" w:hAnsi="Times New Roman"/>
                      <w:sz w:val="22"/>
                      <w:szCs w:val="22"/>
                      <w:lang w:val="sr-Latn-ME"/>
                    </w:rPr>
                    <w:t>iazid</w:t>
                  </w:r>
                  <w:r w:rsidRPr="00C01AF3">
                    <w:rPr>
                      <w:rFonts w:ascii="Times New Roman" w:hAnsi="Times New Roman"/>
                      <w:sz w:val="22"/>
                      <w:szCs w:val="22"/>
                      <w:lang w:val="sr-Latn-ME"/>
                    </w:rPr>
                    <w:t>i</w:t>
                  </w:r>
                  <w:r w:rsidR="003F3BE3" w:rsidRPr="00C01AF3">
                    <w:rPr>
                      <w:rFonts w:ascii="Times New Roman" w:hAnsi="Times New Roman"/>
                      <w:sz w:val="22"/>
                      <w:szCs w:val="22"/>
                      <w:lang w:val="sr-Latn-ME"/>
                    </w:rPr>
                    <w:t xml:space="preserve"> mo</w:t>
                  </w:r>
                  <w:r w:rsidRPr="00C01AF3">
                    <w:rPr>
                      <w:rFonts w:ascii="Times New Roman" w:hAnsi="Times New Roman"/>
                      <w:sz w:val="22"/>
                      <w:szCs w:val="22"/>
                      <w:lang w:val="sr-Latn-ME"/>
                    </w:rPr>
                    <w:t>gu</w:t>
                  </w:r>
                  <w:r w:rsidR="003F3BE3" w:rsidRPr="00C01AF3">
                    <w:rPr>
                      <w:rFonts w:ascii="Times New Roman" w:hAnsi="Times New Roman"/>
                      <w:sz w:val="22"/>
                      <w:szCs w:val="22"/>
                      <w:lang w:val="sr-Latn-ME"/>
                    </w:rPr>
                    <w:t xml:space="preserve"> uticati na toleranciju glukoze. Može biti potrebno prilagođavanje doze antidijabetika.</w:t>
                  </w:r>
                </w:p>
              </w:tc>
            </w:tr>
            <w:tr w:rsidR="003F3BE3" w:rsidRPr="00C01AF3" w:rsidTr="001312E4">
              <w:trPr>
                <w:cantSplit/>
                <w:trHeight w:val="63"/>
              </w:trPr>
              <w:tc>
                <w:tcPr>
                  <w:tcW w:w="1701" w:type="dxa"/>
                  <w:vMerge/>
                </w:tcPr>
                <w:p w:rsidR="003F3BE3" w:rsidRPr="00C01AF3" w:rsidRDefault="003F3BE3" w:rsidP="001E4969">
                  <w:pPr>
                    <w:rPr>
                      <w:rFonts w:ascii="Times New Roman" w:hAnsi="Times New Roman"/>
                      <w:noProof/>
                      <w:sz w:val="22"/>
                      <w:szCs w:val="22"/>
                      <w:lang w:val="sr-Latn-ME"/>
                    </w:rPr>
                  </w:pPr>
                </w:p>
              </w:tc>
              <w:tc>
                <w:tcPr>
                  <w:tcW w:w="1997" w:type="dxa"/>
                  <w:tcBorders>
                    <w:bottom w:val="single" w:sz="4" w:space="0" w:color="auto"/>
                  </w:tcBorders>
                </w:tcPr>
                <w:p w:rsidR="003F3BE3" w:rsidRPr="00C01AF3" w:rsidRDefault="003F3BE3" w:rsidP="00431581">
                  <w:pPr>
                    <w:pStyle w:val="Text"/>
                    <w:numPr>
                      <w:ilvl w:val="0"/>
                      <w:numId w:val="12"/>
                    </w:numPr>
                    <w:spacing w:before="0"/>
                    <w:jc w:val="left"/>
                    <w:rPr>
                      <w:i/>
                      <w:iCs/>
                      <w:sz w:val="22"/>
                      <w:szCs w:val="22"/>
                      <w:lang w:val="sr-Latn-ME"/>
                    </w:rPr>
                  </w:pPr>
                  <w:r w:rsidRPr="00C01AF3">
                    <w:rPr>
                      <w:i/>
                      <w:sz w:val="22"/>
                      <w:szCs w:val="22"/>
                      <w:lang w:val="sr-Latn-ME"/>
                    </w:rPr>
                    <w:t>Metformin</w:t>
                  </w:r>
                </w:p>
              </w:tc>
              <w:tc>
                <w:tcPr>
                  <w:tcW w:w="5410" w:type="dxa"/>
                  <w:tcBorders>
                    <w:bottom w:val="single" w:sz="4" w:space="0" w:color="auto"/>
                  </w:tcBorders>
                </w:tcPr>
                <w:p w:rsidR="003F3BE3" w:rsidRPr="00C01AF3" w:rsidRDefault="003F3BE3" w:rsidP="003F3BE3">
                  <w:pPr>
                    <w:jc w:val="left"/>
                    <w:rPr>
                      <w:rFonts w:ascii="Times New Roman" w:hAnsi="Times New Roman"/>
                      <w:sz w:val="22"/>
                      <w:szCs w:val="22"/>
                      <w:lang w:val="sr-Latn-ME"/>
                    </w:rPr>
                  </w:pPr>
                  <w:r w:rsidRPr="00C01AF3">
                    <w:rPr>
                      <w:rFonts w:ascii="Times New Roman" w:hAnsi="Times New Roman"/>
                      <w:sz w:val="22"/>
                      <w:szCs w:val="22"/>
                      <w:lang w:val="sr-Latn-ME"/>
                    </w:rPr>
                    <w:t xml:space="preserve">Metformin treba oprezno </w:t>
                  </w:r>
                  <w:r w:rsidR="00BD0291" w:rsidRPr="00C01AF3">
                    <w:rPr>
                      <w:rFonts w:ascii="Times New Roman" w:hAnsi="Times New Roman"/>
                      <w:sz w:val="22"/>
                      <w:szCs w:val="22"/>
                      <w:lang w:val="sr-Latn-ME"/>
                    </w:rPr>
                    <w:t>primje</w:t>
                  </w:r>
                  <w:r w:rsidRPr="00C01AF3">
                    <w:rPr>
                      <w:rFonts w:ascii="Times New Roman" w:hAnsi="Times New Roman"/>
                      <w:sz w:val="22"/>
                      <w:szCs w:val="22"/>
                      <w:lang w:val="sr-Latn-ME"/>
                    </w:rPr>
                    <w:t>njivati zbog rizika od laktatne acidoze izazvane moguć</w:t>
                  </w:r>
                  <w:r w:rsidR="00520B5E" w:rsidRPr="00C01AF3">
                    <w:rPr>
                      <w:rFonts w:ascii="Times New Roman" w:hAnsi="Times New Roman"/>
                      <w:sz w:val="22"/>
                      <w:szCs w:val="22"/>
                      <w:lang w:val="sr-Latn-ME"/>
                    </w:rPr>
                    <w:t>o</w:t>
                  </w:r>
                  <w:r w:rsidRPr="00C01AF3">
                    <w:rPr>
                      <w:rFonts w:ascii="Times New Roman" w:hAnsi="Times New Roman"/>
                      <w:sz w:val="22"/>
                      <w:szCs w:val="22"/>
                      <w:lang w:val="sr-Latn-ME"/>
                    </w:rPr>
                    <w:t xml:space="preserve">m funkcionalnom insuficijencijom bubrega povezanom sa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om.</w:t>
                  </w:r>
                </w:p>
              </w:tc>
            </w:tr>
            <w:tr w:rsidR="00431581" w:rsidRPr="00C01AF3" w:rsidTr="001312E4">
              <w:trPr>
                <w:cantSplit/>
                <w:trHeight w:val="63"/>
              </w:trPr>
              <w:tc>
                <w:tcPr>
                  <w:tcW w:w="1701" w:type="dxa"/>
                  <w:vMerge/>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3F3BE3" w:rsidP="001E4969">
                  <w:pPr>
                    <w:pStyle w:val="Text"/>
                    <w:spacing w:before="0"/>
                    <w:jc w:val="left"/>
                    <w:rPr>
                      <w:i/>
                      <w:iCs/>
                      <w:sz w:val="22"/>
                      <w:szCs w:val="22"/>
                      <w:lang w:val="sr-Latn-ME"/>
                    </w:rPr>
                  </w:pPr>
                  <w:r w:rsidRPr="00C01AF3">
                    <w:rPr>
                      <w:i/>
                      <w:iCs/>
                      <w:sz w:val="22"/>
                      <w:szCs w:val="22"/>
                      <w:lang w:val="sr-Latn-ME"/>
                    </w:rPr>
                    <w:t>Beta blokatori i diazoksid</w:t>
                  </w:r>
                </w:p>
              </w:tc>
              <w:tc>
                <w:tcPr>
                  <w:tcW w:w="5410" w:type="dxa"/>
                  <w:tcBorders>
                    <w:top w:val="single" w:sz="4" w:space="0" w:color="auto"/>
                    <w:bottom w:val="single" w:sz="4" w:space="0" w:color="auto"/>
                  </w:tcBorders>
                </w:tcPr>
                <w:p w:rsidR="00431581" w:rsidRPr="00C01AF3" w:rsidRDefault="003F3BE3">
                  <w:pPr>
                    <w:pStyle w:val="Text"/>
                    <w:spacing w:before="0"/>
                    <w:jc w:val="left"/>
                    <w:rPr>
                      <w:sz w:val="22"/>
                      <w:szCs w:val="22"/>
                      <w:lang w:val="sr-Latn-ME" w:bidi="th-TH"/>
                    </w:rPr>
                  </w:pPr>
                  <w:r w:rsidRPr="00C01AF3">
                    <w:rPr>
                      <w:sz w:val="22"/>
                      <w:szCs w:val="22"/>
                      <w:lang w:val="sr-Latn-ME" w:bidi="th-TH"/>
                    </w:rPr>
                    <w:t xml:space="preserve">Istovremena </w:t>
                  </w:r>
                  <w:r w:rsidR="00BD0291" w:rsidRPr="00C01AF3">
                    <w:rPr>
                      <w:sz w:val="22"/>
                      <w:szCs w:val="22"/>
                      <w:lang w:val="sr-Latn-ME" w:bidi="th-TH"/>
                    </w:rPr>
                    <w:t>primje</w:t>
                  </w:r>
                  <w:r w:rsidRPr="00C01AF3">
                    <w:rPr>
                      <w:sz w:val="22"/>
                      <w:szCs w:val="22"/>
                      <w:lang w:val="sr-Latn-ME" w:bidi="th-TH"/>
                    </w:rPr>
                    <w:t xml:space="preserve">na tiazidnih diuretika, uključujući </w:t>
                  </w:r>
                  <w:r w:rsidR="007C4A86" w:rsidRPr="00C01AF3">
                    <w:rPr>
                      <w:sz w:val="22"/>
                      <w:szCs w:val="22"/>
                      <w:lang w:val="sr-Latn-ME" w:bidi="th-TH"/>
                    </w:rPr>
                    <w:t>hidrohlortiazid</w:t>
                  </w:r>
                  <w:r w:rsidRPr="00C01AF3">
                    <w:rPr>
                      <w:sz w:val="22"/>
                      <w:szCs w:val="22"/>
                      <w:lang w:val="sr-Latn-ME" w:bidi="th-TH"/>
                    </w:rPr>
                    <w:t xml:space="preserve">, sa beta-blokatorima može povećati rizik od hiperglikemije. Tiazidni diuretici, uključujući </w:t>
                  </w:r>
                  <w:r w:rsidR="007C4A86" w:rsidRPr="00C01AF3">
                    <w:rPr>
                      <w:sz w:val="22"/>
                      <w:szCs w:val="22"/>
                      <w:lang w:val="sr-Latn-ME" w:bidi="th-TH"/>
                    </w:rPr>
                    <w:t>hidrohlortiazid</w:t>
                  </w:r>
                  <w:r w:rsidRPr="00C01AF3">
                    <w:rPr>
                      <w:sz w:val="22"/>
                      <w:szCs w:val="22"/>
                      <w:lang w:val="sr-Latn-ME" w:bidi="th-TH"/>
                    </w:rPr>
                    <w:t xml:space="preserve">, mogu pojačati hiperglikemijski </w:t>
                  </w:r>
                  <w:r w:rsidR="00520B5E" w:rsidRPr="00C01AF3">
                    <w:rPr>
                      <w:sz w:val="22"/>
                      <w:szCs w:val="22"/>
                      <w:lang w:val="sr-Latn-ME" w:bidi="th-TH"/>
                    </w:rPr>
                    <w:t xml:space="preserve">efekat </w:t>
                  </w:r>
                  <w:r w:rsidRPr="00C01AF3">
                    <w:rPr>
                      <w:sz w:val="22"/>
                      <w:szCs w:val="22"/>
                      <w:lang w:val="sr-Latn-ME" w:bidi="th-TH"/>
                    </w:rPr>
                    <w:t>diazoksida.</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431581" w:rsidP="003F3BE3">
                  <w:pPr>
                    <w:pStyle w:val="Text"/>
                    <w:spacing w:before="0"/>
                    <w:jc w:val="left"/>
                    <w:rPr>
                      <w:i/>
                      <w:iCs/>
                      <w:sz w:val="22"/>
                      <w:szCs w:val="22"/>
                      <w:lang w:val="sr-Latn-ME"/>
                    </w:rPr>
                  </w:pPr>
                  <w:r w:rsidRPr="00C01AF3">
                    <w:rPr>
                      <w:i/>
                      <w:iCs/>
                      <w:sz w:val="22"/>
                      <w:szCs w:val="22"/>
                      <w:lang w:val="sr-Latn-ME"/>
                    </w:rPr>
                    <w:t>Ci</w:t>
                  </w:r>
                  <w:r w:rsidR="003F3BE3" w:rsidRPr="00C01AF3">
                    <w:rPr>
                      <w:i/>
                      <w:iCs/>
                      <w:sz w:val="22"/>
                      <w:szCs w:val="22"/>
                      <w:lang w:val="sr-Latn-ME"/>
                    </w:rPr>
                    <w:t>k</w:t>
                  </w:r>
                  <w:r w:rsidRPr="00C01AF3">
                    <w:rPr>
                      <w:i/>
                      <w:iCs/>
                      <w:sz w:val="22"/>
                      <w:szCs w:val="22"/>
                      <w:lang w:val="sr-Latn-ME"/>
                    </w:rPr>
                    <w:t>losporin</w:t>
                  </w:r>
                </w:p>
              </w:tc>
              <w:tc>
                <w:tcPr>
                  <w:tcW w:w="5410" w:type="dxa"/>
                  <w:tcBorders>
                    <w:top w:val="single" w:sz="4" w:space="0" w:color="auto"/>
                    <w:bottom w:val="single" w:sz="4" w:space="0" w:color="auto"/>
                  </w:tcBorders>
                </w:tcPr>
                <w:p w:rsidR="00431581" w:rsidRPr="00C01AF3" w:rsidRDefault="00D204DF" w:rsidP="00D204DF">
                  <w:pPr>
                    <w:pStyle w:val="Text"/>
                    <w:spacing w:before="0"/>
                    <w:jc w:val="left"/>
                    <w:rPr>
                      <w:sz w:val="22"/>
                      <w:szCs w:val="22"/>
                      <w:lang w:val="sr-Latn-ME" w:bidi="th-TH"/>
                    </w:rPr>
                  </w:pPr>
                  <w:r w:rsidRPr="00C01AF3">
                    <w:rPr>
                      <w:sz w:val="22"/>
                      <w:szCs w:val="22"/>
                      <w:lang w:val="sr-Latn-ME" w:bidi="th-TH"/>
                    </w:rPr>
                    <w:t>Istovremena terapija</w:t>
                  </w:r>
                  <w:r w:rsidR="003F3BE3" w:rsidRPr="00C01AF3">
                    <w:rPr>
                      <w:sz w:val="22"/>
                      <w:szCs w:val="22"/>
                      <w:lang w:val="sr-Latn-ME" w:bidi="th-TH"/>
                    </w:rPr>
                    <w:t xml:space="preserve"> ciklosporinom može povećati rizik od hiperurikemije i komplikacija tipa gihta.</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431581" w:rsidP="003F3BE3">
                  <w:pPr>
                    <w:pStyle w:val="Text"/>
                    <w:spacing w:before="0"/>
                    <w:jc w:val="left"/>
                    <w:rPr>
                      <w:i/>
                      <w:iCs/>
                      <w:sz w:val="22"/>
                      <w:szCs w:val="22"/>
                      <w:lang w:val="sr-Latn-ME"/>
                    </w:rPr>
                  </w:pPr>
                  <w:r w:rsidRPr="00C01AF3">
                    <w:rPr>
                      <w:i/>
                      <w:iCs/>
                      <w:sz w:val="22"/>
                      <w:szCs w:val="22"/>
                      <w:lang w:val="sr-Latn-ME"/>
                    </w:rPr>
                    <w:t>C</w:t>
                  </w:r>
                  <w:r w:rsidR="003F3BE3" w:rsidRPr="00C01AF3">
                    <w:rPr>
                      <w:i/>
                      <w:iCs/>
                      <w:sz w:val="22"/>
                      <w:szCs w:val="22"/>
                      <w:lang w:val="sr-Latn-ME"/>
                    </w:rPr>
                    <w:t>itotoksični lijekovi</w:t>
                  </w:r>
                </w:p>
              </w:tc>
              <w:tc>
                <w:tcPr>
                  <w:tcW w:w="5410" w:type="dxa"/>
                  <w:tcBorders>
                    <w:top w:val="single" w:sz="4" w:space="0" w:color="auto"/>
                    <w:bottom w:val="single" w:sz="4" w:space="0" w:color="auto"/>
                  </w:tcBorders>
                </w:tcPr>
                <w:p w:rsidR="00431581" w:rsidRPr="00C01AF3" w:rsidRDefault="00A03656" w:rsidP="00860532">
                  <w:pPr>
                    <w:jc w:val="left"/>
                    <w:rPr>
                      <w:sz w:val="22"/>
                      <w:szCs w:val="22"/>
                      <w:lang w:val="sr-Latn-ME" w:bidi="th-TH"/>
                    </w:rPr>
                  </w:pPr>
                  <w:r w:rsidRPr="00C01AF3">
                    <w:rPr>
                      <w:rFonts w:ascii="Times New Roman" w:hAnsi="Times New Roman"/>
                      <w:sz w:val="22"/>
                      <w:szCs w:val="22"/>
                      <w:lang w:val="sr-Latn-ME"/>
                    </w:rPr>
                    <w:t xml:space="preserve">Tiazidi, uključujući i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 xml:space="preserve">, mogu smanjiti izlučivanje citotoksičnih </w:t>
                  </w:r>
                  <w:r w:rsidR="00A65414" w:rsidRPr="00C01AF3">
                    <w:rPr>
                      <w:rFonts w:ascii="Times New Roman" w:hAnsi="Times New Roman"/>
                      <w:sz w:val="22"/>
                      <w:szCs w:val="22"/>
                      <w:lang w:val="sr-Latn-ME"/>
                    </w:rPr>
                    <w:t>ljeko</w:t>
                  </w:r>
                  <w:r w:rsidRPr="00C01AF3">
                    <w:rPr>
                      <w:rFonts w:ascii="Times New Roman" w:hAnsi="Times New Roman"/>
                      <w:sz w:val="22"/>
                      <w:szCs w:val="22"/>
                      <w:lang w:val="sr-Latn-ME"/>
                    </w:rPr>
                    <w:t>va (npr. ciklofosfamid, metotreksat)  i pojačati njihove mijelosupresivne efekte.</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150553" w:rsidP="001E4969">
                  <w:pPr>
                    <w:rPr>
                      <w:rFonts w:ascii="Times New Roman" w:hAnsi="Times New Roman"/>
                      <w:sz w:val="22"/>
                      <w:szCs w:val="22"/>
                      <w:u w:val="single"/>
                      <w:lang w:val="sr-Latn-ME"/>
                    </w:rPr>
                  </w:pPr>
                  <w:r w:rsidRPr="00C01AF3">
                    <w:rPr>
                      <w:rFonts w:ascii="Times New Roman" w:hAnsi="Times New Roman"/>
                      <w:i/>
                      <w:iCs/>
                      <w:sz w:val="22"/>
                      <w:szCs w:val="22"/>
                      <w:lang w:val="sr-Latn-ME"/>
                    </w:rPr>
                    <w:t>Glikozidi digitalisa</w:t>
                  </w:r>
                </w:p>
              </w:tc>
              <w:tc>
                <w:tcPr>
                  <w:tcW w:w="5410" w:type="dxa"/>
                  <w:tcBorders>
                    <w:top w:val="single" w:sz="4" w:space="0" w:color="auto"/>
                    <w:bottom w:val="single" w:sz="4" w:space="0" w:color="auto"/>
                  </w:tcBorders>
                </w:tcPr>
                <w:p w:rsidR="00431581" w:rsidRPr="00C01AF3" w:rsidRDefault="00150553" w:rsidP="00860532">
                  <w:pPr>
                    <w:jc w:val="left"/>
                    <w:rPr>
                      <w:rFonts w:ascii="Times New Roman" w:hAnsi="Times New Roman"/>
                      <w:sz w:val="22"/>
                      <w:szCs w:val="22"/>
                      <w:u w:val="single"/>
                      <w:lang w:val="sr-Latn-ME"/>
                    </w:rPr>
                  </w:pPr>
                  <w:r w:rsidRPr="00C01AF3">
                    <w:rPr>
                      <w:rFonts w:ascii="Times New Roman" w:hAnsi="Times New Roman"/>
                      <w:sz w:val="22"/>
                      <w:szCs w:val="22"/>
                      <w:lang w:val="sr-Latn-ME" w:bidi="th-TH"/>
                    </w:rPr>
                    <w:t>Hi</w:t>
                  </w:r>
                  <w:r w:rsidR="00860532" w:rsidRPr="00C01AF3">
                    <w:rPr>
                      <w:rFonts w:ascii="Times New Roman" w:hAnsi="Times New Roman"/>
                      <w:sz w:val="22"/>
                      <w:szCs w:val="22"/>
                      <w:lang w:val="sr-Latn-ME" w:bidi="th-TH"/>
                    </w:rPr>
                    <w:t>pokal</w:t>
                  </w:r>
                  <w:r w:rsidR="00520B5E" w:rsidRPr="00C01AF3">
                    <w:rPr>
                      <w:rFonts w:ascii="Times New Roman" w:hAnsi="Times New Roman"/>
                      <w:sz w:val="22"/>
                      <w:szCs w:val="22"/>
                      <w:lang w:val="sr-Latn-ME" w:bidi="th-TH"/>
                    </w:rPr>
                    <w:t>ij</w:t>
                  </w:r>
                  <w:r w:rsidRPr="00C01AF3">
                    <w:rPr>
                      <w:rFonts w:ascii="Times New Roman" w:hAnsi="Times New Roman"/>
                      <w:sz w:val="22"/>
                      <w:szCs w:val="22"/>
                      <w:lang w:val="sr-Latn-ME" w:bidi="th-TH"/>
                    </w:rPr>
                    <w:t xml:space="preserve">emija indukovana tiazidom ili hipomagnezijemija mogu se pojaviti kao neželjena dejstva koja podstiču </w:t>
                  </w:r>
                  <w:r w:rsidR="00860532" w:rsidRPr="00C01AF3">
                    <w:rPr>
                      <w:rFonts w:ascii="Times New Roman" w:hAnsi="Times New Roman"/>
                      <w:sz w:val="22"/>
                      <w:szCs w:val="22"/>
                      <w:lang w:val="sr-Latn-ME" w:bidi="th-TH"/>
                    </w:rPr>
                    <w:t>nastanak</w:t>
                  </w:r>
                  <w:r w:rsidRPr="00C01AF3">
                    <w:rPr>
                      <w:rFonts w:ascii="Times New Roman" w:hAnsi="Times New Roman"/>
                      <w:sz w:val="22"/>
                      <w:szCs w:val="22"/>
                      <w:lang w:val="sr-Latn-ME" w:bidi="th-TH"/>
                    </w:rPr>
                    <w:t xml:space="preserve"> srčanih aritmija izazvanih digitalisom.</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436791" w:rsidP="001E4969">
                  <w:pPr>
                    <w:pStyle w:val="Text"/>
                    <w:spacing w:before="0"/>
                    <w:jc w:val="left"/>
                    <w:rPr>
                      <w:i/>
                      <w:sz w:val="22"/>
                      <w:szCs w:val="22"/>
                      <w:lang w:val="sr-Latn-ME" w:bidi="th-TH"/>
                    </w:rPr>
                  </w:pPr>
                  <w:r w:rsidRPr="00C01AF3">
                    <w:rPr>
                      <w:i/>
                      <w:sz w:val="22"/>
                      <w:szCs w:val="22"/>
                      <w:lang w:val="sr-Latn-ME" w:bidi="th-TH"/>
                    </w:rPr>
                    <w:t>Jodna kontrastna sredstva</w:t>
                  </w:r>
                </w:p>
              </w:tc>
              <w:tc>
                <w:tcPr>
                  <w:tcW w:w="5410" w:type="dxa"/>
                  <w:tcBorders>
                    <w:top w:val="single" w:sz="4" w:space="0" w:color="auto"/>
                    <w:bottom w:val="single" w:sz="4" w:space="0" w:color="auto"/>
                  </w:tcBorders>
                </w:tcPr>
                <w:p w:rsidR="00431581" w:rsidRPr="00C01AF3" w:rsidRDefault="00436791">
                  <w:pPr>
                    <w:pStyle w:val="Text"/>
                    <w:spacing w:before="0"/>
                    <w:jc w:val="left"/>
                    <w:rPr>
                      <w:sz w:val="22"/>
                      <w:szCs w:val="22"/>
                      <w:lang w:val="sr-Latn-ME" w:bidi="th-TH"/>
                    </w:rPr>
                  </w:pPr>
                  <w:r w:rsidRPr="00C01AF3">
                    <w:rPr>
                      <w:sz w:val="22"/>
                      <w:szCs w:val="22"/>
                      <w:lang w:val="sr-Latn-ME" w:bidi="th-TH"/>
                    </w:rPr>
                    <w:t>U slučaju dehidratacije izazvane diuretikom postoji povećan rizik od akutn</w:t>
                  </w:r>
                  <w:r w:rsidR="00520B5E" w:rsidRPr="00C01AF3">
                    <w:rPr>
                      <w:sz w:val="22"/>
                      <w:szCs w:val="22"/>
                      <w:lang w:val="sr-Latn-ME" w:bidi="th-TH"/>
                    </w:rPr>
                    <w:t xml:space="preserve">e insuficijencije </w:t>
                  </w:r>
                  <w:r w:rsidRPr="00C01AF3">
                    <w:rPr>
                      <w:sz w:val="22"/>
                      <w:szCs w:val="22"/>
                      <w:lang w:val="sr-Latn-ME" w:bidi="th-TH"/>
                    </w:rPr>
                    <w:t xml:space="preserve">bubrega, posebno kod </w:t>
                  </w:r>
                  <w:r w:rsidR="00BD0291" w:rsidRPr="00C01AF3">
                    <w:rPr>
                      <w:sz w:val="22"/>
                      <w:szCs w:val="22"/>
                      <w:lang w:val="sr-Latn-ME" w:bidi="th-TH"/>
                    </w:rPr>
                    <w:t>primje</w:t>
                  </w:r>
                  <w:r w:rsidRPr="00C01AF3">
                    <w:rPr>
                      <w:sz w:val="22"/>
                      <w:szCs w:val="22"/>
                      <w:lang w:val="sr-Latn-ME" w:bidi="th-TH"/>
                    </w:rPr>
                    <w:t xml:space="preserve">ne visokih doza </w:t>
                  </w:r>
                  <w:r w:rsidR="00880447" w:rsidRPr="00C01AF3">
                    <w:rPr>
                      <w:sz w:val="22"/>
                      <w:szCs w:val="22"/>
                      <w:lang w:val="sr-Latn-ME" w:bidi="th-TH"/>
                    </w:rPr>
                    <w:t>sredstava</w:t>
                  </w:r>
                  <w:r w:rsidRPr="00C01AF3">
                    <w:rPr>
                      <w:sz w:val="22"/>
                      <w:szCs w:val="22"/>
                      <w:lang w:val="sr-Latn-ME" w:bidi="th-TH"/>
                    </w:rPr>
                    <w:t xml:space="preserve"> sa jodom. Pacijente je potrebno rehidrirati </w:t>
                  </w:r>
                  <w:r w:rsidR="00CB5993" w:rsidRPr="00C01AF3">
                    <w:rPr>
                      <w:sz w:val="22"/>
                      <w:szCs w:val="22"/>
                      <w:lang w:val="sr-Latn-ME" w:bidi="th-TH"/>
                    </w:rPr>
                    <w:t>prije</w:t>
                  </w:r>
                  <w:r w:rsidRPr="00C01AF3">
                    <w:rPr>
                      <w:sz w:val="22"/>
                      <w:szCs w:val="22"/>
                      <w:lang w:val="sr-Latn-ME" w:bidi="th-TH"/>
                    </w:rPr>
                    <w:t xml:space="preserve"> </w:t>
                  </w:r>
                  <w:r w:rsidR="00BD0291" w:rsidRPr="00C01AF3">
                    <w:rPr>
                      <w:sz w:val="22"/>
                      <w:szCs w:val="22"/>
                      <w:lang w:val="sr-Latn-ME" w:bidi="th-TH"/>
                    </w:rPr>
                    <w:t>primje</w:t>
                  </w:r>
                  <w:r w:rsidRPr="00C01AF3">
                    <w:rPr>
                      <w:sz w:val="22"/>
                      <w:szCs w:val="22"/>
                      <w:lang w:val="sr-Latn-ME" w:bidi="th-TH"/>
                    </w:rPr>
                    <w:t>ne.</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C27135" w:rsidP="00F82379">
                  <w:pPr>
                    <w:pStyle w:val="Text"/>
                    <w:spacing w:before="0"/>
                    <w:jc w:val="left"/>
                    <w:rPr>
                      <w:i/>
                      <w:iCs/>
                      <w:sz w:val="22"/>
                      <w:szCs w:val="22"/>
                      <w:lang w:val="sr-Latn-ME"/>
                    </w:rPr>
                  </w:pPr>
                  <w:r w:rsidRPr="00C01AF3">
                    <w:rPr>
                      <w:i/>
                      <w:iCs/>
                      <w:sz w:val="22"/>
                      <w:szCs w:val="22"/>
                      <w:lang w:val="sr-Latn-ME"/>
                    </w:rPr>
                    <w:t>Smole sa jonskom razm</w:t>
                  </w:r>
                  <w:r w:rsidR="006A1297" w:rsidRPr="00C01AF3">
                    <w:rPr>
                      <w:i/>
                      <w:iCs/>
                      <w:sz w:val="22"/>
                      <w:szCs w:val="22"/>
                      <w:lang w:val="sr-Latn-ME"/>
                    </w:rPr>
                    <w:t>j</w:t>
                  </w:r>
                  <w:r w:rsidR="00F82379" w:rsidRPr="00C01AF3">
                    <w:rPr>
                      <w:i/>
                      <w:iCs/>
                      <w:sz w:val="22"/>
                      <w:szCs w:val="22"/>
                      <w:lang w:val="sr-Latn-ME"/>
                    </w:rPr>
                    <w:t>enom</w:t>
                  </w:r>
                </w:p>
              </w:tc>
              <w:tc>
                <w:tcPr>
                  <w:tcW w:w="5410" w:type="dxa"/>
                  <w:tcBorders>
                    <w:top w:val="single" w:sz="4" w:space="0" w:color="auto"/>
                    <w:bottom w:val="single" w:sz="4" w:space="0" w:color="auto"/>
                  </w:tcBorders>
                </w:tcPr>
                <w:p w:rsidR="00431581" w:rsidRPr="00C01AF3" w:rsidRDefault="00520B5E" w:rsidP="007E756B">
                  <w:pPr>
                    <w:pStyle w:val="Text"/>
                    <w:spacing w:before="0"/>
                    <w:jc w:val="left"/>
                    <w:rPr>
                      <w:sz w:val="22"/>
                      <w:szCs w:val="22"/>
                      <w:lang w:val="sr-Latn-ME" w:bidi="th-TH"/>
                    </w:rPr>
                  </w:pPr>
                  <w:r w:rsidRPr="00C01AF3">
                    <w:rPr>
                      <w:sz w:val="22"/>
                      <w:szCs w:val="22"/>
                      <w:lang w:val="sr-Latn-ME" w:bidi="th-TH"/>
                    </w:rPr>
                    <w:t>Re</w:t>
                  </w:r>
                  <w:r w:rsidR="00F82379" w:rsidRPr="00C01AF3">
                    <w:rPr>
                      <w:sz w:val="22"/>
                      <w:szCs w:val="22"/>
                      <w:lang w:val="sr-Latn-ME" w:bidi="th-TH"/>
                    </w:rPr>
                    <w:t xml:space="preserve">sorpcija tiazidnih diuretika, uključujući i  </w:t>
                  </w:r>
                  <w:r w:rsidR="007C4A86" w:rsidRPr="00C01AF3">
                    <w:rPr>
                      <w:sz w:val="22"/>
                      <w:szCs w:val="22"/>
                      <w:lang w:val="sr-Latn-ME" w:bidi="th-TH"/>
                    </w:rPr>
                    <w:t>hidrohlortiazid</w:t>
                  </w:r>
                  <w:r w:rsidR="00F82379" w:rsidRPr="00C01AF3">
                    <w:rPr>
                      <w:sz w:val="22"/>
                      <w:szCs w:val="22"/>
                      <w:lang w:val="sr-Latn-ME" w:bidi="th-TH"/>
                    </w:rPr>
                    <w:t xml:space="preserve">, je umanjena u prisustvu holestiramina ili holestipola. Ovo može dovesti do smanjenog terapijskog efekta tiazidnih diuretika. Međutim, </w:t>
                  </w:r>
                  <w:r w:rsidR="00644CBB" w:rsidRPr="00C01AF3">
                    <w:rPr>
                      <w:sz w:val="22"/>
                      <w:szCs w:val="22"/>
                      <w:lang w:val="sr-Latn-ME" w:bidi="th-TH"/>
                    </w:rPr>
                    <w:t>promjen</w:t>
                  </w:r>
                  <w:r w:rsidR="00F82379" w:rsidRPr="00C01AF3">
                    <w:rPr>
                      <w:sz w:val="22"/>
                      <w:szCs w:val="22"/>
                      <w:lang w:val="sr-Latn-ME" w:bidi="th-TH"/>
                    </w:rPr>
                    <w:t xml:space="preserve">a u doziranju </w:t>
                  </w:r>
                  <w:r w:rsidR="007C4A86" w:rsidRPr="00C01AF3">
                    <w:rPr>
                      <w:sz w:val="22"/>
                      <w:szCs w:val="22"/>
                      <w:lang w:val="sr-Latn-ME" w:bidi="th-TH"/>
                    </w:rPr>
                    <w:t>hidrohlortiazid</w:t>
                  </w:r>
                  <w:r w:rsidR="00F82379" w:rsidRPr="00C01AF3">
                    <w:rPr>
                      <w:sz w:val="22"/>
                      <w:szCs w:val="22"/>
                      <w:lang w:val="sr-Latn-ME" w:bidi="th-TH"/>
                    </w:rPr>
                    <w:t xml:space="preserve">a i smola tako da se </w:t>
                  </w:r>
                  <w:r w:rsidR="007C4A86" w:rsidRPr="00C01AF3">
                    <w:rPr>
                      <w:sz w:val="22"/>
                      <w:szCs w:val="22"/>
                      <w:lang w:val="sr-Latn-ME" w:bidi="th-TH"/>
                    </w:rPr>
                    <w:t>hidrohlortiazid</w:t>
                  </w:r>
                  <w:r w:rsidR="00F82379" w:rsidRPr="00C01AF3">
                    <w:rPr>
                      <w:sz w:val="22"/>
                      <w:szCs w:val="22"/>
                      <w:lang w:val="sr-Latn-ME" w:bidi="th-TH"/>
                    </w:rPr>
                    <w:t xml:space="preserve"> uzima najmanje 4 sata </w:t>
                  </w:r>
                  <w:r w:rsidR="00CB5993" w:rsidRPr="00C01AF3">
                    <w:rPr>
                      <w:sz w:val="22"/>
                      <w:szCs w:val="22"/>
                      <w:lang w:val="sr-Latn-ME" w:bidi="th-TH"/>
                    </w:rPr>
                    <w:t>prije</w:t>
                  </w:r>
                  <w:r w:rsidR="00F82379" w:rsidRPr="00C01AF3">
                    <w:rPr>
                      <w:sz w:val="22"/>
                      <w:szCs w:val="22"/>
                      <w:lang w:val="sr-Latn-ME" w:bidi="th-TH"/>
                    </w:rPr>
                    <w:t xml:space="preserve"> ili 4-6 sati nakon smola potencijalno bi umanjila interakciju.</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A65414" w:rsidP="001E4969">
                  <w:pPr>
                    <w:pStyle w:val="Text"/>
                    <w:spacing w:before="0"/>
                    <w:jc w:val="left"/>
                    <w:rPr>
                      <w:iCs/>
                      <w:sz w:val="22"/>
                      <w:szCs w:val="22"/>
                      <w:lang w:val="sr-Latn-ME"/>
                    </w:rPr>
                  </w:pPr>
                  <w:r w:rsidRPr="00C01AF3">
                    <w:rPr>
                      <w:i/>
                      <w:iCs/>
                      <w:sz w:val="22"/>
                      <w:szCs w:val="22"/>
                      <w:lang w:val="sr-Latn-ME"/>
                    </w:rPr>
                    <w:t>Ljeko</w:t>
                  </w:r>
                  <w:r w:rsidR="00F51D62" w:rsidRPr="00C01AF3">
                    <w:rPr>
                      <w:i/>
                      <w:iCs/>
                      <w:sz w:val="22"/>
                      <w:szCs w:val="22"/>
                      <w:lang w:val="sr-Latn-ME"/>
                    </w:rPr>
                    <w:t>vi koji utiču na nivo kalijuma u serumu</w:t>
                  </w:r>
                </w:p>
              </w:tc>
              <w:tc>
                <w:tcPr>
                  <w:tcW w:w="5410" w:type="dxa"/>
                  <w:tcBorders>
                    <w:top w:val="single" w:sz="4" w:space="0" w:color="auto"/>
                    <w:bottom w:val="single" w:sz="4" w:space="0" w:color="auto"/>
                  </w:tcBorders>
                </w:tcPr>
                <w:p w:rsidR="00F87347" w:rsidRPr="00C01AF3" w:rsidRDefault="0048654D" w:rsidP="00F87347">
                  <w:pPr>
                    <w:pStyle w:val="Text"/>
                    <w:jc w:val="left"/>
                    <w:rPr>
                      <w:sz w:val="22"/>
                      <w:szCs w:val="22"/>
                      <w:lang w:val="sr-Latn-ME" w:bidi="th-TH"/>
                    </w:rPr>
                  </w:pPr>
                  <w:r w:rsidRPr="00C01AF3">
                    <w:rPr>
                      <w:sz w:val="22"/>
                      <w:szCs w:val="22"/>
                      <w:lang w:val="sr-Latn-ME" w:bidi="th-TH"/>
                    </w:rPr>
                    <w:t>Hipokal</w:t>
                  </w:r>
                  <w:r w:rsidR="00520B5E" w:rsidRPr="00C01AF3">
                    <w:rPr>
                      <w:sz w:val="22"/>
                      <w:szCs w:val="22"/>
                      <w:lang w:val="sr-Latn-ME" w:bidi="th-TH"/>
                    </w:rPr>
                    <w:t>ij</w:t>
                  </w:r>
                  <w:r w:rsidR="00F87347" w:rsidRPr="00C01AF3">
                    <w:rPr>
                      <w:sz w:val="22"/>
                      <w:szCs w:val="22"/>
                      <w:lang w:val="sr-Latn-ME" w:bidi="th-TH"/>
                    </w:rPr>
                    <w:t xml:space="preserve">emijski efekat hidrohrortiazida se može povećati istovremenom </w:t>
                  </w:r>
                  <w:r w:rsidR="00BD0291" w:rsidRPr="00C01AF3">
                    <w:rPr>
                      <w:sz w:val="22"/>
                      <w:szCs w:val="22"/>
                      <w:lang w:val="sr-Latn-ME" w:bidi="th-TH"/>
                    </w:rPr>
                    <w:t>primje</w:t>
                  </w:r>
                  <w:r w:rsidR="00F87347" w:rsidRPr="00C01AF3">
                    <w:rPr>
                      <w:sz w:val="22"/>
                      <w:szCs w:val="22"/>
                      <w:lang w:val="sr-Latn-ME" w:bidi="th-TH"/>
                    </w:rPr>
                    <w:t>nom sa diureticima koji ne štede kalijum, kortikosteroidima, laksativima, ACTH, amfotericinom, karbenoksolonom, penicilinom G, derivatima salicilne kiseline i antiaritmicima.</w:t>
                  </w:r>
                </w:p>
                <w:p w:rsidR="00431581" w:rsidRPr="00C01AF3" w:rsidRDefault="00F87347" w:rsidP="0048654D">
                  <w:pPr>
                    <w:pStyle w:val="Text"/>
                    <w:spacing w:before="0"/>
                    <w:jc w:val="left"/>
                    <w:rPr>
                      <w:sz w:val="22"/>
                      <w:szCs w:val="22"/>
                      <w:lang w:val="sr-Latn-ME" w:bidi="th-TH"/>
                    </w:rPr>
                  </w:pPr>
                  <w:r w:rsidRPr="00C01AF3">
                    <w:rPr>
                      <w:sz w:val="22"/>
                      <w:szCs w:val="22"/>
                      <w:lang w:val="sr-Latn-ME" w:bidi="th-TH"/>
                    </w:rPr>
                    <w:t xml:space="preserve">Ukoliko se ovi </w:t>
                  </w:r>
                  <w:r w:rsidR="00A65414" w:rsidRPr="00C01AF3">
                    <w:rPr>
                      <w:sz w:val="22"/>
                      <w:szCs w:val="22"/>
                      <w:lang w:val="sr-Latn-ME" w:bidi="th-TH"/>
                    </w:rPr>
                    <w:t>ljeko</w:t>
                  </w:r>
                  <w:r w:rsidRPr="00C01AF3">
                    <w:rPr>
                      <w:sz w:val="22"/>
                      <w:szCs w:val="22"/>
                      <w:lang w:val="sr-Latn-ME" w:bidi="th-TH"/>
                    </w:rPr>
                    <w:t xml:space="preserve">vi propisuju  sa  kombinacijom </w:t>
                  </w:r>
                  <w:r w:rsidR="0048654D" w:rsidRPr="00C01AF3">
                    <w:rPr>
                      <w:sz w:val="22"/>
                      <w:szCs w:val="22"/>
                      <w:lang w:val="sr-Latn-ME" w:bidi="th-TH"/>
                    </w:rPr>
                    <w:t>amlodipin</w:t>
                  </w:r>
                  <w:r w:rsidRPr="00C01AF3">
                    <w:rPr>
                      <w:sz w:val="22"/>
                      <w:szCs w:val="22"/>
                      <w:lang w:val="sr-Latn-ME" w:bidi="th-TH"/>
                    </w:rPr>
                    <w:t>/valsartan/</w:t>
                  </w:r>
                  <w:r w:rsidR="007C4A86" w:rsidRPr="00C01AF3">
                    <w:rPr>
                      <w:sz w:val="22"/>
                      <w:szCs w:val="22"/>
                      <w:lang w:val="sr-Latn-ME" w:bidi="th-TH"/>
                    </w:rPr>
                    <w:t>hidrohlortiazid</w:t>
                  </w:r>
                  <w:r w:rsidRPr="00C01AF3">
                    <w:rPr>
                      <w:sz w:val="22"/>
                      <w:szCs w:val="22"/>
                      <w:lang w:val="sr-Latn-ME" w:bidi="th-TH"/>
                    </w:rPr>
                    <w:t>, preporučuje se praćenje nivoa kalijuma u plazmi (</w:t>
                  </w:r>
                  <w:r w:rsidR="00BD0291" w:rsidRPr="00C01AF3">
                    <w:rPr>
                      <w:sz w:val="22"/>
                      <w:szCs w:val="22"/>
                      <w:lang w:val="sr-Latn-ME" w:bidi="th-TH"/>
                    </w:rPr>
                    <w:t>vidjet</w:t>
                  </w:r>
                  <w:r w:rsidRPr="00C01AF3">
                    <w:rPr>
                      <w:sz w:val="22"/>
                      <w:szCs w:val="22"/>
                      <w:lang w:val="sr-Latn-ME" w:bidi="th-TH"/>
                    </w:rPr>
                    <w:t xml:space="preserve">i </w:t>
                  </w:r>
                  <w:r w:rsidR="00BD0291" w:rsidRPr="00C01AF3">
                    <w:rPr>
                      <w:sz w:val="22"/>
                      <w:szCs w:val="22"/>
                      <w:lang w:val="sr-Latn-ME" w:bidi="th-TH"/>
                    </w:rPr>
                    <w:t>odjelj</w:t>
                  </w:r>
                  <w:r w:rsidRPr="00C01AF3">
                    <w:rPr>
                      <w:sz w:val="22"/>
                      <w:szCs w:val="22"/>
                      <w:lang w:val="sr-Latn-ME" w:bidi="th-TH"/>
                    </w:rPr>
                    <w:t>ak 4.4).</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A65414" w:rsidP="00952158">
                  <w:pPr>
                    <w:pStyle w:val="Text"/>
                    <w:spacing w:before="0"/>
                    <w:jc w:val="left"/>
                    <w:rPr>
                      <w:i/>
                      <w:sz w:val="22"/>
                      <w:szCs w:val="22"/>
                      <w:lang w:val="sr-Latn-ME" w:bidi="th-TH"/>
                    </w:rPr>
                  </w:pPr>
                  <w:r w:rsidRPr="00C01AF3">
                    <w:rPr>
                      <w:i/>
                      <w:color w:val="000000"/>
                      <w:sz w:val="22"/>
                      <w:szCs w:val="22"/>
                      <w:lang w:val="sr-Latn-ME"/>
                    </w:rPr>
                    <w:t>Ljeko</w:t>
                  </w:r>
                  <w:r w:rsidR="00F51D62" w:rsidRPr="00C01AF3">
                    <w:rPr>
                      <w:i/>
                      <w:color w:val="000000"/>
                      <w:sz w:val="22"/>
                      <w:szCs w:val="22"/>
                      <w:lang w:val="sr-Latn-ME"/>
                    </w:rPr>
                    <w:t>vi koji utiču na nivo natrijuma u serumu</w:t>
                  </w:r>
                </w:p>
              </w:tc>
              <w:tc>
                <w:tcPr>
                  <w:tcW w:w="5410" w:type="dxa"/>
                  <w:tcBorders>
                    <w:top w:val="single" w:sz="4" w:space="0" w:color="auto"/>
                    <w:bottom w:val="single" w:sz="4" w:space="0" w:color="auto"/>
                  </w:tcBorders>
                </w:tcPr>
                <w:p w:rsidR="00431581" w:rsidRPr="00C01AF3" w:rsidRDefault="003C3391" w:rsidP="001E4969">
                  <w:pPr>
                    <w:pStyle w:val="Text"/>
                    <w:spacing w:before="0"/>
                    <w:jc w:val="left"/>
                    <w:rPr>
                      <w:sz w:val="22"/>
                      <w:szCs w:val="22"/>
                      <w:lang w:val="sr-Latn-ME" w:bidi="th-TH"/>
                    </w:rPr>
                  </w:pPr>
                  <w:r w:rsidRPr="00C01AF3">
                    <w:rPr>
                      <w:color w:val="000000"/>
                      <w:sz w:val="22"/>
                      <w:szCs w:val="22"/>
                      <w:lang w:val="sr-Latn-ME"/>
                    </w:rPr>
                    <w:t>Hiponatr</w:t>
                  </w:r>
                  <w:r w:rsidR="00F51D62" w:rsidRPr="00C01AF3">
                    <w:rPr>
                      <w:color w:val="000000"/>
                      <w:sz w:val="22"/>
                      <w:szCs w:val="22"/>
                      <w:lang w:val="sr-Latn-ME"/>
                    </w:rPr>
                    <w:t xml:space="preserve">emijski efekat diuretika može biti povećan istovremenom </w:t>
                  </w:r>
                  <w:r w:rsidR="00BD0291" w:rsidRPr="00C01AF3">
                    <w:rPr>
                      <w:color w:val="000000"/>
                      <w:sz w:val="22"/>
                      <w:szCs w:val="22"/>
                      <w:lang w:val="sr-Latn-ME"/>
                    </w:rPr>
                    <w:t>primje</w:t>
                  </w:r>
                  <w:r w:rsidR="0015286F" w:rsidRPr="00C01AF3">
                    <w:rPr>
                      <w:color w:val="000000"/>
                      <w:sz w:val="22"/>
                      <w:szCs w:val="22"/>
                      <w:lang w:val="sr-Latn-ME"/>
                    </w:rPr>
                    <w:t xml:space="preserve">nom sa </w:t>
                  </w:r>
                  <w:r w:rsidR="00A65414" w:rsidRPr="00C01AF3">
                    <w:rPr>
                      <w:color w:val="000000"/>
                      <w:sz w:val="22"/>
                      <w:szCs w:val="22"/>
                      <w:lang w:val="sr-Latn-ME"/>
                    </w:rPr>
                    <w:t>ljeko</w:t>
                  </w:r>
                  <w:r w:rsidR="00F51D62" w:rsidRPr="00C01AF3">
                    <w:rPr>
                      <w:color w:val="000000"/>
                      <w:sz w:val="22"/>
                      <w:szCs w:val="22"/>
                      <w:lang w:val="sr-Latn-ME"/>
                    </w:rPr>
                    <w:t xml:space="preserve">vima kao što su antidepresivi, antipsihotici, antiepileptici, itd. </w:t>
                  </w:r>
                  <w:r w:rsidR="00E701F3" w:rsidRPr="00C01AF3">
                    <w:rPr>
                      <w:color w:val="000000"/>
                      <w:sz w:val="22"/>
                      <w:szCs w:val="22"/>
                      <w:lang w:val="sr-Latn-ME"/>
                    </w:rPr>
                    <w:t>Savjet</w:t>
                  </w:r>
                  <w:r w:rsidR="00F51D62" w:rsidRPr="00C01AF3">
                    <w:rPr>
                      <w:color w:val="000000"/>
                      <w:sz w:val="22"/>
                      <w:szCs w:val="22"/>
                      <w:lang w:val="sr-Latn-ME"/>
                    </w:rPr>
                    <w:t>uj</w:t>
                  </w:r>
                  <w:r w:rsidR="0015286F" w:rsidRPr="00C01AF3">
                    <w:rPr>
                      <w:color w:val="000000"/>
                      <w:sz w:val="22"/>
                      <w:szCs w:val="22"/>
                      <w:lang w:val="sr-Latn-ME"/>
                    </w:rPr>
                    <w:t xml:space="preserve">e se oprez pri dugotrajnoj </w:t>
                  </w:r>
                  <w:r w:rsidR="00BD0291" w:rsidRPr="00C01AF3">
                    <w:rPr>
                      <w:color w:val="000000"/>
                      <w:sz w:val="22"/>
                      <w:szCs w:val="22"/>
                      <w:lang w:val="sr-Latn-ME"/>
                    </w:rPr>
                    <w:t>primje</w:t>
                  </w:r>
                  <w:r w:rsidR="00F51D62" w:rsidRPr="00C01AF3">
                    <w:rPr>
                      <w:color w:val="000000"/>
                      <w:sz w:val="22"/>
                      <w:szCs w:val="22"/>
                      <w:lang w:val="sr-Latn-ME"/>
                    </w:rPr>
                    <w:t xml:space="preserve">ni ovih </w:t>
                  </w:r>
                  <w:r w:rsidR="00A65414" w:rsidRPr="00C01AF3">
                    <w:rPr>
                      <w:color w:val="000000"/>
                      <w:sz w:val="22"/>
                      <w:szCs w:val="22"/>
                      <w:lang w:val="sr-Latn-ME"/>
                    </w:rPr>
                    <w:t>ljeko</w:t>
                  </w:r>
                  <w:r w:rsidR="00F51D62" w:rsidRPr="00C01AF3">
                    <w:rPr>
                      <w:color w:val="000000"/>
                      <w:sz w:val="22"/>
                      <w:szCs w:val="22"/>
                      <w:lang w:val="sr-Latn-ME"/>
                    </w:rPr>
                    <w:t>va.</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A65414" w:rsidP="0015286F">
                  <w:pPr>
                    <w:pStyle w:val="Text"/>
                    <w:spacing w:before="0"/>
                    <w:jc w:val="left"/>
                    <w:rPr>
                      <w:i/>
                      <w:sz w:val="22"/>
                      <w:szCs w:val="22"/>
                      <w:lang w:val="sr-Latn-ME" w:bidi="th-TH"/>
                    </w:rPr>
                  </w:pPr>
                  <w:r w:rsidRPr="00C01AF3">
                    <w:rPr>
                      <w:i/>
                      <w:sz w:val="22"/>
                      <w:szCs w:val="22"/>
                      <w:lang w:val="sr-Latn-ME" w:bidi="th-TH"/>
                    </w:rPr>
                    <w:t>Ljeko</w:t>
                  </w:r>
                  <w:r w:rsidR="001C1AAC" w:rsidRPr="00C01AF3">
                    <w:rPr>
                      <w:i/>
                      <w:sz w:val="22"/>
                      <w:szCs w:val="22"/>
                      <w:lang w:val="sr-Latn-ME" w:bidi="th-TH"/>
                    </w:rPr>
                    <w:t>vi koji mogu izazvati „torsade de pointes„</w:t>
                  </w:r>
                </w:p>
              </w:tc>
              <w:tc>
                <w:tcPr>
                  <w:tcW w:w="5410" w:type="dxa"/>
                  <w:tcBorders>
                    <w:top w:val="single" w:sz="4" w:space="0" w:color="auto"/>
                    <w:bottom w:val="single" w:sz="4" w:space="0" w:color="auto"/>
                  </w:tcBorders>
                </w:tcPr>
                <w:p w:rsidR="00431581" w:rsidRPr="00C01AF3" w:rsidRDefault="006A52E3" w:rsidP="006A52E3">
                  <w:pPr>
                    <w:pStyle w:val="Text"/>
                    <w:spacing w:before="0"/>
                    <w:jc w:val="left"/>
                    <w:rPr>
                      <w:sz w:val="22"/>
                      <w:szCs w:val="22"/>
                      <w:lang w:val="sr-Latn-ME" w:bidi="th-TH"/>
                    </w:rPr>
                  </w:pPr>
                  <w:r w:rsidRPr="00C01AF3">
                    <w:rPr>
                      <w:sz w:val="22"/>
                      <w:szCs w:val="22"/>
                      <w:lang w:val="sr-Latn-ME"/>
                    </w:rPr>
                    <w:t>Zbog rizika od hipokal</w:t>
                  </w:r>
                  <w:r w:rsidR="00520B5E" w:rsidRPr="00C01AF3">
                    <w:rPr>
                      <w:sz w:val="22"/>
                      <w:szCs w:val="22"/>
                      <w:lang w:val="sr-Latn-ME"/>
                    </w:rPr>
                    <w:t>ij</w:t>
                  </w:r>
                  <w:r w:rsidR="001C1AAC" w:rsidRPr="00C01AF3">
                    <w:rPr>
                      <w:sz w:val="22"/>
                      <w:szCs w:val="22"/>
                      <w:lang w:val="sr-Latn-ME"/>
                    </w:rPr>
                    <w:t xml:space="preserve">emije, </w:t>
                  </w:r>
                  <w:r w:rsidR="007C4A86" w:rsidRPr="00C01AF3">
                    <w:rPr>
                      <w:sz w:val="22"/>
                      <w:szCs w:val="22"/>
                      <w:lang w:val="sr-Latn-ME"/>
                    </w:rPr>
                    <w:t>hidrohlortiazid</w:t>
                  </w:r>
                  <w:r w:rsidR="001C1AAC" w:rsidRPr="00C01AF3">
                    <w:rPr>
                      <w:sz w:val="22"/>
                      <w:szCs w:val="22"/>
                      <w:lang w:val="sr-Latn-ME"/>
                    </w:rPr>
                    <w:t xml:space="preserve"> treba oprezno </w:t>
                  </w:r>
                  <w:r w:rsidR="00BD0291" w:rsidRPr="00C01AF3">
                    <w:rPr>
                      <w:sz w:val="22"/>
                      <w:szCs w:val="22"/>
                      <w:lang w:val="sr-Latn-ME"/>
                    </w:rPr>
                    <w:t>primje</w:t>
                  </w:r>
                  <w:r w:rsidR="001C1AAC" w:rsidRPr="00C01AF3">
                    <w:rPr>
                      <w:sz w:val="22"/>
                      <w:szCs w:val="22"/>
                      <w:lang w:val="sr-Latn-ME"/>
                    </w:rPr>
                    <w:t xml:space="preserve">njivati sa </w:t>
                  </w:r>
                  <w:r w:rsidR="00A65414" w:rsidRPr="00C01AF3">
                    <w:rPr>
                      <w:sz w:val="22"/>
                      <w:szCs w:val="22"/>
                      <w:lang w:val="sr-Latn-ME"/>
                    </w:rPr>
                    <w:t>ljeko</w:t>
                  </w:r>
                  <w:r w:rsidR="001C1AAC" w:rsidRPr="00C01AF3">
                    <w:rPr>
                      <w:sz w:val="22"/>
                      <w:szCs w:val="22"/>
                      <w:lang w:val="sr-Latn-ME"/>
                    </w:rPr>
                    <w:t>vima koji mogu izazvati „torsade de pointes“, naročito antiaritmici klase Ia i klase III i neki</w:t>
                  </w:r>
                  <w:r w:rsidR="00520B5E" w:rsidRPr="00C01AF3">
                    <w:rPr>
                      <w:sz w:val="22"/>
                      <w:szCs w:val="22"/>
                      <w:lang w:val="sr-Latn-ME"/>
                    </w:rPr>
                    <w:t>m</w:t>
                  </w:r>
                  <w:r w:rsidR="001C1AAC" w:rsidRPr="00C01AF3">
                    <w:rPr>
                      <w:sz w:val="22"/>
                      <w:szCs w:val="22"/>
                      <w:lang w:val="sr-Latn-ME"/>
                    </w:rPr>
                    <w:t xml:space="preserve"> antipsihotici</w:t>
                  </w:r>
                  <w:r w:rsidR="00520B5E" w:rsidRPr="00C01AF3">
                    <w:rPr>
                      <w:sz w:val="22"/>
                      <w:szCs w:val="22"/>
                      <w:lang w:val="sr-Latn-ME"/>
                    </w:rPr>
                    <w:t>ma</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A65414" w:rsidP="00052A33">
                  <w:pPr>
                    <w:pStyle w:val="Text"/>
                    <w:spacing w:before="0"/>
                    <w:jc w:val="left"/>
                    <w:rPr>
                      <w:i/>
                      <w:iCs/>
                      <w:sz w:val="22"/>
                      <w:szCs w:val="22"/>
                      <w:lang w:val="sr-Latn-ME"/>
                    </w:rPr>
                  </w:pPr>
                  <w:r w:rsidRPr="00C01AF3">
                    <w:rPr>
                      <w:i/>
                      <w:sz w:val="22"/>
                      <w:szCs w:val="22"/>
                      <w:lang w:val="sr-Latn-ME" w:bidi="th-TH"/>
                    </w:rPr>
                    <w:t>Ljeko</w:t>
                  </w:r>
                  <w:r w:rsidR="001C1AAC" w:rsidRPr="00C01AF3">
                    <w:rPr>
                      <w:i/>
                      <w:sz w:val="22"/>
                      <w:szCs w:val="22"/>
                      <w:lang w:val="sr-Latn-ME" w:bidi="th-TH"/>
                    </w:rPr>
                    <w:t xml:space="preserve">vi koji se koriste za </w:t>
                  </w:r>
                  <w:r w:rsidR="00052A33" w:rsidRPr="00C01AF3">
                    <w:rPr>
                      <w:i/>
                      <w:sz w:val="22"/>
                      <w:szCs w:val="22"/>
                      <w:lang w:val="sr-Latn-ME" w:bidi="th-TH"/>
                    </w:rPr>
                    <w:t>terapiju</w:t>
                  </w:r>
                  <w:r w:rsidR="001C1AAC" w:rsidRPr="00C01AF3">
                    <w:rPr>
                      <w:i/>
                      <w:sz w:val="22"/>
                      <w:szCs w:val="22"/>
                      <w:lang w:val="sr-Latn-ME" w:bidi="th-TH"/>
                    </w:rPr>
                    <w:t xml:space="preserve"> gihta (probenecid, sulfinpirazon i alopurinol) </w:t>
                  </w:r>
                </w:p>
              </w:tc>
              <w:tc>
                <w:tcPr>
                  <w:tcW w:w="5410" w:type="dxa"/>
                  <w:tcBorders>
                    <w:top w:val="single" w:sz="4" w:space="0" w:color="auto"/>
                    <w:bottom w:val="single" w:sz="4" w:space="0" w:color="auto"/>
                  </w:tcBorders>
                </w:tcPr>
                <w:p w:rsidR="001C1AAC" w:rsidRPr="00C01AF3" w:rsidRDefault="001C1AAC" w:rsidP="001C1AAC">
                  <w:pPr>
                    <w:pStyle w:val="Text"/>
                    <w:jc w:val="left"/>
                    <w:rPr>
                      <w:sz w:val="22"/>
                      <w:szCs w:val="22"/>
                      <w:lang w:val="sr-Latn-ME" w:bidi="th-TH"/>
                    </w:rPr>
                  </w:pPr>
                  <w:r w:rsidRPr="00C01AF3">
                    <w:rPr>
                      <w:sz w:val="22"/>
                      <w:szCs w:val="22"/>
                      <w:lang w:val="sr-Latn-ME" w:bidi="th-TH"/>
                    </w:rPr>
                    <w:t xml:space="preserve">Može biti potrebno prilagođavanje doze urikozurika obzirom da </w:t>
                  </w:r>
                  <w:r w:rsidR="007C4A86" w:rsidRPr="00C01AF3">
                    <w:rPr>
                      <w:sz w:val="22"/>
                      <w:szCs w:val="22"/>
                      <w:lang w:val="sr-Latn-ME" w:bidi="th-TH"/>
                    </w:rPr>
                    <w:t>hidrohlortiazid</w:t>
                  </w:r>
                  <w:r w:rsidRPr="00C01AF3">
                    <w:rPr>
                      <w:sz w:val="22"/>
                      <w:szCs w:val="22"/>
                      <w:lang w:val="sr-Latn-ME" w:bidi="th-TH"/>
                    </w:rPr>
                    <w:t xml:space="preserve"> može povećati nivo mokraćne kiseline u serumu. Može biti potrebno povećanje doze probenecida ili sulfinpirazona.</w:t>
                  </w:r>
                </w:p>
                <w:p w:rsidR="00431581" w:rsidRPr="00C01AF3" w:rsidRDefault="001C1AAC" w:rsidP="001C1AAC">
                  <w:pPr>
                    <w:pStyle w:val="Text"/>
                    <w:spacing w:before="0"/>
                    <w:jc w:val="left"/>
                    <w:rPr>
                      <w:sz w:val="22"/>
                      <w:szCs w:val="22"/>
                      <w:lang w:val="sr-Latn-ME" w:bidi="th-TH"/>
                    </w:rPr>
                  </w:pPr>
                  <w:r w:rsidRPr="00C01AF3">
                    <w:rPr>
                      <w:sz w:val="22"/>
                      <w:szCs w:val="22"/>
                      <w:lang w:val="sr-Latn-ME" w:bidi="th-TH"/>
                    </w:rPr>
                    <w:t xml:space="preserve">Istovremena </w:t>
                  </w:r>
                  <w:r w:rsidR="00BD0291" w:rsidRPr="00C01AF3">
                    <w:rPr>
                      <w:sz w:val="22"/>
                      <w:szCs w:val="22"/>
                      <w:lang w:val="sr-Latn-ME" w:bidi="th-TH"/>
                    </w:rPr>
                    <w:t>primje</w:t>
                  </w:r>
                  <w:r w:rsidRPr="00C01AF3">
                    <w:rPr>
                      <w:sz w:val="22"/>
                      <w:szCs w:val="22"/>
                      <w:lang w:val="sr-Latn-ME" w:bidi="th-TH"/>
                    </w:rPr>
                    <w:t xml:space="preserve">na sa tiazidnim diureticima, uključujući i </w:t>
                  </w:r>
                  <w:r w:rsidR="007C4A86" w:rsidRPr="00C01AF3">
                    <w:rPr>
                      <w:sz w:val="22"/>
                      <w:szCs w:val="22"/>
                      <w:lang w:val="sr-Latn-ME" w:bidi="th-TH"/>
                    </w:rPr>
                    <w:t>hidrohlortiazid</w:t>
                  </w:r>
                  <w:r w:rsidRPr="00C01AF3">
                    <w:rPr>
                      <w:sz w:val="22"/>
                      <w:szCs w:val="22"/>
                      <w:lang w:val="sr-Latn-ME" w:bidi="th-TH"/>
                    </w:rPr>
                    <w:t>, može povećati učestalost reakcija pre</w:t>
                  </w:r>
                  <w:r w:rsidR="00FD7F8C" w:rsidRPr="00C01AF3">
                    <w:rPr>
                      <w:sz w:val="22"/>
                      <w:szCs w:val="22"/>
                      <w:lang w:val="sr-Latn-ME" w:bidi="th-TH"/>
                    </w:rPr>
                    <w:t>osjet</w:t>
                  </w:r>
                  <w:r w:rsidRPr="00C01AF3">
                    <w:rPr>
                      <w:sz w:val="22"/>
                      <w:szCs w:val="22"/>
                      <w:lang w:val="sr-Latn-ME" w:bidi="th-TH"/>
                    </w:rPr>
                    <w:t>ljivosti na alopurinol.</w:t>
                  </w:r>
                </w:p>
              </w:tc>
            </w:tr>
            <w:tr w:rsidR="00431581" w:rsidRPr="00C01AF3" w:rsidTr="001312E4">
              <w:trPr>
                <w:trHeight w:val="63"/>
              </w:trPr>
              <w:tc>
                <w:tcPr>
                  <w:tcW w:w="1701" w:type="dxa"/>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8D3C7D" w:rsidP="008D3C7D">
                  <w:pPr>
                    <w:pStyle w:val="Text"/>
                    <w:spacing w:before="0"/>
                    <w:jc w:val="left"/>
                    <w:rPr>
                      <w:i/>
                      <w:iCs/>
                      <w:sz w:val="22"/>
                      <w:szCs w:val="22"/>
                      <w:lang w:val="sr-Latn-ME"/>
                    </w:rPr>
                  </w:pPr>
                  <w:r w:rsidRPr="00C01AF3">
                    <w:rPr>
                      <w:i/>
                      <w:iCs/>
                      <w:sz w:val="22"/>
                      <w:szCs w:val="22"/>
                      <w:lang w:val="sr-Latn-ME"/>
                    </w:rPr>
                    <w:t>Meti</w:t>
                  </w:r>
                  <w:r w:rsidR="00431581" w:rsidRPr="00C01AF3">
                    <w:rPr>
                      <w:i/>
                      <w:iCs/>
                      <w:sz w:val="22"/>
                      <w:szCs w:val="22"/>
                      <w:lang w:val="sr-Latn-ME"/>
                    </w:rPr>
                    <w:t>ldopa</w:t>
                  </w:r>
                </w:p>
              </w:tc>
              <w:tc>
                <w:tcPr>
                  <w:tcW w:w="5410" w:type="dxa"/>
                  <w:tcBorders>
                    <w:top w:val="single" w:sz="4" w:space="0" w:color="auto"/>
                    <w:bottom w:val="single" w:sz="4" w:space="0" w:color="auto"/>
                  </w:tcBorders>
                </w:tcPr>
                <w:p w:rsidR="00431581" w:rsidRPr="00C01AF3" w:rsidRDefault="008523AF" w:rsidP="008523AF">
                  <w:pPr>
                    <w:pStyle w:val="Text"/>
                    <w:spacing w:before="0"/>
                    <w:jc w:val="left"/>
                    <w:rPr>
                      <w:sz w:val="22"/>
                      <w:szCs w:val="22"/>
                      <w:lang w:val="sr-Latn-ME"/>
                    </w:rPr>
                  </w:pPr>
                  <w:r w:rsidRPr="00C01AF3">
                    <w:rPr>
                      <w:sz w:val="22"/>
                      <w:szCs w:val="22"/>
                      <w:lang w:val="sr-Latn-ME" w:bidi="th-TH"/>
                    </w:rPr>
                    <w:t xml:space="preserve">Postoje izolovani izveštaji o hemolitičkoj anemiji, nastaloj kod istovremene </w:t>
                  </w:r>
                  <w:r w:rsidR="00BD0291" w:rsidRPr="00C01AF3">
                    <w:rPr>
                      <w:sz w:val="22"/>
                      <w:szCs w:val="22"/>
                      <w:lang w:val="sr-Latn-ME" w:bidi="th-TH"/>
                    </w:rPr>
                    <w:t>primje</w:t>
                  </w:r>
                  <w:r w:rsidRPr="00C01AF3">
                    <w:rPr>
                      <w:sz w:val="22"/>
                      <w:szCs w:val="22"/>
                      <w:lang w:val="sr-Latn-ME" w:bidi="th-TH"/>
                    </w:rPr>
                    <w:t xml:space="preserve">ne </w:t>
                  </w:r>
                  <w:r w:rsidR="007C4A86" w:rsidRPr="00C01AF3">
                    <w:rPr>
                      <w:sz w:val="22"/>
                      <w:szCs w:val="22"/>
                      <w:lang w:val="sr-Latn-ME" w:bidi="th-TH"/>
                    </w:rPr>
                    <w:t>hidrohlortiazid</w:t>
                  </w:r>
                  <w:r w:rsidRPr="00C01AF3">
                    <w:rPr>
                      <w:sz w:val="22"/>
                      <w:szCs w:val="22"/>
                      <w:lang w:val="sr-Latn-ME" w:bidi="th-TH"/>
                    </w:rPr>
                    <w:t>a i metildope.</w:t>
                  </w:r>
                </w:p>
              </w:tc>
            </w:tr>
            <w:tr w:rsidR="00431581" w:rsidRPr="00C01AF3" w:rsidTr="001312E4">
              <w:trPr>
                <w:cantSplit/>
                <w:trHeight w:val="63"/>
              </w:trPr>
              <w:tc>
                <w:tcPr>
                  <w:tcW w:w="1701" w:type="dxa"/>
                  <w:vMerge w:val="restart"/>
                  <w:tcBorders>
                    <w:bottom w:val="single" w:sz="8" w:space="0" w:color="auto"/>
                  </w:tcBorders>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bottom w:val="single" w:sz="4" w:space="0" w:color="auto"/>
                  </w:tcBorders>
                </w:tcPr>
                <w:p w:rsidR="00431581" w:rsidRPr="00C01AF3" w:rsidRDefault="008523AF" w:rsidP="001E4969">
                  <w:pPr>
                    <w:pStyle w:val="Text"/>
                    <w:spacing w:before="0"/>
                    <w:jc w:val="left"/>
                    <w:rPr>
                      <w:i/>
                      <w:iCs/>
                      <w:sz w:val="22"/>
                      <w:szCs w:val="22"/>
                      <w:lang w:val="sr-Latn-ME"/>
                    </w:rPr>
                  </w:pPr>
                  <w:r w:rsidRPr="00C01AF3">
                    <w:rPr>
                      <w:i/>
                      <w:iCs/>
                      <w:sz w:val="22"/>
                      <w:szCs w:val="22"/>
                      <w:lang w:val="sr-Latn-ME"/>
                    </w:rPr>
                    <w:t>Nedepolarizujući mišićni relaksansi (npr. tubokurarin)</w:t>
                  </w:r>
                </w:p>
              </w:tc>
              <w:tc>
                <w:tcPr>
                  <w:tcW w:w="5410" w:type="dxa"/>
                  <w:tcBorders>
                    <w:top w:val="single" w:sz="4" w:space="0" w:color="auto"/>
                    <w:left w:val="nil"/>
                    <w:bottom w:val="single" w:sz="4" w:space="0" w:color="auto"/>
                  </w:tcBorders>
                </w:tcPr>
                <w:p w:rsidR="00431581" w:rsidRPr="00C01AF3" w:rsidRDefault="008523AF" w:rsidP="00F1764B">
                  <w:pPr>
                    <w:pStyle w:val="Text"/>
                    <w:spacing w:before="0"/>
                    <w:jc w:val="left"/>
                    <w:rPr>
                      <w:sz w:val="22"/>
                      <w:szCs w:val="22"/>
                      <w:lang w:val="sr-Latn-ME" w:bidi="th-TH"/>
                    </w:rPr>
                  </w:pPr>
                  <w:r w:rsidRPr="00C01AF3">
                    <w:rPr>
                      <w:sz w:val="22"/>
                      <w:szCs w:val="22"/>
                      <w:lang w:val="sr-Latn-ME" w:bidi="th-TH"/>
                    </w:rPr>
                    <w:t xml:space="preserve">Tiazidi, uključujući i </w:t>
                  </w:r>
                  <w:r w:rsidR="007C4A86" w:rsidRPr="00C01AF3">
                    <w:rPr>
                      <w:sz w:val="22"/>
                      <w:szCs w:val="22"/>
                      <w:lang w:val="sr-Latn-ME" w:bidi="th-TH"/>
                    </w:rPr>
                    <w:t>hidrohlortiazid</w:t>
                  </w:r>
                  <w:r w:rsidRPr="00C01AF3">
                    <w:rPr>
                      <w:sz w:val="22"/>
                      <w:szCs w:val="22"/>
                      <w:lang w:val="sr-Latn-ME" w:bidi="th-TH"/>
                    </w:rPr>
                    <w:t>, pojačavaju dejstvo mišićnih relaksanasa kao što su derivati ku</w:t>
                  </w:r>
                  <w:r w:rsidR="00F1764B" w:rsidRPr="00C01AF3">
                    <w:rPr>
                      <w:sz w:val="22"/>
                      <w:szCs w:val="22"/>
                      <w:lang w:val="sr-Latn-ME" w:bidi="th-TH"/>
                    </w:rPr>
                    <w:t>rarea</w:t>
                  </w:r>
                  <w:r w:rsidRPr="00C01AF3">
                    <w:rPr>
                      <w:sz w:val="22"/>
                      <w:szCs w:val="22"/>
                      <w:lang w:val="sr-Latn-ME" w:bidi="th-TH"/>
                    </w:rPr>
                    <w:t>.</w:t>
                  </w:r>
                </w:p>
              </w:tc>
            </w:tr>
            <w:tr w:rsidR="00431581" w:rsidRPr="00C01AF3" w:rsidTr="001312E4">
              <w:trPr>
                <w:cantSplit/>
                <w:trHeight w:val="42"/>
              </w:trPr>
              <w:tc>
                <w:tcPr>
                  <w:tcW w:w="1701" w:type="dxa"/>
                  <w:vMerge/>
                  <w:tcBorders>
                    <w:top w:val="single" w:sz="8" w:space="0" w:color="auto"/>
                    <w:bottom w:val="single" w:sz="8" w:space="0" w:color="auto"/>
                  </w:tcBorders>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left w:val="nil"/>
                    <w:bottom w:val="single" w:sz="4" w:space="0" w:color="auto"/>
                  </w:tcBorders>
                </w:tcPr>
                <w:p w:rsidR="00431581" w:rsidRPr="00C01AF3" w:rsidRDefault="001906DA" w:rsidP="001E4969">
                  <w:pPr>
                    <w:rPr>
                      <w:rFonts w:ascii="Times New Roman" w:hAnsi="Times New Roman"/>
                      <w:i/>
                      <w:sz w:val="22"/>
                      <w:szCs w:val="22"/>
                      <w:lang w:val="sr-Latn-ME"/>
                    </w:rPr>
                  </w:pPr>
                  <w:r w:rsidRPr="00C01AF3">
                    <w:rPr>
                      <w:rFonts w:ascii="Times New Roman" w:hAnsi="Times New Roman"/>
                      <w:i/>
                      <w:sz w:val="22"/>
                      <w:szCs w:val="22"/>
                      <w:lang w:val="sr-Latn-ME"/>
                    </w:rPr>
                    <w:t xml:space="preserve">Drugi antihipertenzivni </w:t>
                  </w:r>
                  <w:r w:rsidR="00A65414" w:rsidRPr="00C01AF3">
                    <w:rPr>
                      <w:rFonts w:ascii="Times New Roman" w:hAnsi="Times New Roman"/>
                      <w:i/>
                      <w:sz w:val="22"/>
                      <w:szCs w:val="22"/>
                      <w:lang w:val="sr-Latn-ME"/>
                    </w:rPr>
                    <w:t>ljeko</w:t>
                  </w:r>
                  <w:r w:rsidR="008523AF" w:rsidRPr="00C01AF3">
                    <w:rPr>
                      <w:rFonts w:ascii="Times New Roman" w:hAnsi="Times New Roman"/>
                      <w:i/>
                      <w:sz w:val="22"/>
                      <w:szCs w:val="22"/>
                      <w:lang w:val="sr-Latn-ME"/>
                    </w:rPr>
                    <w:t>vi</w:t>
                  </w:r>
                </w:p>
              </w:tc>
              <w:tc>
                <w:tcPr>
                  <w:tcW w:w="5410" w:type="dxa"/>
                  <w:tcBorders>
                    <w:top w:val="single" w:sz="4" w:space="0" w:color="auto"/>
                    <w:bottom w:val="single" w:sz="4" w:space="0" w:color="auto"/>
                  </w:tcBorders>
                </w:tcPr>
                <w:p w:rsidR="00431581" w:rsidRPr="00C01AF3" w:rsidRDefault="008523AF">
                  <w:pPr>
                    <w:jc w:val="left"/>
                    <w:rPr>
                      <w:rFonts w:ascii="Times New Roman" w:hAnsi="Times New Roman"/>
                      <w:sz w:val="22"/>
                      <w:szCs w:val="22"/>
                      <w:lang w:val="sr-Latn-ME"/>
                    </w:rPr>
                  </w:pPr>
                  <w:r w:rsidRPr="00C01AF3">
                    <w:rPr>
                      <w:rFonts w:ascii="Times New Roman" w:hAnsi="Times New Roman"/>
                      <w:sz w:val="22"/>
                      <w:szCs w:val="22"/>
                      <w:lang w:val="sr-Latn-ME"/>
                    </w:rPr>
                    <w:t>Tiazidi potenciraju antihipertenzivnu aktivnos</w:t>
                  </w:r>
                  <w:r w:rsidR="009476ED" w:rsidRPr="00C01AF3">
                    <w:rPr>
                      <w:rFonts w:ascii="Times New Roman" w:hAnsi="Times New Roman"/>
                      <w:sz w:val="22"/>
                      <w:szCs w:val="22"/>
                      <w:lang w:val="sr-Latn-ME"/>
                    </w:rPr>
                    <w:t xml:space="preserve">t drugih  antihipertenzivnih </w:t>
                  </w:r>
                  <w:r w:rsidR="00A65414" w:rsidRPr="00C01AF3">
                    <w:rPr>
                      <w:rFonts w:ascii="Times New Roman" w:hAnsi="Times New Roman"/>
                      <w:sz w:val="22"/>
                      <w:szCs w:val="22"/>
                      <w:lang w:val="sr-Latn-ME"/>
                    </w:rPr>
                    <w:t>ljeko</w:t>
                  </w:r>
                  <w:r w:rsidRPr="00C01AF3">
                    <w:rPr>
                      <w:rFonts w:ascii="Times New Roman" w:hAnsi="Times New Roman"/>
                      <w:sz w:val="22"/>
                      <w:szCs w:val="22"/>
                      <w:lang w:val="sr-Latn-ME"/>
                    </w:rPr>
                    <w:t xml:space="preserve">va (npr. </w:t>
                  </w:r>
                  <w:r w:rsidR="00431581" w:rsidRPr="00C01AF3">
                    <w:rPr>
                      <w:rFonts w:ascii="Times New Roman" w:hAnsi="Times New Roman"/>
                      <w:sz w:val="22"/>
                      <w:szCs w:val="22"/>
                      <w:lang w:val="sr-Latn-ME"/>
                    </w:rPr>
                    <w:t xml:space="preserve"> </w:t>
                  </w:r>
                  <w:r w:rsidRPr="00C01AF3">
                    <w:rPr>
                      <w:rFonts w:ascii="Times New Roman" w:hAnsi="Times New Roman"/>
                      <w:sz w:val="22"/>
                      <w:szCs w:val="22"/>
                      <w:lang w:val="sr-Latn-ME"/>
                    </w:rPr>
                    <w:t>gv</w:t>
                  </w:r>
                  <w:r w:rsidR="00431581" w:rsidRPr="00C01AF3">
                    <w:rPr>
                      <w:rFonts w:ascii="Times New Roman" w:hAnsi="Times New Roman"/>
                      <w:sz w:val="22"/>
                      <w:szCs w:val="22"/>
                      <w:lang w:val="sr-Latn-ME"/>
                    </w:rPr>
                    <w:t>anetidin</w:t>
                  </w:r>
                  <w:r w:rsidRPr="00C01AF3">
                    <w:rPr>
                      <w:rFonts w:ascii="Times New Roman" w:hAnsi="Times New Roman"/>
                      <w:sz w:val="22"/>
                      <w:szCs w:val="22"/>
                      <w:lang w:val="sr-Latn-ME"/>
                    </w:rPr>
                    <w:t>, metil</w:t>
                  </w:r>
                  <w:r w:rsidR="00431581" w:rsidRPr="00C01AF3">
                    <w:rPr>
                      <w:rFonts w:ascii="Times New Roman" w:hAnsi="Times New Roman"/>
                      <w:sz w:val="22"/>
                      <w:szCs w:val="22"/>
                      <w:lang w:val="sr-Latn-ME"/>
                    </w:rPr>
                    <w:t>dopa, beta</w:t>
                  </w:r>
                  <w:r w:rsidR="00431581" w:rsidRPr="00C01AF3">
                    <w:rPr>
                      <w:rFonts w:ascii="Times New Roman" w:hAnsi="Times New Roman"/>
                      <w:sz w:val="22"/>
                      <w:szCs w:val="22"/>
                      <w:lang w:val="sr-Latn-ME"/>
                    </w:rPr>
                    <w:noBreakHyphen/>
                    <w:t>blo</w:t>
                  </w:r>
                  <w:r w:rsidRPr="00C01AF3">
                    <w:rPr>
                      <w:rFonts w:ascii="Times New Roman" w:hAnsi="Times New Roman"/>
                      <w:sz w:val="22"/>
                      <w:szCs w:val="22"/>
                      <w:lang w:val="sr-Latn-ME"/>
                    </w:rPr>
                    <w:t>katori, vazodilatatori</w:t>
                  </w:r>
                  <w:r w:rsidR="00431581" w:rsidRPr="00C01AF3">
                    <w:rPr>
                      <w:rFonts w:ascii="Times New Roman" w:hAnsi="Times New Roman"/>
                      <w:sz w:val="22"/>
                      <w:szCs w:val="22"/>
                      <w:lang w:val="sr-Latn-ME"/>
                    </w:rPr>
                    <w:t xml:space="preserve">, </w:t>
                  </w:r>
                  <w:r w:rsidRPr="00C01AF3">
                    <w:rPr>
                      <w:rFonts w:ascii="Times New Roman" w:hAnsi="Times New Roman"/>
                      <w:sz w:val="22"/>
                      <w:szCs w:val="22"/>
                      <w:lang w:val="sr-Latn-ME"/>
                    </w:rPr>
                    <w:t xml:space="preserve"> blokatori kalcijumovih kanala, ACE inhibitori</w:t>
                  </w:r>
                  <w:r w:rsidR="00431581" w:rsidRPr="00C01AF3">
                    <w:rPr>
                      <w:rFonts w:ascii="Times New Roman" w:hAnsi="Times New Roman"/>
                      <w:sz w:val="22"/>
                      <w:szCs w:val="22"/>
                      <w:lang w:val="sr-Latn-ME"/>
                    </w:rPr>
                    <w:t>, ARB</w:t>
                  </w:r>
                  <w:r w:rsidR="00B75A25" w:rsidRPr="00C01AF3">
                    <w:rPr>
                      <w:rFonts w:ascii="Times New Roman" w:hAnsi="Times New Roman"/>
                      <w:sz w:val="22"/>
                      <w:szCs w:val="22"/>
                      <w:lang w:val="sr-Latn-ME"/>
                    </w:rPr>
                    <w:t xml:space="preserve">-i i </w:t>
                  </w:r>
                  <w:r w:rsidRPr="00C01AF3">
                    <w:rPr>
                      <w:rFonts w:ascii="Times New Roman" w:hAnsi="Times New Roman"/>
                      <w:sz w:val="22"/>
                      <w:szCs w:val="22"/>
                      <w:lang w:val="sr-Latn-ME"/>
                    </w:rPr>
                    <w:t xml:space="preserve">direktni inhibitori renina </w:t>
                  </w:r>
                  <w:r w:rsidR="00431581" w:rsidRPr="00C01AF3">
                    <w:rPr>
                      <w:rFonts w:ascii="Times New Roman" w:hAnsi="Times New Roman"/>
                      <w:sz w:val="22"/>
                      <w:szCs w:val="22"/>
                      <w:lang w:val="sr-Latn-ME"/>
                    </w:rPr>
                    <w:t>[DRIs]).</w:t>
                  </w:r>
                </w:p>
              </w:tc>
            </w:tr>
            <w:tr w:rsidR="00431581" w:rsidRPr="00C01AF3" w:rsidTr="001312E4">
              <w:trPr>
                <w:cantSplit/>
                <w:trHeight w:val="42"/>
              </w:trPr>
              <w:tc>
                <w:tcPr>
                  <w:tcW w:w="1701" w:type="dxa"/>
                  <w:vMerge/>
                  <w:tcBorders>
                    <w:top w:val="single" w:sz="8" w:space="0" w:color="auto"/>
                    <w:bottom w:val="single" w:sz="8" w:space="0" w:color="auto"/>
                  </w:tcBorders>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left w:val="nil"/>
                    <w:bottom w:val="single" w:sz="4" w:space="0" w:color="auto"/>
                  </w:tcBorders>
                </w:tcPr>
                <w:p w:rsidR="00431581" w:rsidRPr="00C01AF3" w:rsidRDefault="008523AF" w:rsidP="008523AF">
                  <w:pPr>
                    <w:jc w:val="left"/>
                    <w:rPr>
                      <w:rFonts w:ascii="Times New Roman" w:hAnsi="Times New Roman"/>
                      <w:i/>
                      <w:sz w:val="22"/>
                      <w:szCs w:val="22"/>
                      <w:u w:val="single"/>
                      <w:lang w:val="sr-Latn-ME"/>
                    </w:rPr>
                  </w:pPr>
                  <w:r w:rsidRPr="00C01AF3">
                    <w:rPr>
                      <w:rFonts w:ascii="Times New Roman" w:hAnsi="Times New Roman"/>
                      <w:i/>
                      <w:sz w:val="22"/>
                      <w:szCs w:val="22"/>
                      <w:lang w:val="sr-Latn-ME"/>
                    </w:rPr>
                    <w:t>Presorni</w:t>
                  </w:r>
                  <w:r w:rsidR="00431581" w:rsidRPr="00C01AF3">
                    <w:rPr>
                      <w:rFonts w:ascii="Times New Roman" w:hAnsi="Times New Roman"/>
                      <w:i/>
                      <w:sz w:val="22"/>
                      <w:szCs w:val="22"/>
                      <w:lang w:val="sr-Latn-ME"/>
                    </w:rPr>
                    <w:t xml:space="preserve"> amin</w:t>
                  </w:r>
                  <w:r w:rsidRPr="00C01AF3">
                    <w:rPr>
                      <w:rFonts w:ascii="Times New Roman" w:hAnsi="Times New Roman"/>
                      <w:i/>
                      <w:sz w:val="22"/>
                      <w:szCs w:val="22"/>
                      <w:lang w:val="sr-Latn-ME"/>
                    </w:rPr>
                    <w:t>i</w:t>
                  </w:r>
                  <w:r w:rsidRPr="00C01AF3">
                    <w:rPr>
                      <w:rFonts w:ascii="Times New Roman" w:hAnsi="Times New Roman"/>
                      <w:sz w:val="22"/>
                      <w:szCs w:val="22"/>
                      <w:lang w:val="sr-Latn-ME"/>
                    </w:rPr>
                    <w:t xml:space="preserve"> (npr.</w:t>
                  </w:r>
                  <w:r w:rsidR="00431581" w:rsidRPr="00C01AF3">
                    <w:rPr>
                      <w:rFonts w:ascii="Times New Roman" w:hAnsi="Times New Roman"/>
                      <w:sz w:val="22"/>
                      <w:szCs w:val="22"/>
                      <w:lang w:val="sr-Latn-ME"/>
                    </w:rPr>
                    <w:t xml:space="preserve"> noradrenalin, adrenalin)</w:t>
                  </w:r>
                </w:p>
              </w:tc>
              <w:tc>
                <w:tcPr>
                  <w:tcW w:w="5410" w:type="dxa"/>
                  <w:tcBorders>
                    <w:top w:val="single" w:sz="4" w:space="0" w:color="auto"/>
                    <w:bottom w:val="single" w:sz="4" w:space="0" w:color="auto"/>
                  </w:tcBorders>
                </w:tcPr>
                <w:p w:rsidR="00431581" w:rsidRPr="00C01AF3" w:rsidRDefault="008523AF" w:rsidP="008523AF">
                  <w:pPr>
                    <w:rPr>
                      <w:rFonts w:ascii="Times New Roman" w:hAnsi="Times New Roman"/>
                      <w:sz w:val="22"/>
                      <w:szCs w:val="22"/>
                      <w:u w:val="single"/>
                      <w:lang w:val="sr-Latn-ME"/>
                    </w:rPr>
                  </w:pPr>
                  <w:r w:rsidRPr="00C01AF3">
                    <w:rPr>
                      <w:rFonts w:ascii="Times New Roman" w:hAnsi="Times New Roman"/>
                      <w:sz w:val="22"/>
                      <w:szCs w:val="22"/>
                      <w:lang w:val="sr-Latn-ME"/>
                    </w:rPr>
                    <w:t xml:space="preserve">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 xml:space="preserve"> može smanjiti odgovor presornih amina kao što je noradrenalin. Klinički značaj ovog efekta nije siguran i n</w:t>
                  </w:r>
                  <w:r w:rsidR="009476ED" w:rsidRPr="00C01AF3">
                    <w:rPr>
                      <w:rFonts w:ascii="Times New Roman" w:hAnsi="Times New Roman"/>
                      <w:sz w:val="22"/>
                      <w:szCs w:val="22"/>
                      <w:lang w:val="sr-Latn-ME"/>
                    </w:rPr>
                    <w:t>ij</w:t>
                  </w:r>
                  <w:r w:rsidRPr="00C01AF3">
                    <w:rPr>
                      <w:rFonts w:ascii="Times New Roman" w:hAnsi="Times New Roman"/>
                      <w:sz w:val="22"/>
                      <w:szCs w:val="22"/>
                      <w:lang w:val="sr-Latn-ME"/>
                    </w:rPr>
                    <w:t>e</w:t>
                  </w:r>
                  <w:r w:rsidR="009476ED" w:rsidRPr="00C01AF3">
                    <w:rPr>
                      <w:rFonts w:ascii="Times New Roman" w:hAnsi="Times New Roman"/>
                      <w:sz w:val="22"/>
                      <w:szCs w:val="22"/>
                      <w:lang w:val="sr-Latn-ME"/>
                    </w:rPr>
                    <w:t xml:space="preserve"> </w:t>
                  </w:r>
                  <w:r w:rsidRPr="00C01AF3">
                    <w:rPr>
                      <w:rFonts w:ascii="Times New Roman" w:hAnsi="Times New Roman"/>
                      <w:sz w:val="22"/>
                      <w:szCs w:val="22"/>
                      <w:lang w:val="sr-Latn-ME"/>
                    </w:rPr>
                    <w:t>dovoljan da bi se s</w:t>
                  </w:r>
                  <w:r w:rsidR="00CB5993" w:rsidRPr="00C01AF3">
                    <w:rPr>
                      <w:rFonts w:ascii="Times New Roman" w:hAnsi="Times New Roman"/>
                      <w:sz w:val="22"/>
                      <w:szCs w:val="22"/>
                      <w:lang w:val="sr-Latn-ME"/>
                    </w:rPr>
                    <w:t>prije</w:t>
                  </w:r>
                  <w:r w:rsidRPr="00C01AF3">
                    <w:rPr>
                      <w:rFonts w:ascii="Times New Roman" w:hAnsi="Times New Roman"/>
                      <w:sz w:val="22"/>
                      <w:szCs w:val="22"/>
                      <w:lang w:val="sr-Latn-ME"/>
                    </w:rPr>
                    <w:t>čila  njegova upotreba.</w:t>
                  </w:r>
                </w:p>
              </w:tc>
            </w:tr>
            <w:tr w:rsidR="00431581" w:rsidRPr="00C01AF3" w:rsidTr="001312E4">
              <w:trPr>
                <w:cantSplit/>
                <w:trHeight w:val="37"/>
              </w:trPr>
              <w:tc>
                <w:tcPr>
                  <w:tcW w:w="1701" w:type="dxa"/>
                  <w:vMerge/>
                  <w:tcBorders>
                    <w:top w:val="single" w:sz="8" w:space="0" w:color="auto"/>
                    <w:bottom w:val="single" w:sz="8" w:space="0" w:color="auto"/>
                  </w:tcBorders>
                </w:tcPr>
                <w:p w:rsidR="00431581" w:rsidRPr="00C01AF3" w:rsidRDefault="00431581" w:rsidP="001E4969">
                  <w:pPr>
                    <w:rPr>
                      <w:rFonts w:ascii="Times New Roman" w:hAnsi="Times New Roman"/>
                      <w:noProof/>
                      <w:sz w:val="22"/>
                      <w:szCs w:val="22"/>
                      <w:lang w:val="sr-Latn-ME"/>
                    </w:rPr>
                  </w:pPr>
                </w:p>
              </w:tc>
              <w:tc>
                <w:tcPr>
                  <w:tcW w:w="1997" w:type="dxa"/>
                  <w:tcBorders>
                    <w:top w:val="single" w:sz="4" w:space="0" w:color="auto"/>
                    <w:left w:val="nil"/>
                    <w:bottom w:val="single" w:sz="8" w:space="0" w:color="auto"/>
                  </w:tcBorders>
                </w:tcPr>
                <w:p w:rsidR="00431581" w:rsidRPr="00C01AF3" w:rsidRDefault="008523AF" w:rsidP="008523AF">
                  <w:pPr>
                    <w:jc w:val="left"/>
                    <w:rPr>
                      <w:rFonts w:ascii="Times New Roman" w:hAnsi="Times New Roman"/>
                      <w:sz w:val="22"/>
                      <w:szCs w:val="22"/>
                      <w:u w:val="single"/>
                      <w:lang w:val="sr-Latn-ME"/>
                    </w:rPr>
                  </w:pPr>
                  <w:r w:rsidRPr="00C01AF3">
                    <w:rPr>
                      <w:rFonts w:ascii="Times New Roman" w:hAnsi="Times New Roman"/>
                      <w:i/>
                      <w:iCs/>
                      <w:sz w:val="22"/>
                      <w:szCs w:val="22"/>
                      <w:lang w:val="sr-Latn-ME"/>
                    </w:rPr>
                    <w:t>Vitamin D</w:t>
                  </w:r>
                  <w:r w:rsidRPr="00C01AF3">
                    <w:rPr>
                      <w:rFonts w:ascii="Times New Roman" w:hAnsi="Times New Roman"/>
                      <w:sz w:val="22"/>
                      <w:szCs w:val="22"/>
                      <w:lang w:val="sr-Latn-ME"/>
                    </w:rPr>
                    <w:t xml:space="preserve">  i k</w:t>
                  </w:r>
                  <w:r w:rsidRPr="00C01AF3">
                    <w:rPr>
                      <w:rFonts w:ascii="Times New Roman" w:hAnsi="Times New Roman"/>
                      <w:i/>
                      <w:iCs/>
                      <w:sz w:val="22"/>
                      <w:szCs w:val="22"/>
                      <w:lang w:val="sr-Latn-ME"/>
                    </w:rPr>
                    <w:t>alcijumove soli</w:t>
                  </w:r>
                </w:p>
              </w:tc>
              <w:tc>
                <w:tcPr>
                  <w:tcW w:w="5410" w:type="dxa"/>
                  <w:tcBorders>
                    <w:top w:val="single" w:sz="4" w:space="0" w:color="auto"/>
                    <w:bottom w:val="single" w:sz="8" w:space="0" w:color="auto"/>
                  </w:tcBorders>
                </w:tcPr>
                <w:p w:rsidR="00431581" w:rsidRPr="00C01AF3" w:rsidRDefault="008523AF" w:rsidP="00277278">
                  <w:pPr>
                    <w:rPr>
                      <w:rFonts w:ascii="Times New Roman" w:hAnsi="Times New Roman"/>
                      <w:sz w:val="22"/>
                      <w:szCs w:val="22"/>
                      <w:u w:val="single"/>
                      <w:lang w:val="sr-Latn-ME"/>
                    </w:rPr>
                  </w:pPr>
                  <w:r w:rsidRPr="00C01AF3">
                    <w:rPr>
                      <w:rFonts w:ascii="Times New Roman" w:hAnsi="Times New Roman"/>
                      <w:sz w:val="22"/>
                      <w:szCs w:val="22"/>
                      <w:lang w:val="sr-Latn-ME" w:bidi="th-TH"/>
                    </w:rPr>
                    <w:t xml:space="preserve">Davanje tiazidnih diuretika, uključujući </w:t>
                  </w:r>
                  <w:r w:rsidR="007C4A86" w:rsidRPr="00C01AF3">
                    <w:rPr>
                      <w:rFonts w:ascii="Times New Roman" w:hAnsi="Times New Roman"/>
                      <w:sz w:val="22"/>
                      <w:szCs w:val="22"/>
                      <w:lang w:val="sr-Latn-ME" w:bidi="th-TH"/>
                    </w:rPr>
                    <w:t>hidrohlortiazid</w:t>
                  </w:r>
                  <w:r w:rsidRPr="00C01AF3">
                    <w:rPr>
                      <w:rFonts w:ascii="Times New Roman" w:hAnsi="Times New Roman"/>
                      <w:sz w:val="22"/>
                      <w:szCs w:val="22"/>
                      <w:lang w:val="sr-Latn-ME" w:bidi="th-TH"/>
                    </w:rPr>
                    <w:t xml:space="preserve">, sa vitaminom D ili solima kalcijuma može da potencira povećanje serumskog kalcijuma. Istovremena </w:t>
                  </w:r>
                  <w:r w:rsidR="00BD0291" w:rsidRPr="00C01AF3">
                    <w:rPr>
                      <w:rFonts w:ascii="Times New Roman" w:hAnsi="Times New Roman"/>
                      <w:sz w:val="22"/>
                      <w:szCs w:val="22"/>
                      <w:lang w:val="sr-Latn-ME" w:bidi="th-TH"/>
                    </w:rPr>
                    <w:t>primje</w:t>
                  </w:r>
                  <w:r w:rsidRPr="00C01AF3">
                    <w:rPr>
                      <w:rFonts w:ascii="Times New Roman" w:hAnsi="Times New Roman"/>
                      <w:sz w:val="22"/>
                      <w:szCs w:val="22"/>
                      <w:lang w:val="sr-Latn-ME" w:bidi="th-TH"/>
                    </w:rPr>
                    <w:t xml:space="preserve">na tiazidnih diuretika sa solima kalcijuma može izazvati hiperkalcijemiju kod pacijenata predisponiranih za hiperkalcijemiju (npr. hiperparatireoidizam, </w:t>
                  </w:r>
                  <w:r w:rsidR="00277278" w:rsidRPr="00C01AF3">
                    <w:rPr>
                      <w:rFonts w:ascii="Times New Roman" w:hAnsi="Times New Roman"/>
                      <w:sz w:val="22"/>
                      <w:szCs w:val="22"/>
                      <w:lang w:val="sr-Latn-ME" w:bidi="th-TH"/>
                    </w:rPr>
                    <w:t xml:space="preserve">malignitet </w:t>
                  </w:r>
                  <w:r w:rsidRPr="00C01AF3">
                    <w:rPr>
                      <w:rFonts w:ascii="Times New Roman" w:hAnsi="Times New Roman"/>
                      <w:sz w:val="22"/>
                      <w:szCs w:val="22"/>
                      <w:lang w:val="sr-Latn-ME" w:bidi="th-TH"/>
                    </w:rPr>
                    <w:t>ili vitaminom-D posredovana stanja) povećanjem tubularne reapsorpcije kalcijuma.</w:t>
                  </w:r>
                </w:p>
              </w:tc>
            </w:tr>
          </w:tbl>
          <w:p w:rsidR="00431581" w:rsidRPr="00C01AF3" w:rsidRDefault="00431581" w:rsidP="002808BC">
            <w:pPr>
              <w:pStyle w:val="Header"/>
              <w:tabs>
                <w:tab w:val="clear" w:pos="4536"/>
                <w:tab w:val="clear" w:pos="9072"/>
                <w:tab w:val="left" w:pos="284"/>
              </w:tabs>
              <w:spacing w:before="80" w:after="80"/>
              <w:jc w:val="left"/>
              <w:rPr>
                <w:rFonts w:ascii="Times New Roman" w:hAnsi="Times New Roman" w:cs="Arial"/>
                <w:bCs/>
                <w:i/>
                <w:sz w:val="22"/>
                <w:lang w:val="sr-Latn-ME"/>
              </w:rPr>
            </w:pPr>
          </w:p>
          <w:p w:rsidR="00834DBB" w:rsidRPr="00C01AF3" w:rsidRDefault="00DB7068" w:rsidP="0080097F">
            <w:pPr>
              <w:pStyle w:val="Header"/>
              <w:tabs>
                <w:tab w:val="clear" w:pos="4536"/>
                <w:tab w:val="clear" w:pos="9072"/>
                <w:tab w:val="left" w:pos="284"/>
              </w:tabs>
              <w:spacing w:before="80" w:after="80"/>
              <w:jc w:val="left"/>
              <w:rPr>
                <w:rFonts w:ascii="Times New Roman" w:hAnsi="Times New Roman"/>
                <w:i/>
                <w:sz w:val="22"/>
                <w:szCs w:val="22"/>
                <w:u w:val="single"/>
                <w:lang w:val="sr-Latn-ME"/>
              </w:rPr>
            </w:pPr>
            <w:r w:rsidRPr="00C01AF3">
              <w:rPr>
                <w:rFonts w:ascii="Times New Roman" w:hAnsi="Times New Roman"/>
                <w:i/>
                <w:sz w:val="22"/>
                <w:szCs w:val="22"/>
                <w:u w:val="single"/>
                <w:lang w:val="sr-Latn-ME"/>
              </w:rPr>
              <w:t>Dvostruka blokada sistema renin-angiotenzin-aldosteron (RAAS) sa blokatorima angiotenzinskih receptora (ARBs), inhibitorima angiotenzin-konvertujućeg enzima (ACE) ili aliskirenom</w:t>
            </w:r>
          </w:p>
          <w:p w:rsidR="00C4080E" w:rsidRPr="00C01AF3" w:rsidRDefault="003A61F5">
            <w:pPr>
              <w:pStyle w:val="Header"/>
              <w:tabs>
                <w:tab w:val="clear" w:pos="4536"/>
                <w:tab w:val="clear" w:pos="9072"/>
                <w:tab w:val="left" w:pos="284"/>
              </w:tabs>
              <w:spacing w:before="80" w:after="80"/>
              <w:jc w:val="left"/>
              <w:rPr>
                <w:rFonts w:ascii="Times New Roman" w:hAnsi="Times New Roman"/>
                <w:sz w:val="22"/>
                <w:szCs w:val="22"/>
                <w:lang w:val="sr-Latn-ME"/>
              </w:rPr>
            </w:pPr>
            <w:r w:rsidRPr="00C01AF3">
              <w:rPr>
                <w:rFonts w:ascii="Times New Roman" w:hAnsi="Times New Roman"/>
                <w:sz w:val="22"/>
                <w:szCs w:val="22"/>
                <w:lang w:val="sr-Latn-ME"/>
              </w:rPr>
              <w:t xml:space="preserve">Podaci iz kliničkih studija su pokazali da </w:t>
            </w:r>
            <w:r w:rsidRPr="00C01AF3">
              <w:rPr>
                <w:rFonts w:ascii="Times New Roman" w:hAnsi="Times New Roman"/>
                <w:lang w:val="sr-Latn-ME"/>
              </w:rPr>
              <w:t xml:space="preserve">je </w:t>
            </w:r>
            <w:r w:rsidRPr="00C01AF3">
              <w:rPr>
                <w:rFonts w:ascii="Times New Roman" w:hAnsi="Times New Roman"/>
                <w:sz w:val="22"/>
                <w:szCs w:val="22"/>
                <w:lang w:val="sr-Latn-ME"/>
              </w:rPr>
              <w:t>dvostruka blokada sistema renin-angiotenzin-aldosteron (RAAS) kombinovanom primjenom ACE inhibitora, blokatora angiotenzinskih receptora (ARBs) ili aliskirena povezana sa većom učestalošću neželjenih dejstava kao što su hipotenzija, hiperkalijemija i smanjena bubrežna funkcija (uključujući akutn</w:t>
            </w:r>
            <w:r w:rsidR="00B75A25" w:rsidRPr="00C01AF3">
              <w:rPr>
                <w:rFonts w:ascii="Times New Roman" w:hAnsi="Times New Roman"/>
                <w:sz w:val="22"/>
                <w:szCs w:val="22"/>
                <w:lang w:val="sr-Latn-ME"/>
              </w:rPr>
              <w:t>u</w:t>
            </w:r>
            <w:r w:rsidRPr="00C01AF3">
              <w:rPr>
                <w:rFonts w:ascii="Times New Roman" w:hAnsi="Times New Roman"/>
                <w:sz w:val="22"/>
                <w:szCs w:val="22"/>
                <w:lang w:val="sr-Latn-ME"/>
              </w:rPr>
              <w:t xml:space="preserve"> </w:t>
            </w:r>
            <w:r w:rsidR="00B75A25" w:rsidRPr="00C01AF3">
              <w:rPr>
                <w:rFonts w:ascii="Times New Roman" w:hAnsi="Times New Roman"/>
                <w:sz w:val="22"/>
                <w:szCs w:val="22"/>
                <w:lang w:val="sr-Latn-ME"/>
              </w:rPr>
              <w:t xml:space="preserve">insuficijenciju </w:t>
            </w:r>
            <w:r w:rsidRPr="00C01AF3">
              <w:rPr>
                <w:rFonts w:ascii="Times New Roman" w:hAnsi="Times New Roman"/>
                <w:sz w:val="22"/>
                <w:szCs w:val="22"/>
                <w:lang w:val="sr-Latn-ME"/>
              </w:rPr>
              <w:t>bubrega) u odnosu na primjenu jednog lijeka koji djeluje na RAAS.</w:t>
            </w:r>
            <w:r w:rsidR="00C4080E" w:rsidRPr="00C01AF3">
              <w:rPr>
                <w:rFonts w:ascii="Times New Roman" w:hAnsi="Times New Roman"/>
                <w:sz w:val="22"/>
                <w:szCs w:val="22"/>
                <w:lang w:val="sr-Latn-ME"/>
              </w:rPr>
              <w:t xml:space="preserve"> (</w:t>
            </w:r>
            <w:r w:rsidR="00BD0291" w:rsidRPr="00C01AF3">
              <w:rPr>
                <w:rFonts w:ascii="Times New Roman" w:hAnsi="Times New Roman"/>
                <w:sz w:val="22"/>
                <w:szCs w:val="22"/>
                <w:lang w:val="sr-Latn-ME"/>
              </w:rPr>
              <w:t>vidjet</w:t>
            </w:r>
            <w:r w:rsidR="00C4080E" w:rsidRPr="00C01AF3">
              <w:rPr>
                <w:rFonts w:ascii="Times New Roman" w:hAnsi="Times New Roman"/>
                <w:sz w:val="22"/>
                <w:szCs w:val="22"/>
                <w:lang w:val="sr-Latn-ME"/>
              </w:rPr>
              <w:t xml:space="preserve">i </w:t>
            </w:r>
            <w:r w:rsidR="00BD0291" w:rsidRPr="00C01AF3">
              <w:rPr>
                <w:rFonts w:ascii="Times New Roman" w:hAnsi="Times New Roman"/>
                <w:sz w:val="22"/>
                <w:szCs w:val="22"/>
                <w:lang w:val="sr-Latn-ME"/>
              </w:rPr>
              <w:t>odjelj</w:t>
            </w:r>
            <w:r w:rsidR="00C4080E" w:rsidRPr="00C01AF3">
              <w:rPr>
                <w:rFonts w:ascii="Times New Roman" w:hAnsi="Times New Roman"/>
                <w:sz w:val="22"/>
                <w:szCs w:val="22"/>
                <w:lang w:val="sr-Latn-ME"/>
              </w:rPr>
              <w:t>k</w:t>
            </w:r>
            <w:r w:rsidRPr="00C01AF3">
              <w:rPr>
                <w:rFonts w:ascii="Times New Roman" w:hAnsi="Times New Roman"/>
                <w:sz w:val="22"/>
                <w:szCs w:val="22"/>
                <w:lang w:val="sr-Latn-ME"/>
              </w:rPr>
              <w:t>e</w:t>
            </w:r>
            <w:r w:rsidR="00C4080E" w:rsidRPr="00C01AF3">
              <w:rPr>
                <w:rFonts w:ascii="Times New Roman" w:hAnsi="Times New Roman"/>
                <w:sz w:val="22"/>
                <w:szCs w:val="22"/>
                <w:lang w:val="sr-Latn-ME"/>
              </w:rPr>
              <w:t xml:space="preserve"> 4.3</w:t>
            </w:r>
            <w:r w:rsidRPr="00C01AF3">
              <w:rPr>
                <w:rFonts w:ascii="Times New Roman" w:hAnsi="Times New Roman"/>
                <w:sz w:val="22"/>
                <w:szCs w:val="22"/>
                <w:lang w:val="sr-Latn-ME"/>
              </w:rPr>
              <w:t xml:space="preserve">, </w:t>
            </w:r>
            <w:r w:rsidR="00C4080E" w:rsidRPr="00C01AF3">
              <w:rPr>
                <w:rFonts w:ascii="Times New Roman" w:hAnsi="Times New Roman"/>
                <w:sz w:val="22"/>
                <w:szCs w:val="22"/>
                <w:lang w:val="sr-Latn-ME"/>
              </w:rPr>
              <w:t>4.4</w:t>
            </w:r>
            <w:r w:rsidRPr="00C01AF3">
              <w:rPr>
                <w:rFonts w:ascii="Times New Roman" w:hAnsi="Times New Roman"/>
                <w:sz w:val="22"/>
                <w:szCs w:val="22"/>
                <w:lang w:val="sr-Latn-ME"/>
              </w:rPr>
              <w:t xml:space="preserve"> i 5.1.</w:t>
            </w:r>
            <w:r w:rsidR="00C4080E" w:rsidRPr="00C01AF3">
              <w:rPr>
                <w:rFonts w:ascii="Times New Roman" w:hAnsi="Times New Roman"/>
                <w:sz w:val="22"/>
                <w:szCs w:val="22"/>
                <w:lang w:val="sr-Latn-ME"/>
              </w:rPr>
              <w:t>)</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 xml:space="preserve">4.6. </w:t>
            </w:r>
            <w:r w:rsidR="00BD0291" w:rsidRPr="00C01AF3">
              <w:rPr>
                <w:rFonts w:ascii="Times New Roman" w:hAnsi="Times New Roman"/>
                <w:b/>
                <w:bCs/>
                <w:sz w:val="22"/>
                <w:szCs w:val="22"/>
                <w:lang w:val="sr-Latn-ME"/>
              </w:rPr>
              <w:t>Primje</w:t>
            </w:r>
            <w:r w:rsidRPr="00C01AF3">
              <w:rPr>
                <w:rFonts w:ascii="Times New Roman" w:hAnsi="Times New Roman"/>
                <w:b/>
                <w:bCs/>
                <w:sz w:val="22"/>
                <w:szCs w:val="22"/>
                <w:lang w:val="sr-Latn-ME"/>
              </w:rPr>
              <w:t>na u periodu trudnoće i dojenja</w:t>
            </w:r>
          </w:p>
        </w:tc>
      </w:tr>
      <w:tr w:rsidR="00834DBB" w:rsidRPr="00C01AF3" w:rsidTr="00DE0A48">
        <w:trPr>
          <w:trHeight w:val="1145"/>
        </w:trPr>
        <w:tc>
          <w:tcPr>
            <w:tcW w:w="10188" w:type="dxa"/>
            <w:gridSpan w:val="3"/>
            <w:vAlign w:val="center"/>
          </w:tcPr>
          <w:p w:rsidR="00B56725" w:rsidRPr="00C01AF3" w:rsidRDefault="00B56725" w:rsidP="00B56725">
            <w:pPr>
              <w:pStyle w:val="Header"/>
              <w:tabs>
                <w:tab w:val="clear" w:pos="4536"/>
                <w:tab w:val="clear" w:pos="9072"/>
                <w:tab w:val="left" w:pos="284"/>
              </w:tabs>
              <w:jc w:val="left"/>
              <w:rPr>
                <w:rFonts w:ascii="Times New Roman" w:hAnsi="Times New Roman" w:cs="Arial"/>
                <w:i/>
                <w:sz w:val="22"/>
                <w:u w:val="single"/>
                <w:lang w:val="sr-Latn-ME"/>
              </w:rPr>
            </w:pPr>
            <w:r w:rsidRPr="00C01AF3">
              <w:rPr>
                <w:rFonts w:ascii="Times New Roman" w:hAnsi="Times New Roman" w:cs="Arial"/>
                <w:i/>
                <w:sz w:val="22"/>
                <w:u w:val="single"/>
                <w:lang w:val="sr-Latn-ME"/>
              </w:rPr>
              <w:t>Trudnoća</w:t>
            </w:r>
          </w:p>
          <w:p w:rsidR="00DD4D4E" w:rsidRPr="00C01AF3" w:rsidRDefault="00DD4D4E" w:rsidP="00DD4D4E">
            <w:pPr>
              <w:pStyle w:val="Header"/>
              <w:tabs>
                <w:tab w:val="left" w:pos="284"/>
              </w:tabs>
              <w:rPr>
                <w:rFonts w:ascii="Times New Roman" w:hAnsi="Times New Roman" w:cs="Arial"/>
                <w:i/>
                <w:sz w:val="22"/>
                <w:u w:val="single"/>
                <w:lang w:val="sr-Latn-ME"/>
              </w:rPr>
            </w:pPr>
            <w:r w:rsidRPr="00C01AF3">
              <w:rPr>
                <w:rFonts w:ascii="Times New Roman" w:hAnsi="Times New Roman" w:cs="Arial"/>
                <w:i/>
                <w:sz w:val="22"/>
                <w:u w:val="single"/>
                <w:lang w:val="sr-Latn-ME"/>
              </w:rPr>
              <w:t>Amlodipin</w:t>
            </w:r>
          </w:p>
          <w:p w:rsidR="00DD4D4E" w:rsidRPr="00C01AF3" w:rsidRDefault="00421455" w:rsidP="00576ED2">
            <w:pPr>
              <w:pStyle w:val="Header"/>
              <w:tabs>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Nije utvrđena </w:t>
            </w:r>
            <w:r w:rsidR="006A1297" w:rsidRPr="00C01AF3">
              <w:rPr>
                <w:rFonts w:ascii="Times New Roman" w:hAnsi="Times New Roman" w:cs="Arial"/>
                <w:sz w:val="22"/>
                <w:lang w:val="sr-Latn-ME"/>
              </w:rPr>
              <w:t>bezbjedn</w:t>
            </w:r>
            <w:r w:rsidRPr="00C01AF3">
              <w:rPr>
                <w:rFonts w:ascii="Times New Roman" w:hAnsi="Times New Roman" w:cs="Arial"/>
                <w:sz w:val="22"/>
                <w:lang w:val="sr-Latn-ME"/>
              </w:rPr>
              <w:t>ost</w:t>
            </w:r>
            <w:r w:rsidR="00DD4D4E" w:rsidRPr="00C01AF3">
              <w:rPr>
                <w:rFonts w:ascii="Times New Roman" w:hAnsi="Times New Roman" w:cs="Arial"/>
                <w:sz w:val="22"/>
                <w:lang w:val="sr-Latn-ME"/>
              </w:rPr>
              <w:t xml:space="preserve"> amlodipina u trudnoći kod ljudi. U is</w:t>
            </w:r>
            <w:r w:rsidR="009E1B15" w:rsidRPr="00C01AF3">
              <w:rPr>
                <w:rFonts w:ascii="Times New Roman" w:hAnsi="Times New Roman" w:cs="Arial"/>
                <w:sz w:val="22"/>
                <w:lang w:val="sr-Latn-ME"/>
              </w:rPr>
              <w:t>pit</w:t>
            </w:r>
            <w:r w:rsidR="00685872" w:rsidRPr="00C01AF3">
              <w:rPr>
                <w:rFonts w:ascii="Times New Roman" w:hAnsi="Times New Roman" w:cs="Arial"/>
                <w:sz w:val="22"/>
                <w:lang w:val="sr-Latn-ME"/>
              </w:rPr>
              <w:t xml:space="preserve">ivanjima </w:t>
            </w:r>
            <w:r w:rsidR="0099690E" w:rsidRPr="00C01AF3">
              <w:rPr>
                <w:rFonts w:ascii="Times New Roman" w:hAnsi="Times New Roman" w:cs="Arial"/>
                <w:sz w:val="22"/>
                <w:lang w:val="sr-Latn-ME"/>
              </w:rPr>
              <w:t>n</w:t>
            </w:r>
            <w:r w:rsidR="00685872" w:rsidRPr="00C01AF3">
              <w:rPr>
                <w:rFonts w:ascii="Times New Roman" w:hAnsi="Times New Roman" w:cs="Arial"/>
                <w:sz w:val="22"/>
                <w:lang w:val="sr-Latn-ME"/>
              </w:rPr>
              <w:t xml:space="preserve">a životinjama, </w:t>
            </w:r>
            <w:r w:rsidR="003309F3" w:rsidRPr="00C01AF3">
              <w:rPr>
                <w:rFonts w:ascii="Times New Roman" w:hAnsi="Times New Roman" w:cs="Arial"/>
                <w:sz w:val="22"/>
                <w:lang w:val="sr-Latn-ME"/>
              </w:rPr>
              <w:t>zabilje</w:t>
            </w:r>
            <w:r w:rsidR="00DD4D4E" w:rsidRPr="00C01AF3">
              <w:rPr>
                <w:rFonts w:ascii="Times New Roman" w:hAnsi="Times New Roman" w:cs="Arial"/>
                <w:sz w:val="22"/>
                <w:lang w:val="sr-Latn-ME"/>
              </w:rPr>
              <w:t>žena je reproduktivna toksičnost pri visokim dozama (vid</w:t>
            </w:r>
            <w:r w:rsidR="009E1B15" w:rsidRPr="00C01AF3">
              <w:rPr>
                <w:rFonts w:ascii="Times New Roman" w:hAnsi="Times New Roman" w:cs="Arial"/>
                <w:sz w:val="22"/>
                <w:lang w:val="sr-Latn-ME"/>
              </w:rPr>
              <w:t>j</w:t>
            </w:r>
            <w:r w:rsidR="00DD4D4E" w:rsidRPr="00C01AF3">
              <w:rPr>
                <w:rFonts w:ascii="Times New Roman" w:hAnsi="Times New Roman" w:cs="Arial"/>
                <w:sz w:val="22"/>
                <w:lang w:val="sr-Latn-ME"/>
              </w:rPr>
              <w:t xml:space="preserve">eti </w:t>
            </w:r>
            <w:r w:rsidR="00BD0291" w:rsidRPr="00C01AF3">
              <w:rPr>
                <w:rFonts w:ascii="Times New Roman" w:hAnsi="Times New Roman" w:cs="Arial"/>
                <w:sz w:val="22"/>
                <w:lang w:val="sr-Latn-ME"/>
              </w:rPr>
              <w:t>odjelj</w:t>
            </w:r>
            <w:r w:rsidR="00DD4D4E" w:rsidRPr="00C01AF3">
              <w:rPr>
                <w:rFonts w:ascii="Times New Roman" w:hAnsi="Times New Roman" w:cs="Arial"/>
                <w:sz w:val="22"/>
                <w:lang w:val="sr-Latn-ME"/>
              </w:rPr>
              <w:t>ak 5.3).</w:t>
            </w:r>
            <w:r w:rsidR="0099690E" w:rsidRPr="00C01AF3">
              <w:rPr>
                <w:rFonts w:ascii="Times New Roman" w:hAnsi="Times New Roman" w:cs="Arial"/>
                <w:sz w:val="22"/>
                <w:lang w:val="sr-Latn-ME"/>
              </w:rPr>
              <w:t xml:space="preserve"> Primjena</w:t>
            </w:r>
            <w:r w:rsidR="00DD4D4E" w:rsidRPr="00C01AF3">
              <w:rPr>
                <w:rFonts w:ascii="Times New Roman" w:hAnsi="Times New Roman" w:cs="Arial"/>
                <w:sz w:val="22"/>
                <w:lang w:val="sr-Latn-ME"/>
              </w:rPr>
              <w:t xml:space="preserve"> u trudnoći se preporučuje samo kada ne</w:t>
            </w:r>
            <w:r w:rsidR="0099690E" w:rsidRPr="00C01AF3">
              <w:rPr>
                <w:rFonts w:ascii="Times New Roman" w:hAnsi="Times New Roman" w:cs="Arial"/>
                <w:sz w:val="22"/>
                <w:lang w:val="sr-Latn-ME"/>
              </w:rPr>
              <w:t xml:space="preserve"> postoji</w:t>
            </w:r>
            <w:r w:rsidR="00DD4D4E" w:rsidRPr="00C01AF3">
              <w:rPr>
                <w:rFonts w:ascii="Times New Roman" w:hAnsi="Times New Roman" w:cs="Arial"/>
                <w:sz w:val="22"/>
                <w:lang w:val="sr-Latn-ME"/>
              </w:rPr>
              <w:t xml:space="preserve"> </w:t>
            </w:r>
            <w:r w:rsidR="00481601" w:rsidRPr="00C01AF3">
              <w:rPr>
                <w:rFonts w:ascii="Times New Roman" w:hAnsi="Times New Roman" w:cs="Arial"/>
                <w:sz w:val="22"/>
                <w:lang w:val="sr-Latn-ME"/>
              </w:rPr>
              <w:t>bezbjednija</w:t>
            </w:r>
            <w:r w:rsidR="00307690" w:rsidRPr="00C01AF3">
              <w:rPr>
                <w:rFonts w:ascii="Times New Roman" w:hAnsi="Times New Roman" w:cs="Arial"/>
                <w:sz w:val="22"/>
                <w:lang w:val="sr-Latn-ME"/>
              </w:rPr>
              <w:t xml:space="preserve"> </w:t>
            </w:r>
            <w:r w:rsidR="00DD4D4E" w:rsidRPr="00C01AF3">
              <w:rPr>
                <w:rFonts w:ascii="Times New Roman" w:hAnsi="Times New Roman" w:cs="Arial"/>
                <w:sz w:val="22"/>
                <w:lang w:val="sr-Latn-ME"/>
              </w:rPr>
              <w:t>alternativ</w:t>
            </w:r>
            <w:r w:rsidR="0099690E" w:rsidRPr="00C01AF3">
              <w:rPr>
                <w:rFonts w:ascii="Times New Roman" w:hAnsi="Times New Roman" w:cs="Arial"/>
                <w:sz w:val="22"/>
                <w:lang w:val="sr-Latn-ME"/>
              </w:rPr>
              <w:t>a</w:t>
            </w:r>
            <w:r w:rsidR="00DD4D4E" w:rsidRPr="00C01AF3">
              <w:rPr>
                <w:rFonts w:ascii="Times New Roman" w:hAnsi="Times New Roman" w:cs="Arial"/>
                <w:sz w:val="22"/>
                <w:lang w:val="sr-Latn-ME"/>
              </w:rPr>
              <w:t xml:space="preserve"> i kada sama bolest nosi veći rizik za majku i fetus.</w:t>
            </w:r>
          </w:p>
          <w:p w:rsidR="00DD4D4E" w:rsidRPr="00C01AF3" w:rsidRDefault="00DD4D4E" w:rsidP="00576ED2">
            <w:pPr>
              <w:pStyle w:val="Header"/>
              <w:tabs>
                <w:tab w:val="left" w:pos="284"/>
              </w:tabs>
              <w:jc w:val="left"/>
              <w:rPr>
                <w:rFonts w:ascii="Times New Roman" w:hAnsi="Times New Roman" w:cs="Arial"/>
                <w:sz w:val="22"/>
                <w:u w:val="single"/>
                <w:lang w:val="sr-Latn-ME"/>
              </w:rPr>
            </w:pPr>
          </w:p>
          <w:p w:rsidR="00DD4D4E" w:rsidRPr="00C01AF3" w:rsidRDefault="00DD4D4E" w:rsidP="00576ED2">
            <w:pPr>
              <w:pStyle w:val="Header"/>
              <w:tabs>
                <w:tab w:val="left" w:pos="284"/>
              </w:tabs>
              <w:jc w:val="left"/>
              <w:rPr>
                <w:rFonts w:ascii="Times New Roman" w:hAnsi="Times New Roman" w:cs="Arial"/>
                <w:i/>
                <w:sz w:val="22"/>
                <w:u w:val="single"/>
                <w:lang w:val="sr-Latn-ME"/>
              </w:rPr>
            </w:pPr>
            <w:r w:rsidRPr="00C01AF3">
              <w:rPr>
                <w:rFonts w:ascii="Times New Roman" w:hAnsi="Times New Roman" w:cs="Arial"/>
                <w:i/>
                <w:sz w:val="22"/>
                <w:u w:val="single"/>
                <w:lang w:val="sr-Latn-ME"/>
              </w:rPr>
              <w:t>Valsartan</w:t>
            </w:r>
          </w:p>
          <w:p w:rsidR="00B56725" w:rsidRPr="00C01AF3" w:rsidRDefault="00B56725" w:rsidP="00B56725">
            <w:pPr>
              <w:pStyle w:val="Header"/>
              <w:tabs>
                <w:tab w:val="clear" w:pos="4536"/>
                <w:tab w:val="clear" w:pos="9072"/>
                <w:tab w:val="left" w:pos="284"/>
              </w:tabs>
              <w:jc w:val="left"/>
              <w:rPr>
                <w:rFonts w:ascii="Times New Roman" w:hAnsi="Times New Roman" w:cs="Arial"/>
                <w:sz w:val="22"/>
                <w:u w:val="single"/>
                <w:lang w:val="sr-Latn-ME"/>
              </w:rPr>
            </w:pPr>
          </w:p>
          <w:p w:rsidR="00B56725" w:rsidRPr="00C01AF3" w:rsidRDefault="00B56725" w:rsidP="00B56725">
            <w:pPr>
              <w:pStyle w:val="Header"/>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N</w:t>
            </w:r>
            <w:r w:rsidR="002F3CB9" w:rsidRPr="00C01AF3">
              <w:rPr>
                <w:rFonts w:ascii="Times New Roman" w:hAnsi="Times New Roman" w:cs="Arial"/>
                <w:sz w:val="22"/>
                <w:lang w:val="sr-Latn-ME"/>
              </w:rPr>
              <w:t>e</w:t>
            </w:r>
            <w:r w:rsidRPr="00C01AF3">
              <w:rPr>
                <w:rFonts w:ascii="Times New Roman" w:hAnsi="Times New Roman" w:cs="Arial"/>
                <w:sz w:val="22"/>
                <w:lang w:val="sr-Latn-ME"/>
              </w:rPr>
              <w:t xml:space="preserve"> preporuč</w:t>
            </w:r>
            <w:r w:rsidR="002F3CB9" w:rsidRPr="00C01AF3">
              <w:rPr>
                <w:rFonts w:ascii="Times New Roman" w:hAnsi="Times New Roman" w:cs="Arial"/>
                <w:sz w:val="22"/>
                <w:lang w:val="sr-Latn-ME"/>
              </w:rPr>
              <w:t>uje se</w:t>
            </w:r>
            <w:r w:rsidRPr="00C01AF3">
              <w:rPr>
                <w:rFonts w:ascii="Times New Roman" w:hAnsi="Times New Roman" w:cs="Arial"/>
                <w:sz w:val="22"/>
                <w:lang w:val="sr-Latn-ME"/>
              </w:rPr>
              <w:t xml:space="preserve"> </w:t>
            </w:r>
            <w:r w:rsidR="002F3CB9" w:rsidRPr="00C01AF3">
              <w:rPr>
                <w:rFonts w:ascii="Times New Roman" w:hAnsi="Times New Roman" w:cs="Arial"/>
                <w:sz w:val="22"/>
                <w:lang w:val="sr-Latn-ME"/>
              </w:rPr>
              <w:t xml:space="preserve">primjena  </w:t>
            </w:r>
            <w:r w:rsidRPr="00C01AF3">
              <w:rPr>
                <w:rFonts w:ascii="Times New Roman" w:hAnsi="Times New Roman" w:cs="Arial"/>
                <w:sz w:val="22"/>
                <w:lang w:val="sr-Latn-ME"/>
              </w:rPr>
              <w:t xml:space="preserve">antagonista </w:t>
            </w:r>
            <w:r w:rsidR="00AA55BB" w:rsidRPr="00C01AF3">
              <w:rPr>
                <w:rFonts w:ascii="Times New Roman" w:hAnsi="Times New Roman" w:cs="Arial"/>
                <w:sz w:val="22"/>
                <w:lang w:val="sr-Latn-ME"/>
              </w:rPr>
              <w:t>angiotenz</w:t>
            </w:r>
            <w:r w:rsidRPr="00C01AF3">
              <w:rPr>
                <w:rFonts w:ascii="Times New Roman" w:hAnsi="Times New Roman" w:cs="Arial"/>
                <w:sz w:val="22"/>
                <w:lang w:val="sr-Latn-ME"/>
              </w:rPr>
              <w:t>in II receptora (AIIRs) tokom prvog trimestra trudnoće (</w:t>
            </w:r>
            <w:r w:rsidR="00BD0291" w:rsidRPr="00C01AF3">
              <w:rPr>
                <w:rFonts w:ascii="Times New Roman" w:hAnsi="Times New Roman" w:cs="Arial"/>
                <w:sz w:val="22"/>
                <w:lang w:val="sr-Latn-ME"/>
              </w:rPr>
              <w:t>vidjet</w:t>
            </w:r>
            <w:r w:rsidRPr="00C01AF3">
              <w:rPr>
                <w:rFonts w:ascii="Times New Roman" w:hAnsi="Times New Roman" w:cs="Arial"/>
                <w:sz w:val="22"/>
                <w:lang w:val="sr-Latn-ME"/>
              </w:rPr>
              <w:t xml:space="preserve">i </w:t>
            </w:r>
            <w:r w:rsidR="00BD0291" w:rsidRPr="00C01AF3">
              <w:rPr>
                <w:rFonts w:ascii="Times New Roman" w:hAnsi="Times New Roman" w:cs="Arial"/>
                <w:sz w:val="22"/>
                <w:lang w:val="sr-Latn-ME"/>
              </w:rPr>
              <w:t>odjelj</w:t>
            </w:r>
            <w:r w:rsidRPr="00C01AF3">
              <w:rPr>
                <w:rFonts w:ascii="Times New Roman" w:hAnsi="Times New Roman" w:cs="Arial"/>
                <w:sz w:val="22"/>
                <w:lang w:val="sr-Latn-ME"/>
              </w:rPr>
              <w:t>ak 4.4)</w:t>
            </w:r>
            <w:r w:rsidR="0028353C" w:rsidRPr="00C01AF3">
              <w:rPr>
                <w:rFonts w:ascii="Times New Roman" w:hAnsi="Times New Roman" w:cs="Arial"/>
                <w:sz w:val="22"/>
                <w:lang w:val="sr-Latn-ME"/>
              </w:rPr>
              <w:t>.</w:t>
            </w:r>
            <w:r w:rsidRPr="00C01AF3">
              <w:rPr>
                <w:rFonts w:ascii="Times New Roman" w:hAnsi="Times New Roman" w:cs="Arial"/>
                <w:sz w:val="22"/>
                <w:lang w:val="sr-Latn-ME"/>
              </w:rPr>
              <w:t xml:space="preserve"> </w:t>
            </w:r>
            <w:r w:rsidR="002F3CB9" w:rsidRPr="00C01AF3">
              <w:rPr>
                <w:rFonts w:ascii="Times New Roman" w:hAnsi="Times New Roman" w:cs="Arial"/>
                <w:sz w:val="22"/>
                <w:lang w:val="sr-Latn-ME"/>
              </w:rPr>
              <w:t xml:space="preserve">Primjena </w:t>
            </w:r>
            <w:r w:rsidRPr="00C01AF3">
              <w:rPr>
                <w:rFonts w:ascii="Times New Roman" w:hAnsi="Times New Roman" w:cs="Arial"/>
                <w:sz w:val="22"/>
                <w:lang w:val="sr-Latn-ME"/>
              </w:rPr>
              <w:t>AIIRAs  je kontraind</w:t>
            </w:r>
            <w:r w:rsidR="0067070A" w:rsidRPr="00C01AF3">
              <w:rPr>
                <w:rFonts w:ascii="Times New Roman" w:hAnsi="Times New Roman" w:cs="Arial"/>
                <w:sz w:val="22"/>
                <w:lang w:val="sr-Latn-ME"/>
              </w:rPr>
              <w:t>i</w:t>
            </w:r>
            <w:r w:rsidRPr="00C01AF3">
              <w:rPr>
                <w:rFonts w:ascii="Times New Roman" w:hAnsi="Times New Roman" w:cs="Arial"/>
                <w:sz w:val="22"/>
                <w:lang w:val="sr-Latn-ME"/>
              </w:rPr>
              <w:t>kovana tokom drugog i treće</w:t>
            </w:r>
            <w:r w:rsidR="009E1B15" w:rsidRPr="00C01AF3">
              <w:rPr>
                <w:rFonts w:ascii="Times New Roman" w:hAnsi="Times New Roman" w:cs="Arial"/>
                <w:sz w:val="22"/>
                <w:lang w:val="sr-Latn-ME"/>
              </w:rPr>
              <w:t>g</w:t>
            </w:r>
            <w:r w:rsidRPr="00C01AF3">
              <w:rPr>
                <w:rFonts w:ascii="Times New Roman" w:hAnsi="Times New Roman" w:cs="Arial"/>
                <w:sz w:val="22"/>
                <w:lang w:val="sr-Latn-ME"/>
              </w:rPr>
              <w:t xml:space="preserve"> trimestra trudnoće (</w:t>
            </w:r>
            <w:r w:rsidR="00BD0291" w:rsidRPr="00C01AF3">
              <w:rPr>
                <w:rFonts w:ascii="Times New Roman" w:hAnsi="Times New Roman" w:cs="Arial"/>
                <w:sz w:val="22"/>
                <w:lang w:val="sr-Latn-ME"/>
              </w:rPr>
              <w:t>vidjet</w:t>
            </w:r>
            <w:r w:rsidRPr="00C01AF3">
              <w:rPr>
                <w:rFonts w:ascii="Times New Roman" w:hAnsi="Times New Roman" w:cs="Arial"/>
                <w:sz w:val="22"/>
                <w:lang w:val="sr-Latn-ME"/>
              </w:rPr>
              <w:t xml:space="preserve">i </w:t>
            </w:r>
            <w:r w:rsidR="00BD0291" w:rsidRPr="00C01AF3">
              <w:rPr>
                <w:rFonts w:ascii="Times New Roman" w:hAnsi="Times New Roman" w:cs="Arial"/>
                <w:sz w:val="22"/>
                <w:lang w:val="sr-Latn-ME"/>
              </w:rPr>
              <w:t>odjelj</w:t>
            </w:r>
            <w:r w:rsidRPr="00C01AF3">
              <w:rPr>
                <w:rFonts w:ascii="Times New Roman" w:hAnsi="Times New Roman" w:cs="Arial"/>
                <w:sz w:val="22"/>
                <w:lang w:val="sr-Latn-ME"/>
              </w:rPr>
              <w:t>ak 4.3. i 4.4.)</w:t>
            </w:r>
          </w:p>
          <w:p w:rsidR="004E7C8A" w:rsidRPr="00C01AF3" w:rsidRDefault="004E7C8A" w:rsidP="00B56725">
            <w:pPr>
              <w:tabs>
                <w:tab w:val="clear" w:pos="284"/>
              </w:tabs>
              <w:jc w:val="left"/>
              <w:rPr>
                <w:rFonts w:ascii="Times New Roman" w:hAnsi="Times New Roman"/>
                <w:sz w:val="22"/>
                <w:szCs w:val="22"/>
                <w:lang w:val="sr-Latn-ME"/>
              </w:rPr>
            </w:pPr>
          </w:p>
          <w:p w:rsidR="00B56725" w:rsidRPr="00C01AF3" w:rsidRDefault="00B56725"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Nije dat</w:t>
            </w:r>
            <w:r w:rsidR="00CE46C5" w:rsidRPr="00C01AF3">
              <w:rPr>
                <w:rFonts w:ascii="Times New Roman" w:hAnsi="Times New Roman"/>
                <w:sz w:val="22"/>
                <w:szCs w:val="22"/>
                <w:lang w:val="sr-Latn-ME"/>
              </w:rPr>
              <w:t xml:space="preserve"> </w:t>
            </w:r>
            <w:r w:rsidRPr="00C01AF3">
              <w:rPr>
                <w:rFonts w:ascii="Times New Roman" w:hAnsi="Times New Roman"/>
                <w:sz w:val="22"/>
                <w:szCs w:val="22"/>
                <w:lang w:val="sr-Latn-ME"/>
              </w:rPr>
              <w:t xml:space="preserve"> ub</w:t>
            </w:r>
            <w:r w:rsidR="00CE46C5" w:rsidRPr="00C01AF3">
              <w:rPr>
                <w:rFonts w:ascii="Times New Roman" w:hAnsi="Times New Roman"/>
                <w:sz w:val="22"/>
                <w:szCs w:val="22"/>
                <w:lang w:val="sr-Latn-ME"/>
              </w:rPr>
              <w:t>j</w:t>
            </w:r>
            <w:r w:rsidRPr="00C01AF3">
              <w:rPr>
                <w:rFonts w:ascii="Times New Roman" w:hAnsi="Times New Roman"/>
                <w:sz w:val="22"/>
                <w:szCs w:val="22"/>
                <w:lang w:val="sr-Latn-ME"/>
              </w:rPr>
              <w:t>edljiv epidemiološki dokaz rizika teratogenosti nakon izlaganja ACE-inhibitorima tokom prvog trimestra</w:t>
            </w:r>
            <w:r w:rsidR="0091082E" w:rsidRPr="00C01AF3">
              <w:rPr>
                <w:rFonts w:ascii="Times New Roman" w:hAnsi="Times New Roman"/>
                <w:sz w:val="22"/>
                <w:szCs w:val="22"/>
                <w:lang w:val="sr-Latn-ME"/>
              </w:rPr>
              <w:t>;</w:t>
            </w:r>
            <w:r w:rsidRPr="00C01AF3">
              <w:rPr>
                <w:rFonts w:ascii="Times New Roman" w:hAnsi="Times New Roman"/>
                <w:sz w:val="22"/>
                <w:szCs w:val="22"/>
                <w:lang w:val="sr-Latn-ME"/>
              </w:rPr>
              <w:t xml:space="preserve"> međutim</w:t>
            </w:r>
            <w:r w:rsidR="0091082E" w:rsidRPr="00C01AF3">
              <w:rPr>
                <w:rFonts w:ascii="Times New Roman" w:hAnsi="Times New Roman"/>
                <w:sz w:val="22"/>
                <w:szCs w:val="22"/>
                <w:lang w:val="sr-Latn-ME"/>
              </w:rPr>
              <w:t xml:space="preserve">, </w:t>
            </w:r>
            <w:r w:rsidRPr="00C01AF3">
              <w:rPr>
                <w:rFonts w:ascii="Times New Roman" w:hAnsi="Times New Roman"/>
                <w:sz w:val="22"/>
                <w:szCs w:val="22"/>
                <w:lang w:val="sr-Latn-ME"/>
              </w:rPr>
              <w:t xml:space="preserve">mali porast rizika se ne može isključiti. Dok god  nema kontrolisanih  epidemioloških podataka o riziku s antagonistima angitenzin  II receptora (AIIRA), sličan rizik može postojati i za ovu klasu </w:t>
            </w:r>
            <w:r w:rsidR="00A65414" w:rsidRPr="00C01AF3">
              <w:rPr>
                <w:rFonts w:ascii="Times New Roman" w:hAnsi="Times New Roman"/>
                <w:sz w:val="22"/>
                <w:szCs w:val="22"/>
                <w:lang w:val="sr-Latn-ME"/>
              </w:rPr>
              <w:t>ljeko</w:t>
            </w:r>
            <w:r w:rsidRPr="00C01AF3">
              <w:rPr>
                <w:rFonts w:ascii="Times New Roman" w:hAnsi="Times New Roman"/>
                <w:sz w:val="22"/>
                <w:szCs w:val="22"/>
                <w:lang w:val="sr-Latn-ME"/>
              </w:rPr>
              <w:t xml:space="preserve">va. </w:t>
            </w:r>
            <w:r w:rsidR="005279FB" w:rsidRPr="00C01AF3">
              <w:rPr>
                <w:rFonts w:ascii="Times New Roman" w:hAnsi="Times New Roman"/>
                <w:sz w:val="22"/>
                <w:szCs w:val="22"/>
                <w:lang w:val="sr-Latn-ME"/>
              </w:rPr>
              <w:t>Osim ukoliko se  smatra da  je nastavak terapije AIIRA-om  neophodan</w:t>
            </w:r>
            <w:r w:rsidRPr="00C01AF3">
              <w:rPr>
                <w:rFonts w:ascii="Times New Roman" w:hAnsi="Times New Roman"/>
                <w:sz w:val="22"/>
                <w:szCs w:val="22"/>
                <w:lang w:val="sr-Latn-ME"/>
              </w:rPr>
              <w:t>,</w:t>
            </w:r>
            <w:r w:rsidR="005279FB" w:rsidRPr="00C01AF3">
              <w:rPr>
                <w:rFonts w:ascii="Times New Roman" w:hAnsi="Times New Roman"/>
                <w:sz w:val="22"/>
                <w:szCs w:val="22"/>
                <w:lang w:val="sr-Latn-ME"/>
              </w:rPr>
              <w:t xml:space="preserve"> </w:t>
            </w:r>
            <w:r w:rsidRPr="00C01AF3">
              <w:rPr>
                <w:rFonts w:ascii="Times New Roman" w:hAnsi="Times New Roman"/>
                <w:sz w:val="22"/>
                <w:szCs w:val="22"/>
                <w:lang w:val="sr-Latn-ME"/>
              </w:rPr>
              <w:t>pacijentkinje koje planiraju trudnoću treba prebaciti na alternativnu</w:t>
            </w:r>
            <w:r w:rsidR="00533862" w:rsidRPr="00C01AF3">
              <w:rPr>
                <w:rFonts w:ascii="Times New Roman" w:hAnsi="Times New Roman"/>
                <w:sz w:val="22"/>
                <w:szCs w:val="22"/>
                <w:lang w:val="sr-Latn-ME"/>
              </w:rPr>
              <w:t xml:space="preserve"> </w:t>
            </w:r>
            <w:r w:rsidRPr="00C01AF3">
              <w:rPr>
                <w:rFonts w:ascii="Times New Roman" w:hAnsi="Times New Roman"/>
                <w:sz w:val="22"/>
                <w:szCs w:val="22"/>
                <w:lang w:val="sr-Latn-ME"/>
              </w:rPr>
              <w:t xml:space="preserve"> antihipertenzivnu ter</w:t>
            </w:r>
            <w:r w:rsidR="00060254" w:rsidRPr="00C01AF3">
              <w:rPr>
                <w:rFonts w:ascii="Times New Roman" w:hAnsi="Times New Roman"/>
                <w:sz w:val="22"/>
                <w:szCs w:val="22"/>
                <w:lang w:val="sr-Latn-ME"/>
              </w:rPr>
              <w:t>apiju koja ima utvrđen bezb</w:t>
            </w:r>
            <w:r w:rsidR="006A1297" w:rsidRPr="00C01AF3">
              <w:rPr>
                <w:rFonts w:ascii="Times New Roman" w:hAnsi="Times New Roman"/>
                <w:sz w:val="22"/>
                <w:szCs w:val="22"/>
                <w:lang w:val="sr-Latn-ME"/>
              </w:rPr>
              <w:t>j</w:t>
            </w:r>
            <w:r w:rsidR="00060254" w:rsidRPr="00C01AF3">
              <w:rPr>
                <w:rFonts w:ascii="Times New Roman" w:hAnsi="Times New Roman"/>
                <w:sz w:val="22"/>
                <w:szCs w:val="22"/>
                <w:lang w:val="sr-Latn-ME"/>
              </w:rPr>
              <w:t>ednosni</w:t>
            </w:r>
            <w:r w:rsidRPr="00C01AF3">
              <w:rPr>
                <w:rFonts w:ascii="Times New Roman" w:hAnsi="Times New Roman"/>
                <w:sz w:val="22"/>
                <w:szCs w:val="22"/>
                <w:lang w:val="sr-Latn-ME"/>
              </w:rPr>
              <w:t xml:space="preserve"> profil za </w:t>
            </w:r>
            <w:r w:rsidR="00BD0291" w:rsidRPr="00C01AF3">
              <w:rPr>
                <w:rFonts w:ascii="Times New Roman" w:hAnsi="Times New Roman"/>
                <w:sz w:val="22"/>
                <w:szCs w:val="22"/>
                <w:lang w:val="sr-Latn-ME"/>
              </w:rPr>
              <w:t>primje</w:t>
            </w:r>
            <w:r w:rsidRPr="00C01AF3">
              <w:rPr>
                <w:rFonts w:ascii="Times New Roman" w:hAnsi="Times New Roman"/>
                <w:sz w:val="22"/>
                <w:szCs w:val="22"/>
                <w:lang w:val="sr-Latn-ME"/>
              </w:rPr>
              <w:t xml:space="preserve">nu u trudnoći. Kada se trudnoća utvrdi, </w:t>
            </w:r>
            <w:r w:rsidR="006A1297" w:rsidRPr="00C01AF3">
              <w:rPr>
                <w:rFonts w:ascii="Times New Roman" w:hAnsi="Times New Roman"/>
                <w:sz w:val="22"/>
                <w:szCs w:val="22"/>
                <w:lang w:val="sr-Latn-ME"/>
              </w:rPr>
              <w:t>liječ</w:t>
            </w:r>
            <w:r w:rsidRPr="00C01AF3">
              <w:rPr>
                <w:rFonts w:ascii="Times New Roman" w:hAnsi="Times New Roman"/>
                <w:sz w:val="22"/>
                <w:szCs w:val="22"/>
                <w:lang w:val="sr-Latn-ME"/>
              </w:rPr>
              <w:t>enje AIIRA-om treba o</w:t>
            </w:r>
            <w:r w:rsidR="00EA2FB4" w:rsidRPr="00C01AF3">
              <w:rPr>
                <w:rFonts w:ascii="Times New Roman" w:hAnsi="Times New Roman"/>
                <w:sz w:val="22"/>
                <w:szCs w:val="22"/>
                <w:lang w:val="sr-Latn-ME"/>
              </w:rPr>
              <w:t>dmah prekinuti</w:t>
            </w:r>
            <w:r w:rsidRPr="00C01AF3">
              <w:rPr>
                <w:rFonts w:ascii="Times New Roman" w:hAnsi="Times New Roman"/>
                <w:sz w:val="22"/>
                <w:szCs w:val="22"/>
                <w:lang w:val="sr-Latn-ME"/>
              </w:rPr>
              <w:t xml:space="preserve"> i ako je prikladno, započeti alternativnu terapiju.</w:t>
            </w:r>
          </w:p>
          <w:p w:rsidR="00B56725" w:rsidRPr="00C01AF3" w:rsidRDefault="00B56725" w:rsidP="00B56725">
            <w:pPr>
              <w:tabs>
                <w:tab w:val="clear" w:pos="284"/>
              </w:tabs>
              <w:jc w:val="left"/>
              <w:rPr>
                <w:rFonts w:ascii="Times New Roman" w:hAnsi="Times New Roman"/>
                <w:sz w:val="22"/>
                <w:szCs w:val="22"/>
                <w:lang w:val="sr-Latn-ME"/>
              </w:rPr>
            </w:pPr>
          </w:p>
          <w:p w:rsidR="00B56725" w:rsidRPr="00C01AF3" w:rsidRDefault="00B56725"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 xml:space="preserve">Poznato je da izloženost terapiji AIIRA-ima tokom drugog i trećeg trimestra trudnoće </w:t>
            </w:r>
            <w:r w:rsidR="00D8400B" w:rsidRPr="00C01AF3">
              <w:rPr>
                <w:rFonts w:ascii="Times New Roman" w:hAnsi="Times New Roman"/>
                <w:sz w:val="22"/>
                <w:szCs w:val="22"/>
                <w:lang w:val="sr-Latn-ME"/>
              </w:rPr>
              <w:t>kod</w:t>
            </w:r>
            <w:r w:rsidRPr="00C01AF3">
              <w:rPr>
                <w:rFonts w:ascii="Times New Roman" w:hAnsi="Times New Roman"/>
                <w:sz w:val="22"/>
                <w:szCs w:val="22"/>
                <w:lang w:val="sr-Latn-ME"/>
              </w:rPr>
              <w:t xml:space="preserve"> ljudi izaziva fetotoksičnost (smanjenu funkciju bubrega, oligohidramnione, retardaciju okoštavanja lobanje) i neonatalnu toksičnost (insuficijencija bubrega, hipotenzija, hiperkalijemiju) (vid</w:t>
            </w:r>
            <w:r w:rsidR="005C6E92" w:rsidRPr="00C01AF3">
              <w:rPr>
                <w:rFonts w:ascii="Times New Roman" w:hAnsi="Times New Roman"/>
                <w:sz w:val="22"/>
                <w:szCs w:val="22"/>
                <w:lang w:val="sr-Latn-ME"/>
              </w:rPr>
              <w:t>j</w:t>
            </w:r>
            <w:r w:rsidRPr="00C01AF3">
              <w:rPr>
                <w:rFonts w:ascii="Times New Roman" w:hAnsi="Times New Roman"/>
                <w:sz w:val="22"/>
                <w:szCs w:val="22"/>
                <w:lang w:val="sr-Latn-ME"/>
              </w:rPr>
              <w:t>eti</w:t>
            </w:r>
            <w:r w:rsidR="00C1142A" w:rsidRPr="00C01AF3">
              <w:rPr>
                <w:rFonts w:ascii="Times New Roman" w:hAnsi="Times New Roman"/>
                <w:sz w:val="22"/>
                <w:szCs w:val="22"/>
                <w:lang w:val="sr-Latn-ME"/>
              </w:rPr>
              <w:t xml:space="preserve"> od</w:t>
            </w:r>
            <w:r w:rsidR="005C6E92" w:rsidRPr="00C01AF3">
              <w:rPr>
                <w:rFonts w:ascii="Times New Roman" w:hAnsi="Times New Roman"/>
                <w:sz w:val="22"/>
                <w:szCs w:val="22"/>
                <w:lang w:val="sr-Latn-ME"/>
              </w:rPr>
              <w:t>j</w:t>
            </w:r>
            <w:r w:rsidR="00C1142A" w:rsidRPr="00C01AF3">
              <w:rPr>
                <w:rFonts w:ascii="Times New Roman" w:hAnsi="Times New Roman"/>
                <w:sz w:val="22"/>
                <w:szCs w:val="22"/>
                <w:lang w:val="sr-Latn-ME"/>
              </w:rPr>
              <w:t>eljak</w:t>
            </w:r>
            <w:r w:rsidRPr="00C01AF3">
              <w:rPr>
                <w:rFonts w:ascii="Times New Roman" w:hAnsi="Times New Roman"/>
                <w:sz w:val="22"/>
                <w:szCs w:val="22"/>
                <w:lang w:val="sr-Latn-ME"/>
              </w:rPr>
              <w:t xml:space="preserve"> 5.3.).</w:t>
            </w:r>
          </w:p>
          <w:p w:rsidR="00B56725" w:rsidRPr="00C01AF3" w:rsidRDefault="00B56725" w:rsidP="00B56725">
            <w:pPr>
              <w:tabs>
                <w:tab w:val="clear" w:pos="284"/>
              </w:tabs>
              <w:jc w:val="left"/>
              <w:rPr>
                <w:rFonts w:ascii="Times New Roman" w:hAnsi="Times New Roman"/>
                <w:sz w:val="22"/>
                <w:szCs w:val="22"/>
                <w:lang w:val="sr-Latn-ME"/>
              </w:rPr>
            </w:pPr>
          </w:p>
          <w:p w:rsidR="00B56725" w:rsidRPr="00C01AF3" w:rsidRDefault="00B56725"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 xml:space="preserve">Ako je do izloženosti AIIRA-ima došlo od drugog trimestra trudnoće nadalje, </w:t>
            </w:r>
            <w:r w:rsidR="00E701F3" w:rsidRPr="00C01AF3">
              <w:rPr>
                <w:rFonts w:ascii="Times New Roman" w:hAnsi="Times New Roman"/>
                <w:sz w:val="22"/>
                <w:szCs w:val="22"/>
                <w:lang w:val="sr-Latn-ME"/>
              </w:rPr>
              <w:t>savjet</w:t>
            </w:r>
            <w:r w:rsidRPr="00C01AF3">
              <w:rPr>
                <w:rFonts w:ascii="Times New Roman" w:hAnsi="Times New Roman"/>
                <w:sz w:val="22"/>
                <w:szCs w:val="22"/>
                <w:lang w:val="sr-Latn-ME"/>
              </w:rPr>
              <w:t>uje se ultrazvučni pregled funkcije bubrega i lobanje.</w:t>
            </w:r>
          </w:p>
          <w:p w:rsidR="00B56725" w:rsidRPr="00C01AF3" w:rsidRDefault="00B56725" w:rsidP="00B56725">
            <w:pPr>
              <w:tabs>
                <w:tab w:val="clear" w:pos="284"/>
              </w:tabs>
              <w:jc w:val="left"/>
              <w:rPr>
                <w:rFonts w:ascii="Times New Roman" w:hAnsi="Times New Roman"/>
                <w:sz w:val="22"/>
                <w:szCs w:val="22"/>
                <w:lang w:val="sr-Latn-ME"/>
              </w:rPr>
            </w:pPr>
          </w:p>
          <w:p w:rsidR="00B56725" w:rsidRPr="00C01AF3" w:rsidRDefault="00E500F8"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 xml:space="preserve">Odojčad </w:t>
            </w:r>
            <w:r w:rsidR="00B56725" w:rsidRPr="00C01AF3">
              <w:rPr>
                <w:rFonts w:ascii="Times New Roman" w:hAnsi="Times New Roman"/>
                <w:sz w:val="22"/>
                <w:szCs w:val="22"/>
                <w:lang w:val="sr-Latn-ME"/>
              </w:rPr>
              <w:t>čije su majke uzimale AIIRA-e treba pažljivo pratiti</w:t>
            </w:r>
            <w:r w:rsidR="00AF67E8" w:rsidRPr="00C01AF3">
              <w:rPr>
                <w:rFonts w:ascii="Times New Roman" w:hAnsi="Times New Roman"/>
                <w:sz w:val="22"/>
                <w:szCs w:val="22"/>
                <w:lang w:val="sr-Latn-ME"/>
              </w:rPr>
              <w:t xml:space="preserve"> </w:t>
            </w:r>
            <w:r w:rsidR="00A63634" w:rsidRPr="00C01AF3">
              <w:rPr>
                <w:rFonts w:ascii="Times New Roman" w:hAnsi="Times New Roman"/>
                <w:sz w:val="22"/>
                <w:szCs w:val="22"/>
                <w:lang w:val="sr-Latn-ME"/>
              </w:rPr>
              <w:t xml:space="preserve">zbog </w:t>
            </w:r>
            <w:r w:rsidR="00AF67E8" w:rsidRPr="00C01AF3">
              <w:rPr>
                <w:rFonts w:ascii="Times New Roman" w:hAnsi="Times New Roman"/>
                <w:sz w:val="22"/>
                <w:szCs w:val="22"/>
                <w:lang w:val="sr-Latn-ME"/>
              </w:rPr>
              <w:t>hipotenzije (vid</w:t>
            </w:r>
            <w:r w:rsidR="005C6E92" w:rsidRPr="00C01AF3">
              <w:rPr>
                <w:rFonts w:ascii="Times New Roman" w:hAnsi="Times New Roman"/>
                <w:sz w:val="22"/>
                <w:szCs w:val="22"/>
                <w:lang w:val="sr-Latn-ME"/>
              </w:rPr>
              <w:t>j</w:t>
            </w:r>
            <w:r w:rsidR="00AF67E8" w:rsidRPr="00C01AF3">
              <w:rPr>
                <w:rFonts w:ascii="Times New Roman" w:hAnsi="Times New Roman"/>
                <w:sz w:val="22"/>
                <w:szCs w:val="22"/>
                <w:lang w:val="sr-Latn-ME"/>
              </w:rPr>
              <w:t>eti od</w:t>
            </w:r>
            <w:r w:rsidR="005C6E92" w:rsidRPr="00C01AF3">
              <w:rPr>
                <w:rFonts w:ascii="Times New Roman" w:hAnsi="Times New Roman"/>
                <w:sz w:val="22"/>
                <w:szCs w:val="22"/>
                <w:lang w:val="sr-Latn-ME"/>
              </w:rPr>
              <w:t>j</w:t>
            </w:r>
            <w:r w:rsidR="00AF67E8" w:rsidRPr="00C01AF3">
              <w:rPr>
                <w:rFonts w:ascii="Times New Roman" w:hAnsi="Times New Roman"/>
                <w:sz w:val="22"/>
                <w:szCs w:val="22"/>
                <w:lang w:val="sr-Latn-ME"/>
              </w:rPr>
              <w:t>eljak</w:t>
            </w:r>
            <w:r w:rsidR="00B56725" w:rsidRPr="00C01AF3">
              <w:rPr>
                <w:rFonts w:ascii="Times New Roman" w:hAnsi="Times New Roman"/>
                <w:sz w:val="22"/>
                <w:szCs w:val="22"/>
                <w:lang w:val="sr-Latn-ME"/>
              </w:rPr>
              <w:t xml:space="preserve"> 4.3. i 4.4.).</w:t>
            </w:r>
          </w:p>
          <w:p w:rsidR="005C6E92" w:rsidRPr="00C01AF3" w:rsidRDefault="007C4A86" w:rsidP="00B56725">
            <w:pPr>
              <w:tabs>
                <w:tab w:val="clear" w:pos="284"/>
              </w:tabs>
              <w:jc w:val="left"/>
              <w:rPr>
                <w:rFonts w:ascii="Times New Roman" w:hAnsi="Times New Roman"/>
                <w:i/>
                <w:sz w:val="22"/>
                <w:szCs w:val="22"/>
                <w:u w:val="single"/>
                <w:lang w:val="sr-Latn-ME"/>
              </w:rPr>
            </w:pPr>
            <w:r w:rsidRPr="00C01AF3">
              <w:rPr>
                <w:rFonts w:ascii="Times New Roman" w:hAnsi="Times New Roman"/>
                <w:i/>
                <w:sz w:val="22"/>
                <w:szCs w:val="22"/>
                <w:u w:val="single"/>
                <w:lang w:val="sr-Latn-ME"/>
              </w:rPr>
              <w:lastRenderedPageBreak/>
              <w:t>Hidrohlortiazid</w:t>
            </w:r>
          </w:p>
          <w:p w:rsidR="00A241DA" w:rsidRPr="00C01AF3" w:rsidRDefault="00A241DA"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 xml:space="preserve">Postoji ograničeno iskustvo sa </w:t>
            </w:r>
            <w:r w:rsidR="007C4A86" w:rsidRPr="00C01AF3">
              <w:rPr>
                <w:rFonts w:ascii="Times New Roman" w:hAnsi="Times New Roman"/>
                <w:sz w:val="22"/>
                <w:szCs w:val="22"/>
                <w:lang w:val="sr-Latn-ME"/>
              </w:rPr>
              <w:t>hidrohlortiazid</w:t>
            </w:r>
            <w:r w:rsidRPr="00C01AF3">
              <w:rPr>
                <w:rFonts w:ascii="Times New Roman" w:hAnsi="Times New Roman"/>
                <w:sz w:val="22"/>
                <w:szCs w:val="22"/>
                <w:lang w:val="sr-Latn-ME"/>
              </w:rPr>
              <w:t>om tokom trudnoće, posebno tokom prvog trimestra. Ispitivanja na životinjama ni</w:t>
            </w:r>
            <w:r w:rsidR="00A63634" w:rsidRPr="00C01AF3">
              <w:rPr>
                <w:rFonts w:ascii="Times New Roman" w:hAnsi="Times New Roman"/>
                <w:sz w:val="22"/>
                <w:szCs w:val="22"/>
                <w:lang w:val="sr-Latn-ME"/>
              </w:rPr>
              <w:t>je</w:t>
            </w:r>
            <w:r w:rsidRPr="00C01AF3">
              <w:rPr>
                <w:rFonts w:ascii="Times New Roman" w:hAnsi="Times New Roman"/>
                <w:sz w:val="22"/>
                <w:szCs w:val="22"/>
                <w:lang w:val="sr-Latn-ME"/>
              </w:rPr>
              <w:t>su dovoljna.</w:t>
            </w:r>
          </w:p>
          <w:p w:rsidR="00EB4CD9" w:rsidRPr="00C01AF3" w:rsidRDefault="007C4A86"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Hidrohlortiazid</w:t>
            </w:r>
            <w:r w:rsidR="00A241DA" w:rsidRPr="00C01AF3">
              <w:rPr>
                <w:rFonts w:ascii="Times New Roman" w:hAnsi="Times New Roman"/>
                <w:sz w:val="22"/>
                <w:szCs w:val="22"/>
                <w:lang w:val="sr-Latn-ME"/>
              </w:rPr>
              <w:t xml:space="preserve"> prolazi placentu. Na osnovu farmakološkog mehanizma </w:t>
            </w:r>
            <w:r w:rsidR="007B42AA" w:rsidRPr="00C01AF3">
              <w:rPr>
                <w:rFonts w:ascii="Times New Roman" w:hAnsi="Times New Roman"/>
                <w:sz w:val="22"/>
                <w:szCs w:val="22"/>
                <w:lang w:val="sr-Latn-ME"/>
              </w:rPr>
              <w:t>djelov</w:t>
            </w:r>
            <w:r w:rsidR="00A241DA" w:rsidRPr="00C01AF3">
              <w:rPr>
                <w:rFonts w:ascii="Times New Roman" w:hAnsi="Times New Roman"/>
                <w:sz w:val="22"/>
                <w:szCs w:val="22"/>
                <w:lang w:val="sr-Latn-ME"/>
              </w:rPr>
              <w:t xml:space="preserve">anja </w:t>
            </w:r>
            <w:r w:rsidRPr="00C01AF3">
              <w:rPr>
                <w:rFonts w:ascii="Times New Roman" w:hAnsi="Times New Roman"/>
                <w:sz w:val="22"/>
                <w:szCs w:val="22"/>
                <w:lang w:val="sr-Latn-ME"/>
              </w:rPr>
              <w:t>hidrohlortiazid</w:t>
            </w:r>
            <w:r w:rsidR="00A241DA" w:rsidRPr="00C01AF3">
              <w:rPr>
                <w:rFonts w:ascii="Times New Roman" w:hAnsi="Times New Roman"/>
                <w:sz w:val="22"/>
                <w:szCs w:val="22"/>
                <w:lang w:val="sr-Latn-ME"/>
              </w:rPr>
              <w:t xml:space="preserve">a njegova </w:t>
            </w:r>
            <w:r w:rsidR="00BD0291" w:rsidRPr="00C01AF3">
              <w:rPr>
                <w:rFonts w:ascii="Times New Roman" w:hAnsi="Times New Roman"/>
                <w:sz w:val="22"/>
                <w:szCs w:val="22"/>
                <w:lang w:val="sr-Latn-ME"/>
              </w:rPr>
              <w:t>primje</w:t>
            </w:r>
            <w:r w:rsidR="00A241DA" w:rsidRPr="00C01AF3">
              <w:rPr>
                <w:rFonts w:ascii="Times New Roman" w:hAnsi="Times New Roman"/>
                <w:sz w:val="22"/>
                <w:szCs w:val="22"/>
                <w:lang w:val="sr-Latn-ME"/>
              </w:rPr>
              <w:t>na tokom drugog i trećeg trimestra može ugroziti feto-placentnu perfuziju te može izazvati fetalne i neonatalne efekte poput žutice, poremećaja ravnoteže elektrolita i trombocitopenije.</w:t>
            </w:r>
          </w:p>
          <w:p w:rsidR="00A241DA" w:rsidRPr="00C01AF3" w:rsidRDefault="00A241DA" w:rsidP="00B56725">
            <w:pPr>
              <w:tabs>
                <w:tab w:val="clear" w:pos="284"/>
              </w:tabs>
              <w:jc w:val="left"/>
              <w:rPr>
                <w:rFonts w:ascii="Times New Roman" w:hAnsi="Times New Roman"/>
                <w:sz w:val="22"/>
                <w:szCs w:val="22"/>
                <w:lang w:val="sr-Latn-ME"/>
              </w:rPr>
            </w:pPr>
          </w:p>
          <w:p w:rsidR="00A241DA" w:rsidRPr="00C01AF3" w:rsidRDefault="00A241DA" w:rsidP="00B56725">
            <w:pPr>
              <w:tabs>
                <w:tab w:val="clear" w:pos="284"/>
              </w:tabs>
              <w:jc w:val="left"/>
              <w:rPr>
                <w:rFonts w:ascii="Times New Roman" w:hAnsi="Times New Roman"/>
                <w:i/>
                <w:sz w:val="22"/>
                <w:szCs w:val="22"/>
                <w:u w:val="single"/>
                <w:lang w:val="sr-Latn-ME"/>
              </w:rPr>
            </w:pPr>
            <w:r w:rsidRPr="00C01AF3">
              <w:rPr>
                <w:rFonts w:ascii="Times New Roman" w:hAnsi="Times New Roman"/>
                <w:i/>
                <w:sz w:val="22"/>
                <w:szCs w:val="22"/>
                <w:u w:val="single"/>
                <w:lang w:val="sr-Latn-ME"/>
              </w:rPr>
              <w:t xml:space="preserve">Amlodipn/ valsartan/ </w:t>
            </w:r>
            <w:r w:rsidR="007C4A86" w:rsidRPr="00C01AF3">
              <w:rPr>
                <w:rFonts w:ascii="Times New Roman" w:hAnsi="Times New Roman"/>
                <w:i/>
                <w:sz w:val="22"/>
                <w:szCs w:val="22"/>
                <w:u w:val="single"/>
                <w:lang w:val="sr-Latn-ME"/>
              </w:rPr>
              <w:t>hidrohlortiazid</w:t>
            </w:r>
          </w:p>
          <w:p w:rsidR="00A241DA" w:rsidRPr="00C01AF3" w:rsidRDefault="00A241DA" w:rsidP="00B56725">
            <w:pPr>
              <w:tabs>
                <w:tab w:val="clear" w:pos="284"/>
              </w:tabs>
              <w:jc w:val="left"/>
              <w:rPr>
                <w:rFonts w:ascii="Times New Roman" w:hAnsi="Times New Roman"/>
                <w:sz w:val="22"/>
                <w:szCs w:val="22"/>
                <w:lang w:val="sr-Latn-ME"/>
              </w:rPr>
            </w:pPr>
            <w:r w:rsidRPr="00C01AF3">
              <w:rPr>
                <w:rFonts w:ascii="Times New Roman" w:hAnsi="Times New Roman"/>
                <w:sz w:val="22"/>
                <w:szCs w:val="22"/>
                <w:lang w:val="sr-Latn-ME"/>
              </w:rPr>
              <w:t>Nema</w:t>
            </w:r>
            <w:r w:rsidR="00E500F8" w:rsidRPr="00C01AF3">
              <w:rPr>
                <w:rFonts w:ascii="Times New Roman" w:hAnsi="Times New Roman"/>
                <w:sz w:val="22"/>
                <w:szCs w:val="22"/>
                <w:lang w:val="sr-Latn-ME"/>
              </w:rPr>
              <w:t xml:space="preserve"> iskustva u </w:t>
            </w:r>
            <w:r w:rsidR="00BD0291" w:rsidRPr="00C01AF3">
              <w:rPr>
                <w:rFonts w:ascii="Times New Roman" w:hAnsi="Times New Roman"/>
                <w:sz w:val="22"/>
                <w:szCs w:val="22"/>
                <w:lang w:val="sr-Latn-ME"/>
              </w:rPr>
              <w:t>primje</w:t>
            </w:r>
            <w:r w:rsidRPr="00C01AF3">
              <w:rPr>
                <w:rFonts w:ascii="Times New Roman" w:hAnsi="Times New Roman"/>
                <w:sz w:val="22"/>
                <w:szCs w:val="22"/>
                <w:lang w:val="sr-Latn-ME"/>
              </w:rPr>
              <w:t>ni</w:t>
            </w:r>
            <w:r w:rsidR="00E500F8" w:rsidRPr="00C01AF3">
              <w:rPr>
                <w:rFonts w:ascii="Times New Roman" w:hAnsi="Times New Roman"/>
                <w:sz w:val="22"/>
                <w:szCs w:val="22"/>
                <w:lang w:val="sr-Latn-ME"/>
              </w:rPr>
              <w:t xml:space="preserve"> </w:t>
            </w:r>
            <w:r w:rsidR="0090474F" w:rsidRPr="00C01AF3">
              <w:rPr>
                <w:rFonts w:ascii="Times New Roman" w:hAnsi="Times New Roman"/>
                <w:sz w:val="22"/>
                <w:szCs w:val="22"/>
                <w:lang w:val="sr-Latn-ME"/>
              </w:rPr>
              <w:t>lijek</w:t>
            </w:r>
            <w:r w:rsidRPr="00C01AF3">
              <w:rPr>
                <w:rFonts w:ascii="Times New Roman" w:hAnsi="Times New Roman"/>
                <w:sz w:val="22"/>
                <w:szCs w:val="22"/>
                <w:lang w:val="sr-Latn-ME"/>
              </w:rPr>
              <w:t xml:space="preserve">a Exforge HCT kod trudnica. Prema postojećim podacima o komponentama, upotreba </w:t>
            </w:r>
            <w:r w:rsidR="00E500F8" w:rsidRPr="00C01AF3">
              <w:rPr>
                <w:rFonts w:ascii="Times New Roman" w:hAnsi="Times New Roman"/>
                <w:sz w:val="22"/>
                <w:szCs w:val="22"/>
                <w:lang w:val="sr-Latn-ME"/>
              </w:rPr>
              <w:t xml:space="preserve"> </w:t>
            </w:r>
            <w:r w:rsidR="00A65414" w:rsidRPr="00C01AF3">
              <w:rPr>
                <w:rFonts w:ascii="Times New Roman" w:hAnsi="Times New Roman"/>
                <w:sz w:val="22"/>
                <w:szCs w:val="22"/>
                <w:lang w:val="sr-Latn-ME"/>
              </w:rPr>
              <w:t>lijek</w:t>
            </w:r>
            <w:r w:rsidR="00373896" w:rsidRPr="00C01AF3">
              <w:rPr>
                <w:rFonts w:ascii="Times New Roman" w:hAnsi="Times New Roman"/>
                <w:sz w:val="22"/>
                <w:szCs w:val="22"/>
                <w:lang w:val="sr-Latn-ME"/>
              </w:rPr>
              <w:t xml:space="preserve">a Exforge HCT </w:t>
            </w:r>
            <w:r w:rsidRPr="00C01AF3">
              <w:rPr>
                <w:rFonts w:ascii="Times New Roman" w:hAnsi="Times New Roman"/>
                <w:sz w:val="22"/>
                <w:szCs w:val="22"/>
                <w:lang w:val="sr-Latn-ME"/>
              </w:rPr>
              <w:t>se ne preporučuje tokom prvog trimestra i kontraindikovana je tokom drugog i trećeg trimestra (vidjeti odjeljak 4.3. i 4.4)</w:t>
            </w:r>
          </w:p>
          <w:p w:rsidR="008A1620" w:rsidRPr="00C01AF3" w:rsidRDefault="008A1620" w:rsidP="00B56725">
            <w:pPr>
              <w:pStyle w:val="Header"/>
              <w:tabs>
                <w:tab w:val="clear" w:pos="4536"/>
                <w:tab w:val="clear" w:pos="9072"/>
                <w:tab w:val="left" w:pos="284"/>
              </w:tabs>
              <w:jc w:val="left"/>
              <w:rPr>
                <w:rFonts w:ascii="Times New Roman" w:hAnsi="Times New Roman" w:cs="Arial"/>
                <w:sz w:val="22"/>
                <w:u w:val="single"/>
                <w:lang w:val="sr-Latn-ME"/>
              </w:rPr>
            </w:pPr>
          </w:p>
          <w:p w:rsidR="00B56725" w:rsidRPr="00C01AF3" w:rsidRDefault="00B56725" w:rsidP="00B56725">
            <w:pPr>
              <w:pStyle w:val="Header"/>
              <w:tabs>
                <w:tab w:val="clear" w:pos="4536"/>
                <w:tab w:val="clear" w:pos="9072"/>
                <w:tab w:val="left" w:pos="284"/>
              </w:tabs>
              <w:jc w:val="left"/>
              <w:rPr>
                <w:rFonts w:ascii="Times New Roman" w:hAnsi="Times New Roman" w:cs="Arial"/>
                <w:sz w:val="22"/>
                <w:u w:val="single"/>
                <w:lang w:val="sr-Latn-ME"/>
              </w:rPr>
            </w:pPr>
            <w:r w:rsidRPr="00C01AF3">
              <w:rPr>
                <w:rFonts w:ascii="Times New Roman" w:hAnsi="Times New Roman" w:cs="Arial"/>
                <w:sz w:val="22"/>
                <w:u w:val="single"/>
                <w:lang w:val="sr-Latn-ME"/>
              </w:rPr>
              <w:t>Dojenje</w:t>
            </w:r>
          </w:p>
          <w:p w:rsidR="00AD5A98" w:rsidRPr="00C01AF3" w:rsidRDefault="00AD5A98" w:rsidP="00B56725">
            <w:pPr>
              <w:pStyle w:val="Text"/>
              <w:autoSpaceDE w:val="0"/>
              <w:autoSpaceDN w:val="0"/>
              <w:spacing w:before="0"/>
              <w:jc w:val="left"/>
              <w:rPr>
                <w:sz w:val="22"/>
                <w:szCs w:val="22"/>
                <w:lang w:val="sr-Latn-ME"/>
              </w:rPr>
            </w:pPr>
            <w:r w:rsidRPr="00C01AF3">
              <w:rPr>
                <w:sz w:val="22"/>
                <w:szCs w:val="22"/>
                <w:lang w:val="sr-Latn-ME"/>
              </w:rPr>
              <w:t>Ni</w:t>
            </w:r>
            <w:r w:rsidR="00A63634" w:rsidRPr="00C01AF3">
              <w:rPr>
                <w:sz w:val="22"/>
                <w:szCs w:val="22"/>
                <w:lang w:val="sr-Latn-ME"/>
              </w:rPr>
              <w:t>je</w:t>
            </w:r>
            <w:r w:rsidRPr="00C01AF3">
              <w:rPr>
                <w:sz w:val="22"/>
                <w:szCs w:val="22"/>
                <w:lang w:val="sr-Latn-ME"/>
              </w:rPr>
              <w:t xml:space="preserve">su dostupne informacije o </w:t>
            </w:r>
            <w:r w:rsidR="00BD0291" w:rsidRPr="00C01AF3">
              <w:rPr>
                <w:sz w:val="22"/>
                <w:szCs w:val="22"/>
                <w:lang w:val="sr-Latn-ME"/>
              </w:rPr>
              <w:t>primje</w:t>
            </w:r>
            <w:r w:rsidRPr="00C01AF3">
              <w:rPr>
                <w:sz w:val="22"/>
                <w:szCs w:val="22"/>
                <w:lang w:val="sr-Latn-ME"/>
              </w:rPr>
              <w:t>ni valsartana</w:t>
            </w:r>
            <w:r w:rsidR="00625871" w:rsidRPr="00C01AF3">
              <w:rPr>
                <w:sz w:val="22"/>
                <w:szCs w:val="22"/>
                <w:lang w:val="sr-Latn-ME"/>
              </w:rPr>
              <w:t xml:space="preserve"> i/ili amlodipina</w:t>
            </w:r>
            <w:r w:rsidRPr="00C01AF3">
              <w:rPr>
                <w:sz w:val="22"/>
                <w:szCs w:val="22"/>
                <w:lang w:val="sr-Latn-ME"/>
              </w:rPr>
              <w:t xml:space="preserve"> tokom dojenja. </w:t>
            </w:r>
            <w:r w:rsidR="007C4A86" w:rsidRPr="00C01AF3">
              <w:rPr>
                <w:sz w:val="22"/>
                <w:szCs w:val="22"/>
                <w:lang w:val="sr-Latn-ME"/>
              </w:rPr>
              <w:t>Hidrohlortiazid</w:t>
            </w:r>
            <w:r w:rsidR="00625871" w:rsidRPr="00C01AF3">
              <w:rPr>
                <w:sz w:val="22"/>
                <w:szCs w:val="22"/>
                <w:lang w:val="sr-Latn-ME"/>
              </w:rPr>
              <w:t xml:space="preserve"> se izlučuje u majčino m</w:t>
            </w:r>
            <w:r w:rsidR="00A65414" w:rsidRPr="00C01AF3">
              <w:rPr>
                <w:sz w:val="22"/>
                <w:szCs w:val="22"/>
                <w:lang w:val="sr-Latn-ME"/>
              </w:rPr>
              <w:t>lijek</w:t>
            </w:r>
            <w:r w:rsidRPr="00C01AF3">
              <w:rPr>
                <w:sz w:val="22"/>
                <w:szCs w:val="22"/>
                <w:lang w:val="sr-Latn-ME"/>
              </w:rPr>
              <w:t>o u malim količinama. Tiazidni diuretici u većim dozama izazivaju intenzivnu diurezu koja</w:t>
            </w:r>
            <w:r w:rsidR="00625871" w:rsidRPr="00C01AF3">
              <w:rPr>
                <w:sz w:val="22"/>
                <w:szCs w:val="22"/>
                <w:lang w:val="sr-Latn-ME"/>
              </w:rPr>
              <w:t xml:space="preserve"> može inhibirati ekskreciju m</w:t>
            </w:r>
            <w:r w:rsidR="00A65414" w:rsidRPr="00C01AF3">
              <w:rPr>
                <w:sz w:val="22"/>
                <w:szCs w:val="22"/>
                <w:lang w:val="sr-Latn-ME"/>
              </w:rPr>
              <w:t>lijek</w:t>
            </w:r>
            <w:r w:rsidRPr="00C01AF3">
              <w:rPr>
                <w:sz w:val="22"/>
                <w:szCs w:val="22"/>
                <w:lang w:val="sr-Latn-ME"/>
              </w:rPr>
              <w:t xml:space="preserve">a. </w:t>
            </w:r>
            <w:r w:rsidR="00BD0291" w:rsidRPr="00C01AF3">
              <w:rPr>
                <w:sz w:val="22"/>
                <w:szCs w:val="22"/>
                <w:lang w:val="sr-Latn-ME"/>
              </w:rPr>
              <w:t>Primje</w:t>
            </w:r>
            <w:r w:rsidRPr="00C01AF3">
              <w:rPr>
                <w:sz w:val="22"/>
                <w:szCs w:val="22"/>
                <w:lang w:val="sr-Latn-ME"/>
              </w:rPr>
              <w:t xml:space="preserve">na </w:t>
            </w:r>
            <w:r w:rsidR="00A65414" w:rsidRPr="00C01AF3">
              <w:rPr>
                <w:sz w:val="22"/>
                <w:szCs w:val="22"/>
                <w:lang w:val="sr-Latn-ME"/>
              </w:rPr>
              <w:t>lijek</w:t>
            </w:r>
            <w:r w:rsidRPr="00C01AF3">
              <w:rPr>
                <w:sz w:val="22"/>
                <w:szCs w:val="22"/>
                <w:lang w:val="sr-Latn-ME"/>
              </w:rPr>
              <w:t xml:space="preserve">a Exforge HCT tokom dojenja  se ne preporučuje. </w:t>
            </w:r>
            <w:r w:rsidR="00625871" w:rsidRPr="00C01AF3">
              <w:rPr>
                <w:sz w:val="22"/>
                <w:szCs w:val="22"/>
                <w:lang w:val="sr-Latn-ME"/>
              </w:rPr>
              <w:t xml:space="preserve"> Ako se </w:t>
            </w:r>
            <w:r w:rsidR="00A65414" w:rsidRPr="00C01AF3">
              <w:rPr>
                <w:sz w:val="22"/>
                <w:szCs w:val="22"/>
                <w:lang w:val="sr-Latn-ME"/>
              </w:rPr>
              <w:t>lijek</w:t>
            </w:r>
            <w:r w:rsidRPr="00C01AF3">
              <w:rPr>
                <w:sz w:val="22"/>
                <w:szCs w:val="22"/>
                <w:lang w:val="sr-Latn-ME"/>
              </w:rPr>
              <w:t xml:space="preserve"> Exforge HCT  koristi tokom dojenja</w:t>
            </w:r>
            <w:r w:rsidR="00A63634" w:rsidRPr="00C01AF3">
              <w:rPr>
                <w:sz w:val="22"/>
                <w:szCs w:val="22"/>
                <w:lang w:val="sr-Latn-ME"/>
              </w:rPr>
              <w:t>,</w:t>
            </w:r>
            <w:r w:rsidRPr="00C01AF3">
              <w:rPr>
                <w:sz w:val="22"/>
                <w:szCs w:val="22"/>
                <w:lang w:val="sr-Latn-ME"/>
              </w:rPr>
              <w:t xml:space="preserve"> do</w:t>
            </w:r>
            <w:r w:rsidR="00625871" w:rsidRPr="00C01AF3">
              <w:rPr>
                <w:sz w:val="22"/>
                <w:szCs w:val="22"/>
                <w:lang w:val="sr-Latn-ME"/>
              </w:rPr>
              <w:t xml:space="preserve">ze moraju </w:t>
            </w:r>
            <w:r w:rsidR="00A63634" w:rsidRPr="00C01AF3">
              <w:rPr>
                <w:sz w:val="22"/>
                <w:szCs w:val="22"/>
                <w:lang w:val="sr-Latn-ME"/>
              </w:rPr>
              <w:t>biti najmanje moguće.</w:t>
            </w:r>
            <w:r w:rsidRPr="00C01AF3">
              <w:rPr>
                <w:sz w:val="22"/>
                <w:szCs w:val="22"/>
                <w:lang w:val="sr-Latn-ME"/>
              </w:rPr>
              <w:t xml:space="preserve"> Tokom dojenja se </w:t>
            </w:r>
            <w:r w:rsidR="00E701F3" w:rsidRPr="00C01AF3">
              <w:rPr>
                <w:sz w:val="22"/>
                <w:szCs w:val="22"/>
                <w:lang w:val="sr-Latn-ME"/>
              </w:rPr>
              <w:t>savjet</w:t>
            </w:r>
            <w:r w:rsidRPr="00C01AF3">
              <w:rPr>
                <w:sz w:val="22"/>
                <w:szCs w:val="22"/>
                <w:lang w:val="sr-Latn-ME"/>
              </w:rPr>
              <w:t xml:space="preserve">uje alternativno </w:t>
            </w:r>
            <w:r w:rsidR="006A1297" w:rsidRPr="00C01AF3">
              <w:rPr>
                <w:sz w:val="22"/>
                <w:szCs w:val="22"/>
                <w:lang w:val="sr-Latn-ME"/>
              </w:rPr>
              <w:t>liječ</w:t>
            </w:r>
            <w:r w:rsidRPr="00C01AF3">
              <w:rPr>
                <w:sz w:val="22"/>
                <w:szCs w:val="22"/>
                <w:lang w:val="sr-Latn-ME"/>
              </w:rPr>
              <w:t xml:space="preserve">enje sa bolje utvrđenim </w:t>
            </w:r>
            <w:r w:rsidR="006A1297" w:rsidRPr="00C01AF3">
              <w:rPr>
                <w:sz w:val="22"/>
                <w:szCs w:val="22"/>
                <w:lang w:val="sr-Latn-ME"/>
              </w:rPr>
              <w:t>bezbjedn</w:t>
            </w:r>
            <w:r w:rsidRPr="00C01AF3">
              <w:rPr>
                <w:sz w:val="22"/>
                <w:szCs w:val="22"/>
                <w:lang w:val="sr-Latn-ME"/>
              </w:rPr>
              <w:t>osnim profilom, posebno kod dojenja novorođenčeta ili nedonoščeta.</w:t>
            </w:r>
          </w:p>
          <w:p w:rsidR="00AD5A98" w:rsidRPr="00C01AF3" w:rsidRDefault="00AD5A98" w:rsidP="00013C5E">
            <w:pPr>
              <w:tabs>
                <w:tab w:val="clear" w:pos="284"/>
              </w:tabs>
              <w:autoSpaceDE w:val="0"/>
              <w:autoSpaceDN w:val="0"/>
              <w:jc w:val="left"/>
              <w:rPr>
                <w:rFonts w:ascii="Times New Roman" w:hAnsi="Times New Roman"/>
                <w:sz w:val="22"/>
                <w:szCs w:val="22"/>
                <w:u w:val="single"/>
                <w:lang w:val="sr-Latn-ME"/>
              </w:rPr>
            </w:pPr>
          </w:p>
          <w:p w:rsidR="00013C5E" w:rsidRPr="00C01AF3" w:rsidRDefault="00013C5E" w:rsidP="00013C5E">
            <w:pPr>
              <w:tabs>
                <w:tab w:val="clear" w:pos="284"/>
              </w:tabs>
              <w:autoSpaceDE w:val="0"/>
              <w:autoSpaceDN w:val="0"/>
              <w:jc w:val="left"/>
              <w:rPr>
                <w:rFonts w:ascii="Times New Roman" w:hAnsi="Times New Roman"/>
                <w:sz w:val="22"/>
                <w:szCs w:val="22"/>
                <w:u w:val="single"/>
                <w:lang w:val="sr-Latn-ME"/>
              </w:rPr>
            </w:pPr>
            <w:r w:rsidRPr="00C01AF3">
              <w:rPr>
                <w:rFonts w:ascii="Times New Roman" w:hAnsi="Times New Roman"/>
                <w:sz w:val="22"/>
                <w:szCs w:val="22"/>
                <w:u w:val="single"/>
                <w:lang w:val="sr-Latn-ME"/>
              </w:rPr>
              <w:t>Plodnost</w:t>
            </w:r>
          </w:p>
          <w:p w:rsidR="00013C5E" w:rsidRPr="00C01AF3" w:rsidRDefault="00013C5E" w:rsidP="00013C5E">
            <w:pPr>
              <w:tabs>
                <w:tab w:val="clear" w:pos="284"/>
              </w:tabs>
              <w:autoSpaceDE w:val="0"/>
              <w:autoSpaceDN w:val="0"/>
              <w:jc w:val="left"/>
              <w:rPr>
                <w:rFonts w:ascii="Times New Roman" w:hAnsi="Times New Roman"/>
                <w:sz w:val="22"/>
                <w:szCs w:val="22"/>
                <w:lang w:val="sr-Latn-ME"/>
              </w:rPr>
            </w:pPr>
            <w:r w:rsidRPr="00C01AF3">
              <w:rPr>
                <w:rFonts w:ascii="Times New Roman" w:hAnsi="Times New Roman"/>
                <w:sz w:val="22"/>
                <w:szCs w:val="22"/>
                <w:lang w:val="sr-Latn-ME"/>
              </w:rPr>
              <w:t xml:space="preserve">Nema kliničkih ispitivanja o </w:t>
            </w:r>
            <w:r w:rsidR="00A63634" w:rsidRPr="00C01AF3">
              <w:rPr>
                <w:rFonts w:ascii="Times New Roman" w:hAnsi="Times New Roman"/>
                <w:sz w:val="22"/>
                <w:szCs w:val="22"/>
                <w:lang w:val="sr-Latn-ME"/>
              </w:rPr>
              <w:t xml:space="preserve">djelovanju </w:t>
            </w:r>
            <w:r w:rsidR="00A65414" w:rsidRPr="00C01AF3">
              <w:rPr>
                <w:rFonts w:ascii="Times New Roman" w:hAnsi="Times New Roman"/>
                <w:sz w:val="22"/>
                <w:szCs w:val="22"/>
                <w:lang w:val="sr-Latn-ME"/>
              </w:rPr>
              <w:t>lijek</w:t>
            </w:r>
            <w:r w:rsidR="00A63634" w:rsidRPr="00C01AF3">
              <w:rPr>
                <w:rFonts w:ascii="Times New Roman" w:hAnsi="Times New Roman"/>
                <w:sz w:val="22"/>
                <w:szCs w:val="22"/>
                <w:lang w:val="sr-Latn-ME"/>
              </w:rPr>
              <w:t>a</w:t>
            </w:r>
            <w:r w:rsidR="00AD5A98" w:rsidRPr="00C01AF3">
              <w:rPr>
                <w:lang w:val="sr-Latn-ME"/>
              </w:rPr>
              <w:t xml:space="preserve"> </w:t>
            </w:r>
            <w:r w:rsidR="00AD5A98" w:rsidRPr="00C01AF3">
              <w:rPr>
                <w:rFonts w:ascii="Times New Roman" w:hAnsi="Times New Roman"/>
                <w:sz w:val="22"/>
                <w:szCs w:val="22"/>
                <w:lang w:val="sr-Latn-ME"/>
              </w:rPr>
              <w:t>Exforge HCT</w:t>
            </w:r>
            <w:r w:rsidR="00A63634" w:rsidRPr="00C01AF3">
              <w:rPr>
                <w:rFonts w:ascii="Times New Roman" w:hAnsi="Times New Roman"/>
                <w:sz w:val="22"/>
                <w:szCs w:val="22"/>
                <w:lang w:val="sr-Latn-ME"/>
              </w:rPr>
              <w:t xml:space="preserve"> na plodnost.</w:t>
            </w:r>
          </w:p>
          <w:p w:rsidR="00921C4F" w:rsidRPr="00C01AF3" w:rsidRDefault="00921C4F" w:rsidP="00013C5E">
            <w:pPr>
              <w:tabs>
                <w:tab w:val="clear" w:pos="284"/>
              </w:tabs>
              <w:autoSpaceDE w:val="0"/>
              <w:autoSpaceDN w:val="0"/>
              <w:jc w:val="left"/>
              <w:rPr>
                <w:rFonts w:ascii="Times New Roman" w:hAnsi="Times New Roman"/>
                <w:sz w:val="22"/>
                <w:szCs w:val="22"/>
                <w:lang w:val="sr-Latn-ME"/>
              </w:rPr>
            </w:pPr>
          </w:p>
          <w:p w:rsidR="00664600" w:rsidRPr="00C01AF3" w:rsidRDefault="00664600" w:rsidP="006B2702">
            <w:pPr>
              <w:pStyle w:val="Text"/>
              <w:spacing w:before="0"/>
              <w:rPr>
                <w:i/>
                <w:sz w:val="22"/>
                <w:szCs w:val="22"/>
                <w:u w:val="single"/>
                <w:lang w:val="sr-Latn-ME"/>
              </w:rPr>
            </w:pPr>
            <w:r w:rsidRPr="00C01AF3">
              <w:rPr>
                <w:i/>
                <w:sz w:val="22"/>
                <w:szCs w:val="22"/>
                <w:u w:val="single"/>
                <w:lang w:val="sr-Latn-ME"/>
              </w:rPr>
              <w:t>Valsartan</w:t>
            </w:r>
          </w:p>
          <w:p w:rsidR="00664600" w:rsidRPr="00C01AF3" w:rsidRDefault="00664600" w:rsidP="00AF0129">
            <w:pPr>
              <w:pStyle w:val="Text"/>
              <w:spacing w:before="0"/>
              <w:jc w:val="left"/>
              <w:rPr>
                <w:bCs/>
                <w:sz w:val="22"/>
                <w:szCs w:val="22"/>
                <w:lang w:val="sr-Latn-ME"/>
              </w:rPr>
            </w:pPr>
            <w:r w:rsidRPr="00C01AF3">
              <w:rPr>
                <w:bCs/>
                <w:sz w:val="22"/>
                <w:szCs w:val="22"/>
                <w:lang w:val="sr-Latn-ME"/>
              </w:rPr>
              <w:t>V</w:t>
            </w:r>
            <w:r w:rsidR="00AF0129" w:rsidRPr="00C01AF3">
              <w:rPr>
                <w:bCs/>
                <w:sz w:val="22"/>
                <w:szCs w:val="22"/>
                <w:lang w:val="sr-Latn-ME"/>
              </w:rPr>
              <w:t>alsartan n</w:t>
            </w:r>
            <w:r w:rsidR="00A63634" w:rsidRPr="00C01AF3">
              <w:rPr>
                <w:bCs/>
                <w:sz w:val="22"/>
                <w:szCs w:val="22"/>
                <w:lang w:val="sr-Latn-ME"/>
              </w:rPr>
              <w:t>ije imao</w:t>
            </w:r>
            <w:r w:rsidR="00AF0129" w:rsidRPr="00C01AF3">
              <w:rPr>
                <w:bCs/>
                <w:sz w:val="22"/>
                <w:szCs w:val="22"/>
                <w:lang w:val="sr-Latn-ME"/>
              </w:rPr>
              <w:t xml:space="preserve"> neželjen</w:t>
            </w:r>
            <w:r w:rsidR="00A63634" w:rsidRPr="00C01AF3">
              <w:rPr>
                <w:bCs/>
                <w:sz w:val="22"/>
                <w:szCs w:val="22"/>
                <w:lang w:val="sr-Latn-ME"/>
              </w:rPr>
              <w:t>ih</w:t>
            </w:r>
            <w:r w:rsidR="00AF0129" w:rsidRPr="00C01AF3">
              <w:rPr>
                <w:bCs/>
                <w:sz w:val="22"/>
                <w:szCs w:val="22"/>
                <w:lang w:val="sr-Latn-ME"/>
              </w:rPr>
              <w:t xml:space="preserve"> dejst</w:t>
            </w:r>
            <w:r w:rsidR="00A63634" w:rsidRPr="00C01AF3">
              <w:rPr>
                <w:bCs/>
                <w:sz w:val="22"/>
                <w:szCs w:val="22"/>
                <w:lang w:val="sr-Latn-ME"/>
              </w:rPr>
              <w:t>ava</w:t>
            </w:r>
            <w:r w:rsidR="00AF0129" w:rsidRPr="00C01AF3">
              <w:rPr>
                <w:bCs/>
                <w:sz w:val="22"/>
                <w:szCs w:val="22"/>
                <w:lang w:val="sr-Latn-ME"/>
              </w:rPr>
              <w:t xml:space="preserve"> </w:t>
            </w:r>
            <w:r w:rsidRPr="00C01AF3">
              <w:rPr>
                <w:bCs/>
                <w:sz w:val="22"/>
                <w:szCs w:val="22"/>
                <w:lang w:val="sr-Latn-ME"/>
              </w:rPr>
              <w:t>na reprodukcij</w:t>
            </w:r>
            <w:r w:rsidR="00A63634" w:rsidRPr="00C01AF3">
              <w:rPr>
                <w:bCs/>
                <w:sz w:val="22"/>
                <w:szCs w:val="22"/>
                <w:lang w:val="sr-Latn-ME"/>
              </w:rPr>
              <w:t>u</w:t>
            </w:r>
            <w:r w:rsidRPr="00C01AF3">
              <w:rPr>
                <w:bCs/>
                <w:sz w:val="22"/>
                <w:szCs w:val="22"/>
                <w:lang w:val="sr-Latn-ME"/>
              </w:rPr>
              <w:t xml:space="preserve"> mužjaka i ženki pacova pri oralnim dozama do 200 mg/kg/dan. Ova doza je 6 puta veća od maksimalne preporučene</w:t>
            </w:r>
            <w:r w:rsidR="00143A28" w:rsidRPr="00C01AF3">
              <w:rPr>
                <w:bCs/>
                <w:sz w:val="22"/>
                <w:szCs w:val="22"/>
                <w:lang w:val="sr-Latn-ME"/>
              </w:rPr>
              <w:t xml:space="preserve"> humane </w:t>
            </w:r>
            <w:r w:rsidRPr="00C01AF3">
              <w:rPr>
                <w:bCs/>
                <w:sz w:val="22"/>
                <w:szCs w:val="22"/>
                <w:lang w:val="sr-Latn-ME"/>
              </w:rPr>
              <w:t xml:space="preserve">doze, </w:t>
            </w:r>
            <w:r w:rsidR="00A63634" w:rsidRPr="00C01AF3">
              <w:rPr>
                <w:bCs/>
                <w:sz w:val="22"/>
                <w:szCs w:val="22"/>
                <w:lang w:val="sr-Latn-ME"/>
              </w:rPr>
              <w:t>izražene u</w:t>
            </w:r>
            <w:r w:rsidRPr="00C01AF3">
              <w:rPr>
                <w:bCs/>
                <w:sz w:val="22"/>
                <w:szCs w:val="22"/>
                <w:lang w:val="sr-Latn-ME"/>
              </w:rPr>
              <w:t xml:space="preserve"> mg/m</w:t>
            </w:r>
            <w:r w:rsidRPr="00C01AF3">
              <w:rPr>
                <w:bCs/>
                <w:sz w:val="22"/>
                <w:szCs w:val="22"/>
                <w:vertAlign w:val="superscript"/>
                <w:lang w:val="sr-Latn-ME"/>
              </w:rPr>
              <w:t>2</w:t>
            </w:r>
            <w:r w:rsidR="004A59A5" w:rsidRPr="00C01AF3">
              <w:rPr>
                <w:bCs/>
                <w:sz w:val="22"/>
                <w:szCs w:val="22"/>
                <w:lang w:val="sr-Latn-ME"/>
              </w:rPr>
              <w:t xml:space="preserve"> (</w:t>
            </w:r>
            <w:r w:rsidRPr="00C01AF3">
              <w:rPr>
                <w:bCs/>
                <w:sz w:val="22"/>
                <w:szCs w:val="22"/>
                <w:lang w:val="sr-Latn-ME"/>
              </w:rPr>
              <w:t>na osnovu pretpostavljene oralne doze od 320 mg/dan kod pacijenata t</w:t>
            </w:r>
            <w:r w:rsidR="005A518B" w:rsidRPr="00C01AF3">
              <w:rPr>
                <w:bCs/>
                <w:sz w:val="22"/>
                <w:szCs w:val="22"/>
                <w:lang w:val="sr-Latn-ME"/>
              </w:rPr>
              <w:t>j</w:t>
            </w:r>
            <w:r w:rsidRPr="00C01AF3">
              <w:rPr>
                <w:bCs/>
                <w:sz w:val="22"/>
                <w:szCs w:val="22"/>
                <w:lang w:val="sr-Latn-ME"/>
              </w:rPr>
              <w:t>elesne mase 60 kg).</w:t>
            </w:r>
          </w:p>
          <w:p w:rsidR="00664600" w:rsidRPr="00C01AF3" w:rsidRDefault="00664600" w:rsidP="00AF0129">
            <w:pPr>
              <w:pStyle w:val="Text"/>
              <w:jc w:val="left"/>
              <w:rPr>
                <w:bCs/>
                <w:sz w:val="22"/>
                <w:szCs w:val="22"/>
                <w:lang w:val="sr-Latn-ME"/>
              </w:rPr>
            </w:pPr>
          </w:p>
          <w:p w:rsidR="00664600" w:rsidRPr="00C01AF3" w:rsidRDefault="00664600" w:rsidP="00AF0129">
            <w:pPr>
              <w:pStyle w:val="Text"/>
              <w:spacing w:before="0"/>
              <w:jc w:val="left"/>
              <w:rPr>
                <w:bCs/>
                <w:i/>
                <w:sz w:val="22"/>
                <w:szCs w:val="22"/>
                <w:u w:val="single"/>
                <w:lang w:val="sr-Latn-ME"/>
              </w:rPr>
            </w:pPr>
            <w:r w:rsidRPr="00C01AF3">
              <w:rPr>
                <w:bCs/>
                <w:i/>
                <w:sz w:val="22"/>
                <w:szCs w:val="22"/>
                <w:u w:val="single"/>
                <w:lang w:val="sr-Latn-ME"/>
              </w:rPr>
              <w:t>Amlodipin</w:t>
            </w:r>
          </w:p>
          <w:p w:rsidR="00664600" w:rsidRPr="00C01AF3" w:rsidRDefault="00AC43A0" w:rsidP="002770EE">
            <w:pPr>
              <w:pStyle w:val="Text"/>
              <w:spacing w:before="0"/>
              <w:jc w:val="left"/>
              <w:rPr>
                <w:bCs/>
                <w:sz w:val="22"/>
                <w:szCs w:val="22"/>
                <w:lang w:val="sr-Latn-ME"/>
              </w:rPr>
            </w:pPr>
            <w:r w:rsidRPr="00C01AF3">
              <w:rPr>
                <w:bCs/>
                <w:sz w:val="22"/>
                <w:szCs w:val="22"/>
                <w:lang w:val="sr-Latn-ME"/>
              </w:rPr>
              <w:t xml:space="preserve">Reverzibilne </w:t>
            </w:r>
            <w:r w:rsidR="00664600" w:rsidRPr="00C01AF3">
              <w:rPr>
                <w:bCs/>
                <w:sz w:val="22"/>
                <w:szCs w:val="22"/>
                <w:lang w:val="sr-Latn-ME"/>
              </w:rPr>
              <w:t xml:space="preserve">biohemijske </w:t>
            </w:r>
            <w:r w:rsidR="00644CBB" w:rsidRPr="00C01AF3">
              <w:rPr>
                <w:bCs/>
                <w:sz w:val="22"/>
                <w:szCs w:val="22"/>
                <w:lang w:val="sr-Latn-ME"/>
              </w:rPr>
              <w:t>promjen</w:t>
            </w:r>
            <w:r w:rsidR="00664600" w:rsidRPr="00C01AF3">
              <w:rPr>
                <w:bCs/>
                <w:sz w:val="22"/>
                <w:szCs w:val="22"/>
                <w:lang w:val="sr-Latn-ME"/>
              </w:rPr>
              <w:t>e na glavi spermatozoida kod nekih pacijenata koji su primali blokatore kalcijum</w:t>
            </w:r>
            <w:r w:rsidR="001C427B" w:rsidRPr="00C01AF3">
              <w:rPr>
                <w:bCs/>
                <w:sz w:val="22"/>
                <w:szCs w:val="22"/>
                <w:lang w:val="sr-Latn-ME"/>
              </w:rPr>
              <w:t>skih</w:t>
            </w:r>
            <w:r w:rsidR="00664600" w:rsidRPr="00C01AF3">
              <w:rPr>
                <w:bCs/>
                <w:sz w:val="22"/>
                <w:szCs w:val="22"/>
                <w:lang w:val="sr-Latn-ME"/>
              </w:rPr>
              <w:t xml:space="preserve"> kanala.  Nedovoljni su klinički podaci o potencijalnom efektu</w:t>
            </w:r>
            <w:r w:rsidR="009A2CA5" w:rsidRPr="00C01AF3">
              <w:rPr>
                <w:bCs/>
                <w:sz w:val="22"/>
                <w:szCs w:val="22"/>
                <w:lang w:val="sr-Latn-ME"/>
              </w:rPr>
              <w:t xml:space="preserve"> amlodipina na plodnost. U jednoj</w:t>
            </w:r>
            <w:r w:rsidR="00664600" w:rsidRPr="00C01AF3">
              <w:rPr>
                <w:bCs/>
                <w:sz w:val="22"/>
                <w:szCs w:val="22"/>
                <w:lang w:val="sr-Latn-ME"/>
              </w:rPr>
              <w:t xml:space="preserve"> </w:t>
            </w:r>
            <w:r w:rsidR="009A2CA5" w:rsidRPr="00C01AF3">
              <w:rPr>
                <w:bCs/>
                <w:sz w:val="22"/>
                <w:szCs w:val="22"/>
                <w:lang w:val="sr-Latn-ME"/>
              </w:rPr>
              <w:t>studiji</w:t>
            </w:r>
            <w:r w:rsidR="00664600" w:rsidRPr="00C01AF3">
              <w:rPr>
                <w:bCs/>
                <w:sz w:val="22"/>
                <w:szCs w:val="22"/>
                <w:lang w:val="sr-Latn-ME"/>
              </w:rPr>
              <w:t xml:space="preserve"> na pacovima, </w:t>
            </w:r>
            <w:r w:rsidR="003309F3" w:rsidRPr="00C01AF3">
              <w:rPr>
                <w:bCs/>
                <w:sz w:val="22"/>
                <w:szCs w:val="22"/>
                <w:lang w:val="sr-Latn-ME"/>
              </w:rPr>
              <w:t>zabilje</w:t>
            </w:r>
            <w:r w:rsidR="00664600" w:rsidRPr="00C01AF3">
              <w:rPr>
                <w:bCs/>
                <w:sz w:val="22"/>
                <w:szCs w:val="22"/>
                <w:lang w:val="sr-Latn-ME"/>
              </w:rPr>
              <w:t xml:space="preserve">žena su neželjena dejstva </w:t>
            </w:r>
            <w:r w:rsidR="00E172CC" w:rsidRPr="00C01AF3">
              <w:rPr>
                <w:bCs/>
                <w:sz w:val="22"/>
                <w:szCs w:val="22"/>
                <w:lang w:val="sr-Latn-ME"/>
              </w:rPr>
              <w:t>na plodnost mužjaka (vid</w:t>
            </w:r>
            <w:r w:rsidR="00613979" w:rsidRPr="00C01AF3">
              <w:rPr>
                <w:bCs/>
                <w:sz w:val="22"/>
                <w:szCs w:val="22"/>
                <w:lang w:val="sr-Latn-ME"/>
              </w:rPr>
              <w:t>j</w:t>
            </w:r>
            <w:r w:rsidR="00E70663" w:rsidRPr="00C01AF3">
              <w:rPr>
                <w:bCs/>
                <w:sz w:val="22"/>
                <w:szCs w:val="22"/>
                <w:lang w:val="sr-Latn-ME"/>
              </w:rPr>
              <w:t>eti od</w:t>
            </w:r>
            <w:r w:rsidR="00613979" w:rsidRPr="00C01AF3">
              <w:rPr>
                <w:bCs/>
                <w:sz w:val="22"/>
                <w:szCs w:val="22"/>
                <w:lang w:val="sr-Latn-ME"/>
              </w:rPr>
              <w:t>j</w:t>
            </w:r>
            <w:r w:rsidR="00E70663" w:rsidRPr="00C01AF3">
              <w:rPr>
                <w:bCs/>
                <w:sz w:val="22"/>
                <w:szCs w:val="22"/>
                <w:lang w:val="sr-Latn-ME"/>
              </w:rPr>
              <w:t>eljak</w:t>
            </w:r>
            <w:r w:rsidR="00664600" w:rsidRPr="00C01AF3">
              <w:rPr>
                <w:bCs/>
                <w:sz w:val="22"/>
                <w:szCs w:val="22"/>
                <w:lang w:val="sr-Latn-ME"/>
              </w:rPr>
              <w:t xml:space="preserve"> 5.3).</w:t>
            </w:r>
          </w:p>
          <w:p w:rsidR="00834DBB" w:rsidRPr="00C01AF3" w:rsidRDefault="00834DBB" w:rsidP="004770B5">
            <w:pPr>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pacing w:val="-8"/>
                <w:sz w:val="22"/>
                <w:szCs w:val="22"/>
                <w:lang w:val="sr-Latn-ME"/>
              </w:rPr>
            </w:pPr>
            <w:r w:rsidRPr="00C01AF3">
              <w:rPr>
                <w:rFonts w:ascii="Times New Roman" w:hAnsi="Times New Roman"/>
                <w:b/>
                <w:bCs/>
                <w:spacing w:val="-8"/>
                <w:sz w:val="22"/>
                <w:szCs w:val="22"/>
                <w:lang w:val="sr-Latn-ME"/>
              </w:rPr>
              <w:lastRenderedPageBreak/>
              <w:t>4.7. Uticaj na psihofizičke sposobnosti prilikom upravljanja motornim vozilom i rukovanja mašinama</w:t>
            </w:r>
          </w:p>
        </w:tc>
      </w:tr>
      <w:tr w:rsidR="00834DBB" w:rsidRPr="00C01AF3" w:rsidTr="00DE0A48">
        <w:trPr>
          <w:trHeight w:val="1145"/>
        </w:trPr>
        <w:tc>
          <w:tcPr>
            <w:tcW w:w="10188" w:type="dxa"/>
            <w:gridSpan w:val="3"/>
            <w:vAlign w:val="center"/>
          </w:tcPr>
          <w:p w:rsidR="00954B70" w:rsidRPr="00C01AF3" w:rsidRDefault="00954B70" w:rsidP="002770EE">
            <w:pPr>
              <w:jc w:val="left"/>
              <w:rPr>
                <w:rFonts w:ascii="Times New Roman" w:hAnsi="Times New Roman"/>
                <w:sz w:val="22"/>
                <w:szCs w:val="22"/>
                <w:lang w:val="sr-Latn-ME"/>
              </w:rPr>
            </w:pPr>
            <w:r w:rsidRPr="00C01AF3">
              <w:rPr>
                <w:rFonts w:ascii="Times New Roman" w:hAnsi="Times New Roman" w:cs="Arial"/>
                <w:sz w:val="22"/>
                <w:lang w:val="sr-Latn-ME"/>
              </w:rPr>
              <w:t xml:space="preserve">Pacijenti koji uzimaju </w:t>
            </w:r>
            <w:r w:rsidR="00A65414" w:rsidRPr="00C01AF3">
              <w:rPr>
                <w:rFonts w:ascii="Times New Roman" w:hAnsi="Times New Roman" w:cs="Arial"/>
                <w:sz w:val="22"/>
                <w:lang w:val="sr-Latn-ME"/>
              </w:rPr>
              <w:t>lijek</w:t>
            </w:r>
            <w:r w:rsidRPr="00C01AF3">
              <w:rPr>
                <w:rFonts w:ascii="Times New Roman" w:hAnsi="Times New Roman" w:cs="Arial"/>
                <w:sz w:val="22"/>
                <w:lang w:val="sr-Latn-ME"/>
              </w:rPr>
              <w:t xml:space="preserve"> </w:t>
            </w:r>
            <w:r w:rsidR="002770EE" w:rsidRPr="00C01AF3">
              <w:rPr>
                <w:rFonts w:ascii="Times New Roman" w:hAnsi="Times New Roman" w:cs="Arial"/>
                <w:sz w:val="22"/>
                <w:lang w:val="sr-Latn-ME"/>
              </w:rPr>
              <w:t>Exforge HCT</w:t>
            </w:r>
            <w:r w:rsidRPr="00C01AF3">
              <w:rPr>
                <w:rFonts w:ascii="Times New Roman" w:hAnsi="Times New Roman" w:cs="Arial"/>
                <w:sz w:val="22"/>
                <w:lang w:val="sr-Latn-ME"/>
              </w:rPr>
              <w:t xml:space="preserve"> i upravljaju motornim vozilima ili rukuju mašinama treba</w:t>
            </w:r>
            <w:r w:rsidR="005F0B76" w:rsidRPr="00C01AF3">
              <w:rPr>
                <w:rFonts w:ascii="Times New Roman" w:hAnsi="Times New Roman" w:cs="Arial"/>
                <w:sz w:val="22"/>
                <w:lang w:val="sr-Latn-ME"/>
              </w:rPr>
              <w:t xml:space="preserve">lo bi </w:t>
            </w:r>
            <w:r w:rsidR="00100606" w:rsidRPr="00C01AF3">
              <w:rPr>
                <w:rFonts w:ascii="Times New Roman" w:hAnsi="Times New Roman" w:cs="Arial"/>
                <w:sz w:val="22"/>
                <w:lang w:val="sr-Latn-ME"/>
              </w:rPr>
              <w:t>da imaju u vidu</w:t>
            </w:r>
            <w:r w:rsidR="00B56725" w:rsidRPr="00C01AF3">
              <w:rPr>
                <w:rFonts w:ascii="Times New Roman" w:hAnsi="Times New Roman" w:cs="Arial"/>
                <w:sz w:val="22"/>
                <w:lang w:val="sr-Latn-ME"/>
              </w:rPr>
              <w:t xml:space="preserve"> da se mogu povremeno javiti ošamućenost i os</w:t>
            </w:r>
            <w:r w:rsidR="005A518B" w:rsidRPr="00C01AF3">
              <w:rPr>
                <w:rFonts w:ascii="Times New Roman" w:hAnsi="Times New Roman" w:cs="Arial"/>
                <w:sz w:val="22"/>
                <w:lang w:val="sr-Latn-ME"/>
              </w:rPr>
              <w:t>j</w:t>
            </w:r>
            <w:r w:rsidR="00B56725" w:rsidRPr="00C01AF3">
              <w:rPr>
                <w:rFonts w:ascii="Times New Roman" w:hAnsi="Times New Roman" w:cs="Arial"/>
                <w:sz w:val="22"/>
                <w:lang w:val="sr-Latn-ME"/>
              </w:rPr>
              <w:t>ećaj umora.</w:t>
            </w:r>
            <w:r w:rsidR="00DE0A48" w:rsidRPr="00C01AF3">
              <w:rPr>
                <w:rFonts w:ascii="Times New Roman" w:hAnsi="Times New Roman"/>
                <w:sz w:val="22"/>
                <w:szCs w:val="22"/>
                <w:lang w:val="sr-Latn-ME"/>
              </w:rPr>
              <w:t xml:space="preserve"> </w:t>
            </w:r>
          </w:p>
          <w:p w:rsidR="009658EF" w:rsidRPr="00C01AF3" w:rsidRDefault="009658EF" w:rsidP="002770EE">
            <w:pPr>
              <w:jc w:val="left"/>
              <w:rPr>
                <w:rFonts w:ascii="Times New Roman" w:hAnsi="Times New Roman"/>
                <w:sz w:val="22"/>
                <w:szCs w:val="22"/>
                <w:lang w:val="sr-Latn-ME"/>
              </w:rPr>
            </w:pPr>
          </w:p>
          <w:p w:rsidR="00834DBB" w:rsidRPr="00C01AF3" w:rsidRDefault="00DE0A48" w:rsidP="002770EE">
            <w:pPr>
              <w:jc w:val="left"/>
              <w:rPr>
                <w:rFonts w:ascii="Times New Roman" w:hAnsi="Times New Roman" w:cs="Arial"/>
                <w:sz w:val="22"/>
                <w:lang w:val="sr-Latn-ME"/>
              </w:rPr>
            </w:pPr>
            <w:r w:rsidRPr="00C01AF3">
              <w:rPr>
                <w:rFonts w:ascii="Times New Roman" w:hAnsi="Times New Roman" w:cs="Arial"/>
                <w:sz w:val="22"/>
                <w:lang w:val="sr-Latn-ME"/>
              </w:rPr>
              <w:t xml:space="preserve">Amlodipin može imati blagi do </w:t>
            </w:r>
            <w:r w:rsidR="00BD0291" w:rsidRPr="00C01AF3">
              <w:rPr>
                <w:rFonts w:ascii="Times New Roman" w:hAnsi="Times New Roman" w:cs="Arial"/>
                <w:sz w:val="22"/>
                <w:lang w:val="sr-Latn-ME"/>
              </w:rPr>
              <w:t>umjeren</w:t>
            </w:r>
            <w:r w:rsidRPr="00C01AF3">
              <w:rPr>
                <w:rFonts w:ascii="Times New Roman" w:hAnsi="Times New Roman" w:cs="Arial"/>
                <w:sz w:val="22"/>
                <w:lang w:val="sr-Latn-ME"/>
              </w:rPr>
              <w:t>i uticaj na sposobnost upravljanja vozilima i rukovanja mašinama. Kod pacije</w:t>
            </w:r>
            <w:r w:rsidR="00954B70" w:rsidRPr="00C01AF3">
              <w:rPr>
                <w:rFonts w:ascii="Times New Roman" w:hAnsi="Times New Roman" w:cs="Arial"/>
                <w:sz w:val="22"/>
                <w:lang w:val="sr-Latn-ME"/>
              </w:rPr>
              <w:t xml:space="preserve">nata koji </w:t>
            </w:r>
            <w:r w:rsidR="00BD0291" w:rsidRPr="00C01AF3">
              <w:rPr>
                <w:rFonts w:ascii="Times New Roman" w:hAnsi="Times New Roman" w:cs="Arial"/>
                <w:sz w:val="22"/>
                <w:lang w:val="sr-Latn-ME"/>
              </w:rPr>
              <w:t>primje</w:t>
            </w:r>
            <w:r w:rsidR="00187DE6" w:rsidRPr="00C01AF3">
              <w:rPr>
                <w:rFonts w:ascii="Times New Roman" w:hAnsi="Times New Roman" w:cs="Arial"/>
                <w:sz w:val="22"/>
                <w:lang w:val="sr-Latn-ME"/>
              </w:rPr>
              <w:t>njuju Exforge HCT</w:t>
            </w:r>
            <w:r w:rsidR="00954B70" w:rsidRPr="00C01AF3">
              <w:rPr>
                <w:rFonts w:ascii="Times New Roman" w:hAnsi="Times New Roman" w:cs="Arial"/>
                <w:sz w:val="22"/>
                <w:lang w:val="sr-Latn-ME"/>
              </w:rPr>
              <w:t xml:space="preserve"> a</w:t>
            </w:r>
            <w:r w:rsidRPr="00C01AF3">
              <w:rPr>
                <w:rFonts w:ascii="Times New Roman" w:hAnsi="Times New Roman" w:cs="Arial"/>
                <w:sz w:val="22"/>
                <w:lang w:val="sr-Latn-ME"/>
              </w:rPr>
              <w:t xml:space="preserve"> boluju od vrtoglavice, glavobolje, zamora ili mučnine, sposobnost reagovanja može biti smanjena.</w:t>
            </w:r>
          </w:p>
          <w:p w:rsidR="00E610FE" w:rsidRPr="00C01AF3" w:rsidRDefault="00E610FE" w:rsidP="00954B70">
            <w:pPr>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4.8. Neželjena dejstva</w:t>
            </w:r>
          </w:p>
          <w:p w:rsidR="00EE1986" w:rsidRPr="00C01AF3" w:rsidRDefault="006A1297" w:rsidP="00481601">
            <w:pPr>
              <w:tabs>
                <w:tab w:val="clear" w:pos="284"/>
              </w:tabs>
              <w:autoSpaceDE w:val="0"/>
              <w:autoSpaceDN w:val="0"/>
              <w:rPr>
                <w:rFonts w:ascii="Times New Roman" w:hAnsi="Times New Roman"/>
                <w:bCs/>
                <w:sz w:val="22"/>
                <w:szCs w:val="22"/>
                <w:lang w:val="sr-Latn-ME"/>
              </w:rPr>
            </w:pPr>
            <w:r w:rsidRPr="00C01AF3">
              <w:rPr>
                <w:rFonts w:ascii="Times New Roman" w:hAnsi="Times New Roman"/>
                <w:bCs/>
                <w:sz w:val="22"/>
                <w:szCs w:val="22"/>
                <w:lang w:val="sr-Latn-ME"/>
              </w:rPr>
              <w:t>Bezbjedn</w:t>
            </w:r>
            <w:r w:rsidR="00F343A7" w:rsidRPr="00C01AF3">
              <w:rPr>
                <w:rFonts w:ascii="Times New Roman" w:hAnsi="Times New Roman"/>
                <w:bCs/>
                <w:sz w:val="22"/>
                <w:szCs w:val="22"/>
                <w:lang w:val="sr-Latn-ME"/>
              </w:rPr>
              <w:t>osni</w:t>
            </w:r>
            <w:r w:rsidR="00BA20FF" w:rsidRPr="00C01AF3">
              <w:rPr>
                <w:rFonts w:ascii="Times New Roman" w:hAnsi="Times New Roman"/>
                <w:bCs/>
                <w:sz w:val="22"/>
                <w:szCs w:val="22"/>
                <w:lang w:val="sr-Latn-ME"/>
              </w:rPr>
              <w:t xml:space="preserve"> profil </w:t>
            </w:r>
            <w:r w:rsidR="00A65414" w:rsidRPr="00C01AF3">
              <w:rPr>
                <w:rFonts w:ascii="Times New Roman" w:hAnsi="Times New Roman"/>
                <w:bCs/>
                <w:sz w:val="22"/>
                <w:szCs w:val="22"/>
                <w:lang w:val="sr-Latn-ME"/>
              </w:rPr>
              <w:t>lijek</w:t>
            </w:r>
            <w:r w:rsidR="00F343A7" w:rsidRPr="00C01AF3">
              <w:rPr>
                <w:rFonts w:ascii="Times New Roman" w:hAnsi="Times New Roman"/>
                <w:bCs/>
                <w:sz w:val="22"/>
                <w:szCs w:val="22"/>
                <w:lang w:val="sr-Latn-ME"/>
              </w:rPr>
              <w:t xml:space="preserve">a Exforge HCT je zasnovan na kliničkim </w:t>
            </w:r>
            <w:r w:rsidR="00BA20FF" w:rsidRPr="00C01AF3">
              <w:rPr>
                <w:rFonts w:ascii="Times New Roman" w:hAnsi="Times New Roman"/>
                <w:bCs/>
                <w:sz w:val="22"/>
                <w:szCs w:val="22"/>
                <w:lang w:val="sr-Latn-ME"/>
              </w:rPr>
              <w:t xml:space="preserve">studijama sa </w:t>
            </w:r>
            <w:r w:rsidR="00A65414" w:rsidRPr="00C01AF3">
              <w:rPr>
                <w:rFonts w:ascii="Times New Roman" w:hAnsi="Times New Roman"/>
                <w:bCs/>
                <w:sz w:val="22"/>
                <w:szCs w:val="22"/>
                <w:lang w:val="sr-Latn-ME"/>
              </w:rPr>
              <w:t>lijek</w:t>
            </w:r>
            <w:r w:rsidR="00F343A7" w:rsidRPr="00C01AF3">
              <w:rPr>
                <w:rFonts w:ascii="Times New Roman" w:hAnsi="Times New Roman"/>
                <w:bCs/>
                <w:sz w:val="22"/>
                <w:szCs w:val="22"/>
                <w:lang w:val="sr-Latn-ME"/>
              </w:rPr>
              <w:t>om Exforge HCT</w:t>
            </w:r>
            <w:r w:rsidR="00AC1585" w:rsidRPr="00C01AF3">
              <w:rPr>
                <w:rFonts w:ascii="Times New Roman" w:hAnsi="Times New Roman"/>
                <w:bCs/>
                <w:sz w:val="22"/>
                <w:szCs w:val="22"/>
                <w:lang w:val="sr-Latn-ME"/>
              </w:rPr>
              <w:t xml:space="preserve"> i poznatom </w:t>
            </w:r>
            <w:r w:rsidRPr="00C01AF3">
              <w:rPr>
                <w:rFonts w:ascii="Times New Roman" w:hAnsi="Times New Roman"/>
                <w:bCs/>
                <w:sz w:val="22"/>
                <w:szCs w:val="22"/>
                <w:lang w:val="sr-Latn-ME"/>
              </w:rPr>
              <w:t>bezbjedn</w:t>
            </w:r>
            <w:r w:rsidR="00F343A7" w:rsidRPr="00C01AF3">
              <w:rPr>
                <w:rFonts w:ascii="Times New Roman" w:hAnsi="Times New Roman"/>
                <w:bCs/>
                <w:sz w:val="22"/>
                <w:szCs w:val="22"/>
                <w:lang w:val="sr-Latn-ME"/>
              </w:rPr>
              <w:t>osnom profilu individualnih komponenti amlodipina, valsart</w:t>
            </w:r>
            <w:r w:rsidR="006108A3" w:rsidRPr="00C01AF3">
              <w:rPr>
                <w:rFonts w:ascii="Times New Roman" w:hAnsi="Times New Roman"/>
                <w:bCs/>
                <w:sz w:val="22"/>
                <w:szCs w:val="22"/>
                <w:lang w:val="sr-Latn-ME"/>
              </w:rPr>
              <w:t>a</w:t>
            </w:r>
            <w:r w:rsidR="00F343A7" w:rsidRPr="00C01AF3">
              <w:rPr>
                <w:rFonts w:ascii="Times New Roman" w:hAnsi="Times New Roman"/>
                <w:bCs/>
                <w:sz w:val="22"/>
                <w:szCs w:val="22"/>
                <w:lang w:val="sr-Latn-ME"/>
              </w:rPr>
              <w:t xml:space="preserve">na i </w:t>
            </w:r>
            <w:r w:rsidR="007C4A86" w:rsidRPr="00C01AF3">
              <w:rPr>
                <w:rFonts w:ascii="Times New Roman" w:hAnsi="Times New Roman"/>
                <w:bCs/>
                <w:sz w:val="22"/>
                <w:szCs w:val="22"/>
                <w:lang w:val="sr-Latn-ME"/>
              </w:rPr>
              <w:t>hidrohlortiazid</w:t>
            </w:r>
            <w:r w:rsidR="00F343A7" w:rsidRPr="00C01AF3">
              <w:rPr>
                <w:rFonts w:ascii="Times New Roman" w:hAnsi="Times New Roman"/>
                <w:bCs/>
                <w:sz w:val="22"/>
                <w:szCs w:val="22"/>
                <w:lang w:val="sr-Latn-ME"/>
              </w:rPr>
              <w:t>a.</w:t>
            </w:r>
          </w:p>
          <w:p w:rsidR="00F343A7" w:rsidRPr="00C01AF3" w:rsidRDefault="00F343A7" w:rsidP="00481601">
            <w:pPr>
              <w:tabs>
                <w:tab w:val="clear" w:pos="284"/>
              </w:tabs>
              <w:autoSpaceDE w:val="0"/>
              <w:autoSpaceDN w:val="0"/>
              <w:rPr>
                <w:rFonts w:ascii="Times New Roman" w:hAnsi="Times New Roman"/>
                <w:bCs/>
                <w:sz w:val="22"/>
                <w:szCs w:val="22"/>
                <w:lang w:val="sr-Latn-ME"/>
              </w:rPr>
            </w:pPr>
          </w:p>
          <w:p w:rsidR="00995026" w:rsidRPr="00C01AF3" w:rsidRDefault="00995026" w:rsidP="00481601">
            <w:pPr>
              <w:tabs>
                <w:tab w:val="clear" w:pos="284"/>
              </w:tabs>
              <w:autoSpaceDE w:val="0"/>
              <w:autoSpaceDN w:val="0"/>
              <w:rPr>
                <w:rFonts w:ascii="Times New Roman" w:hAnsi="Times New Roman"/>
                <w:bCs/>
                <w:sz w:val="22"/>
                <w:szCs w:val="22"/>
                <w:u w:val="single"/>
                <w:lang w:val="sr-Latn-ME"/>
              </w:rPr>
            </w:pPr>
          </w:p>
          <w:p w:rsidR="00F343A7" w:rsidRPr="00C01AF3" w:rsidRDefault="00513DCA" w:rsidP="00481601">
            <w:pPr>
              <w:tabs>
                <w:tab w:val="clear" w:pos="284"/>
              </w:tabs>
              <w:autoSpaceDE w:val="0"/>
              <w:autoSpaceDN w:val="0"/>
              <w:rPr>
                <w:rFonts w:ascii="Times New Roman" w:hAnsi="Times New Roman"/>
                <w:bCs/>
                <w:sz w:val="22"/>
                <w:szCs w:val="22"/>
                <w:u w:val="single"/>
                <w:lang w:val="sr-Latn-ME"/>
              </w:rPr>
            </w:pPr>
            <w:r w:rsidRPr="00C01AF3">
              <w:rPr>
                <w:rFonts w:ascii="Times New Roman" w:hAnsi="Times New Roman"/>
                <w:bCs/>
                <w:sz w:val="22"/>
                <w:szCs w:val="22"/>
                <w:u w:val="single"/>
                <w:lang w:val="sr-Latn-ME"/>
              </w:rPr>
              <w:lastRenderedPageBreak/>
              <w:t xml:space="preserve">Sažetak </w:t>
            </w:r>
            <w:r w:rsidR="006A1297" w:rsidRPr="00C01AF3">
              <w:rPr>
                <w:rFonts w:ascii="Times New Roman" w:hAnsi="Times New Roman"/>
                <w:bCs/>
                <w:sz w:val="22"/>
                <w:szCs w:val="22"/>
                <w:u w:val="single"/>
                <w:lang w:val="sr-Latn-ME"/>
              </w:rPr>
              <w:t>bezbjedn</w:t>
            </w:r>
            <w:r w:rsidRPr="00C01AF3">
              <w:rPr>
                <w:rFonts w:ascii="Times New Roman" w:hAnsi="Times New Roman"/>
                <w:bCs/>
                <w:sz w:val="22"/>
                <w:szCs w:val="22"/>
                <w:u w:val="single"/>
                <w:lang w:val="sr-Latn-ME"/>
              </w:rPr>
              <w:t>osnog profila</w:t>
            </w:r>
          </w:p>
          <w:p w:rsidR="00F343A7" w:rsidRPr="00C01AF3" w:rsidRDefault="006A1297" w:rsidP="00481601">
            <w:pPr>
              <w:tabs>
                <w:tab w:val="clear" w:pos="284"/>
              </w:tabs>
              <w:rPr>
                <w:rFonts w:ascii="Times New Roman" w:hAnsi="Times New Roman"/>
                <w:sz w:val="22"/>
                <w:szCs w:val="22"/>
                <w:lang w:val="sr-Latn-ME"/>
              </w:rPr>
            </w:pPr>
            <w:r w:rsidRPr="00C01AF3">
              <w:rPr>
                <w:rFonts w:ascii="Times New Roman" w:hAnsi="Times New Roman"/>
                <w:sz w:val="22"/>
                <w:szCs w:val="22"/>
                <w:lang w:val="sr-Latn-ME"/>
              </w:rPr>
              <w:t>Bezbjedn</w:t>
            </w:r>
            <w:r w:rsidR="00982149" w:rsidRPr="00C01AF3">
              <w:rPr>
                <w:rFonts w:ascii="Times New Roman" w:hAnsi="Times New Roman"/>
                <w:sz w:val="22"/>
                <w:szCs w:val="22"/>
                <w:lang w:val="sr-Latn-ME"/>
              </w:rPr>
              <w:t>ost</w:t>
            </w:r>
            <w:r w:rsidR="00EE1986" w:rsidRPr="00C01AF3">
              <w:rPr>
                <w:rFonts w:ascii="Times New Roman" w:hAnsi="Times New Roman"/>
                <w:sz w:val="22"/>
                <w:szCs w:val="22"/>
                <w:lang w:val="sr-Latn-ME"/>
              </w:rPr>
              <w:t xml:space="preserve"> </w:t>
            </w:r>
            <w:r w:rsidR="00BD0291" w:rsidRPr="00C01AF3">
              <w:rPr>
                <w:rFonts w:ascii="Times New Roman" w:hAnsi="Times New Roman"/>
                <w:sz w:val="22"/>
                <w:szCs w:val="22"/>
                <w:lang w:val="sr-Latn-ME"/>
              </w:rPr>
              <w:t>primje</w:t>
            </w:r>
            <w:r w:rsidR="00EE1986" w:rsidRPr="00C01AF3">
              <w:rPr>
                <w:rFonts w:ascii="Times New Roman" w:hAnsi="Times New Roman"/>
                <w:sz w:val="22"/>
                <w:szCs w:val="22"/>
                <w:lang w:val="sr-Latn-ME"/>
              </w:rPr>
              <w:t xml:space="preserve">ne </w:t>
            </w:r>
            <w:r w:rsidR="00A65414" w:rsidRPr="00C01AF3">
              <w:rPr>
                <w:rFonts w:ascii="Times New Roman" w:hAnsi="Times New Roman"/>
                <w:sz w:val="22"/>
                <w:szCs w:val="22"/>
                <w:lang w:val="sr-Latn-ME"/>
              </w:rPr>
              <w:t>lijek</w:t>
            </w:r>
            <w:r w:rsidR="00EE1986" w:rsidRPr="00C01AF3">
              <w:rPr>
                <w:rFonts w:ascii="Times New Roman" w:hAnsi="Times New Roman"/>
                <w:sz w:val="22"/>
                <w:szCs w:val="22"/>
                <w:lang w:val="sr-Latn-ME"/>
              </w:rPr>
              <w:t xml:space="preserve">a  </w:t>
            </w:r>
            <w:r w:rsidR="00F343A7" w:rsidRPr="00C01AF3">
              <w:rPr>
                <w:rFonts w:ascii="Times New Roman" w:hAnsi="Times New Roman"/>
                <w:sz w:val="22"/>
                <w:szCs w:val="22"/>
                <w:lang w:val="sr-Latn-ME"/>
              </w:rPr>
              <w:t>Exforge HCT</w:t>
            </w:r>
            <w:r w:rsidR="00EE1986" w:rsidRPr="00C01AF3">
              <w:rPr>
                <w:rFonts w:ascii="Times New Roman" w:hAnsi="Times New Roman"/>
                <w:sz w:val="22"/>
                <w:szCs w:val="22"/>
                <w:lang w:val="sr-Latn-ME"/>
              </w:rPr>
              <w:t xml:space="preserve"> je ispitivan</w:t>
            </w:r>
            <w:r w:rsidR="00F343A7" w:rsidRPr="00C01AF3">
              <w:rPr>
                <w:rFonts w:ascii="Times New Roman" w:hAnsi="Times New Roman"/>
                <w:sz w:val="22"/>
                <w:szCs w:val="22"/>
                <w:lang w:val="sr-Latn-ME"/>
              </w:rPr>
              <w:t>a pri maksimalnoj dozi od 320mg/</w:t>
            </w:r>
            <w:r w:rsidR="00AC4741" w:rsidRPr="00C01AF3">
              <w:rPr>
                <w:rFonts w:ascii="Times New Roman" w:hAnsi="Times New Roman"/>
                <w:sz w:val="22"/>
                <w:szCs w:val="22"/>
                <w:lang w:val="sr-Latn-ME"/>
              </w:rPr>
              <w:t>10mg/</w:t>
            </w:r>
            <w:r w:rsidR="00F343A7" w:rsidRPr="00C01AF3">
              <w:rPr>
                <w:rFonts w:ascii="Times New Roman" w:hAnsi="Times New Roman"/>
                <w:sz w:val="22"/>
                <w:szCs w:val="22"/>
                <w:lang w:val="sr-Latn-ME"/>
              </w:rPr>
              <w:t xml:space="preserve">25mg u jednoj kontrolisanoj kratkoročnoj studiji (8 </w:t>
            </w:r>
            <w:r w:rsidR="00422020" w:rsidRPr="00C01AF3">
              <w:rPr>
                <w:rFonts w:ascii="Times New Roman" w:hAnsi="Times New Roman"/>
                <w:sz w:val="22"/>
                <w:szCs w:val="22"/>
                <w:lang w:val="sr-Latn-ME"/>
              </w:rPr>
              <w:t>nedjelj</w:t>
            </w:r>
            <w:r w:rsidR="00F343A7" w:rsidRPr="00C01AF3">
              <w:rPr>
                <w:rFonts w:ascii="Times New Roman" w:hAnsi="Times New Roman"/>
                <w:sz w:val="22"/>
                <w:szCs w:val="22"/>
                <w:lang w:val="sr-Latn-ME"/>
              </w:rPr>
              <w:t>a) sa 2271</w:t>
            </w:r>
            <w:r w:rsidR="00EE1986" w:rsidRPr="00C01AF3">
              <w:rPr>
                <w:rFonts w:ascii="Times New Roman" w:hAnsi="Times New Roman"/>
                <w:sz w:val="22"/>
                <w:szCs w:val="22"/>
                <w:lang w:val="sr-Latn-ME"/>
              </w:rPr>
              <w:t xml:space="preserve"> pacijenata, od čega je </w:t>
            </w:r>
            <w:r w:rsidR="00F343A7" w:rsidRPr="00C01AF3">
              <w:rPr>
                <w:rFonts w:ascii="Times New Roman" w:hAnsi="Times New Roman"/>
                <w:sz w:val="22"/>
                <w:szCs w:val="22"/>
                <w:lang w:val="sr-Latn-ME"/>
              </w:rPr>
              <w:t>582 pacijenta</w:t>
            </w:r>
            <w:r w:rsidR="00EE1986" w:rsidRPr="00C01AF3">
              <w:rPr>
                <w:rFonts w:ascii="Times New Roman" w:hAnsi="Times New Roman"/>
                <w:sz w:val="22"/>
                <w:szCs w:val="22"/>
                <w:lang w:val="sr-Latn-ME"/>
              </w:rPr>
              <w:t xml:space="preserve"> primalo valsartan u kombinaciji s</w:t>
            </w:r>
            <w:r w:rsidR="00AD09D7" w:rsidRPr="00C01AF3">
              <w:rPr>
                <w:rFonts w:ascii="Times New Roman" w:hAnsi="Times New Roman"/>
                <w:sz w:val="22"/>
                <w:szCs w:val="22"/>
                <w:lang w:val="sr-Latn-ME"/>
              </w:rPr>
              <w:t>a</w:t>
            </w:r>
            <w:r w:rsidR="00EE1986" w:rsidRPr="00C01AF3">
              <w:rPr>
                <w:rFonts w:ascii="Times New Roman" w:hAnsi="Times New Roman"/>
                <w:sz w:val="22"/>
                <w:szCs w:val="22"/>
                <w:lang w:val="sr-Latn-ME"/>
              </w:rPr>
              <w:t xml:space="preserve"> amlodipinom</w:t>
            </w:r>
            <w:r w:rsidR="00F343A7" w:rsidRPr="00C01AF3">
              <w:rPr>
                <w:rFonts w:ascii="Times New Roman" w:hAnsi="Times New Roman"/>
                <w:sz w:val="22"/>
                <w:szCs w:val="22"/>
                <w:lang w:val="sr-Latn-ME"/>
              </w:rPr>
              <w:t xml:space="preserve"> i </w:t>
            </w:r>
            <w:r w:rsidR="007C4A86" w:rsidRPr="00C01AF3">
              <w:rPr>
                <w:rFonts w:ascii="Times New Roman" w:hAnsi="Times New Roman"/>
                <w:sz w:val="22"/>
                <w:szCs w:val="22"/>
                <w:lang w:val="sr-Latn-ME"/>
              </w:rPr>
              <w:t>hidrohlortiazid</w:t>
            </w:r>
            <w:r w:rsidR="00F343A7" w:rsidRPr="00C01AF3">
              <w:rPr>
                <w:rFonts w:ascii="Times New Roman" w:hAnsi="Times New Roman"/>
                <w:sz w:val="22"/>
                <w:szCs w:val="22"/>
                <w:lang w:val="sr-Latn-ME"/>
              </w:rPr>
              <w:t>om</w:t>
            </w:r>
            <w:r w:rsidR="00EE1986" w:rsidRPr="00C01AF3">
              <w:rPr>
                <w:rFonts w:ascii="Times New Roman" w:hAnsi="Times New Roman"/>
                <w:sz w:val="22"/>
                <w:szCs w:val="22"/>
                <w:lang w:val="sr-Latn-ME"/>
              </w:rPr>
              <w:t xml:space="preserve">. </w:t>
            </w:r>
            <w:r w:rsidR="00F343A7" w:rsidRPr="00C01AF3">
              <w:rPr>
                <w:rFonts w:ascii="Times New Roman" w:hAnsi="Times New Roman"/>
                <w:sz w:val="22"/>
                <w:szCs w:val="22"/>
                <w:lang w:val="sr-Latn-ME"/>
              </w:rPr>
              <w:t>Neželje</w:t>
            </w:r>
            <w:r w:rsidR="00AC1585" w:rsidRPr="00C01AF3">
              <w:rPr>
                <w:rFonts w:ascii="Times New Roman" w:hAnsi="Times New Roman"/>
                <w:sz w:val="22"/>
                <w:szCs w:val="22"/>
                <w:lang w:val="sr-Latn-ME"/>
              </w:rPr>
              <w:t xml:space="preserve">ne reakcije su uglavnom bile </w:t>
            </w:r>
            <w:r w:rsidR="00BD0291" w:rsidRPr="00C01AF3">
              <w:rPr>
                <w:rFonts w:ascii="Times New Roman" w:hAnsi="Times New Roman"/>
                <w:sz w:val="22"/>
                <w:szCs w:val="22"/>
                <w:lang w:val="sr-Latn-ME"/>
              </w:rPr>
              <w:t>umjeren</w:t>
            </w:r>
            <w:r w:rsidR="00F343A7" w:rsidRPr="00C01AF3">
              <w:rPr>
                <w:rFonts w:ascii="Times New Roman" w:hAnsi="Times New Roman"/>
                <w:sz w:val="22"/>
                <w:szCs w:val="22"/>
                <w:lang w:val="sr-Latn-ME"/>
              </w:rPr>
              <w:t xml:space="preserve">e </w:t>
            </w:r>
            <w:r w:rsidR="00AC1585" w:rsidRPr="00C01AF3">
              <w:rPr>
                <w:rFonts w:ascii="Times New Roman" w:hAnsi="Times New Roman"/>
                <w:sz w:val="22"/>
                <w:szCs w:val="22"/>
                <w:lang w:val="sr-Latn-ME"/>
              </w:rPr>
              <w:t>i prolazne po prirodi i samo r</w:t>
            </w:r>
            <w:r w:rsidR="005A518B" w:rsidRPr="00C01AF3">
              <w:rPr>
                <w:rFonts w:ascii="Times New Roman" w:hAnsi="Times New Roman"/>
                <w:sz w:val="22"/>
                <w:szCs w:val="22"/>
                <w:lang w:val="sr-Latn-ME"/>
              </w:rPr>
              <w:t>ij</w:t>
            </w:r>
            <w:r w:rsidR="00AD09D7" w:rsidRPr="00C01AF3">
              <w:rPr>
                <w:rFonts w:ascii="Times New Roman" w:hAnsi="Times New Roman"/>
                <w:sz w:val="22"/>
                <w:szCs w:val="22"/>
                <w:lang w:val="sr-Latn-ME"/>
              </w:rPr>
              <w:t>etke su zaht</w:t>
            </w:r>
            <w:r w:rsidR="00B145AB" w:rsidRPr="00C01AF3">
              <w:rPr>
                <w:rFonts w:ascii="Times New Roman" w:hAnsi="Times New Roman"/>
                <w:sz w:val="22"/>
                <w:szCs w:val="22"/>
                <w:lang w:val="sr-Latn-ME"/>
              </w:rPr>
              <w:t>ij</w:t>
            </w:r>
            <w:r w:rsidR="00AD09D7" w:rsidRPr="00C01AF3">
              <w:rPr>
                <w:rFonts w:ascii="Times New Roman" w:hAnsi="Times New Roman"/>
                <w:sz w:val="22"/>
                <w:szCs w:val="22"/>
                <w:lang w:val="sr-Latn-ME"/>
              </w:rPr>
              <w:t>evale prekid terapije.</w:t>
            </w:r>
            <w:r w:rsidR="00F343A7" w:rsidRPr="00C01AF3">
              <w:rPr>
                <w:rFonts w:ascii="Times New Roman" w:hAnsi="Times New Roman"/>
                <w:sz w:val="22"/>
                <w:szCs w:val="22"/>
                <w:lang w:val="sr-Latn-ME"/>
              </w:rPr>
              <w:t xml:space="preserve"> U ovo</w:t>
            </w:r>
            <w:r w:rsidR="00E9398A" w:rsidRPr="00C01AF3">
              <w:rPr>
                <w:rFonts w:ascii="Times New Roman" w:hAnsi="Times New Roman"/>
                <w:sz w:val="22"/>
                <w:szCs w:val="22"/>
                <w:lang w:val="sr-Latn-ME"/>
              </w:rPr>
              <w:t>j</w:t>
            </w:r>
            <w:r w:rsidR="00F343A7" w:rsidRPr="00C01AF3">
              <w:rPr>
                <w:rFonts w:ascii="Times New Roman" w:hAnsi="Times New Roman"/>
                <w:sz w:val="22"/>
                <w:szCs w:val="22"/>
                <w:lang w:val="sr-Latn-ME"/>
              </w:rPr>
              <w:t xml:space="preserve"> aktivno kontrolisano</w:t>
            </w:r>
            <w:r w:rsidR="00AD09D7" w:rsidRPr="00C01AF3">
              <w:rPr>
                <w:rFonts w:ascii="Times New Roman" w:hAnsi="Times New Roman"/>
                <w:sz w:val="22"/>
                <w:szCs w:val="22"/>
                <w:lang w:val="sr-Latn-ME"/>
              </w:rPr>
              <w:t>j</w:t>
            </w:r>
            <w:r w:rsidR="00F343A7" w:rsidRPr="00C01AF3">
              <w:rPr>
                <w:rFonts w:ascii="Times New Roman" w:hAnsi="Times New Roman"/>
                <w:sz w:val="22"/>
                <w:szCs w:val="22"/>
                <w:lang w:val="sr-Latn-ME"/>
              </w:rPr>
              <w:t xml:space="preserve"> kliničko</w:t>
            </w:r>
            <w:r w:rsidR="00AD09D7" w:rsidRPr="00C01AF3">
              <w:rPr>
                <w:rFonts w:ascii="Times New Roman" w:hAnsi="Times New Roman"/>
                <w:sz w:val="22"/>
                <w:szCs w:val="22"/>
                <w:lang w:val="sr-Latn-ME"/>
              </w:rPr>
              <w:t>j studiji</w:t>
            </w:r>
            <w:r w:rsidR="00F343A7" w:rsidRPr="00C01AF3">
              <w:rPr>
                <w:rFonts w:ascii="Times New Roman" w:hAnsi="Times New Roman"/>
                <w:sz w:val="22"/>
                <w:szCs w:val="22"/>
                <w:lang w:val="sr-Latn-ME"/>
              </w:rPr>
              <w:t>, najčešći razlog za prekid terapije</w:t>
            </w:r>
            <w:r w:rsidR="00B145AB" w:rsidRPr="00C01AF3">
              <w:rPr>
                <w:rFonts w:ascii="Times New Roman" w:hAnsi="Times New Roman"/>
                <w:sz w:val="22"/>
                <w:szCs w:val="22"/>
                <w:lang w:val="sr-Latn-ME"/>
              </w:rPr>
              <w:t xml:space="preserve"> </w:t>
            </w:r>
            <w:r w:rsidR="00F343A7" w:rsidRPr="00C01AF3">
              <w:rPr>
                <w:rFonts w:ascii="Times New Roman" w:hAnsi="Times New Roman"/>
                <w:sz w:val="22"/>
                <w:szCs w:val="22"/>
                <w:lang w:val="sr-Latn-ME"/>
              </w:rPr>
              <w:t>lijekom Exforge HCT su bile vrtoglavica i hip</w:t>
            </w:r>
            <w:r w:rsidR="004D4AFC" w:rsidRPr="00C01AF3">
              <w:rPr>
                <w:rFonts w:ascii="Times New Roman" w:hAnsi="Times New Roman"/>
                <w:sz w:val="22"/>
                <w:szCs w:val="22"/>
                <w:lang w:val="sr-Latn-ME"/>
              </w:rPr>
              <w:t>otenzija (</w:t>
            </w:r>
            <w:r w:rsidR="00F343A7" w:rsidRPr="00C01AF3">
              <w:rPr>
                <w:rFonts w:ascii="Times New Roman" w:hAnsi="Times New Roman"/>
                <w:sz w:val="22"/>
                <w:szCs w:val="22"/>
                <w:lang w:val="sr-Latn-ME"/>
              </w:rPr>
              <w:t>0,7%).</w:t>
            </w:r>
          </w:p>
          <w:p w:rsidR="00F343A7" w:rsidRPr="00C01AF3" w:rsidRDefault="00F343A7" w:rsidP="00481601">
            <w:pPr>
              <w:tabs>
                <w:tab w:val="clear" w:pos="284"/>
              </w:tabs>
              <w:rPr>
                <w:rFonts w:ascii="Times New Roman" w:hAnsi="Times New Roman"/>
                <w:sz w:val="22"/>
                <w:szCs w:val="22"/>
                <w:lang w:val="sr-Latn-ME"/>
              </w:rPr>
            </w:pPr>
          </w:p>
          <w:p w:rsidR="00F343A7" w:rsidRPr="00C01AF3" w:rsidRDefault="00F343A7" w:rsidP="00481601">
            <w:pPr>
              <w:tabs>
                <w:tab w:val="clear" w:pos="284"/>
              </w:tabs>
              <w:rPr>
                <w:rFonts w:ascii="Times New Roman" w:hAnsi="Times New Roman"/>
                <w:sz w:val="22"/>
                <w:szCs w:val="22"/>
                <w:lang w:val="sr-Latn-ME"/>
              </w:rPr>
            </w:pPr>
            <w:r w:rsidRPr="00C01AF3">
              <w:rPr>
                <w:rFonts w:ascii="Times New Roman" w:hAnsi="Times New Roman"/>
                <w:sz w:val="22"/>
                <w:szCs w:val="22"/>
                <w:lang w:val="sr-Latn-ME"/>
              </w:rPr>
              <w:t>U osmo</w:t>
            </w:r>
            <w:r w:rsidR="00422020" w:rsidRPr="00C01AF3">
              <w:rPr>
                <w:rFonts w:ascii="Times New Roman" w:hAnsi="Times New Roman"/>
                <w:sz w:val="22"/>
                <w:szCs w:val="22"/>
                <w:lang w:val="sr-Latn-ME"/>
              </w:rPr>
              <w:t>nedjelj</w:t>
            </w:r>
            <w:r w:rsidRPr="00C01AF3">
              <w:rPr>
                <w:rFonts w:ascii="Times New Roman" w:hAnsi="Times New Roman"/>
                <w:sz w:val="22"/>
                <w:szCs w:val="22"/>
                <w:lang w:val="sr-Latn-ME"/>
              </w:rPr>
              <w:t>noj kontrolisanoj</w:t>
            </w:r>
            <w:r w:rsidR="00C326A2" w:rsidRPr="00C01AF3">
              <w:rPr>
                <w:rFonts w:ascii="Times New Roman" w:hAnsi="Times New Roman"/>
                <w:sz w:val="22"/>
                <w:szCs w:val="22"/>
                <w:lang w:val="sr-Latn-ME"/>
              </w:rPr>
              <w:t xml:space="preserve"> kl</w:t>
            </w:r>
            <w:r w:rsidR="001F6459" w:rsidRPr="00C01AF3">
              <w:rPr>
                <w:rFonts w:ascii="Times New Roman" w:hAnsi="Times New Roman"/>
                <w:sz w:val="22"/>
                <w:szCs w:val="22"/>
                <w:lang w:val="sr-Latn-ME"/>
              </w:rPr>
              <w:t>i</w:t>
            </w:r>
            <w:r w:rsidR="00C326A2" w:rsidRPr="00C01AF3">
              <w:rPr>
                <w:rFonts w:ascii="Times New Roman" w:hAnsi="Times New Roman"/>
                <w:sz w:val="22"/>
                <w:szCs w:val="22"/>
                <w:lang w:val="sr-Latn-ME"/>
              </w:rPr>
              <w:t>ničkoj studiji ni</w:t>
            </w:r>
            <w:r w:rsidR="00B145AB" w:rsidRPr="00C01AF3">
              <w:rPr>
                <w:rFonts w:ascii="Times New Roman" w:hAnsi="Times New Roman"/>
                <w:sz w:val="22"/>
                <w:szCs w:val="22"/>
                <w:lang w:val="sr-Latn-ME"/>
              </w:rPr>
              <w:t>je</w:t>
            </w:r>
            <w:r w:rsidR="00C326A2" w:rsidRPr="00C01AF3">
              <w:rPr>
                <w:rFonts w:ascii="Times New Roman" w:hAnsi="Times New Roman"/>
                <w:sz w:val="22"/>
                <w:szCs w:val="22"/>
                <w:lang w:val="sr-Latn-ME"/>
              </w:rPr>
              <w:t xml:space="preserve">su </w:t>
            </w:r>
            <w:r w:rsidR="004D4AFC" w:rsidRPr="00C01AF3">
              <w:rPr>
                <w:rFonts w:ascii="Times New Roman" w:hAnsi="Times New Roman"/>
                <w:sz w:val="22"/>
                <w:szCs w:val="22"/>
                <w:lang w:val="sr-Latn-ME"/>
              </w:rPr>
              <w:t>primijeć</w:t>
            </w:r>
            <w:r w:rsidRPr="00C01AF3">
              <w:rPr>
                <w:rFonts w:ascii="Times New Roman" w:hAnsi="Times New Roman"/>
                <w:sz w:val="22"/>
                <w:szCs w:val="22"/>
                <w:lang w:val="sr-Latn-ME"/>
              </w:rPr>
              <w:t>ene značajne nove ili neočekivane neželjene reakcije sa trojnom terapijom u odnosu  na poznate efekte komponenata u monoterapiji ili dvojnoj terapiji.</w:t>
            </w:r>
          </w:p>
          <w:p w:rsidR="00F343A7" w:rsidRPr="00C01AF3" w:rsidRDefault="00F343A7" w:rsidP="00481601">
            <w:pPr>
              <w:tabs>
                <w:tab w:val="clear" w:pos="284"/>
              </w:tabs>
              <w:rPr>
                <w:rFonts w:ascii="Times New Roman" w:hAnsi="Times New Roman"/>
                <w:sz w:val="22"/>
                <w:szCs w:val="22"/>
                <w:lang w:val="sr-Latn-ME"/>
              </w:rPr>
            </w:pPr>
          </w:p>
          <w:p w:rsidR="00F343A7" w:rsidRPr="00C01AF3" w:rsidRDefault="001F6459" w:rsidP="00481601">
            <w:pPr>
              <w:tabs>
                <w:tab w:val="clear" w:pos="284"/>
              </w:tabs>
              <w:rPr>
                <w:rFonts w:ascii="Times New Roman" w:hAnsi="Times New Roman"/>
                <w:sz w:val="22"/>
                <w:szCs w:val="22"/>
                <w:lang w:val="sr-Latn-ME"/>
              </w:rPr>
            </w:pPr>
            <w:r w:rsidRPr="00C01AF3">
              <w:rPr>
                <w:rFonts w:ascii="Times New Roman" w:hAnsi="Times New Roman"/>
                <w:sz w:val="22"/>
                <w:szCs w:val="22"/>
                <w:lang w:val="sr-Latn-ME"/>
              </w:rPr>
              <w:t>U osmo</w:t>
            </w:r>
            <w:r w:rsidR="00422020" w:rsidRPr="00C01AF3">
              <w:rPr>
                <w:rFonts w:ascii="Times New Roman" w:hAnsi="Times New Roman"/>
                <w:sz w:val="22"/>
                <w:szCs w:val="22"/>
                <w:lang w:val="sr-Latn-ME"/>
              </w:rPr>
              <w:t>nedjelj</w:t>
            </w:r>
            <w:r w:rsidR="00F343A7" w:rsidRPr="00C01AF3">
              <w:rPr>
                <w:rFonts w:ascii="Times New Roman" w:hAnsi="Times New Roman"/>
                <w:sz w:val="22"/>
                <w:szCs w:val="22"/>
                <w:lang w:val="sr-Latn-ME"/>
              </w:rPr>
              <w:t>noj kontrolisanoj kliničko</w:t>
            </w:r>
            <w:r w:rsidRPr="00C01AF3">
              <w:rPr>
                <w:rFonts w:ascii="Times New Roman" w:hAnsi="Times New Roman"/>
                <w:sz w:val="22"/>
                <w:szCs w:val="22"/>
                <w:lang w:val="sr-Latn-ME"/>
              </w:rPr>
              <w:t xml:space="preserve">j studiji, </w:t>
            </w:r>
            <w:r w:rsidR="004D4AFC" w:rsidRPr="00C01AF3">
              <w:rPr>
                <w:rFonts w:ascii="Times New Roman" w:hAnsi="Times New Roman"/>
                <w:sz w:val="22"/>
                <w:szCs w:val="22"/>
                <w:lang w:val="sr-Latn-ME"/>
              </w:rPr>
              <w:t>primijeć</w:t>
            </w:r>
            <w:r w:rsidR="00F343A7" w:rsidRPr="00C01AF3">
              <w:rPr>
                <w:rFonts w:ascii="Times New Roman" w:hAnsi="Times New Roman"/>
                <w:sz w:val="22"/>
                <w:szCs w:val="22"/>
                <w:lang w:val="sr-Latn-ME"/>
              </w:rPr>
              <w:t xml:space="preserve">ene </w:t>
            </w:r>
            <w:r w:rsidR="00644CBB" w:rsidRPr="00C01AF3">
              <w:rPr>
                <w:rFonts w:ascii="Times New Roman" w:hAnsi="Times New Roman"/>
                <w:sz w:val="22"/>
                <w:szCs w:val="22"/>
                <w:lang w:val="sr-Latn-ME"/>
              </w:rPr>
              <w:t>promjen</w:t>
            </w:r>
            <w:r w:rsidR="00F343A7" w:rsidRPr="00C01AF3">
              <w:rPr>
                <w:rFonts w:ascii="Times New Roman" w:hAnsi="Times New Roman"/>
                <w:sz w:val="22"/>
                <w:szCs w:val="22"/>
                <w:lang w:val="sr-Latn-ME"/>
              </w:rPr>
              <w:t>e laboratorijskih parametara</w:t>
            </w:r>
            <w:r w:rsidRPr="00C01AF3">
              <w:rPr>
                <w:rFonts w:ascii="Times New Roman" w:hAnsi="Times New Roman"/>
                <w:sz w:val="22"/>
                <w:szCs w:val="22"/>
                <w:lang w:val="sr-Latn-ME"/>
              </w:rPr>
              <w:t xml:space="preserve"> </w:t>
            </w:r>
            <w:r w:rsidR="00E7177C" w:rsidRPr="00C01AF3">
              <w:rPr>
                <w:rFonts w:ascii="Times New Roman" w:hAnsi="Times New Roman"/>
                <w:sz w:val="22"/>
                <w:szCs w:val="22"/>
                <w:lang w:val="sr-Latn-ME"/>
              </w:rPr>
              <w:t xml:space="preserve">kod </w:t>
            </w:r>
            <w:r w:rsidR="00A65414" w:rsidRPr="00C01AF3">
              <w:rPr>
                <w:rFonts w:ascii="Times New Roman" w:hAnsi="Times New Roman"/>
                <w:sz w:val="22"/>
                <w:szCs w:val="22"/>
                <w:lang w:val="sr-Latn-ME"/>
              </w:rPr>
              <w:t>lijek</w:t>
            </w:r>
            <w:r w:rsidR="00AD0D15" w:rsidRPr="00C01AF3">
              <w:rPr>
                <w:rFonts w:ascii="Times New Roman" w:hAnsi="Times New Roman"/>
                <w:sz w:val="22"/>
                <w:szCs w:val="22"/>
                <w:lang w:val="sr-Latn-ME"/>
              </w:rPr>
              <w:t>a Exforge HCT su minorne i konzistentne u odnosu na farmakološki me</w:t>
            </w:r>
            <w:r w:rsidR="00E7177C" w:rsidRPr="00C01AF3">
              <w:rPr>
                <w:rFonts w:ascii="Times New Roman" w:hAnsi="Times New Roman"/>
                <w:sz w:val="22"/>
                <w:szCs w:val="22"/>
                <w:lang w:val="sr-Latn-ME"/>
              </w:rPr>
              <w:t xml:space="preserve">hanizam i </w:t>
            </w:r>
            <w:r w:rsidR="007B42AA" w:rsidRPr="00C01AF3">
              <w:rPr>
                <w:rFonts w:ascii="Times New Roman" w:hAnsi="Times New Roman"/>
                <w:sz w:val="22"/>
                <w:szCs w:val="22"/>
                <w:lang w:val="sr-Latn-ME"/>
              </w:rPr>
              <w:t>djelov</w:t>
            </w:r>
            <w:r w:rsidR="00E7177C" w:rsidRPr="00C01AF3">
              <w:rPr>
                <w:rFonts w:ascii="Times New Roman" w:hAnsi="Times New Roman"/>
                <w:sz w:val="22"/>
                <w:szCs w:val="22"/>
                <w:lang w:val="sr-Latn-ME"/>
              </w:rPr>
              <w:t xml:space="preserve">anje monoterapijskih </w:t>
            </w:r>
            <w:r w:rsidR="00A65414" w:rsidRPr="00C01AF3">
              <w:rPr>
                <w:rFonts w:ascii="Times New Roman" w:hAnsi="Times New Roman"/>
                <w:sz w:val="22"/>
                <w:szCs w:val="22"/>
                <w:lang w:val="sr-Latn-ME"/>
              </w:rPr>
              <w:t>ljek</w:t>
            </w:r>
            <w:r w:rsidR="00AD0D15" w:rsidRPr="00C01AF3">
              <w:rPr>
                <w:rFonts w:ascii="Times New Roman" w:hAnsi="Times New Roman"/>
                <w:sz w:val="22"/>
                <w:szCs w:val="22"/>
                <w:lang w:val="sr-Latn-ME"/>
              </w:rPr>
              <w:t>ova.</w:t>
            </w:r>
            <w:r w:rsidR="00E7177C" w:rsidRPr="00C01AF3">
              <w:rPr>
                <w:rFonts w:ascii="Times New Roman" w:hAnsi="Times New Roman"/>
                <w:sz w:val="22"/>
                <w:szCs w:val="22"/>
                <w:lang w:val="sr-Latn-ME"/>
              </w:rPr>
              <w:t xml:space="preserve"> Prisustvo valsartana u trojnoj kombinaciji smanjuje hipokalemijski efekat </w:t>
            </w:r>
            <w:r w:rsidR="007C4A86" w:rsidRPr="00C01AF3">
              <w:rPr>
                <w:rFonts w:ascii="Times New Roman" w:hAnsi="Times New Roman"/>
                <w:sz w:val="22"/>
                <w:szCs w:val="22"/>
                <w:lang w:val="sr-Latn-ME"/>
              </w:rPr>
              <w:t>hidrohlortiazid</w:t>
            </w:r>
            <w:r w:rsidR="00E7177C" w:rsidRPr="00C01AF3">
              <w:rPr>
                <w:rFonts w:ascii="Times New Roman" w:hAnsi="Times New Roman"/>
                <w:sz w:val="22"/>
                <w:szCs w:val="22"/>
                <w:lang w:val="sr-Latn-ME"/>
              </w:rPr>
              <w:t>a.</w:t>
            </w:r>
          </w:p>
          <w:p w:rsidR="00EE1986" w:rsidRPr="00C01AF3" w:rsidRDefault="00EE1986" w:rsidP="00285576">
            <w:pPr>
              <w:tabs>
                <w:tab w:val="clear" w:pos="284"/>
              </w:tabs>
              <w:jc w:val="left"/>
              <w:rPr>
                <w:rFonts w:ascii="Times New Roman" w:hAnsi="Times New Roman"/>
                <w:b/>
                <w:bCs/>
                <w:sz w:val="22"/>
                <w:szCs w:val="22"/>
                <w:lang w:val="sr-Latn-ME"/>
              </w:rPr>
            </w:pPr>
          </w:p>
        </w:tc>
      </w:tr>
      <w:tr w:rsidR="00834DBB" w:rsidRPr="00C01AF3" w:rsidTr="00DE0A48">
        <w:trPr>
          <w:trHeight w:val="1145"/>
        </w:trPr>
        <w:tc>
          <w:tcPr>
            <w:tcW w:w="10188" w:type="dxa"/>
            <w:gridSpan w:val="3"/>
            <w:vAlign w:val="center"/>
          </w:tcPr>
          <w:p w:rsidR="0002193E" w:rsidRPr="00C01AF3" w:rsidRDefault="0002193E" w:rsidP="00481601">
            <w:pPr>
              <w:pStyle w:val="Header"/>
              <w:tabs>
                <w:tab w:val="clear" w:pos="4536"/>
                <w:tab w:val="clear" w:pos="9072"/>
                <w:tab w:val="left" w:pos="284"/>
              </w:tabs>
              <w:spacing w:before="120"/>
              <w:rPr>
                <w:rFonts w:ascii="Times New Roman" w:hAnsi="Times New Roman" w:cs="Arial"/>
                <w:sz w:val="22"/>
                <w:u w:val="single"/>
                <w:lang w:val="sr-Latn-ME"/>
              </w:rPr>
            </w:pPr>
            <w:r w:rsidRPr="00C01AF3">
              <w:rPr>
                <w:rFonts w:ascii="Times New Roman" w:hAnsi="Times New Roman" w:cs="Arial"/>
                <w:sz w:val="22"/>
                <w:u w:val="single"/>
                <w:lang w:val="sr-Latn-ME"/>
              </w:rPr>
              <w:lastRenderedPageBreak/>
              <w:t>Tabelarni prikaz neželjenih reakcija</w:t>
            </w:r>
          </w:p>
          <w:p w:rsidR="00BA1070" w:rsidRPr="00C01AF3" w:rsidRDefault="001B0A1F" w:rsidP="00481601">
            <w:pPr>
              <w:pStyle w:val="Header"/>
              <w:tabs>
                <w:tab w:val="clear" w:pos="4536"/>
                <w:tab w:val="clear" w:pos="9072"/>
                <w:tab w:val="left" w:pos="284"/>
              </w:tabs>
              <w:spacing w:before="120"/>
              <w:rPr>
                <w:rFonts w:ascii="Times New Roman" w:hAnsi="Times New Roman" w:cs="Arial"/>
                <w:sz w:val="22"/>
                <w:lang w:val="sr-Latn-ME"/>
              </w:rPr>
            </w:pPr>
            <w:r w:rsidRPr="00C01AF3">
              <w:rPr>
                <w:rFonts w:ascii="Times New Roman" w:hAnsi="Times New Roman" w:cs="Arial"/>
                <w:sz w:val="22"/>
                <w:lang w:val="sr-Latn-ME"/>
              </w:rPr>
              <w:t>Sljedeć</w:t>
            </w:r>
            <w:r w:rsidR="00AD0D15" w:rsidRPr="00C01AF3">
              <w:rPr>
                <w:rFonts w:ascii="Times New Roman" w:hAnsi="Times New Roman" w:cs="Arial"/>
                <w:sz w:val="22"/>
                <w:lang w:val="sr-Latn-ME"/>
              </w:rPr>
              <w:t>e n</w:t>
            </w:r>
            <w:r w:rsidR="00B56725" w:rsidRPr="00C01AF3">
              <w:rPr>
                <w:rFonts w:ascii="Times New Roman" w:hAnsi="Times New Roman" w:cs="Arial"/>
                <w:sz w:val="22"/>
                <w:lang w:val="sr-Latn-ME"/>
              </w:rPr>
              <w:t>eželjene reakcije</w:t>
            </w:r>
            <w:r w:rsidR="00AD0D15" w:rsidRPr="00C01AF3">
              <w:rPr>
                <w:rFonts w:ascii="Times New Roman" w:hAnsi="Times New Roman" w:cs="Arial"/>
                <w:sz w:val="22"/>
                <w:lang w:val="sr-Latn-ME"/>
              </w:rPr>
              <w:t>,</w:t>
            </w:r>
            <w:r w:rsidR="00B56725" w:rsidRPr="00C01AF3">
              <w:rPr>
                <w:rFonts w:ascii="Times New Roman" w:hAnsi="Times New Roman" w:cs="Arial"/>
                <w:sz w:val="22"/>
                <w:lang w:val="sr-Latn-ME"/>
              </w:rPr>
              <w:t xml:space="preserve"> razvrs</w:t>
            </w:r>
            <w:r w:rsidR="005E692A" w:rsidRPr="00C01AF3">
              <w:rPr>
                <w:rFonts w:ascii="Times New Roman" w:hAnsi="Times New Roman" w:cs="Arial"/>
                <w:sz w:val="22"/>
                <w:lang w:val="sr-Latn-ME"/>
              </w:rPr>
              <w:t>tane prema</w:t>
            </w:r>
            <w:r w:rsidR="00B56725" w:rsidRPr="00C01AF3">
              <w:rPr>
                <w:rFonts w:ascii="Times New Roman" w:hAnsi="Times New Roman" w:cs="Arial"/>
                <w:sz w:val="22"/>
                <w:lang w:val="sr-Latn-ME"/>
              </w:rPr>
              <w:t xml:space="preserve"> učestalosti u skladu</w:t>
            </w:r>
            <w:r w:rsidR="0037078A" w:rsidRPr="00C01AF3">
              <w:rPr>
                <w:rFonts w:ascii="Times New Roman" w:hAnsi="Times New Roman" w:cs="Arial"/>
                <w:sz w:val="22"/>
                <w:lang w:val="sr-Latn-ME"/>
              </w:rPr>
              <w:t xml:space="preserve"> </w:t>
            </w:r>
            <w:r w:rsidR="00AD0D15" w:rsidRPr="00C01AF3">
              <w:rPr>
                <w:rFonts w:ascii="Times New Roman" w:hAnsi="Times New Roman" w:cs="Arial"/>
                <w:sz w:val="22"/>
                <w:lang w:val="sr-Latn-ME"/>
              </w:rPr>
              <w:t>sa MedDRA sistemom klasifikacije organa</w:t>
            </w:r>
            <w:r w:rsidR="0037078A" w:rsidRPr="00C01AF3">
              <w:rPr>
                <w:rFonts w:ascii="Times New Roman" w:hAnsi="Times New Roman" w:cs="Arial"/>
                <w:sz w:val="22"/>
                <w:lang w:val="sr-Latn-ME"/>
              </w:rPr>
              <w:t xml:space="preserve"> </w:t>
            </w:r>
            <w:r w:rsidR="00CD675E" w:rsidRPr="00C01AF3">
              <w:rPr>
                <w:rFonts w:ascii="Times New Roman" w:hAnsi="Times New Roman" w:cs="Arial"/>
                <w:sz w:val="22"/>
                <w:lang w:val="sr-Latn-ME"/>
              </w:rPr>
              <w:t xml:space="preserve">i učestalošću, se tiču </w:t>
            </w:r>
            <w:r w:rsidR="00A65414" w:rsidRPr="00C01AF3">
              <w:rPr>
                <w:rFonts w:ascii="Times New Roman" w:hAnsi="Times New Roman" w:cs="Arial"/>
                <w:sz w:val="22"/>
                <w:lang w:val="sr-Latn-ME"/>
              </w:rPr>
              <w:t>lijek</w:t>
            </w:r>
            <w:r w:rsidR="00AD0D15" w:rsidRPr="00C01AF3">
              <w:rPr>
                <w:rFonts w:ascii="Times New Roman" w:hAnsi="Times New Roman" w:cs="Arial"/>
                <w:sz w:val="22"/>
                <w:lang w:val="sr-Latn-ME"/>
              </w:rPr>
              <w:t>a Exforge HCT (amlod</w:t>
            </w:r>
            <w:r w:rsidR="00B145AB" w:rsidRPr="00C01AF3">
              <w:rPr>
                <w:rFonts w:ascii="Times New Roman" w:hAnsi="Times New Roman" w:cs="Arial"/>
                <w:sz w:val="22"/>
                <w:lang w:val="sr-Latn-ME"/>
              </w:rPr>
              <w:t>i</w:t>
            </w:r>
            <w:r w:rsidR="00AD0D15" w:rsidRPr="00C01AF3">
              <w:rPr>
                <w:rFonts w:ascii="Times New Roman" w:hAnsi="Times New Roman" w:cs="Arial"/>
                <w:sz w:val="22"/>
                <w:lang w:val="sr-Latn-ME"/>
              </w:rPr>
              <w:t>pin/valsartan/</w:t>
            </w:r>
            <w:r w:rsidR="007C4A86" w:rsidRPr="00C01AF3">
              <w:rPr>
                <w:rFonts w:ascii="Times New Roman" w:hAnsi="Times New Roman" w:cs="Arial"/>
                <w:sz w:val="22"/>
                <w:lang w:val="sr-Latn-ME"/>
              </w:rPr>
              <w:t>hidrohlortiazid</w:t>
            </w:r>
            <w:r w:rsidR="00BA1070" w:rsidRPr="00C01AF3">
              <w:rPr>
                <w:rFonts w:ascii="Times New Roman" w:hAnsi="Times New Roman" w:cs="Arial"/>
                <w:sz w:val="22"/>
                <w:lang w:val="sr-Latn-ME"/>
              </w:rPr>
              <w:t>) i amlodipina, valsar</w:t>
            </w:r>
            <w:r w:rsidR="00AD0D15" w:rsidRPr="00C01AF3">
              <w:rPr>
                <w:rFonts w:ascii="Times New Roman" w:hAnsi="Times New Roman" w:cs="Arial"/>
                <w:sz w:val="22"/>
                <w:lang w:val="sr-Latn-ME"/>
              </w:rPr>
              <w:t xml:space="preserve">tana i </w:t>
            </w:r>
            <w:r w:rsidR="007C4A86" w:rsidRPr="00C01AF3">
              <w:rPr>
                <w:rFonts w:ascii="Times New Roman" w:hAnsi="Times New Roman" w:cs="Arial"/>
                <w:sz w:val="22"/>
                <w:lang w:val="sr-Latn-ME"/>
              </w:rPr>
              <w:t>hidrohlortiazid</w:t>
            </w:r>
            <w:r w:rsidR="00AD0D15" w:rsidRPr="00C01AF3">
              <w:rPr>
                <w:rFonts w:ascii="Times New Roman" w:hAnsi="Times New Roman" w:cs="Arial"/>
                <w:sz w:val="22"/>
                <w:lang w:val="sr-Latn-ME"/>
              </w:rPr>
              <w:t xml:space="preserve">a, individualno. </w:t>
            </w:r>
          </w:p>
          <w:p w:rsidR="004770B5" w:rsidRPr="00C01AF3" w:rsidRDefault="00AD0D15" w:rsidP="00481601">
            <w:pPr>
              <w:pStyle w:val="Header"/>
              <w:tabs>
                <w:tab w:val="clear" w:pos="4536"/>
                <w:tab w:val="clear" w:pos="9072"/>
                <w:tab w:val="left" w:pos="284"/>
              </w:tabs>
              <w:spacing w:before="120"/>
              <w:rPr>
                <w:rFonts w:ascii="Times New Roman" w:hAnsi="Times New Roman" w:cs="Arial"/>
                <w:sz w:val="22"/>
                <w:lang w:val="sr-Latn-ME"/>
              </w:rPr>
            </w:pPr>
            <w:r w:rsidRPr="00C01AF3">
              <w:rPr>
                <w:rFonts w:ascii="Times New Roman" w:hAnsi="Times New Roman" w:cs="Arial"/>
                <w:sz w:val="22"/>
                <w:lang w:val="sr-Latn-ME"/>
              </w:rPr>
              <w:t>Veoma čest</w:t>
            </w:r>
            <w:r w:rsidR="00BA1070" w:rsidRPr="00C01AF3">
              <w:rPr>
                <w:rFonts w:ascii="Times New Roman" w:hAnsi="Times New Roman" w:cs="Arial"/>
                <w:sz w:val="22"/>
                <w:lang w:val="sr-Latn-ME"/>
              </w:rPr>
              <w:t>o</w:t>
            </w:r>
            <w:r w:rsidRPr="00C01AF3">
              <w:rPr>
                <w:rFonts w:ascii="Times New Roman" w:hAnsi="Times New Roman" w:cs="Arial"/>
                <w:sz w:val="22"/>
                <w:lang w:val="sr-Latn-ME"/>
              </w:rPr>
              <w:t xml:space="preserve"> </w:t>
            </w:r>
            <w:r w:rsidR="00B56725" w:rsidRPr="00C01AF3">
              <w:rPr>
                <w:rFonts w:ascii="Times New Roman" w:hAnsi="Times New Roman" w:cs="Arial"/>
                <w:sz w:val="22"/>
                <w:lang w:val="sr-Latn-ME"/>
              </w:rPr>
              <w:sym w:font="Symbol" w:char="F0B3"/>
            </w:r>
            <w:r w:rsidR="00B56725" w:rsidRPr="00C01AF3">
              <w:rPr>
                <w:rFonts w:ascii="Times New Roman" w:hAnsi="Times New Roman" w:cs="Arial"/>
                <w:sz w:val="22"/>
                <w:lang w:val="sr-Latn-ME"/>
              </w:rPr>
              <w:t>1/10; čest</w:t>
            </w:r>
            <w:r w:rsidR="00BA1070" w:rsidRPr="00C01AF3">
              <w:rPr>
                <w:rFonts w:ascii="Times New Roman" w:hAnsi="Times New Roman" w:cs="Arial"/>
                <w:sz w:val="22"/>
                <w:lang w:val="sr-Latn-ME"/>
              </w:rPr>
              <w:t>o</w:t>
            </w:r>
            <w:r w:rsidR="00B56725" w:rsidRPr="00C01AF3">
              <w:rPr>
                <w:rFonts w:ascii="Times New Roman" w:hAnsi="Times New Roman" w:cs="Arial"/>
                <w:sz w:val="22"/>
                <w:lang w:val="sr-Latn-ME"/>
              </w:rPr>
              <w:t xml:space="preserve"> </w:t>
            </w:r>
            <w:r w:rsidR="00B56725" w:rsidRPr="00C01AF3">
              <w:rPr>
                <w:rFonts w:ascii="Times New Roman" w:hAnsi="Times New Roman" w:cs="Arial"/>
                <w:sz w:val="22"/>
                <w:lang w:val="sr-Latn-ME"/>
              </w:rPr>
              <w:sym w:font="Symbol" w:char="F0B3"/>
            </w:r>
            <w:r w:rsidR="005E692A" w:rsidRPr="00C01AF3">
              <w:rPr>
                <w:rFonts w:ascii="Times New Roman" w:hAnsi="Times New Roman" w:cs="Arial"/>
                <w:sz w:val="22"/>
                <w:lang w:val="sr-Latn-ME"/>
              </w:rPr>
              <w:t xml:space="preserve">1/100 do </w:t>
            </w:r>
            <w:r w:rsidR="00B56725" w:rsidRPr="00C01AF3">
              <w:rPr>
                <w:rFonts w:ascii="Times New Roman" w:hAnsi="Times New Roman"/>
                <w:sz w:val="22"/>
                <w:lang w:val="sr-Latn-ME"/>
              </w:rPr>
              <w:t>&lt;</w:t>
            </w:r>
            <w:r w:rsidR="00B56725" w:rsidRPr="00C01AF3">
              <w:rPr>
                <w:rFonts w:ascii="Times New Roman" w:hAnsi="Times New Roman" w:cs="Arial"/>
                <w:sz w:val="22"/>
                <w:lang w:val="sr-Latn-ME"/>
              </w:rPr>
              <w:t>1/10</w:t>
            </w:r>
            <w:r w:rsidRPr="00C01AF3">
              <w:rPr>
                <w:rFonts w:ascii="Times New Roman" w:hAnsi="Times New Roman" w:cs="Arial"/>
                <w:sz w:val="22"/>
                <w:lang w:val="sr-Latn-ME"/>
              </w:rPr>
              <w:t>; povremen</w:t>
            </w:r>
            <w:r w:rsidR="00BA1070" w:rsidRPr="00C01AF3">
              <w:rPr>
                <w:rFonts w:ascii="Times New Roman" w:hAnsi="Times New Roman" w:cs="Arial"/>
                <w:sz w:val="22"/>
                <w:lang w:val="sr-Latn-ME"/>
              </w:rPr>
              <w:t>o</w:t>
            </w:r>
            <w:r w:rsidRPr="00C01AF3">
              <w:rPr>
                <w:rFonts w:ascii="Times New Roman" w:hAnsi="Times New Roman" w:cs="Arial"/>
                <w:sz w:val="22"/>
                <w:lang w:val="sr-Latn-ME"/>
              </w:rPr>
              <w:t xml:space="preserve"> </w:t>
            </w:r>
            <w:r w:rsidR="00B56725" w:rsidRPr="00C01AF3">
              <w:rPr>
                <w:rFonts w:ascii="Times New Roman" w:hAnsi="Times New Roman" w:cs="Arial"/>
                <w:sz w:val="22"/>
                <w:lang w:val="sr-Latn-ME"/>
              </w:rPr>
              <w:sym w:font="Symbol" w:char="F0B3"/>
            </w:r>
            <w:r w:rsidR="005E692A" w:rsidRPr="00C01AF3">
              <w:rPr>
                <w:rFonts w:ascii="Times New Roman" w:hAnsi="Times New Roman" w:cs="Arial"/>
                <w:sz w:val="22"/>
                <w:lang w:val="sr-Latn-ME"/>
              </w:rPr>
              <w:t xml:space="preserve">1/1000 do </w:t>
            </w:r>
            <w:r w:rsidR="00B56725" w:rsidRPr="00C01AF3">
              <w:rPr>
                <w:rFonts w:ascii="Times New Roman" w:hAnsi="Times New Roman"/>
                <w:sz w:val="22"/>
                <w:lang w:val="sr-Latn-ME"/>
              </w:rPr>
              <w:t>&lt;</w:t>
            </w:r>
            <w:r w:rsidR="0048504E" w:rsidRPr="00C01AF3">
              <w:rPr>
                <w:rFonts w:ascii="Times New Roman" w:hAnsi="Times New Roman" w:cs="Arial"/>
                <w:sz w:val="22"/>
                <w:lang w:val="sr-Latn-ME"/>
              </w:rPr>
              <w:t>1/100;</w:t>
            </w:r>
            <w:r w:rsidRPr="00C01AF3">
              <w:rPr>
                <w:rFonts w:ascii="Times New Roman" w:hAnsi="Times New Roman" w:cs="Arial"/>
                <w:sz w:val="22"/>
                <w:lang w:val="sr-Latn-ME"/>
              </w:rPr>
              <w:t xml:space="preserve"> </w:t>
            </w:r>
            <w:r w:rsidR="005A518B" w:rsidRPr="00C01AF3">
              <w:rPr>
                <w:rFonts w:ascii="Times New Roman" w:hAnsi="Times New Roman" w:cs="Arial"/>
                <w:sz w:val="22"/>
                <w:lang w:val="sr-Latn-ME"/>
              </w:rPr>
              <w:t>rijetk</w:t>
            </w:r>
            <w:r w:rsidR="00B145AB" w:rsidRPr="00C01AF3">
              <w:rPr>
                <w:rFonts w:ascii="Times New Roman" w:hAnsi="Times New Roman" w:cs="Arial"/>
                <w:sz w:val="22"/>
                <w:lang w:val="sr-Latn-ME"/>
              </w:rPr>
              <w:t>o</w:t>
            </w:r>
            <w:r w:rsidRPr="00C01AF3">
              <w:rPr>
                <w:rFonts w:ascii="Times New Roman" w:hAnsi="Times New Roman" w:cs="Arial"/>
                <w:sz w:val="22"/>
                <w:lang w:val="sr-Latn-ME"/>
              </w:rPr>
              <w:t xml:space="preserve"> </w:t>
            </w:r>
            <w:r w:rsidR="00B56725" w:rsidRPr="00C01AF3">
              <w:rPr>
                <w:rFonts w:ascii="Times New Roman" w:hAnsi="Times New Roman" w:cs="Arial"/>
                <w:sz w:val="22"/>
                <w:lang w:val="sr-Latn-ME"/>
              </w:rPr>
              <w:sym w:font="Symbol" w:char="F0B3"/>
            </w:r>
            <w:r w:rsidR="00B56725" w:rsidRPr="00C01AF3">
              <w:rPr>
                <w:rFonts w:ascii="Times New Roman" w:hAnsi="Times New Roman" w:cs="Arial"/>
                <w:sz w:val="22"/>
                <w:lang w:val="sr-Latn-ME"/>
              </w:rPr>
              <w:t>1/10000</w:t>
            </w:r>
            <w:r w:rsidR="005E692A" w:rsidRPr="00C01AF3">
              <w:rPr>
                <w:rFonts w:ascii="Times New Roman" w:hAnsi="Times New Roman" w:cs="Arial"/>
                <w:sz w:val="22"/>
                <w:lang w:val="sr-Latn-ME"/>
              </w:rPr>
              <w:t xml:space="preserve"> do</w:t>
            </w:r>
            <w:r w:rsidR="00B56725" w:rsidRPr="00C01AF3">
              <w:rPr>
                <w:rFonts w:ascii="Times New Roman" w:hAnsi="Times New Roman" w:cs="Arial"/>
                <w:sz w:val="22"/>
                <w:lang w:val="sr-Latn-ME"/>
              </w:rPr>
              <w:t xml:space="preserve"> </w:t>
            </w:r>
            <w:r w:rsidR="00B56725" w:rsidRPr="00C01AF3">
              <w:rPr>
                <w:rFonts w:ascii="Times New Roman" w:hAnsi="Times New Roman"/>
                <w:sz w:val="22"/>
                <w:lang w:val="sr-Latn-ME"/>
              </w:rPr>
              <w:t>&lt;</w:t>
            </w:r>
            <w:r w:rsidRPr="00C01AF3">
              <w:rPr>
                <w:rFonts w:ascii="Times New Roman" w:hAnsi="Times New Roman" w:cs="Arial"/>
                <w:sz w:val="22"/>
                <w:lang w:val="sr-Latn-ME"/>
              </w:rPr>
              <w:t>1/1000</w:t>
            </w:r>
            <w:r w:rsidR="00B56725" w:rsidRPr="00C01AF3">
              <w:rPr>
                <w:rFonts w:ascii="Times New Roman" w:hAnsi="Times New Roman" w:cs="Arial"/>
                <w:sz w:val="22"/>
                <w:lang w:val="sr-Latn-ME"/>
              </w:rPr>
              <w:t xml:space="preserve">; veoma </w:t>
            </w:r>
            <w:r w:rsidR="005A518B" w:rsidRPr="00C01AF3">
              <w:rPr>
                <w:rFonts w:ascii="Times New Roman" w:hAnsi="Times New Roman" w:cs="Arial"/>
                <w:sz w:val="22"/>
                <w:lang w:val="sr-Latn-ME"/>
              </w:rPr>
              <w:t>rijetk</w:t>
            </w:r>
            <w:r w:rsidR="00E9398A" w:rsidRPr="00C01AF3">
              <w:rPr>
                <w:rFonts w:ascii="Times New Roman" w:hAnsi="Times New Roman" w:cs="Arial"/>
                <w:sz w:val="22"/>
                <w:lang w:val="sr-Latn-ME"/>
              </w:rPr>
              <w:t>o</w:t>
            </w:r>
            <w:r w:rsidR="00B56725" w:rsidRPr="00C01AF3">
              <w:rPr>
                <w:rFonts w:ascii="Times New Roman" w:hAnsi="Times New Roman" w:cs="Arial"/>
                <w:sz w:val="22"/>
                <w:lang w:val="sr-Latn-ME"/>
              </w:rPr>
              <w:t xml:space="preserve"> </w:t>
            </w:r>
            <w:r w:rsidR="00B56725" w:rsidRPr="00C01AF3">
              <w:rPr>
                <w:rFonts w:ascii="Times New Roman" w:hAnsi="Times New Roman"/>
                <w:sz w:val="22"/>
                <w:lang w:val="sr-Latn-ME"/>
              </w:rPr>
              <w:t>&lt;</w:t>
            </w:r>
            <w:r w:rsidR="00B56725" w:rsidRPr="00C01AF3">
              <w:rPr>
                <w:rFonts w:ascii="Times New Roman" w:hAnsi="Times New Roman" w:cs="Arial"/>
                <w:sz w:val="22"/>
                <w:lang w:val="sr-Latn-ME"/>
              </w:rPr>
              <w:t>1/10000</w:t>
            </w:r>
            <w:r w:rsidR="00EE1986" w:rsidRPr="00C01AF3">
              <w:rPr>
                <w:rFonts w:ascii="Times New Roman" w:hAnsi="Times New Roman" w:cs="Arial"/>
                <w:sz w:val="22"/>
                <w:lang w:val="sr-Latn-ME"/>
              </w:rPr>
              <w:t>,</w:t>
            </w:r>
            <w:r w:rsidR="00EE1986" w:rsidRPr="00C01AF3">
              <w:rPr>
                <w:sz w:val="22"/>
                <w:szCs w:val="22"/>
                <w:lang w:val="sr-Latn-ME"/>
              </w:rPr>
              <w:t xml:space="preserve"> </w:t>
            </w:r>
            <w:r w:rsidR="00EE1986" w:rsidRPr="00C01AF3">
              <w:rPr>
                <w:rFonts w:ascii="Times New Roman" w:hAnsi="Times New Roman"/>
                <w:sz w:val="22"/>
                <w:szCs w:val="22"/>
                <w:lang w:val="sr-Latn-ME"/>
              </w:rPr>
              <w:t>nepoznat</w:t>
            </w:r>
            <w:r w:rsidR="00B145AB" w:rsidRPr="00C01AF3">
              <w:rPr>
                <w:rFonts w:ascii="Times New Roman" w:hAnsi="Times New Roman"/>
                <w:sz w:val="22"/>
                <w:szCs w:val="22"/>
                <w:lang w:val="sr-Latn-ME"/>
              </w:rPr>
              <w:t>o</w:t>
            </w:r>
            <w:r w:rsidR="00EE1986" w:rsidRPr="00C01AF3">
              <w:rPr>
                <w:rFonts w:ascii="Times New Roman" w:hAnsi="Times New Roman"/>
                <w:sz w:val="22"/>
                <w:szCs w:val="22"/>
                <w:lang w:val="sr-Latn-ME"/>
              </w:rPr>
              <w:t xml:space="preserve"> (ne može se </w:t>
            </w:r>
            <w:r w:rsidR="001B0A1F" w:rsidRPr="00C01AF3">
              <w:rPr>
                <w:rFonts w:ascii="Times New Roman" w:hAnsi="Times New Roman"/>
                <w:sz w:val="22"/>
                <w:szCs w:val="22"/>
                <w:lang w:val="sr-Latn-ME"/>
              </w:rPr>
              <w:t>procijen</w:t>
            </w:r>
            <w:r w:rsidR="00EE1986" w:rsidRPr="00C01AF3">
              <w:rPr>
                <w:rFonts w:ascii="Times New Roman" w:hAnsi="Times New Roman"/>
                <w:sz w:val="22"/>
                <w:szCs w:val="22"/>
                <w:lang w:val="sr-Latn-ME"/>
              </w:rPr>
              <w:t>iti iz dostupnih podataka</w:t>
            </w:r>
            <w:r w:rsidR="000E5979" w:rsidRPr="00C01AF3">
              <w:rPr>
                <w:rFonts w:ascii="Times New Roman" w:hAnsi="Times New Roman"/>
                <w:sz w:val="22"/>
                <w:szCs w:val="22"/>
                <w:lang w:val="sr-Latn-ME"/>
              </w:rPr>
              <w:t>)</w:t>
            </w:r>
            <w:r w:rsidR="00B145AB" w:rsidRPr="00C01AF3">
              <w:rPr>
                <w:rFonts w:ascii="Times New Roman" w:hAnsi="Times New Roman"/>
                <w:sz w:val="22"/>
                <w:szCs w:val="22"/>
                <w:lang w:val="sr-Latn-ME"/>
              </w:rPr>
              <w:t>.</w:t>
            </w:r>
          </w:p>
          <w:p w:rsidR="00AD0D15" w:rsidRPr="00C01AF3" w:rsidRDefault="00AD0D15" w:rsidP="00AD0D15">
            <w:pPr>
              <w:pStyle w:val="Header"/>
              <w:tabs>
                <w:tab w:val="clear" w:pos="4536"/>
                <w:tab w:val="clear" w:pos="9072"/>
                <w:tab w:val="left" w:pos="284"/>
              </w:tabs>
              <w:spacing w:before="120"/>
              <w:jc w:val="left"/>
              <w:rPr>
                <w:rFonts w:ascii="Times New Roman" w:hAnsi="Times New Roman"/>
                <w:sz w:val="22"/>
                <w:szCs w:val="22"/>
                <w:lang w:val="sr-Latn-ME"/>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2782"/>
              <w:gridCol w:w="1350"/>
              <w:gridCol w:w="1350"/>
              <w:gridCol w:w="1350"/>
              <w:gridCol w:w="1350"/>
            </w:tblGrid>
            <w:tr w:rsidR="0002446A" w:rsidRPr="00C01AF3" w:rsidTr="0002446A">
              <w:trPr>
                <w:cantSplit/>
              </w:trPr>
              <w:tc>
                <w:tcPr>
                  <w:tcW w:w="1778" w:type="dxa"/>
                  <w:vMerge w:val="restart"/>
                  <w:tcBorders>
                    <w:right w:val="single" w:sz="4" w:space="0" w:color="auto"/>
                  </w:tcBorders>
                  <w:shd w:val="clear" w:color="auto" w:fill="E6E6E6"/>
                </w:tcPr>
                <w:p w:rsidR="0002446A" w:rsidRPr="00C01AF3" w:rsidRDefault="0002446A" w:rsidP="0002446A">
                  <w:pPr>
                    <w:keepNext/>
                    <w:rPr>
                      <w:rFonts w:ascii="Times New Roman" w:hAnsi="Times New Roman"/>
                      <w:b/>
                      <w:sz w:val="22"/>
                      <w:szCs w:val="22"/>
                      <w:lang w:val="sr-Latn-ME"/>
                    </w:rPr>
                  </w:pPr>
                  <w:r w:rsidRPr="00C01AF3">
                    <w:rPr>
                      <w:rFonts w:ascii="Times New Roman" w:hAnsi="Times New Roman"/>
                      <w:b/>
                      <w:sz w:val="22"/>
                      <w:szCs w:val="22"/>
                      <w:lang w:val="sr-Latn-ME"/>
                    </w:rPr>
                    <w:t>MeDRA organski sistem</w:t>
                  </w:r>
                </w:p>
              </w:tc>
              <w:tc>
                <w:tcPr>
                  <w:tcW w:w="2782" w:type="dxa"/>
                  <w:vMerge w:val="restart"/>
                  <w:tcBorders>
                    <w:top w:val="single" w:sz="4" w:space="0" w:color="auto"/>
                    <w:left w:val="single" w:sz="4" w:space="0" w:color="auto"/>
                    <w:right w:val="single" w:sz="4" w:space="0" w:color="auto"/>
                  </w:tcBorders>
                  <w:shd w:val="clear" w:color="auto" w:fill="E6E6E6"/>
                </w:tcPr>
                <w:p w:rsidR="0002446A" w:rsidRPr="00C01AF3" w:rsidRDefault="0002446A" w:rsidP="0002446A">
                  <w:pPr>
                    <w:keepNext/>
                    <w:rPr>
                      <w:rFonts w:ascii="Times New Roman" w:hAnsi="Times New Roman"/>
                      <w:b/>
                      <w:sz w:val="22"/>
                      <w:szCs w:val="22"/>
                      <w:lang w:val="sr-Latn-ME"/>
                    </w:rPr>
                  </w:pPr>
                  <w:r w:rsidRPr="00C01AF3">
                    <w:rPr>
                      <w:rFonts w:ascii="Times New Roman" w:hAnsi="Times New Roman"/>
                      <w:b/>
                      <w:sz w:val="22"/>
                      <w:szCs w:val="22"/>
                      <w:lang w:val="sr-Latn-ME"/>
                    </w:rPr>
                    <w:t>Neželjene reakcije</w:t>
                  </w:r>
                </w:p>
              </w:tc>
              <w:tc>
                <w:tcPr>
                  <w:tcW w:w="1350" w:type="dxa"/>
                  <w:tcBorders>
                    <w:top w:val="single" w:sz="4" w:space="0" w:color="auto"/>
                    <w:left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r w:rsidRPr="00C01AF3">
                    <w:rPr>
                      <w:rFonts w:ascii="Times New Roman" w:hAnsi="Times New Roman"/>
                      <w:b/>
                      <w:sz w:val="22"/>
                      <w:szCs w:val="22"/>
                      <w:lang w:val="sr-Latn-ME"/>
                    </w:rPr>
                    <w:t>Učestalost</w:t>
                  </w:r>
                </w:p>
              </w:tc>
              <w:tc>
                <w:tcPr>
                  <w:tcW w:w="1350" w:type="dxa"/>
                  <w:tcBorders>
                    <w:top w:val="single" w:sz="4" w:space="0" w:color="auto"/>
                    <w:left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p>
              </w:tc>
              <w:tc>
                <w:tcPr>
                  <w:tcW w:w="1350" w:type="dxa"/>
                  <w:tcBorders>
                    <w:top w:val="single" w:sz="4" w:space="0" w:color="auto"/>
                    <w:left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p>
              </w:tc>
              <w:tc>
                <w:tcPr>
                  <w:tcW w:w="1350" w:type="dxa"/>
                  <w:tcBorders>
                    <w:top w:val="single" w:sz="4" w:space="0" w:color="auto"/>
                    <w:left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p>
              </w:tc>
            </w:tr>
            <w:tr w:rsidR="0002446A" w:rsidRPr="00C01AF3" w:rsidTr="0002446A">
              <w:trPr>
                <w:cantSplit/>
              </w:trPr>
              <w:tc>
                <w:tcPr>
                  <w:tcW w:w="1778" w:type="dxa"/>
                  <w:vMerge/>
                  <w:tcBorders>
                    <w:right w:val="single" w:sz="4" w:space="0" w:color="auto"/>
                  </w:tcBorders>
                  <w:shd w:val="clear" w:color="auto" w:fill="E6E6E6"/>
                </w:tcPr>
                <w:p w:rsidR="0002446A" w:rsidRPr="00C01AF3" w:rsidRDefault="0002446A" w:rsidP="0002446A">
                  <w:pPr>
                    <w:pStyle w:val="Heading1"/>
                    <w:rPr>
                      <w:rFonts w:ascii="Times New Roman" w:hAnsi="Times New Roman" w:cs="Times New Roman"/>
                      <w:sz w:val="22"/>
                      <w:szCs w:val="22"/>
                      <w:lang w:val="sr-Latn-ME"/>
                    </w:rPr>
                  </w:pPr>
                </w:p>
              </w:tc>
              <w:tc>
                <w:tcPr>
                  <w:tcW w:w="2782" w:type="dxa"/>
                  <w:vMerge/>
                  <w:tcBorders>
                    <w:left w:val="single" w:sz="4" w:space="0" w:color="auto"/>
                    <w:bottom w:val="single" w:sz="4" w:space="0" w:color="auto"/>
                    <w:right w:val="single" w:sz="4" w:space="0" w:color="auto"/>
                  </w:tcBorders>
                  <w:shd w:val="clear" w:color="auto" w:fill="E6E6E6"/>
                </w:tcPr>
                <w:p w:rsidR="0002446A" w:rsidRPr="00C01AF3" w:rsidRDefault="0002446A" w:rsidP="0002446A">
                  <w:pPr>
                    <w:pStyle w:val="Heading4"/>
                    <w:jc w:val="left"/>
                    <w:rPr>
                      <w:rFonts w:ascii="Times New Roman" w:hAnsi="Times New Roman" w:cs="Times New Roman"/>
                      <w:sz w:val="22"/>
                      <w:szCs w:val="22"/>
                      <w:lang w:val="sr-Latn-ME"/>
                    </w:rPr>
                  </w:pPr>
                </w:p>
              </w:tc>
              <w:tc>
                <w:tcPr>
                  <w:tcW w:w="1350" w:type="dxa"/>
                  <w:tcBorders>
                    <w:left w:val="single" w:sz="4" w:space="0" w:color="auto"/>
                    <w:bottom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r w:rsidRPr="00C01AF3">
                    <w:rPr>
                      <w:rFonts w:ascii="Times New Roman" w:hAnsi="Times New Roman"/>
                      <w:b/>
                      <w:sz w:val="22"/>
                      <w:szCs w:val="22"/>
                      <w:lang w:val="sr-Latn-ME"/>
                    </w:rPr>
                    <w:t xml:space="preserve">Exforge </w:t>
                  </w:r>
                  <w:smartTag w:uri="urn:schemas-microsoft-com:office:smarttags" w:element="stockticker">
                    <w:r w:rsidRPr="00C01AF3">
                      <w:rPr>
                        <w:rFonts w:ascii="Times New Roman" w:hAnsi="Times New Roman"/>
                        <w:b/>
                        <w:sz w:val="22"/>
                        <w:szCs w:val="22"/>
                        <w:lang w:val="sr-Latn-ME"/>
                      </w:rPr>
                      <w:t>HCT</w:t>
                    </w:r>
                  </w:smartTag>
                </w:p>
              </w:tc>
              <w:tc>
                <w:tcPr>
                  <w:tcW w:w="1350" w:type="dxa"/>
                  <w:tcBorders>
                    <w:top w:val="single" w:sz="4" w:space="0" w:color="auto"/>
                    <w:left w:val="single" w:sz="4" w:space="0" w:color="auto"/>
                    <w:bottom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r w:rsidRPr="00C01AF3">
                    <w:rPr>
                      <w:rFonts w:ascii="Times New Roman" w:hAnsi="Times New Roman"/>
                      <w:b/>
                      <w:sz w:val="22"/>
                      <w:szCs w:val="22"/>
                      <w:lang w:val="sr-Latn-ME"/>
                    </w:rPr>
                    <w:t>Amlodipin</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r w:rsidRPr="00C01AF3">
                    <w:rPr>
                      <w:rFonts w:ascii="Times New Roman" w:hAnsi="Times New Roman"/>
                      <w:b/>
                      <w:sz w:val="22"/>
                      <w:szCs w:val="22"/>
                      <w:lang w:val="sr-Latn-ME"/>
                    </w:rPr>
                    <w:t>Valsartan</w:t>
                  </w:r>
                </w:p>
              </w:tc>
              <w:tc>
                <w:tcPr>
                  <w:tcW w:w="1350" w:type="dxa"/>
                  <w:tcBorders>
                    <w:top w:val="single" w:sz="4" w:space="0" w:color="auto"/>
                    <w:left w:val="single" w:sz="4" w:space="0" w:color="auto"/>
                    <w:bottom w:val="single" w:sz="4" w:space="0" w:color="auto"/>
                    <w:right w:val="single" w:sz="4" w:space="0" w:color="auto"/>
                  </w:tcBorders>
                  <w:shd w:val="clear" w:color="auto" w:fill="E6E6E6"/>
                </w:tcPr>
                <w:p w:rsidR="0002446A" w:rsidRPr="00C01AF3" w:rsidRDefault="0002446A" w:rsidP="0002446A">
                  <w:pPr>
                    <w:keepNext/>
                    <w:jc w:val="center"/>
                    <w:rPr>
                      <w:rFonts w:ascii="Times New Roman" w:hAnsi="Times New Roman"/>
                      <w:b/>
                      <w:sz w:val="22"/>
                      <w:szCs w:val="22"/>
                      <w:lang w:val="sr-Latn-ME"/>
                    </w:rPr>
                  </w:pPr>
                  <w:smartTag w:uri="urn:schemas-microsoft-com:office:smarttags" w:element="stockticker">
                    <w:r w:rsidRPr="00C01AF3">
                      <w:rPr>
                        <w:rFonts w:ascii="Times New Roman" w:hAnsi="Times New Roman"/>
                        <w:b/>
                        <w:sz w:val="22"/>
                        <w:szCs w:val="22"/>
                        <w:lang w:val="sr-Latn-ME"/>
                      </w:rPr>
                      <w:t>HCT</w:t>
                    </w:r>
                  </w:smartTag>
                </w:p>
              </w:tc>
            </w:tr>
            <w:tr w:rsidR="0002446A" w:rsidRPr="00C01AF3" w:rsidTr="0002446A">
              <w:trPr>
                <w:cantSplit/>
              </w:trPr>
              <w:tc>
                <w:tcPr>
                  <w:tcW w:w="1778" w:type="dxa"/>
                  <w:vMerge w:val="restart"/>
                  <w:tcBorders>
                    <w:right w:val="single" w:sz="4" w:space="0" w:color="auto"/>
                  </w:tcBorders>
                </w:tcPr>
                <w:p w:rsidR="0002446A" w:rsidRPr="00C01AF3" w:rsidRDefault="0002446A" w:rsidP="0002446A">
                  <w:pPr>
                    <w:keepNext/>
                    <w:rPr>
                      <w:rFonts w:ascii="Times New Roman" w:hAnsi="Times New Roman"/>
                      <w:sz w:val="22"/>
                      <w:szCs w:val="22"/>
                      <w:lang w:val="sr-Latn-ME"/>
                    </w:rPr>
                  </w:pPr>
                  <w:r w:rsidRPr="00C01AF3">
                    <w:rPr>
                      <w:rFonts w:ascii="Times New Roman" w:hAnsi="Times New Roman"/>
                      <w:sz w:val="22"/>
                      <w:szCs w:val="22"/>
                      <w:lang w:val="sr-Latn-ME"/>
                    </w:rPr>
                    <w:t>Poremećaji krvi i limfnog sistema</w:t>
                  </w:r>
                </w:p>
              </w:tc>
              <w:tc>
                <w:tcPr>
                  <w:tcW w:w="2782" w:type="dxa"/>
                  <w:tcBorders>
                    <w:top w:val="single" w:sz="4" w:space="0" w:color="auto"/>
                    <w:left w:val="single" w:sz="4" w:space="0" w:color="auto"/>
                  </w:tcBorders>
                </w:tcPr>
                <w:p w:rsidR="0002446A" w:rsidRPr="00C01AF3" w:rsidRDefault="00A26437" w:rsidP="00A26437">
                  <w:pPr>
                    <w:keepNext/>
                    <w:jc w:val="left"/>
                    <w:rPr>
                      <w:rFonts w:ascii="Times New Roman" w:hAnsi="Times New Roman"/>
                      <w:sz w:val="22"/>
                      <w:szCs w:val="22"/>
                      <w:lang w:val="sr-Latn-ME"/>
                    </w:rPr>
                  </w:pPr>
                  <w:r w:rsidRPr="00C01AF3">
                    <w:rPr>
                      <w:rFonts w:ascii="Times New Roman" w:hAnsi="Times New Roman"/>
                      <w:sz w:val="22"/>
                      <w:szCs w:val="22"/>
                      <w:lang w:val="sr-Latn-ME"/>
                    </w:rPr>
                    <w:t>Agranulocitoza</w:t>
                  </w:r>
                  <w:r w:rsidR="0002446A" w:rsidRPr="00C01AF3">
                    <w:rPr>
                      <w:rFonts w:ascii="Times New Roman" w:hAnsi="Times New Roman"/>
                      <w:sz w:val="22"/>
                      <w:szCs w:val="22"/>
                      <w:lang w:val="sr-Latn-ME"/>
                    </w:rPr>
                    <w:t>,</w:t>
                  </w:r>
                  <w:r w:rsidR="00B145AB" w:rsidRPr="00C01AF3">
                    <w:rPr>
                      <w:rFonts w:ascii="Times New Roman" w:hAnsi="Times New Roman"/>
                      <w:sz w:val="22"/>
                      <w:szCs w:val="22"/>
                      <w:lang w:val="sr-Latn-ME"/>
                    </w:rPr>
                    <w:t xml:space="preserve"> </w:t>
                  </w:r>
                  <w:r w:rsidRPr="00C01AF3">
                    <w:rPr>
                      <w:rFonts w:ascii="Times New Roman" w:hAnsi="Times New Roman"/>
                      <w:sz w:val="22"/>
                      <w:szCs w:val="22"/>
                      <w:lang w:val="sr-Latn-ME"/>
                    </w:rPr>
                    <w:t>depresija kostne srži</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4956C6">
                  <w:pPr>
                    <w:keepNext/>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Borders>
                    <w:right w:val="single" w:sz="4" w:space="0" w:color="auto"/>
                  </w:tcBorders>
                </w:tcPr>
                <w:p w:rsidR="0002446A" w:rsidRPr="00C01AF3" w:rsidRDefault="0002446A" w:rsidP="0002446A">
                  <w:pPr>
                    <w:rPr>
                      <w:rFonts w:ascii="Times New Roman" w:hAnsi="Times New Roman"/>
                      <w:sz w:val="22"/>
                      <w:szCs w:val="22"/>
                      <w:lang w:val="sr-Latn-ME"/>
                    </w:rPr>
                  </w:pPr>
                </w:p>
              </w:tc>
              <w:tc>
                <w:tcPr>
                  <w:tcW w:w="2782" w:type="dxa"/>
                  <w:tcBorders>
                    <w:top w:val="single" w:sz="4" w:space="0" w:color="auto"/>
                    <w:left w:val="single" w:sz="4" w:space="0" w:color="auto"/>
                  </w:tcBorders>
                </w:tcPr>
                <w:p w:rsidR="0002446A" w:rsidRPr="00C01AF3" w:rsidRDefault="00A26437"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Smanjenje hemoglobina i hematokrita</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Borders>
                    <w:right w:val="single" w:sz="4" w:space="0" w:color="auto"/>
                  </w:tcBorders>
                </w:tcPr>
                <w:p w:rsidR="0002446A" w:rsidRPr="00C01AF3" w:rsidRDefault="0002446A" w:rsidP="0002446A">
                  <w:pPr>
                    <w:rPr>
                      <w:rFonts w:ascii="Times New Roman" w:hAnsi="Times New Roman"/>
                      <w:sz w:val="22"/>
                      <w:szCs w:val="22"/>
                      <w:lang w:val="sr-Latn-ME"/>
                    </w:rPr>
                  </w:pPr>
                </w:p>
              </w:tc>
              <w:tc>
                <w:tcPr>
                  <w:tcW w:w="2782" w:type="dxa"/>
                  <w:tcBorders>
                    <w:top w:val="single" w:sz="4" w:space="0" w:color="auto"/>
                    <w:left w:val="single" w:sz="4" w:space="0" w:color="auto"/>
                  </w:tcBorders>
                </w:tcPr>
                <w:p w:rsidR="0002446A" w:rsidRPr="00C01AF3" w:rsidRDefault="00A464E2"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H</w:t>
                  </w:r>
                  <w:r w:rsidR="00A26437" w:rsidRPr="00C01AF3">
                    <w:rPr>
                      <w:rFonts w:ascii="Times New Roman" w:hAnsi="Times New Roman"/>
                      <w:sz w:val="22"/>
                      <w:szCs w:val="22"/>
                      <w:lang w:val="sr-Latn-ME"/>
                    </w:rPr>
                    <w:t>emolitička ane</w:t>
                  </w:r>
                  <w:r w:rsidR="0002446A" w:rsidRPr="00C01AF3">
                    <w:rPr>
                      <w:rFonts w:ascii="Times New Roman" w:hAnsi="Times New Roman"/>
                      <w:sz w:val="22"/>
                      <w:szCs w:val="22"/>
                      <w:lang w:val="sr-Latn-ME"/>
                    </w:rPr>
                    <w:t>mi</w:t>
                  </w:r>
                  <w:r w:rsidR="00A26437" w:rsidRPr="00C01AF3">
                    <w:rPr>
                      <w:rFonts w:ascii="Times New Roman" w:hAnsi="Times New Roman"/>
                      <w:sz w:val="22"/>
                      <w:szCs w:val="22"/>
                      <w:lang w:val="sr-Latn-ME"/>
                    </w:rPr>
                    <w:t>ja</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4956C6">
                  <w:pPr>
                    <w:keepNext/>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Borders>
                    <w:right w:val="single" w:sz="4" w:space="0" w:color="auto"/>
                  </w:tcBorders>
                </w:tcPr>
                <w:p w:rsidR="0002446A" w:rsidRPr="00C01AF3" w:rsidRDefault="0002446A" w:rsidP="0002446A">
                  <w:pPr>
                    <w:rPr>
                      <w:rFonts w:ascii="Times New Roman" w:hAnsi="Times New Roman"/>
                      <w:sz w:val="22"/>
                      <w:szCs w:val="22"/>
                      <w:lang w:val="sr-Latn-ME"/>
                    </w:rPr>
                  </w:pPr>
                </w:p>
              </w:tc>
              <w:tc>
                <w:tcPr>
                  <w:tcW w:w="2782" w:type="dxa"/>
                  <w:tcBorders>
                    <w:top w:val="single" w:sz="4" w:space="0" w:color="auto"/>
                    <w:left w:val="single" w:sz="4" w:space="0" w:color="auto"/>
                  </w:tcBorders>
                </w:tcPr>
                <w:p w:rsidR="0002446A" w:rsidRPr="00C01AF3" w:rsidRDefault="0002446A"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Leukopeni</w:t>
                  </w:r>
                  <w:r w:rsidR="00A26437" w:rsidRPr="00C01AF3">
                    <w:rPr>
                      <w:rFonts w:ascii="Times New Roman" w:hAnsi="Times New Roman"/>
                      <w:sz w:val="22"/>
                      <w:szCs w:val="22"/>
                      <w:lang w:val="sr-Latn-ME"/>
                    </w:rPr>
                    <w:t>j</w:t>
                  </w:r>
                  <w:r w:rsidRPr="00C01AF3">
                    <w:rPr>
                      <w:rFonts w:ascii="Times New Roman" w:hAnsi="Times New Roman"/>
                      <w:sz w:val="22"/>
                      <w:szCs w:val="22"/>
                      <w:lang w:val="sr-Latn-ME"/>
                    </w:rPr>
                    <w:t>a</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4956C6">
                  <w:pPr>
                    <w:keepNext/>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4956C6">
                  <w:pPr>
                    <w:keepNext/>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Borders>
                    <w:right w:val="single" w:sz="4" w:space="0" w:color="auto"/>
                  </w:tcBorders>
                </w:tcPr>
                <w:p w:rsidR="0002446A" w:rsidRPr="00C01AF3" w:rsidRDefault="0002446A" w:rsidP="0002446A">
                  <w:pPr>
                    <w:rPr>
                      <w:rFonts w:ascii="Times New Roman" w:hAnsi="Times New Roman"/>
                      <w:sz w:val="22"/>
                      <w:szCs w:val="22"/>
                      <w:lang w:val="sr-Latn-ME"/>
                    </w:rPr>
                  </w:pPr>
                </w:p>
              </w:tc>
              <w:tc>
                <w:tcPr>
                  <w:tcW w:w="2782" w:type="dxa"/>
                  <w:tcBorders>
                    <w:top w:val="single" w:sz="4" w:space="0" w:color="auto"/>
                    <w:left w:val="single" w:sz="4" w:space="0" w:color="auto"/>
                  </w:tcBorders>
                </w:tcPr>
                <w:p w:rsidR="0002446A" w:rsidRPr="00C01AF3" w:rsidRDefault="0002446A"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Neutropeni</w:t>
                  </w:r>
                  <w:r w:rsidR="00A26437" w:rsidRPr="00C01AF3">
                    <w:rPr>
                      <w:rFonts w:ascii="Times New Roman" w:hAnsi="Times New Roman"/>
                      <w:sz w:val="22"/>
                      <w:szCs w:val="22"/>
                      <w:lang w:val="sr-Latn-ME"/>
                    </w:rPr>
                    <w:t>j</w:t>
                  </w:r>
                  <w:r w:rsidRPr="00C01AF3">
                    <w:rPr>
                      <w:rFonts w:ascii="Times New Roman" w:hAnsi="Times New Roman"/>
                      <w:sz w:val="22"/>
                      <w:szCs w:val="22"/>
                      <w:lang w:val="sr-Latn-ME"/>
                    </w:rPr>
                    <w:t>a</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Borders>
                    <w:top w:val="single" w:sz="4" w:space="0" w:color="auto"/>
                  </w:tcBorders>
                </w:tcPr>
                <w:p w:rsidR="0002446A" w:rsidRPr="00C01AF3" w:rsidRDefault="0002446A" w:rsidP="0002446A">
                  <w:pPr>
                    <w:keepNext/>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Borders>
                    <w:right w:val="single" w:sz="4" w:space="0" w:color="auto"/>
                  </w:tcBorders>
                </w:tcPr>
                <w:p w:rsidR="0002446A" w:rsidRPr="00C01AF3" w:rsidRDefault="0002446A" w:rsidP="0002446A">
                  <w:pPr>
                    <w:pStyle w:val="Heading1"/>
                    <w:rPr>
                      <w:rFonts w:ascii="Times New Roman" w:hAnsi="Times New Roman" w:cs="Times New Roman"/>
                      <w:sz w:val="22"/>
                      <w:szCs w:val="22"/>
                      <w:lang w:val="sr-Latn-ME"/>
                    </w:rPr>
                  </w:pPr>
                </w:p>
              </w:tc>
              <w:tc>
                <w:tcPr>
                  <w:tcW w:w="2782" w:type="dxa"/>
                  <w:tcBorders>
                    <w:top w:val="single" w:sz="4" w:space="0" w:color="auto"/>
                    <w:left w:val="single" w:sz="4" w:space="0" w:color="auto"/>
                  </w:tcBorders>
                </w:tcPr>
                <w:p w:rsidR="0002446A" w:rsidRPr="00C01AF3" w:rsidRDefault="00A26437" w:rsidP="00A26437">
                  <w:pPr>
                    <w:jc w:val="left"/>
                    <w:rPr>
                      <w:rFonts w:ascii="Times New Roman" w:hAnsi="Times New Roman"/>
                      <w:sz w:val="22"/>
                      <w:szCs w:val="22"/>
                      <w:lang w:val="sr-Latn-ME"/>
                    </w:rPr>
                  </w:pPr>
                  <w:r w:rsidRPr="00C01AF3">
                    <w:rPr>
                      <w:rFonts w:ascii="Times New Roman" w:hAnsi="Times New Roman"/>
                      <w:sz w:val="22"/>
                      <w:szCs w:val="22"/>
                      <w:lang w:val="sr-Latn-ME"/>
                    </w:rPr>
                    <w:t>Trombocitopenija, ponekad sa purpurom</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Borders>
                    <w:top w:val="single" w:sz="4" w:space="0" w:color="auto"/>
                  </w:tcBorders>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Borders>
                    <w:right w:val="single" w:sz="4" w:space="0" w:color="auto"/>
                  </w:tcBorders>
                </w:tcPr>
                <w:p w:rsidR="0002446A" w:rsidRPr="00C01AF3" w:rsidRDefault="0002446A" w:rsidP="0002446A">
                  <w:pPr>
                    <w:pStyle w:val="Heading1"/>
                    <w:rPr>
                      <w:rFonts w:ascii="Times New Roman" w:hAnsi="Times New Roman" w:cs="Times New Roman"/>
                      <w:sz w:val="22"/>
                      <w:szCs w:val="22"/>
                      <w:lang w:val="sr-Latn-ME"/>
                    </w:rPr>
                  </w:pPr>
                </w:p>
              </w:tc>
              <w:tc>
                <w:tcPr>
                  <w:tcW w:w="2782" w:type="dxa"/>
                  <w:tcBorders>
                    <w:top w:val="single" w:sz="4" w:space="0" w:color="auto"/>
                    <w:left w:val="single" w:sz="4" w:space="0" w:color="auto"/>
                  </w:tcBorders>
                </w:tcPr>
                <w:p w:rsidR="0002446A" w:rsidRPr="00C01AF3" w:rsidRDefault="00A26437" w:rsidP="004615D0">
                  <w:pPr>
                    <w:jc w:val="left"/>
                    <w:rPr>
                      <w:rFonts w:ascii="Times New Roman" w:hAnsi="Times New Roman"/>
                      <w:sz w:val="22"/>
                      <w:szCs w:val="22"/>
                      <w:lang w:val="sr-Latn-ME"/>
                    </w:rPr>
                  </w:pPr>
                  <w:r w:rsidRPr="00C01AF3">
                    <w:rPr>
                      <w:rFonts w:ascii="Times New Roman" w:hAnsi="Times New Roman"/>
                      <w:sz w:val="22"/>
                      <w:szCs w:val="22"/>
                      <w:lang w:val="sr-Latn-ME"/>
                    </w:rPr>
                    <w:t>Aplastična an</w:t>
                  </w:r>
                  <w:r w:rsidR="0002446A" w:rsidRPr="00C01AF3">
                    <w:rPr>
                      <w:rFonts w:ascii="Times New Roman" w:hAnsi="Times New Roman"/>
                      <w:sz w:val="22"/>
                      <w:szCs w:val="22"/>
                      <w:lang w:val="sr-Latn-ME"/>
                    </w:rPr>
                    <w:t>emi</w:t>
                  </w:r>
                  <w:r w:rsidRPr="00C01AF3">
                    <w:rPr>
                      <w:rFonts w:ascii="Times New Roman" w:hAnsi="Times New Roman"/>
                      <w:sz w:val="22"/>
                      <w:szCs w:val="22"/>
                      <w:lang w:val="sr-Latn-ME"/>
                    </w:rPr>
                    <w:t>j</w:t>
                  </w:r>
                  <w:r w:rsidR="0002446A" w:rsidRPr="00C01AF3">
                    <w:rPr>
                      <w:rFonts w:ascii="Times New Roman" w:hAnsi="Times New Roman"/>
                      <w:sz w:val="22"/>
                      <w:szCs w:val="22"/>
                      <w:lang w:val="sr-Latn-ME"/>
                    </w:rPr>
                    <w:t>a</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Borders>
                    <w:top w:val="single" w:sz="4" w:space="0" w:color="auto"/>
                  </w:tcBorders>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tcPr>
                <w:p w:rsidR="0002446A" w:rsidRPr="00C01AF3" w:rsidRDefault="00A26437" w:rsidP="0002446A">
                  <w:pPr>
                    <w:rPr>
                      <w:rFonts w:ascii="Times New Roman" w:hAnsi="Times New Roman"/>
                      <w:sz w:val="22"/>
                      <w:szCs w:val="22"/>
                      <w:lang w:val="sr-Latn-ME"/>
                    </w:rPr>
                  </w:pPr>
                  <w:r w:rsidRPr="00C01AF3">
                    <w:rPr>
                      <w:rFonts w:ascii="Times New Roman" w:hAnsi="Times New Roman"/>
                      <w:sz w:val="22"/>
                      <w:szCs w:val="22"/>
                      <w:lang w:val="sr-Latn-ME"/>
                    </w:rPr>
                    <w:t>Poremećaji imunog sistema</w:t>
                  </w:r>
                </w:p>
              </w:tc>
              <w:tc>
                <w:tcPr>
                  <w:tcW w:w="2782" w:type="dxa"/>
                </w:tcPr>
                <w:p w:rsidR="0002446A" w:rsidRPr="00C01AF3" w:rsidRDefault="004956C6" w:rsidP="004615D0">
                  <w:pPr>
                    <w:jc w:val="left"/>
                    <w:rPr>
                      <w:rFonts w:ascii="Times New Roman" w:hAnsi="Times New Roman"/>
                      <w:sz w:val="22"/>
                      <w:szCs w:val="22"/>
                      <w:lang w:val="sr-Latn-ME"/>
                    </w:rPr>
                  </w:pPr>
                  <w:r w:rsidRPr="00C01AF3">
                    <w:rPr>
                      <w:rFonts w:ascii="Times New Roman" w:hAnsi="Times New Roman"/>
                      <w:sz w:val="22"/>
                      <w:szCs w:val="22"/>
                      <w:lang w:val="sr-Latn-ME"/>
                    </w:rPr>
                    <w:t>Preosjetljivost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val="restart"/>
                </w:tcPr>
                <w:p w:rsidR="0002446A" w:rsidRPr="00C01AF3" w:rsidRDefault="005A518B" w:rsidP="00A26437">
                  <w:pPr>
                    <w:keepNext/>
                    <w:jc w:val="left"/>
                    <w:rPr>
                      <w:rFonts w:ascii="Times New Roman" w:hAnsi="Times New Roman"/>
                      <w:sz w:val="22"/>
                      <w:szCs w:val="22"/>
                      <w:lang w:val="sr-Latn-ME"/>
                    </w:rPr>
                  </w:pPr>
                  <w:r w:rsidRPr="00C01AF3">
                    <w:rPr>
                      <w:rFonts w:ascii="Times New Roman" w:hAnsi="Times New Roman"/>
                      <w:sz w:val="22"/>
                      <w:szCs w:val="22"/>
                      <w:lang w:val="sr-Latn-ME"/>
                    </w:rPr>
                    <w:t>Poremećaji metabolizma i is</w:t>
                  </w:r>
                  <w:r w:rsidR="00A26437" w:rsidRPr="00C01AF3">
                    <w:rPr>
                      <w:rFonts w:ascii="Times New Roman" w:hAnsi="Times New Roman"/>
                      <w:sz w:val="22"/>
                      <w:szCs w:val="22"/>
                      <w:lang w:val="sr-Latn-ME"/>
                    </w:rPr>
                    <w:t>hrane</w:t>
                  </w:r>
                </w:p>
              </w:tc>
              <w:tc>
                <w:tcPr>
                  <w:tcW w:w="2782" w:type="dxa"/>
                </w:tcPr>
                <w:p w:rsidR="0002446A" w:rsidRPr="00C01AF3" w:rsidRDefault="0002446A" w:rsidP="00A26437">
                  <w:pPr>
                    <w:keepNext/>
                    <w:jc w:val="left"/>
                    <w:rPr>
                      <w:rFonts w:ascii="Times New Roman" w:hAnsi="Times New Roman"/>
                      <w:sz w:val="22"/>
                      <w:szCs w:val="22"/>
                      <w:lang w:val="sr-Latn-ME"/>
                    </w:rPr>
                  </w:pPr>
                  <w:r w:rsidRPr="00C01AF3">
                    <w:rPr>
                      <w:rFonts w:ascii="Times New Roman" w:hAnsi="Times New Roman"/>
                      <w:sz w:val="22"/>
                      <w:szCs w:val="22"/>
                      <w:lang w:val="sr-Latn-ME"/>
                    </w:rPr>
                    <w:t>Anore</w:t>
                  </w:r>
                  <w:r w:rsidR="00A26437" w:rsidRPr="00C01AF3">
                    <w:rPr>
                      <w:rFonts w:ascii="Times New Roman" w:hAnsi="Times New Roman"/>
                      <w:sz w:val="22"/>
                      <w:szCs w:val="22"/>
                      <w:lang w:val="sr-Latn-ME"/>
                    </w:rPr>
                    <w:t>ks</w:t>
                  </w:r>
                  <w:r w:rsidRPr="00C01AF3">
                    <w:rPr>
                      <w:rFonts w:ascii="Times New Roman" w:hAnsi="Times New Roman"/>
                      <w:sz w:val="22"/>
                      <w:szCs w:val="22"/>
                      <w:lang w:val="sr-Latn-ME"/>
                    </w:rPr>
                    <w:t>i</w:t>
                  </w:r>
                  <w:r w:rsidR="00A26437" w:rsidRPr="00C01AF3">
                    <w:rPr>
                      <w:rFonts w:ascii="Times New Roman" w:hAnsi="Times New Roman"/>
                      <w:sz w:val="22"/>
                      <w:szCs w:val="22"/>
                      <w:lang w:val="sr-Latn-ME"/>
                    </w:rPr>
                    <w:t>j</w:t>
                  </w:r>
                  <w:r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trike/>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Hiperkalc</w:t>
                  </w:r>
                  <w:r w:rsidR="0002446A" w:rsidRPr="00C01AF3">
                    <w:rPr>
                      <w:rFonts w:ascii="Times New Roman" w:hAnsi="Times New Roman"/>
                      <w:sz w:val="22"/>
                      <w:szCs w:val="22"/>
                      <w:lang w:val="sr-Latn-ME"/>
                    </w:rPr>
                    <w:t>emi</w:t>
                  </w:r>
                  <w:r w:rsidRPr="00C01AF3">
                    <w:rPr>
                      <w:rFonts w:ascii="Times New Roman" w:hAnsi="Times New Roman"/>
                      <w:sz w:val="22"/>
                      <w:szCs w:val="22"/>
                      <w:lang w:val="sr-Latn-ME"/>
                    </w:rPr>
                    <w:t>j</w:t>
                  </w:r>
                  <w:r w:rsidR="0002446A"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A26437">
                  <w:pPr>
                    <w:keepNext/>
                    <w:jc w:val="left"/>
                    <w:rPr>
                      <w:rFonts w:ascii="Times New Roman" w:hAnsi="Times New Roman"/>
                      <w:sz w:val="22"/>
                      <w:szCs w:val="22"/>
                      <w:lang w:val="sr-Latn-ME"/>
                    </w:rPr>
                  </w:pPr>
                  <w:r w:rsidRPr="00C01AF3">
                    <w:rPr>
                      <w:rFonts w:ascii="Times New Roman" w:hAnsi="Times New Roman"/>
                      <w:sz w:val="22"/>
                      <w:szCs w:val="22"/>
                      <w:lang w:val="sr-Latn-ME"/>
                    </w:rPr>
                    <w:t>Hiperglikemija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Hiperlipid</w:t>
                  </w:r>
                  <w:r w:rsidR="0002446A" w:rsidRPr="00C01AF3">
                    <w:rPr>
                      <w:rFonts w:ascii="Times New Roman" w:hAnsi="Times New Roman"/>
                      <w:sz w:val="22"/>
                      <w:szCs w:val="22"/>
                      <w:lang w:val="sr-Latn-ME"/>
                    </w:rPr>
                    <w:t>emi</w:t>
                  </w:r>
                  <w:r w:rsidRPr="00C01AF3">
                    <w:rPr>
                      <w:rFonts w:ascii="Times New Roman" w:hAnsi="Times New Roman"/>
                      <w:sz w:val="22"/>
                      <w:szCs w:val="22"/>
                      <w:lang w:val="sr-Latn-ME"/>
                    </w:rPr>
                    <w:t>j</w:t>
                  </w:r>
                  <w:r w:rsidR="0002446A"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A26437">
                  <w:pPr>
                    <w:keepNext/>
                    <w:jc w:val="left"/>
                    <w:rPr>
                      <w:rFonts w:ascii="Times New Roman" w:hAnsi="Times New Roman"/>
                      <w:sz w:val="22"/>
                      <w:szCs w:val="22"/>
                      <w:lang w:val="sr-Latn-ME"/>
                    </w:rPr>
                  </w:pPr>
                  <w:r w:rsidRPr="00C01AF3">
                    <w:rPr>
                      <w:rFonts w:ascii="Times New Roman" w:hAnsi="Times New Roman"/>
                      <w:sz w:val="22"/>
                      <w:szCs w:val="22"/>
                      <w:lang w:val="sr-Latn-ME"/>
                    </w:rPr>
                    <w:t>Hiperurik</w:t>
                  </w:r>
                  <w:r w:rsidR="0002446A" w:rsidRPr="00C01AF3">
                    <w:rPr>
                      <w:rFonts w:ascii="Times New Roman" w:hAnsi="Times New Roman"/>
                      <w:sz w:val="22"/>
                      <w:szCs w:val="22"/>
                      <w:lang w:val="sr-Latn-ME"/>
                    </w:rPr>
                    <w:t>emi</w:t>
                  </w:r>
                  <w:r w:rsidRPr="00C01AF3">
                    <w:rPr>
                      <w:rFonts w:ascii="Times New Roman" w:hAnsi="Times New Roman"/>
                      <w:sz w:val="22"/>
                      <w:szCs w:val="22"/>
                      <w:lang w:val="sr-Latn-ME"/>
                    </w:rPr>
                    <w:t>j</w:t>
                  </w:r>
                  <w:r w:rsidR="0002446A"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Hi</w:t>
                  </w:r>
                  <w:r w:rsidR="00CB5E2C" w:rsidRPr="00C01AF3">
                    <w:rPr>
                      <w:rFonts w:ascii="Times New Roman" w:hAnsi="Times New Roman"/>
                      <w:sz w:val="22"/>
                      <w:szCs w:val="22"/>
                      <w:lang w:val="sr-Latn-ME"/>
                    </w:rPr>
                    <w:t>p</w:t>
                  </w:r>
                  <w:r w:rsidRPr="00C01AF3">
                    <w:rPr>
                      <w:rFonts w:ascii="Times New Roman" w:hAnsi="Times New Roman"/>
                      <w:sz w:val="22"/>
                      <w:szCs w:val="22"/>
                      <w:lang w:val="sr-Latn-ME"/>
                    </w:rPr>
                    <w:t>ohloremijska alkaloza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Hi</w:t>
                  </w:r>
                  <w:r w:rsidR="00061DBF" w:rsidRPr="00C01AF3">
                    <w:rPr>
                      <w:rFonts w:ascii="Times New Roman" w:hAnsi="Times New Roman"/>
                      <w:sz w:val="22"/>
                      <w:szCs w:val="22"/>
                      <w:lang w:val="sr-Latn-ME"/>
                    </w:rPr>
                    <w:t>pokal</w:t>
                  </w:r>
                  <w:r w:rsidR="004956C6" w:rsidRPr="00C01AF3">
                    <w:rPr>
                      <w:rFonts w:ascii="Times New Roman" w:hAnsi="Times New Roman"/>
                      <w:sz w:val="22"/>
                      <w:szCs w:val="22"/>
                      <w:lang w:val="sr-Latn-ME"/>
                    </w:rPr>
                    <w:t>ij</w:t>
                  </w:r>
                  <w:r w:rsidR="00412842" w:rsidRPr="00C01AF3">
                    <w:rPr>
                      <w:rFonts w:ascii="Times New Roman" w:hAnsi="Times New Roman"/>
                      <w:sz w:val="22"/>
                      <w:szCs w:val="22"/>
                      <w:lang w:val="sr-Latn-ME"/>
                    </w:rPr>
                    <w:t>emija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4956C6"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26437"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Hi</w:t>
                  </w:r>
                  <w:r w:rsidR="0002446A" w:rsidRPr="00C01AF3">
                    <w:rPr>
                      <w:rFonts w:ascii="Times New Roman" w:hAnsi="Times New Roman"/>
                      <w:sz w:val="22"/>
                      <w:szCs w:val="22"/>
                      <w:lang w:val="sr-Latn-ME"/>
                    </w:rPr>
                    <w:t>pomagne</w:t>
                  </w:r>
                  <w:r w:rsidR="00412842" w:rsidRPr="00C01AF3">
                    <w:rPr>
                      <w:rFonts w:ascii="Times New Roman" w:hAnsi="Times New Roman"/>
                      <w:sz w:val="22"/>
                      <w:szCs w:val="22"/>
                      <w:lang w:val="sr-Latn-ME"/>
                    </w:rPr>
                    <w:t>zijemija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A26437" w:rsidP="00412842">
                  <w:pPr>
                    <w:jc w:val="left"/>
                    <w:rPr>
                      <w:rFonts w:ascii="Times New Roman" w:hAnsi="Times New Roman"/>
                      <w:sz w:val="22"/>
                      <w:szCs w:val="22"/>
                      <w:lang w:val="sr-Latn-ME"/>
                    </w:rPr>
                  </w:pPr>
                  <w:r w:rsidRPr="00C01AF3">
                    <w:rPr>
                      <w:rFonts w:ascii="Times New Roman" w:hAnsi="Times New Roman"/>
                      <w:sz w:val="22"/>
                      <w:szCs w:val="22"/>
                      <w:lang w:val="sr-Latn-ME"/>
                    </w:rPr>
                    <w:t>Hi</w:t>
                  </w:r>
                  <w:r w:rsidR="0002446A" w:rsidRPr="00C01AF3">
                    <w:rPr>
                      <w:rFonts w:ascii="Times New Roman" w:hAnsi="Times New Roman"/>
                      <w:sz w:val="22"/>
                      <w:szCs w:val="22"/>
                      <w:lang w:val="sr-Latn-ME"/>
                    </w:rPr>
                    <w:t>ponatr</w:t>
                  </w:r>
                  <w:r w:rsidR="00412842" w:rsidRPr="00C01AF3">
                    <w:rPr>
                      <w:rFonts w:ascii="Times New Roman" w:hAnsi="Times New Roman"/>
                      <w:sz w:val="22"/>
                      <w:szCs w:val="22"/>
                      <w:lang w:val="sr-Latn-ME"/>
                    </w:rPr>
                    <w:t>ijemija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412842" w:rsidP="004615D0">
                  <w:pPr>
                    <w:jc w:val="left"/>
                    <w:rPr>
                      <w:rFonts w:ascii="Times New Roman" w:hAnsi="Times New Roman"/>
                      <w:sz w:val="22"/>
                      <w:szCs w:val="22"/>
                      <w:lang w:val="sr-Latn-ME"/>
                    </w:rPr>
                  </w:pPr>
                  <w:r w:rsidRPr="00C01AF3">
                    <w:rPr>
                      <w:rFonts w:ascii="Times New Roman" w:hAnsi="Times New Roman"/>
                      <w:sz w:val="22"/>
                      <w:szCs w:val="22"/>
                      <w:lang w:val="sr-Latn-ME"/>
                    </w:rPr>
                    <w:t>Pogoršanje dijabetičkog metaboličkog stanja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val="restart"/>
                </w:tcPr>
                <w:p w:rsidR="0002446A" w:rsidRPr="00C01AF3" w:rsidRDefault="00412842" w:rsidP="0002446A">
                  <w:pPr>
                    <w:keepNext/>
                    <w:rPr>
                      <w:rFonts w:ascii="Times New Roman" w:hAnsi="Times New Roman"/>
                      <w:sz w:val="22"/>
                      <w:szCs w:val="22"/>
                      <w:lang w:val="sr-Latn-ME"/>
                    </w:rPr>
                  </w:pPr>
                  <w:r w:rsidRPr="00C01AF3">
                    <w:rPr>
                      <w:rFonts w:ascii="Times New Roman" w:hAnsi="Times New Roman"/>
                      <w:sz w:val="22"/>
                      <w:szCs w:val="22"/>
                      <w:lang w:val="sr-Latn-ME"/>
                    </w:rPr>
                    <w:t>Psihijatrijski poremećaji</w:t>
                  </w: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Depres</w:t>
                  </w:r>
                  <w:r w:rsidR="00412842" w:rsidRPr="00C01AF3">
                    <w:rPr>
                      <w:rFonts w:ascii="Times New Roman" w:hAnsi="Times New Roman"/>
                      <w:sz w:val="22"/>
                      <w:szCs w:val="22"/>
                      <w:lang w:val="sr-Latn-ME"/>
                    </w:rPr>
                    <w:t>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Insomnija/poremećaji spavanja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644CBB" w:rsidP="004615D0">
                  <w:pPr>
                    <w:jc w:val="left"/>
                    <w:rPr>
                      <w:rFonts w:ascii="Times New Roman" w:hAnsi="Times New Roman"/>
                      <w:sz w:val="22"/>
                      <w:szCs w:val="22"/>
                      <w:lang w:val="sr-Latn-ME"/>
                    </w:rPr>
                  </w:pPr>
                  <w:r w:rsidRPr="00C01AF3">
                    <w:rPr>
                      <w:rFonts w:ascii="Times New Roman" w:hAnsi="Times New Roman"/>
                      <w:sz w:val="22"/>
                      <w:szCs w:val="22"/>
                      <w:lang w:val="sr-Latn-ME"/>
                    </w:rPr>
                    <w:t>Promjen</w:t>
                  </w:r>
                  <w:r w:rsidR="00412842" w:rsidRPr="00C01AF3">
                    <w:rPr>
                      <w:rFonts w:ascii="Times New Roman" w:hAnsi="Times New Roman"/>
                      <w:sz w:val="22"/>
                      <w:szCs w:val="22"/>
                      <w:lang w:val="sr-Latn-ME"/>
                    </w:rPr>
                    <w:t>e raspoloženja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412842" w:rsidP="004615D0">
                  <w:pPr>
                    <w:jc w:val="left"/>
                    <w:rPr>
                      <w:rFonts w:ascii="Times New Roman" w:hAnsi="Times New Roman"/>
                      <w:sz w:val="22"/>
                      <w:szCs w:val="22"/>
                      <w:lang w:val="sr-Latn-ME"/>
                    </w:rPr>
                  </w:pPr>
                  <w:r w:rsidRPr="00C01AF3">
                    <w:rPr>
                      <w:rFonts w:ascii="Times New Roman" w:hAnsi="Times New Roman"/>
                      <w:sz w:val="22"/>
                      <w:szCs w:val="22"/>
                      <w:lang w:val="sr-Latn-ME"/>
                    </w:rPr>
                    <w:t>Konfuzija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C228EE">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412842" w:rsidP="0002446A">
                  <w:pPr>
                    <w:keepNext/>
                    <w:rPr>
                      <w:rFonts w:ascii="Times New Roman" w:hAnsi="Times New Roman"/>
                      <w:sz w:val="22"/>
                      <w:szCs w:val="22"/>
                      <w:lang w:val="sr-Latn-ME"/>
                    </w:rPr>
                  </w:pPr>
                  <w:r w:rsidRPr="00C01AF3">
                    <w:rPr>
                      <w:rFonts w:ascii="Times New Roman" w:hAnsi="Times New Roman"/>
                      <w:sz w:val="22"/>
                      <w:szCs w:val="22"/>
                      <w:lang w:val="sr-Latn-ME"/>
                    </w:rPr>
                    <w:t>Poremećaji nervnog sistema</w:t>
                  </w:r>
                </w:p>
              </w:tc>
              <w:tc>
                <w:tcPr>
                  <w:tcW w:w="2782" w:type="dxa"/>
                </w:tcPr>
                <w:p w:rsidR="0002446A" w:rsidRPr="00C01AF3" w:rsidRDefault="00412842"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Abnormalna koordinacija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615D0">
                  <w:pPr>
                    <w:keepNext/>
                    <w:jc w:val="left"/>
                    <w:rPr>
                      <w:rFonts w:ascii="Times New Roman" w:hAnsi="Times New Roman"/>
                      <w:sz w:val="22"/>
                      <w:szCs w:val="22"/>
                      <w:lang w:val="sr-Latn-ME"/>
                    </w:rPr>
                  </w:pPr>
                  <w:r w:rsidRPr="00C01AF3">
                    <w:rPr>
                      <w:rFonts w:ascii="Times New Roman" w:hAnsi="Times New Roman"/>
                      <w:sz w:val="22"/>
                      <w:szCs w:val="22"/>
                      <w:lang w:val="sr-Latn-ME"/>
                    </w:rPr>
                    <w:t>Vrtoglavica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 xml:space="preserve">Posturalna vrtoglavica, </w:t>
                  </w:r>
                  <w:r w:rsidR="0002446A" w:rsidRPr="00C01AF3">
                    <w:rPr>
                      <w:rFonts w:ascii="Times New Roman" w:hAnsi="Times New Roman"/>
                      <w:sz w:val="22"/>
                      <w:szCs w:val="22"/>
                      <w:lang w:val="sr-Latn-ME"/>
                    </w:rPr>
                    <w:t xml:space="preserve"> </w:t>
                  </w:r>
                  <w:r w:rsidRPr="00C01AF3">
                    <w:rPr>
                      <w:rFonts w:ascii="Times New Roman" w:hAnsi="Times New Roman"/>
                      <w:sz w:val="22"/>
                      <w:szCs w:val="22"/>
                      <w:lang w:val="sr-Latn-ME"/>
                    </w:rPr>
                    <w:t>vrtoglavica pri naporu</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rPr>
                      <w:rFonts w:ascii="Times New Roman" w:hAnsi="Times New Roman"/>
                      <w:sz w:val="22"/>
                      <w:szCs w:val="22"/>
                      <w:lang w:val="sr-Latn-ME"/>
                    </w:rPr>
                  </w:pPr>
                  <w:r w:rsidRPr="00C01AF3">
                    <w:rPr>
                      <w:rFonts w:ascii="Times New Roman" w:hAnsi="Times New Roman"/>
                      <w:sz w:val="22"/>
                      <w:szCs w:val="22"/>
                      <w:lang w:val="sr-Latn-ME"/>
                    </w:rPr>
                    <w:t>D</w:t>
                  </w:r>
                  <w:r w:rsidR="00412842" w:rsidRPr="00C01AF3">
                    <w:rPr>
                      <w:rFonts w:ascii="Times New Roman" w:hAnsi="Times New Roman"/>
                      <w:sz w:val="22"/>
                      <w:szCs w:val="22"/>
                      <w:lang w:val="sr-Latn-ME"/>
                    </w:rPr>
                    <w:t>isgezija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12842">
                  <w:pPr>
                    <w:keepNext/>
                    <w:rPr>
                      <w:rFonts w:ascii="Times New Roman" w:hAnsi="Times New Roman"/>
                      <w:sz w:val="22"/>
                      <w:szCs w:val="22"/>
                      <w:lang w:val="sr-Latn-ME"/>
                    </w:rPr>
                  </w:pPr>
                  <w:r w:rsidRPr="00C01AF3">
                    <w:rPr>
                      <w:rFonts w:ascii="Times New Roman" w:hAnsi="Times New Roman"/>
                      <w:sz w:val="22"/>
                      <w:szCs w:val="22"/>
                      <w:lang w:val="sr-Latn-ME"/>
                    </w:rPr>
                    <w:t>Ekstrapiramidalni sindrom</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02446A">
                  <w:pPr>
                    <w:keepNext/>
                    <w:rPr>
                      <w:rFonts w:ascii="Times New Roman" w:hAnsi="Times New Roman"/>
                      <w:sz w:val="22"/>
                      <w:szCs w:val="22"/>
                      <w:lang w:val="sr-Latn-ME"/>
                    </w:rPr>
                  </w:pPr>
                  <w:r w:rsidRPr="00C01AF3">
                    <w:rPr>
                      <w:rFonts w:ascii="Times New Roman" w:hAnsi="Times New Roman"/>
                      <w:sz w:val="22"/>
                      <w:szCs w:val="22"/>
                      <w:lang w:val="sr-Latn-ME"/>
                    </w:rPr>
                    <w:t>Glavobolja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H</w:t>
                  </w:r>
                  <w:r w:rsidR="00412842" w:rsidRPr="00C01AF3">
                    <w:rPr>
                      <w:rFonts w:ascii="Times New Roman" w:hAnsi="Times New Roman"/>
                      <w:sz w:val="22"/>
                      <w:szCs w:val="22"/>
                      <w:lang w:val="sr-Latn-ME"/>
                    </w:rPr>
                    <w:t>ipertonija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Let</w:t>
                  </w:r>
                  <w:r w:rsidR="00412842" w:rsidRPr="00C01AF3">
                    <w:rPr>
                      <w:rFonts w:ascii="Times New Roman" w:hAnsi="Times New Roman"/>
                      <w:sz w:val="22"/>
                      <w:szCs w:val="22"/>
                      <w:lang w:val="sr-Latn-ME"/>
                    </w:rPr>
                    <w:t>argija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Par</w:t>
                  </w:r>
                  <w:r w:rsidR="00412842" w:rsidRPr="00C01AF3">
                    <w:rPr>
                      <w:rFonts w:ascii="Times New Roman" w:hAnsi="Times New Roman"/>
                      <w:sz w:val="22"/>
                      <w:szCs w:val="22"/>
                      <w:lang w:val="sr-Latn-ME"/>
                    </w:rPr>
                    <w:t>estezija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412842"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Periferna neuropatija, neuropatija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CB5E2C" w:rsidP="00CB5E2C">
                  <w:pPr>
                    <w:keepNext/>
                    <w:jc w:val="left"/>
                    <w:rPr>
                      <w:rFonts w:ascii="Times New Roman" w:hAnsi="Times New Roman"/>
                      <w:sz w:val="22"/>
                      <w:szCs w:val="22"/>
                      <w:lang w:val="sr-Latn-ME"/>
                    </w:rPr>
                  </w:pPr>
                  <w:r w:rsidRPr="00C01AF3">
                    <w:rPr>
                      <w:rFonts w:ascii="Times New Roman" w:hAnsi="Times New Roman"/>
                      <w:sz w:val="22"/>
                      <w:szCs w:val="22"/>
                      <w:lang w:val="sr-Latn-ME"/>
                    </w:rPr>
                    <w:t xml:space="preserve">Somnolencija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S</w:t>
                  </w:r>
                  <w:r w:rsidR="00412842" w:rsidRPr="00C01AF3">
                    <w:rPr>
                      <w:rFonts w:ascii="Times New Roman" w:hAnsi="Times New Roman"/>
                      <w:sz w:val="22"/>
                      <w:szCs w:val="22"/>
                      <w:lang w:val="sr-Latn-ME"/>
                    </w:rPr>
                    <w:t>inkopa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412842">
                  <w:pPr>
                    <w:jc w:val="left"/>
                    <w:rPr>
                      <w:rFonts w:ascii="Times New Roman" w:hAnsi="Times New Roman"/>
                      <w:sz w:val="22"/>
                      <w:szCs w:val="22"/>
                      <w:lang w:val="sr-Latn-ME"/>
                    </w:rPr>
                  </w:pPr>
                  <w:r w:rsidRPr="00C01AF3">
                    <w:rPr>
                      <w:rFonts w:ascii="Times New Roman" w:hAnsi="Times New Roman"/>
                      <w:sz w:val="22"/>
                      <w:szCs w:val="22"/>
                      <w:lang w:val="sr-Latn-ME"/>
                    </w:rPr>
                    <w:t>Tremor</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412842">
                  <w:pPr>
                    <w:jc w:val="left"/>
                    <w:rPr>
                      <w:rFonts w:ascii="Times New Roman" w:hAnsi="Times New Roman"/>
                      <w:sz w:val="22"/>
                      <w:szCs w:val="22"/>
                      <w:lang w:val="sr-Latn-ME"/>
                    </w:rPr>
                  </w:pPr>
                  <w:r w:rsidRPr="00C01AF3">
                    <w:rPr>
                      <w:rFonts w:ascii="Times New Roman" w:hAnsi="Times New Roman"/>
                      <w:sz w:val="22"/>
                      <w:szCs w:val="22"/>
                      <w:lang w:val="sr-Latn-ME"/>
                    </w:rPr>
                    <w:t>H</w:t>
                  </w:r>
                  <w:r w:rsidR="00412842" w:rsidRPr="00C01AF3">
                    <w:rPr>
                      <w:rFonts w:ascii="Times New Roman" w:hAnsi="Times New Roman"/>
                      <w:sz w:val="22"/>
                      <w:szCs w:val="22"/>
                      <w:lang w:val="sr-Latn-ME"/>
                    </w:rPr>
                    <w:t>ipoestezija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412842" w:rsidP="00412842">
                  <w:pPr>
                    <w:jc w:val="left"/>
                    <w:rPr>
                      <w:rFonts w:ascii="Times New Roman" w:hAnsi="Times New Roman"/>
                      <w:sz w:val="22"/>
                      <w:szCs w:val="22"/>
                      <w:lang w:val="sr-Latn-ME"/>
                    </w:rPr>
                  </w:pPr>
                  <w:r w:rsidRPr="00C01AF3">
                    <w:rPr>
                      <w:rFonts w:ascii="Times New Roman" w:hAnsi="Times New Roman"/>
                      <w:sz w:val="22"/>
                      <w:szCs w:val="22"/>
                      <w:lang w:val="sr-Latn-ME"/>
                    </w:rPr>
                    <w:t>Poremećaji oka</w:t>
                  </w:r>
                </w:p>
              </w:tc>
              <w:tc>
                <w:tcPr>
                  <w:tcW w:w="2782" w:type="dxa"/>
                </w:tcPr>
                <w:p w:rsidR="0002446A" w:rsidRPr="00C01AF3" w:rsidRDefault="00E83DCE" w:rsidP="00412842">
                  <w:pPr>
                    <w:jc w:val="left"/>
                    <w:rPr>
                      <w:rFonts w:ascii="Times New Roman" w:hAnsi="Times New Roman"/>
                      <w:sz w:val="22"/>
                      <w:szCs w:val="22"/>
                      <w:lang w:val="sr-Latn-ME"/>
                    </w:rPr>
                  </w:pPr>
                  <w:r w:rsidRPr="00C01AF3">
                    <w:rPr>
                      <w:rFonts w:ascii="Times New Roman" w:hAnsi="Times New Roman"/>
                      <w:sz w:val="22"/>
                      <w:szCs w:val="22"/>
                      <w:lang w:val="sr-Latn-ME"/>
                    </w:rPr>
                    <w:t>Akutni glaukom zatvorenog ugla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E83DCE" w:rsidP="00412842">
                  <w:pPr>
                    <w:jc w:val="left"/>
                    <w:rPr>
                      <w:rFonts w:ascii="Times New Roman" w:hAnsi="Times New Roman"/>
                      <w:sz w:val="22"/>
                      <w:szCs w:val="22"/>
                      <w:lang w:val="sr-Latn-ME"/>
                    </w:rPr>
                  </w:pPr>
                  <w:r w:rsidRPr="00C01AF3">
                    <w:rPr>
                      <w:rFonts w:ascii="Times New Roman" w:hAnsi="Times New Roman"/>
                      <w:sz w:val="22"/>
                      <w:szCs w:val="22"/>
                      <w:lang w:val="sr-Latn-ME"/>
                    </w:rPr>
                    <w:t>Poremećaji vida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C65DC4" w:rsidP="00C65DC4">
                  <w:pPr>
                    <w:jc w:val="left"/>
                    <w:rPr>
                      <w:rFonts w:ascii="Times New Roman" w:hAnsi="Times New Roman"/>
                      <w:sz w:val="22"/>
                      <w:szCs w:val="22"/>
                      <w:lang w:val="sr-Latn-ME"/>
                    </w:rPr>
                  </w:pPr>
                  <w:r w:rsidRPr="00C01AF3">
                    <w:rPr>
                      <w:rFonts w:ascii="Times New Roman" w:hAnsi="Times New Roman"/>
                      <w:sz w:val="22"/>
                      <w:szCs w:val="22"/>
                      <w:lang w:val="sr-Latn-ME"/>
                    </w:rPr>
                    <w:t xml:space="preserve">Oštećenje </w:t>
                  </w:r>
                  <w:r w:rsidR="00E83DCE" w:rsidRPr="00C01AF3">
                    <w:rPr>
                      <w:rFonts w:ascii="Times New Roman" w:hAnsi="Times New Roman"/>
                      <w:sz w:val="22"/>
                      <w:szCs w:val="22"/>
                      <w:lang w:val="sr-Latn-ME"/>
                    </w:rPr>
                    <w:t>vida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262A23">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val="restart"/>
                </w:tcPr>
                <w:p w:rsidR="0002446A" w:rsidRPr="00C01AF3" w:rsidRDefault="008A3A94" w:rsidP="0002446A">
                  <w:pPr>
                    <w:keepNext/>
                    <w:rPr>
                      <w:rFonts w:ascii="Times New Roman" w:hAnsi="Times New Roman"/>
                      <w:sz w:val="22"/>
                      <w:szCs w:val="22"/>
                      <w:lang w:val="sr-Latn-ME"/>
                    </w:rPr>
                  </w:pPr>
                  <w:r w:rsidRPr="00C01AF3">
                    <w:rPr>
                      <w:rFonts w:ascii="Times New Roman" w:hAnsi="Times New Roman"/>
                      <w:sz w:val="22"/>
                      <w:szCs w:val="22"/>
                      <w:lang w:val="sr-Latn-ME"/>
                    </w:rPr>
                    <w:t>Poremećaji uva i</w:t>
                  </w:r>
                  <w:r w:rsidR="00412842" w:rsidRPr="00C01AF3">
                    <w:rPr>
                      <w:rFonts w:ascii="Times New Roman" w:hAnsi="Times New Roman"/>
                      <w:sz w:val="22"/>
                      <w:szCs w:val="22"/>
                      <w:lang w:val="sr-Latn-ME"/>
                    </w:rPr>
                    <w:t xml:space="preserve"> labirinta</w:t>
                  </w:r>
                </w:p>
              </w:tc>
              <w:tc>
                <w:tcPr>
                  <w:tcW w:w="2782" w:type="dxa"/>
                </w:tcPr>
                <w:p w:rsidR="0002446A" w:rsidRPr="00C01AF3" w:rsidRDefault="00E83DCE"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Ti</w:t>
                  </w:r>
                  <w:r w:rsidR="0002446A" w:rsidRPr="00C01AF3">
                    <w:rPr>
                      <w:rFonts w:ascii="Times New Roman" w:hAnsi="Times New Roman"/>
                      <w:sz w:val="22"/>
                      <w:szCs w:val="22"/>
                      <w:lang w:val="sr-Latn-ME"/>
                    </w:rPr>
                    <w:t>nitus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412842">
                  <w:pPr>
                    <w:jc w:val="left"/>
                    <w:rPr>
                      <w:rFonts w:ascii="Times New Roman" w:hAnsi="Times New Roman"/>
                      <w:sz w:val="22"/>
                      <w:szCs w:val="22"/>
                      <w:lang w:val="sr-Latn-ME"/>
                    </w:rPr>
                  </w:pPr>
                  <w:r w:rsidRPr="00C01AF3">
                    <w:rPr>
                      <w:rFonts w:ascii="Times New Roman" w:hAnsi="Times New Roman"/>
                      <w:sz w:val="22"/>
                      <w:szCs w:val="22"/>
                      <w:lang w:val="sr-Latn-ME"/>
                    </w:rPr>
                    <w:t>Vertigo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E83DCE" w:rsidP="0002446A">
                  <w:pPr>
                    <w:keepNext/>
                    <w:rPr>
                      <w:rFonts w:ascii="Times New Roman" w:hAnsi="Times New Roman"/>
                      <w:sz w:val="22"/>
                      <w:szCs w:val="22"/>
                      <w:lang w:val="sr-Latn-ME"/>
                    </w:rPr>
                  </w:pPr>
                  <w:r w:rsidRPr="00C01AF3">
                    <w:rPr>
                      <w:rFonts w:ascii="Times New Roman" w:hAnsi="Times New Roman"/>
                      <w:sz w:val="22"/>
                      <w:szCs w:val="22"/>
                      <w:lang w:val="sr-Latn-ME"/>
                    </w:rPr>
                    <w:t xml:space="preserve">Srčani poremećaji </w:t>
                  </w:r>
                </w:p>
              </w:tc>
              <w:tc>
                <w:tcPr>
                  <w:tcW w:w="2782" w:type="dxa"/>
                </w:tcPr>
                <w:p w:rsidR="0002446A" w:rsidRPr="00C01AF3" w:rsidRDefault="0002446A" w:rsidP="00E83DCE">
                  <w:pPr>
                    <w:keepNext/>
                    <w:jc w:val="left"/>
                    <w:rPr>
                      <w:rFonts w:ascii="Times New Roman" w:hAnsi="Times New Roman"/>
                      <w:sz w:val="22"/>
                      <w:szCs w:val="22"/>
                      <w:lang w:val="sr-Latn-ME"/>
                    </w:rPr>
                  </w:pPr>
                  <w:r w:rsidRPr="00C01AF3">
                    <w:rPr>
                      <w:rFonts w:ascii="Times New Roman" w:hAnsi="Times New Roman"/>
                      <w:sz w:val="22"/>
                      <w:szCs w:val="22"/>
                      <w:lang w:val="sr-Latn-ME"/>
                    </w:rPr>
                    <w:t>Palpit</w:t>
                  </w:r>
                  <w:r w:rsidR="009B681D" w:rsidRPr="00C01AF3">
                    <w:rPr>
                      <w:rFonts w:ascii="Times New Roman" w:hAnsi="Times New Roman"/>
                      <w:sz w:val="22"/>
                      <w:szCs w:val="22"/>
                      <w:lang w:val="sr-Latn-ME"/>
                    </w:rPr>
                    <w:t>a</w:t>
                  </w:r>
                  <w:r w:rsidR="00E83DCE" w:rsidRPr="00C01AF3">
                    <w:rPr>
                      <w:rFonts w:ascii="Times New Roman" w:hAnsi="Times New Roman"/>
                      <w:sz w:val="22"/>
                      <w:szCs w:val="22"/>
                      <w:lang w:val="sr-Latn-ME"/>
                    </w:rPr>
                    <w:t>cije</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E83DCE">
                  <w:pPr>
                    <w:keepNext/>
                    <w:jc w:val="left"/>
                    <w:rPr>
                      <w:rFonts w:ascii="Times New Roman" w:hAnsi="Times New Roman"/>
                      <w:sz w:val="22"/>
                      <w:szCs w:val="22"/>
                      <w:lang w:val="sr-Latn-ME"/>
                    </w:rPr>
                  </w:pPr>
                  <w:r w:rsidRPr="00C01AF3">
                    <w:rPr>
                      <w:rFonts w:ascii="Times New Roman" w:hAnsi="Times New Roman"/>
                      <w:sz w:val="22"/>
                      <w:szCs w:val="22"/>
                      <w:lang w:val="sr-Latn-ME"/>
                    </w:rPr>
                    <w:t>Ta</w:t>
                  </w:r>
                  <w:r w:rsidR="00E83DCE" w:rsidRPr="00C01AF3">
                    <w:rPr>
                      <w:rFonts w:ascii="Times New Roman" w:hAnsi="Times New Roman"/>
                      <w:sz w:val="22"/>
                      <w:szCs w:val="22"/>
                      <w:lang w:val="sr-Latn-ME"/>
                    </w:rPr>
                    <w:t>hikardija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trike/>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E83DCE" w:rsidP="00E83DCE">
                  <w:pPr>
                    <w:keepNext/>
                    <w:jc w:val="left"/>
                    <w:rPr>
                      <w:rFonts w:ascii="Times New Roman" w:hAnsi="Times New Roman"/>
                      <w:sz w:val="22"/>
                      <w:szCs w:val="22"/>
                      <w:lang w:val="sr-Latn-ME"/>
                    </w:rPr>
                  </w:pPr>
                  <w:r w:rsidRPr="00C01AF3">
                    <w:rPr>
                      <w:rFonts w:ascii="Times New Roman" w:hAnsi="Times New Roman"/>
                      <w:sz w:val="22"/>
                      <w:szCs w:val="22"/>
                      <w:lang w:val="sr-Latn-ME"/>
                    </w:rPr>
                    <w:t>Aritmije</w:t>
                  </w:r>
                  <w:r w:rsidR="0002446A" w:rsidRPr="00C01AF3">
                    <w:rPr>
                      <w:rFonts w:ascii="Times New Roman" w:hAnsi="Times New Roman"/>
                      <w:sz w:val="22"/>
                      <w:szCs w:val="22"/>
                      <w:lang w:val="sr-Latn-ME"/>
                    </w:rPr>
                    <w:t xml:space="preserve"> (</w:t>
                  </w:r>
                  <w:r w:rsidRPr="00C01AF3">
                    <w:rPr>
                      <w:rFonts w:ascii="Times New Roman" w:hAnsi="Times New Roman"/>
                      <w:sz w:val="22"/>
                      <w:szCs w:val="22"/>
                      <w:lang w:val="sr-Latn-ME"/>
                    </w:rPr>
                    <w:t>uključujući bradikardiju</w:t>
                  </w:r>
                  <w:r w:rsidR="008A3A94" w:rsidRPr="00C01AF3">
                    <w:rPr>
                      <w:rFonts w:ascii="Times New Roman" w:hAnsi="Times New Roman"/>
                      <w:sz w:val="22"/>
                      <w:szCs w:val="22"/>
                      <w:lang w:val="sr-Latn-ME"/>
                    </w:rPr>
                    <w:t>, ventrik</w:t>
                  </w:r>
                  <w:r w:rsidR="0002446A" w:rsidRPr="00C01AF3">
                    <w:rPr>
                      <w:rFonts w:ascii="Times New Roman" w:hAnsi="Times New Roman"/>
                      <w:sz w:val="22"/>
                      <w:szCs w:val="22"/>
                      <w:lang w:val="sr-Latn-ME"/>
                    </w:rPr>
                    <w:t>ular</w:t>
                  </w:r>
                  <w:r w:rsidRPr="00C01AF3">
                    <w:rPr>
                      <w:rFonts w:ascii="Times New Roman" w:hAnsi="Times New Roman"/>
                      <w:sz w:val="22"/>
                      <w:szCs w:val="22"/>
                      <w:lang w:val="sr-Latn-ME"/>
                    </w:rPr>
                    <w:t>nu tahikardiju</w:t>
                  </w:r>
                  <w:r w:rsidR="008A3A94" w:rsidRPr="00C01AF3">
                    <w:rPr>
                      <w:rFonts w:ascii="Times New Roman" w:hAnsi="Times New Roman"/>
                      <w:sz w:val="22"/>
                      <w:szCs w:val="22"/>
                      <w:lang w:val="sr-Latn-ME"/>
                    </w:rPr>
                    <w:t xml:space="preserve"> i</w:t>
                  </w:r>
                  <w:r w:rsidR="0002446A" w:rsidRPr="00C01AF3">
                    <w:rPr>
                      <w:rFonts w:ascii="Times New Roman" w:hAnsi="Times New Roman"/>
                      <w:sz w:val="22"/>
                      <w:szCs w:val="22"/>
                      <w:lang w:val="sr-Latn-ME"/>
                    </w:rPr>
                    <w:t xml:space="preserve"> atri</w:t>
                  </w:r>
                  <w:r w:rsidR="009B681D" w:rsidRPr="00C01AF3">
                    <w:rPr>
                      <w:rFonts w:ascii="Times New Roman" w:hAnsi="Times New Roman"/>
                      <w:sz w:val="22"/>
                      <w:szCs w:val="22"/>
                      <w:lang w:val="sr-Latn-ME"/>
                    </w:rPr>
                    <w:t>j</w:t>
                  </w:r>
                  <w:r w:rsidR="0002446A" w:rsidRPr="00C01AF3">
                    <w:rPr>
                      <w:rFonts w:ascii="Times New Roman" w:hAnsi="Times New Roman"/>
                      <w:sz w:val="22"/>
                      <w:szCs w:val="22"/>
                      <w:lang w:val="sr-Latn-ME"/>
                    </w:rPr>
                    <w:t>al</w:t>
                  </w:r>
                  <w:r w:rsidRPr="00C01AF3">
                    <w:rPr>
                      <w:rFonts w:ascii="Times New Roman" w:hAnsi="Times New Roman"/>
                      <w:sz w:val="22"/>
                      <w:szCs w:val="22"/>
                      <w:lang w:val="sr-Latn-ME"/>
                    </w:rPr>
                    <w:t xml:space="preserve">nu </w:t>
                  </w:r>
                  <w:r w:rsidR="0002446A" w:rsidRPr="00C01AF3">
                    <w:rPr>
                      <w:rFonts w:ascii="Times New Roman" w:hAnsi="Times New Roman"/>
                      <w:sz w:val="22"/>
                      <w:szCs w:val="22"/>
                      <w:lang w:val="sr-Latn-ME"/>
                    </w:rPr>
                    <w:t xml:space="preserve"> fibri</w:t>
                  </w:r>
                  <w:r w:rsidRPr="00C01AF3">
                    <w:rPr>
                      <w:rFonts w:ascii="Times New Roman" w:hAnsi="Times New Roman"/>
                      <w:sz w:val="22"/>
                      <w:szCs w:val="22"/>
                      <w:lang w:val="sr-Latn-ME"/>
                    </w:rPr>
                    <w:t>laciju)</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777DB">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E83DCE" w:rsidP="00412842">
                  <w:pPr>
                    <w:jc w:val="left"/>
                    <w:rPr>
                      <w:rFonts w:ascii="Times New Roman" w:hAnsi="Times New Roman"/>
                      <w:sz w:val="22"/>
                      <w:szCs w:val="22"/>
                      <w:lang w:val="sr-Latn-ME"/>
                    </w:rPr>
                  </w:pPr>
                  <w:r w:rsidRPr="00C01AF3">
                    <w:rPr>
                      <w:rFonts w:ascii="Times New Roman" w:hAnsi="Times New Roman"/>
                      <w:sz w:val="22"/>
                      <w:szCs w:val="22"/>
                      <w:lang w:val="sr-Latn-ME"/>
                    </w:rPr>
                    <w:t>Infarkt miokarda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E83DCE" w:rsidP="00E83DCE">
                  <w:pPr>
                    <w:keepNext/>
                    <w:rPr>
                      <w:rFonts w:ascii="Times New Roman" w:hAnsi="Times New Roman"/>
                      <w:sz w:val="22"/>
                      <w:szCs w:val="22"/>
                      <w:lang w:val="sr-Latn-ME"/>
                    </w:rPr>
                  </w:pPr>
                  <w:r w:rsidRPr="00C01AF3">
                    <w:rPr>
                      <w:rFonts w:ascii="Times New Roman" w:hAnsi="Times New Roman"/>
                      <w:sz w:val="22"/>
                      <w:szCs w:val="22"/>
                      <w:lang w:val="sr-Latn-ME"/>
                    </w:rPr>
                    <w:t>Vask</w:t>
                  </w:r>
                  <w:r w:rsidR="0002446A" w:rsidRPr="00C01AF3">
                    <w:rPr>
                      <w:rFonts w:ascii="Times New Roman" w:hAnsi="Times New Roman"/>
                      <w:sz w:val="22"/>
                      <w:szCs w:val="22"/>
                      <w:lang w:val="sr-Latn-ME"/>
                    </w:rPr>
                    <w:t>ular</w:t>
                  </w:r>
                  <w:r w:rsidRPr="00C01AF3">
                    <w:rPr>
                      <w:rFonts w:ascii="Times New Roman" w:hAnsi="Times New Roman"/>
                      <w:sz w:val="22"/>
                      <w:szCs w:val="22"/>
                      <w:lang w:val="sr-Latn-ME"/>
                    </w:rPr>
                    <w:t xml:space="preserve">ni poremećaji </w:t>
                  </w:r>
                </w:p>
              </w:tc>
              <w:tc>
                <w:tcPr>
                  <w:tcW w:w="2782" w:type="dxa"/>
                </w:tcPr>
                <w:p w:rsidR="0002446A" w:rsidRPr="00C01AF3" w:rsidRDefault="007E3044"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Naleti vrućine</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H</w:t>
                  </w:r>
                  <w:r w:rsidR="009B681D" w:rsidRPr="00C01AF3">
                    <w:rPr>
                      <w:rFonts w:ascii="Times New Roman" w:hAnsi="Times New Roman"/>
                      <w:sz w:val="22"/>
                      <w:szCs w:val="22"/>
                      <w:lang w:val="sr-Latn-ME"/>
                    </w:rPr>
                    <w:t>ipotenzija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1C1E67"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Orto</w:t>
                  </w:r>
                  <w:r w:rsidR="009B681D" w:rsidRPr="00C01AF3">
                    <w:rPr>
                      <w:rFonts w:ascii="Times New Roman" w:hAnsi="Times New Roman"/>
                      <w:sz w:val="22"/>
                      <w:szCs w:val="22"/>
                      <w:lang w:val="sr-Latn-ME"/>
                    </w:rPr>
                    <w:t>statska hipotenzija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Flebitis</w:t>
                  </w:r>
                  <w:r w:rsidR="0002446A" w:rsidRPr="00C01AF3">
                    <w:rPr>
                      <w:rFonts w:ascii="Times New Roman" w:hAnsi="Times New Roman"/>
                      <w:sz w:val="22"/>
                      <w:szCs w:val="22"/>
                      <w:lang w:val="sr-Latn-ME"/>
                    </w:rPr>
                    <w:t>, thrombo</w:t>
                  </w:r>
                  <w:r w:rsidRPr="00C01AF3">
                    <w:rPr>
                      <w:rFonts w:ascii="Times New Roman" w:hAnsi="Times New Roman"/>
                      <w:sz w:val="22"/>
                      <w:szCs w:val="22"/>
                      <w:lang w:val="sr-Latn-ME"/>
                    </w:rPr>
                    <w:t>f</w:t>
                  </w:r>
                  <w:r w:rsidR="0002446A" w:rsidRPr="00C01AF3">
                    <w:rPr>
                      <w:rFonts w:ascii="Times New Roman" w:hAnsi="Times New Roman"/>
                      <w:sz w:val="22"/>
                      <w:szCs w:val="22"/>
                      <w:lang w:val="sr-Latn-ME"/>
                    </w:rPr>
                    <w:t>lebitis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9B681D">
                  <w:pPr>
                    <w:jc w:val="left"/>
                    <w:rPr>
                      <w:rFonts w:ascii="Times New Roman" w:hAnsi="Times New Roman"/>
                      <w:sz w:val="22"/>
                      <w:szCs w:val="22"/>
                      <w:lang w:val="sr-Latn-ME"/>
                    </w:rPr>
                  </w:pPr>
                  <w:r w:rsidRPr="00C01AF3">
                    <w:rPr>
                      <w:rFonts w:ascii="Times New Roman" w:hAnsi="Times New Roman"/>
                      <w:sz w:val="22"/>
                      <w:szCs w:val="22"/>
                      <w:lang w:val="sr-Latn-ME"/>
                    </w:rPr>
                    <w:t>Va</w:t>
                  </w:r>
                  <w:r w:rsidR="009B681D" w:rsidRPr="00C01AF3">
                    <w:rPr>
                      <w:rFonts w:ascii="Times New Roman" w:hAnsi="Times New Roman"/>
                      <w:sz w:val="22"/>
                      <w:szCs w:val="22"/>
                      <w:lang w:val="sr-Latn-ME"/>
                    </w:rPr>
                    <w:t>skulitis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E83DCE" w:rsidP="00E83DCE">
                  <w:pPr>
                    <w:keepNext/>
                    <w:jc w:val="left"/>
                    <w:rPr>
                      <w:rFonts w:ascii="Times New Roman" w:hAnsi="Times New Roman"/>
                      <w:sz w:val="22"/>
                      <w:szCs w:val="22"/>
                      <w:lang w:val="sr-Latn-ME"/>
                    </w:rPr>
                  </w:pPr>
                  <w:r w:rsidRPr="00C01AF3">
                    <w:rPr>
                      <w:rFonts w:ascii="Times New Roman" w:hAnsi="Times New Roman"/>
                      <w:sz w:val="22"/>
                      <w:szCs w:val="22"/>
                      <w:lang w:val="sr-Latn-ME"/>
                    </w:rPr>
                    <w:t>Respiratorni, torakalni i medijastinalni poremećaji</w:t>
                  </w:r>
                </w:p>
              </w:tc>
              <w:tc>
                <w:tcPr>
                  <w:tcW w:w="2782" w:type="dxa"/>
                </w:tcPr>
                <w:p w:rsidR="0002446A" w:rsidRPr="00C01AF3" w:rsidRDefault="009B681D"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Kašalj</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8634E7">
                  <w:pPr>
                    <w:keepNext/>
                    <w:jc w:val="left"/>
                    <w:rPr>
                      <w:rFonts w:ascii="Times New Roman" w:hAnsi="Times New Roman"/>
                      <w:sz w:val="22"/>
                      <w:szCs w:val="22"/>
                      <w:lang w:val="sr-Latn-ME"/>
                    </w:rPr>
                  </w:pPr>
                  <w:r w:rsidRPr="00C01AF3">
                    <w:rPr>
                      <w:rFonts w:ascii="Times New Roman" w:hAnsi="Times New Roman"/>
                      <w:sz w:val="22"/>
                      <w:szCs w:val="22"/>
                      <w:lang w:val="sr-Latn-ME"/>
                    </w:rPr>
                    <w:t>D</w:t>
                  </w:r>
                  <w:r w:rsidR="009B681D" w:rsidRPr="00C01AF3">
                    <w:rPr>
                      <w:rFonts w:ascii="Times New Roman" w:hAnsi="Times New Roman"/>
                      <w:sz w:val="22"/>
                      <w:szCs w:val="22"/>
                      <w:lang w:val="sr-Latn-ME"/>
                    </w:rPr>
                    <w:t>ispnea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Respiratorni distres, edem pluća, pneumonitis</w:t>
                  </w:r>
                  <w:r w:rsidR="0002446A" w:rsidRPr="00C01AF3">
                    <w:rPr>
                      <w:rFonts w:ascii="Times New Roman" w:hAnsi="Times New Roman"/>
                      <w:sz w:val="22"/>
                      <w:szCs w:val="22"/>
                      <w:lang w:val="sr-Latn-ME"/>
                    </w:rPr>
                    <w:t xml:space="preserve">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A2FB9"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R</w:t>
                  </w:r>
                  <w:r w:rsidR="0002446A" w:rsidRPr="00C01AF3">
                    <w:rPr>
                      <w:rFonts w:ascii="Times New Roman" w:hAnsi="Times New Roman"/>
                      <w:sz w:val="22"/>
                      <w:szCs w:val="22"/>
                      <w:lang w:val="sr-Latn-ME"/>
                    </w:rPr>
                    <w:t>initis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9B681D" w:rsidP="00412842">
                  <w:pPr>
                    <w:jc w:val="left"/>
                    <w:rPr>
                      <w:rFonts w:ascii="Times New Roman" w:hAnsi="Times New Roman"/>
                      <w:sz w:val="22"/>
                      <w:szCs w:val="22"/>
                      <w:lang w:val="sr-Latn-ME"/>
                    </w:rPr>
                  </w:pPr>
                  <w:r w:rsidRPr="00C01AF3">
                    <w:rPr>
                      <w:rFonts w:ascii="Times New Roman" w:hAnsi="Times New Roman"/>
                      <w:sz w:val="22"/>
                      <w:szCs w:val="22"/>
                      <w:lang w:val="sr-Latn-ME"/>
                    </w:rPr>
                    <w:t>Iritacija grla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02446A" w:rsidP="00334AA6">
                  <w:pPr>
                    <w:keepNext/>
                    <w:jc w:val="left"/>
                    <w:rPr>
                      <w:rFonts w:ascii="Times New Roman" w:hAnsi="Times New Roman"/>
                      <w:sz w:val="22"/>
                      <w:szCs w:val="22"/>
                      <w:lang w:val="sr-Latn-ME"/>
                    </w:rPr>
                  </w:pPr>
                  <w:r w:rsidRPr="00C01AF3">
                    <w:rPr>
                      <w:rFonts w:ascii="Times New Roman" w:hAnsi="Times New Roman"/>
                      <w:sz w:val="22"/>
                      <w:szCs w:val="22"/>
                      <w:lang w:val="sr-Latn-ME"/>
                    </w:rPr>
                    <w:t>Gastrointest</w:t>
                  </w:r>
                  <w:r w:rsidR="0010468B" w:rsidRPr="00C01AF3">
                    <w:rPr>
                      <w:rFonts w:ascii="Times New Roman" w:hAnsi="Times New Roman"/>
                      <w:sz w:val="22"/>
                      <w:szCs w:val="22"/>
                      <w:lang w:val="sr-Latn-ME"/>
                    </w:rPr>
                    <w:t>inalni</w:t>
                  </w:r>
                  <w:r w:rsidR="00E83DCE" w:rsidRPr="00C01AF3">
                    <w:rPr>
                      <w:rFonts w:ascii="Times New Roman" w:hAnsi="Times New Roman"/>
                      <w:sz w:val="22"/>
                      <w:szCs w:val="22"/>
                      <w:lang w:val="sr-Latn-ME"/>
                    </w:rPr>
                    <w:t xml:space="preserve"> poremećaji </w:t>
                  </w:r>
                  <w:r w:rsidRPr="00C01AF3">
                    <w:rPr>
                      <w:rFonts w:ascii="Times New Roman" w:hAnsi="Times New Roman"/>
                      <w:sz w:val="22"/>
                      <w:szCs w:val="22"/>
                      <w:lang w:val="sr-Latn-ME"/>
                    </w:rPr>
                    <w:t xml:space="preserve"> </w:t>
                  </w:r>
                </w:p>
              </w:tc>
              <w:tc>
                <w:tcPr>
                  <w:tcW w:w="2782" w:type="dxa"/>
                </w:tcPr>
                <w:p w:rsidR="0002446A" w:rsidRPr="00C01AF3" w:rsidRDefault="009B681D"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Nelagodnost u stomaku, bol u gornjem d</w:t>
                  </w:r>
                  <w:r w:rsidR="007E3044" w:rsidRPr="00C01AF3">
                    <w:rPr>
                      <w:rFonts w:ascii="Times New Roman" w:hAnsi="Times New Roman"/>
                      <w:sz w:val="22"/>
                      <w:szCs w:val="22"/>
                      <w:lang w:val="sr-Latn-ME"/>
                    </w:rPr>
                    <w:t>ij</w:t>
                  </w:r>
                  <w:r w:rsidRPr="00C01AF3">
                    <w:rPr>
                      <w:rFonts w:ascii="Times New Roman" w:hAnsi="Times New Roman"/>
                      <w:sz w:val="22"/>
                      <w:szCs w:val="22"/>
                      <w:lang w:val="sr-Latn-ME"/>
                    </w:rPr>
                    <w:t>elu stomaka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Zadah iz usta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644CBB" w:rsidP="00E65FF5">
                  <w:pPr>
                    <w:keepNext/>
                    <w:jc w:val="left"/>
                    <w:rPr>
                      <w:rFonts w:ascii="Times New Roman" w:hAnsi="Times New Roman"/>
                      <w:sz w:val="22"/>
                      <w:szCs w:val="22"/>
                      <w:lang w:val="sr-Latn-ME"/>
                    </w:rPr>
                  </w:pPr>
                  <w:r w:rsidRPr="00C01AF3">
                    <w:rPr>
                      <w:rFonts w:ascii="Times New Roman" w:hAnsi="Times New Roman"/>
                      <w:sz w:val="22"/>
                      <w:szCs w:val="22"/>
                      <w:lang w:val="sr-Latn-ME"/>
                    </w:rPr>
                    <w:t>Promjen</w:t>
                  </w:r>
                  <w:r w:rsidR="009B681D" w:rsidRPr="00C01AF3">
                    <w:rPr>
                      <w:rFonts w:ascii="Times New Roman" w:hAnsi="Times New Roman"/>
                      <w:sz w:val="22"/>
                      <w:szCs w:val="22"/>
                      <w:lang w:val="sr-Latn-ME"/>
                    </w:rPr>
                    <w:t xml:space="preserve">a u </w:t>
                  </w:r>
                  <w:r w:rsidR="00E65FF5" w:rsidRPr="00C01AF3">
                    <w:rPr>
                      <w:rFonts w:ascii="Times New Roman" w:hAnsi="Times New Roman"/>
                      <w:sz w:val="22"/>
                      <w:szCs w:val="22"/>
                      <w:lang w:val="sr-Latn-ME"/>
                    </w:rPr>
                    <w:t>pražnjenju</w:t>
                  </w:r>
                  <w:r w:rsidR="009B681D" w:rsidRPr="00C01AF3">
                    <w:rPr>
                      <w:rFonts w:ascii="Times New Roman" w:hAnsi="Times New Roman"/>
                      <w:sz w:val="22"/>
                      <w:szCs w:val="22"/>
                      <w:lang w:val="sr-Latn-ME"/>
                    </w:rPr>
                    <w:t xml:space="preserve"> cr</w:t>
                  </w:r>
                  <w:r w:rsidR="007E3044" w:rsidRPr="00C01AF3">
                    <w:rPr>
                      <w:rFonts w:ascii="Times New Roman" w:hAnsi="Times New Roman"/>
                      <w:sz w:val="22"/>
                      <w:szCs w:val="22"/>
                      <w:lang w:val="sr-Latn-ME"/>
                    </w:rPr>
                    <w:t>ij</w:t>
                  </w:r>
                  <w:r w:rsidR="009B681D" w:rsidRPr="00C01AF3">
                    <w:rPr>
                      <w:rFonts w:ascii="Times New Roman" w:hAnsi="Times New Roman"/>
                      <w:sz w:val="22"/>
                      <w:szCs w:val="22"/>
                      <w:lang w:val="sr-Latn-ME"/>
                    </w:rPr>
                    <w:t>eva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K</w:t>
                  </w:r>
                  <w:r w:rsidR="0002446A" w:rsidRPr="00C01AF3">
                    <w:rPr>
                      <w:rFonts w:ascii="Times New Roman" w:hAnsi="Times New Roman"/>
                      <w:sz w:val="22"/>
                      <w:szCs w:val="22"/>
                      <w:lang w:val="sr-Latn-ME"/>
                    </w:rPr>
                    <w:t>onstip</w:t>
                  </w:r>
                  <w:r w:rsidRPr="00C01AF3">
                    <w:rPr>
                      <w:rFonts w:ascii="Times New Roman" w:hAnsi="Times New Roman"/>
                      <w:sz w:val="22"/>
                      <w:szCs w:val="22"/>
                      <w:lang w:val="sr-Latn-ME"/>
                    </w:rPr>
                    <w:t>acija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Smanjen apetit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Di</w:t>
                  </w:r>
                  <w:r w:rsidR="009B681D" w:rsidRPr="00C01AF3">
                    <w:rPr>
                      <w:rFonts w:ascii="Times New Roman" w:hAnsi="Times New Roman"/>
                      <w:sz w:val="22"/>
                      <w:szCs w:val="22"/>
                      <w:lang w:val="sr-Latn-ME"/>
                    </w:rPr>
                    <w:t>jareja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9B681D"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Suva usta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9B681D">
                  <w:pPr>
                    <w:keepNext/>
                    <w:jc w:val="left"/>
                    <w:rPr>
                      <w:rFonts w:ascii="Times New Roman" w:hAnsi="Times New Roman"/>
                      <w:sz w:val="22"/>
                      <w:szCs w:val="22"/>
                      <w:lang w:val="sr-Latn-ME"/>
                    </w:rPr>
                  </w:pPr>
                  <w:r w:rsidRPr="00C01AF3">
                    <w:rPr>
                      <w:rFonts w:ascii="Times New Roman" w:hAnsi="Times New Roman"/>
                      <w:sz w:val="22"/>
                      <w:szCs w:val="22"/>
                      <w:lang w:val="sr-Latn-ME"/>
                    </w:rPr>
                    <w:t>D</w:t>
                  </w:r>
                  <w:r w:rsidR="009B681D" w:rsidRPr="00C01AF3">
                    <w:rPr>
                      <w:rFonts w:ascii="Times New Roman" w:hAnsi="Times New Roman"/>
                      <w:sz w:val="22"/>
                      <w:szCs w:val="22"/>
                      <w:lang w:val="sr-Latn-ME"/>
                    </w:rPr>
                    <w:t>ispepsija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412842">
                  <w:pPr>
                    <w:keepNext/>
                    <w:jc w:val="left"/>
                    <w:rPr>
                      <w:rFonts w:ascii="Times New Roman" w:hAnsi="Times New Roman"/>
                      <w:sz w:val="22"/>
                      <w:szCs w:val="22"/>
                      <w:lang w:val="sr-Latn-ME"/>
                    </w:rPr>
                  </w:pPr>
                  <w:r w:rsidRPr="00C01AF3">
                    <w:rPr>
                      <w:rFonts w:ascii="Times New Roman" w:hAnsi="Times New Roman"/>
                      <w:sz w:val="22"/>
                      <w:szCs w:val="22"/>
                      <w:lang w:val="sr-Latn-ME"/>
                    </w:rPr>
                    <w:t>Gastritis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8C08DA">
                  <w:pPr>
                    <w:keepNext/>
                    <w:jc w:val="left"/>
                    <w:rPr>
                      <w:rFonts w:ascii="Times New Roman" w:hAnsi="Times New Roman"/>
                      <w:sz w:val="22"/>
                      <w:szCs w:val="22"/>
                      <w:lang w:val="sr-Latn-ME"/>
                    </w:rPr>
                  </w:pPr>
                  <w:r w:rsidRPr="00C01AF3">
                    <w:rPr>
                      <w:rFonts w:ascii="Times New Roman" w:hAnsi="Times New Roman"/>
                      <w:sz w:val="22"/>
                      <w:szCs w:val="22"/>
                      <w:lang w:val="sr-Latn-ME"/>
                    </w:rPr>
                    <w:t>Hiperplazija gingive</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8C08DA">
                  <w:pPr>
                    <w:keepNext/>
                    <w:jc w:val="left"/>
                    <w:rPr>
                      <w:rFonts w:ascii="Times New Roman" w:hAnsi="Times New Roman"/>
                      <w:sz w:val="22"/>
                      <w:szCs w:val="22"/>
                      <w:lang w:val="sr-Latn-ME"/>
                    </w:rPr>
                  </w:pPr>
                  <w:r w:rsidRPr="00C01AF3">
                    <w:rPr>
                      <w:rFonts w:ascii="Times New Roman" w:hAnsi="Times New Roman"/>
                      <w:sz w:val="22"/>
                      <w:szCs w:val="22"/>
                      <w:lang w:val="sr-Latn-ME"/>
                    </w:rPr>
                    <w:t>Mučnina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8C08DA">
                  <w:pPr>
                    <w:keepNext/>
                    <w:jc w:val="left"/>
                    <w:rPr>
                      <w:rFonts w:ascii="Times New Roman" w:hAnsi="Times New Roman"/>
                      <w:sz w:val="22"/>
                      <w:szCs w:val="22"/>
                      <w:lang w:val="sr-Latn-ME"/>
                    </w:rPr>
                  </w:pPr>
                  <w:r w:rsidRPr="00C01AF3">
                    <w:rPr>
                      <w:rFonts w:ascii="Times New Roman" w:hAnsi="Times New Roman"/>
                      <w:sz w:val="22"/>
                      <w:szCs w:val="22"/>
                      <w:lang w:val="sr-Latn-ME"/>
                    </w:rPr>
                    <w:t>Pank</w:t>
                  </w:r>
                  <w:r w:rsidR="0002446A" w:rsidRPr="00C01AF3">
                    <w:rPr>
                      <w:rFonts w:ascii="Times New Roman" w:hAnsi="Times New Roman"/>
                      <w:sz w:val="22"/>
                      <w:szCs w:val="22"/>
                      <w:lang w:val="sr-Latn-ME"/>
                    </w:rPr>
                    <w:t>reatitis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8C08DA" w:rsidP="008C08DA">
                  <w:pPr>
                    <w:jc w:val="left"/>
                    <w:rPr>
                      <w:rFonts w:ascii="Times New Roman" w:hAnsi="Times New Roman"/>
                      <w:sz w:val="22"/>
                      <w:szCs w:val="22"/>
                      <w:lang w:val="sr-Latn-ME"/>
                    </w:rPr>
                  </w:pPr>
                  <w:r w:rsidRPr="00C01AF3">
                    <w:rPr>
                      <w:rFonts w:ascii="Times New Roman" w:hAnsi="Times New Roman"/>
                      <w:sz w:val="22"/>
                      <w:szCs w:val="22"/>
                      <w:lang w:val="sr-Latn-ME"/>
                    </w:rPr>
                    <w:t>Povraćanje</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val="restart"/>
                </w:tcPr>
                <w:p w:rsidR="0002446A" w:rsidRPr="00C01AF3" w:rsidRDefault="00E83DCE" w:rsidP="003121FC">
                  <w:pPr>
                    <w:keepNext/>
                    <w:jc w:val="left"/>
                    <w:rPr>
                      <w:rFonts w:ascii="Times New Roman" w:hAnsi="Times New Roman"/>
                      <w:sz w:val="22"/>
                      <w:szCs w:val="22"/>
                      <w:lang w:val="sr-Latn-ME"/>
                    </w:rPr>
                  </w:pPr>
                  <w:r w:rsidRPr="00C01AF3">
                    <w:rPr>
                      <w:rFonts w:ascii="Times New Roman" w:hAnsi="Times New Roman"/>
                      <w:sz w:val="22"/>
                      <w:szCs w:val="22"/>
                      <w:lang w:val="sr-Latn-ME"/>
                    </w:rPr>
                    <w:t>Poremećaji jetre i žuči</w:t>
                  </w:r>
                </w:p>
              </w:tc>
              <w:tc>
                <w:tcPr>
                  <w:tcW w:w="2782" w:type="dxa"/>
                </w:tcPr>
                <w:p w:rsidR="0002446A" w:rsidRPr="00C01AF3" w:rsidRDefault="008C08DA" w:rsidP="008C08DA">
                  <w:pPr>
                    <w:keepNext/>
                    <w:jc w:val="left"/>
                    <w:rPr>
                      <w:rFonts w:ascii="Times New Roman" w:hAnsi="Times New Roman"/>
                      <w:sz w:val="22"/>
                      <w:szCs w:val="22"/>
                      <w:lang w:val="sr-Latn-ME"/>
                    </w:rPr>
                  </w:pPr>
                  <w:r w:rsidRPr="00C01AF3">
                    <w:rPr>
                      <w:rFonts w:ascii="Times New Roman" w:hAnsi="Times New Roman"/>
                      <w:sz w:val="22"/>
                      <w:szCs w:val="22"/>
                      <w:lang w:val="sr-Latn-ME"/>
                    </w:rPr>
                    <w:t>Porast jetrenih enzima, uključujući serumski bilirubin</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02446A">
                  <w:pPr>
                    <w:keepNext/>
                    <w:rPr>
                      <w:rFonts w:ascii="Times New Roman" w:hAnsi="Times New Roman"/>
                      <w:sz w:val="22"/>
                      <w:szCs w:val="22"/>
                      <w:lang w:val="sr-Latn-ME"/>
                    </w:rPr>
                  </w:pPr>
                  <w:r w:rsidRPr="00C01AF3">
                    <w:rPr>
                      <w:rFonts w:ascii="Times New Roman" w:hAnsi="Times New Roman"/>
                      <w:sz w:val="22"/>
                      <w:szCs w:val="22"/>
                      <w:lang w:val="sr-Latn-ME"/>
                    </w:rPr>
                    <w:t>Hepatitis</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8C08DA" w:rsidP="006F76E8">
                  <w:pPr>
                    <w:jc w:val="left"/>
                    <w:rPr>
                      <w:rFonts w:ascii="Times New Roman" w:hAnsi="Times New Roman"/>
                      <w:sz w:val="22"/>
                      <w:szCs w:val="22"/>
                      <w:lang w:val="sr-Latn-ME"/>
                    </w:rPr>
                  </w:pPr>
                  <w:r w:rsidRPr="00C01AF3">
                    <w:rPr>
                      <w:rFonts w:ascii="Times New Roman" w:hAnsi="Times New Roman"/>
                      <w:sz w:val="22"/>
                      <w:szCs w:val="22"/>
                      <w:lang w:val="sr-Latn-ME"/>
                    </w:rPr>
                    <w:t>Intrahepatička holestaza, žutica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val="restart"/>
                </w:tcPr>
                <w:p w:rsidR="0002446A" w:rsidRPr="00C01AF3" w:rsidRDefault="00E83DCE" w:rsidP="00C935A6">
                  <w:pPr>
                    <w:keepNext/>
                    <w:jc w:val="left"/>
                    <w:rPr>
                      <w:rFonts w:ascii="Times New Roman" w:hAnsi="Times New Roman"/>
                      <w:sz w:val="22"/>
                      <w:szCs w:val="22"/>
                      <w:lang w:val="sr-Latn-ME"/>
                    </w:rPr>
                  </w:pPr>
                  <w:r w:rsidRPr="00C01AF3">
                    <w:rPr>
                      <w:rFonts w:ascii="Times New Roman" w:hAnsi="Times New Roman"/>
                      <w:sz w:val="22"/>
                      <w:szCs w:val="22"/>
                      <w:lang w:val="sr-Latn-ME"/>
                    </w:rPr>
                    <w:t>Poremećaji kože i potkožnog tkiva</w:t>
                  </w:r>
                </w:p>
              </w:tc>
              <w:tc>
                <w:tcPr>
                  <w:tcW w:w="2782" w:type="dxa"/>
                </w:tcPr>
                <w:p w:rsidR="0002446A" w:rsidRPr="00C01AF3" w:rsidRDefault="0002446A" w:rsidP="0002446A">
                  <w:pPr>
                    <w:keepNext/>
                    <w:rPr>
                      <w:rFonts w:ascii="Times New Roman" w:hAnsi="Times New Roman"/>
                      <w:sz w:val="22"/>
                      <w:szCs w:val="22"/>
                      <w:lang w:val="sr-Latn-ME"/>
                    </w:rPr>
                  </w:pPr>
                  <w:r w:rsidRPr="00C01AF3">
                    <w:rPr>
                      <w:rFonts w:ascii="Times New Roman" w:hAnsi="Times New Roman"/>
                      <w:sz w:val="22"/>
                      <w:szCs w:val="22"/>
                      <w:lang w:val="sr-Latn-ME"/>
                    </w:rPr>
                    <w:t>Alopeci</w:t>
                  </w:r>
                  <w:r w:rsidR="008C08DA" w:rsidRPr="00C01AF3">
                    <w:rPr>
                      <w:rFonts w:ascii="Times New Roman" w:hAnsi="Times New Roman"/>
                      <w:sz w:val="22"/>
                      <w:szCs w:val="22"/>
                      <w:lang w:val="sr-Latn-ME"/>
                    </w:rPr>
                    <w:t>j</w:t>
                  </w:r>
                  <w:r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02446A">
                  <w:pPr>
                    <w:keepNext/>
                    <w:rPr>
                      <w:rFonts w:ascii="Times New Roman" w:hAnsi="Times New Roman"/>
                      <w:sz w:val="22"/>
                      <w:szCs w:val="22"/>
                      <w:lang w:val="sr-Latn-ME"/>
                    </w:rPr>
                  </w:pPr>
                  <w:r w:rsidRPr="00C01AF3">
                    <w:rPr>
                      <w:rFonts w:ascii="Times New Roman" w:hAnsi="Times New Roman"/>
                      <w:sz w:val="22"/>
                      <w:szCs w:val="22"/>
                      <w:lang w:val="sr-Latn-ME"/>
                    </w:rPr>
                    <w:t>Angioedem</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9D4971" w:rsidRPr="00C01AF3" w:rsidTr="0002446A">
              <w:trPr>
                <w:cantSplit/>
              </w:trPr>
              <w:tc>
                <w:tcPr>
                  <w:tcW w:w="1778" w:type="dxa"/>
                  <w:vMerge/>
                </w:tcPr>
                <w:p w:rsidR="009D4971" w:rsidRPr="00C01AF3" w:rsidRDefault="009D4971" w:rsidP="0002446A">
                  <w:pPr>
                    <w:keepNext/>
                    <w:rPr>
                      <w:rFonts w:ascii="Times New Roman" w:hAnsi="Times New Roman"/>
                      <w:sz w:val="22"/>
                      <w:szCs w:val="22"/>
                      <w:lang w:val="sr-Latn-ME"/>
                    </w:rPr>
                  </w:pPr>
                </w:p>
              </w:tc>
              <w:tc>
                <w:tcPr>
                  <w:tcW w:w="2782" w:type="dxa"/>
                </w:tcPr>
                <w:p w:rsidR="009D4971" w:rsidRPr="00C01AF3" w:rsidRDefault="009D4971" w:rsidP="0002446A">
                  <w:pPr>
                    <w:keepNext/>
                    <w:rPr>
                      <w:rFonts w:ascii="Times New Roman" w:hAnsi="Times New Roman"/>
                      <w:sz w:val="22"/>
                      <w:szCs w:val="22"/>
                      <w:lang w:val="sr-Latn-ME"/>
                    </w:rPr>
                  </w:pPr>
                  <w:r w:rsidRPr="00C01AF3">
                    <w:rPr>
                      <w:rFonts w:ascii="Times New Roman" w:hAnsi="Times New Roman"/>
                      <w:sz w:val="22"/>
                      <w:szCs w:val="22"/>
                      <w:lang w:val="sr-Latn-ME"/>
                    </w:rPr>
                    <w:t xml:space="preserve">Bulozni dermatitis </w:t>
                  </w:r>
                </w:p>
              </w:tc>
              <w:tc>
                <w:tcPr>
                  <w:tcW w:w="1350" w:type="dxa"/>
                </w:tcPr>
                <w:p w:rsidR="009D4971" w:rsidRPr="00C01AF3" w:rsidRDefault="009D4971"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9D4971" w:rsidRPr="00C01AF3" w:rsidRDefault="009D4971"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9D4971" w:rsidRPr="00C01AF3" w:rsidRDefault="009D4971" w:rsidP="0002446A">
                  <w:pPr>
                    <w:jc w:val="center"/>
                    <w:rPr>
                      <w:rFonts w:ascii="Times New Roman" w:hAnsi="Times New Roman"/>
                      <w:sz w:val="22"/>
                      <w:szCs w:val="22"/>
                      <w:lang w:val="sr-Latn-ME"/>
                    </w:rPr>
                  </w:pPr>
                  <w:r w:rsidRPr="00C01AF3">
                    <w:rPr>
                      <w:rFonts w:ascii="Times New Roman" w:hAnsi="Times New Roman"/>
                      <w:sz w:val="22"/>
                      <w:szCs w:val="22"/>
                      <w:lang w:val="sr-Latn-ME"/>
                    </w:rPr>
                    <w:t xml:space="preserve">Nepoznato </w:t>
                  </w:r>
                </w:p>
              </w:tc>
              <w:tc>
                <w:tcPr>
                  <w:tcW w:w="1350" w:type="dxa"/>
                </w:tcPr>
                <w:p w:rsidR="009D4971" w:rsidRPr="00C01AF3" w:rsidRDefault="009D4971"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FC55DA">
                  <w:pPr>
                    <w:keepNext/>
                    <w:jc w:val="left"/>
                    <w:rPr>
                      <w:rFonts w:ascii="Times New Roman" w:hAnsi="Times New Roman"/>
                      <w:sz w:val="22"/>
                      <w:szCs w:val="22"/>
                      <w:lang w:val="sr-Latn-ME"/>
                    </w:rPr>
                  </w:pPr>
                  <w:r w:rsidRPr="00C01AF3">
                    <w:rPr>
                      <w:rFonts w:ascii="Times New Roman" w:hAnsi="Times New Roman"/>
                      <w:sz w:val="22"/>
                      <w:szCs w:val="22"/>
                      <w:lang w:val="sr-Latn-ME"/>
                    </w:rPr>
                    <w:t>Kožne reak</w:t>
                  </w:r>
                  <w:r w:rsidR="008C08DA" w:rsidRPr="00C01AF3">
                    <w:rPr>
                      <w:rFonts w:ascii="Times New Roman" w:hAnsi="Times New Roman"/>
                      <w:sz w:val="22"/>
                      <w:szCs w:val="22"/>
                      <w:lang w:val="sr-Latn-ME"/>
                    </w:rPr>
                    <w:t xml:space="preserve">cije nalik </w:t>
                  </w:r>
                  <w:r w:rsidR="00BB4256" w:rsidRPr="00C01AF3">
                    <w:rPr>
                      <w:rFonts w:ascii="Times New Roman" w:hAnsi="Times New Roman"/>
                      <w:sz w:val="22"/>
                      <w:szCs w:val="22"/>
                      <w:lang w:val="sr-Latn-ME"/>
                    </w:rPr>
                    <w:t xml:space="preserve">eritematoznom </w:t>
                  </w:r>
                  <w:r w:rsidR="0002446A" w:rsidRPr="00C01AF3">
                    <w:rPr>
                      <w:rFonts w:ascii="Times New Roman" w:hAnsi="Times New Roman"/>
                      <w:sz w:val="22"/>
                      <w:szCs w:val="22"/>
                      <w:lang w:val="sr-Latn-ME"/>
                    </w:rPr>
                    <w:t>lupus</w:t>
                  </w:r>
                  <w:r w:rsidR="00BB4256" w:rsidRPr="00C01AF3">
                    <w:rPr>
                      <w:rFonts w:ascii="Times New Roman" w:hAnsi="Times New Roman"/>
                      <w:sz w:val="22"/>
                      <w:szCs w:val="22"/>
                      <w:lang w:val="sr-Latn-ME"/>
                    </w:rPr>
                    <w:t>u</w:t>
                  </w:r>
                  <w:r w:rsidR="008C08DA" w:rsidRPr="00C01AF3">
                    <w:rPr>
                      <w:rFonts w:ascii="Times New Roman" w:hAnsi="Times New Roman"/>
                      <w:sz w:val="22"/>
                      <w:szCs w:val="22"/>
                      <w:lang w:val="sr-Latn-ME"/>
                    </w:rPr>
                    <w:t xml:space="preserve">, </w:t>
                  </w:r>
                  <w:r w:rsidR="0002446A" w:rsidRPr="00C01AF3">
                    <w:rPr>
                      <w:rFonts w:ascii="Times New Roman" w:hAnsi="Times New Roman"/>
                      <w:sz w:val="22"/>
                      <w:szCs w:val="22"/>
                      <w:lang w:val="sr-Latn-ME"/>
                    </w:rPr>
                    <w:t xml:space="preserve"> rea</w:t>
                  </w:r>
                  <w:r w:rsidR="008C08DA" w:rsidRPr="00C01AF3">
                    <w:rPr>
                      <w:rFonts w:ascii="Times New Roman" w:hAnsi="Times New Roman"/>
                      <w:sz w:val="22"/>
                      <w:szCs w:val="22"/>
                      <w:lang w:val="sr-Latn-ME"/>
                    </w:rPr>
                    <w:t>ktiva</w:t>
                  </w:r>
                  <w:r w:rsidR="001C1E67" w:rsidRPr="00C01AF3">
                    <w:rPr>
                      <w:rFonts w:ascii="Times New Roman" w:hAnsi="Times New Roman"/>
                      <w:sz w:val="22"/>
                      <w:szCs w:val="22"/>
                      <w:lang w:val="sr-Latn-ME"/>
                    </w:rPr>
                    <w:t>c</w:t>
                  </w:r>
                  <w:r w:rsidR="008C08DA" w:rsidRPr="00C01AF3">
                    <w:rPr>
                      <w:rFonts w:ascii="Times New Roman" w:hAnsi="Times New Roman"/>
                      <w:sz w:val="22"/>
                      <w:szCs w:val="22"/>
                      <w:lang w:val="sr-Latn-ME"/>
                    </w:rPr>
                    <w:t>ija</w:t>
                  </w:r>
                  <w:r w:rsidR="0002446A" w:rsidRPr="00C01AF3">
                    <w:rPr>
                      <w:rFonts w:ascii="Times New Roman" w:hAnsi="Times New Roman"/>
                      <w:sz w:val="22"/>
                      <w:szCs w:val="22"/>
                      <w:lang w:val="sr-Latn-ME"/>
                    </w:rPr>
                    <w:t xml:space="preserve"> </w:t>
                  </w:r>
                  <w:r w:rsidR="008C08DA" w:rsidRPr="00C01AF3">
                    <w:rPr>
                      <w:rFonts w:ascii="Times New Roman" w:hAnsi="Times New Roman"/>
                      <w:sz w:val="22"/>
                      <w:szCs w:val="22"/>
                      <w:lang w:val="sr-Latn-ME"/>
                    </w:rPr>
                    <w:t xml:space="preserve">kožnog </w:t>
                  </w:r>
                  <w:r w:rsidR="0002446A" w:rsidRPr="00C01AF3">
                    <w:rPr>
                      <w:rFonts w:ascii="Times New Roman" w:hAnsi="Times New Roman"/>
                      <w:sz w:val="22"/>
                      <w:szCs w:val="22"/>
                      <w:lang w:val="sr-Latn-ME"/>
                    </w:rPr>
                    <w:t xml:space="preserve"> </w:t>
                  </w:r>
                  <w:r w:rsidR="00BB4256" w:rsidRPr="00C01AF3">
                    <w:rPr>
                      <w:rFonts w:ascii="Times New Roman" w:hAnsi="Times New Roman"/>
                      <w:sz w:val="22"/>
                      <w:szCs w:val="22"/>
                      <w:lang w:val="sr-Latn-ME"/>
                    </w:rPr>
                    <w:t xml:space="preserve">eritematoznog </w:t>
                  </w:r>
                  <w:r w:rsidR="0002446A" w:rsidRPr="00C01AF3">
                    <w:rPr>
                      <w:rFonts w:ascii="Times New Roman" w:hAnsi="Times New Roman"/>
                      <w:sz w:val="22"/>
                      <w:szCs w:val="22"/>
                      <w:lang w:val="sr-Latn-ME"/>
                    </w:rPr>
                    <w:t>lupus</w:t>
                  </w:r>
                  <w:r w:rsidR="00BB4256" w:rsidRPr="00C01AF3">
                    <w:rPr>
                      <w:rFonts w:ascii="Times New Roman" w:hAnsi="Times New Roman"/>
                      <w:sz w:val="22"/>
                      <w:szCs w:val="22"/>
                      <w:lang w:val="sr-Latn-ME"/>
                    </w:rPr>
                    <w:t>a</w:t>
                  </w:r>
                  <w:r w:rsidR="0002446A" w:rsidRPr="00C01AF3">
                    <w:rPr>
                      <w:rFonts w:ascii="Times New Roman" w:hAnsi="Times New Roman"/>
                      <w:sz w:val="22"/>
                      <w:szCs w:val="22"/>
                      <w:lang w:val="sr-Latn-ME"/>
                    </w:rPr>
                    <w:t xml:space="preserve">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02446A">
                  <w:pPr>
                    <w:keepNext/>
                    <w:rPr>
                      <w:rFonts w:ascii="Times New Roman" w:hAnsi="Times New Roman"/>
                      <w:sz w:val="22"/>
                      <w:szCs w:val="22"/>
                      <w:lang w:val="sr-Latn-ME"/>
                    </w:rPr>
                  </w:pPr>
                  <w:r w:rsidRPr="00C01AF3">
                    <w:rPr>
                      <w:rFonts w:ascii="Times New Roman" w:hAnsi="Times New Roman"/>
                      <w:sz w:val="22"/>
                      <w:szCs w:val="22"/>
                      <w:lang w:val="sr-Latn-ME"/>
                    </w:rPr>
                    <w:t>Multiformni eritem</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8C08DA" w:rsidP="0002446A">
                  <w:pPr>
                    <w:keepNext/>
                    <w:rPr>
                      <w:rFonts w:ascii="Times New Roman" w:hAnsi="Times New Roman"/>
                      <w:sz w:val="22"/>
                      <w:szCs w:val="22"/>
                      <w:lang w:val="sr-Latn-ME"/>
                    </w:rPr>
                  </w:pPr>
                  <w:r w:rsidRPr="00C01AF3">
                    <w:rPr>
                      <w:rFonts w:ascii="Times New Roman" w:hAnsi="Times New Roman"/>
                      <w:sz w:val="22"/>
                      <w:szCs w:val="22"/>
                      <w:lang w:val="sr-Latn-ME"/>
                    </w:rPr>
                    <w:t>Egzantem</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rPr>
                      <w:rFonts w:ascii="Times New Roman" w:hAnsi="Times New Roman"/>
                      <w:sz w:val="22"/>
                      <w:szCs w:val="22"/>
                      <w:lang w:val="sr-Latn-ME"/>
                    </w:rPr>
                  </w:pPr>
                  <w:r w:rsidRPr="00C01AF3">
                    <w:rPr>
                      <w:rFonts w:ascii="Times New Roman" w:hAnsi="Times New Roman"/>
                      <w:sz w:val="22"/>
                      <w:szCs w:val="22"/>
                      <w:lang w:val="sr-Latn-ME"/>
                    </w:rPr>
                    <w:t>Hiperhidroza</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rPr>
                      <w:rFonts w:ascii="Times New Roman" w:hAnsi="Times New Roman"/>
                      <w:sz w:val="22"/>
                      <w:szCs w:val="22"/>
                      <w:vertAlign w:val="superscript"/>
                      <w:lang w:val="sr-Latn-ME"/>
                    </w:rPr>
                  </w:pPr>
                  <w:r w:rsidRPr="00C01AF3">
                    <w:rPr>
                      <w:rFonts w:ascii="Times New Roman" w:hAnsi="Times New Roman"/>
                      <w:sz w:val="22"/>
                      <w:szCs w:val="22"/>
                      <w:lang w:val="sr-Latn-ME"/>
                    </w:rPr>
                    <w:t>Reakcija fotosenzitivnosti</w:t>
                  </w:r>
                  <w:r w:rsidRPr="00C01AF3">
                    <w:rPr>
                      <w:rFonts w:ascii="Times New Roman" w:hAnsi="Times New Roman"/>
                      <w:sz w:val="22"/>
                      <w:szCs w:val="22"/>
                      <w:vertAlign w:val="superscript"/>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5A518B" w:rsidP="0029258C">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8C08DA" w:rsidRPr="00C01AF3">
                    <w:rPr>
                      <w:rFonts w:ascii="Times New Roman" w:hAnsi="Times New Roman"/>
                      <w:sz w:val="22"/>
                      <w:szCs w:val="22"/>
                      <w:lang w:val="sr-Latn-ME"/>
                    </w:rPr>
                    <w:t>o</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rPr>
                      <w:rFonts w:ascii="Times New Roman" w:hAnsi="Times New Roman"/>
                      <w:sz w:val="22"/>
                      <w:szCs w:val="22"/>
                      <w:lang w:val="sr-Latn-ME"/>
                    </w:rPr>
                  </w:pPr>
                  <w:r w:rsidRPr="00C01AF3">
                    <w:rPr>
                      <w:rFonts w:ascii="Times New Roman" w:hAnsi="Times New Roman"/>
                      <w:sz w:val="22"/>
                      <w:szCs w:val="22"/>
                      <w:lang w:val="sr-Latn-ME"/>
                    </w:rPr>
                    <w:t>Svrab</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rPr>
                      <w:rFonts w:ascii="Times New Roman" w:hAnsi="Times New Roman"/>
                      <w:sz w:val="22"/>
                      <w:szCs w:val="22"/>
                      <w:lang w:val="sr-Latn-ME"/>
                    </w:rPr>
                  </w:pPr>
                  <w:r w:rsidRPr="00C01AF3">
                    <w:rPr>
                      <w:rFonts w:ascii="Times New Roman" w:hAnsi="Times New Roman"/>
                      <w:sz w:val="22"/>
                      <w:szCs w:val="22"/>
                      <w:lang w:val="sr-Latn-ME"/>
                    </w:rPr>
                    <w:t xml:space="preserve">Purpura </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5A518B" w:rsidP="00360BC9">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8C08DA" w:rsidRPr="00C01AF3">
                    <w:rPr>
                      <w:rFonts w:ascii="Times New Roman" w:hAnsi="Times New Roman"/>
                      <w:sz w:val="22"/>
                      <w:szCs w:val="22"/>
                      <w:lang w:val="sr-Latn-ME"/>
                    </w:rPr>
                    <w:t>o</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sz w:val="22"/>
                      <w:szCs w:val="22"/>
                      <w:lang w:val="sr-Latn-ME"/>
                    </w:rPr>
                    <w:t>Osip</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sz w:val="22"/>
                      <w:szCs w:val="22"/>
                      <w:lang w:val="sr-Latn-ME"/>
                    </w:rPr>
                    <w:t>Obezbojenost kože</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keepNext/>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sz w:val="22"/>
                      <w:szCs w:val="22"/>
                      <w:lang w:val="sr-Latn-ME"/>
                    </w:rPr>
                    <w:t>Urtikarija i drugi oblici osipa</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8C08DA" w:rsidP="008C08DA">
                  <w:pPr>
                    <w:jc w:val="left"/>
                    <w:rPr>
                      <w:rFonts w:ascii="Times New Roman" w:hAnsi="Times New Roman"/>
                      <w:sz w:val="22"/>
                      <w:szCs w:val="22"/>
                      <w:lang w:val="sr-Latn-ME"/>
                    </w:rPr>
                  </w:pPr>
                  <w:r w:rsidRPr="00C01AF3">
                    <w:rPr>
                      <w:rFonts w:ascii="Times New Roman" w:hAnsi="Times New Roman"/>
                      <w:sz w:val="22"/>
                      <w:szCs w:val="22"/>
                      <w:lang w:val="sr-Latn-ME"/>
                    </w:rPr>
                    <w:t>Nekrotični vaskulitis i toksična epidermalna nekroliza</w:t>
                  </w:r>
                  <w:r w:rsidR="0002446A" w:rsidRPr="00C01AF3">
                    <w:rPr>
                      <w:rFonts w:ascii="Times New Roman" w:hAnsi="Times New Roman"/>
                      <w:sz w:val="22"/>
                      <w:szCs w:val="22"/>
                      <w:lang w:val="sr-Latn-ME"/>
                    </w:rPr>
                    <w:t xml:space="preserve">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r>
            <w:tr w:rsidR="008C08DA" w:rsidRPr="00C01AF3" w:rsidTr="0002446A">
              <w:trPr>
                <w:cantSplit/>
              </w:trPr>
              <w:tc>
                <w:tcPr>
                  <w:tcW w:w="1778" w:type="dxa"/>
                  <w:vMerge/>
                </w:tcPr>
                <w:p w:rsidR="008C08DA" w:rsidRPr="00C01AF3" w:rsidRDefault="008C08DA" w:rsidP="0002446A">
                  <w:pPr>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sz w:val="22"/>
                      <w:szCs w:val="22"/>
                      <w:lang w:val="sr-Latn-ME"/>
                    </w:rPr>
                    <w:t>Eksfolijativni dermatitis</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i/>
                      <w:sz w:val="22"/>
                      <w:szCs w:val="22"/>
                      <w:lang w:val="sr-Latn-ME"/>
                    </w:rPr>
                    <w:t>Steven</w:t>
                  </w:r>
                  <w:r w:rsidR="00E43C82" w:rsidRPr="00C01AF3">
                    <w:rPr>
                      <w:i/>
                      <w:sz w:val="22"/>
                      <w:szCs w:val="22"/>
                      <w:lang w:val="sr-Latn-ME"/>
                    </w:rPr>
                    <w:t>s</w:t>
                  </w:r>
                  <w:r w:rsidRPr="00C01AF3">
                    <w:rPr>
                      <w:i/>
                      <w:sz w:val="22"/>
                      <w:szCs w:val="22"/>
                      <w:lang w:val="sr-Latn-ME"/>
                    </w:rPr>
                    <w:t>-Johnso</w:t>
                  </w:r>
                  <w:r w:rsidR="00E43C82" w:rsidRPr="00C01AF3">
                    <w:rPr>
                      <w:i/>
                      <w:sz w:val="22"/>
                      <w:szCs w:val="22"/>
                      <w:lang w:val="sr-Latn-ME"/>
                    </w:rPr>
                    <w:t>n</w:t>
                  </w:r>
                  <w:r w:rsidRPr="00C01AF3">
                    <w:rPr>
                      <w:sz w:val="22"/>
                      <w:szCs w:val="22"/>
                      <w:lang w:val="sr-Latn-ME"/>
                    </w:rPr>
                    <w:t xml:space="preserve"> sindrom</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8C08DA" w:rsidRPr="00C01AF3" w:rsidTr="0002446A">
              <w:trPr>
                <w:cantSplit/>
              </w:trPr>
              <w:tc>
                <w:tcPr>
                  <w:tcW w:w="1778" w:type="dxa"/>
                  <w:vMerge/>
                </w:tcPr>
                <w:p w:rsidR="008C08DA" w:rsidRPr="00C01AF3" w:rsidRDefault="008C08DA" w:rsidP="0002446A">
                  <w:pPr>
                    <w:rPr>
                      <w:rFonts w:ascii="Times New Roman" w:hAnsi="Times New Roman"/>
                      <w:sz w:val="22"/>
                      <w:szCs w:val="22"/>
                      <w:lang w:val="sr-Latn-ME"/>
                    </w:rPr>
                  </w:pPr>
                </w:p>
              </w:tc>
              <w:tc>
                <w:tcPr>
                  <w:tcW w:w="2782" w:type="dxa"/>
                </w:tcPr>
                <w:p w:rsidR="008C08DA" w:rsidRPr="00C01AF3" w:rsidRDefault="008C08DA" w:rsidP="003E201F">
                  <w:pPr>
                    <w:pStyle w:val="Text"/>
                    <w:autoSpaceDE w:val="0"/>
                    <w:autoSpaceDN w:val="0"/>
                    <w:spacing w:before="0"/>
                    <w:jc w:val="left"/>
                    <w:rPr>
                      <w:sz w:val="22"/>
                      <w:szCs w:val="22"/>
                      <w:lang w:val="sr-Latn-ME"/>
                    </w:rPr>
                  </w:pPr>
                  <w:r w:rsidRPr="00C01AF3">
                    <w:rPr>
                      <w:sz w:val="22"/>
                      <w:szCs w:val="22"/>
                      <w:lang w:val="sr-Latn-ME"/>
                    </w:rPr>
                    <w:t>Kvinkeov edem</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4956C6">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B145AB" w:rsidRPr="00C01AF3">
                    <w:rPr>
                      <w:rFonts w:ascii="Times New Roman" w:hAnsi="Times New Roman"/>
                      <w:sz w:val="22"/>
                      <w:szCs w:val="22"/>
                      <w:lang w:val="sr-Latn-ME"/>
                    </w:rPr>
                    <w:t>rijetko</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8C08DA" w:rsidRPr="00C01AF3" w:rsidRDefault="008C08D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val="restart"/>
                </w:tcPr>
                <w:p w:rsidR="00DA55B6" w:rsidRPr="00C01AF3" w:rsidRDefault="00DA55B6" w:rsidP="00E83DCE">
                  <w:pPr>
                    <w:keepNext/>
                    <w:jc w:val="left"/>
                    <w:rPr>
                      <w:rFonts w:ascii="Times New Roman" w:hAnsi="Times New Roman"/>
                      <w:sz w:val="22"/>
                      <w:szCs w:val="22"/>
                      <w:lang w:val="sr-Latn-ME"/>
                    </w:rPr>
                  </w:pPr>
                  <w:r w:rsidRPr="00C01AF3">
                    <w:rPr>
                      <w:rFonts w:ascii="Times New Roman" w:hAnsi="Times New Roman"/>
                      <w:sz w:val="22"/>
                      <w:szCs w:val="22"/>
                      <w:lang w:val="sr-Latn-ME"/>
                    </w:rPr>
                    <w:t>Poremećaji mišićno-koštanog sistema i vezivnog tkiva</w:t>
                  </w:r>
                </w:p>
              </w:tc>
              <w:tc>
                <w:tcPr>
                  <w:tcW w:w="2782" w:type="dxa"/>
                </w:tcPr>
                <w:p w:rsidR="00DA55B6" w:rsidRPr="00C01AF3" w:rsidRDefault="00DA55B6" w:rsidP="003E201F">
                  <w:pPr>
                    <w:pStyle w:val="Text"/>
                    <w:autoSpaceDE w:val="0"/>
                    <w:autoSpaceDN w:val="0"/>
                    <w:spacing w:before="0"/>
                    <w:jc w:val="left"/>
                    <w:rPr>
                      <w:sz w:val="22"/>
                      <w:szCs w:val="22"/>
                      <w:lang w:val="sr-Latn-ME"/>
                    </w:rPr>
                  </w:pPr>
                  <w:r w:rsidRPr="00C01AF3">
                    <w:rPr>
                      <w:sz w:val="22"/>
                      <w:szCs w:val="22"/>
                      <w:lang w:val="sr-Latn-ME"/>
                    </w:rPr>
                    <w:t>Artralgija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3E201F">
                  <w:pPr>
                    <w:pStyle w:val="Text"/>
                    <w:autoSpaceDE w:val="0"/>
                    <w:autoSpaceDN w:val="0"/>
                    <w:spacing w:before="0"/>
                    <w:jc w:val="left"/>
                    <w:rPr>
                      <w:sz w:val="22"/>
                      <w:szCs w:val="22"/>
                      <w:lang w:val="sr-Latn-ME"/>
                    </w:rPr>
                  </w:pPr>
                  <w:r w:rsidRPr="00C01AF3">
                    <w:rPr>
                      <w:sz w:val="22"/>
                      <w:szCs w:val="22"/>
                      <w:lang w:val="sr-Latn-ME"/>
                    </w:rPr>
                    <w:t>Bol u leđima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3E201F">
                  <w:pPr>
                    <w:pStyle w:val="Text"/>
                    <w:autoSpaceDE w:val="0"/>
                    <w:autoSpaceDN w:val="0"/>
                    <w:spacing w:before="0"/>
                    <w:jc w:val="left"/>
                    <w:rPr>
                      <w:sz w:val="22"/>
                      <w:szCs w:val="22"/>
                      <w:lang w:val="sr-Latn-ME"/>
                    </w:rPr>
                  </w:pPr>
                  <w:r w:rsidRPr="00C01AF3">
                    <w:rPr>
                      <w:sz w:val="22"/>
                      <w:szCs w:val="22"/>
                      <w:lang w:val="sr-Latn-ME"/>
                    </w:rPr>
                    <w:t>Oticanje zglobova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3E201F">
                  <w:pPr>
                    <w:pStyle w:val="Text"/>
                    <w:autoSpaceDE w:val="0"/>
                    <w:autoSpaceDN w:val="0"/>
                    <w:spacing w:before="0"/>
                    <w:jc w:val="left"/>
                    <w:rPr>
                      <w:sz w:val="22"/>
                      <w:szCs w:val="22"/>
                      <w:lang w:val="sr-Latn-ME"/>
                    </w:rPr>
                  </w:pPr>
                  <w:r w:rsidRPr="00C01AF3">
                    <w:rPr>
                      <w:sz w:val="22"/>
                      <w:szCs w:val="22"/>
                      <w:lang w:val="sr-Latn-ME"/>
                    </w:rPr>
                    <w:t>Mišićni spazam</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DA55B6" w:rsidP="0002446A">
                  <w:pPr>
                    <w:keepNext/>
                    <w:rPr>
                      <w:rFonts w:ascii="Times New Roman" w:hAnsi="Times New Roman"/>
                      <w:sz w:val="22"/>
                      <w:szCs w:val="22"/>
                      <w:lang w:val="sr-Latn-ME"/>
                    </w:rPr>
                  </w:pPr>
                  <w:r w:rsidRPr="00C01AF3">
                    <w:rPr>
                      <w:rFonts w:ascii="Times New Roman" w:hAnsi="Times New Roman"/>
                      <w:sz w:val="22"/>
                      <w:szCs w:val="22"/>
                      <w:lang w:val="sr-Latn-ME"/>
                    </w:rPr>
                    <w:t>Mišićna slabost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DA55B6" w:rsidP="00DA55B6">
                  <w:pPr>
                    <w:keepNext/>
                    <w:rPr>
                      <w:rFonts w:ascii="Times New Roman" w:hAnsi="Times New Roman"/>
                      <w:sz w:val="22"/>
                      <w:szCs w:val="22"/>
                      <w:lang w:val="sr-Latn-ME"/>
                    </w:rPr>
                  </w:pPr>
                  <w:r w:rsidRPr="00C01AF3">
                    <w:rPr>
                      <w:rFonts w:ascii="Times New Roman" w:hAnsi="Times New Roman"/>
                      <w:sz w:val="22"/>
                      <w:szCs w:val="22"/>
                      <w:lang w:val="sr-Latn-ME"/>
                    </w:rPr>
                    <w:t>Mia</w:t>
                  </w:r>
                  <w:r w:rsidR="0002446A" w:rsidRPr="00C01AF3">
                    <w:rPr>
                      <w:rFonts w:ascii="Times New Roman" w:hAnsi="Times New Roman"/>
                      <w:sz w:val="22"/>
                      <w:szCs w:val="22"/>
                      <w:lang w:val="sr-Latn-ME"/>
                    </w:rPr>
                    <w:t>lgi</w:t>
                  </w:r>
                  <w:r w:rsidRPr="00C01AF3">
                    <w:rPr>
                      <w:rFonts w:ascii="Times New Roman" w:hAnsi="Times New Roman"/>
                      <w:sz w:val="22"/>
                      <w:szCs w:val="22"/>
                      <w:lang w:val="sr-Latn-ME"/>
                    </w:rPr>
                    <w:t>j</w:t>
                  </w:r>
                  <w:r w:rsidR="0002446A"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DA55B6" w:rsidP="0002446A">
                  <w:pPr>
                    <w:rPr>
                      <w:rFonts w:ascii="Times New Roman" w:hAnsi="Times New Roman"/>
                      <w:sz w:val="22"/>
                      <w:szCs w:val="22"/>
                      <w:lang w:val="sr-Latn-ME"/>
                    </w:rPr>
                  </w:pPr>
                  <w:r w:rsidRPr="00C01AF3">
                    <w:rPr>
                      <w:rFonts w:ascii="Times New Roman" w:hAnsi="Times New Roman"/>
                      <w:sz w:val="22"/>
                      <w:szCs w:val="22"/>
                      <w:lang w:val="sr-Latn-ME"/>
                    </w:rPr>
                    <w:t>Bol u ekstremitet</w:t>
                  </w:r>
                  <w:r w:rsidR="00E43C82" w:rsidRPr="00C01AF3">
                    <w:rPr>
                      <w:rFonts w:ascii="Times New Roman" w:hAnsi="Times New Roman"/>
                      <w:sz w:val="22"/>
                      <w:szCs w:val="22"/>
                      <w:lang w:val="sr-Latn-ME"/>
                    </w:rPr>
                    <w:t>im</w:t>
                  </w:r>
                  <w:r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DA55B6" w:rsidP="0002446A">
                  <w:pPr>
                    <w:rPr>
                      <w:rFonts w:ascii="Times New Roman" w:hAnsi="Times New Roman"/>
                      <w:sz w:val="22"/>
                      <w:szCs w:val="22"/>
                      <w:lang w:val="sr-Latn-ME"/>
                    </w:rPr>
                  </w:pPr>
                  <w:r w:rsidRPr="00C01AF3">
                    <w:rPr>
                      <w:rFonts w:ascii="Times New Roman" w:hAnsi="Times New Roman"/>
                      <w:sz w:val="22"/>
                      <w:szCs w:val="22"/>
                      <w:lang w:val="sr-Latn-ME"/>
                    </w:rPr>
                    <w:t>Oticanje članaka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val="restart"/>
                </w:tcPr>
                <w:p w:rsidR="00DA55B6" w:rsidRPr="00C01AF3" w:rsidRDefault="00DA55B6" w:rsidP="003121FC">
                  <w:pPr>
                    <w:keepNext/>
                    <w:jc w:val="left"/>
                    <w:rPr>
                      <w:rFonts w:ascii="Times New Roman" w:hAnsi="Times New Roman"/>
                      <w:sz w:val="22"/>
                      <w:szCs w:val="22"/>
                      <w:lang w:val="sr-Latn-ME"/>
                    </w:rPr>
                  </w:pPr>
                  <w:r w:rsidRPr="00C01AF3">
                    <w:rPr>
                      <w:rFonts w:ascii="Times New Roman" w:hAnsi="Times New Roman"/>
                      <w:sz w:val="22"/>
                      <w:szCs w:val="22"/>
                      <w:lang w:val="sr-Latn-ME"/>
                    </w:rPr>
                    <w:t>Poremećaji bubrega i mokraćnog sistema</w:t>
                  </w:r>
                </w:p>
              </w:tc>
              <w:tc>
                <w:tcPr>
                  <w:tcW w:w="2782" w:type="dxa"/>
                </w:tcPr>
                <w:p w:rsidR="00DA55B6" w:rsidRPr="00C01AF3" w:rsidRDefault="00DA55B6" w:rsidP="003E201F">
                  <w:pPr>
                    <w:pStyle w:val="Text"/>
                    <w:autoSpaceDE w:val="0"/>
                    <w:autoSpaceDN w:val="0"/>
                    <w:spacing w:before="0"/>
                    <w:jc w:val="left"/>
                    <w:rPr>
                      <w:sz w:val="22"/>
                      <w:szCs w:val="22"/>
                      <w:lang w:val="sr-Latn-ME"/>
                    </w:rPr>
                  </w:pPr>
                  <w:r w:rsidRPr="00C01AF3">
                    <w:rPr>
                      <w:sz w:val="22"/>
                      <w:szCs w:val="22"/>
                      <w:lang w:val="sr-Latn-ME"/>
                    </w:rPr>
                    <w:t>Porast serumskog kreatinina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DA55B6">
                  <w:pPr>
                    <w:pStyle w:val="Text"/>
                    <w:autoSpaceDE w:val="0"/>
                    <w:autoSpaceDN w:val="0"/>
                    <w:spacing w:before="0"/>
                    <w:jc w:val="left"/>
                    <w:rPr>
                      <w:sz w:val="22"/>
                      <w:szCs w:val="22"/>
                      <w:lang w:val="sr-Latn-ME"/>
                    </w:rPr>
                  </w:pPr>
                  <w:r w:rsidRPr="00C01AF3">
                    <w:rPr>
                      <w:sz w:val="22"/>
                      <w:szCs w:val="22"/>
                      <w:lang w:val="sr-Latn-ME"/>
                    </w:rPr>
                    <w:t>Poremećaj mikturacije</w:t>
                  </w:r>
                </w:p>
              </w:tc>
              <w:tc>
                <w:tcPr>
                  <w:tcW w:w="1350" w:type="dxa"/>
                </w:tcPr>
                <w:p w:rsidR="00DA55B6" w:rsidRPr="00C01AF3" w:rsidRDefault="00DA55B6" w:rsidP="0002446A">
                  <w:pPr>
                    <w:jc w:val="center"/>
                    <w:rPr>
                      <w:rFonts w:ascii="Times New Roman" w:hAnsi="Times New Roman"/>
                      <w:sz w:val="22"/>
                      <w:szCs w:val="22"/>
                      <w:lang w:val="sr-Latn-ME"/>
                    </w:rPr>
                  </w:pP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p>
              </w:tc>
              <w:tc>
                <w:tcPr>
                  <w:tcW w:w="1350" w:type="dxa"/>
                </w:tcPr>
                <w:p w:rsidR="00DA55B6" w:rsidRPr="00C01AF3" w:rsidRDefault="00DA55B6" w:rsidP="0002446A">
                  <w:pPr>
                    <w:jc w:val="center"/>
                    <w:rPr>
                      <w:rFonts w:ascii="Times New Roman" w:hAnsi="Times New Roman"/>
                      <w:sz w:val="22"/>
                      <w:szCs w:val="22"/>
                      <w:lang w:val="sr-Latn-ME"/>
                    </w:rPr>
                  </w:pP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DA55B6">
                  <w:pPr>
                    <w:pStyle w:val="Text"/>
                    <w:autoSpaceDE w:val="0"/>
                    <w:autoSpaceDN w:val="0"/>
                    <w:spacing w:before="0"/>
                    <w:jc w:val="left"/>
                    <w:rPr>
                      <w:sz w:val="22"/>
                      <w:szCs w:val="22"/>
                      <w:lang w:val="sr-Latn-ME"/>
                    </w:rPr>
                  </w:pPr>
                  <w:r w:rsidRPr="00C01AF3">
                    <w:rPr>
                      <w:sz w:val="22"/>
                      <w:szCs w:val="22"/>
                      <w:lang w:val="sr-Latn-ME"/>
                    </w:rPr>
                    <w:t>Nokturija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DA55B6" w:rsidRPr="00C01AF3" w:rsidTr="0002446A">
              <w:trPr>
                <w:cantSplit/>
              </w:trPr>
              <w:tc>
                <w:tcPr>
                  <w:tcW w:w="1778" w:type="dxa"/>
                  <w:vMerge/>
                </w:tcPr>
                <w:p w:rsidR="00DA55B6" w:rsidRPr="00C01AF3" w:rsidRDefault="00DA55B6" w:rsidP="0002446A">
                  <w:pPr>
                    <w:keepNext/>
                    <w:rPr>
                      <w:rFonts w:ascii="Times New Roman" w:hAnsi="Times New Roman"/>
                      <w:sz w:val="22"/>
                      <w:szCs w:val="22"/>
                      <w:lang w:val="sr-Latn-ME"/>
                    </w:rPr>
                  </w:pPr>
                </w:p>
              </w:tc>
              <w:tc>
                <w:tcPr>
                  <w:tcW w:w="2782" w:type="dxa"/>
                </w:tcPr>
                <w:p w:rsidR="00DA55B6" w:rsidRPr="00C01AF3" w:rsidRDefault="00DA55B6" w:rsidP="00DA55B6">
                  <w:pPr>
                    <w:pStyle w:val="Text"/>
                    <w:autoSpaceDE w:val="0"/>
                    <w:autoSpaceDN w:val="0"/>
                    <w:spacing w:before="0"/>
                    <w:jc w:val="left"/>
                    <w:rPr>
                      <w:sz w:val="22"/>
                      <w:szCs w:val="22"/>
                      <w:lang w:val="sr-Latn-ME"/>
                    </w:rPr>
                  </w:pPr>
                  <w:r w:rsidRPr="00C01AF3">
                    <w:rPr>
                      <w:sz w:val="22"/>
                      <w:szCs w:val="22"/>
                      <w:lang w:val="sr-Latn-ME"/>
                    </w:rPr>
                    <w:t>Polakiurija</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DA55B6" w:rsidRPr="00C01AF3" w:rsidRDefault="00DA55B6"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DA55B6" w:rsidRPr="00C01AF3" w:rsidRDefault="00DA55B6" w:rsidP="0002446A">
                  <w:pPr>
                    <w:jc w:val="center"/>
                    <w:rPr>
                      <w:rFonts w:ascii="Times New Roman" w:hAnsi="Times New Roman"/>
                      <w:sz w:val="22"/>
                      <w:szCs w:val="22"/>
                      <w:lang w:val="sr-Latn-ME"/>
                    </w:rPr>
                  </w:pPr>
                </w:p>
              </w:tc>
              <w:tc>
                <w:tcPr>
                  <w:tcW w:w="1350" w:type="dxa"/>
                </w:tcPr>
                <w:p w:rsidR="00DA55B6" w:rsidRPr="00C01AF3" w:rsidRDefault="00DA55B6" w:rsidP="0002446A">
                  <w:pPr>
                    <w:jc w:val="center"/>
                    <w:rPr>
                      <w:rFonts w:ascii="Times New Roman" w:hAnsi="Times New Roman"/>
                      <w:sz w:val="22"/>
                      <w:szCs w:val="22"/>
                      <w:lang w:val="sr-Latn-ME"/>
                    </w:rPr>
                  </w:pP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DA55B6" w:rsidP="00DA55B6">
                  <w:pPr>
                    <w:keepNext/>
                    <w:jc w:val="left"/>
                    <w:rPr>
                      <w:rFonts w:ascii="Times New Roman" w:hAnsi="Times New Roman"/>
                      <w:sz w:val="22"/>
                      <w:szCs w:val="22"/>
                      <w:lang w:val="sr-Latn-ME"/>
                    </w:rPr>
                  </w:pPr>
                  <w:r w:rsidRPr="00C01AF3">
                    <w:rPr>
                      <w:rFonts w:ascii="Times New Roman" w:hAnsi="Times New Roman"/>
                      <w:sz w:val="22"/>
                      <w:szCs w:val="22"/>
                      <w:lang w:val="sr-Latn-ME"/>
                    </w:rPr>
                    <w:t>Disfunkcij</w:t>
                  </w:r>
                  <w:r w:rsidR="00A9771D" w:rsidRPr="00C01AF3">
                    <w:rPr>
                      <w:rFonts w:ascii="Times New Roman" w:hAnsi="Times New Roman"/>
                      <w:sz w:val="22"/>
                      <w:szCs w:val="22"/>
                      <w:lang w:val="sr-Latn-ME"/>
                    </w:rPr>
                    <w:t>a</w:t>
                  </w:r>
                  <w:r w:rsidRPr="00C01AF3">
                    <w:rPr>
                      <w:rFonts w:ascii="Times New Roman" w:hAnsi="Times New Roman"/>
                      <w:sz w:val="22"/>
                      <w:szCs w:val="22"/>
                      <w:lang w:val="sr-Latn-ME"/>
                    </w:rPr>
                    <w:t xml:space="preserve"> bubrega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DA55B6" w:rsidP="00DA55B6">
                  <w:pPr>
                    <w:keepNext/>
                    <w:jc w:val="left"/>
                    <w:rPr>
                      <w:rFonts w:ascii="Times New Roman" w:hAnsi="Times New Roman"/>
                      <w:sz w:val="22"/>
                      <w:szCs w:val="22"/>
                      <w:lang w:val="sr-Latn-ME"/>
                    </w:rPr>
                  </w:pPr>
                  <w:r w:rsidRPr="00C01AF3">
                    <w:rPr>
                      <w:rFonts w:ascii="Times New Roman" w:hAnsi="Times New Roman"/>
                      <w:sz w:val="22"/>
                      <w:szCs w:val="22"/>
                      <w:lang w:val="sr-Latn-ME"/>
                    </w:rPr>
                    <w:t>Akutna bubrežna insufi</w:t>
                  </w:r>
                  <w:r w:rsidR="00E43C82" w:rsidRPr="00C01AF3">
                    <w:rPr>
                      <w:rFonts w:ascii="Times New Roman" w:hAnsi="Times New Roman"/>
                      <w:sz w:val="22"/>
                      <w:szCs w:val="22"/>
                      <w:lang w:val="sr-Latn-ME"/>
                    </w:rPr>
                    <w:t>ci</w:t>
                  </w:r>
                  <w:r w:rsidRPr="00C01AF3">
                    <w:rPr>
                      <w:rFonts w:ascii="Times New Roman" w:hAnsi="Times New Roman"/>
                      <w:sz w:val="22"/>
                      <w:szCs w:val="22"/>
                      <w:lang w:val="sr-Latn-ME"/>
                    </w:rPr>
                    <w:t>jencija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DA55B6" w:rsidP="00E47515">
                  <w:pPr>
                    <w:jc w:val="left"/>
                    <w:rPr>
                      <w:rFonts w:ascii="Times New Roman" w:hAnsi="Times New Roman"/>
                      <w:sz w:val="22"/>
                      <w:szCs w:val="22"/>
                      <w:lang w:val="sr-Latn-ME"/>
                    </w:rPr>
                  </w:pPr>
                  <w:r w:rsidRPr="00C01AF3">
                    <w:rPr>
                      <w:rFonts w:ascii="Times New Roman" w:hAnsi="Times New Roman"/>
                      <w:sz w:val="22"/>
                      <w:szCs w:val="22"/>
                      <w:lang w:val="sr-Latn-ME"/>
                    </w:rPr>
                    <w:t>I</w:t>
                  </w:r>
                  <w:r w:rsidR="00991709" w:rsidRPr="00C01AF3">
                    <w:rPr>
                      <w:rFonts w:ascii="Times New Roman" w:hAnsi="Times New Roman"/>
                      <w:sz w:val="22"/>
                      <w:szCs w:val="22"/>
                      <w:lang w:val="sr-Latn-ME"/>
                    </w:rPr>
                    <w:t>n</w:t>
                  </w:r>
                  <w:r w:rsidRPr="00C01AF3">
                    <w:rPr>
                      <w:rFonts w:ascii="Times New Roman" w:hAnsi="Times New Roman"/>
                      <w:sz w:val="22"/>
                      <w:szCs w:val="22"/>
                      <w:lang w:val="sr-Latn-ME"/>
                    </w:rPr>
                    <w:t xml:space="preserve">suficijencija i </w:t>
                  </w:r>
                  <w:r w:rsidR="00E47515" w:rsidRPr="00C01AF3">
                    <w:rPr>
                      <w:rFonts w:ascii="Times New Roman" w:hAnsi="Times New Roman"/>
                      <w:sz w:val="22"/>
                      <w:szCs w:val="22"/>
                      <w:lang w:val="sr-Latn-ME"/>
                    </w:rPr>
                    <w:t xml:space="preserve">oštećenje </w:t>
                  </w:r>
                  <w:r w:rsidRPr="00C01AF3">
                    <w:rPr>
                      <w:rFonts w:ascii="Times New Roman" w:hAnsi="Times New Roman"/>
                      <w:sz w:val="22"/>
                      <w:szCs w:val="22"/>
                      <w:lang w:val="sr-Latn-ME"/>
                    </w:rPr>
                    <w:t xml:space="preserve"> bubrega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val="restart"/>
                </w:tcPr>
                <w:p w:rsidR="0002446A" w:rsidRPr="00C01AF3" w:rsidRDefault="003121FC" w:rsidP="0002446A">
                  <w:pPr>
                    <w:keepNext/>
                    <w:rPr>
                      <w:rFonts w:ascii="Times New Roman" w:hAnsi="Times New Roman"/>
                      <w:sz w:val="22"/>
                      <w:szCs w:val="22"/>
                      <w:lang w:val="sr-Latn-ME"/>
                    </w:rPr>
                  </w:pPr>
                  <w:r w:rsidRPr="00C01AF3">
                    <w:rPr>
                      <w:rFonts w:ascii="Times New Roman" w:hAnsi="Times New Roman"/>
                      <w:sz w:val="22"/>
                      <w:szCs w:val="22"/>
                      <w:lang w:val="sr-Latn-ME"/>
                    </w:rPr>
                    <w:t>Poremećaji reproduktivnog sistema i dojki</w:t>
                  </w:r>
                </w:p>
              </w:tc>
              <w:tc>
                <w:tcPr>
                  <w:tcW w:w="2782" w:type="dxa"/>
                </w:tcPr>
                <w:p w:rsidR="0002446A" w:rsidRPr="00C01AF3" w:rsidRDefault="0002446A" w:rsidP="00A95FAD">
                  <w:pPr>
                    <w:keepNext/>
                    <w:rPr>
                      <w:rFonts w:ascii="Times New Roman" w:hAnsi="Times New Roman"/>
                      <w:sz w:val="22"/>
                      <w:szCs w:val="22"/>
                      <w:lang w:val="sr-Latn-ME"/>
                    </w:rPr>
                  </w:pPr>
                  <w:r w:rsidRPr="00C01AF3">
                    <w:rPr>
                      <w:rFonts w:ascii="Times New Roman" w:hAnsi="Times New Roman"/>
                      <w:sz w:val="22"/>
                      <w:szCs w:val="22"/>
                      <w:lang w:val="sr-Latn-ME"/>
                    </w:rPr>
                    <w:t>Impotenc</w:t>
                  </w:r>
                  <w:r w:rsidR="00A95FAD" w:rsidRPr="00C01AF3">
                    <w:rPr>
                      <w:rFonts w:ascii="Times New Roman" w:hAnsi="Times New Roman"/>
                      <w:sz w:val="22"/>
                      <w:szCs w:val="22"/>
                      <w:lang w:val="sr-Latn-ME"/>
                    </w:rPr>
                    <w:t>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A95FAD">
                  <w:pPr>
                    <w:rPr>
                      <w:rFonts w:ascii="Times New Roman" w:hAnsi="Times New Roman"/>
                      <w:sz w:val="22"/>
                      <w:szCs w:val="22"/>
                      <w:lang w:val="sr-Latn-ME"/>
                    </w:rPr>
                  </w:pPr>
                  <w:r w:rsidRPr="00C01AF3">
                    <w:rPr>
                      <w:rFonts w:ascii="Times New Roman" w:hAnsi="Times New Roman"/>
                      <w:sz w:val="22"/>
                      <w:szCs w:val="22"/>
                      <w:lang w:val="sr-Latn-ME"/>
                    </w:rPr>
                    <w:t>G</w:t>
                  </w:r>
                  <w:r w:rsidR="00A95FAD" w:rsidRPr="00C01AF3">
                    <w:rPr>
                      <w:rFonts w:ascii="Times New Roman" w:hAnsi="Times New Roman"/>
                      <w:sz w:val="22"/>
                      <w:szCs w:val="22"/>
                      <w:lang w:val="sr-Latn-ME"/>
                    </w:rPr>
                    <w:t>inek</w:t>
                  </w:r>
                  <w:r w:rsidRPr="00C01AF3">
                    <w:rPr>
                      <w:rFonts w:ascii="Times New Roman" w:hAnsi="Times New Roman"/>
                      <w:sz w:val="22"/>
                      <w:szCs w:val="22"/>
                      <w:lang w:val="sr-Latn-ME"/>
                    </w:rPr>
                    <w:t>omasti</w:t>
                  </w:r>
                  <w:r w:rsidR="00A95FAD" w:rsidRPr="00C01AF3">
                    <w:rPr>
                      <w:rFonts w:ascii="Times New Roman" w:hAnsi="Times New Roman"/>
                      <w:sz w:val="22"/>
                      <w:szCs w:val="22"/>
                      <w:lang w:val="sr-Latn-ME"/>
                    </w:rPr>
                    <w:t>j</w:t>
                  </w:r>
                  <w:r w:rsidRPr="00C01AF3">
                    <w:rPr>
                      <w:rFonts w:ascii="Times New Roman" w:hAnsi="Times New Roman"/>
                      <w:sz w:val="22"/>
                      <w:szCs w:val="22"/>
                      <w:lang w:val="sr-Latn-ME"/>
                    </w:rPr>
                    <w:t>a</w:t>
                  </w:r>
                </w:p>
              </w:tc>
              <w:tc>
                <w:tcPr>
                  <w:tcW w:w="1350" w:type="dxa"/>
                </w:tcPr>
                <w:p w:rsidR="0002446A" w:rsidRPr="00C01AF3" w:rsidRDefault="0002446A" w:rsidP="0002446A">
                  <w:pPr>
                    <w:jc w:val="center"/>
                    <w:rPr>
                      <w:rFonts w:ascii="Times New Roman" w:hAnsi="Times New Roman"/>
                      <w:sz w:val="22"/>
                      <w:szCs w:val="22"/>
                      <w:lang w:val="sr-Latn-ME"/>
                    </w:rPr>
                  </w:pP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val="restart"/>
                </w:tcPr>
                <w:p w:rsidR="0002446A" w:rsidRPr="00C01AF3" w:rsidRDefault="00E43C82">
                  <w:pPr>
                    <w:keepNext/>
                    <w:jc w:val="left"/>
                    <w:rPr>
                      <w:rFonts w:ascii="Times New Roman" w:hAnsi="Times New Roman"/>
                      <w:sz w:val="22"/>
                      <w:szCs w:val="22"/>
                      <w:lang w:val="sr-Latn-ME"/>
                    </w:rPr>
                  </w:pPr>
                  <w:r w:rsidRPr="00C01AF3">
                    <w:rPr>
                      <w:rFonts w:ascii="Times New Roman" w:hAnsi="Times New Roman"/>
                      <w:sz w:val="22"/>
                      <w:szCs w:val="22"/>
                      <w:lang w:val="sr-Latn-ME"/>
                    </w:rPr>
                    <w:t>Opšti p</w:t>
                  </w:r>
                  <w:r w:rsidR="00B10E1F" w:rsidRPr="00C01AF3">
                    <w:rPr>
                      <w:rFonts w:ascii="Times New Roman" w:hAnsi="Times New Roman"/>
                      <w:sz w:val="22"/>
                      <w:szCs w:val="22"/>
                      <w:lang w:val="sr-Latn-ME"/>
                    </w:rPr>
                    <w:t>oremećaji i reakcije na m</w:t>
                  </w:r>
                  <w:r w:rsidR="005A518B" w:rsidRPr="00C01AF3">
                    <w:rPr>
                      <w:rFonts w:ascii="Times New Roman" w:hAnsi="Times New Roman"/>
                      <w:sz w:val="22"/>
                      <w:szCs w:val="22"/>
                      <w:lang w:val="sr-Latn-ME"/>
                    </w:rPr>
                    <w:t>j</w:t>
                  </w:r>
                  <w:r w:rsidR="00B10E1F" w:rsidRPr="00C01AF3">
                    <w:rPr>
                      <w:rFonts w:ascii="Times New Roman" w:hAnsi="Times New Roman"/>
                      <w:sz w:val="22"/>
                      <w:szCs w:val="22"/>
                      <w:lang w:val="sr-Latn-ME"/>
                    </w:rPr>
                    <w:t xml:space="preserve">estu </w:t>
                  </w:r>
                  <w:r w:rsidR="00A65414" w:rsidRPr="00C01AF3">
                    <w:rPr>
                      <w:rFonts w:ascii="Times New Roman" w:hAnsi="Times New Roman"/>
                      <w:sz w:val="22"/>
                      <w:szCs w:val="22"/>
                      <w:lang w:val="sr-Latn-ME"/>
                    </w:rPr>
                    <w:t>primje</w:t>
                  </w:r>
                  <w:r w:rsidR="00B10E1F" w:rsidRPr="00C01AF3">
                    <w:rPr>
                      <w:rFonts w:ascii="Times New Roman" w:hAnsi="Times New Roman"/>
                      <w:sz w:val="22"/>
                      <w:szCs w:val="22"/>
                      <w:lang w:val="sr-Latn-ME"/>
                    </w:rPr>
                    <w:t>ne</w:t>
                  </w:r>
                </w:p>
              </w:tc>
              <w:tc>
                <w:tcPr>
                  <w:tcW w:w="2782" w:type="dxa"/>
                </w:tcPr>
                <w:p w:rsidR="0002446A" w:rsidRPr="00C01AF3" w:rsidRDefault="00A95FAD" w:rsidP="00A95FAD">
                  <w:pPr>
                    <w:keepNext/>
                    <w:rPr>
                      <w:rFonts w:ascii="Times New Roman" w:hAnsi="Times New Roman"/>
                      <w:sz w:val="22"/>
                      <w:szCs w:val="22"/>
                      <w:lang w:val="sr-Latn-ME"/>
                    </w:rPr>
                  </w:pPr>
                  <w:r w:rsidRPr="00C01AF3">
                    <w:rPr>
                      <w:rFonts w:ascii="Times New Roman" w:hAnsi="Times New Roman"/>
                      <w:sz w:val="22"/>
                      <w:szCs w:val="22"/>
                      <w:lang w:val="sr-Latn-ME"/>
                    </w:rPr>
                    <w:t>Abazija</w:t>
                  </w:r>
                  <w:r w:rsidR="0002446A" w:rsidRPr="00C01AF3">
                    <w:rPr>
                      <w:rFonts w:ascii="Times New Roman" w:hAnsi="Times New Roman"/>
                      <w:sz w:val="22"/>
                      <w:szCs w:val="22"/>
                      <w:lang w:val="sr-Latn-ME"/>
                    </w:rPr>
                    <w:t xml:space="preserve">, </w:t>
                  </w:r>
                  <w:r w:rsidRPr="00C01AF3">
                    <w:rPr>
                      <w:rFonts w:ascii="Times New Roman" w:hAnsi="Times New Roman"/>
                      <w:sz w:val="22"/>
                      <w:szCs w:val="22"/>
                      <w:lang w:val="sr-Latn-ME"/>
                    </w:rPr>
                    <w:t>poremećaj hoda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3E201F">
                  <w:pPr>
                    <w:pStyle w:val="Text"/>
                    <w:autoSpaceDE w:val="0"/>
                    <w:autoSpaceDN w:val="0"/>
                    <w:spacing w:before="0"/>
                    <w:jc w:val="left"/>
                    <w:rPr>
                      <w:sz w:val="22"/>
                      <w:szCs w:val="22"/>
                      <w:lang w:val="sr-Latn-ME"/>
                    </w:rPr>
                  </w:pPr>
                  <w:r w:rsidRPr="00C01AF3">
                    <w:rPr>
                      <w:sz w:val="22"/>
                      <w:szCs w:val="22"/>
                      <w:lang w:val="sr-Latn-ME"/>
                    </w:rPr>
                    <w:t>Astenija</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3E201F">
                  <w:pPr>
                    <w:pStyle w:val="Text"/>
                    <w:autoSpaceDE w:val="0"/>
                    <w:autoSpaceDN w:val="0"/>
                    <w:spacing w:before="0"/>
                    <w:jc w:val="left"/>
                    <w:rPr>
                      <w:sz w:val="22"/>
                      <w:szCs w:val="22"/>
                      <w:lang w:val="sr-Latn-ME"/>
                    </w:rPr>
                  </w:pPr>
                  <w:r w:rsidRPr="00C01AF3">
                    <w:rPr>
                      <w:sz w:val="22"/>
                      <w:szCs w:val="22"/>
                      <w:lang w:val="sr-Latn-ME"/>
                    </w:rPr>
                    <w:t>Nelagoda, slabost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3E201F">
                  <w:pPr>
                    <w:pStyle w:val="Text"/>
                    <w:autoSpaceDE w:val="0"/>
                    <w:autoSpaceDN w:val="0"/>
                    <w:spacing w:before="0"/>
                    <w:jc w:val="left"/>
                    <w:rPr>
                      <w:sz w:val="22"/>
                      <w:szCs w:val="22"/>
                      <w:lang w:val="sr-Latn-ME"/>
                    </w:rPr>
                  </w:pPr>
                  <w:r w:rsidRPr="00C01AF3">
                    <w:rPr>
                      <w:sz w:val="22"/>
                      <w:szCs w:val="22"/>
                      <w:lang w:val="sr-Latn-ME"/>
                    </w:rPr>
                    <w:t>Zamor</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3E201F">
                  <w:pPr>
                    <w:pStyle w:val="Text"/>
                    <w:autoSpaceDE w:val="0"/>
                    <w:autoSpaceDN w:val="0"/>
                    <w:spacing w:before="0"/>
                    <w:jc w:val="left"/>
                    <w:rPr>
                      <w:sz w:val="22"/>
                      <w:szCs w:val="22"/>
                      <w:lang w:val="sr-Latn-ME"/>
                    </w:rPr>
                  </w:pPr>
                  <w:r w:rsidRPr="00C01AF3">
                    <w:rPr>
                      <w:sz w:val="22"/>
                      <w:szCs w:val="22"/>
                      <w:lang w:val="sr-Latn-ME"/>
                    </w:rPr>
                    <w:t>Nekardijalna bol u grudima</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3E201F">
                  <w:pPr>
                    <w:pStyle w:val="Text"/>
                    <w:autoSpaceDE w:val="0"/>
                    <w:autoSpaceDN w:val="0"/>
                    <w:spacing w:before="0"/>
                    <w:jc w:val="left"/>
                    <w:rPr>
                      <w:sz w:val="22"/>
                      <w:szCs w:val="22"/>
                      <w:lang w:val="sr-Latn-ME"/>
                    </w:rPr>
                  </w:pPr>
                  <w:r w:rsidRPr="00C01AF3">
                    <w:rPr>
                      <w:sz w:val="22"/>
                      <w:szCs w:val="22"/>
                      <w:lang w:val="sr-Latn-ME"/>
                    </w:rPr>
                    <w:t>Edem</w:t>
                  </w:r>
                  <w:r w:rsidR="003F5364" w:rsidRPr="00C01AF3">
                    <w:rPr>
                      <w:sz w:val="22"/>
                      <w:szCs w:val="22"/>
                      <w:lang w:val="sr-Latn-ME"/>
                    </w:rPr>
                    <w:t xml:space="preserve"> </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Često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A95FAD" w:rsidP="0002446A">
                  <w:pPr>
                    <w:rPr>
                      <w:rFonts w:ascii="Times New Roman" w:hAnsi="Times New Roman"/>
                      <w:sz w:val="22"/>
                      <w:szCs w:val="22"/>
                      <w:lang w:val="sr-Latn-ME"/>
                    </w:rPr>
                  </w:pPr>
                  <w:r w:rsidRPr="00C01AF3">
                    <w:rPr>
                      <w:rFonts w:ascii="Times New Roman" w:hAnsi="Times New Roman"/>
                      <w:sz w:val="22"/>
                      <w:szCs w:val="22"/>
                      <w:lang w:val="sr-Latn-ME"/>
                    </w:rPr>
                    <w:t>Bol</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rPr>
                      <w:rFonts w:ascii="Times New Roman" w:hAnsi="Times New Roman"/>
                      <w:sz w:val="22"/>
                      <w:szCs w:val="22"/>
                      <w:lang w:val="sr-Latn-ME"/>
                    </w:rPr>
                  </w:pPr>
                </w:p>
              </w:tc>
              <w:tc>
                <w:tcPr>
                  <w:tcW w:w="2782" w:type="dxa"/>
                </w:tcPr>
                <w:p w:rsidR="0002446A" w:rsidRPr="00C01AF3" w:rsidRDefault="0002446A" w:rsidP="00A95FAD">
                  <w:pPr>
                    <w:rPr>
                      <w:rFonts w:ascii="Times New Roman" w:hAnsi="Times New Roman"/>
                      <w:sz w:val="22"/>
                      <w:szCs w:val="22"/>
                      <w:lang w:val="sr-Latn-ME"/>
                    </w:rPr>
                  </w:pPr>
                  <w:r w:rsidRPr="00C01AF3">
                    <w:rPr>
                      <w:rFonts w:ascii="Times New Roman" w:hAnsi="Times New Roman"/>
                      <w:sz w:val="22"/>
                      <w:szCs w:val="22"/>
                      <w:lang w:val="sr-Latn-ME"/>
                    </w:rPr>
                    <w:t>P</w:t>
                  </w:r>
                  <w:r w:rsidR="00A95FAD" w:rsidRPr="00C01AF3">
                    <w:rPr>
                      <w:rFonts w:ascii="Times New Roman" w:hAnsi="Times New Roman"/>
                      <w:sz w:val="22"/>
                      <w:szCs w:val="22"/>
                      <w:lang w:val="sr-Latn-ME"/>
                    </w:rPr>
                    <w:t>ireksija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r>
            <w:tr w:rsidR="0002446A" w:rsidRPr="00C01AF3" w:rsidTr="0002446A">
              <w:trPr>
                <w:cantSplit/>
              </w:trPr>
              <w:tc>
                <w:tcPr>
                  <w:tcW w:w="1778" w:type="dxa"/>
                  <w:vMerge w:val="restart"/>
                </w:tcPr>
                <w:p w:rsidR="0002446A" w:rsidRPr="00C01AF3" w:rsidRDefault="0002446A" w:rsidP="00B10E1F">
                  <w:pPr>
                    <w:keepNext/>
                    <w:rPr>
                      <w:rFonts w:ascii="Times New Roman" w:hAnsi="Times New Roman"/>
                      <w:sz w:val="22"/>
                      <w:szCs w:val="22"/>
                      <w:lang w:val="sr-Latn-ME"/>
                    </w:rPr>
                  </w:pPr>
                  <w:r w:rsidRPr="00C01AF3">
                    <w:rPr>
                      <w:rFonts w:ascii="Times New Roman" w:hAnsi="Times New Roman"/>
                      <w:sz w:val="22"/>
                      <w:szCs w:val="22"/>
                      <w:lang w:val="sr-Latn-ME"/>
                    </w:rPr>
                    <w:lastRenderedPageBreak/>
                    <w:t>I</w:t>
                  </w:r>
                  <w:r w:rsidR="00B10E1F" w:rsidRPr="00C01AF3">
                    <w:rPr>
                      <w:rFonts w:ascii="Times New Roman" w:hAnsi="Times New Roman"/>
                      <w:sz w:val="22"/>
                      <w:szCs w:val="22"/>
                      <w:lang w:val="sr-Latn-ME"/>
                    </w:rPr>
                    <w:t>spitivanja</w:t>
                  </w:r>
                </w:p>
              </w:tc>
              <w:tc>
                <w:tcPr>
                  <w:tcW w:w="2782" w:type="dxa"/>
                </w:tcPr>
                <w:p w:rsidR="0002446A" w:rsidRPr="00C01AF3" w:rsidRDefault="00A95FAD" w:rsidP="00A95FAD">
                  <w:pPr>
                    <w:keepNext/>
                    <w:jc w:val="left"/>
                    <w:rPr>
                      <w:rFonts w:ascii="Times New Roman" w:hAnsi="Times New Roman"/>
                      <w:sz w:val="22"/>
                      <w:szCs w:val="22"/>
                      <w:lang w:val="sr-Latn-ME"/>
                    </w:rPr>
                  </w:pPr>
                  <w:r w:rsidRPr="00C01AF3">
                    <w:rPr>
                      <w:rFonts w:ascii="Times New Roman" w:hAnsi="Times New Roman"/>
                      <w:sz w:val="22"/>
                      <w:szCs w:val="22"/>
                      <w:lang w:val="sr-Latn-ME"/>
                    </w:rPr>
                    <w:t>Povećanje lipida</w:t>
                  </w:r>
                </w:p>
              </w:tc>
              <w:tc>
                <w:tcPr>
                  <w:tcW w:w="1350" w:type="dxa"/>
                </w:tcPr>
                <w:p w:rsidR="0002446A" w:rsidRPr="00C01AF3" w:rsidRDefault="0002446A" w:rsidP="0002446A">
                  <w:pPr>
                    <w:jc w:val="center"/>
                    <w:rPr>
                      <w:rFonts w:ascii="Times New Roman" w:hAnsi="Times New Roman"/>
                      <w:sz w:val="22"/>
                      <w:szCs w:val="22"/>
                      <w:lang w:val="sr-Latn-ME"/>
                    </w:rPr>
                  </w:pP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trike/>
                      <w:sz w:val="22"/>
                      <w:szCs w:val="22"/>
                      <w:lang w:val="sr-Latn-ME"/>
                    </w:rPr>
                  </w:pP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 xml:space="preserve">Veoma </w:t>
                  </w:r>
                  <w:r w:rsidR="00E43C82" w:rsidRPr="00C01AF3">
                    <w:rPr>
                      <w:rFonts w:ascii="Times New Roman" w:hAnsi="Times New Roman"/>
                      <w:sz w:val="22"/>
                      <w:szCs w:val="22"/>
                      <w:lang w:val="sr-Latn-ME"/>
                    </w:rPr>
                    <w:t>č</w:t>
                  </w:r>
                  <w:r w:rsidRPr="00C01AF3">
                    <w:rPr>
                      <w:rFonts w:ascii="Times New Roman" w:hAnsi="Times New Roman"/>
                      <w:sz w:val="22"/>
                      <w:szCs w:val="22"/>
                      <w:lang w:val="sr-Latn-ME"/>
                    </w:rPr>
                    <w:t>esto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95FAD" w:rsidP="00A95FAD">
                  <w:pPr>
                    <w:keepNext/>
                    <w:jc w:val="left"/>
                    <w:rPr>
                      <w:rFonts w:ascii="Times New Roman" w:hAnsi="Times New Roman"/>
                      <w:sz w:val="22"/>
                      <w:szCs w:val="22"/>
                      <w:lang w:val="sr-Latn-ME"/>
                    </w:rPr>
                  </w:pPr>
                  <w:r w:rsidRPr="00C01AF3">
                    <w:rPr>
                      <w:rFonts w:ascii="Times New Roman" w:hAnsi="Times New Roman"/>
                      <w:sz w:val="22"/>
                      <w:szCs w:val="22"/>
                      <w:lang w:val="sr-Latn-ME"/>
                    </w:rPr>
                    <w:t>Povećanje azota iz ureje u krvi</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95FAD" w:rsidP="00A95FAD">
                  <w:pPr>
                    <w:keepNext/>
                    <w:jc w:val="left"/>
                    <w:rPr>
                      <w:rFonts w:ascii="Times New Roman" w:hAnsi="Times New Roman"/>
                      <w:sz w:val="22"/>
                      <w:szCs w:val="22"/>
                      <w:lang w:val="sr-Latn-ME"/>
                    </w:rPr>
                  </w:pPr>
                  <w:r w:rsidRPr="00C01AF3">
                    <w:rPr>
                      <w:rFonts w:ascii="Times New Roman" w:hAnsi="Times New Roman"/>
                      <w:sz w:val="22"/>
                      <w:szCs w:val="22"/>
                      <w:lang w:val="sr-Latn-ME"/>
                    </w:rPr>
                    <w:t xml:space="preserve">Povećanje mokraćne kiseline u krvi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02446A" w:rsidP="00A95FAD">
                  <w:pPr>
                    <w:keepNext/>
                    <w:jc w:val="left"/>
                    <w:rPr>
                      <w:rFonts w:ascii="Times New Roman" w:hAnsi="Times New Roman"/>
                      <w:sz w:val="22"/>
                      <w:szCs w:val="22"/>
                      <w:lang w:val="sr-Latn-ME"/>
                    </w:rPr>
                  </w:pPr>
                  <w:r w:rsidRPr="00C01AF3">
                    <w:rPr>
                      <w:rFonts w:ascii="Times New Roman" w:hAnsi="Times New Roman"/>
                      <w:sz w:val="22"/>
                      <w:szCs w:val="22"/>
                      <w:lang w:val="sr-Latn-ME"/>
                    </w:rPr>
                    <w:t>Gl</w:t>
                  </w:r>
                  <w:r w:rsidR="00E43C82" w:rsidRPr="00C01AF3">
                    <w:rPr>
                      <w:rFonts w:ascii="Times New Roman" w:hAnsi="Times New Roman"/>
                      <w:sz w:val="22"/>
                      <w:szCs w:val="22"/>
                      <w:lang w:val="sr-Latn-ME"/>
                    </w:rPr>
                    <w:t>i</w:t>
                  </w:r>
                  <w:r w:rsidR="00A95FAD" w:rsidRPr="00C01AF3">
                    <w:rPr>
                      <w:rFonts w:ascii="Times New Roman" w:hAnsi="Times New Roman"/>
                      <w:sz w:val="22"/>
                      <w:szCs w:val="22"/>
                      <w:lang w:val="sr-Latn-ME"/>
                    </w:rPr>
                    <w:t>kozurija</w:t>
                  </w:r>
                </w:p>
              </w:tc>
              <w:tc>
                <w:tcPr>
                  <w:tcW w:w="1350" w:type="dxa"/>
                </w:tcPr>
                <w:p w:rsidR="0002446A" w:rsidRPr="00C01AF3" w:rsidRDefault="0002446A" w:rsidP="0002446A">
                  <w:pPr>
                    <w:jc w:val="center"/>
                    <w:rPr>
                      <w:rFonts w:ascii="Times New Roman" w:hAnsi="Times New Roman"/>
                      <w:sz w:val="22"/>
                      <w:szCs w:val="22"/>
                      <w:lang w:val="sr-Latn-ME"/>
                    </w:rPr>
                  </w:pPr>
                </w:p>
              </w:tc>
              <w:tc>
                <w:tcPr>
                  <w:tcW w:w="1350" w:type="dxa"/>
                </w:tcPr>
                <w:p w:rsidR="0002446A" w:rsidRPr="00C01AF3" w:rsidRDefault="0002446A" w:rsidP="0002446A">
                  <w:pPr>
                    <w:jc w:val="center"/>
                    <w:rPr>
                      <w:rFonts w:ascii="Times New Roman" w:hAnsi="Times New Roman"/>
                      <w:sz w:val="22"/>
                      <w:szCs w:val="22"/>
                      <w:lang w:val="sr-Latn-ME"/>
                    </w:rPr>
                  </w:pPr>
                </w:p>
              </w:tc>
              <w:tc>
                <w:tcPr>
                  <w:tcW w:w="1350" w:type="dxa"/>
                </w:tcPr>
                <w:p w:rsidR="0002446A" w:rsidRPr="00C01AF3" w:rsidRDefault="0002446A" w:rsidP="0002446A">
                  <w:pPr>
                    <w:jc w:val="center"/>
                    <w:rPr>
                      <w:rFonts w:ascii="Times New Roman" w:hAnsi="Times New Roman"/>
                      <w:sz w:val="22"/>
                      <w:szCs w:val="22"/>
                      <w:lang w:val="sr-Latn-ME"/>
                    </w:rPr>
                  </w:pPr>
                </w:p>
              </w:tc>
              <w:tc>
                <w:tcPr>
                  <w:tcW w:w="1350" w:type="dxa"/>
                </w:tcPr>
                <w:p w:rsidR="0002446A" w:rsidRPr="00C01AF3" w:rsidRDefault="005A518B" w:rsidP="0002446A">
                  <w:pPr>
                    <w:jc w:val="center"/>
                    <w:rPr>
                      <w:rFonts w:ascii="Times New Roman" w:hAnsi="Times New Roman"/>
                      <w:sz w:val="22"/>
                      <w:szCs w:val="22"/>
                      <w:lang w:val="sr-Latn-ME"/>
                    </w:rPr>
                  </w:pPr>
                  <w:r w:rsidRPr="00C01AF3">
                    <w:rPr>
                      <w:rFonts w:ascii="Times New Roman" w:hAnsi="Times New Roman"/>
                      <w:sz w:val="22"/>
                      <w:szCs w:val="22"/>
                      <w:lang w:val="sr-Latn-ME"/>
                    </w:rPr>
                    <w:t>Rijetk</w:t>
                  </w:r>
                  <w:r w:rsidR="00412842" w:rsidRPr="00C01AF3">
                    <w:rPr>
                      <w:rFonts w:ascii="Times New Roman" w:hAnsi="Times New Roman"/>
                      <w:sz w:val="22"/>
                      <w:szCs w:val="22"/>
                      <w:lang w:val="sr-Latn-ME"/>
                    </w:rPr>
                    <w:t>o</w:t>
                  </w:r>
                </w:p>
              </w:tc>
            </w:tr>
            <w:tr w:rsidR="0002446A" w:rsidRPr="00C01AF3" w:rsidTr="0002446A">
              <w:trPr>
                <w:cantSplit/>
              </w:trPr>
              <w:tc>
                <w:tcPr>
                  <w:tcW w:w="1778" w:type="dxa"/>
                  <w:vMerge/>
                </w:tcPr>
                <w:p w:rsidR="0002446A" w:rsidRPr="00C01AF3" w:rsidRDefault="0002446A" w:rsidP="0002446A">
                  <w:pPr>
                    <w:keepNext/>
                    <w:rPr>
                      <w:rFonts w:ascii="Times New Roman" w:hAnsi="Times New Roman"/>
                      <w:sz w:val="22"/>
                      <w:szCs w:val="22"/>
                      <w:lang w:val="sr-Latn-ME"/>
                    </w:rPr>
                  </w:pPr>
                </w:p>
              </w:tc>
              <w:tc>
                <w:tcPr>
                  <w:tcW w:w="2782" w:type="dxa"/>
                </w:tcPr>
                <w:p w:rsidR="0002446A" w:rsidRPr="00C01AF3" w:rsidRDefault="00A95FAD" w:rsidP="00A95FAD">
                  <w:pPr>
                    <w:keepNext/>
                    <w:jc w:val="left"/>
                    <w:rPr>
                      <w:rFonts w:ascii="Times New Roman" w:hAnsi="Times New Roman"/>
                      <w:sz w:val="22"/>
                      <w:szCs w:val="22"/>
                      <w:lang w:val="sr-Latn-ME"/>
                    </w:rPr>
                  </w:pPr>
                  <w:r w:rsidRPr="00C01AF3">
                    <w:rPr>
                      <w:rFonts w:ascii="Times New Roman" w:hAnsi="Times New Roman"/>
                      <w:sz w:val="22"/>
                      <w:szCs w:val="22"/>
                      <w:lang w:val="sr-Latn-ME"/>
                    </w:rPr>
                    <w:t>Smanjenje serumskog kalijuma</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 xml:space="preserve">Povremeno </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02446A" w:rsidRPr="00C01AF3" w:rsidRDefault="0002446A"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A95FAD">
                  <w:pPr>
                    <w:pStyle w:val="Text"/>
                    <w:autoSpaceDE w:val="0"/>
                    <w:autoSpaceDN w:val="0"/>
                    <w:spacing w:before="0"/>
                    <w:jc w:val="left"/>
                    <w:rPr>
                      <w:sz w:val="22"/>
                      <w:szCs w:val="22"/>
                      <w:lang w:val="sr-Latn-ME"/>
                    </w:rPr>
                  </w:pPr>
                  <w:r w:rsidRPr="00C01AF3">
                    <w:rPr>
                      <w:sz w:val="22"/>
                      <w:szCs w:val="22"/>
                      <w:lang w:val="sr-Latn-ME"/>
                    </w:rPr>
                    <w:t>Porast serumskog kalijuma</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Nepoznato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keepNext/>
                    <w:rPr>
                      <w:rFonts w:ascii="Times New Roman" w:hAnsi="Times New Roman"/>
                      <w:sz w:val="22"/>
                      <w:szCs w:val="22"/>
                      <w:lang w:val="sr-Latn-ME"/>
                    </w:rPr>
                  </w:pPr>
                </w:p>
              </w:tc>
              <w:tc>
                <w:tcPr>
                  <w:tcW w:w="2782" w:type="dxa"/>
                </w:tcPr>
                <w:p w:rsidR="00A95FAD" w:rsidRPr="00C01AF3" w:rsidRDefault="00A95FAD" w:rsidP="00A34C93">
                  <w:pPr>
                    <w:pStyle w:val="Text"/>
                    <w:autoSpaceDE w:val="0"/>
                    <w:autoSpaceDN w:val="0"/>
                    <w:spacing w:before="0"/>
                    <w:jc w:val="left"/>
                    <w:rPr>
                      <w:sz w:val="22"/>
                      <w:szCs w:val="22"/>
                      <w:lang w:val="sr-Latn-ME"/>
                    </w:rPr>
                  </w:pPr>
                  <w:r w:rsidRPr="00C01AF3">
                    <w:rPr>
                      <w:sz w:val="22"/>
                      <w:szCs w:val="22"/>
                      <w:lang w:val="sr-Latn-ME"/>
                    </w:rPr>
                    <w:t xml:space="preserve">Porast </w:t>
                  </w:r>
                  <w:r w:rsidR="005A518B" w:rsidRPr="00C01AF3">
                    <w:rPr>
                      <w:sz w:val="22"/>
                      <w:szCs w:val="22"/>
                      <w:lang w:val="sr-Latn-ME"/>
                    </w:rPr>
                    <w:t>tjeles</w:t>
                  </w:r>
                  <w:r w:rsidRPr="00C01AF3">
                    <w:rPr>
                      <w:sz w:val="22"/>
                      <w:szCs w:val="22"/>
                      <w:lang w:val="sr-Latn-ME"/>
                    </w:rPr>
                    <w:t xml:space="preserve">ne </w:t>
                  </w:r>
                  <w:r w:rsidR="00A34C93" w:rsidRPr="00C01AF3">
                    <w:rPr>
                      <w:sz w:val="22"/>
                      <w:szCs w:val="22"/>
                      <w:lang w:val="sr-Latn-ME"/>
                    </w:rPr>
                    <w:t>mase</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r w:rsidR="00A95FAD" w:rsidRPr="00C01AF3" w:rsidTr="0002446A">
              <w:trPr>
                <w:cantSplit/>
              </w:trPr>
              <w:tc>
                <w:tcPr>
                  <w:tcW w:w="1778" w:type="dxa"/>
                  <w:vMerge/>
                </w:tcPr>
                <w:p w:rsidR="00A95FAD" w:rsidRPr="00C01AF3" w:rsidRDefault="00A95FAD" w:rsidP="0002446A">
                  <w:pPr>
                    <w:rPr>
                      <w:rFonts w:ascii="Times New Roman" w:hAnsi="Times New Roman"/>
                      <w:sz w:val="22"/>
                      <w:szCs w:val="22"/>
                      <w:lang w:val="sr-Latn-ME"/>
                    </w:rPr>
                  </w:pPr>
                </w:p>
              </w:tc>
              <w:tc>
                <w:tcPr>
                  <w:tcW w:w="2782" w:type="dxa"/>
                </w:tcPr>
                <w:p w:rsidR="00A95FAD" w:rsidRPr="00C01AF3" w:rsidRDefault="00A95FAD" w:rsidP="00A34C93">
                  <w:pPr>
                    <w:pStyle w:val="Text"/>
                    <w:autoSpaceDE w:val="0"/>
                    <w:autoSpaceDN w:val="0"/>
                    <w:spacing w:before="0"/>
                    <w:jc w:val="left"/>
                    <w:rPr>
                      <w:sz w:val="22"/>
                      <w:szCs w:val="22"/>
                      <w:lang w:val="sr-Latn-ME"/>
                    </w:rPr>
                  </w:pPr>
                  <w:r w:rsidRPr="00C01AF3">
                    <w:rPr>
                      <w:sz w:val="22"/>
                      <w:szCs w:val="22"/>
                      <w:lang w:val="sr-Latn-ME"/>
                    </w:rPr>
                    <w:t xml:space="preserve">Smanjenje </w:t>
                  </w:r>
                  <w:r w:rsidR="005A518B" w:rsidRPr="00C01AF3">
                    <w:rPr>
                      <w:sz w:val="22"/>
                      <w:szCs w:val="22"/>
                      <w:lang w:val="sr-Latn-ME"/>
                    </w:rPr>
                    <w:t>tjeles</w:t>
                  </w:r>
                  <w:r w:rsidRPr="00C01AF3">
                    <w:rPr>
                      <w:sz w:val="22"/>
                      <w:szCs w:val="22"/>
                      <w:lang w:val="sr-Latn-ME"/>
                    </w:rPr>
                    <w:t>ne</w:t>
                  </w:r>
                  <w:r w:rsidR="00A34C93" w:rsidRPr="00C01AF3">
                    <w:rPr>
                      <w:sz w:val="22"/>
                      <w:szCs w:val="22"/>
                      <w:lang w:val="sr-Latn-ME"/>
                    </w:rPr>
                    <w:t xml:space="preserve"> mase</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Povremeno</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c>
                <w:tcPr>
                  <w:tcW w:w="1350" w:type="dxa"/>
                </w:tcPr>
                <w:p w:rsidR="00A95FAD" w:rsidRPr="00C01AF3" w:rsidRDefault="00A95FAD" w:rsidP="0002446A">
                  <w:pPr>
                    <w:jc w:val="center"/>
                    <w:rPr>
                      <w:rFonts w:ascii="Times New Roman" w:hAnsi="Times New Roman"/>
                      <w:sz w:val="22"/>
                      <w:szCs w:val="22"/>
                      <w:lang w:val="sr-Latn-ME"/>
                    </w:rPr>
                  </w:pPr>
                  <w:r w:rsidRPr="00C01AF3">
                    <w:rPr>
                      <w:rFonts w:ascii="Times New Roman" w:hAnsi="Times New Roman"/>
                      <w:sz w:val="22"/>
                      <w:szCs w:val="22"/>
                      <w:lang w:val="sr-Latn-ME"/>
                    </w:rPr>
                    <w:t>--</w:t>
                  </w:r>
                </w:p>
              </w:tc>
            </w:tr>
          </w:tbl>
          <w:p w:rsidR="0002446A" w:rsidRPr="00C01AF3" w:rsidRDefault="00A72691" w:rsidP="00AD0D15">
            <w:pPr>
              <w:pStyle w:val="Header"/>
              <w:tabs>
                <w:tab w:val="clear" w:pos="4536"/>
                <w:tab w:val="clear" w:pos="9072"/>
                <w:tab w:val="left" w:pos="284"/>
              </w:tabs>
              <w:spacing w:before="120"/>
              <w:jc w:val="left"/>
              <w:rPr>
                <w:rFonts w:ascii="Times New Roman" w:hAnsi="Times New Roman"/>
                <w:sz w:val="22"/>
                <w:szCs w:val="22"/>
                <w:lang w:val="sr-Latn-ME"/>
              </w:rPr>
            </w:pPr>
            <w:r w:rsidRPr="00C01AF3">
              <w:rPr>
                <w:rFonts w:ascii="Times New Roman" w:hAnsi="Times New Roman"/>
                <w:sz w:val="22"/>
                <w:szCs w:val="22"/>
                <w:lang w:val="sr-Latn-ME"/>
              </w:rPr>
              <w:t>*</w:t>
            </w:r>
            <w:r w:rsidR="003E608B" w:rsidRPr="00C01AF3">
              <w:rPr>
                <w:rFonts w:ascii="Times New Roman" w:hAnsi="Times New Roman"/>
                <w:sz w:val="22"/>
                <w:szCs w:val="22"/>
                <w:lang w:val="sr-Latn-ME"/>
              </w:rPr>
              <w:t xml:space="preserve">Vidjeti </w:t>
            </w:r>
            <w:r w:rsidRPr="00C01AF3">
              <w:rPr>
                <w:rFonts w:ascii="Times New Roman" w:hAnsi="Times New Roman"/>
                <w:sz w:val="22"/>
                <w:szCs w:val="22"/>
                <w:lang w:val="sr-Latn-ME"/>
              </w:rPr>
              <w:t>odjelj</w:t>
            </w:r>
            <w:r w:rsidR="003E608B" w:rsidRPr="00C01AF3">
              <w:rPr>
                <w:rFonts w:ascii="Times New Roman" w:hAnsi="Times New Roman"/>
                <w:sz w:val="22"/>
                <w:szCs w:val="22"/>
                <w:lang w:val="sr-Latn-ME"/>
              </w:rPr>
              <w:t>a</w:t>
            </w:r>
            <w:r w:rsidRPr="00C01AF3">
              <w:rPr>
                <w:rFonts w:ascii="Times New Roman" w:hAnsi="Times New Roman"/>
                <w:sz w:val="22"/>
                <w:szCs w:val="22"/>
                <w:lang w:val="sr-Latn-ME"/>
              </w:rPr>
              <w:t>k 4.4. Fotosenzitivnost</w:t>
            </w:r>
          </w:p>
          <w:p w:rsidR="00A72691" w:rsidRPr="00C01AF3" w:rsidRDefault="00A72691" w:rsidP="00AD0D15">
            <w:pPr>
              <w:pStyle w:val="Header"/>
              <w:tabs>
                <w:tab w:val="clear" w:pos="4536"/>
                <w:tab w:val="clear" w:pos="9072"/>
                <w:tab w:val="left" w:pos="284"/>
              </w:tabs>
              <w:spacing w:before="120"/>
              <w:jc w:val="left"/>
              <w:rPr>
                <w:rFonts w:ascii="Times New Roman" w:hAnsi="Times New Roman"/>
                <w:sz w:val="22"/>
                <w:szCs w:val="22"/>
                <w:lang w:val="sr-Latn-ME"/>
              </w:rPr>
            </w:pPr>
            <w:r w:rsidRPr="00C01AF3">
              <w:rPr>
                <w:rFonts w:ascii="Times New Roman" w:hAnsi="Times New Roman"/>
                <w:sz w:val="22"/>
                <w:szCs w:val="22"/>
                <w:lang w:val="sr-Latn-ME"/>
              </w:rPr>
              <w:t>**Uglavnom konzistentno sa holestazom</w:t>
            </w:r>
          </w:p>
          <w:p w:rsidR="00FD7AC8" w:rsidRPr="00C01AF3" w:rsidRDefault="00FD7AC8" w:rsidP="00AD0D15">
            <w:pPr>
              <w:pStyle w:val="Header"/>
              <w:tabs>
                <w:tab w:val="clear" w:pos="4536"/>
                <w:tab w:val="clear" w:pos="9072"/>
                <w:tab w:val="left" w:pos="284"/>
              </w:tabs>
              <w:spacing w:before="120"/>
              <w:jc w:val="left"/>
              <w:rPr>
                <w:rFonts w:ascii="Times New Roman" w:hAnsi="Times New Roman"/>
                <w:sz w:val="22"/>
                <w:szCs w:val="22"/>
                <w:lang w:val="sr-Latn-ME"/>
              </w:rPr>
            </w:pPr>
          </w:p>
          <w:p w:rsidR="00FD7AC8" w:rsidRPr="00C01AF3" w:rsidRDefault="00FD7AC8" w:rsidP="00481601">
            <w:pPr>
              <w:rPr>
                <w:rFonts w:ascii="Times New Roman" w:hAnsi="Times New Roman"/>
                <w:sz w:val="22"/>
                <w:szCs w:val="22"/>
                <w:u w:val="single"/>
                <w:lang w:val="sr-Latn-ME"/>
              </w:rPr>
            </w:pPr>
            <w:r w:rsidRPr="00C01AF3">
              <w:rPr>
                <w:rFonts w:ascii="Times New Roman" w:hAnsi="Times New Roman"/>
                <w:sz w:val="22"/>
                <w:szCs w:val="22"/>
                <w:u w:val="single"/>
                <w:lang w:val="sr-Latn-ME"/>
              </w:rPr>
              <w:t>Prijavljivanje sumnji na neželjene reakcije</w:t>
            </w:r>
          </w:p>
          <w:p w:rsidR="00FD7AC8" w:rsidRPr="00C01AF3" w:rsidRDefault="00FD7AC8" w:rsidP="00481601">
            <w:pPr>
              <w:rPr>
                <w:rFonts w:ascii="Times New Roman" w:hAnsi="Times New Roman"/>
                <w:sz w:val="22"/>
                <w:szCs w:val="22"/>
                <w:lang w:val="sr-Latn-ME"/>
              </w:rPr>
            </w:pPr>
            <w:r w:rsidRPr="00C01AF3">
              <w:rPr>
                <w:rFonts w:ascii="Times New Roman" w:hAnsi="Times New Roman"/>
                <w:sz w:val="22"/>
                <w:szCs w:val="22"/>
                <w:lang w:val="sr-Latn-ME"/>
              </w:rPr>
              <w:t>Prijavljivanje neželjenih reakcija nakon dobijanja dozvole je od velikog značaja jer obezbjeđuje kontinuirano praćenje odnosa korist /rizik  primjene lijeka. Zdravstveni radnici treba da prijave svaku sumnju na neželjene reakcije na ovaj lijek Agenciji za ljekove i medicinska sredstva Crne Gore (CALIMS):</w:t>
            </w:r>
          </w:p>
          <w:p w:rsidR="00FD7AC8" w:rsidRPr="00C01AF3" w:rsidRDefault="00FD7AC8" w:rsidP="00481601">
            <w:pPr>
              <w:rPr>
                <w:rFonts w:ascii="Times New Roman" w:hAnsi="Times New Roman"/>
                <w:sz w:val="22"/>
                <w:szCs w:val="22"/>
                <w:lang w:val="sr-Latn-ME"/>
              </w:rPr>
            </w:pPr>
          </w:p>
          <w:p w:rsidR="00FD7AC8" w:rsidRPr="00C01AF3" w:rsidRDefault="00FD7AC8" w:rsidP="00481601">
            <w:pPr>
              <w:rPr>
                <w:rFonts w:ascii="Times New Roman" w:hAnsi="Times New Roman"/>
                <w:sz w:val="22"/>
                <w:szCs w:val="22"/>
                <w:lang w:val="sr-Latn-ME"/>
              </w:rPr>
            </w:pPr>
            <w:r w:rsidRPr="00C01AF3">
              <w:rPr>
                <w:rFonts w:ascii="Times New Roman" w:hAnsi="Times New Roman"/>
                <w:sz w:val="22"/>
                <w:szCs w:val="22"/>
                <w:lang w:val="sr-Latn-ME"/>
              </w:rPr>
              <w:t>Agencija za ljekove i medicinska sredstva Crne Gore</w:t>
            </w:r>
          </w:p>
          <w:p w:rsidR="00FD7AC8" w:rsidRPr="00C01AF3" w:rsidRDefault="00FD7AC8" w:rsidP="00481601">
            <w:pPr>
              <w:rPr>
                <w:rFonts w:ascii="Times New Roman" w:hAnsi="Times New Roman"/>
                <w:sz w:val="22"/>
                <w:szCs w:val="22"/>
                <w:lang w:val="sr-Latn-ME"/>
              </w:rPr>
            </w:pPr>
            <w:r w:rsidRPr="00C01AF3">
              <w:rPr>
                <w:rFonts w:ascii="Times New Roman" w:hAnsi="Times New Roman"/>
                <w:sz w:val="22"/>
                <w:szCs w:val="22"/>
                <w:lang w:val="sr-Latn-ME"/>
              </w:rPr>
              <w:t>Odjeljenje za farmakovigilancu</w:t>
            </w:r>
          </w:p>
          <w:p w:rsidR="00FD7AC8" w:rsidRPr="00C01AF3" w:rsidRDefault="00FD7AC8" w:rsidP="00481601">
            <w:pPr>
              <w:rPr>
                <w:rFonts w:ascii="Times New Roman" w:hAnsi="Times New Roman"/>
                <w:sz w:val="22"/>
                <w:szCs w:val="22"/>
                <w:lang w:val="sr-Latn-ME"/>
              </w:rPr>
            </w:pPr>
            <w:r w:rsidRPr="00C01AF3">
              <w:rPr>
                <w:rFonts w:ascii="Times New Roman" w:hAnsi="Times New Roman"/>
                <w:sz w:val="22"/>
                <w:szCs w:val="22"/>
                <w:lang w:val="sr-Latn-ME"/>
              </w:rPr>
              <w:t>Bulevar Ivana Crnojevića 64a, 81000 Podgorica</w:t>
            </w:r>
          </w:p>
          <w:p w:rsidR="00FD7AC8" w:rsidRPr="00C01AF3" w:rsidRDefault="00FD7AC8" w:rsidP="00481601">
            <w:pPr>
              <w:rPr>
                <w:rFonts w:ascii="Times New Roman" w:hAnsi="Times New Roman"/>
                <w:sz w:val="22"/>
                <w:szCs w:val="22"/>
                <w:lang w:val="sr-Latn-ME"/>
              </w:rPr>
            </w:pPr>
            <w:r w:rsidRPr="00C01AF3">
              <w:rPr>
                <w:rFonts w:ascii="Times New Roman" w:hAnsi="Times New Roman"/>
                <w:sz w:val="22"/>
                <w:szCs w:val="22"/>
                <w:lang w:val="sr-Latn-ME"/>
              </w:rPr>
              <w:t>fax: +382 (0) 20 310 581</w:t>
            </w:r>
          </w:p>
          <w:p w:rsidR="00FD7AC8" w:rsidRPr="00C01AF3" w:rsidRDefault="00144FBE" w:rsidP="00481601">
            <w:pPr>
              <w:rPr>
                <w:rFonts w:ascii="Times New Roman" w:hAnsi="Times New Roman"/>
                <w:sz w:val="22"/>
                <w:szCs w:val="22"/>
                <w:lang w:val="sr-Latn-ME"/>
              </w:rPr>
            </w:pPr>
            <w:hyperlink r:id="rId9" w:history="1">
              <w:r w:rsidR="00FD7AC8" w:rsidRPr="00C01AF3">
                <w:rPr>
                  <w:rStyle w:val="Hyperlink"/>
                  <w:rFonts w:ascii="Times New Roman" w:hAnsi="Times New Roman"/>
                  <w:sz w:val="22"/>
                  <w:szCs w:val="22"/>
                  <w:lang w:val="sr-Latn-ME"/>
                </w:rPr>
                <w:t>www.calims.me</w:t>
              </w:r>
            </w:hyperlink>
          </w:p>
          <w:p w:rsidR="00FD7AC8" w:rsidRPr="00C01AF3" w:rsidRDefault="00144FBE" w:rsidP="00481601">
            <w:pPr>
              <w:rPr>
                <w:rFonts w:ascii="Times New Roman" w:hAnsi="Times New Roman"/>
                <w:sz w:val="22"/>
                <w:szCs w:val="22"/>
                <w:lang w:val="sr-Latn-ME"/>
              </w:rPr>
            </w:pPr>
            <w:hyperlink r:id="rId10" w:history="1">
              <w:r w:rsidR="003E608B" w:rsidRPr="00C01AF3">
                <w:rPr>
                  <w:rStyle w:val="Hyperlink"/>
                  <w:rFonts w:ascii="Times New Roman" w:hAnsi="Times New Roman"/>
                  <w:sz w:val="22"/>
                  <w:szCs w:val="22"/>
                  <w:lang w:val="sr-Latn-ME"/>
                </w:rPr>
                <w:t>nezeljenadejstva@calims.me</w:t>
              </w:r>
            </w:hyperlink>
          </w:p>
          <w:p w:rsidR="00FD7AC8" w:rsidRPr="00C01AF3" w:rsidRDefault="00FD7AC8">
            <w:pPr>
              <w:rPr>
                <w:rStyle w:val="Hyperlink"/>
                <w:rFonts w:ascii="Times New Roman" w:hAnsi="Times New Roman"/>
                <w:color w:val="auto"/>
                <w:sz w:val="22"/>
                <w:u w:val="none"/>
                <w:lang w:val="sr-Latn-ME"/>
              </w:rPr>
            </w:pPr>
            <w:r w:rsidRPr="00C01AF3">
              <w:rPr>
                <w:rStyle w:val="Hyperlink"/>
                <w:rFonts w:ascii="Times New Roman" w:hAnsi="Times New Roman"/>
                <w:color w:val="auto"/>
                <w:sz w:val="22"/>
                <w:u w:val="none"/>
                <w:lang w:val="sr-Latn-ME"/>
              </w:rPr>
              <w:t>putem IS zdravstvene zaštite</w:t>
            </w:r>
          </w:p>
          <w:p w:rsidR="00FD7AC8" w:rsidRPr="00C01AF3" w:rsidRDefault="00FD7AC8" w:rsidP="00FD7AC8">
            <w:pPr>
              <w:rPr>
                <w:rStyle w:val="Hyperlink"/>
                <w:rFonts w:ascii="Times New Roman" w:hAnsi="Times New Roman"/>
                <w:sz w:val="22"/>
                <w:lang w:val="sr-Latn-ME"/>
              </w:rPr>
            </w:pPr>
          </w:p>
          <w:p w:rsidR="006A6419" w:rsidRPr="00C01AF3" w:rsidRDefault="006A6419" w:rsidP="006A6419">
            <w:pPr>
              <w:pStyle w:val="Header"/>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4.9. Predoziranje</w:t>
            </w:r>
          </w:p>
          <w:p w:rsidR="00BE6817" w:rsidRPr="00C01AF3" w:rsidRDefault="00BE6817">
            <w:pPr>
              <w:pStyle w:val="Header"/>
              <w:tabs>
                <w:tab w:val="clear" w:pos="4536"/>
                <w:tab w:val="clear" w:pos="9072"/>
                <w:tab w:val="left" w:pos="284"/>
              </w:tabs>
              <w:spacing w:before="80" w:after="80"/>
              <w:jc w:val="left"/>
              <w:rPr>
                <w:rFonts w:ascii="Times New Roman" w:hAnsi="Times New Roman"/>
                <w:bCs/>
                <w:sz w:val="22"/>
                <w:szCs w:val="22"/>
                <w:u w:val="single"/>
                <w:lang w:val="sr-Latn-ME"/>
              </w:rPr>
            </w:pPr>
            <w:r w:rsidRPr="00C01AF3">
              <w:rPr>
                <w:rFonts w:ascii="Times New Roman" w:hAnsi="Times New Roman"/>
                <w:bCs/>
                <w:sz w:val="22"/>
                <w:szCs w:val="22"/>
                <w:u w:val="single"/>
                <w:lang w:val="sr-Latn-ME"/>
              </w:rPr>
              <w:t>Sim</w:t>
            </w:r>
            <w:r w:rsidR="00BC5653" w:rsidRPr="00C01AF3">
              <w:rPr>
                <w:rFonts w:ascii="Times New Roman" w:hAnsi="Times New Roman"/>
                <w:bCs/>
                <w:sz w:val="22"/>
                <w:szCs w:val="22"/>
                <w:u w:val="single"/>
                <w:lang w:val="sr-Latn-ME"/>
              </w:rPr>
              <w:t>p</w:t>
            </w:r>
            <w:r w:rsidRPr="00C01AF3">
              <w:rPr>
                <w:rFonts w:ascii="Times New Roman" w:hAnsi="Times New Roman"/>
                <w:bCs/>
                <w:sz w:val="22"/>
                <w:szCs w:val="22"/>
                <w:u w:val="single"/>
                <w:lang w:val="sr-Latn-ME"/>
              </w:rPr>
              <w:t>tomi</w:t>
            </w:r>
          </w:p>
        </w:tc>
      </w:tr>
      <w:tr w:rsidR="00834DBB" w:rsidRPr="00C01AF3" w:rsidTr="00DE0A48">
        <w:trPr>
          <w:trHeight w:val="1145"/>
        </w:trPr>
        <w:tc>
          <w:tcPr>
            <w:tcW w:w="10188" w:type="dxa"/>
            <w:gridSpan w:val="3"/>
            <w:vAlign w:val="center"/>
          </w:tcPr>
          <w:p w:rsidR="00B56725" w:rsidRPr="00C01AF3" w:rsidRDefault="00B56725" w:rsidP="00B56725">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Ne postoji kliničko iskustvo sa predoziranjem </w:t>
            </w:r>
            <w:r w:rsidR="00A65414" w:rsidRPr="00C01AF3">
              <w:rPr>
                <w:rFonts w:ascii="Times New Roman" w:hAnsi="Times New Roman" w:cs="Arial"/>
                <w:bCs/>
                <w:sz w:val="22"/>
                <w:szCs w:val="22"/>
                <w:lang w:val="sr-Latn-ME"/>
              </w:rPr>
              <w:t>lijek</w:t>
            </w:r>
            <w:r w:rsidRPr="00C01AF3">
              <w:rPr>
                <w:rFonts w:ascii="Times New Roman" w:hAnsi="Times New Roman" w:cs="Arial"/>
                <w:bCs/>
                <w:sz w:val="22"/>
                <w:szCs w:val="22"/>
                <w:lang w:val="sr-Latn-ME"/>
              </w:rPr>
              <w:t xml:space="preserve">a </w:t>
            </w:r>
            <w:r w:rsidRPr="00C01AF3">
              <w:rPr>
                <w:rFonts w:ascii="Times New Roman" w:hAnsi="Times New Roman" w:cs="Arial"/>
                <w:sz w:val="22"/>
                <w:lang w:val="sr-Latn-ME"/>
              </w:rPr>
              <w:t>Exforge</w:t>
            </w:r>
            <w:r w:rsidR="00E826F9" w:rsidRPr="00C01AF3">
              <w:rPr>
                <w:rFonts w:ascii="Times New Roman" w:hAnsi="Times New Roman" w:cs="Arial"/>
                <w:sz w:val="22"/>
                <w:lang w:val="sr-Latn-ME"/>
              </w:rPr>
              <w:t xml:space="preserve"> HCT</w:t>
            </w:r>
            <w:r w:rsidRPr="00C01AF3">
              <w:rPr>
                <w:rFonts w:ascii="Times New Roman" w:hAnsi="Times New Roman" w:cs="Arial"/>
                <w:bCs/>
                <w:sz w:val="22"/>
                <w:szCs w:val="22"/>
                <w:lang w:val="sr-Latn-ME"/>
              </w:rPr>
              <w:t>. Glavni simptom predoziranja valsartana je izražena hipotenzija, praćena vrtoglavicom. Predoziran</w:t>
            </w:r>
            <w:r w:rsidR="00517A4A" w:rsidRPr="00C01AF3">
              <w:rPr>
                <w:rFonts w:ascii="Times New Roman" w:hAnsi="Times New Roman" w:cs="Arial"/>
                <w:bCs/>
                <w:sz w:val="22"/>
                <w:szCs w:val="22"/>
                <w:lang w:val="sr-Latn-ME"/>
              </w:rPr>
              <w:t xml:space="preserve">je </w:t>
            </w:r>
            <w:r w:rsidR="00A65414" w:rsidRPr="00C01AF3">
              <w:rPr>
                <w:rFonts w:ascii="Times New Roman" w:hAnsi="Times New Roman" w:cs="Arial"/>
                <w:bCs/>
                <w:sz w:val="22"/>
                <w:szCs w:val="22"/>
                <w:lang w:val="sr-Latn-ME"/>
              </w:rPr>
              <w:t>lijek</w:t>
            </w:r>
            <w:r w:rsidR="00BC5653" w:rsidRPr="00C01AF3">
              <w:rPr>
                <w:rFonts w:ascii="Times New Roman" w:hAnsi="Times New Roman" w:cs="Arial"/>
                <w:bCs/>
                <w:sz w:val="22"/>
                <w:szCs w:val="22"/>
                <w:lang w:val="sr-Latn-ME"/>
              </w:rPr>
              <w:t xml:space="preserve">om </w:t>
            </w:r>
            <w:r w:rsidR="00517A4A" w:rsidRPr="00C01AF3">
              <w:rPr>
                <w:rFonts w:ascii="Times New Roman" w:hAnsi="Times New Roman" w:cs="Arial"/>
                <w:bCs/>
                <w:sz w:val="22"/>
                <w:szCs w:val="22"/>
                <w:lang w:val="sr-Latn-ME"/>
              </w:rPr>
              <w:t>amlodipina može da dovede do pret</w:t>
            </w:r>
            <w:r w:rsidR="00BD1745" w:rsidRPr="00C01AF3">
              <w:rPr>
                <w:rFonts w:ascii="Times New Roman" w:hAnsi="Times New Roman" w:cs="Arial"/>
                <w:bCs/>
                <w:sz w:val="22"/>
                <w:szCs w:val="22"/>
                <w:lang w:val="sr-Latn-ME"/>
              </w:rPr>
              <w:t>j</w:t>
            </w:r>
            <w:r w:rsidR="00517A4A" w:rsidRPr="00C01AF3">
              <w:rPr>
                <w:rFonts w:ascii="Times New Roman" w:hAnsi="Times New Roman" w:cs="Arial"/>
                <w:bCs/>
                <w:sz w:val="22"/>
                <w:szCs w:val="22"/>
                <w:lang w:val="sr-Latn-ME"/>
              </w:rPr>
              <w:t>erane</w:t>
            </w:r>
            <w:r w:rsidRPr="00C01AF3">
              <w:rPr>
                <w:rFonts w:ascii="Times New Roman" w:hAnsi="Times New Roman" w:cs="Arial"/>
                <w:bCs/>
                <w:sz w:val="22"/>
                <w:szCs w:val="22"/>
                <w:lang w:val="sr-Latn-ME"/>
              </w:rPr>
              <w:t xml:space="preserve"> perifern</w:t>
            </w:r>
            <w:r w:rsidR="00517A4A" w:rsidRPr="00C01AF3">
              <w:rPr>
                <w:rFonts w:ascii="Times New Roman" w:hAnsi="Times New Roman" w:cs="Arial"/>
                <w:bCs/>
                <w:sz w:val="22"/>
                <w:szCs w:val="22"/>
                <w:lang w:val="sr-Latn-ME"/>
              </w:rPr>
              <w:t>e vazodilatacije</w:t>
            </w:r>
            <w:r w:rsidR="00264230" w:rsidRPr="00C01AF3">
              <w:rPr>
                <w:rFonts w:ascii="Times New Roman" w:hAnsi="Times New Roman" w:cs="Arial"/>
                <w:bCs/>
                <w:sz w:val="22"/>
                <w:szCs w:val="22"/>
                <w:lang w:val="sr-Latn-ME"/>
              </w:rPr>
              <w:t xml:space="preserve"> i moguće refleksne</w:t>
            </w:r>
            <w:r w:rsidRPr="00C01AF3">
              <w:rPr>
                <w:rFonts w:ascii="Times New Roman" w:hAnsi="Times New Roman" w:cs="Arial"/>
                <w:bCs/>
                <w:sz w:val="22"/>
                <w:szCs w:val="22"/>
                <w:lang w:val="sr-Latn-ME"/>
              </w:rPr>
              <w:t xml:space="preserve"> tahikardij</w:t>
            </w:r>
            <w:r w:rsidR="00D924EC" w:rsidRPr="00C01AF3">
              <w:rPr>
                <w:rFonts w:ascii="Times New Roman" w:hAnsi="Times New Roman" w:cs="Arial"/>
                <w:bCs/>
                <w:sz w:val="22"/>
                <w:szCs w:val="22"/>
                <w:lang w:val="sr-Latn-ME"/>
              </w:rPr>
              <w:t>e</w:t>
            </w:r>
            <w:r w:rsidRPr="00C01AF3">
              <w:rPr>
                <w:rFonts w:ascii="Times New Roman" w:hAnsi="Times New Roman" w:cs="Arial"/>
                <w:bCs/>
                <w:sz w:val="22"/>
                <w:szCs w:val="22"/>
                <w:lang w:val="sr-Latn-ME"/>
              </w:rPr>
              <w:t xml:space="preserve">. Opisani su slučajevi </w:t>
            </w:r>
            <w:r w:rsidR="00BD1745" w:rsidRPr="00C01AF3">
              <w:rPr>
                <w:rFonts w:ascii="Times New Roman" w:hAnsi="Times New Roman" w:cs="Arial"/>
                <w:bCs/>
                <w:sz w:val="22"/>
                <w:szCs w:val="22"/>
                <w:lang w:val="sr-Latn-ME"/>
              </w:rPr>
              <w:t xml:space="preserve">izražene </w:t>
            </w:r>
            <w:r w:rsidRPr="00C01AF3">
              <w:rPr>
                <w:rFonts w:ascii="Times New Roman" w:hAnsi="Times New Roman" w:cs="Arial"/>
                <w:bCs/>
                <w:sz w:val="22"/>
                <w:szCs w:val="22"/>
                <w:lang w:val="sr-Latn-ME"/>
              </w:rPr>
              <w:t xml:space="preserve">i potencijalno </w:t>
            </w:r>
            <w:r w:rsidR="00BD1745" w:rsidRPr="00C01AF3">
              <w:rPr>
                <w:rFonts w:ascii="Times New Roman" w:hAnsi="Times New Roman" w:cs="Arial"/>
                <w:bCs/>
                <w:sz w:val="22"/>
                <w:szCs w:val="22"/>
                <w:lang w:val="sr-Latn-ME"/>
              </w:rPr>
              <w:t xml:space="preserve">produžene </w:t>
            </w:r>
            <w:r w:rsidRPr="00C01AF3">
              <w:rPr>
                <w:rFonts w:ascii="Times New Roman" w:hAnsi="Times New Roman" w:cs="Arial"/>
                <w:bCs/>
                <w:sz w:val="22"/>
                <w:szCs w:val="22"/>
                <w:lang w:val="sr-Latn-ME"/>
              </w:rPr>
              <w:t xml:space="preserve">sistemske hipotenzije, uključujući i stanje šoka sa fatalnim ishodom. </w:t>
            </w:r>
          </w:p>
          <w:p w:rsidR="002040DF" w:rsidRPr="00C01AF3" w:rsidRDefault="002040DF" w:rsidP="00B56725">
            <w:pPr>
              <w:pStyle w:val="Header"/>
              <w:tabs>
                <w:tab w:val="clear" w:pos="4536"/>
                <w:tab w:val="clear" w:pos="9072"/>
                <w:tab w:val="left" w:pos="284"/>
              </w:tabs>
              <w:spacing w:before="80" w:after="80"/>
              <w:jc w:val="left"/>
              <w:rPr>
                <w:rFonts w:ascii="Times New Roman" w:hAnsi="Times New Roman" w:cs="Arial"/>
                <w:bCs/>
                <w:sz w:val="22"/>
                <w:szCs w:val="22"/>
                <w:u w:val="single"/>
                <w:lang w:val="sr-Latn-ME"/>
              </w:rPr>
            </w:pPr>
            <w:r w:rsidRPr="00C01AF3">
              <w:rPr>
                <w:rFonts w:ascii="Times New Roman" w:hAnsi="Times New Roman" w:cs="Arial"/>
                <w:bCs/>
                <w:sz w:val="22"/>
                <w:szCs w:val="22"/>
                <w:u w:val="single"/>
                <w:lang w:val="sr-Latn-ME"/>
              </w:rPr>
              <w:t>Terapij</w:t>
            </w:r>
            <w:r w:rsidR="003E201F" w:rsidRPr="00C01AF3">
              <w:rPr>
                <w:rFonts w:ascii="Times New Roman" w:hAnsi="Times New Roman" w:cs="Arial"/>
                <w:bCs/>
                <w:sz w:val="22"/>
                <w:szCs w:val="22"/>
                <w:u w:val="single"/>
                <w:lang w:val="sr-Latn-ME"/>
              </w:rPr>
              <w:t>a</w:t>
            </w:r>
          </w:p>
          <w:p w:rsidR="002040DF" w:rsidRPr="00C01AF3" w:rsidRDefault="002040DF" w:rsidP="00B56725">
            <w:pPr>
              <w:pStyle w:val="Header"/>
              <w:tabs>
                <w:tab w:val="clear" w:pos="4536"/>
                <w:tab w:val="clear" w:pos="9072"/>
                <w:tab w:val="left" w:pos="284"/>
              </w:tabs>
              <w:spacing w:before="80" w:after="80"/>
              <w:jc w:val="left"/>
              <w:rPr>
                <w:rFonts w:ascii="Times New Roman" w:hAnsi="Times New Roman" w:cs="Arial"/>
                <w:bCs/>
                <w:i/>
                <w:sz w:val="22"/>
                <w:szCs w:val="22"/>
                <w:u w:val="single"/>
                <w:lang w:val="sr-Latn-ME"/>
              </w:rPr>
            </w:pPr>
            <w:r w:rsidRPr="00C01AF3">
              <w:rPr>
                <w:rFonts w:ascii="Times New Roman" w:hAnsi="Times New Roman" w:cs="Arial"/>
                <w:bCs/>
                <w:i/>
                <w:sz w:val="22"/>
                <w:szCs w:val="22"/>
                <w:u w:val="single"/>
                <w:lang w:val="sr-Latn-ME"/>
              </w:rPr>
              <w:t>Amlodipin/Valsartan/</w:t>
            </w:r>
            <w:r w:rsidR="007C4A86" w:rsidRPr="00C01AF3">
              <w:rPr>
                <w:rFonts w:ascii="Times New Roman" w:hAnsi="Times New Roman" w:cs="Arial"/>
                <w:bCs/>
                <w:i/>
                <w:sz w:val="22"/>
                <w:szCs w:val="22"/>
                <w:u w:val="single"/>
                <w:lang w:val="sr-Latn-ME"/>
              </w:rPr>
              <w:t>Hidrohlortiazid</w:t>
            </w:r>
          </w:p>
          <w:p w:rsidR="002040DF" w:rsidRPr="00C01AF3" w:rsidRDefault="002040DF" w:rsidP="002040DF">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Klinički značajna hipotenzija, kao rezultat predoziranja </w:t>
            </w:r>
            <w:r w:rsidR="00A65414" w:rsidRPr="00C01AF3">
              <w:rPr>
                <w:rFonts w:ascii="Times New Roman" w:hAnsi="Times New Roman" w:cs="Arial"/>
                <w:bCs/>
                <w:sz w:val="22"/>
                <w:szCs w:val="22"/>
                <w:lang w:val="sr-Latn-ME"/>
              </w:rPr>
              <w:t>lijek</w:t>
            </w:r>
            <w:r w:rsidR="0065176A" w:rsidRPr="00C01AF3">
              <w:rPr>
                <w:rFonts w:ascii="Times New Roman" w:hAnsi="Times New Roman" w:cs="Arial"/>
                <w:bCs/>
                <w:sz w:val="22"/>
                <w:szCs w:val="22"/>
                <w:lang w:val="sr-Latn-ME"/>
              </w:rPr>
              <w:t>om</w:t>
            </w:r>
            <w:r w:rsidRPr="00C01AF3">
              <w:rPr>
                <w:rFonts w:ascii="Times New Roman" w:hAnsi="Times New Roman" w:cs="Arial"/>
                <w:bCs/>
                <w:sz w:val="22"/>
                <w:szCs w:val="22"/>
                <w:lang w:val="sr-Latn-ME"/>
              </w:rPr>
              <w:t xml:space="preserve"> </w:t>
            </w:r>
            <w:r w:rsidRPr="00C01AF3">
              <w:rPr>
                <w:rFonts w:ascii="Times New Roman" w:hAnsi="Times New Roman" w:cs="Arial"/>
                <w:sz w:val="22"/>
                <w:lang w:val="sr-Latn-ME"/>
              </w:rPr>
              <w:t>Exforge</w:t>
            </w:r>
            <w:r w:rsidR="003E201F" w:rsidRPr="00C01AF3">
              <w:rPr>
                <w:rFonts w:ascii="Times New Roman" w:hAnsi="Times New Roman" w:cs="Arial"/>
                <w:sz w:val="22"/>
                <w:lang w:val="sr-Latn-ME"/>
              </w:rPr>
              <w:t xml:space="preserve"> HCT</w:t>
            </w:r>
            <w:r w:rsidRPr="00C01AF3">
              <w:rPr>
                <w:rFonts w:ascii="Times New Roman" w:hAnsi="Times New Roman" w:cs="Arial"/>
                <w:bCs/>
                <w:sz w:val="22"/>
                <w:szCs w:val="22"/>
                <w:lang w:val="sr-Latn-ME"/>
              </w:rPr>
              <w:t>, podrazum</w:t>
            </w:r>
            <w:r w:rsidR="00BD1745" w:rsidRPr="00C01AF3">
              <w:rPr>
                <w:rFonts w:ascii="Times New Roman" w:hAnsi="Times New Roman" w:cs="Arial"/>
                <w:bCs/>
                <w:sz w:val="22"/>
                <w:szCs w:val="22"/>
                <w:lang w:val="sr-Latn-ME"/>
              </w:rPr>
              <w:t>ij</w:t>
            </w:r>
            <w:r w:rsidRPr="00C01AF3">
              <w:rPr>
                <w:rFonts w:ascii="Times New Roman" w:hAnsi="Times New Roman" w:cs="Arial"/>
                <w:bCs/>
                <w:sz w:val="22"/>
                <w:szCs w:val="22"/>
                <w:lang w:val="sr-Latn-ME"/>
              </w:rPr>
              <w:t xml:space="preserve">eva </w:t>
            </w:r>
            <w:r w:rsidR="00A65414" w:rsidRPr="00C01AF3">
              <w:rPr>
                <w:rFonts w:ascii="Times New Roman" w:hAnsi="Times New Roman" w:cs="Arial"/>
                <w:bCs/>
                <w:sz w:val="22"/>
                <w:szCs w:val="22"/>
                <w:lang w:val="sr-Latn-ME"/>
              </w:rPr>
              <w:t>primje</w:t>
            </w:r>
            <w:r w:rsidRPr="00C01AF3">
              <w:rPr>
                <w:rFonts w:ascii="Times New Roman" w:hAnsi="Times New Roman" w:cs="Arial"/>
                <w:bCs/>
                <w:sz w:val="22"/>
                <w:szCs w:val="22"/>
                <w:lang w:val="sr-Latn-ME"/>
              </w:rPr>
              <w:t>nu suportivnih kardioloških m</w:t>
            </w:r>
            <w:r w:rsidR="00BD1745" w:rsidRPr="00C01AF3">
              <w:rPr>
                <w:rFonts w:ascii="Times New Roman" w:hAnsi="Times New Roman" w:cs="Arial"/>
                <w:bCs/>
                <w:sz w:val="22"/>
                <w:szCs w:val="22"/>
                <w:lang w:val="sr-Latn-ME"/>
              </w:rPr>
              <w:t>j</w:t>
            </w:r>
            <w:r w:rsidRPr="00C01AF3">
              <w:rPr>
                <w:rFonts w:ascii="Times New Roman" w:hAnsi="Times New Roman" w:cs="Arial"/>
                <w:bCs/>
                <w:sz w:val="22"/>
                <w:szCs w:val="22"/>
                <w:lang w:val="sr-Latn-ME"/>
              </w:rPr>
              <w:t>era</w:t>
            </w:r>
            <w:r w:rsidR="0065176A" w:rsidRPr="00C01AF3">
              <w:rPr>
                <w:rFonts w:ascii="Times New Roman" w:hAnsi="Times New Roman" w:cs="Arial"/>
                <w:bCs/>
                <w:sz w:val="22"/>
                <w:szCs w:val="22"/>
                <w:lang w:val="sr-Latn-ME"/>
              </w:rPr>
              <w:t>,</w:t>
            </w:r>
            <w:r w:rsidRPr="00C01AF3">
              <w:rPr>
                <w:rFonts w:ascii="Times New Roman" w:hAnsi="Times New Roman" w:cs="Arial"/>
                <w:bCs/>
                <w:sz w:val="22"/>
                <w:szCs w:val="22"/>
                <w:lang w:val="sr-Latn-ME"/>
              </w:rPr>
              <w:t xml:space="preserve"> uključujući čestu kontrolu kardijalne i respiratorne funkcije, podizanje ekstremiteta</w:t>
            </w:r>
            <w:r w:rsidR="00BD1745" w:rsidRPr="00C01AF3">
              <w:rPr>
                <w:rFonts w:ascii="Times New Roman" w:hAnsi="Times New Roman" w:cs="Arial"/>
                <w:bCs/>
                <w:sz w:val="22"/>
                <w:szCs w:val="22"/>
                <w:lang w:val="sr-Latn-ME"/>
              </w:rPr>
              <w:t xml:space="preserve"> uz</w:t>
            </w:r>
            <w:r w:rsidRPr="00C01AF3">
              <w:rPr>
                <w:rFonts w:ascii="Times New Roman" w:hAnsi="Times New Roman" w:cs="Arial"/>
                <w:bCs/>
                <w:sz w:val="22"/>
                <w:szCs w:val="22"/>
                <w:lang w:val="sr-Latn-ME"/>
              </w:rPr>
              <w:t xml:space="preserve"> pažljivo praćenje volumena cirkulišuće tečnosti i </w:t>
            </w:r>
            <w:r w:rsidR="00BD1745" w:rsidRPr="00C01AF3">
              <w:rPr>
                <w:rFonts w:ascii="Times New Roman" w:hAnsi="Times New Roman" w:cs="Arial"/>
                <w:bCs/>
                <w:sz w:val="22"/>
                <w:szCs w:val="22"/>
                <w:lang w:val="sr-Latn-ME"/>
              </w:rPr>
              <w:t>mokrenja</w:t>
            </w:r>
            <w:r w:rsidRPr="00C01AF3">
              <w:rPr>
                <w:rFonts w:ascii="Times New Roman" w:hAnsi="Times New Roman" w:cs="Arial"/>
                <w:bCs/>
                <w:sz w:val="22"/>
                <w:szCs w:val="22"/>
                <w:lang w:val="sr-Latn-ME"/>
              </w:rPr>
              <w:t>. Vazokonstriktor može da bude od pomoći u uspostavljanju normalnog vaskularnog tonusa i krvnog pritiska, uz pretpostavku da nema kontraindikacija za njegovu prim</w:t>
            </w:r>
            <w:r w:rsidR="003E201F" w:rsidRPr="00C01AF3">
              <w:rPr>
                <w:rFonts w:ascii="Times New Roman" w:hAnsi="Times New Roman" w:cs="Arial"/>
                <w:bCs/>
                <w:sz w:val="22"/>
                <w:szCs w:val="22"/>
                <w:lang w:val="sr-Latn-ME"/>
              </w:rPr>
              <w:t>j</w:t>
            </w:r>
            <w:r w:rsidRPr="00C01AF3">
              <w:rPr>
                <w:rFonts w:ascii="Times New Roman" w:hAnsi="Times New Roman" w:cs="Arial"/>
                <w:bCs/>
                <w:sz w:val="22"/>
                <w:szCs w:val="22"/>
                <w:lang w:val="sr-Latn-ME"/>
              </w:rPr>
              <w:t xml:space="preserve">enu. Kalcijum glukonat, </w:t>
            </w:r>
            <w:r w:rsidR="00A65414" w:rsidRPr="00C01AF3">
              <w:rPr>
                <w:rFonts w:ascii="Times New Roman" w:hAnsi="Times New Roman" w:cs="Arial"/>
                <w:bCs/>
                <w:sz w:val="22"/>
                <w:szCs w:val="22"/>
                <w:lang w:val="sr-Latn-ME"/>
              </w:rPr>
              <w:t>primje</w:t>
            </w:r>
            <w:r w:rsidRPr="00C01AF3">
              <w:rPr>
                <w:rFonts w:ascii="Times New Roman" w:hAnsi="Times New Roman" w:cs="Arial"/>
                <w:bCs/>
                <w:sz w:val="22"/>
                <w:szCs w:val="22"/>
                <w:lang w:val="sr-Latn-ME"/>
              </w:rPr>
              <w:t>njen intravenski, može da bude od koristi u poništavanju efekata blokade kalcijum</w:t>
            </w:r>
            <w:r w:rsidR="00BD1745" w:rsidRPr="00C01AF3">
              <w:rPr>
                <w:rFonts w:ascii="Times New Roman" w:hAnsi="Times New Roman" w:cs="Arial"/>
                <w:bCs/>
                <w:sz w:val="22"/>
                <w:szCs w:val="22"/>
                <w:lang w:val="sr-Latn-ME"/>
              </w:rPr>
              <w:t>skih</w:t>
            </w:r>
            <w:r w:rsidRPr="00C01AF3">
              <w:rPr>
                <w:rFonts w:ascii="Times New Roman" w:hAnsi="Times New Roman" w:cs="Arial"/>
                <w:bCs/>
                <w:sz w:val="22"/>
                <w:szCs w:val="22"/>
                <w:lang w:val="sr-Latn-ME"/>
              </w:rPr>
              <w:t xml:space="preserve"> kanala.</w:t>
            </w:r>
          </w:p>
          <w:p w:rsidR="002040DF" w:rsidRPr="00C01AF3" w:rsidRDefault="003E201F" w:rsidP="00B56725">
            <w:pPr>
              <w:pStyle w:val="Header"/>
              <w:tabs>
                <w:tab w:val="clear" w:pos="4536"/>
                <w:tab w:val="clear" w:pos="9072"/>
                <w:tab w:val="left" w:pos="284"/>
              </w:tabs>
              <w:spacing w:before="80" w:after="80"/>
              <w:jc w:val="left"/>
              <w:rPr>
                <w:rFonts w:ascii="Times New Roman" w:hAnsi="Times New Roman" w:cs="Arial"/>
                <w:bCs/>
                <w:i/>
                <w:sz w:val="22"/>
                <w:szCs w:val="22"/>
                <w:u w:val="single"/>
                <w:lang w:val="sr-Latn-ME"/>
              </w:rPr>
            </w:pPr>
            <w:r w:rsidRPr="00C01AF3">
              <w:rPr>
                <w:rFonts w:ascii="Times New Roman" w:hAnsi="Times New Roman" w:cs="Arial"/>
                <w:bCs/>
                <w:i/>
                <w:sz w:val="22"/>
                <w:szCs w:val="22"/>
                <w:u w:val="single"/>
                <w:lang w:val="sr-Latn-ME"/>
              </w:rPr>
              <w:lastRenderedPageBreak/>
              <w:t>Amlodipin</w:t>
            </w:r>
          </w:p>
          <w:p w:rsidR="003E201F" w:rsidRPr="00C01AF3" w:rsidRDefault="003E201F" w:rsidP="00310243">
            <w:pPr>
              <w:pStyle w:val="Header"/>
              <w:tabs>
                <w:tab w:val="clear" w:pos="4536"/>
                <w:tab w:val="clear" w:pos="9072"/>
                <w:tab w:val="left" w:pos="284"/>
              </w:tabs>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Ako od ingestije visokih doza </w:t>
            </w:r>
            <w:r w:rsidR="00A65414" w:rsidRPr="00C01AF3">
              <w:rPr>
                <w:rFonts w:ascii="Times New Roman" w:hAnsi="Times New Roman" w:cs="Arial"/>
                <w:bCs/>
                <w:sz w:val="22"/>
                <w:szCs w:val="22"/>
                <w:lang w:val="sr-Latn-ME"/>
              </w:rPr>
              <w:t>lijek</w:t>
            </w:r>
            <w:r w:rsidRPr="00C01AF3">
              <w:rPr>
                <w:rFonts w:ascii="Times New Roman" w:hAnsi="Times New Roman" w:cs="Arial"/>
                <w:bCs/>
                <w:sz w:val="22"/>
                <w:szCs w:val="22"/>
                <w:lang w:val="sr-Latn-ME"/>
              </w:rPr>
              <w:t xml:space="preserve">a nije prošlo mnogo vremena, indikovana je indukcija povraćanja i gastrična lavaža. </w:t>
            </w:r>
            <w:r w:rsidR="00A65414" w:rsidRPr="00C01AF3">
              <w:rPr>
                <w:rFonts w:ascii="Times New Roman" w:hAnsi="Times New Roman" w:cs="Arial"/>
                <w:bCs/>
                <w:sz w:val="22"/>
                <w:szCs w:val="22"/>
                <w:lang w:val="sr-Latn-ME"/>
              </w:rPr>
              <w:t>Primje</w:t>
            </w:r>
            <w:r w:rsidRPr="00C01AF3">
              <w:rPr>
                <w:rFonts w:ascii="Times New Roman" w:hAnsi="Times New Roman" w:cs="Arial"/>
                <w:bCs/>
                <w:sz w:val="22"/>
                <w:szCs w:val="22"/>
                <w:lang w:val="sr-Latn-ME"/>
              </w:rPr>
              <w:t>na aktivnog uglja zdravim dobrovoljcima neposredno ili do dva sata od ingestije amlodipina dovela  je do značajnog smanjenja resorpcije lijeka.</w:t>
            </w:r>
          </w:p>
          <w:p w:rsidR="003E201F" w:rsidRPr="00C01AF3" w:rsidRDefault="00310243" w:rsidP="00310243">
            <w:pPr>
              <w:pStyle w:val="Header"/>
              <w:tabs>
                <w:tab w:val="clear" w:pos="4536"/>
                <w:tab w:val="clear" w:pos="9072"/>
                <w:tab w:val="left" w:pos="284"/>
              </w:tabs>
              <w:jc w:val="left"/>
              <w:rPr>
                <w:rFonts w:ascii="Times New Roman" w:hAnsi="Times New Roman" w:cs="Arial"/>
                <w:bCs/>
                <w:i/>
                <w:sz w:val="22"/>
                <w:szCs w:val="22"/>
                <w:lang w:val="sr-Latn-ME"/>
              </w:rPr>
            </w:pPr>
            <w:r w:rsidRPr="00C01AF3">
              <w:rPr>
                <w:rFonts w:ascii="Times New Roman" w:hAnsi="Times New Roman" w:cs="Arial"/>
                <w:bCs/>
                <w:sz w:val="22"/>
                <w:szCs w:val="22"/>
                <w:lang w:val="sr-Latn-ME"/>
              </w:rPr>
              <w:t>Amlodipin</w:t>
            </w:r>
            <w:r w:rsidR="003E201F" w:rsidRPr="00C01AF3">
              <w:rPr>
                <w:rFonts w:ascii="Times New Roman" w:hAnsi="Times New Roman" w:cs="Arial"/>
                <w:bCs/>
                <w:sz w:val="22"/>
                <w:szCs w:val="22"/>
                <w:lang w:val="sr-Latn-ME"/>
              </w:rPr>
              <w:t xml:space="preserve"> se ne mo</w:t>
            </w:r>
            <w:r w:rsidRPr="00C01AF3">
              <w:rPr>
                <w:rFonts w:ascii="Times New Roman" w:hAnsi="Times New Roman" w:cs="Arial"/>
                <w:bCs/>
                <w:sz w:val="22"/>
                <w:szCs w:val="22"/>
                <w:lang w:val="sr-Latn-ME"/>
              </w:rPr>
              <w:t>že</w:t>
            </w:r>
            <w:r w:rsidR="003E201F" w:rsidRPr="00C01AF3">
              <w:rPr>
                <w:rFonts w:ascii="Times New Roman" w:hAnsi="Times New Roman" w:cs="Arial"/>
                <w:bCs/>
                <w:sz w:val="22"/>
                <w:szCs w:val="22"/>
                <w:lang w:val="sr-Latn-ME"/>
              </w:rPr>
              <w:t xml:space="preserve"> ukloniti iz organizma hemodijalizom.</w:t>
            </w:r>
          </w:p>
          <w:p w:rsidR="002040DF" w:rsidRPr="00C01AF3" w:rsidRDefault="003E201F" w:rsidP="00B56725">
            <w:pPr>
              <w:pStyle w:val="Header"/>
              <w:tabs>
                <w:tab w:val="clear" w:pos="4536"/>
                <w:tab w:val="clear" w:pos="9072"/>
                <w:tab w:val="left" w:pos="284"/>
              </w:tabs>
              <w:spacing w:before="80" w:after="80"/>
              <w:jc w:val="left"/>
              <w:rPr>
                <w:rFonts w:ascii="Times New Roman" w:hAnsi="Times New Roman" w:cs="Arial"/>
                <w:bCs/>
                <w:i/>
                <w:sz w:val="22"/>
                <w:szCs w:val="22"/>
                <w:u w:val="single"/>
                <w:lang w:val="sr-Latn-ME"/>
              </w:rPr>
            </w:pPr>
            <w:r w:rsidRPr="00C01AF3">
              <w:rPr>
                <w:rFonts w:ascii="Times New Roman" w:hAnsi="Times New Roman" w:cs="Arial"/>
                <w:bCs/>
                <w:i/>
                <w:sz w:val="22"/>
                <w:szCs w:val="22"/>
                <w:u w:val="single"/>
                <w:lang w:val="sr-Latn-ME"/>
              </w:rPr>
              <w:t>Valsartan</w:t>
            </w:r>
          </w:p>
          <w:p w:rsidR="00BE6817" w:rsidRPr="00C01AF3" w:rsidRDefault="00310243" w:rsidP="00B56725">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sz w:val="22"/>
                <w:szCs w:val="22"/>
                <w:lang w:val="sr-Latn-ME"/>
              </w:rPr>
              <w:t>Valsartan se ne može ukloniti iz organizma hemodijalizom.</w:t>
            </w:r>
          </w:p>
          <w:p w:rsidR="00834DBB" w:rsidRPr="00C01AF3" w:rsidRDefault="007C4A86" w:rsidP="006E14DE">
            <w:pPr>
              <w:pStyle w:val="Header"/>
              <w:tabs>
                <w:tab w:val="clear" w:pos="4536"/>
                <w:tab w:val="clear" w:pos="9072"/>
                <w:tab w:val="left" w:pos="284"/>
              </w:tabs>
              <w:spacing w:before="80" w:after="80"/>
              <w:jc w:val="left"/>
              <w:rPr>
                <w:rFonts w:ascii="Times New Roman" w:hAnsi="Times New Roman" w:cs="Arial"/>
                <w:bCs/>
                <w:i/>
                <w:sz w:val="22"/>
                <w:szCs w:val="22"/>
                <w:u w:val="single"/>
                <w:lang w:val="sr-Latn-ME"/>
              </w:rPr>
            </w:pPr>
            <w:r w:rsidRPr="00C01AF3">
              <w:rPr>
                <w:rFonts w:ascii="Times New Roman" w:hAnsi="Times New Roman" w:cs="Arial"/>
                <w:bCs/>
                <w:i/>
                <w:sz w:val="22"/>
                <w:szCs w:val="22"/>
                <w:u w:val="single"/>
                <w:lang w:val="sr-Latn-ME"/>
              </w:rPr>
              <w:t>Hidrohlortiazid</w:t>
            </w:r>
          </w:p>
          <w:p w:rsidR="000F5CB1" w:rsidRPr="00C01AF3" w:rsidRDefault="00E47CBE" w:rsidP="006E14DE">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Predoziranje </w:t>
            </w:r>
            <w:r w:rsidR="00A65414" w:rsidRPr="00C01AF3">
              <w:rPr>
                <w:rFonts w:ascii="Times New Roman" w:hAnsi="Times New Roman" w:cs="Arial"/>
                <w:bCs/>
                <w:sz w:val="22"/>
                <w:szCs w:val="22"/>
                <w:lang w:val="sr-Latn-ME"/>
              </w:rPr>
              <w:t>lijek</w:t>
            </w:r>
            <w:r w:rsidR="00094EF2" w:rsidRPr="00C01AF3">
              <w:rPr>
                <w:rFonts w:ascii="Times New Roman" w:hAnsi="Times New Roman" w:cs="Arial"/>
                <w:bCs/>
                <w:sz w:val="22"/>
                <w:szCs w:val="22"/>
                <w:lang w:val="sr-Latn-ME"/>
              </w:rPr>
              <w:t xml:space="preserve">om </w:t>
            </w:r>
            <w:r w:rsidR="007C4A86" w:rsidRPr="00C01AF3">
              <w:rPr>
                <w:rFonts w:ascii="Times New Roman" w:hAnsi="Times New Roman" w:cs="Arial"/>
                <w:bCs/>
                <w:sz w:val="22"/>
                <w:szCs w:val="22"/>
                <w:lang w:val="sr-Latn-ME"/>
              </w:rPr>
              <w:t>hidrohlortiazid</w:t>
            </w:r>
            <w:r w:rsidR="000E5979" w:rsidRPr="00C01AF3">
              <w:rPr>
                <w:rFonts w:ascii="Times New Roman" w:hAnsi="Times New Roman" w:cs="Arial"/>
                <w:bCs/>
                <w:sz w:val="22"/>
                <w:szCs w:val="22"/>
                <w:lang w:val="sr-Latn-ME"/>
              </w:rPr>
              <w:t xml:space="preserve"> je povezano sa </w:t>
            </w:r>
            <w:r w:rsidR="00094EF2" w:rsidRPr="00C01AF3">
              <w:rPr>
                <w:rFonts w:ascii="Times New Roman" w:hAnsi="Times New Roman" w:cs="Arial"/>
                <w:bCs/>
                <w:sz w:val="22"/>
                <w:szCs w:val="22"/>
                <w:lang w:val="sr-Latn-ME"/>
              </w:rPr>
              <w:t>s</w:t>
            </w:r>
            <w:r w:rsidRPr="00C01AF3">
              <w:rPr>
                <w:rFonts w:ascii="Times New Roman" w:hAnsi="Times New Roman" w:cs="Arial"/>
                <w:bCs/>
                <w:sz w:val="22"/>
                <w:szCs w:val="22"/>
                <w:lang w:val="sr-Latn-ME"/>
              </w:rPr>
              <w:t>manjenjem elektrolita (hipokal</w:t>
            </w:r>
            <w:r w:rsidR="00BD1745" w:rsidRPr="00C01AF3">
              <w:rPr>
                <w:rFonts w:ascii="Times New Roman" w:hAnsi="Times New Roman" w:cs="Arial"/>
                <w:bCs/>
                <w:sz w:val="22"/>
                <w:szCs w:val="22"/>
                <w:lang w:val="sr-Latn-ME"/>
              </w:rPr>
              <w:t>ij</w:t>
            </w:r>
            <w:r w:rsidR="00094EF2" w:rsidRPr="00C01AF3">
              <w:rPr>
                <w:rFonts w:ascii="Times New Roman" w:hAnsi="Times New Roman" w:cs="Arial"/>
                <w:bCs/>
                <w:sz w:val="22"/>
                <w:szCs w:val="22"/>
                <w:lang w:val="sr-Latn-ME"/>
              </w:rPr>
              <w:t>emija, hipohlor</w:t>
            </w:r>
            <w:r w:rsidR="00BD1745" w:rsidRPr="00C01AF3">
              <w:rPr>
                <w:rFonts w:ascii="Times New Roman" w:hAnsi="Times New Roman" w:cs="Arial"/>
                <w:bCs/>
                <w:sz w:val="22"/>
                <w:szCs w:val="22"/>
                <w:lang w:val="sr-Latn-ME"/>
              </w:rPr>
              <w:t>ij</w:t>
            </w:r>
            <w:r w:rsidR="00094EF2" w:rsidRPr="00C01AF3">
              <w:rPr>
                <w:rFonts w:ascii="Times New Roman" w:hAnsi="Times New Roman" w:cs="Arial"/>
                <w:bCs/>
                <w:sz w:val="22"/>
                <w:szCs w:val="22"/>
                <w:lang w:val="sr-Latn-ME"/>
              </w:rPr>
              <w:t>emija) i hipovolemij</w:t>
            </w:r>
            <w:r w:rsidR="00BD1745" w:rsidRPr="00C01AF3">
              <w:rPr>
                <w:rFonts w:ascii="Times New Roman" w:hAnsi="Times New Roman" w:cs="Arial"/>
                <w:bCs/>
                <w:sz w:val="22"/>
                <w:szCs w:val="22"/>
                <w:lang w:val="sr-Latn-ME"/>
              </w:rPr>
              <w:t>om</w:t>
            </w:r>
            <w:r w:rsidR="00094EF2" w:rsidRPr="00C01AF3">
              <w:rPr>
                <w:rFonts w:ascii="Times New Roman" w:hAnsi="Times New Roman" w:cs="Arial"/>
                <w:bCs/>
                <w:sz w:val="22"/>
                <w:szCs w:val="22"/>
                <w:lang w:val="sr-Latn-ME"/>
              </w:rPr>
              <w:t xml:space="preserve"> koj</w:t>
            </w:r>
            <w:r w:rsidR="00BD1745" w:rsidRPr="00C01AF3">
              <w:rPr>
                <w:rFonts w:ascii="Times New Roman" w:hAnsi="Times New Roman" w:cs="Arial"/>
                <w:bCs/>
                <w:sz w:val="22"/>
                <w:szCs w:val="22"/>
                <w:lang w:val="sr-Latn-ME"/>
              </w:rPr>
              <w:t>a</w:t>
            </w:r>
            <w:r w:rsidR="00094EF2" w:rsidRPr="00C01AF3">
              <w:rPr>
                <w:rFonts w:ascii="Times New Roman" w:hAnsi="Times New Roman" w:cs="Arial"/>
                <w:bCs/>
                <w:sz w:val="22"/>
                <w:szCs w:val="22"/>
                <w:lang w:val="sr-Latn-ME"/>
              </w:rPr>
              <w:t xml:space="preserve"> dovodi do itenzivne diureze. Najčešći znaci i simtpomi predoziranja su mučnina i pospanost. Hip</w:t>
            </w:r>
            <w:r w:rsidR="00EB6CF1" w:rsidRPr="00C01AF3">
              <w:rPr>
                <w:rFonts w:ascii="Times New Roman" w:hAnsi="Times New Roman" w:cs="Arial"/>
                <w:bCs/>
                <w:sz w:val="22"/>
                <w:szCs w:val="22"/>
                <w:lang w:val="sr-Latn-ME"/>
              </w:rPr>
              <w:t>okal</w:t>
            </w:r>
            <w:r w:rsidR="00BD1745" w:rsidRPr="00C01AF3">
              <w:rPr>
                <w:rFonts w:ascii="Times New Roman" w:hAnsi="Times New Roman" w:cs="Arial"/>
                <w:bCs/>
                <w:sz w:val="22"/>
                <w:szCs w:val="22"/>
                <w:lang w:val="sr-Latn-ME"/>
              </w:rPr>
              <w:t>ij</w:t>
            </w:r>
            <w:r w:rsidR="00094EF2" w:rsidRPr="00C01AF3">
              <w:rPr>
                <w:rFonts w:ascii="Times New Roman" w:hAnsi="Times New Roman" w:cs="Arial"/>
                <w:bCs/>
                <w:sz w:val="22"/>
                <w:szCs w:val="22"/>
                <w:lang w:val="sr-Latn-ME"/>
              </w:rPr>
              <w:t>emija može dovesti do mišićnih spazama i</w:t>
            </w:r>
            <w:r w:rsidR="00BD1745" w:rsidRPr="00C01AF3">
              <w:rPr>
                <w:rFonts w:ascii="Times New Roman" w:hAnsi="Times New Roman" w:cs="Arial"/>
                <w:bCs/>
                <w:sz w:val="22"/>
                <w:szCs w:val="22"/>
                <w:lang w:val="sr-Latn-ME"/>
              </w:rPr>
              <w:t>/</w:t>
            </w:r>
            <w:r w:rsidR="00094EF2" w:rsidRPr="00C01AF3">
              <w:rPr>
                <w:rFonts w:ascii="Times New Roman" w:hAnsi="Times New Roman" w:cs="Arial"/>
                <w:bCs/>
                <w:sz w:val="22"/>
                <w:szCs w:val="22"/>
                <w:lang w:val="sr-Latn-ME"/>
              </w:rPr>
              <w:t xml:space="preserve"> ili istaknute aritmije koja je povezana sa istovremenom upotrebom glikozida dig</w:t>
            </w:r>
            <w:r w:rsidR="00EB6CF1" w:rsidRPr="00C01AF3">
              <w:rPr>
                <w:rFonts w:ascii="Times New Roman" w:hAnsi="Times New Roman" w:cs="Arial"/>
                <w:bCs/>
                <w:sz w:val="22"/>
                <w:szCs w:val="22"/>
                <w:lang w:val="sr-Latn-ME"/>
              </w:rPr>
              <w:t>italisa ili određenih antiartmij</w:t>
            </w:r>
            <w:r w:rsidR="00BD1745" w:rsidRPr="00C01AF3">
              <w:rPr>
                <w:rFonts w:ascii="Times New Roman" w:hAnsi="Times New Roman" w:cs="Arial"/>
                <w:bCs/>
                <w:sz w:val="22"/>
                <w:szCs w:val="22"/>
                <w:lang w:val="sr-Latn-ME"/>
              </w:rPr>
              <w:t>skih ljekova</w:t>
            </w:r>
            <w:r w:rsidR="00094EF2" w:rsidRPr="00C01AF3">
              <w:rPr>
                <w:rFonts w:ascii="Times New Roman" w:hAnsi="Times New Roman" w:cs="Arial"/>
                <w:bCs/>
                <w:sz w:val="22"/>
                <w:szCs w:val="22"/>
                <w:lang w:val="sr-Latn-ME"/>
              </w:rPr>
              <w:t>.</w:t>
            </w:r>
          </w:p>
          <w:p w:rsidR="003E201F" w:rsidRPr="00C01AF3" w:rsidRDefault="00094EF2" w:rsidP="006E14DE">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Stepen ukljanjanja </w:t>
            </w:r>
            <w:r w:rsidR="007C4A86" w:rsidRPr="00C01AF3">
              <w:rPr>
                <w:rFonts w:ascii="Times New Roman" w:hAnsi="Times New Roman" w:cs="Arial"/>
                <w:bCs/>
                <w:sz w:val="22"/>
                <w:szCs w:val="22"/>
                <w:lang w:val="sr-Latn-ME"/>
              </w:rPr>
              <w:t>hidrohlortiazid</w:t>
            </w:r>
            <w:r w:rsidRPr="00C01AF3">
              <w:rPr>
                <w:rFonts w:ascii="Times New Roman" w:hAnsi="Times New Roman" w:cs="Arial"/>
                <w:bCs/>
                <w:sz w:val="22"/>
                <w:szCs w:val="22"/>
                <w:lang w:val="sr-Latn-ME"/>
              </w:rPr>
              <w:t xml:space="preserve">a hemodijalizom nije utvrđen. </w:t>
            </w:r>
          </w:p>
          <w:p w:rsidR="003E201F" w:rsidRPr="00C01AF3" w:rsidRDefault="003E201F" w:rsidP="006E14DE">
            <w:pPr>
              <w:pStyle w:val="Header"/>
              <w:tabs>
                <w:tab w:val="clear" w:pos="4536"/>
                <w:tab w:val="clear" w:pos="9072"/>
                <w:tab w:val="left" w:pos="284"/>
              </w:tabs>
              <w:spacing w:before="80" w:after="80"/>
              <w:jc w:val="left"/>
              <w:rPr>
                <w:rFonts w:ascii="Times New Roman" w:hAnsi="Times New Roman" w:cs="Arial"/>
                <w:bCs/>
                <w:sz w:val="22"/>
                <w:szCs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5. FARMAKOLOŠKI PODACI</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5.1. Farmakodinamski podaci</w:t>
            </w:r>
          </w:p>
          <w:p w:rsidR="004770B5" w:rsidRPr="00C01AF3" w:rsidRDefault="004770B5" w:rsidP="0002193E">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Farmakoter</w:t>
            </w:r>
            <w:r w:rsidR="008428A5" w:rsidRPr="00C01AF3">
              <w:rPr>
                <w:rFonts w:ascii="Times New Roman" w:hAnsi="Times New Roman"/>
                <w:b/>
                <w:bCs/>
                <w:sz w:val="22"/>
                <w:szCs w:val="22"/>
                <w:lang w:val="sr-Latn-ME"/>
              </w:rPr>
              <w:t>a</w:t>
            </w:r>
            <w:r w:rsidRPr="00C01AF3">
              <w:rPr>
                <w:rFonts w:ascii="Times New Roman" w:hAnsi="Times New Roman"/>
                <w:b/>
                <w:bCs/>
                <w:sz w:val="22"/>
                <w:szCs w:val="22"/>
                <w:lang w:val="sr-Latn-ME"/>
              </w:rPr>
              <w:t xml:space="preserve">pijska grupa: </w:t>
            </w:r>
            <w:r w:rsidR="00784227" w:rsidRPr="00C01AF3">
              <w:rPr>
                <w:rFonts w:ascii="Times New Roman" w:hAnsi="Times New Roman"/>
                <w:b/>
                <w:bCs/>
                <w:sz w:val="22"/>
                <w:szCs w:val="22"/>
                <w:lang w:val="sr-Latn-ME"/>
              </w:rPr>
              <w:t xml:space="preserve"> </w:t>
            </w:r>
            <w:r w:rsidR="0090474F" w:rsidRPr="00C01AF3">
              <w:rPr>
                <w:rFonts w:ascii="Times New Roman" w:hAnsi="Times New Roman"/>
                <w:bCs/>
                <w:sz w:val="22"/>
                <w:szCs w:val="22"/>
                <w:lang w:val="sr-Latn-ME"/>
              </w:rPr>
              <w:t>Ljek</w:t>
            </w:r>
            <w:r w:rsidR="00784227" w:rsidRPr="00C01AF3">
              <w:rPr>
                <w:rFonts w:ascii="Times New Roman" w:hAnsi="Times New Roman"/>
                <w:bCs/>
                <w:sz w:val="22"/>
                <w:szCs w:val="22"/>
                <w:lang w:val="sr-Latn-ME"/>
              </w:rPr>
              <w:t>ovi koji d</w:t>
            </w:r>
            <w:r w:rsidR="00BD1745" w:rsidRPr="00C01AF3">
              <w:rPr>
                <w:rFonts w:ascii="Times New Roman" w:hAnsi="Times New Roman"/>
                <w:bCs/>
                <w:sz w:val="22"/>
                <w:szCs w:val="22"/>
                <w:lang w:val="sr-Latn-ME"/>
              </w:rPr>
              <w:t>j</w:t>
            </w:r>
            <w:r w:rsidR="00784227" w:rsidRPr="00C01AF3">
              <w:rPr>
                <w:rFonts w:ascii="Times New Roman" w:hAnsi="Times New Roman"/>
                <w:bCs/>
                <w:sz w:val="22"/>
                <w:szCs w:val="22"/>
                <w:lang w:val="sr-Latn-ME"/>
              </w:rPr>
              <w:t xml:space="preserve">eluju na renin-angiotenzin sistem; antagonisti angitenzina II, </w:t>
            </w:r>
            <w:r w:rsidR="0002193E" w:rsidRPr="00C01AF3">
              <w:rPr>
                <w:rFonts w:ascii="Times New Roman" w:hAnsi="Times New Roman"/>
                <w:bCs/>
                <w:sz w:val="22"/>
                <w:szCs w:val="22"/>
                <w:lang w:val="sr-Latn-ME"/>
              </w:rPr>
              <w:t xml:space="preserve">ostale </w:t>
            </w:r>
            <w:r w:rsidR="00784227" w:rsidRPr="00C01AF3">
              <w:rPr>
                <w:rFonts w:ascii="Times New Roman" w:hAnsi="Times New Roman"/>
                <w:bCs/>
                <w:sz w:val="22"/>
                <w:szCs w:val="22"/>
                <w:lang w:val="sr-Latn-ME"/>
              </w:rPr>
              <w:t>kombinacij</w:t>
            </w:r>
            <w:r w:rsidR="0002193E" w:rsidRPr="00C01AF3">
              <w:rPr>
                <w:rFonts w:ascii="Times New Roman" w:hAnsi="Times New Roman"/>
                <w:bCs/>
                <w:sz w:val="22"/>
                <w:szCs w:val="22"/>
                <w:lang w:val="sr-Latn-ME"/>
              </w:rPr>
              <w:t>e</w:t>
            </w:r>
          </w:p>
        </w:tc>
      </w:tr>
      <w:tr w:rsidR="00834DBB" w:rsidRPr="00C01AF3" w:rsidTr="00DE0A48">
        <w:trPr>
          <w:trHeight w:val="542"/>
        </w:trPr>
        <w:tc>
          <w:tcPr>
            <w:tcW w:w="1188" w:type="dxa"/>
            <w:gridSpan w:val="2"/>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ATC kod:</w:t>
            </w:r>
          </w:p>
        </w:tc>
        <w:tc>
          <w:tcPr>
            <w:tcW w:w="9000" w:type="dxa"/>
            <w:vAlign w:val="center"/>
          </w:tcPr>
          <w:p w:rsidR="00834DBB" w:rsidRPr="00C01AF3" w:rsidRDefault="00B56725" w:rsidP="003E201F">
            <w:pPr>
              <w:pStyle w:val="Header"/>
              <w:tabs>
                <w:tab w:val="clear" w:pos="4536"/>
                <w:tab w:val="clear" w:pos="9072"/>
                <w:tab w:val="left" w:pos="284"/>
              </w:tabs>
              <w:jc w:val="left"/>
              <w:rPr>
                <w:rFonts w:ascii="Times New Roman" w:hAnsi="Times New Roman"/>
                <w:sz w:val="22"/>
                <w:szCs w:val="22"/>
                <w:lang w:val="sr-Latn-ME"/>
              </w:rPr>
            </w:pPr>
            <w:r w:rsidRPr="00C01AF3">
              <w:rPr>
                <w:rFonts w:ascii="Times New Roman" w:hAnsi="Times New Roman" w:cs="Arial"/>
                <w:sz w:val="22"/>
                <w:lang w:val="sr-Latn-ME"/>
              </w:rPr>
              <w:t>C09D</w:t>
            </w:r>
            <w:r w:rsidR="003E201F" w:rsidRPr="00C01AF3">
              <w:rPr>
                <w:rFonts w:ascii="Times New Roman" w:hAnsi="Times New Roman" w:cs="Arial"/>
                <w:sz w:val="22"/>
                <w:lang w:val="sr-Latn-ME"/>
              </w:rPr>
              <w:t>X01</w:t>
            </w:r>
          </w:p>
        </w:tc>
      </w:tr>
      <w:tr w:rsidR="00834DBB" w:rsidRPr="00C01AF3" w:rsidTr="00DE0A48">
        <w:trPr>
          <w:trHeight w:val="1145"/>
        </w:trPr>
        <w:tc>
          <w:tcPr>
            <w:tcW w:w="10188" w:type="dxa"/>
            <w:gridSpan w:val="3"/>
            <w:vAlign w:val="center"/>
          </w:tcPr>
          <w:p w:rsidR="00641CDA" w:rsidRPr="00C01AF3" w:rsidRDefault="00641CDA" w:rsidP="00056F49">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Mehanizam </w:t>
            </w:r>
            <w:r w:rsidR="007B42AA" w:rsidRPr="00C01AF3">
              <w:rPr>
                <w:rFonts w:ascii="Times New Roman" w:hAnsi="Times New Roman" w:cs="Arial"/>
                <w:sz w:val="22"/>
                <w:lang w:val="sr-Latn-ME"/>
              </w:rPr>
              <w:t>djelov</w:t>
            </w:r>
            <w:r w:rsidRPr="00C01AF3">
              <w:rPr>
                <w:rFonts w:ascii="Times New Roman" w:hAnsi="Times New Roman" w:cs="Arial"/>
                <w:sz w:val="22"/>
                <w:lang w:val="sr-Latn-ME"/>
              </w:rPr>
              <w:t xml:space="preserve">anja </w:t>
            </w:r>
          </w:p>
          <w:p w:rsidR="00E539E8" w:rsidRPr="00C01AF3" w:rsidRDefault="00056F49" w:rsidP="00056F49">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Exforge</w:t>
            </w:r>
            <w:r w:rsidR="003E201F" w:rsidRPr="00C01AF3">
              <w:rPr>
                <w:rFonts w:ascii="Times New Roman" w:hAnsi="Times New Roman" w:cs="Arial"/>
                <w:sz w:val="22"/>
                <w:lang w:val="sr-Latn-ME"/>
              </w:rPr>
              <w:t xml:space="preserve"> HCT sadrži kombinaciju tri</w:t>
            </w:r>
            <w:r w:rsidRPr="00C01AF3">
              <w:rPr>
                <w:rFonts w:ascii="Times New Roman" w:hAnsi="Times New Roman" w:cs="Arial"/>
                <w:sz w:val="22"/>
                <w:lang w:val="sr-Latn-ME"/>
              </w:rPr>
              <w:t xml:space="preserve"> antihipertenzivna </w:t>
            </w:r>
            <w:r w:rsidR="00A65414" w:rsidRPr="00C01AF3">
              <w:rPr>
                <w:rFonts w:ascii="Times New Roman" w:hAnsi="Times New Roman" w:cs="Arial"/>
                <w:sz w:val="22"/>
                <w:lang w:val="sr-Latn-ME"/>
              </w:rPr>
              <w:t>lijek</w:t>
            </w:r>
            <w:r w:rsidRPr="00C01AF3">
              <w:rPr>
                <w:rFonts w:ascii="Times New Roman" w:hAnsi="Times New Roman" w:cs="Arial"/>
                <w:sz w:val="22"/>
                <w:lang w:val="sr-Latn-ME"/>
              </w:rPr>
              <w:t>a sa komplementarnim mehanizmima za kontrolu krvnog pritiska kod pacijenata sa esencijalnom hipertenzijom: amlodipin pripada grupi kalcijum</w:t>
            </w:r>
            <w:r w:rsidR="00E539E8" w:rsidRPr="00C01AF3">
              <w:rPr>
                <w:rFonts w:ascii="Times New Roman" w:hAnsi="Times New Roman" w:cs="Arial"/>
                <w:sz w:val="22"/>
                <w:lang w:val="sr-Latn-ME"/>
              </w:rPr>
              <w:t>skih</w:t>
            </w:r>
            <w:r w:rsidRPr="00C01AF3">
              <w:rPr>
                <w:rFonts w:ascii="Times New Roman" w:hAnsi="Times New Roman" w:cs="Arial"/>
                <w:sz w:val="22"/>
                <w:lang w:val="sr-Latn-ME"/>
              </w:rPr>
              <w:t xml:space="preserve"> antagonista, a valsartan grupi antagonista angiotenzina II</w:t>
            </w:r>
            <w:r w:rsidR="003E201F" w:rsidRPr="00C01AF3">
              <w:rPr>
                <w:rFonts w:ascii="Times New Roman" w:hAnsi="Times New Roman" w:cs="Arial"/>
                <w:sz w:val="22"/>
                <w:lang w:val="sr-Latn-ME"/>
              </w:rPr>
              <w:t xml:space="preserve"> i hidrohlotiazid koji pripada grupi tiazidni</w:t>
            </w:r>
            <w:r w:rsidR="00094EF2" w:rsidRPr="00C01AF3">
              <w:rPr>
                <w:rFonts w:ascii="Times New Roman" w:hAnsi="Times New Roman" w:cs="Arial"/>
                <w:sz w:val="22"/>
                <w:lang w:val="sr-Latn-ME"/>
              </w:rPr>
              <w:t>h diuretika</w:t>
            </w:r>
            <w:r w:rsidR="009226A9" w:rsidRPr="00C01AF3">
              <w:rPr>
                <w:rFonts w:ascii="Times New Roman" w:hAnsi="Times New Roman" w:cs="Arial"/>
                <w:sz w:val="22"/>
                <w:lang w:val="sr-Latn-ME"/>
              </w:rPr>
              <w:t xml:space="preserve">. Kombinacija </w:t>
            </w:r>
            <w:r w:rsidR="00094EF2" w:rsidRPr="00C01AF3">
              <w:rPr>
                <w:rFonts w:ascii="Times New Roman" w:hAnsi="Times New Roman" w:cs="Arial"/>
                <w:sz w:val="22"/>
                <w:lang w:val="sr-Latn-ME"/>
              </w:rPr>
              <w:t xml:space="preserve">ovih </w:t>
            </w:r>
            <w:r w:rsidR="00E539E8" w:rsidRPr="00C01AF3">
              <w:rPr>
                <w:rFonts w:ascii="Times New Roman" w:hAnsi="Times New Roman" w:cs="Arial"/>
                <w:sz w:val="22"/>
                <w:lang w:val="sr-Latn-ME"/>
              </w:rPr>
              <w:t xml:space="preserve">ljekova </w:t>
            </w:r>
            <w:r w:rsidRPr="00C01AF3">
              <w:rPr>
                <w:rFonts w:ascii="Times New Roman" w:hAnsi="Times New Roman" w:cs="Arial"/>
                <w:sz w:val="22"/>
                <w:lang w:val="sr-Latn-ME"/>
              </w:rPr>
              <w:t>ima aditivan antihiperte</w:t>
            </w:r>
            <w:r w:rsidR="00040D61" w:rsidRPr="00C01AF3">
              <w:rPr>
                <w:rFonts w:ascii="Times New Roman" w:hAnsi="Times New Roman" w:cs="Arial"/>
                <w:sz w:val="22"/>
                <w:lang w:val="sr-Latn-ME"/>
              </w:rPr>
              <w:t>nzivni efek</w:t>
            </w:r>
            <w:r w:rsidR="00BC5304" w:rsidRPr="00C01AF3">
              <w:rPr>
                <w:rFonts w:ascii="Times New Roman" w:hAnsi="Times New Roman" w:cs="Arial"/>
                <w:sz w:val="22"/>
                <w:lang w:val="sr-Latn-ME"/>
              </w:rPr>
              <w:t>a</w:t>
            </w:r>
            <w:r w:rsidR="00040D61" w:rsidRPr="00C01AF3">
              <w:rPr>
                <w:rFonts w:ascii="Times New Roman" w:hAnsi="Times New Roman" w:cs="Arial"/>
                <w:sz w:val="22"/>
                <w:lang w:val="sr-Latn-ME"/>
              </w:rPr>
              <w:t>t</w:t>
            </w:r>
            <w:r w:rsidR="00E539E8" w:rsidRPr="00C01AF3">
              <w:rPr>
                <w:rFonts w:ascii="Times New Roman" w:hAnsi="Times New Roman" w:cs="Arial"/>
                <w:sz w:val="22"/>
                <w:lang w:val="sr-Latn-ME"/>
              </w:rPr>
              <w:t>.</w:t>
            </w:r>
          </w:p>
          <w:p w:rsidR="000351F8" w:rsidRPr="00C01AF3" w:rsidRDefault="00040D61" w:rsidP="00056F49">
            <w:pPr>
              <w:pStyle w:val="Header"/>
              <w:tabs>
                <w:tab w:val="clear" w:pos="4536"/>
                <w:tab w:val="clear" w:pos="9072"/>
                <w:tab w:val="left" w:pos="284"/>
              </w:tabs>
              <w:jc w:val="left"/>
              <w:rPr>
                <w:rFonts w:ascii="Times New Roman" w:hAnsi="Times New Roman" w:cs="Arial"/>
                <w:sz w:val="22"/>
                <w:u w:val="single"/>
                <w:lang w:val="sr-Latn-ME"/>
              </w:rPr>
            </w:pPr>
            <w:r w:rsidRPr="00C01AF3">
              <w:rPr>
                <w:rFonts w:ascii="Times New Roman" w:hAnsi="Times New Roman" w:cs="Arial"/>
                <w:sz w:val="22"/>
                <w:lang w:val="sr-Latn-ME"/>
              </w:rPr>
              <w:t xml:space="preserve"> </w:t>
            </w:r>
          </w:p>
          <w:p w:rsidR="00094EF2" w:rsidRPr="00C01AF3" w:rsidRDefault="00094EF2" w:rsidP="000351F8">
            <w:pPr>
              <w:tabs>
                <w:tab w:val="clear" w:pos="284"/>
              </w:tabs>
              <w:autoSpaceDE w:val="0"/>
              <w:autoSpaceDN w:val="0"/>
              <w:jc w:val="left"/>
              <w:rPr>
                <w:rFonts w:ascii="Times New Roman" w:hAnsi="Times New Roman" w:cs="Arial"/>
                <w:sz w:val="22"/>
                <w:u w:val="single"/>
                <w:lang w:val="sr-Latn-ME"/>
              </w:rPr>
            </w:pPr>
            <w:r w:rsidRPr="00C01AF3">
              <w:rPr>
                <w:rFonts w:ascii="Times New Roman" w:hAnsi="Times New Roman" w:cs="Arial"/>
                <w:sz w:val="22"/>
                <w:u w:val="single"/>
                <w:lang w:val="sr-Latn-ME"/>
              </w:rPr>
              <w:t>Amlodipin/Valsartan/</w:t>
            </w:r>
            <w:r w:rsidR="007C4A86" w:rsidRPr="00C01AF3">
              <w:rPr>
                <w:rFonts w:ascii="Times New Roman" w:hAnsi="Times New Roman" w:cs="Arial"/>
                <w:sz w:val="22"/>
                <w:u w:val="single"/>
                <w:lang w:val="sr-Latn-ME"/>
              </w:rPr>
              <w:t>Hidrohlortiazid</w:t>
            </w:r>
          </w:p>
          <w:p w:rsidR="00641CDA" w:rsidRPr="00C01AF3" w:rsidRDefault="00641CDA" w:rsidP="000351F8">
            <w:pPr>
              <w:tabs>
                <w:tab w:val="clear" w:pos="284"/>
              </w:tabs>
              <w:autoSpaceDE w:val="0"/>
              <w:autoSpaceDN w:val="0"/>
              <w:jc w:val="left"/>
              <w:rPr>
                <w:rFonts w:ascii="Times New Roman" w:hAnsi="Times New Roman" w:cs="Arial"/>
                <w:i/>
                <w:sz w:val="22"/>
                <w:lang w:val="sr-Latn-ME"/>
              </w:rPr>
            </w:pPr>
            <w:r w:rsidRPr="00C01AF3">
              <w:rPr>
                <w:rFonts w:ascii="Times New Roman" w:hAnsi="Times New Roman" w:cs="Arial"/>
                <w:i/>
                <w:sz w:val="22"/>
                <w:lang w:val="sr-Latn-ME"/>
              </w:rPr>
              <w:t xml:space="preserve">Klinička efikasnost i </w:t>
            </w:r>
            <w:r w:rsidR="006A1297" w:rsidRPr="00C01AF3">
              <w:rPr>
                <w:rFonts w:ascii="Times New Roman" w:hAnsi="Times New Roman" w:cs="Arial"/>
                <w:i/>
                <w:sz w:val="22"/>
                <w:lang w:val="sr-Latn-ME"/>
              </w:rPr>
              <w:t>bezbjedn</w:t>
            </w:r>
            <w:r w:rsidRPr="00C01AF3">
              <w:rPr>
                <w:rFonts w:ascii="Times New Roman" w:hAnsi="Times New Roman" w:cs="Arial"/>
                <w:i/>
                <w:sz w:val="22"/>
                <w:lang w:val="sr-Latn-ME"/>
              </w:rPr>
              <w:t>ost</w:t>
            </w:r>
          </w:p>
          <w:p w:rsidR="003E50F8" w:rsidRPr="00C01AF3" w:rsidRDefault="00323BE2" w:rsidP="000351F8">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 xml:space="preserve">Exforge HCT je ispitivan u </w:t>
            </w:r>
            <w:r w:rsidR="00E539E8" w:rsidRPr="00C01AF3">
              <w:rPr>
                <w:rFonts w:ascii="Times New Roman" w:hAnsi="Times New Roman"/>
                <w:bCs/>
                <w:noProof/>
                <w:color w:val="000000"/>
                <w:sz w:val="22"/>
                <w:szCs w:val="22"/>
                <w:lang w:val="sr-Latn-ME"/>
              </w:rPr>
              <w:t>dvostruko</w:t>
            </w:r>
            <w:r w:rsidRPr="00C01AF3">
              <w:rPr>
                <w:rFonts w:ascii="Times New Roman" w:hAnsi="Times New Roman"/>
                <w:bCs/>
                <w:noProof/>
                <w:color w:val="000000"/>
                <w:sz w:val="22"/>
                <w:szCs w:val="22"/>
                <w:lang w:val="sr-Latn-ME"/>
              </w:rPr>
              <w:t>-slijepoj, aktivno kontrolisano</w:t>
            </w:r>
            <w:r w:rsidR="006A6470" w:rsidRPr="00C01AF3">
              <w:rPr>
                <w:rFonts w:ascii="Times New Roman" w:hAnsi="Times New Roman"/>
                <w:bCs/>
                <w:noProof/>
                <w:color w:val="000000"/>
                <w:sz w:val="22"/>
                <w:szCs w:val="22"/>
                <w:lang w:val="sr-Latn-ME"/>
              </w:rPr>
              <w:t>j studiji</w:t>
            </w:r>
            <w:r w:rsidRPr="00C01AF3">
              <w:rPr>
                <w:rFonts w:ascii="Times New Roman" w:hAnsi="Times New Roman"/>
                <w:bCs/>
                <w:noProof/>
                <w:color w:val="000000"/>
                <w:sz w:val="22"/>
                <w:szCs w:val="22"/>
                <w:lang w:val="sr-Latn-ME"/>
              </w:rPr>
              <w:t xml:space="preserve"> kod hipertenzivnih pacijenat</w:t>
            </w:r>
            <w:r w:rsidR="006A6470" w:rsidRPr="00C01AF3">
              <w:rPr>
                <w:rFonts w:ascii="Times New Roman" w:hAnsi="Times New Roman"/>
                <w:bCs/>
                <w:noProof/>
                <w:color w:val="000000"/>
                <w:sz w:val="22"/>
                <w:szCs w:val="22"/>
                <w:lang w:val="sr-Latn-ME"/>
              </w:rPr>
              <w:t xml:space="preserve">a. Ukupno 2271 pacijenata sa </w:t>
            </w:r>
            <w:r w:rsidR="00BD0291" w:rsidRPr="00C01AF3">
              <w:rPr>
                <w:rFonts w:ascii="Times New Roman" w:hAnsi="Times New Roman"/>
                <w:bCs/>
                <w:noProof/>
                <w:color w:val="000000"/>
                <w:sz w:val="22"/>
                <w:szCs w:val="22"/>
                <w:lang w:val="sr-Latn-ME"/>
              </w:rPr>
              <w:t>umjeren</w:t>
            </w:r>
            <w:r w:rsidRPr="00C01AF3">
              <w:rPr>
                <w:rFonts w:ascii="Times New Roman" w:hAnsi="Times New Roman"/>
                <w:bCs/>
                <w:noProof/>
                <w:color w:val="000000"/>
                <w:sz w:val="22"/>
                <w:szCs w:val="22"/>
                <w:lang w:val="sr-Latn-ME"/>
              </w:rPr>
              <w:t>om do teškom hipert</w:t>
            </w:r>
            <w:r w:rsidR="00BF47C4" w:rsidRPr="00C01AF3">
              <w:rPr>
                <w:rFonts w:ascii="Times New Roman" w:hAnsi="Times New Roman"/>
                <w:bCs/>
                <w:noProof/>
                <w:color w:val="000000"/>
                <w:sz w:val="22"/>
                <w:szCs w:val="22"/>
                <w:lang w:val="sr-Latn-ME"/>
              </w:rPr>
              <w:t>e</w:t>
            </w:r>
            <w:r w:rsidR="006A6470" w:rsidRPr="00C01AF3">
              <w:rPr>
                <w:rFonts w:ascii="Times New Roman" w:hAnsi="Times New Roman"/>
                <w:bCs/>
                <w:noProof/>
                <w:color w:val="000000"/>
                <w:sz w:val="22"/>
                <w:szCs w:val="22"/>
                <w:lang w:val="sr-Latn-ME"/>
              </w:rPr>
              <w:t xml:space="preserve">nzijom (srednja </w:t>
            </w:r>
            <w:r w:rsidR="004853F5" w:rsidRPr="00C01AF3">
              <w:rPr>
                <w:rFonts w:ascii="Times New Roman" w:hAnsi="Times New Roman"/>
                <w:bCs/>
                <w:noProof/>
                <w:color w:val="000000"/>
                <w:sz w:val="22"/>
                <w:szCs w:val="22"/>
                <w:lang w:val="sr-Latn-ME"/>
              </w:rPr>
              <w:t>vrijedno</w:t>
            </w:r>
            <w:r w:rsidRPr="00C01AF3">
              <w:rPr>
                <w:rFonts w:ascii="Times New Roman" w:hAnsi="Times New Roman"/>
                <w:bCs/>
                <w:noProof/>
                <w:color w:val="000000"/>
                <w:sz w:val="22"/>
                <w:szCs w:val="22"/>
                <w:lang w:val="sr-Latn-ME"/>
              </w:rPr>
              <w:t>st sistolnog/ dijastonlog pritiska na početku  je bila 170/107 mmHg) su primali terapiju amlodipin/valsartan/</w:t>
            </w:r>
            <w:r w:rsidR="007C4A86" w:rsidRPr="00C01AF3">
              <w:rPr>
                <w:rFonts w:ascii="Times New Roman" w:hAnsi="Times New Roman"/>
                <w:bCs/>
                <w:noProof/>
                <w:color w:val="000000"/>
                <w:sz w:val="22"/>
                <w:szCs w:val="22"/>
                <w:lang w:val="sr-Latn-ME"/>
              </w:rPr>
              <w:t>hidrohlortiazid</w:t>
            </w:r>
            <w:r w:rsidRPr="00C01AF3">
              <w:rPr>
                <w:rFonts w:ascii="Times New Roman" w:hAnsi="Times New Roman"/>
                <w:bCs/>
                <w:noProof/>
                <w:color w:val="000000"/>
                <w:sz w:val="22"/>
                <w:szCs w:val="22"/>
                <w:lang w:val="sr-Latn-ME"/>
              </w:rPr>
              <w:t xml:space="preserve"> </w:t>
            </w:r>
          </w:p>
          <w:p w:rsidR="00323BE2" w:rsidRPr="00C01AF3" w:rsidRDefault="00323BE2" w:rsidP="000351F8">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10 mg/320mg/25mg, valsartan/</w:t>
            </w:r>
            <w:r w:rsidR="007C4A86" w:rsidRPr="00C01AF3">
              <w:rPr>
                <w:rFonts w:ascii="Times New Roman" w:hAnsi="Times New Roman"/>
                <w:bCs/>
                <w:noProof/>
                <w:color w:val="000000"/>
                <w:sz w:val="22"/>
                <w:szCs w:val="22"/>
                <w:lang w:val="sr-Latn-ME"/>
              </w:rPr>
              <w:t>hidrohlortiazid</w:t>
            </w:r>
            <w:r w:rsidRPr="00C01AF3">
              <w:rPr>
                <w:rFonts w:ascii="Times New Roman" w:hAnsi="Times New Roman"/>
                <w:bCs/>
                <w:noProof/>
                <w:color w:val="000000"/>
                <w:sz w:val="22"/>
                <w:szCs w:val="22"/>
                <w:lang w:val="sr-Latn-ME"/>
              </w:rPr>
              <w:t xml:space="preserve"> 320mg/25mg, amlodipin/valsartan 10 mg/320 mg, ili</w:t>
            </w:r>
            <w:r w:rsidR="00E539E8" w:rsidRPr="00C01AF3">
              <w:rPr>
                <w:rFonts w:ascii="Times New Roman" w:hAnsi="Times New Roman"/>
                <w:bCs/>
                <w:noProof/>
                <w:color w:val="000000"/>
                <w:sz w:val="22"/>
                <w:szCs w:val="22"/>
                <w:lang w:val="sr-Latn-ME"/>
              </w:rPr>
              <w:t xml:space="preserve"> </w:t>
            </w:r>
            <w:r w:rsidR="007C4A86" w:rsidRPr="00C01AF3">
              <w:rPr>
                <w:rFonts w:ascii="Times New Roman" w:hAnsi="Times New Roman"/>
                <w:bCs/>
                <w:noProof/>
                <w:color w:val="000000"/>
                <w:sz w:val="22"/>
                <w:szCs w:val="22"/>
                <w:lang w:val="sr-Latn-ME"/>
              </w:rPr>
              <w:t>hidrohlortiazid</w:t>
            </w:r>
            <w:r w:rsidRPr="00C01AF3">
              <w:rPr>
                <w:rFonts w:ascii="Times New Roman" w:hAnsi="Times New Roman"/>
                <w:bCs/>
                <w:noProof/>
                <w:color w:val="000000"/>
                <w:sz w:val="22"/>
                <w:szCs w:val="22"/>
                <w:lang w:val="sr-Latn-ME"/>
              </w:rPr>
              <w:t xml:space="preserve">/amlodipin 25 mg/10 mg. Na početku studije pacijentima  su propisane </w:t>
            </w:r>
            <w:r w:rsidR="00E539E8" w:rsidRPr="00C01AF3">
              <w:rPr>
                <w:rFonts w:ascii="Times New Roman" w:hAnsi="Times New Roman"/>
                <w:bCs/>
                <w:noProof/>
                <w:color w:val="000000"/>
                <w:sz w:val="22"/>
                <w:szCs w:val="22"/>
                <w:lang w:val="sr-Latn-ME"/>
              </w:rPr>
              <w:t xml:space="preserve">niže </w:t>
            </w:r>
            <w:r w:rsidRPr="00C01AF3">
              <w:rPr>
                <w:rFonts w:ascii="Times New Roman" w:hAnsi="Times New Roman"/>
                <w:bCs/>
                <w:noProof/>
                <w:color w:val="000000"/>
                <w:sz w:val="22"/>
                <w:szCs w:val="22"/>
                <w:lang w:val="sr-Latn-ME"/>
              </w:rPr>
              <w:t xml:space="preserve">doze </w:t>
            </w:r>
            <w:r w:rsidR="00E539E8" w:rsidRPr="00C01AF3">
              <w:rPr>
                <w:rFonts w:ascii="Times New Roman" w:hAnsi="Times New Roman"/>
                <w:bCs/>
                <w:noProof/>
                <w:color w:val="000000"/>
                <w:sz w:val="22"/>
                <w:szCs w:val="22"/>
                <w:lang w:val="sr-Latn-ME"/>
              </w:rPr>
              <w:t>kombinovanih ljekova koje</w:t>
            </w:r>
            <w:r w:rsidRPr="00C01AF3">
              <w:rPr>
                <w:rFonts w:ascii="Times New Roman" w:hAnsi="Times New Roman"/>
                <w:bCs/>
                <w:noProof/>
                <w:color w:val="000000"/>
                <w:sz w:val="22"/>
                <w:szCs w:val="22"/>
                <w:lang w:val="sr-Latn-ME"/>
              </w:rPr>
              <w:t xml:space="preserve"> su </w:t>
            </w:r>
            <w:r w:rsidR="006A6470" w:rsidRPr="00C01AF3">
              <w:rPr>
                <w:rFonts w:ascii="Times New Roman" w:hAnsi="Times New Roman"/>
                <w:bCs/>
                <w:noProof/>
                <w:color w:val="000000"/>
                <w:sz w:val="22"/>
                <w:szCs w:val="22"/>
                <w:lang w:val="sr-Latn-ME"/>
              </w:rPr>
              <w:t>titriran</w:t>
            </w:r>
            <w:r w:rsidR="00E539E8" w:rsidRPr="00C01AF3">
              <w:rPr>
                <w:rFonts w:ascii="Times New Roman" w:hAnsi="Times New Roman"/>
                <w:bCs/>
                <w:noProof/>
                <w:color w:val="000000"/>
                <w:sz w:val="22"/>
                <w:szCs w:val="22"/>
                <w:lang w:val="sr-Latn-ME"/>
              </w:rPr>
              <w:t>e</w:t>
            </w:r>
            <w:r w:rsidR="006A6470" w:rsidRPr="00C01AF3">
              <w:rPr>
                <w:rFonts w:ascii="Times New Roman" w:hAnsi="Times New Roman"/>
                <w:bCs/>
                <w:noProof/>
                <w:color w:val="000000"/>
                <w:sz w:val="22"/>
                <w:szCs w:val="22"/>
                <w:lang w:val="sr-Latn-ME"/>
              </w:rPr>
              <w:t xml:space="preserve"> do pune doze </w:t>
            </w:r>
            <w:r w:rsidR="00E539E8" w:rsidRPr="00C01AF3">
              <w:rPr>
                <w:rFonts w:ascii="Times New Roman" w:hAnsi="Times New Roman"/>
                <w:bCs/>
                <w:noProof/>
                <w:color w:val="000000"/>
                <w:sz w:val="22"/>
                <w:szCs w:val="22"/>
                <w:lang w:val="sr-Latn-ME"/>
              </w:rPr>
              <w:t xml:space="preserve">liječenja </w:t>
            </w:r>
            <w:r w:rsidR="006A6470" w:rsidRPr="00C01AF3">
              <w:rPr>
                <w:rFonts w:ascii="Times New Roman" w:hAnsi="Times New Roman"/>
                <w:bCs/>
                <w:noProof/>
                <w:color w:val="000000"/>
                <w:sz w:val="22"/>
                <w:szCs w:val="22"/>
                <w:lang w:val="sr-Latn-ME"/>
              </w:rPr>
              <w:t xml:space="preserve">za 2 </w:t>
            </w:r>
            <w:r w:rsidR="00422020" w:rsidRPr="00C01AF3">
              <w:rPr>
                <w:rFonts w:ascii="Times New Roman" w:hAnsi="Times New Roman"/>
                <w:bCs/>
                <w:noProof/>
                <w:color w:val="000000"/>
                <w:sz w:val="22"/>
                <w:szCs w:val="22"/>
                <w:lang w:val="sr-Latn-ME"/>
              </w:rPr>
              <w:t>nedjelj</w:t>
            </w:r>
            <w:r w:rsidRPr="00C01AF3">
              <w:rPr>
                <w:rFonts w:ascii="Times New Roman" w:hAnsi="Times New Roman"/>
                <w:bCs/>
                <w:noProof/>
                <w:color w:val="000000"/>
                <w:sz w:val="22"/>
                <w:szCs w:val="22"/>
                <w:lang w:val="sr-Latn-ME"/>
              </w:rPr>
              <w:t xml:space="preserve">e. </w:t>
            </w:r>
          </w:p>
          <w:p w:rsidR="000478ED" w:rsidRPr="00C01AF3" w:rsidRDefault="000478ED" w:rsidP="000351F8">
            <w:pPr>
              <w:tabs>
                <w:tab w:val="clear" w:pos="284"/>
              </w:tabs>
              <w:autoSpaceDE w:val="0"/>
              <w:autoSpaceDN w:val="0"/>
              <w:jc w:val="left"/>
              <w:rPr>
                <w:rFonts w:ascii="Times New Roman" w:hAnsi="Times New Roman"/>
                <w:bCs/>
                <w:noProof/>
                <w:color w:val="000000"/>
                <w:sz w:val="22"/>
                <w:szCs w:val="22"/>
                <w:lang w:val="sr-Latn-ME"/>
              </w:rPr>
            </w:pPr>
          </w:p>
          <w:p w:rsidR="000478ED" w:rsidRPr="00C01AF3" w:rsidRDefault="00E1387C" w:rsidP="000351F8">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 xml:space="preserve">U osmoj </w:t>
            </w:r>
            <w:r w:rsidR="00422020" w:rsidRPr="00C01AF3">
              <w:rPr>
                <w:rFonts w:ascii="Times New Roman" w:hAnsi="Times New Roman"/>
                <w:bCs/>
                <w:noProof/>
                <w:color w:val="000000"/>
                <w:sz w:val="22"/>
                <w:szCs w:val="22"/>
                <w:lang w:val="sr-Latn-ME"/>
              </w:rPr>
              <w:t>nedjelj</w:t>
            </w:r>
            <w:r w:rsidRPr="00C01AF3">
              <w:rPr>
                <w:rFonts w:ascii="Times New Roman" w:hAnsi="Times New Roman"/>
                <w:bCs/>
                <w:noProof/>
                <w:color w:val="000000"/>
                <w:sz w:val="22"/>
                <w:szCs w:val="22"/>
                <w:lang w:val="sr-Latn-ME"/>
              </w:rPr>
              <w:t>i</w:t>
            </w:r>
            <w:r w:rsidR="000E5979" w:rsidRPr="00C01AF3">
              <w:rPr>
                <w:rFonts w:ascii="Times New Roman" w:hAnsi="Times New Roman"/>
                <w:bCs/>
                <w:noProof/>
                <w:color w:val="000000"/>
                <w:sz w:val="22"/>
                <w:szCs w:val="22"/>
                <w:lang w:val="sr-Latn-ME"/>
              </w:rPr>
              <w:t xml:space="preserve"> srednja </w:t>
            </w:r>
            <w:r w:rsidR="004853F5" w:rsidRPr="00C01AF3">
              <w:rPr>
                <w:rFonts w:ascii="Times New Roman" w:hAnsi="Times New Roman"/>
                <w:bCs/>
                <w:noProof/>
                <w:color w:val="000000"/>
                <w:sz w:val="22"/>
                <w:szCs w:val="22"/>
                <w:lang w:val="sr-Latn-ME"/>
              </w:rPr>
              <w:t>vrijedno</w:t>
            </w:r>
            <w:r w:rsidR="00BF47C4" w:rsidRPr="00C01AF3">
              <w:rPr>
                <w:rFonts w:ascii="Times New Roman" w:hAnsi="Times New Roman"/>
                <w:bCs/>
                <w:noProof/>
                <w:color w:val="000000"/>
                <w:sz w:val="22"/>
                <w:szCs w:val="22"/>
                <w:lang w:val="sr-Latn-ME"/>
              </w:rPr>
              <w:t>st sniženja sistolnog/ dijastonog pritis</w:t>
            </w:r>
            <w:r w:rsidR="006A6470" w:rsidRPr="00C01AF3">
              <w:rPr>
                <w:rFonts w:ascii="Times New Roman" w:hAnsi="Times New Roman"/>
                <w:bCs/>
                <w:noProof/>
                <w:color w:val="000000"/>
                <w:sz w:val="22"/>
                <w:szCs w:val="22"/>
                <w:lang w:val="sr-Latn-ME"/>
              </w:rPr>
              <w:t xml:space="preserve">ka je bila 39,7/24,7 mmHg sa </w:t>
            </w:r>
            <w:r w:rsidR="00A65414" w:rsidRPr="00C01AF3">
              <w:rPr>
                <w:rFonts w:ascii="Times New Roman" w:hAnsi="Times New Roman"/>
                <w:bCs/>
                <w:noProof/>
                <w:color w:val="000000"/>
                <w:sz w:val="22"/>
                <w:szCs w:val="22"/>
                <w:lang w:val="sr-Latn-ME"/>
              </w:rPr>
              <w:t>lijek</w:t>
            </w:r>
            <w:r w:rsidR="00BF47C4" w:rsidRPr="00C01AF3">
              <w:rPr>
                <w:rFonts w:ascii="Times New Roman" w:hAnsi="Times New Roman"/>
                <w:bCs/>
                <w:noProof/>
                <w:color w:val="000000"/>
                <w:sz w:val="22"/>
                <w:szCs w:val="22"/>
                <w:lang w:val="sr-Latn-ME"/>
              </w:rPr>
              <w:t>om Exforge HCT, 32,0/19,</w:t>
            </w:r>
            <w:r w:rsidR="006A6470" w:rsidRPr="00C01AF3">
              <w:rPr>
                <w:rFonts w:ascii="Times New Roman" w:hAnsi="Times New Roman"/>
                <w:bCs/>
                <w:noProof/>
                <w:color w:val="000000"/>
                <w:sz w:val="22"/>
                <w:szCs w:val="22"/>
                <w:lang w:val="sr-Latn-ME"/>
              </w:rPr>
              <w:t>7</w:t>
            </w:r>
            <w:r w:rsidR="00BF47C4" w:rsidRPr="00C01AF3">
              <w:rPr>
                <w:rFonts w:ascii="Times New Roman" w:hAnsi="Times New Roman"/>
                <w:bCs/>
                <w:noProof/>
                <w:color w:val="000000"/>
                <w:sz w:val="22"/>
                <w:szCs w:val="22"/>
                <w:lang w:val="sr-Latn-ME"/>
              </w:rPr>
              <w:t xml:space="preserve"> mmHg sa  kombinacijom </w:t>
            </w:r>
            <w:r w:rsidR="006A6470" w:rsidRPr="00C01AF3">
              <w:rPr>
                <w:rFonts w:ascii="Times New Roman" w:hAnsi="Times New Roman"/>
                <w:bCs/>
                <w:noProof/>
                <w:color w:val="000000"/>
                <w:sz w:val="22"/>
                <w:szCs w:val="22"/>
                <w:lang w:val="sr-Latn-ME"/>
              </w:rPr>
              <w:t>valsartan</w:t>
            </w:r>
            <w:r w:rsidR="00BF47C4" w:rsidRPr="00C01AF3">
              <w:rPr>
                <w:rFonts w:ascii="Times New Roman" w:hAnsi="Times New Roman"/>
                <w:bCs/>
                <w:noProof/>
                <w:color w:val="000000"/>
                <w:sz w:val="22"/>
                <w:szCs w:val="22"/>
                <w:lang w:val="sr-Latn-ME"/>
              </w:rPr>
              <w:t>/</w:t>
            </w:r>
            <w:r w:rsidR="007C4A86" w:rsidRPr="00C01AF3">
              <w:rPr>
                <w:rFonts w:ascii="Times New Roman" w:hAnsi="Times New Roman"/>
                <w:bCs/>
                <w:noProof/>
                <w:color w:val="000000"/>
                <w:sz w:val="22"/>
                <w:szCs w:val="22"/>
                <w:lang w:val="sr-Latn-ME"/>
              </w:rPr>
              <w:t>hidrohlortiazid</w:t>
            </w:r>
            <w:r w:rsidR="00BF47C4" w:rsidRPr="00C01AF3">
              <w:rPr>
                <w:rFonts w:ascii="Times New Roman" w:hAnsi="Times New Roman"/>
                <w:bCs/>
                <w:noProof/>
                <w:color w:val="000000"/>
                <w:sz w:val="22"/>
                <w:szCs w:val="22"/>
                <w:lang w:val="sr-Latn-ME"/>
              </w:rPr>
              <w:t xml:space="preserve">, </w:t>
            </w:r>
            <w:r w:rsidR="006A6470" w:rsidRPr="00C01AF3">
              <w:rPr>
                <w:rFonts w:ascii="Times New Roman" w:hAnsi="Times New Roman"/>
                <w:bCs/>
                <w:noProof/>
                <w:color w:val="000000"/>
                <w:sz w:val="22"/>
                <w:szCs w:val="22"/>
                <w:lang w:val="sr-Latn-ME"/>
              </w:rPr>
              <w:t>33,5</w:t>
            </w:r>
            <w:r w:rsidR="00BF47C4" w:rsidRPr="00C01AF3">
              <w:rPr>
                <w:rFonts w:ascii="Times New Roman" w:hAnsi="Times New Roman"/>
                <w:bCs/>
                <w:noProof/>
                <w:color w:val="000000"/>
                <w:sz w:val="22"/>
                <w:szCs w:val="22"/>
                <w:lang w:val="sr-Latn-ME"/>
              </w:rPr>
              <w:t>/</w:t>
            </w:r>
            <w:r w:rsidR="006A6470" w:rsidRPr="00C01AF3">
              <w:rPr>
                <w:rFonts w:ascii="Times New Roman" w:hAnsi="Times New Roman"/>
                <w:bCs/>
                <w:noProof/>
                <w:color w:val="000000"/>
                <w:sz w:val="22"/>
                <w:szCs w:val="22"/>
                <w:lang w:val="sr-Latn-ME"/>
              </w:rPr>
              <w:t>21,5</w:t>
            </w:r>
            <w:r w:rsidR="00BF47C4" w:rsidRPr="00C01AF3">
              <w:rPr>
                <w:rFonts w:ascii="Times New Roman" w:hAnsi="Times New Roman"/>
                <w:bCs/>
                <w:noProof/>
                <w:color w:val="000000"/>
                <w:sz w:val="22"/>
                <w:szCs w:val="22"/>
                <w:lang w:val="sr-Latn-ME"/>
              </w:rPr>
              <w:t xml:space="preserve"> mmHg </w:t>
            </w:r>
            <w:r w:rsidR="006A6470" w:rsidRPr="00C01AF3">
              <w:rPr>
                <w:rFonts w:ascii="Times New Roman" w:hAnsi="Times New Roman"/>
                <w:bCs/>
                <w:noProof/>
                <w:color w:val="000000"/>
                <w:sz w:val="22"/>
                <w:szCs w:val="22"/>
                <w:lang w:val="sr-Latn-ME"/>
              </w:rPr>
              <w:t xml:space="preserve">sa </w:t>
            </w:r>
            <w:r w:rsidR="00A86E46" w:rsidRPr="00C01AF3">
              <w:rPr>
                <w:rFonts w:ascii="Times New Roman" w:hAnsi="Times New Roman"/>
                <w:bCs/>
                <w:noProof/>
                <w:color w:val="000000"/>
                <w:sz w:val="22"/>
                <w:szCs w:val="22"/>
                <w:lang w:val="sr-Latn-ME"/>
              </w:rPr>
              <w:t>kombi</w:t>
            </w:r>
            <w:r w:rsidR="00BF47C4" w:rsidRPr="00C01AF3">
              <w:rPr>
                <w:rFonts w:ascii="Times New Roman" w:hAnsi="Times New Roman"/>
                <w:bCs/>
                <w:noProof/>
                <w:color w:val="000000"/>
                <w:sz w:val="22"/>
                <w:szCs w:val="22"/>
                <w:lang w:val="sr-Latn-ME"/>
              </w:rPr>
              <w:t>nacij</w:t>
            </w:r>
            <w:r w:rsidR="006A6470" w:rsidRPr="00C01AF3">
              <w:rPr>
                <w:rFonts w:ascii="Times New Roman" w:hAnsi="Times New Roman"/>
                <w:bCs/>
                <w:noProof/>
                <w:color w:val="000000"/>
                <w:sz w:val="22"/>
                <w:szCs w:val="22"/>
                <w:lang w:val="sr-Latn-ME"/>
              </w:rPr>
              <w:t xml:space="preserve">om </w:t>
            </w:r>
            <w:r w:rsidR="00BF47C4" w:rsidRPr="00C01AF3">
              <w:rPr>
                <w:rFonts w:ascii="Times New Roman" w:hAnsi="Times New Roman"/>
                <w:bCs/>
                <w:noProof/>
                <w:color w:val="000000"/>
                <w:sz w:val="22"/>
                <w:szCs w:val="22"/>
                <w:lang w:val="sr-Latn-ME"/>
              </w:rPr>
              <w:t>valsartan</w:t>
            </w:r>
            <w:r w:rsidR="006A6470" w:rsidRPr="00C01AF3">
              <w:rPr>
                <w:rFonts w:ascii="Times New Roman" w:hAnsi="Times New Roman"/>
                <w:bCs/>
                <w:noProof/>
                <w:color w:val="000000"/>
                <w:sz w:val="22"/>
                <w:szCs w:val="22"/>
                <w:lang w:val="sr-Latn-ME"/>
              </w:rPr>
              <w:t>/</w:t>
            </w:r>
            <w:r w:rsidR="007C4A86" w:rsidRPr="00C01AF3">
              <w:rPr>
                <w:rFonts w:ascii="Times New Roman" w:hAnsi="Times New Roman"/>
                <w:bCs/>
                <w:noProof/>
                <w:color w:val="000000"/>
                <w:sz w:val="22"/>
                <w:szCs w:val="22"/>
                <w:lang w:val="sr-Latn-ME"/>
              </w:rPr>
              <w:t>hidrohlortiazid</w:t>
            </w:r>
            <w:r w:rsidR="00BF47C4" w:rsidRPr="00C01AF3">
              <w:rPr>
                <w:rFonts w:ascii="Times New Roman" w:hAnsi="Times New Roman"/>
                <w:bCs/>
                <w:noProof/>
                <w:color w:val="000000"/>
                <w:sz w:val="22"/>
                <w:szCs w:val="22"/>
                <w:lang w:val="sr-Latn-ME"/>
              </w:rPr>
              <w:t xml:space="preserve"> i 31,5/19,5 mmHg sa kombinacijom amlodi</w:t>
            </w:r>
            <w:r w:rsidR="006A6470" w:rsidRPr="00C01AF3">
              <w:rPr>
                <w:rFonts w:ascii="Times New Roman" w:hAnsi="Times New Roman"/>
                <w:bCs/>
                <w:noProof/>
                <w:color w:val="000000"/>
                <w:sz w:val="22"/>
                <w:szCs w:val="22"/>
                <w:lang w:val="sr-Latn-ME"/>
              </w:rPr>
              <w:t>p</w:t>
            </w:r>
            <w:r w:rsidR="00BF47C4" w:rsidRPr="00C01AF3">
              <w:rPr>
                <w:rFonts w:ascii="Times New Roman" w:hAnsi="Times New Roman"/>
                <w:bCs/>
                <w:noProof/>
                <w:color w:val="000000"/>
                <w:sz w:val="22"/>
                <w:szCs w:val="22"/>
                <w:lang w:val="sr-Latn-ME"/>
              </w:rPr>
              <w:t xml:space="preserve">in/hidrihlortiazid. Trojna kombinacija je je bila statistički superniornija u odnosu na na svaku od tri dvojne terapijske kombinacije u  smanjenju dijastolnog i sistolnog krvnog pritiska. </w:t>
            </w:r>
            <w:r w:rsidR="00481497" w:rsidRPr="00C01AF3">
              <w:rPr>
                <w:rFonts w:ascii="Times New Roman" w:hAnsi="Times New Roman"/>
                <w:bCs/>
                <w:noProof/>
                <w:color w:val="000000"/>
                <w:sz w:val="22"/>
                <w:szCs w:val="22"/>
                <w:lang w:val="sr-Latn-ME"/>
              </w:rPr>
              <w:t xml:space="preserve">Sniženje </w:t>
            </w:r>
            <w:r w:rsidR="00BF47C4" w:rsidRPr="00C01AF3">
              <w:rPr>
                <w:rFonts w:ascii="Times New Roman" w:hAnsi="Times New Roman"/>
                <w:bCs/>
                <w:noProof/>
                <w:color w:val="000000"/>
                <w:sz w:val="22"/>
                <w:szCs w:val="22"/>
                <w:lang w:val="sr-Latn-ME"/>
              </w:rPr>
              <w:t>sistolnog/ di</w:t>
            </w:r>
            <w:r w:rsidR="00AB211A" w:rsidRPr="00C01AF3">
              <w:rPr>
                <w:rFonts w:ascii="Times New Roman" w:hAnsi="Times New Roman"/>
                <w:bCs/>
                <w:noProof/>
                <w:color w:val="000000"/>
                <w:sz w:val="22"/>
                <w:szCs w:val="22"/>
                <w:lang w:val="sr-Latn-ME"/>
              </w:rPr>
              <w:t xml:space="preserve">jastolnog krvnog pritiska sa </w:t>
            </w:r>
            <w:r w:rsidR="00A65414" w:rsidRPr="00C01AF3">
              <w:rPr>
                <w:rFonts w:ascii="Times New Roman" w:hAnsi="Times New Roman"/>
                <w:bCs/>
                <w:noProof/>
                <w:color w:val="000000"/>
                <w:sz w:val="22"/>
                <w:szCs w:val="22"/>
                <w:lang w:val="sr-Latn-ME"/>
              </w:rPr>
              <w:t>lijek</w:t>
            </w:r>
            <w:r w:rsidR="00BF47C4" w:rsidRPr="00C01AF3">
              <w:rPr>
                <w:rFonts w:ascii="Times New Roman" w:hAnsi="Times New Roman"/>
                <w:bCs/>
                <w:noProof/>
                <w:color w:val="000000"/>
                <w:sz w:val="22"/>
                <w:szCs w:val="22"/>
                <w:lang w:val="sr-Latn-ME"/>
              </w:rPr>
              <w:t>om Exforge HCT je bilo 7,6/5,0 mmHg više od kombinacije valsartan/</w:t>
            </w:r>
            <w:r w:rsidR="007C4A86" w:rsidRPr="00C01AF3">
              <w:rPr>
                <w:rFonts w:ascii="Times New Roman" w:hAnsi="Times New Roman"/>
                <w:bCs/>
                <w:noProof/>
                <w:color w:val="000000"/>
                <w:sz w:val="22"/>
                <w:szCs w:val="22"/>
                <w:lang w:val="sr-Latn-ME"/>
              </w:rPr>
              <w:t>hidrohlortiazid</w:t>
            </w:r>
            <w:r w:rsidR="00D52F10" w:rsidRPr="00C01AF3">
              <w:rPr>
                <w:rFonts w:ascii="Times New Roman" w:hAnsi="Times New Roman"/>
                <w:bCs/>
                <w:noProof/>
                <w:color w:val="000000"/>
                <w:sz w:val="22"/>
                <w:szCs w:val="22"/>
                <w:lang w:val="sr-Latn-ME"/>
              </w:rPr>
              <w:t xml:space="preserve">, </w:t>
            </w:r>
            <w:r w:rsidR="00BF47C4" w:rsidRPr="00C01AF3">
              <w:rPr>
                <w:rFonts w:ascii="Times New Roman" w:hAnsi="Times New Roman"/>
                <w:bCs/>
                <w:noProof/>
                <w:color w:val="000000"/>
                <w:sz w:val="22"/>
                <w:szCs w:val="22"/>
                <w:lang w:val="sr-Latn-ME"/>
              </w:rPr>
              <w:t>6,2/3,3, mmHg više od kombinacije amlodipin/valsartan, i 8,2/5,3 mmH</w:t>
            </w:r>
            <w:r w:rsidR="00D52F10" w:rsidRPr="00C01AF3">
              <w:rPr>
                <w:rFonts w:ascii="Times New Roman" w:hAnsi="Times New Roman"/>
                <w:bCs/>
                <w:noProof/>
                <w:color w:val="000000"/>
                <w:sz w:val="22"/>
                <w:szCs w:val="22"/>
                <w:lang w:val="sr-Latn-ME"/>
              </w:rPr>
              <w:t>g</w:t>
            </w:r>
            <w:r w:rsidR="00BF47C4" w:rsidRPr="00C01AF3">
              <w:rPr>
                <w:rFonts w:ascii="Times New Roman" w:hAnsi="Times New Roman"/>
                <w:bCs/>
                <w:noProof/>
                <w:color w:val="000000"/>
                <w:sz w:val="22"/>
                <w:szCs w:val="22"/>
                <w:lang w:val="sr-Latn-ME"/>
              </w:rPr>
              <w:t xml:space="preserve"> </w:t>
            </w:r>
            <w:r w:rsidR="00481497" w:rsidRPr="00C01AF3">
              <w:rPr>
                <w:rFonts w:ascii="Times New Roman" w:hAnsi="Times New Roman"/>
                <w:bCs/>
                <w:noProof/>
                <w:color w:val="000000"/>
                <w:sz w:val="22"/>
                <w:szCs w:val="22"/>
                <w:lang w:val="sr-Latn-ME"/>
              </w:rPr>
              <w:t xml:space="preserve">veće </w:t>
            </w:r>
            <w:r w:rsidR="00BF47C4" w:rsidRPr="00C01AF3">
              <w:rPr>
                <w:rFonts w:ascii="Times New Roman" w:hAnsi="Times New Roman"/>
                <w:bCs/>
                <w:noProof/>
                <w:color w:val="000000"/>
                <w:sz w:val="22"/>
                <w:szCs w:val="22"/>
                <w:lang w:val="sr-Latn-ME"/>
              </w:rPr>
              <w:t>od</w:t>
            </w:r>
            <w:r w:rsidR="00D52F10" w:rsidRPr="00C01AF3">
              <w:rPr>
                <w:rFonts w:ascii="Times New Roman" w:hAnsi="Times New Roman"/>
                <w:bCs/>
                <w:noProof/>
                <w:color w:val="000000"/>
                <w:sz w:val="22"/>
                <w:szCs w:val="22"/>
                <w:lang w:val="sr-Latn-ME"/>
              </w:rPr>
              <w:t xml:space="preserve"> kombinacije amlodipin/</w:t>
            </w:r>
            <w:r w:rsidR="007C4A86" w:rsidRPr="00C01AF3">
              <w:rPr>
                <w:rFonts w:ascii="Times New Roman" w:hAnsi="Times New Roman"/>
                <w:bCs/>
                <w:noProof/>
                <w:color w:val="000000"/>
                <w:sz w:val="22"/>
                <w:szCs w:val="22"/>
                <w:lang w:val="sr-Latn-ME"/>
              </w:rPr>
              <w:t>hidrohlortiazid</w:t>
            </w:r>
            <w:r w:rsidR="00D52F10" w:rsidRPr="00C01AF3">
              <w:rPr>
                <w:rFonts w:ascii="Times New Roman" w:hAnsi="Times New Roman"/>
                <w:bCs/>
                <w:noProof/>
                <w:color w:val="000000"/>
                <w:sz w:val="22"/>
                <w:szCs w:val="22"/>
                <w:lang w:val="sr-Latn-ME"/>
              </w:rPr>
              <w:t>. Potpuni efekat sniženja krvnog priti</w:t>
            </w:r>
            <w:r w:rsidR="00AB211A" w:rsidRPr="00C01AF3">
              <w:rPr>
                <w:rFonts w:ascii="Times New Roman" w:hAnsi="Times New Roman"/>
                <w:bCs/>
                <w:noProof/>
                <w:color w:val="000000"/>
                <w:sz w:val="22"/>
                <w:szCs w:val="22"/>
                <w:lang w:val="sr-Latn-ME"/>
              </w:rPr>
              <w:t xml:space="preserve">ska se postiže  </w:t>
            </w:r>
            <w:r w:rsidR="00481497" w:rsidRPr="00C01AF3">
              <w:rPr>
                <w:rFonts w:ascii="Times New Roman" w:hAnsi="Times New Roman"/>
                <w:bCs/>
                <w:noProof/>
                <w:color w:val="000000"/>
                <w:sz w:val="22"/>
                <w:szCs w:val="22"/>
                <w:lang w:val="sr-Latn-ME"/>
              </w:rPr>
              <w:t>nakon</w:t>
            </w:r>
            <w:r w:rsidR="00AB211A" w:rsidRPr="00C01AF3">
              <w:rPr>
                <w:rFonts w:ascii="Times New Roman" w:hAnsi="Times New Roman"/>
                <w:bCs/>
                <w:noProof/>
                <w:color w:val="000000"/>
                <w:sz w:val="22"/>
                <w:szCs w:val="22"/>
                <w:lang w:val="sr-Latn-ME"/>
              </w:rPr>
              <w:t xml:space="preserve">  </w:t>
            </w:r>
            <w:r w:rsidR="00481497" w:rsidRPr="00C01AF3">
              <w:rPr>
                <w:rFonts w:ascii="Times New Roman" w:hAnsi="Times New Roman"/>
                <w:bCs/>
                <w:noProof/>
                <w:color w:val="000000"/>
                <w:sz w:val="22"/>
                <w:szCs w:val="22"/>
                <w:lang w:val="sr-Latn-ME"/>
              </w:rPr>
              <w:t>dvije</w:t>
            </w:r>
            <w:r w:rsidR="00AB211A" w:rsidRPr="00C01AF3">
              <w:rPr>
                <w:rFonts w:ascii="Times New Roman" w:hAnsi="Times New Roman"/>
                <w:bCs/>
                <w:noProof/>
                <w:color w:val="000000"/>
                <w:sz w:val="22"/>
                <w:szCs w:val="22"/>
                <w:lang w:val="sr-Latn-ME"/>
              </w:rPr>
              <w:t xml:space="preserve"> </w:t>
            </w:r>
            <w:r w:rsidR="00422020" w:rsidRPr="00C01AF3">
              <w:rPr>
                <w:rFonts w:ascii="Times New Roman" w:hAnsi="Times New Roman"/>
                <w:bCs/>
                <w:noProof/>
                <w:color w:val="000000"/>
                <w:sz w:val="22"/>
                <w:szCs w:val="22"/>
                <w:lang w:val="sr-Latn-ME"/>
              </w:rPr>
              <w:t>nedjelj</w:t>
            </w:r>
            <w:r w:rsidR="00481497" w:rsidRPr="00C01AF3">
              <w:rPr>
                <w:rFonts w:ascii="Times New Roman" w:hAnsi="Times New Roman"/>
                <w:bCs/>
                <w:noProof/>
                <w:color w:val="000000"/>
                <w:sz w:val="22"/>
                <w:szCs w:val="22"/>
                <w:lang w:val="sr-Latn-ME"/>
              </w:rPr>
              <w:t>e primjene</w:t>
            </w:r>
            <w:r w:rsidR="00D52F10" w:rsidRPr="00C01AF3">
              <w:rPr>
                <w:rFonts w:ascii="Times New Roman" w:hAnsi="Times New Roman"/>
                <w:bCs/>
                <w:noProof/>
                <w:color w:val="000000"/>
                <w:sz w:val="22"/>
                <w:szCs w:val="22"/>
                <w:lang w:val="sr-Latn-ME"/>
              </w:rPr>
              <w:t xml:space="preserve"> </w:t>
            </w:r>
            <w:r w:rsidR="00481497" w:rsidRPr="00C01AF3">
              <w:rPr>
                <w:rFonts w:ascii="Times New Roman" w:hAnsi="Times New Roman"/>
                <w:bCs/>
                <w:noProof/>
                <w:color w:val="000000"/>
                <w:sz w:val="22"/>
                <w:szCs w:val="22"/>
                <w:lang w:val="sr-Latn-ME"/>
              </w:rPr>
              <w:t>najviše</w:t>
            </w:r>
            <w:r w:rsidR="00AB211A" w:rsidRPr="00C01AF3">
              <w:rPr>
                <w:rFonts w:ascii="Times New Roman" w:hAnsi="Times New Roman"/>
                <w:bCs/>
                <w:noProof/>
                <w:color w:val="000000"/>
                <w:sz w:val="22"/>
                <w:szCs w:val="22"/>
                <w:lang w:val="sr-Latn-ME"/>
              </w:rPr>
              <w:t xml:space="preserve"> doz</w:t>
            </w:r>
            <w:r w:rsidR="00481497" w:rsidRPr="00C01AF3">
              <w:rPr>
                <w:rFonts w:ascii="Times New Roman" w:hAnsi="Times New Roman"/>
                <w:bCs/>
                <w:noProof/>
                <w:color w:val="000000"/>
                <w:sz w:val="22"/>
                <w:szCs w:val="22"/>
                <w:lang w:val="sr-Latn-ME"/>
              </w:rPr>
              <w:t>e</w:t>
            </w:r>
            <w:r w:rsidR="00AB211A" w:rsidRPr="00C01AF3">
              <w:rPr>
                <w:rFonts w:ascii="Times New Roman" w:hAnsi="Times New Roman"/>
                <w:bCs/>
                <w:noProof/>
                <w:color w:val="000000"/>
                <w:sz w:val="22"/>
                <w:szCs w:val="22"/>
                <w:lang w:val="sr-Latn-ME"/>
              </w:rPr>
              <w:t xml:space="preserve"> </w:t>
            </w:r>
            <w:r w:rsidR="00A65414" w:rsidRPr="00C01AF3">
              <w:rPr>
                <w:rFonts w:ascii="Times New Roman" w:hAnsi="Times New Roman"/>
                <w:bCs/>
                <w:noProof/>
                <w:color w:val="000000"/>
                <w:sz w:val="22"/>
                <w:szCs w:val="22"/>
                <w:lang w:val="sr-Latn-ME"/>
              </w:rPr>
              <w:t>lijek</w:t>
            </w:r>
            <w:r w:rsidR="00D52F10" w:rsidRPr="00C01AF3">
              <w:rPr>
                <w:rFonts w:ascii="Times New Roman" w:hAnsi="Times New Roman"/>
                <w:bCs/>
                <w:noProof/>
                <w:color w:val="000000"/>
                <w:sz w:val="22"/>
                <w:szCs w:val="22"/>
                <w:lang w:val="sr-Latn-ME"/>
              </w:rPr>
              <w:t>a Exforge HCT. St</w:t>
            </w:r>
            <w:r w:rsidR="00AB211A" w:rsidRPr="00C01AF3">
              <w:rPr>
                <w:rFonts w:ascii="Times New Roman" w:hAnsi="Times New Roman"/>
                <w:bCs/>
                <w:noProof/>
                <w:color w:val="000000"/>
                <w:sz w:val="22"/>
                <w:szCs w:val="22"/>
                <w:lang w:val="sr-Latn-ME"/>
              </w:rPr>
              <w:t>atistički veća proporcija pacije</w:t>
            </w:r>
            <w:r w:rsidR="00D52F10" w:rsidRPr="00C01AF3">
              <w:rPr>
                <w:rFonts w:ascii="Times New Roman" w:hAnsi="Times New Roman"/>
                <w:bCs/>
                <w:noProof/>
                <w:color w:val="000000"/>
                <w:sz w:val="22"/>
                <w:szCs w:val="22"/>
                <w:lang w:val="sr-Latn-ME"/>
              </w:rPr>
              <w:t>nata postigla</w:t>
            </w:r>
            <w:r w:rsidR="00F809F3" w:rsidRPr="00C01AF3">
              <w:rPr>
                <w:rFonts w:ascii="Times New Roman" w:hAnsi="Times New Roman"/>
                <w:bCs/>
                <w:noProof/>
                <w:color w:val="000000"/>
                <w:sz w:val="22"/>
                <w:szCs w:val="22"/>
                <w:lang w:val="sr-Latn-ME"/>
              </w:rPr>
              <w:t xml:space="preserve"> je</w:t>
            </w:r>
            <w:r w:rsidR="00D52F10" w:rsidRPr="00C01AF3">
              <w:rPr>
                <w:rFonts w:ascii="Times New Roman" w:hAnsi="Times New Roman"/>
                <w:bCs/>
                <w:noProof/>
                <w:color w:val="000000"/>
                <w:sz w:val="22"/>
                <w:szCs w:val="22"/>
                <w:lang w:val="sr-Latn-ME"/>
              </w:rPr>
              <w:t xml:space="preserve"> kontrolu krvnog pritiska ( &lt;140/90 mmHg</w:t>
            </w:r>
            <w:r w:rsidR="007875C3" w:rsidRPr="00C01AF3">
              <w:rPr>
                <w:rFonts w:ascii="Times New Roman" w:hAnsi="Times New Roman"/>
                <w:bCs/>
                <w:noProof/>
                <w:color w:val="000000"/>
                <w:sz w:val="22"/>
                <w:szCs w:val="22"/>
                <w:lang w:val="sr-Latn-ME"/>
              </w:rPr>
              <w:t>) sa lijekom E</w:t>
            </w:r>
            <w:r w:rsidR="00D52F10" w:rsidRPr="00C01AF3">
              <w:rPr>
                <w:rFonts w:ascii="Times New Roman" w:hAnsi="Times New Roman"/>
                <w:bCs/>
                <w:noProof/>
                <w:color w:val="000000"/>
                <w:sz w:val="22"/>
                <w:szCs w:val="22"/>
                <w:lang w:val="sr-Latn-ME"/>
              </w:rPr>
              <w:t>xforge HCT (71</w:t>
            </w:r>
            <w:r w:rsidR="00AB211A" w:rsidRPr="00C01AF3">
              <w:rPr>
                <w:rFonts w:ascii="Times New Roman" w:hAnsi="Times New Roman"/>
                <w:bCs/>
                <w:noProof/>
                <w:color w:val="000000"/>
                <w:sz w:val="22"/>
                <w:szCs w:val="22"/>
                <w:lang w:val="sr-Latn-ME"/>
              </w:rPr>
              <w:t>%) u poređenju sa</w:t>
            </w:r>
            <w:r w:rsidR="00F809F3" w:rsidRPr="00C01AF3">
              <w:rPr>
                <w:rFonts w:ascii="Times New Roman" w:hAnsi="Times New Roman"/>
                <w:bCs/>
                <w:noProof/>
                <w:color w:val="000000"/>
                <w:sz w:val="22"/>
                <w:szCs w:val="22"/>
                <w:lang w:val="sr-Latn-ME"/>
              </w:rPr>
              <w:t xml:space="preserve"> primjenom bilo koje</w:t>
            </w:r>
            <w:r w:rsidR="00AB211A" w:rsidRPr="00C01AF3">
              <w:rPr>
                <w:rFonts w:ascii="Times New Roman" w:hAnsi="Times New Roman"/>
                <w:bCs/>
                <w:noProof/>
                <w:color w:val="000000"/>
                <w:sz w:val="22"/>
                <w:szCs w:val="22"/>
                <w:lang w:val="sr-Latn-ME"/>
              </w:rPr>
              <w:t xml:space="preserve"> </w:t>
            </w:r>
            <w:r w:rsidR="00AB211A" w:rsidRPr="00C01AF3">
              <w:rPr>
                <w:rFonts w:ascii="Times New Roman" w:hAnsi="Times New Roman"/>
                <w:bCs/>
                <w:noProof/>
                <w:color w:val="000000"/>
                <w:sz w:val="22"/>
                <w:szCs w:val="22"/>
                <w:lang w:val="sr-Latn-ME"/>
              </w:rPr>
              <w:lastRenderedPageBreak/>
              <w:t>od tri d</w:t>
            </w:r>
            <w:r w:rsidR="00D52F10" w:rsidRPr="00C01AF3">
              <w:rPr>
                <w:rFonts w:ascii="Times New Roman" w:hAnsi="Times New Roman"/>
                <w:bCs/>
                <w:noProof/>
                <w:color w:val="000000"/>
                <w:sz w:val="22"/>
                <w:szCs w:val="22"/>
                <w:lang w:val="sr-Latn-ME"/>
              </w:rPr>
              <w:t>vojne terapije ( 45-54%) ( p&lt;0,0001)</w:t>
            </w:r>
            <w:r w:rsidR="00AB211A" w:rsidRPr="00C01AF3">
              <w:rPr>
                <w:rFonts w:ascii="Times New Roman" w:hAnsi="Times New Roman"/>
                <w:bCs/>
                <w:noProof/>
                <w:color w:val="000000"/>
                <w:sz w:val="22"/>
                <w:szCs w:val="22"/>
                <w:lang w:val="sr-Latn-ME"/>
              </w:rPr>
              <w:t>.</w:t>
            </w:r>
            <w:r w:rsidR="00D52F10" w:rsidRPr="00C01AF3">
              <w:rPr>
                <w:rFonts w:ascii="Times New Roman" w:hAnsi="Times New Roman"/>
                <w:bCs/>
                <w:noProof/>
                <w:color w:val="000000"/>
                <w:sz w:val="22"/>
                <w:szCs w:val="22"/>
                <w:lang w:val="sr-Latn-ME"/>
              </w:rPr>
              <w:t xml:space="preserve"> </w:t>
            </w:r>
            <w:r w:rsidR="00BF47C4" w:rsidRPr="00C01AF3">
              <w:rPr>
                <w:rFonts w:ascii="Times New Roman" w:hAnsi="Times New Roman"/>
                <w:bCs/>
                <w:noProof/>
                <w:color w:val="000000"/>
                <w:sz w:val="22"/>
                <w:szCs w:val="22"/>
                <w:lang w:val="sr-Latn-ME"/>
              </w:rPr>
              <w:t xml:space="preserve"> </w:t>
            </w:r>
          </w:p>
          <w:p w:rsidR="000351F8" w:rsidRPr="00C01AF3" w:rsidRDefault="000351F8" w:rsidP="000351F8">
            <w:pPr>
              <w:pStyle w:val="Header"/>
              <w:tabs>
                <w:tab w:val="clear" w:pos="4536"/>
                <w:tab w:val="clear" w:pos="9072"/>
                <w:tab w:val="left" w:pos="284"/>
              </w:tabs>
              <w:jc w:val="left"/>
              <w:rPr>
                <w:rFonts w:ascii="Times New Roman" w:hAnsi="Times New Roman" w:cs="Arial"/>
                <w:bCs/>
                <w:sz w:val="22"/>
                <w:szCs w:val="22"/>
                <w:lang w:val="sr-Latn-ME"/>
              </w:rPr>
            </w:pPr>
          </w:p>
          <w:p w:rsidR="00D52F10" w:rsidRPr="00C01AF3" w:rsidRDefault="00D52F10" w:rsidP="000351F8">
            <w:pPr>
              <w:pStyle w:val="Header"/>
              <w:tabs>
                <w:tab w:val="clear" w:pos="4536"/>
                <w:tab w:val="clear" w:pos="9072"/>
                <w:tab w:val="left" w:pos="284"/>
              </w:tabs>
              <w:jc w:val="left"/>
              <w:rPr>
                <w:rFonts w:ascii="Times New Roman" w:hAnsi="Times New Roman" w:cs="Arial"/>
                <w:bCs/>
                <w:sz w:val="22"/>
                <w:szCs w:val="22"/>
                <w:lang w:val="sr-Latn-ME"/>
              </w:rPr>
            </w:pPr>
            <w:r w:rsidRPr="00C01AF3">
              <w:rPr>
                <w:rFonts w:ascii="Times New Roman" w:hAnsi="Times New Roman" w:cs="Arial"/>
                <w:bCs/>
                <w:sz w:val="22"/>
                <w:szCs w:val="22"/>
                <w:lang w:val="sr-Latn-ME"/>
              </w:rPr>
              <w:t>U podgrupi  od 283 pacijenta  fokusinarnih na praćenje krvno</w:t>
            </w:r>
            <w:r w:rsidR="00F35914" w:rsidRPr="00C01AF3">
              <w:rPr>
                <w:rFonts w:ascii="Times New Roman" w:hAnsi="Times New Roman" w:cs="Arial"/>
                <w:bCs/>
                <w:sz w:val="22"/>
                <w:szCs w:val="22"/>
                <w:lang w:val="sr-Latn-ME"/>
              </w:rPr>
              <w:t xml:space="preserve">g pritiska u ambulanti, </w:t>
            </w:r>
            <w:r w:rsidR="003309F3" w:rsidRPr="00C01AF3">
              <w:rPr>
                <w:rFonts w:ascii="Times New Roman" w:hAnsi="Times New Roman" w:cs="Arial"/>
                <w:bCs/>
                <w:sz w:val="22"/>
                <w:szCs w:val="22"/>
                <w:lang w:val="sr-Latn-ME"/>
              </w:rPr>
              <w:t>zabilje</w:t>
            </w:r>
            <w:r w:rsidRPr="00C01AF3">
              <w:rPr>
                <w:rFonts w:ascii="Times New Roman" w:hAnsi="Times New Roman" w:cs="Arial"/>
                <w:bCs/>
                <w:sz w:val="22"/>
                <w:szCs w:val="22"/>
                <w:lang w:val="sr-Latn-ME"/>
              </w:rPr>
              <w:t xml:space="preserve">ženo </w:t>
            </w:r>
            <w:r w:rsidR="00F809F3" w:rsidRPr="00C01AF3">
              <w:rPr>
                <w:rFonts w:ascii="Times New Roman" w:hAnsi="Times New Roman" w:cs="Arial"/>
                <w:bCs/>
                <w:sz w:val="22"/>
                <w:szCs w:val="22"/>
                <w:lang w:val="sr-Latn-ME"/>
              </w:rPr>
              <w:t xml:space="preserve">je </w:t>
            </w:r>
            <w:r w:rsidR="00F35914" w:rsidRPr="00C01AF3">
              <w:rPr>
                <w:rFonts w:ascii="Times New Roman" w:hAnsi="Times New Roman" w:cs="Arial"/>
                <w:bCs/>
                <w:sz w:val="22"/>
                <w:szCs w:val="22"/>
                <w:lang w:val="sr-Latn-ME"/>
              </w:rPr>
              <w:t xml:space="preserve">klinički i </w:t>
            </w:r>
            <w:r w:rsidRPr="00C01AF3">
              <w:rPr>
                <w:rFonts w:ascii="Times New Roman" w:hAnsi="Times New Roman" w:cs="Arial"/>
                <w:bCs/>
                <w:sz w:val="22"/>
                <w:szCs w:val="22"/>
                <w:lang w:val="sr-Latn-ME"/>
              </w:rPr>
              <w:t xml:space="preserve">statistički superiornije </w:t>
            </w:r>
            <w:r w:rsidR="00F809F3" w:rsidRPr="00C01AF3">
              <w:rPr>
                <w:rFonts w:ascii="Times New Roman" w:hAnsi="Times New Roman" w:cs="Arial"/>
                <w:bCs/>
                <w:sz w:val="22"/>
                <w:szCs w:val="22"/>
                <w:lang w:val="sr-Latn-ME"/>
              </w:rPr>
              <w:t xml:space="preserve">sniženje </w:t>
            </w:r>
            <w:r w:rsidRPr="00C01AF3">
              <w:rPr>
                <w:rFonts w:ascii="Times New Roman" w:hAnsi="Times New Roman" w:cs="Arial"/>
                <w:bCs/>
                <w:sz w:val="22"/>
                <w:szCs w:val="22"/>
                <w:lang w:val="sr-Latn-ME"/>
              </w:rPr>
              <w:t>24-časovnog sistolnog i dijastonog krvnog pritiska sa trojnom kombinacijom u poređenju sa kombinacijama: valsartan/</w:t>
            </w:r>
            <w:r w:rsidR="007C4A86" w:rsidRPr="00C01AF3">
              <w:rPr>
                <w:rFonts w:ascii="Times New Roman" w:hAnsi="Times New Roman" w:cs="Arial"/>
                <w:bCs/>
                <w:sz w:val="22"/>
                <w:szCs w:val="22"/>
                <w:lang w:val="sr-Latn-ME"/>
              </w:rPr>
              <w:t>hidrohlortiazid</w:t>
            </w:r>
            <w:r w:rsidRPr="00C01AF3">
              <w:rPr>
                <w:rFonts w:ascii="Times New Roman" w:hAnsi="Times New Roman" w:cs="Arial"/>
                <w:bCs/>
                <w:sz w:val="22"/>
                <w:szCs w:val="22"/>
                <w:lang w:val="sr-Latn-ME"/>
              </w:rPr>
              <w:t>,  amlodipin/valsartan, amlodipin/</w:t>
            </w:r>
            <w:r w:rsidR="007C4A86" w:rsidRPr="00C01AF3">
              <w:rPr>
                <w:rFonts w:ascii="Times New Roman" w:hAnsi="Times New Roman" w:cs="Arial"/>
                <w:bCs/>
                <w:sz w:val="22"/>
                <w:szCs w:val="22"/>
                <w:lang w:val="sr-Latn-ME"/>
              </w:rPr>
              <w:t>hidrohlortiazid</w:t>
            </w:r>
            <w:r w:rsidRPr="00C01AF3">
              <w:rPr>
                <w:rFonts w:ascii="Times New Roman" w:hAnsi="Times New Roman" w:cs="Arial"/>
                <w:bCs/>
                <w:sz w:val="22"/>
                <w:szCs w:val="22"/>
                <w:lang w:val="sr-Latn-ME"/>
              </w:rPr>
              <w:t>.</w:t>
            </w:r>
          </w:p>
          <w:p w:rsidR="00D52F10" w:rsidRPr="00C01AF3" w:rsidRDefault="00D52F10" w:rsidP="000351F8">
            <w:pPr>
              <w:pStyle w:val="Header"/>
              <w:tabs>
                <w:tab w:val="clear" w:pos="4536"/>
                <w:tab w:val="clear" w:pos="9072"/>
                <w:tab w:val="left" w:pos="284"/>
              </w:tabs>
              <w:jc w:val="left"/>
              <w:rPr>
                <w:rFonts w:ascii="Times New Roman" w:hAnsi="Times New Roman" w:cs="Arial"/>
                <w:bCs/>
                <w:sz w:val="22"/>
                <w:szCs w:val="22"/>
                <w:lang w:val="sr-Latn-ME"/>
              </w:rPr>
            </w:pPr>
          </w:p>
          <w:p w:rsidR="00711A8E"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Amlodipin</w:t>
            </w:r>
          </w:p>
          <w:p w:rsidR="00711A8E" w:rsidRPr="00C01AF3" w:rsidRDefault="00711A8E" w:rsidP="00056F49">
            <w:pPr>
              <w:pStyle w:val="Header"/>
              <w:tabs>
                <w:tab w:val="clear" w:pos="4536"/>
                <w:tab w:val="clear" w:pos="9072"/>
                <w:tab w:val="left" w:pos="284"/>
              </w:tabs>
              <w:spacing w:before="80" w:after="80"/>
              <w:jc w:val="left"/>
              <w:rPr>
                <w:rFonts w:ascii="Times New Roman" w:hAnsi="Times New Roman" w:cs="Arial"/>
                <w:bCs/>
                <w:i/>
                <w:sz w:val="22"/>
                <w:lang w:val="sr-Latn-ME"/>
              </w:rPr>
            </w:pPr>
            <w:r w:rsidRPr="00C01AF3">
              <w:rPr>
                <w:rFonts w:ascii="Times New Roman" w:hAnsi="Times New Roman" w:cs="Arial"/>
                <w:bCs/>
                <w:i/>
                <w:sz w:val="22"/>
                <w:lang w:val="sr-Latn-ME"/>
              </w:rPr>
              <w:t xml:space="preserve">Mehanizam </w:t>
            </w:r>
            <w:r w:rsidR="007B42AA" w:rsidRPr="00C01AF3">
              <w:rPr>
                <w:rFonts w:ascii="Times New Roman" w:hAnsi="Times New Roman" w:cs="Arial"/>
                <w:bCs/>
                <w:i/>
                <w:sz w:val="22"/>
                <w:lang w:val="sr-Latn-ME"/>
              </w:rPr>
              <w:t>djelov</w:t>
            </w:r>
            <w:r w:rsidRPr="00C01AF3">
              <w:rPr>
                <w:rFonts w:ascii="Times New Roman" w:hAnsi="Times New Roman" w:cs="Arial"/>
                <w:bCs/>
                <w:i/>
                <w:sz w:val="22"/>
                <w:lang w:val="sr-Latn-ME"/>
              </w:rPr>
              <w:t xml:space="preserve">anja </w:t>
            </w:r>
          </w:p>
          <w:p w:rsidR="00F474C5"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Amlodipin</w:t>
            </w:r>
            <w:r w:rsidR="00BA3C8B" w:rsidRPr="00C01AF3">
              <w:rPr>
                <w:rFonts w:ascii="Times New Roman" w:hAnsi="Times New Roman" w:cs="Arial"/>
                <w:bCs/>
                <w:sz w:val="22"/>
                <w:lang w:val="sr-Latn-ME"/>
              </w:rPr>
              <w:t xml:space="preserve">, komponenta </w:t>
            </w:r>
            <w:r w:rsidR="00A65414" w:rsidRPr="00C01AF3">
              <w:rPr>
                <w:rFonts w:ascii="Times New Roman" w:hAnsi="Times New Roman" w:cs="Arial"/>
                <w:bCs/>
                <w:sz w:val="22"/>
                <w:lang w:val="sr-Latn-ME"/>
              </w:rPr>
              <w:t>lijek</w:t>
            </w:r>
            <w:r w:rsidR="00BA3C8B" w:rsidRPr="00C01AF3">
              <w:rPr>
                <w:rFonts w:ascii="Times New Roman" w:hAnsi="Times New Roman" w:cs="Arial"/>
                <w:bCs/>
                <w:sz w:val="22"/>
                <w:lang w:val="sr-Latn-ME"/>
              </w:rPr>
              <w:t>a Exforge</w:t>
            </w:r>
            <w:r w:rsidR="00E1387C" w:rsidRPr="00C01AF3">
              <w:rPr>
                <w:rFonts w:ascii="Times New Roman" w:hAnsi="Times New Roman" w:cs="Arial"/>
                <w:bCs/>
                <w:sz w:val="22"/>
                <w:lang w:val="sr-Latn-ME"/>
              </w:rPr>
              <w:t xml:space="preserve"> HCT</w:t>
            </w:r>
            <w:r w:rsidR="00BA3C8B" w:rsidRPr="00C01AF3">
              <w:rPr>
                <w:rFonts w:ascii="Times New Roman" w:hAnsi="Times New Roman" w:cs="Arial"/>
                <w:bCs/>
                <w:sz w:val="22"/>
                <w:lang w:val="sr-Latn-ME"/>
              </w:rPr>
              <w:t>, inhibi</w:t>
            </w:r>
            <w:r w:rsidR="00F60D4C" w:rsidRPr="00C01AF3">
              <w:rPr>
                <w:rFonts w:ascii="Times New Roman" w:hAnsi="Times New Roman" w:cs="Arial"/>
                <w:bCs/>
                <w:sz w:val="22"/>
                <w:lang w:val="sr-Latn-ME"/>
              </w:rPr>
              <w:t>ra</w:t>
            </w:r>
            <w:r w:rsidR="00BA3C8B" w:rsidRPr="00C01AF3">
              <w:rPr>
                <w:rFonts w:ascii="Times New Roman" w:hAnsi="Times New Roman" w:cs="Arial"/>
                <w:bCs/>
                <w:sz w:val="22"/>
                <w:lang w:val="sr-Latn-ME"/>
              </w:rPr>
              <w:t xml:space="preserve"> transmembranski ulazak jona</w:t>
            </w:r>
            <w:r w:rsidRPr="00C01AF3">
              <w:rPr>
                <w:rFonts w:ascii="Times New Roman" w:hAnsi="Times New Roman" w:cs="Arial"/>
                <w:bCs/>
                <w:sz w:val="22"/>
                <w:lang w:val="sr-Latn-ME"/>
              </w:rPr>
              <w:t xml:space="preserve"> </w:t>
            </w:r>
            <w:r w:rsidR="008A52A3" w:rsidRPr="00C01AF3">
              <w:rPr>
                <w:rFonts w:ascii="Times New Roman" w:hAnsi="Times New Roman" w:cs="Arial"/>
                <w:bCs/>
                <w:sz w:val="22"/>
                <w:lang w:val="sr-Latn-ME"/>
              </w:rPr>
              <w:t xml:space="preserve">kalcijuma </w:t>
            </w:r>
            <w:r w:rsidRPr="00C01AF3">
              <w:rPr>
                <w:rFonts w:ascii="Times New Roman" w:hAnsi="Times New Roman" w:cs="Arial"/>
                <w:bCs/>
                <w:sz w:val="22"/>
                <w:lang w:val="sr-Latn-ME"/>
              </w:rPr>
              <w:t>u srčani i vaskularni glatki mišić.</w:t>
            </w:r>
            <w:r w:rsidR="00BA3C8B"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Mehanizam antihipertenzivnog dejstva amlodipina uključuje direktni relaksirajući efekt na </w:t>
            </w:r>
            <w:r w:rsidR="008A52A3" w:rsidRPr="00C01AF3">
              <w:rPr>
                <w:rFonts w:ascii="Times New Roman" w:hAnsi="Times New Roman" w:cs="Arial"/>
                <w:bCs/>
                <w:sz w:val="22"/>
                <w:lang w:val="sr-Latn-ME"/>
              </w:rPr>
              <w:t xml:space="preserve">glatke mišiće krvnih sudova </w:t>
            </w:r>
            <w:r w:rsidR="00BA3C8B" w:rsidRPr="00C01AF3">
              <w:rPr>
                <w:rFonts w:ascii="Times New Roman" w:hAnsi="Times New Roman" w:cs="Arial"/>
                <w:bCs/>
                <w:sz w:val="22"/>
                <w:lang w:val="sr-Latn-ME"/>
              </w:rPr>
              <w:t xml:space="preserve"> izazivajući smanjenje</w:t>
            </w:r>
            <w:r w:rsidRPr="00C01AF3">
              <w:rPr>
                <w:rFonts w:ascii="Times New Roman" w:hAnsi="Times New Roman" w:cs="Arial"/>
                <w:bCs/>
                <w:sz w:val="22"/>
                <w:lang w:val="sr-Latn-ME"/>
              </w:rPr>
              <w:t xml:space="preserve"> perifernog vaskularnog otpora i sniženje krvnog pritiska. </w:t>
            </w:r>
          </w:p>
          <w:p w:rsidR="00F474C5" w:rsidRPr="00C01AF3" w:rsidRDefault="00F474C5" w:rsidP="00056F49">
            <w:pPr>
              <w:pStyle w:val="Header"/>
              <w:tabs>
                <w:tab w:val="clear" w:pos="4536"/>
                <w:tab w:val="clear" w:pos="9072"/>
                <w:tab w:val="left" w:pos="284"/>
              </w:tabs>
              <w:spacing w:before="80" w:after="80"/>
              <w:jc w:val="left"/>
              <w:rPr>
                <w:rFonts w:ascii="Times New Roman" w:hAnsi="Times New Roman" w:cs="Arial"/>
                <w:bCs/>
                <w:i/>
                <w:sz w:val="22"/>
                <w:lang w:val="sr-Latn-ME"/>
              </w:rPr>
            </w:pPr>
            <w:r w:rsidRPr="00C01AF3">
              <w:rPr>
                <w:rFonts w:ascii="Times New Roman" w:hAnsi="Times New Roman" w:cs="Arial"/>
                <w:bCs/>
                <w:i/>
                <w:sz w:val="22"/>
                <w:lang w:val="sr-Latn-ME"/>
              </w:rPr>
              <w:t>Farmakodinamski efekti</w:t>
            </w: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Eksperimentalni podaci </w:t>
            </w:r>
            <w:r w:rsidR="00E10A77" w:rsidRPr="00C01AF3">
              <w:rPr>
                <w:rFonts w:ascii="Times New Roman" w:hAnsi="Times New Roman" w:cs="Arial"/>
                <w:bCs/>
                <w:sz w:val="22"/>
                <w:lang w:val="sr-Latn-ME"/>
              </w:rPr>
              <w:t xml:space="preserve">ukazuju </w:t>
            </w:r>
            <w:r w:rsidRPr="00C01AF3">
              <w:rPr>
                <w:rFonts w:ascii="Times New Roman" w:hAnsi="Times New Roman" w:cs="Arial"/>
                <w:bCs/>
                <w:sz w:val="22"/>
                <w:lang w:val="sr-Latn-ME"/>
              </w:rPr>
              <w:t>da se amlodipin vezuje i za dihidropiridinsk</w:t>
            </w:r>
            <w:r w:rsidR="00E10A77" w:rsidRPr="00C01AF3">
              <w:rPr>
                <w:rFonts w:ascii="Times New Roman" w:hAnsi="Times New Roman" w:cs="Arial"/>
                <w:bCs/>
                <w:sz w:val="22"/>
                <w:lang w:val="sr-Latn-ME"/>
              </w:rPr>
              <w:t>a</w:t>
            </w:r>
            <w:r w:rsidRPr="00C01AF3">
              <w:rPr>
                <w:rFonts w:ascii="Times New Roman" w:hAnsi="Times New Roman" w:cs="Arial"/>
                <w:bCs/>
                <w:sz w:val="22"/>
                <w:lang w:val="sr-Latn-ME"/>
              </w:rPr>
              <w:t xml:space="preserve"> i ne-dihidropiridinsk</w:t>
            </w:r>
            <w:r w:rsidR="00E10A77" w:rsidRPr="00C01AF3">
              <w:rPr>
                <w:rFonts w:ascii="Times New Roman" w:hAnsi="Times New Roman" w:cs="Arial"/>
                <w:bCs/>
                <w:sz w:val="22"/>
                <w:lang w:val="sr-Latn-ME"/>
              </w:rPr>
              <w:t>a</w:t>
            </w:r>
            <w:r w:rsidRPr="00C01AF3">
              <w:rPr>
                <w:rFonts w:ascii="Times New Roman" w:hAnsi="Times New Roman" w:cs="Arial"/>
                <w:bCs/>
                <w:sz w:val="22"/>
                <w:lang w:val="sr-Latn-ME"/>
              </w:rPr>
              <w:t xml:space="preserve"> vez</w:t>
            </w:r>
            <w:r w:rsidR="00E10A77" w:rsidRPr="00C01AF3">
              <w:rPr>
                <w:rFonts w:ascii="Times New Roman" w:hAnsi="Times New Roman" w:cs="Arial"/>
                <w:bCs/>
                <w:sz w:val="22"/>
                <w:lang w:val="sr-Latn-ME"/>
              </w:rPr>
              <w:t xml:space="preserve">na </w:t>
            </w:r>
            <w:r w:rsidR="0050171E" w:rsidRPr="00C01AF3">
              <w:rPr>
                <w:rFonts w:ascii="Times New Roman" w:hAnsi="Times New Roman" w:cs="Arial"/>
                <w:bCs/>
                <w:sz w:val="22"/>
                <w:lang w:val="sr-Latn-ME"/>
              </w:rPr>
              <w:t>mjest</w:t>
            </w:r>
            <w:r w:rsidR="00E10A77" w:rsidRPr="00C01AF3">
              <w:rPr>
                <w:rFonts w:ascii="Times New Roman" w:hAnsi="Times New Roman" w:cs="Arial"/>
                <w:bCs/>
                <w:sz w:val="22"/>
                <w:lang w:val="sr-Latn-ME"/>
              </w:rPr>
              <w:t>a</w:t>
            </w:r>
            <w:r w:rsidRPr="00C01AF3">
              <w:rPr>
                <w:rFonts w:ascii="Times New Roman" w:hAnsi="Times New Roman" w:cs="Arial"/>
                <w:bCs/>
                <w:sz w:val="22"/>
                <w:lang w:val="sr-Latn-ME"/>
              </w:rPr>
              <w:t>.</w:t>
            </w:r>
            <w:r w:rsidR="00493C06"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Kontraktilni procesi u srčanom i vaskularnom glatkom mišiću zavise od protoka ekstracelularnih jona kalcijuma u ćelije ovih mišića </w:t>
            </w:r>
            <w:r w:rsidR="00E10A77" w:rsidRPr="00C01AF3">
              <w:rPr>
                <w:rFonts w:ascii="Times New Roman" w:hAnsi="Times New Roman" w:cs="Arial"/>
                <w:bCs/>
                <w:sz w:val="22"/>
                <w:lang w:val="sr-Latn-ME"/>
              </w:rPr>
              <w:t xml:space="preserve">kroz </w:t>
            </w:r>
            <w:r w:rsidRPr="00C01AF3">
              <w:rPr>
                <w:rFonts w:ascii="Times New Roman" w:hAnsi="Times New Roman" w:cs="Arial"/>
                <w:bCs/>
                <w:sz w:val="22"/>
                <w:lang w:val="sr-Latn-ME"/>
              </w:rPr>
              <w:t>specifičn</w:t>
            </w:r>
            <w:r w:rsidR="00E10A77" w:rsidRPr="00C01AF3">
              <w:rPr>
                <w:rFonts w:ascii="Times New Roman" w:hAnsi="Times New Roman" w:cs="Arial"/>
                <w:bCs/>
                <w:sz w:val="22"/>
                <w:lang w:val="sr-Latn-ME"/>
              </w:rPr>
              <w:t>e</w:t>
            </w:r>
            <w:r w:rsidRPr="00C01AF3">
              <w:rPr>
                <w:rFonts w:ascii="Times New Roman" w:hAnsi="Times New Roman" w:cs="Arial"/>
                <w:bCs/>
                <w:sz w:val="22"/>
                <w:lang w:val="sr-Latn-ME"/>
              </w:rPr>
              <w:t xml:space="preserve"> jonsk</w:t>
            </w:r>
            <w:r w:rsidR="00E10A77" w:rsidRPr="00C01AF3">
              <w:rPr>
                <w:rFonts w:ascii="Times New Roman" w:hAnsi="Times New Roman" w:cs="Arial"/>
                <w:bCs/>
                <w:sz w:val="22"/>
                <w:lang w:val="sr-Latn-ME"/>
              </w:rPr>
              <w:t>e</w:t>
            </w:r>
            <w:r w:rsidRPr="00C01AF3">
              <w:rPr>
                <w:rFonts w:ascii="Times New Roman" w:hAnsi="Times New Roman" w:cs="Arial"/>
                <w:bCs/>
                <w:sz w:val="22"/>
                <w:lang w:val="sr-Latn-ME"/>
              </w:rPr>
              <w:t xml:space="preserve"> kanal</w:t>
            </w:r>
            <w:r w:rsidR="00E10A77" w:rsidRPr="00C01AF3">
              <w:rPr>
                <w:rFonts w:ascii="Times New Roman" w:hAnsi="Times New Roman" w:cs="Arial"/>
                <w:bCs/>
                <w:sz w:val="22"/>
                <w:lang w:val="sr-Latn-ME"/>
              </w:rPr>
              <w:t>e</w:t>
            </w:r>
            <w:r w:rsidRPr="00C01AF3">
              <w:rPr>
                <w:rFonts w:ascii="Times New Roman" w:hAnsi="Times New Roman" w:cs="Arial"/>
                <w:bCs/>
                <w:sz w:val="22"/>
                <w:lang w:val="sr-Latn-ME"/>
              </w:rPr>
              <w:t>.</w:t>
            </w:r>
          </w:p>
          <w:p w:rsidR="00056F49" w:rsidRPr="00C01AF3" w:rsidRDefault="001B7840"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Poslije</w:t>
            </w:r>
            <w:r w:rsidR="00056F49" w:rsidRPr="00C01AF3">
              <w:rPr>
                <w:rFonts w:ascii="Times New Roman" w:hAnsi="Times New Roman" w:cs="Arial"/>
                <w:bCs/>
                <w:sz w:val="22"/>
                <w:lang w:val="sr-Latn-ME"/>
              </w:rPr>
              <w:t xml:space="preserve"> </w:t>
            </w:r>
            <w:r w:rsidR="00A65414" w:rsidRPr="00C01AF3">
              <w:rPr>
                <w:rFonts w:ascii="Times New Roman" w:hAnsi="Times New Roman" w:cs="Arial"/>
                <w:bCs/>
                <w:sz w:val="22"/>
                <w:lang w:val="sr-Latn-ME"/>
              </w:rPr>
              <w:t>primje</w:t>
            </w:r>
            <w:r w:rsidR="00056F49" w:rsidRPr="00C01AF3">
              <w:rPr>
                <w:rFonts w:ascii="Times New Roman" w:hAnsi="Times New Roman" w:cs="Arial"/>
                <w:bCs/>
                <w:sz w:val="22"/>
                <w:lang w:val="sr-Latn-ME"/>
              </w:rPr>
              <w:t>ne terapijskih doza amlodipina pacijentima sa hipertenzijom, amlodipin dovod</w:t>
            </w:r>
            <w:r w:rsidR="00493C06" w:rsidRPr="00C01AF3">
              <w:rPr>
                <w:rFonts w:ascii="Times New Roman" w:hAnsi="Times New Roman" w:cs="Arial"/>
                <w:bCs/>
                <w:sz w:val="22"/>
                <w:lang w:val="sr-Latn-ME"/>
              </w:rPr>
              <w:t>i do vazodilatacije s</w:t>
            </w:r>
            <w:r w:rsidR="00F60D4C" w:rsidRPr="00C01AF3">
              <w:rPr>
                <w:rFonts w:ascii="Times New Roman" w:hAnsi="Times New Roman" w:cs="Arial"/>
                <w:bCs/>
                <w:sz w:val="22"/>
                <w:lang w:val="sr-Latn-ME"/>
              </w:rPr>
              <w:t>a</w:t>
            </w:r>
            <w:r w:rsidR="00493C06" w:rsidRPr="00C01AF3">
              <w:rPr>
                <w:rFonts w:ascii="Times New Roman" w:hAnsi="Times New Roman" w:cs="Arial"/>
                <w:bCs/>
                <w:sz w:val="22"/>
                <w:lang w:val="sr-Latn-ME"/>
              </w:rPr>
              <w:t xml:space="preserve"> rezultuju</w:t>
            </w:r>
            <w:r w:rsidR="00056F49" w:rsidRPr="00C01AF3">
              <w:rPr>
                <w:rFonts w:ascii="Times New Roman" w:hAnsi="Times New Roman" w:cs="Arial"/>
                <w:bCs/>
                <w:sz w:val="22"/>
                <w:lang w:val="sr-Latn-ME"/>
              </w:rPr>
              <w:t>ćim sniženjem krvnog pritiska i u l</w:t>
            </w:r>
            <w:r w:rsidR="00F81D9F" w:rsidRPr="00C01AF3">
              <w:rPr>
                <w:rFonts w:ascii="Times New Roman" w:hAnsi="Times New Roman" w:cs="Arial"/>
                <w:bCs/>
                <w:sz w:val="22"/>
                <w:lang w:val="sr-Latn-ME"/>
              </w:rPr>
              <w:t>ežećem i u uspravnom položaju. Ovo</w:t>
            </w:r>
            <w:r w:rsidR="00056F49" w:rsidRPr="00C01AF3">
              <w:rPr>
                <w:rFonts w:ascii="Times New Roman" w:hAnsi="Times New Roman" w:cs="Arial"/>
                <w:bCs/>
                <w:sz w:val="22"/>
                <w:lang w:val="sr-Latn-ME"/>
              </w:rPr>
              <w:t xml:space="preserve"> sniženje pritiska nije propraćeno značajnijim </w:t>
            </w:r>
            <w:r w:rsidR="00644CBB" w:rsidRPr="00C01AF3">
              <w:rPr>
                <w:rFonts w:ascii="Times New Roman" w:hAnsi="Times New Roman" w:cs="Arial"/>
                <w:bCs/>
                <w:sz w:val="22"/>
                <w:lang w:val="sr-Latn-ME"/>
              </w:rPr>
              <w:t>promjen</w:t>
            </w:r>
            <w:r w:rsidR="00056F49" w:rsidRPr="00C01AF3">
              <w:rPr>
                <w:rFonts w:ascii="Times New Roman" w:hAnsi="Times New Roman" w:cs="Arial"/>
                <w:bCs/>
                <w:sz w:val="22"/>
                <w:lang w:val="sr-Latn-ME"/>
              </w:rPr>
              <w:t>ama u frekvenciji srca ili nivoima kateholamina</w:t>
            </w:r>
            <w:r w:rsidR="00F60D4C" w:rsidRPr="00C01AF3">
              <w:rPr>
                <w:rFonts w:ascii="Times New Roman" w:hAnsi="Times New Roman" w:cs="Arial"/>
                <w:bCs/>
                <w:sz w:val="22"/>
                <w:lang w:val="sr-Latn-ME"/>
              </w:rPr>
              <w:t xml:space="preserve"> u plazmi</w:t>
            </w:r>
            <w:r w:rsidR="00056F49" w:rsidRPr="00C01AF3">
              <w:rPr>
                <w:rFonts w:ascii="Times New Roman" w:hAnsi="Times New Roman" w:cs="Arial"/>
                <w:bCs/>
                <w:sz w:val="22"/>
                <w:lang w:val="sr-Latn-ME"/>
              </w:rPr>
              <w:t xml:space="preserve"> tokom </w:t>
            </w:r>
            <w:r w:rsidR="00F60D4C" w:rsidRPr="00C01AF3">
              <w:rPr>
                <w:rFonts w:ascii="Times New Roman" w:hAnsi="Times New Roman" w:cs="Arial"/>
                <w:bCs/>
                <w:sz w:val="22"/>
                <w:lang w:val="sr-Latn-ME"/>
              </w:rPr>
              <w:t>dugotrajne</w:t>
            </w:r>
            <w:r w:rsidR="00056F49" w:rsidRPr="00C01AF3">
              <w:rPr>
                <w:rFonts w:ascii="Times New Roman" w:hAnsi="Times New Roman" w:cs="Arial"/>
                <w:bCs/>
                <w:sz w:val="22"/>
                <w:lang w:val="sr-Latn-ME"/>
              </w:rPr>
              <w:t xml:space="preserve"> </w:t>
            </w:r>
            <w:r w:rsidR="00A65414" w:rsidRPr="00C01AF3">
              <w:rPr>
                <w:rFonts w:ascii="Times New Roman" w:hAnsi="Times New Roman" w:cs="Arial"/>
                <w:bCs/>
                <w:sz w:val="22"/>
                <w:lang w:val="sr-Latn-ME"/>
              </w:rPr>
              <w:t>primje</w:t>
            </w:r>
            <w:r w:rsidR="00056F49" w:rsidRPr="00C01AF3">
              <w:rPr>
                <w:rFonts w:ascii="Times New Roman" w:hAnsi="Times New Roman" w:cs="Arial"/>
                <w:bCs/>
                <w:sz w:val="22"/>
                <w:lang w:val="sr-Latn-ME"/>
              </w:rPr>
              <w:t>ne.</w:t>
            </w:r>
          </w:p>
          <w:p w:rsidR="00056F49" w:rsidRPr="00C01AF3" w:rsidRDefault="00FC4468"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K</w:t>
            </w:r>
            <w:r w:rsidR="00F81D9F" w:rsidRPr="00C01AF3">
              <w:rPr>
                <w:rFonts w:ascii="Times New Roman" w:hAnsi="Times New Roman" w:cs="Arial"/>
                <w:bCs/>
                <w:sz w:val="22"/>
                <w:lang w:val="sr-Latn-ME"/>
              </w:rPr>
              <w:t xml:space="preserve">oncentracije </w:t>
            </w:r>
            <w:r w:rsidR="00A65414" w:rsidRPr="00C01AF3">
              <w:rPr>
                <w:rFonts w:ascii="Times New Roman" w:hAnsi="Times New Roman" w:cs="Arial"/>
                <w:bCs/>
                <w:sz w:val="22"/>
                <w:lang w:val="sr-Latn-ME"/>
              </w:rPr>
              <w:t>lijek</w:t>
            </w:r>
            <w:r w:rsidR="00F81D9F" w:rsidRPr="00C01AF3">
              <w:rPr>
                <w:rFonts w:ascii="Times New Roman" w:hAnsi="Times New Roman" w:cs="Arial"/>
                <w:bCs/>
                <w:sz w:val="22"/>
                <w:lang w:val="sr-Latn-ME"/>
              </w:rPr>
              <w:t xml:space="preserve">a </w:t>
            </w:r>
            <w:r w:rsidRPr="00C01AF3">
              <w:rPr>
                <w:rFonts w:ascii="Times New Roman" w:hAnsi="Times New Roman" w:cs="Arial"/>
                <w:bCs/>
                <w:sz w:val="22"/>
                <w:lang w:val="sr-Latn-ME"/>
              </w:rPr>
              <w:t>u plazmi</w:t>
            </w:r>
            <w:r w:rsidR="00F81D9F" w:rsidRPr="00C01AF3">
              <w:rPr>
                <w:rFonts w:ascii="Times New Roman" w:hAnsi="Times New Roman" w:cs="Arial"/>
                <w:bCs/>
                <w:sz w:val="22"/>
                <w:lang w:val="sr-Latn-ME"/>
              </w:rPr>
              <w:t xml:space="preserve"> su u korelaciji</w:t>
            </w:r>
            <w:r w:rsidR="00056F49" w:rsidRPr="00C01AF3">
              <w:rPr>
                <w:rFonts w:ascii="Times New Roman" w:hAnsi="Times New Roman" w:cs="Arial"/>
                <w:bCs/>
                <w:sz w:val="22"/>
                <w:lang w:val="sr-Latn-ME"/>
              </w:rPr>
              <w:t xml:space="preserve"> sa postignutim efektom i kod mlađih i kod starijih pacijenata.</w:t>
            </w: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Kod pacijenata s hipertenzijom i normalnom funkcijom bubrega, terapijske doze amlodipina dovode do smanjenj</w:t>
            </w:r>
            <w:r w:rsidR="00F81D9F" w:rsidRPr="00C01AF3">
              <w:rPr>
                <w:rFonts w:ascii="Times New Roman" w:hAnsi="Times New Roman" w:cs="Arial"/>
                <w:bCs/>
                <w:sz w:val="22"/>
                <w:lang w:val="sr-Latn-ME"/>
              </w:rPr>
              <w:t>a renalnog vaskularnog otpora</w:t>
            </w:r>
            <w:r w:rsidRPr="00C01AF3">
              <w:rPr>
                <w:rFonts w:ascii="Times New Roman" w:hAnsi="Times New Roman" w:cs="Arial"/>
                <w:bCs/>
                <w:sz w:val="22"/>
                <w:lang w:val="sr-Latn-ME"/>
              </w:rPr>
              <w:t xml:space="preserve"> i do povećanja stepena glomerularne filtracije i efektivnog renalnog protoka plazme, bez </w:t>
            </w:r>
            <w:r w:rsidR="00644CBB" w:rsidRPr="00C01AF3">
              <w:rPr>
                <w:rFonts w:ascii="Times New Roman" w:hAnsi="Times New Roman" w:cs="Arial"/>
                <w:bCs/>
                <w:sz w:val="22"/>
                <w:lang w:val="sr-Latn-ME"/>
              </w:rPr>
              <w:t>promjen</w:t>
            </w:r>
            <w:r w:rsidRPr="00C01AF3">
              <w:rPr>
                <w:rFonts w:ascii="Times New Roman" w:hAnsi="Times New Roman" w:cs="Arial"/>
                <w:bCs/>
                <w:sz w:val="22"/>
                <w:lang w:val="sr-Latn-ME"/>
              </w:rPr>
              <w:t>a u filtracionoj frakciji ili proteinuriji.</w:t>
            </w: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Kao i kod drugih blokatora </w:t>
            </w:r>
            <w:r w:rsidR="00770A6D" w:rsidRPr="00C01AF3">
              <w:rPr>
                <w:rFonts w:ascii="Times New Roman" w:hAnsi="Times New Roman" w:cs="Arial"/>
                <w:bCs/>
                <w:sz w:val="22"/>
                <w:lang w:val="sr-Latn-ME"/>
              </w:rPr>
              <w:t xml:space="preserve">kalcijumskih </w:t>
            </w:r>
            <w:r w:rsidRPr="00C01AF3">
              <w:rPr>
                <w:rFonts w:ascii="Times New Roman" w:hAnsi="Times New Roman" w:cs="Arial"/>
                <w:bCs/>
                <w:sz w:val="22"/>
                <w:lang w:val="sr-Latn-ME"/>
              </w:rPr>
              <w:t>kanala,</w:t>
            </w:r>
            <w:r w:rsidR="00DD0333" w:rsidRPr="00C01AF3">
              <w:rPr>
                <w:rFonts w:ascii="Times New Roman" w:hAnsi="Times New Roman" w:cs="Arial"/>
                <w:bCs/>
                <w:sz w:val="22"/>
                <w:lang w:val="sr-Latn-ME"/>
              </w:rPr>
              <w:t xml:space="preserve"> hemodinamska </w:t>
            </w:r>
            <w:r w:rsidR="00B7287E" w:rsidRPr="00C01AF3">
              <w:rPr>
                <w:rFonts w:ascii="Times New Roman" w:hAnsi="Times New Roman" w:cs="Arial"/>
                <w:bCs/>
                <w:sz w:val="22"/>
                <w:lang w:val="sr-Latn-ME"/>
              </w:rPr>
              <w:t>mjere</w:t>
            </w:r>
            <w:r w:rsidR="00DD0333" w:rsidRPr="00C01AF3">
              <w:rPr>
                <w:rFonts w:ascii="Times New Roman" w:hAnsi="Times New Roman" w:cs="Arial"/>
                <w:bCs/>
                <w:sz w:val="22"/>
                <w:lang w:val="sr-Latn-ME"/>
              </w:rPr>
              <w:t>nja srčane</w:t>
            </w:r>
            <w:r w:rsidRPr="00C01AF3">
              <w:rPr>
                <w:rFonts w:ascii="Times New Roman" w:hAnsi="Times New Roman" w:cs="Arial"/>
                <w:bCs/>
                <w:sz w:val="22"/>
                <w:lang w:val="sr-Latn-ME"/>
              </w:rPr>
              <w:t xml:space="preserve"> funkcije u mirovanju i u naporu kod pacijenata sa normalnom ventrikularnom funkcijom</w:t>
            </w:r>
            <w:r w:rsidR="00770A6D" w:rsidRPr="00C01AF3">
              <w:rPr>
                <w:rFonts w:ascii="Times New Roman" w:hAnsi="Times New Roman" w:cs="Arial"/>
                <w:bCs/>
                <w:sz w:val="22"/>
                <w:lang w:val="sr-Latn-ME"/>
              </w:rPr>
              <w:t xml:space="preserve"> liječenih</w:t>
            </w:r>
            <w:r w:rsidRPr="00C01AF3">
              <w:rPr>
                <w:rFonts w:ascii="Times New Roman" w:hAnsi="Times New Roman" w:cs="Arial"/>
                <w:bCs/>
                <w:sz w:val="22"/>
                <w:lang w:val="sr-Latn-ME"/>
              </w:rPr>
              <w:t xml:space="preserve"> amlodipinom pokaz</w:t>
            </w:r>
            <w:r w:rsidR="00770A6D" w:rsidRPr="00C01AF3">
              <w:rPr>
                <w:rFonts w:ascii="Times New Roman" w:hAnsi="Times New Roman" w:cs="Arial"/>
                <w:bCs/>
                <w:sz w:val="22"/>
                <w:lang w:val="sr-Latn-ME"/>
              </w:rPr>
              <w:t>ala su</w:t>
            </w:r>
            <w:r w:rsidRPr="00C01AF3">
              <w:rPr>
                <w:rFonts w:ascii="Times New Roman" w:hAnsi="Times New Roman" w:cs="Arial"/>
                <w:bCs/>
                <w:sz w:val="22"/>
                <w:lang w:val="sr-Latn-ME"/>
              </w:rPr>
              <w:t xml:space="preserve"> generalno</w:t>
            </w:r>
            <w:r w:rsidR="00770A6D" w:rsidRPr="00C01AF3">
              <w:rPr>
                <w:rFonts w:ascii="Times New Roman" w:hAnsi="Times New Roman" w:cs="Arial"/>
                <w:bCs/>
                <w:sz w:val="22"/>
                <w:lang w:val="sr-Latn-ME"/>
              </w:rPr>
              <w:t xml:space="preserve"> </w:t>
            </w:r>
            <w:r w:rsidRPr="00C01AF3">
              <w:rPr>
                <w:rFonts w:ascii="Times New Roman" w:hAnsi="Times New Roman" w:cs="Arial"/>
                <w:bCs/>
                <w:sz w:val="22"/>
                <w:lang w:val="sr-Latn-ME"/>
              </w:rPr>
              <w:t>mal</w:t>
            </w:r>
            <w:r w:rsidR="00770A6D" w:rsidRPr="00C01AF3">
              <w:rPr>
                <w:rFonts w:ascii="Times New Roman" w:hAnsi="Times New Roman" w:cs="Arial"/>
                <w:bCs/>
                <w:sz w:val="22"/>
                <w:lang w:val="sr-Latn-ME"/>
              </w:rPr>
              <w:t>i</w:t>
            </w:r>
            <w:r w:rsidRPr="00C01AF3">
              <w:rPr>
                <w:rFonts w:ascii="Times New Roman" w:hAnsi="Times New Roman" w:cs="Arial"/>
                <w:bCs/>
                <w:sz w:val="22"/>
                <w:lang w:val="sr-Latn-ME"/>
              </w:rPr>
              <w:t xml:space="preserve"> </w:t>
            </w:r>
            <w:r w:rsidR="00770A6D" w:rsidRPr="00C01AF3">
              <w:rPr>
                <w:rFonts w:ascii="Times New Roman" w:hAnsi="Times New Roman" w:cs="Arial"/>
                <w:bCs/>
                <w:sz w:val="22"/>
                <w:lang w:val="sr-Latn-ME"/>
              </w:rPr>
              <w:t xml:space="preserve">porast </w:t>
            </w:r>
            <w:r w:rsidRPr="00C01AF3">
              <w:rPr>
                <w:rFonts w:ascii="Times New Roman" w:hAnsi="Times New Roman" w:cs="Arial"/>
                <w:bCs/>
                <w:sz w:val="22"/>
                <w:lang w:val="sr-Latn-ME"/>
              </w:rPr>
              <w:t>kardijalno</w:t>
            </w:r>
            <w:r w:rsidR="00770A6D" w:rsidRPr="00C01AF3">
              <w:rPr>
                <w:rFonts w:ascii="Times New Roman" w:hAnsi="Times New Roman" w:cs="Arial"/>
                <w:bCs/>
                <w:sz w:val="22"/>
                <w:lang w:val="sr-Latn-ME"/>
              </w:rPr>
              <w:t>g</w:t>
            </w:r>
            <w:r w:rsidRPr="00C01AF3">
              <w:rPr>
                <w:rFonts w:ascii="Times New Roman" w:hAnsi="Times New Roman" w:cs="Arial"/>
                <w:bCs/>
                <w:sz w:val="22"/>
                <w:lang w:val="sr-Latn-ME"/>
              </w:rPr>
              <w:t xml:space="preserve"> indeks</w:t>
            </w:r>
            <w:r w:rsidR="00770A6D" w:rsidRPr="00C01AF3">
              <w:rPr>
                <w:rFonts w:ascii="Times New Roman" w:hAnsi="Times New Roman" w:cs="Arial"/>
                <w:bCs/>
                <w:sz w:val="22"/>
                <w:lang w:val="sr-Latn-ME"/>
              </w:rPr>
              <w:t>a</w:t>
            </w:r>
            <w:r w:rsidRPr="00C01AF3">
              <w:rPr>
                <w:rFonts w:ascii="Times New Roman" w:hAnsi="Times New Roman" w:cs="Arial"/>
                <w:bCs/>
                <w:sz w:val="22"/>
                <w:lang w:val="sr-Latn-ME"/>
              </w:rPr>
              <w:t xml:space="preserve"> bez značajnijeg uticaja na dP/dt ili na </w:t>
            </w:r>
            <w:r w:rsidR="00770A6D" w:rsidRPr="00C01AF3">
              <w:rPr>
                <w:rFonts w:ascii="Times New Roman" w:hAnsi="Times New Roman" w:cs="Arial"/>
                <w:bCs/>
                <w:sz w:val="22"/>
                <w:lang w:val="sr-Latn-ME"/>
              </w:rPr>
              <w:t xml:space="preserve">krajnji </w:t>
            </w:r>
            <w:r w:rsidRPr="00C01AF3">
              <w:rPr>
                <w:rFonts w:ascii="Times New Roman" w:hAnsi="Times New Roman" w:cs="Arial"/>
                <w:bCs/>
                <w:sz w:val="22"/>
                <w:lang w:val="sr-Latn-ME"/>
              </w:rPr>
              <w:t xml:space="preserve">dijastolni pritisak ili volumen </w:t>
            </w:r>
            <w:r w:rsidR="00E9309D" w:rsidRPr="00C01AF3">
              <w:rPr>
                <w:rFonts w:ascii="Times New Roman" w:hAnsi="Times New Roman" w:cs="Arial"/>
                <w:bCs/>
                <w:sz w:val="22"/>
                <w:lang w:val="sr-Latn-ME"/>
              </w:rPr>
              <w:t>lijeve</w:t>
            </w:r>
            <w:r w:rsidRPr="00C01AF3">
              <w:rPr>
                <w:rFonts w:ascii="Times New Roman" w:hAnsi="Times New Roman" w:cs="Arial"/>
                <w:bCs/>
                <w:sz w:val="22"/>
                <w:lang w:val="sr-Latn-ME"/>
              </w:rPr>
              <w:t xml:space="preserve"> komore. U hemodinamskim studijama, </w:t>
            </w:r>
            <w:r w:rsidR="00A65414" w:rsidRPr="00C01AF3">
              <w:rPr>
                <w:rFonts w:ascii="Times New Roman" w:hAnsi="Times New Roman" w:cs="Arial"/>
                <w:bCs/>
                <w:sz w:val="22"/>
                <w:lang w:val="sr-Latn-ME"/>
              </w:rPr>
              <w:t>primje</w:t>
            </w:r>
            <w:r w:rsidRPr="00C01AF3">
              <w:rPr>
                <w:rFonts w:ascii="Times New Roman" w:hAnsi="Times New Roman" w:cs="Arial"/>
                <w:bCs/>
                <w:sz w:val="22"/>
                <w:lang w:val="sr-Latn-ME"/>
              </w:rPr>
              <w:t xml:space="preserve">na amlodipina nije bila udružena sa negativnim inotropnim efektom kada se </w:t>
            </w:r>
            <w:r w:rsidR="00A65414" w:rsidRPr="00C01AF3">
              <w:rPr>
                <w:rFonts w:ascii="Times New Roman" w:hAnsi="Times New Roman" w:cs="Arial"/>
                <w:bCs/>
                <w:sz w:val="22"/>
                <w:lang w:val="sr-Latn-ME"/>
              </w:rPr>
              <w:t>lijek</w:t>
            </w:r>
            <w:r w:rsidRPr="00C01AF3">
              <w:rPr>
                <w:rFonts w:ascii="Times New Roman" w:hAnsi="Times New Roman" w:cs="Arial"/>
                <w:bCs/>
                <w:sz w:val="22"/>
                <w:lang w:val="sr-Latn-ME"/>
              </w:rPr>
              <w:t xml:space="preserve"> </w:t>
            </w:r>
            <w:r w:rsidR="0090474F" w:rsidRPr="00C01AF3">
              <w:rPr>
                <w:rFonts w:ascii="Times New Roman" w:hAnsi="Times New Roman" w:cs="Arial"/>
                <w:bCs/>
                <w:sz w:val="22"/>
                <w:lang w:val="sr-Latn-ME"/>
              </w:rPr>
              <w:t>primjen</w:t>
            </w:r>
            <w:r w:rsidRPr="00C01AF3">
              <w:rPr>
                <w:rFonts w:ascii="Times New Roman" w:hAnsi="Times New Roman" w:cs="Arial"/>
                <w:bCs/>
                <w:sz w:val="22"/>
                <w:lang w:val="sr-Latn-ME"/>
              </w:rPr>
              <w:t>jivao u terapijskim dozama</w:t>
            </w:r>
            <w:r w:rsidR="00DD0333" w:rsidRPr="00C01AF3">
              <w:rPr>
                <w:rFonts w:ascii="Times New Roman" w:hAnsi="Times New Roman" w:cs="Arial"/>
                <w:bCs/>
                <w:sz w:val="22"/>
                <w:lang w:val="sr-Latn-ME"/>
              </w:rPr>
              <w:t xml:space="preserve"> kod  </w:t>
            </w:r>
            <w:r w:rsidR="00770A6D" w:rsidRPr="00C01AF3">
              <w:rPr>
                <w:rFonts w:ascii="Times New Roman" w:hAnsi="Times New Roman" w:cs="Arial"/>
                <w:bCs/>
                <w:sz w:val="22"/>
                <w:lang w:val="sr-Latn-ME"/>
              </w:rPr>
              <w:t xml:space="preserve">zdravih </w:t>
            </w:r>
            <w:r w:rsidRPr="00C01AF3">
              <w:rPr>
                <w:rFonts w:ascii="Times New Roman" w:hAnsi="Times New Roman" w:cs="Arial"/>
                <w:bCs/>
                <w:sz w:val="22"/>
                <w:lang w:val="sr-Latn-ME"/>
              </w:rPr>
              <w:t xml:space="preserve">životinja i ljudi, čak i kada </w:t>
            </w:r>
            <w:r w:rsidR="00770A6D" w:rsidRPr="00C01AF3">
              <w:rPr>
                <w:rFonts w:ascii="Times New Roman" w:hAnsi="Times New Roman" w:cs="Arial"/>
                <w:bCs/>
                <w:sz w:val="22"/>
                <w:lang w:val="sr-Latn-ME"/>
              </w:rPr>
              <w:t>s</w:t>
            </w:r>
            <w:r w:rsidRPr="00C01AF3">
              <w:rPr>
                <w:rFonts w:ascii="Times New Roman" w:hAnsi="Times New Roman" w:cs="Arial"/>
                <w:bCs/>
                <w:sz w:val="22"/>
                <w:lang w:val="sr-Latn-ME"/>
              </w:rPr>
              <w:t xml:space="preserve">e </w:t>
            </w:r>
            <w:r w:rsidR="00770A6D" w:rsidRPr="00C01AF3">
              <w:rPr>
                <w:rFonts w:ascii="Times New Roman" w:hAnsi="Times New Roman" w:cs="Arial"/>
                <w:bCs/>
                <w:sz w:val="22"/>
                <w:lang w:val="sr-Latn-ME"/>
              </w:rPr>
              <w:t xml:space="preserve">u ljudi primjenjivao </w:t>
            </w:r>
            <w:r w:rsidRPr="00C01AF3">
              <w:rPr>
                <w:rFonts w:ascii="Times New Roman" w:hAnsi="Times New Roman" w:cs="Arial"/>
                <w:bCs/>
                <w:sz w:val="22"/>
                <w:lang w:val="sr-Latn-ME"/>
              </w:rPr>
              <w:t>u kombinaciji sa beta-blokatorima.</w:t>
            </w:r>
          </w:p>
          <w:p w:rsidR="00DE0191"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 xml:space="preserve">Amlodipin ne </w:t>
            </w:r>
            <w:r w:rsidR="000001B3" w:rsidRPr="00C01AF3">
              <w:rPr>
                <w:rFonts w:ascii="Times New Roman" w:hAnsi="Times New Roman" w:cs="Arial"/>
                <w:bCs/>
                <w:sz w:val="22"/>
                <w:lang w:val="sr-Latn-ME"/>
              </w:rPr>
              <w:t>mijenj</w:t>
            </w:r>
            <w:r w:rsidRPr="00C01AF3">
              <w:rPr>
                <w:rFonts w:ascii="Times New Roman" w:hAnsi="Times New Roman" w:cs="Arial"/>
                <w:bCs/>
                <w:sz w:val="22"/>
                <w:lang w:val="sr-Latn-ME"/>
              </w:rPr>
              <w:t>a funkciju sinoatrij</w:t>
            </w:r>
            <w:r w:rsidR="00D43980" w:rsidRPr="00C01AF3">
              <w:rPr>
                <w:rFonts w:ascii="Times New Roman" w:hAnsi="Times New Roman" w:cs="Arial"/>
                <w:bCs/>
                <w:sz w:val="22"/>
                <w:lang w:val="sr-Latn-ME"/>
              </w:rPr>
              <w:t>alnog</w:t>
            </w:r>
            <w:r w:rsidRPr="00C01AF3">
              <w:rPr>
                <w:rFonts w:ascii="Times New Roman" w:hAnsi="Times New Roman" w:cs="Arial"/>
                <w:bCs/>
                <w:sz w:val="22"/>
                <w:lang w:val="sr-Latn-ME"/>
              </w:rPr>
              <w:t xml:space="preserve"> čvora niti atrioventrikul</w:t>
            </w:r>
            <w:r w:rsidR="0084033B" w:rsidRPr="00C01AF3">
              <w:rPr>
                <w:rFonts w:ascii="Times New Roman" w:hAnsi="Times New Roman" w:cs="Arial"/>
                <w:bCs/>
                <w:sz w:val="22"/>
                <w:lang w:val="sr-Latn-ME"/>
              </w:rPr>
              <w:t>arnog</w:t>
            </w:r>
            <w:r w:rsidRPr="00C01AF3">
              <w:rPr>
                <w:rFonts w:ascii="Times New Roman" w:hAnsi="Times New Roman" w:cs="Arial"/>
                <w:bCs/>
                <w:sz w:val="22"/>
                <w:lang w:val="sr-Latn-ME"/>
              </w:rPr>
              <w:t xml:space="preserve"> sprovođenje kod </w:t>
            </w:r>
            <w:r w:rsidR="00770A6D" w:rsidRPr="00C01AF3">
              <w:rPr>
                <w:rFonts w:ascii="Times New Roman" w:hAnsi="Times New Roman" w:cs="Arial"/>
                <w:bCs/>
                <w:sz w:val="22"/>
                <w:lang w:val="sr-Latn-ME"/>
              </w:rPr>
              <w:t xml:space="preserve">zdravih  </w:t>
            </w:r>
            <w:r w:rsidRPr="00C01AF3">
              <w:rPr>
                <w:rFonts w:ascii="Times New Roman" w:hAnsi="Times New Roman" w:cs="Arial"/>
                <w:bCs/>
                <w:sz w:val="22"/>
                <w:lang w:val="sr-Latn-ME"/>
              </w:rPr>
              <w:t>životinja</w:t>
            </w:r>
            <w:r w:rsidR="00C5061D" w:rsidRPr="00C01AF3">
              <w:rPr>
                <w:rFonts w:ascii="Times New Roman" w:hAnsi="Times New Roman" w:cs="Arial"/>
                <w:bCs/>
                <w:sz w:val="22"/>
                <w:lang w:val="sr-Latn-ME"/>
              </w:rPr>
              <w:t xml:space="preserve"> i</w:t>
            </w:r>
            <w:r w:rsidR="00770A6D" w:rsidRPr="00C01AF3">
              <w:rPr>
                <w:rFonts w:ascii="Times New Roman" w:hAnsi="Times New Roman" w:cs="Arial"/>
                <w:bCs/>
                <w:sz w:val="22"/>
                <w:lang w:val="sr-Latn-ME"/>
              </w:rPr>
              <w:t>li</w:t>
            </w:r>
            <w:r w:rsidR="00C5061D" w:rsidRPr="00C01AF3">
              <w:rPr>
                <w:rFonts w:ascii="Times New Roman" w:hAnsi="Times New Roman" w:cs="Arial"/>
                <w:bCs/>
                <w:sz w:val="22"/>
                <w:lang w:val="sr-Latn-ME"/>
              </w:rPr>
              <w:t xml:space="preserve"> ljudi</w:t>
            </w:r>
            <w:r w:rsidRPr="00C01AF3">
              <w:rPr>
                <w:rFonts w:ascii="Times New Roman" w:hAnsi="Times New Roman" w:cs="Arial"/>
                <w:bCs/>
                <w:sz w:val="22"/>
                <w:lang w:val="sr-Latn-ME"/>
              </w:rPr>
              <w:t xml:space="preserve">. U kliničkim studijama u kojima je amlodipin </w:t>
            </w:r>
            <w:r w:rsidR="0090474F" w:rsidRPr="00C01AF3">
              <w:rPr>
                <w:rFonts w:ascii="Times New Roman" w:hAnsi="Times New Roman" w:cs="Arial"/>
                <w:bCs/>
                <w:sz w:val="22"/>
                <w:lang w:val="sr-Latn-ME"/>
              </w:rPr>
              <w:t>primjen</w:t>
            </w:r>
            <w:r w:rsidRPr="00C01AF3">
              <w:rPr>
                <w:rFonts w:ascii="Times New Roman" w:hAnsi="Times New Roman" w:cs="Arial"/>
                <w:bCs/>
                <w:sz w:val="22"/>
                <w:lang w:val="sr-Latn-ME"/>
              </w:rPr>
              <w:t>jivan u kombinaciji sa beta-blokatorima pacijentima sa hipertenzijom ili anginom p</w:t>
            </w:r>
            <w:r w:rsidR="00DE0191" w:rsidRPr="00C01AF3">
              <w:rPr>
                <w:rFonts w:ascii="Times New Roman" w:hAnsi="Times New Roman" w:cs="Arial"/>
                <w:bCs/>
                <w:sz w:val="22"/>
                <w:lang w:val="sr-Latn-ME"/>
              </w:rPr>
              <w:t>ektoris, ni</w:t>
            </w:r>
            <w:r w:rsidR="00770A6D" w:rsidRPr="00C01AF3">
              <w:rPr>
                <w:rFonts w:ascii="Times New Roman" w:hAnsi="Times New Roman" w:cs="Arial"/>
                <w:bCs/>
                <w:sz w:val="22"/>
                <w:lang w:val="sr-Latn-ME"/>
              </w:rPr>
              <w:t>je</w:t>
            </w:r>
            <w:r w:rsidR="00DE0191" w:rsidRPr="00C01AF3">
              <w:rPr>
                <w:rFonts w:ascii="Times New Roman" w:hAnsi="Times New Roman" w:cs="Arial"/>
                <w:bCs/>
                <w:sz w:val="22"/>
                <w:lang w:val="sr-Latn-ME"/>
              </w:rPr>
              <w:t xml:space="preserve">su </w:t>
            </w:r>
            <w:r w:rsidR="003309F3" w:rsidRPr="00C01AF3">
              <w:rPr>
                <w:rFonts w:ascii="Times New Roman" w:hAnsi="Times New Roman" w:cs="Arial"/>
                <w:bCs/>
                <w:sz w:val="22"/>
                <w:lang w:val="sr-Latn-ME"/>
              </w:rPr>
              <w:t>zabilje</w:t>
            </w:r>
            <w:r w:rsidRPr="00C01AF3">
              <w:rPr>
                <w:rFonts w:ascii="Times New Roman" w:hAnsi="Times New Roman" w:cs="Arial"/>
                <w:bCs/>
                <w:sz w:val="22"/>
                <w:lang w:val="sr-Latn-ME"/>
              </w:rPr>
              <w:t>ženi neželjeni efekti na elektrokardiografske parametre.</w:t>
            </w:r>
          </w:p>
          <w:p w:rsidR="00DE0191" w:rsidRPr="00C01AF3" w:rsidRDefault="00DE0191" w:rsidP="00056F49">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Amlodipin je ispitivan kod pacijenata sa hroničnom stabilnom anginom, vazospastičnom anginom i angiografski potvrđenom bolešću koronarnih arterija.</w:t>
            </w:r>
          </w:p>
          <w:p w:rsidR="004A6E73" w:rsidRPr="00C01AF3" w:rsidRDefault="004A6E73" w:rsidP="004A6E73">
            <w:pPr>
              <w:pStyle w:val="Header"/>
              <w:tabs>
                <w:tab w:val="left" w:pos="284"/>
              </w:tabs>
              <w:rPr>
                <w:rFonts w:ascii="Times New Roman" w:hAnsi="Times New Roman" w:cs="Arial"/>
                <w:b/>
                <w:bCs/>
                <w:i/>
                <w:sz w:val="22"/>
                <w:lang w:val="sr-Latn-ME"/>
              </w:rPr>
            </w:pPr>
          </w:p>
          <w:p w:rsidR="00C85521" w:rsidRPr="00C01AF3" w:rsidRDefault="00C85521" w:rsidP="004A6E73">
            <w:pPr>
              <w:tabs>
                <w:tab w:val="clear" w:pos="284"/>
              </w:tabs>
              <w:jc w:val="left"/>
              <w:rPr>
                <w:rFonts w:ascii="Times New Roman" w:hAnsi="Times New Roman"/>
                <w:i/>
                <w:color w:val="000000"/>
                <w:sz w:val="22"/>
                <w:szCs w:val="22"/>
                <w:lang w:val="sr-Latn-ME"/>
              </w:rPr>
            </w:pPr>
            <w:r w:rsidRPr="00C01AF3">
              <w:rPr>
                <w:rFonts w:ascii="Times New Roman" w:hAnsi="Times New Roman"/>
                <w:i/>
                <w:color w:val="000000"/>
                <w:sz w:val="22"/>
                <w:szCs w:val="22"/>
                <w:lang w:val="sr-Latn-ME"/>
              </w:rPr>
              <w:t xml:space="preserve">Klinička efikasnost i </w:t>
            </w:r>
            <w:r w:rsidR="006A1297" w:rsidRPr="00C01AF3">
              <w:rPr>
                <w:rFonts w:ascii="Times New Roman" w:hAnsi="Times New Roman"/>
                <w:i/>
                <w:color w:val="000000"/>
                <w:sz w:val="22"/>
                <w:szCs w:val="22"/>
                <w:lang w:val="sr-Latn-ME"/>
              </w:rPr>
              <w:t>bezbjedn</w:t>
            </w:r>
            <w:r w:rsidRPr="00C01AF3">
              <w:rPr>
                <w:rFonts w:ascii="Times New Roman" w:hAnsi="Times New Roman"/>
                <w:i/>
                <w:color w:val="000000"/>
                <w:sz w:val="22"/>
                <w:szCs w:val="22"/>
                <w:lang w:val="sr-Latn-ME"/>
              </w:rPr>
              <w:t>ost</w:t>
            </w:r>
          </w:p>
          <w:p w:rsidR="004A6E73" w:rsidRPr="00C01AF3" w:rsidRDefault="00A65414" w:rsidP="004A6E73">
            <w:pPr>
              <w:tabs>
                <w:tab w:val="clear" w:pos="284"/>
              </w:tabs>
              <w:jc w:val="left"/>
              <w:rPr>
                <w:rFonts w:ascii="Times New Roman" w:hAnsi="Times New Roman"/>
                <w:i/>
                <w:color w:val="000000"/>
                <w:sz w:val="22"/>
                <w:szCs w:val="22"/>
                <w:lang w:val="sr-Latn-ME"/>
              </w:rPr>
            </w:pPr>
            <w:r w:rsidRPr="00C01AF3">
              <w:rPr>
                <w:rFonts w:ascii="Times New Roman" w:hAnsi="Times New Roman"/>
                <w:i/>
                <w:color w:val="000000"/>
                <w:sz w:val="22"/>
                <w:szCs w:val="22"/>
                <w:lang w:val="sr-Latn-ME"/>
              </w:rPr>
              <w:t>Primje</w:t>
            </w:r>
            <w:r w:rsidR="002F67D5" w:rsidRPr="00C01AF3">
              <w:rPr>
                <w:rFonts w:ascii="Times New Roman" w:hAnsi="Times New Roman"/>
                <w:i/>
                <w:color w:val="000000"/>
                <w:sz w:val="22"/>
                <w:szCs w:val="22"/>
                <w:lang w:val="sr-Latn-ME"/>
              </w:rPr>
              <w:t xml:space="preserve">na </w:t>
            </w:r>
            <w:r w:rsidR="004A6E73" w:rsidRPr="00C01AF3">
              <w:rPr>
                <w:rFonts w:ascii="Times New Roman" w:hAnsi="Times New Roman"/>
                <w:i/>
                <w:color w:val="000000"/>
                <w:sz w:val="22"/>
                <w:szCs w:val="22"/>
                <w:lang w:val="sr-Latn-ME"/>
              </w:rPr>
              <w:t>kod pacijenata s</w:t>
            </w:r>
            <w:r w:rsidR="00875DF9" w:rsidRPr="00C01AF3">
              <w:rPr>
                <w:rFonts w:ascii="Times New Roman" w:hAnsi="Times New Roman"/>
                <w:i/>
                <w:color w:val="000000"/>
                <w:sz w:val="22"/>
                <w:szCs w:val="22"/>
                <w:lang w:val="sr-Latn-ME"/>
              </w:rPr>
              <w:t xml:space="preserve">a </w:t>
            </w:r>
            <w:r w:rsidR="004A6E73" w:rsidRPr="00C01AF3">
              <w:rPr>
                <w:rFonts w:ascii="Times New Roman" w:hAnsi="Times New Roman"/>
                <w:i/>
                <w:color w:val="000000"/>
                <w:sz w:val="22"/>
                <w:szCs w:val="22"/>
                <w:lang w:val="sr-Latn-ME"/>
              </w:rPr>
              <w:t>hipertenzijom</w:t>
            </w: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Randomizov</w:t>
            </w:r>
            <w:r w:rsidR="00416328" w:rsidRPr="00C01AF3">
              <w:rPr>
                <w:rFonts w:ascii="Times New Roman" w:hAnsi="Times New Roman"/>
                <w:bCs/>
                <w:noProof/>
                <w:color w:val="000000"/>
                <w:sz w:val="22"/>
                <w:szCs w:val="22"/>
                <w:lang w:val="sr-Latn-ME"/>
              </w:rPr>
              <w:t>an</w:t>
            </w:r>
            <w:r w:rsidR="00770A6D" w:rsidRPr="00C01AF3">
              <w:rPr>
                <w:rFonts w:ascii="Times New Roman" w:hAnsi="Times New Roman"/>
                <w:bCs/>
                <w:noProof/>
                <w:color w:val="000000"/>
                <w:sz w:val="22"/>
                <w:szCs w:val="22"/>
                <w:lang w:val="sr-Latn-ME"/>
              </w:rPr>
              <w:t>o</w:t>
            </w:r>
            <w:r w:rsidRPr="00C01AF3">
              <w:rPr>
                <w:rFonts w:ascii="Times New Roman" w:hAnsi="Times New Roman"/>
                <w:bCs/>
                <w:noProof/>
                <w:color w:val="000000"/>
                <w:sz w:val="22"/>
                <w:szCs w:val="22"/>
                <w:lang w:val="sr-Latn-ME"/>
              </w:rPr>
              <w:t xml:space="preserve"> dvostruko-sl</w:t>
            </w:r>
            <w:r w:rsidR="00770A6D" w:rsidRPr="00C01AF3">
              <w:rPr>
                <w:rFonts w:ascii="Times New Roman" w:hAnsi="Times New Roman"/>
                <w:bCs/>
                <w:noProof/>
                <w:color w:val="000000"/>
                <w:sz w:val="22"/>
                <w:szCs w:val="22"/>
                <w:lang w:val="sr-Latn-ME"/>
              </w:rPr>
              <w:t>ij</w:t>
            </w:r>
            <w:r w:rsidRPr="00C01AF3">
              <w:rPr>
                <w:rFonts w:ascii="Times New Roman" w:hAnsi="Times New Roman"/>
                <w:bCs/>
                <w:noProof/>
                <w:color w:val="000000"/>
                <w:sz w:val="22"/>
                <w:szCs w:val="22"/>
                <w:lang w:val="sr-Latn-ME"/>
              </w:rPr>
              <w:t>ep</w:t>
            </w:r>
            <w:r w:rsidR="00770A6D" w:rsidRPr="00C01AF3">
              <w:rPr>
                <w:rFonts w:ascii="Times New Roman" w:hAnsi="Times New Roman"/>
                <w:bCs/>
                <w:noProof/>
                <w:color w:val="000000"/>
                <w:sz w:val="22"/>
                <w:szCs w:val="22"/>
                <w:lang w:val="sr-Latn-ME"/>
              </w:rPr>
              <w:t>o</w:t>
            </w:r>
            <w:r w:rsidR="00416328" w:rsidRPr="00C01AF3">
              <w:rPr>
                <w:rFonts w:ascii="Times New Roman" w:hAnsi="Times New Roman"/>
                <w:bCs/>
                <w:noProof/>
                <w:color w:val="000000"/>
                <w:sz w:val="22"/>
                <w:szCs w:val="22"/>
                <w:lang w:val="sr-Latn-ME"/>
              </w:rPr>
              <w:t xml:space="preserve"> </w:t>
            </w:r>
            <w:r w:rsidR="00770A6D" w:rsidRPr="00C01AF3">
              <w:rPr>
                <w:rFonts w:ascii="Times New Roman" w:hAnsi="Times New Roman"/>
                <w:bCs/>
                <w:noProof/>
                <w:color w:val="000000"/>
                <w:sz w:val="22"/>
                <w:szCs w:val="22"/>
                <w:lang w:val="sr-Latn-ME"/>
              </w:rPr>
              <w:t xml:space="preserve">ispitivanje </w:t>
            </w:r>
            <w:r w:rsidRPr="00C01AF3">
              <w:rPr>
                <w:rFonts w:ascii="Times New Roman" w:hAnsi="Times New Roman"/>
                <w:bCs/>
                <w:noProof/>
                <w:color w:val="000000"/>
                <w:sz w:val="22"/>
                <w:szCs w:val="22"/>
                <w:lang w:val="sr-Latn-ME"/>
              </w:rPr>
              <w:t xml:space="preserve">morbiditeta-mortaliteta </w:t>
            </w:r>
            <w:r w:rsidR="00770A6D" w:rsidRPr="00C01AF3">
              <w:rPr>
                <w:rFonts w:ascii="Times New Roman" w:hAnsi="Times New Roman"/>
                <w:bCs/>
                <w:noProof/>
                <w:color w:val="000000"/>
                <w:sz w:val="22"/>
                <w:szCs w:val="22"/>
                <w:lang w:val="sr-Latn-ME"/>
              </w:rPr>
              <w:t xml:space="preserve">pod nazivom </w:t>
            </w:r>
            <w:r w:rsidR="00416328" w:rsidRPr="00C01AF3">
              <w:rPr>
                <w:rFonts w:ascii="Times New Roman" w:hAnsi="Times New Roman"/>
                <w:bCs/>
                <w:noProof/>
                <w:color w:val="000000"/>
                <w:sz w:val="22"/>
                <w:szCs w:val="22"/>
                <w:lang w:val="sr-Latn-ME"/>
              </w:rPr>
              <w:t xml:space="preserve">Studija </w:t>
            </w:r>
            <w:r w:rsidRPr="00C01AF3">
              <w:rPr>
                <w:rFonts w:ascii="Times New Roman" w:hAnsi="Times New Roman"/>
                <w:bCs/>
                <w:noProof/>
                <w:color w:val="000000"/>
                <w:sz w:val="22"/>
                <w:szCs w:val="22"/>
                <w:lang w:val="sr-Latn-ME"/>
              </w:rPr>
              <w:t>antihipertenzivn</w:t>
            </w:r>
            <w:r w:rsidR="00416328" w:rsidRPr="00C01AF3">
              <w:rPr>
                <w:rFonts w:ascii="Times New Roman" w:hAnsi="Times New Roman"/>
                <w:bCs/>
                <w:noProof/>
                <w:color w:val="000000"/>
                <w:sz w:val="22"/>
                <w:szCs w:val="22"/>
                <w:lang w:val="sr-Latn-ME"/>
              </w:rPr>
              <w:t>e</w:t>
            </w:r>
            <w:r w:rsidRPr="00C01AF3">
              <w:rPr>
                <w:rFonts w:ascii="Times New Roman" w:hAnsi="Times New Roman"/>
                <w:bCs/>
                <w:noProof/>
                <w:color w:val="000000"/>
                <w:sz w:val="22"/>
                <w:szCs w:val="22"/>
                <w:lang w:val="sr-Latn-ME"/>
              </w:rPr>
              <w:t xml:space="preserve"> i lipid-snižavajuće </w:t>
            </w:r>
            <w:r w:rsidR="00416328" w:rsidRPr="00C01AF3">
              <w:rPr>
                <w:rFonts w:ascii="Times New Roman" w:hAnsi="Times New Roman"/>
                <w:bCs/>
                <w:noProof/>
                <w:color w:val="000000"/>
                <w:sz w:val="22"/>
                <w:szCs w:val="22"/>
                <w:lang w:val="sr-Latn-ME"/>
              </w:rPr>
              <w:t>terapije</w:t>
            </w:r>
            <w:r w:rsidRPr="00C01AF3">
              <w:rPr>
                <w:rFonts w:ascii="Times New Roman" w:hAnsi="Times New Roman"/>
                <w:bCs/>
                <w:noProof/>
                <w:color w:val="000000"/>
                <w:sz w:val="22"/>
                <w:szCs w:val="22"/>
                <w:lang w:val="sr-Latn-ME"/>
              </w:rPr>
              <w:t xml:space="preserve"> za prevenciju srčanog udara (</w:t>
            </w:r>
            <w:r w:rsidRPr="00C01AF3">
              <w:rPr>
                <w:rFonts w:ascii="Times New Roman" w:hAnsi="Times New Roman"/>
                <w:bCs/>
                <w:i/>
                <w:noProof/>
                <w:color w:val="000000"/>
                <w:sz w:val="22"/>
                <w:szCs w:val="22"/>
                <w:lang w:val="sr-Latn-ME"/>
              </w:rPr>
              <w:t>eng</w:t>
            </w:r>
            <w:r w:rsidRPr="00C01AF3">
              <w:rPr>
                <w:rFonts w:ascii="Times New Roman" w:hAnsi="Times New Roman"/>
                <w:bCs/>
                <w:noProof/>
                <w:color w:val="000000"/>
                <w:sz w:val="22"/>
                <w:szCs w:val="22"/>
                <w:lang w:val="sr-Latn-ME"/>
              </w:rPr>
              <w:t>.</w:t>
            </w:r>
            <w:r w:rsidRPr="00C01AF3">
              <w:rPr>
                <w:rFonts w:ascii="Times New Roman" w:hAnsi="Times New Roman"/>
                <w:sz w:val="22"/>
                <w:szCs w:val="22"/>
                <w:lang w:val="sr-Latn-ME"/>
              </w:rPr>
              <w:t xml:space="preserve"> </w:t>
            </w:r>
            <w:r w:rsidRPr="00C01AF3">
              <w:rPr>
                <w:rFonts w:ascii="Times New Roman" w:hAnsi="Times New Roman"/>
                <w:bCs/>
                <w:noProof/>
                <w:color w:val="000000"/>
                <w:sz w:val="22"/>
                <w:szCs w:val="22"/>
                <w:lang w:val="sr-Latn-ME"/>
              </w:rPr>
              <w:t>Antihypertensive and Lipid-Lowering treatment to prevent Heart Attack Trial -ALLHAT) je sproveden</w:t>
            </w:r>
            <w:r w:rsidR="00416328" w:rsidRPr="00C01AF3">
              <w:rPr>
                <w:rFonts w:ascii="Times New Roman" w:hAnsi="Times New Roman"/>
                <w:bCs/>
                <w:noProof/>
                <w:color w:val="000000"/>
                <w:sz w:val="22"/>
                <w:szCs w:val="22"/>
                <w:lang w:val="sr-Latn-ME"/>
              </w:rPr>
              <w:t>a</w:t>
            </w:r>
            <w:r w:rsidRPr="00C01AF3">
              <w:rPr>
                <w:rFonts w:ascii="Times New Roman" w:hAnsi="Times New Roman"/>
                <w:bCs/>
                <w:noProof/>
                <w:color w:val="000000"/>
                <w:sz w:val="22"/>
                <w:szCs w:val="22"/>
                <w:lang w:val="sr-Latn-ME"/>
              </w:rPr>
              <w:t xml:space="preserve"> radi poređenja novijih terapija: amlodipin 2,5-10 mg/dan (blokator kalcijum</w:t>
            </w:r>
            <w:r w:rsidR="00770A6D" w:rsidRPr="00C01AF3">
              <w:rPr>
                <w:rFonts w:ascii="Times New Roman" w:hAnsi="Times New Roman"/>
                <w:bCs/>
                <w:noProof/>
                <w:color w:val="000000"/>
                <w:sz w:val="22"/>
                <w:szCs w:val="22"/>
                <w:lang w:val="sr-Latn-ME"/>
              </w:rPr>
              <w:t>skih</w:t>
            </w:r>
            <w:r w:rsidRPr="00C01AF3">
              <w:rPr>
                <w:rFonts w:ascii="Times New Roman" w:hAnsi="Times New Roman"/>
                <w:bCs/>
                <w:noProof/>
                <w:color w:val="000000"/>
                <w:sz w:val="22"/>
                <w:szCs w:val="22"/>
                <w:lang w:val="sr-Latn-ME"/>
              </w:rPr>
              <w:t xml:space="preserve"> kanala) ili lizinopril 10-40 mg/dan (ACE-inhibitor) kao terapija prve linije u pore</w:t>
            </w:r>
            <w:r w:rsidR="00416328" w:rsidRPr="00C01AF3">
              <w:rPr>
                <w:rFonts w:ascii="Times New Roman" w:hAnsi="Times New Roman"/>
                <w:bCs/>
                <w:noProof/>
                <w:color w:val="000000"/>
                <w:sz w:val="22"/>
                <w:szCs w:val="22"/>
                <w:lang w:val="sr-Latn-ME"/>
              </w:rPr>
              <w:t>đenju sa tiazidnim diuretikom, h</w:t>
            </w:r>
            <w:r w:rsidRPr="00C01AF3">
              <w:rPr>
                <w:rFonts w:ascii="Times New Roman" w:hAnsi="Times New Roman"/>
                <w:bCs/>
                <w:noProof/>
                <w:color w:val="000000"/>
                <w:sz w:val="22"/>
                <w:szCs w:val="22"/>
                <w:lang w:val="sr-Latn-ME"/>
              </w:rPr>
              <w:t xml:space="preserve">lorotalidonom 12,5-25 mg/dan </w:t>
            </w:r>
            <w:r w:rsidR="00416328" w:rsidRPr="00C01AF3">
              <w:rPr>
                <w:rFonts w:ascii="Times New Roman" w:hAnsi="Times New Roman"/>
                <w:bCs/>
                <w:noProof/>
                <w:color w:val="000000"/>
                <w:sz w:val="22"/>
                <w:szCs w:val="22"/>
                <w:lang w:val="sr-Latn-ME"/>
              </w:rPr>
              <w:t>kod</w:t>
            </w:r>
            <w:r w:rsidRPr="00C01AF3">
              <w:rPr>
                <w:rFonts w:ascii="Times New Roman" w:hAnsi="Times New Roman"/>
                <w:bCs/>
                <w:noProof/>
                <w:color w:val="000000"/>
                <w:sz w:val="22"/>
                <w:szCs w:val="22"/>
                <w:lang w:val="sr-Latn-ME"/>
              </w:rPr>
              <w:t xml:space="preserve"> blag</w:t>
            </w:r>
            <w:r w:rsidR="00416328" w:rsidRPr="00C01AF3">
              <w:rPr>
                <w:rFonts w:ascii="Times New Roman" w:hAnsi="Times New Roman"/>
                <w:bCs/>
                <w:noProof/>
                <w:color w:val="000000"/>
                <w:sz w:val="22"/>
                <w:szCs w:val="22"/>
                <w:lang w:val="sr-Latn-ME"/>
              </w:rPr>
              <w:t>e</w:t>
            </w:r>
            <w:r w:rsidRPr="00C01AF3">
              <w:rPr>
                <w:rFonts w:ascii="Times New Roman" w:hAnsi="Times New Roman"/>
                <w:bCs/>
                <w:noProof/>
                <w:color w:val="000000"/>
                <w:sz w:val="22"/>
                <w:szCs w:val="22"/>
                <w:lang w:val="sr-Latn-ME"/>
              </w:rPr>
              <w:t xml:space="preserve"> do </w:t>
            </w:r>
            <w:r w:rsidR="00BD0291" w:rsidRPr="00C01AF3">
              <w:rPr>
                <w:rFonts w:ascii="Times New Roman" w:hAnsi="Times New Roman"/>
                <w:bCs/>
                <w:noProof/>
                <w:color w:val="000000"/>
                <w:sz w:val="22"/>
                <w:szCs w:val="22"/>
                <w:lang w:val="sr-Latn-ME"/>
              </w:rPr>
              <w:t>umjeren</w:t>
            </w:r>
            <w:r w:rsidR="00416328" w:rsidRPr="00C01AF3">
              <w:rPr>
                <w:rFonts w:ascii="Times New Roman" w:hAnsi="Times New Roman"/>
                <w:bCs/>
                <w:noProof/>
                <w:color w:val="000000"/>
                <w:sz w:val="22"/>
                <w:szCs w:val="22"/>
                <w:lang w:val="sr-Latn-ME"/>
              </w:rPr>
              <w:t>e</w:t>
            </w:r>
            <w:r w:rsidRPr="00C01AF3">
              <w:rPr>
                <w:rFonts w:ascii="Times New Roman" w:hAnsi="Times New Roman"/>
                <w:bCs/>
                <w:noProof/>
                <w:color w:val="000000"/>
                <w:sz w:val="22"/>
                <w:szCs w:val="22"/>
                <w:lang w:val="sr-Latn-ME"/>
              </w:rPr>
              <w:t xml:space="preserve"> hipertenzij</w:t>
            </w:r>
            <w:r w:rsidR="00416328" w:rsidRPr="00C01AF3">
              <w:rPr>
                <w:rFonts w:ascii="Times New Roman" w:hAnsi="Times New Roman"/>
                <w:bCs/>
                <w:noProof/>
                <w:color w:val="000000"/>
                <w:sz w:val="22"/>
                <w:szCs w:val="22"/>
                <w:lang w:val="sr-Latn-ME"/>
              </w:rPr>
              <w:t>e</w:t>
            </w:r>
            <w:r w:rsidRPr="00C01AF3">
              <w:rPr>
                <w:rFonts w:ascii="Times New Roman" w:hAnsi="Times New Roman"/>
                <w:bCs/>
                <w:noProof/>
                <w:color w:val="000000"/>
                <w:sz w:val="22"/>
                <w:szCs w:val="22"/>
                <w:lang w:val="sr-Latn-ME"/>
              </w:rPr>
              <w:t>.</w:t>
            </w: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lastRenderedPageBreak/>
              <w:t>Randomizovano je ukupno 33,357 hipertenzivnih pacijenata starosti 55 godina ili starijih</w:t>
            </w:r>
            <w:r w:rsidR="00133285" w:rsidRPr="00C01AF3">
              <w:rPr>
                <w:rFonts w:ascii="Times New Roman" w:hAnsi="Times New Roman"/>
                <w:bCs/>
                <w:noProof/>
                <w:color w:val="000000"/>
                <w:sz w:val="22"/>
                <w:szCs w:val="22"/>
                <w:lang w:val="sr-Latn-ME"/>
              </w:rPr>
              <w:t xml:space="preserve"> u terapijske grupe</w:t>
            </w:r>
            <w:r w:rsidRPr="00C01AF3">
              <w:rPr>
                <w:rFonts w:ascii="Times New Roman" w:hAnsi="Times New Roman"/>
                <w:bCs/>
                <w:noProof/>
                <w:color w:val="000000"/>
                <w:sz w:val="22"/>
                <w:szCs w:val="22"/>
                <w:lang w:val="sr-Latn-ME"/>
              </w:rPr>
              <w:t xml:space="preserve"> i praćeno u </w:t>
            </w:r>
            <w:r w:rsidR="000001B3" w:rsidRPr="00C01AF3">
              <w:rPr>
                <w:rFonts w:ascii="Times New Roman" w:hAnsi="Times New Roman"/>
                <w:bCs/>
                <w:noProof/>
                <w:color w:val="000000"/>
                <w:sz w:val="22"/>
                <w:szCs w:val="22"/>
                <w:lang w:val="sr-Latn-ME"/>
              </w:rPr>
              <w:t>prosjek</w:t>
            </w:r>
            <w:r w:rsidRPr="00C01AF3">
              <w:rPr>
                <w:rFonts w:ascii="Times New Roman" w:hAnsi="Times New Roman"/>
                <w:bCs/>
                <w:noProof/>
                <w:color w:val="000000"/>
                <w:sz w:val="22"/>
                <w:szCs w:val="22"/>
                <w:lang w:val="sr-Latn-ME"/>
              </w:rPr>
              <w:t xml:space="preserve">u 4,9 godina. Pacijenti su imali barem jedan dodatni faktor rizika za </w:t>
            </w:r>
            <w:r w:rsidR="0009747A" w:rsidRPr="00C01AF3">
              <w:rPr>
                <w:rFonts w:ascii="Times New Roman" w:hAnsi="Times New Roman"/>
                <w:bCs/>
                <w:noProof/>
                <w:color w:val="000000"/>
                <w:sz w:val="22"/>
                <w:szCs w:val="22"/>
                <w:lang w:val="sr-Latn-ME"/>
              </w:rPr>
              <w:t>koronarn</w:t>
            </w:r>
            <w:r w:rsidRPr="00C01AF3">
              <w:rPr>
                <w:rFonts w:ascii="Times New Roman" w:hAnsi="Times New Roman"/>
                <w:bCs/>
                <w:noProof/>
                <w:color w:val="000000"/>
                <w:sz w:val="22"/>
                <w:szCs w:val="22"/>
                <w:lang w:val="sr-Latn-ME"/>
              </w:rPr>
              <w:t xml:space="preserve">u bolest srca, uključujući: prethodni infarkt miokarda ili moždani udar (&gt; 6 </w:t>
            </w:r>
            <w:r w:rsidR="00133285" w:rsidRPr="00C01AF3">
              <w:rPr>
                <w:rFonts w:ascii="Times New Roman" w:hAnsi="Times New Roman"/>
                <w:bCs/>
                <w:noProof/>
                <w:color w:val="000000"/>
                <w:sz w:val="22"/>
                <w:szCs w:val="22"/>
                <w:lang w:val="sr-Latn-ME"/>
              </w:rPr>
              <w:t xml:space="preserve">mjeseci </w:t>
            </w:r>
            <w:r w:rsidR="00CB5993" w:rsidRPr="00C01AF3">
              <w:rPr>
                <w:rFonts w:ascii="Times New Roman" w:hAnsi="Times New Roman"/>
                <w:bCs/>
                <w:noProof/>
                <w:color w:val="000000"/>
                <w:sz w:val="22"/>
                <w:szCs w:val="22"/>
                <w:lang w:val="sr-Latn-ME"/>
              </w:rPr>
              <w:t>prije</w:t>
            </w:r>
            <w:r w:rsidRPr="00C01AF3">
              <w:rPr>
                <w:rFonts w:ascii="Times New Roman" w:hAnsi="Times New Roman"/>
                <w:bCs/>
                <w:noProof/>
                <w:color w:val="000000"/>
                <w:sz w:val="22"/>
                <w:szCs w:val="22"/>
                <w:lang w:val="sr-Latn-ME"/>
              </w:rPr>
              <w:t xml:space="preserve"> uključivanja) ili dokumentovanu drugu aterosklerotsku kardiovaskularnu bolest (ukupno 51,5%), dijabetes tipa 2 (36,1%), lipo</w:t>
            </w:r>
            <w:r w:rsidR="009130C8" w:rsidRPr="00C01AF3">
              <w:rPr>
                <w:rFonts w:ascii="Times New Roman" w:hAnsi="Times New Roman"/>
                <w:bCs/>
                <w:noProof/>
                <w:color w:val="000000"/>
                <w:sz w:val="22"/>
                <w:szCs w:val="22"/>
                <w:lang w:val="sr-Latn-ME"/>
              </w:rPr>
              <w:t>protein velike</w:t>
            </w:r>
            <w:r w:rsidRPr="00C01AF3">
              <w:rPr>
                <w:rFonts w:ascii="Times New Roman" w:hAnsi="Times New Roman"/>
                <w:bCs/>
                <w:noProof/>
                <w:color w:val="000000"/>
                <w:sz w:val="22"/>
                <w:szCs w:val="22"/>
                <w:lang w:val="sr-Latn-ME"/>
              </w:rPr>
              <w:t xml:space="preserve"> gustine-holesterol &lt;35 mg/dl ili &lt;0,906 </w:t>
            </w:r>
            <w:r w:rsidR="0009747A" w:rsidRPr="00C01AF3">
              <w:rPr>
                <w:rFonts w:ascii="Times New Roman" w:hAnsi="Times New Roman"/>
                <w:bCs/>
                <w:noProof/>
                <w:color w:val="000000"/>
                <w:sz w:val="22"/>
                <w:szCs w:val="22"/>
                <w:lang w:val="sr-Latn-ME"/>
              </w:rPr>
              <w:t xml:space="preserve">mmol/l (11,6%), hipertrofiju </w:t>
            </w:r>
            <w:r w:rsidR="00E9309D" w:rsidRPr="00C01AF3">
              <w:rPr>
                <w:rFonts w:ascii="Times New Roman" w:hAnsi="Times New Roman"/>
                <w:bCs/>
                <w:noProof/>
                <w:color w:val="000000"/>
                <w:sz w:val="22"/>
                <w:szCs w:val="22"/>
                <w:lang w:val="sr-Latn-ME"/>
              </w:rPr>
              <w:t>lijeve</w:t>
            </w:r>
            <w:r w:rsidR="0009747A" w:rsidRPr="00C01AF3">
              <w:rPr>
                <w:rFonts w:ascii="Times New Roman" w:hAnsi="Times New Roman"/>
                <w:bCs/>
                <w:noProof/>
                <w:color w:val="000000"/>
                <w:sz w:val="22"/>
                <w:szCs w:val="22"/>
                <w:lang w:val="sr-Latn-ME"/>
              </w:rPr>
              <w:t xml:space="preserve"> komore</w:t>
            </w:r>
            <w:r w:rsidRPr="00C01AF3">
              <w:rPr>
                <w:rFonts w:ascii="Times New Roman" w:hAnsi="Times New Roman"/>
                <w:bCs/>
                <w:noProof/>
                <w:color w:val="000000"/>
                <w:sz w:val="22"/>
                <w:szCs w:val="22"/>
                <w:lang w:val="sr-Latn-ME"/>
              </w:rPr>
              <w:t xml:space="preserve"> dijagnostikovan</w:t>
            </w:r>
            <w:r w:rsidR="00133285" w:rsidRPr="00C01AF3">
              <w:rPr>
                <w:rFonts w:ascii="Times New Roman" w:hAnsi="Times New Roman"/>
                <w:bCs/>
                <w:noProof/>
                <w:color w:val="000000"/>
                <w:sz w:val="22"/>
                <w:szCs w:val="22"/>
                <w:lang w:val="sr-Latn-ME"/>
              </w:rPr>
              <w:t>u</w:t>
            </w:r>
            <w:r w:rsidRPr="00C01AF3">
              <w:rPr>
                <w:rFonts w:ascii="Times New Roman" w:hAnsi="Times New Roman"/>
                <w:bCs/>
                <w:noProof/>
                <w:color w:val="000000"/>
                <w:sz w:val="22"/>
                <w:szCs w:val="22"/>
                <w:lang w:val="sr-Latn-ME"/>
              </w:rPr>
              <w:t xml:space="preserve"> elektrokardiogramom ili ehokardiografijom (20,9%), </w:t>
            </w:r>
            <w:r w:rsidR="00133285" w:rsidRPr="00C01AF3">
              <w:rPr>
                <w:rFonts w:ascii="Times New Roman" w:hAnsi="Times New Roman"/>
                <w:bCs/>
                <w:noProof/>
                <w:color w:val="000000"/>
                <w:sz w:val="22"/>
                <w:szCs w:val="22"/>
                <w:lang w:val="sr-Latn-ME"/>
              </w:rPr>
              <w:t>aktivni status pušača</w:t>
            </w:r>
            <w:r w:rsidRPr="00C01AF3">
              <w:rPr>
                <w:rFonts w:ascii="Times New Roman" w:hAnsi="Times New Roman"/>
                <w:bCs/>
                <w:noProof/>
                <w:color w:val="000000"/>
                <w:sz w:val="22"/>
                <w:szCs w:val="22"/>
                <w:lang w:val="sr-Latn-ME"/>
              </w:rPr>
              <w:t xml:space="preserve"> (21,9%).</w:t>
            </w: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r w:rsidRPr="00C01AF3">
              <w:rPr>
                <w:rFonts w:ascii="Times New Roman" w:hAnsi="Times New Roman"/>
                <w:bCs/>
                <w:noProof/>
                <w:color w:val="000000"/>
                <w:sz w:val="22"/>
                <w:szCs w:val="22"/>
                <w:lang w:val="sr-Latn-ME"/>
              </w:rPr>
              <w:t xml:space="preserve">Primarni parametar efikasnosti je bio </w:t>
            </w:r>
            <w:r w:rsidR="00BD587A" w:rsidRPr="00C01AF3">
              <w:rPr>
                <w:rFonts w:ascii="Times New Roman" w:hAnsi="Times New Roman"/>
                <w:bCs/>
                <w:noProof/>
                <w:color w:val="000000"/>
                <w:sz w:val="22"/>
                <w:szCs w:val="22"/>
                <w:lang w:val="sr-Latn-ME"/>
              </w:rPr>
              <w:t>udruženost</w:t>
            </w:r>
            <w:r w:rsidRPr="00C01AF3">
              <w:rPr>
                <w:rFonts w:ascii="Times New Roman" w:hAnsi="Times New Roman"/>
                <w:bCs/>
                <w:noProof/>
                <w:color w:val="000000"/>
                <w:sz w:val="22"/>
                <w:szCs w:val="22"/>
                <w:lang w:val="sr-Latn-ME"/>
              </w:rPr>
              <w:t xml:space="preserve"> fatalne koronarne bolesti srca ili infarkt miokarda</w:t>
            </w:r>
            <w:r w:rsidR="00133285" w:rsidRPr="00C01AF3">
              <w:rPr>
                <w:rFonts w:ascii="Times New Roman" w:hAnsi="Times New Roman"/>
                <w:bCs/>
                <w:noProof/>
                <w:color w:val="000000"/>
                <w:sz w:val="22"/>
                <w:szCs w:val="22"/>
                <w:lang w:val="sr-Latn-ME"/>
              </w:rPr>
              <w:t xml:space="preserve"> bez smrtnog ishoda</w:t>
            </w:r>
            <w:r w:rsidRPr="00C01AF3">
              <w:rPr>
                <w:rFonts w:ascii="Times New Roman" w:hAnsi="Times New Roman"/>
                <w:bCs/>
                <w:noProof/>
                <w:color w:val="000000"/>
                <w:sz w:val="22"/>
                <w:szCs w:val="22"/>
                <w:lang w:val="sr-Latn-ME"/>
              </w:rPr>
              <w:t>. Nije bilo značajne razlike u primarno</w:t>
            </w:r>
            <w:r w:rsidR="00EE5F10" w:rsidRPr="00C01AF3">
              <w:rPr>
                <w:rFonts w:ascii="Times New Roman" w:hAnsi="Times New Roman"/>
                <w:bCs/>
                <w:noProof/>
                <w:color w:val="000000"/>
                <w:sz w:val="22"/>
                <w:szCs w:val="22"/>
                <w:lang w:val="sr-Latn-ME"/>
              </w:rPr>
              <w:t>m parametru</w:t>
            </w:r>
            <w:r w:rsidRPr="00C01AF3">
              <w:rPr>
                <w:rFonts w:ascii="Times New Roman" w:hAnsi="Times New Roman"/>
                <w:bCs/>
                <w:noProof/>
                <w:color w:val="000000"/>
                <w:sz w:val="22"/>
                <w:szCs w:val="22"/>
                <w:lang w:val="sr-Latn-ME"/>
              </w:rPr>
              <w:t xml:space="preserve"> efikasnosti između t</w:t>
            </w:r>
            <w:r w:rsidR="00EE5F10" w:rsidRPr="00C01AF3">
              <w:rPr>
                <w:rFonts w:ascii="Times New Roman" w:hAnsi="Times New Roman"/>
                <w:bCs/>
                <w:noProof/>
                <w:color w:val="000000"/>
                <w:sz w:val="22"/>
                <w:szCs w:val="22"/>
                <w:lang w:val="sr-Latn-ME"/>
              </w:rPr>
              <w:t>erapije amlodipinom i terapije h</w:t>
            </w:r>
            <w:r w:rsidRPr="00C01AF3">
              <w:rPr>
                <w:rFonts w:ascii="Times New Roman" w:hAnsi="Times New Roman"/>
                <w:bCs/>
                <w:noProof/>
                <w:color w:val="000000"/>
                <w:sz w:val="22"/>
                <w:szCs w:val="22"/>
                <w:lang w:val="sr-Latn-ME"/>
              </w:rPr>
              <w:t>lorotalidonom: stopa</w:t>
            </w:r>
            <w:r w:rsidR="00EE5F10" w:rsidRPr="00C01AF3">
              <w:rPr>
                <w:rFonts w:ascii="Times New Roman" w:hAnsi="Times New Roman"/>
                <w:bCs/>
                <w:noProof/>
                <w:color w:val="000000"/>
                <w:sz w:val="22"/>
                <w:szCs w:val="22"/>
                <w:lang w:val="sr-Latn-ME"/>
              </w:rPr>
              <w:t xml:space="preserve"> rizika (RR) 0,98 95% CI</w:t>
            </w:r>
            <w:r w:rsidRPr="00C01AF3">
              <w:rPr>
                <w:rFonts w:ascii="Times New Roman" w:hAnsi="Times New Roman"/>
                <w:bCs/>
                <w:noProof/>
                <w:color w:val="000000"/>
                <w:sz w:val="22"/>
                <w:szCs w:val="22"/>
                <w:lang w:val="sr-Latn-ME"/>
              </w:rPr>
              <w:t xml:space="preserve"> (0,90-1,07) p=0,65. Među sekundarnim </w:t>
            </w:r>
            <w:r w:rsidR="00EE5F10" w:rsidRPr="00C01AF3">
              <w:rPr>
                <w:rFonts w:ascii="Times New Roman" w:hAnsi="Times New Roman"/>
                <w:bCs/>
                <w:noProof/>
                <w:color w:val="000000"/>
                <w:sz w:val="22"/>
                <w:szCs w:val="22"/>
                <w:lang w:val="sr-Latn-ME"/>
              </w:rPr>
              <w:t>parametrima</w:t>
            </w:r>
            <w:r w:rsidRPr="00C01AF3">
              <w:rPr>
                <w:rFonts w:ascii="Times New Roman" w:hAnsi="Times New Roman"/>
                <w:bCs/>
                <w:noProof/>
                <w:color w:val="000000"/>
                <w:sz w:val="22"/>
                <w:szCs w:val="22"/>
                <w:lang w:val="sr-Latn-ME"/>
              </w:rPr>
              <w:t xml:space="preserve">, incidenca insuficijencije srca (komponenta </w:t>
            </w:r>
            <w:r w:rsidR="00EE5F10" w:rsidRPr="00C01AF3">
              <w:rPr>
                <w:rFonts w:ascii="Times New Roman" w:hAnsi="Times New Roman"/>
                <w:bCs/>
                <w:noProof/>
                <w:color w:val="000000"/>
                <w:sz w:val="22"/>
                <w:szCs w:val="22"/>
                <w:lang w:val="sr-Latn-ME"/>
              </w:rPr>
              <w:t>udruženosti</w:t>
            </w:r>
            <w:r w:rsidRPr="00C01AF3">
              <w:rPr>
                <w:rFonts w:ascii="Times New Roman" w:hAnsi="Times New Roman"/>
                <w:bCs/>
                <w:noProof/>
                <w:color w:val="000000"/>
                <w:sz w:val="22"/>
                <w:szCs w:val="22"/>
                <w:lang w:val="sr-Latn-ME"/>
              </w:rPr>
              <w:t xml:space="preserve"> kombinovana sa  kardiovaskularnim </w:t>
            </w:r>
            <w:r w:rsidR="00EE5F10" w:rsidRPr="00C01AF3">
              <w:rPr>
                <w:rFonts w:ascii="Times New Roman" w:hAnsi="Times New Roman"/>
                <w:bCs/>
                <w:noProof/>
                <w:color w:val="000000"/>
                <w:sz w:val="22"/>
                <w:szCs w:val="22"/>
                <w:lang w:val="sr-Latn-ME"/>
              </w:rPr>
              <w:t>parametrom</w:t>
            </w:r>
            <w:r w:rsidRPr="00C01AF3">
              <w:rPr>
                <w:rFonts w:ascii="Times New Roman" w:hAnsi="Times New Roman"/>
                <w:bCs/>
                <w:noProof/>
                <w:color w:val="000000"/>
                <w:sz w:val="22"/>
                <w:szCs w:val="22"/>
                <w:lang w:val="sr-Latn-ME"/>
              </w:rPr>
              <w:t xml:space="preserve">) je bila značajno viša u </w:t>
            </w:r>
            <w:r w:rsidR="00EE5F10" w:rsidRPr="00C01AF3">
              <w:rPr>
                <w:rFonts w:ascii="Times New Roman" w:hAnsi="Times New Roman"/>
                <w:bCs/>
                <w:noProof/>
                <w:color w:val="000000"/>
                <w:sz w:val="22"/>
                <w:szCs w:val="22"/>
                <w:lang w:val="sr-Latn-ME"/>
              </w:rPr>
              <w:t xml:space="preserve">grupi sa </w:t>
            </w:r>
            <w:r w:rsidRPr="00C01AF3">
              <w:rPr>
                <w:rFonts w:ascii="Times New Roman" w:hAnsi="Times New Roman"/>
                <w:bCs/>
                <w:noProof/>
                <w:color w:val="000000"/>
                <w:sz w:val="22"/>
                <w:szCs w:val="22"/>
                <w:lang w:val="sr-Latn-ME"/>
              </w:rPr>
              <w:t>amlodipin</w:t>
            </w:r>
            <w:r w:rsidR="00EE5F10" w:rsidRPr="00C01AF3">
              <w:rPr>
                <w:rFonts w:ascii="Times New Roman" w:hAnsi="Times New Roman"/>
                <w:bCs/>
                <w:noProof/>
                <w:color w:val="000000"/>
                <w:sz w:val="22"/>
                <w:szCs w:val="22"/>
                <w:lang w:val="sr-Latn-ME"/>
              </w:rPr>
              <w:t>om u poređenju sa grupom na h</w:t>
            </w:r>
            <w:r w:rsidRPr="00C01AF3">
              <w:rPr>
                <w:rFonts w:ascii="Times New Roman" w:hAnsi="Times New Roman"/>
                <w:bCs/>
                <w:noProof/>
                <w:color w:val="000000"/>
                <w:sz w:val="22"/>
                <w:szCs w:val="22"/>
                <w:lang w:val="sr-Latn-ME"/>
              </w:rPr>
              <w:t>lorotalidon</w:t>
            </w:r>
            <w:r w:rsidR="00EE5F10" w:rsidRPr="00C01AF3">
              <w:rPr>
                <w:rFonts w:ascii="Times New Roman" w:hAnsi="Times New Roman"/>
                <w:bCs/>
                <w:noProof/>
                <w:color w:val="000000"/>
                <w:sz w:val="22"/>
                <w:szCs w:val="22"/>
                <w:lang w:val="sr-Latn-ME"/>
              </w:rPr>
              <w:t>u</w:t>
            </w:r>
            <w:r w:rsidRPr="00C01AF3">
              <w:rPr>
                <w:rFonts w:ascii="Times New Roman" w:hAnsi="Times New Roman"/>
                <w:bCs/>
                <w:noProof/>
                <w:color w:val="000000"/>
                <w:sz w:val="22"/>
                <w:szCs w:val="22"/>
                <w:lang w:val="sr-Latn-ME"/>
              </w:rPr>
              <w:t xml:space="preserve"> (10,2%</w:t>
            </w:r>
            <w:r w:rsidR="00133285" w:rsidRPr="00C01AF3">
              <w:rPr>
                <w:rFonts w:ascii="Times New Roman" w:hAnsi="Times New Roman"/>
                <w:bCs/>
                <w:noProof/>
                <w:color w:val="000000"/>
                <w:sz w:val="22"/>
                <w:szCs w:val="22"/>
                <w:lang w:val="sr-Latn-ME"/>
              </w:rPr>
              <w:t xml:space="preserve"> naspram 7</w:t>
            </w:r>
            <w:r w:rsidRPr="00C01AF3">
              <w:rPr>
                <w:rFonts w:ascii="Times New Roman" w:hAnsi="Times New Roman"/>
                <w:bCs/>
                <w:noProof/>
                <w:color w:val="000000"/>
                <w:sz w:val="22"/>
                <w:szCs w:val="22"/>
                <w:lang w:val="sr-Latn-ME"/>
              </w:rPr>
              <w:t>,7%, RR 1,38, 95% C</w:t>
            </w:r>
            <w:r w:rsidR="00640E24" w:rsidRPr="00C01AF3">
              <w:rPr>
                <w:rFonts w:ascii="Times New Roman" w:hAnsi="Times New Roman"/>
                <w:bCs/>
                <w:noProof/>
                <w:color w:val="000000"/>
                <w:sz w:val="22"/>
                <w:szCs w:val="22"/>
                <w:lang w:val="sr-Latn-ME"/>
              </w:rPr>
              <w:t>I</w:t>
            </w:r>
            <w:r w:rsidRPr="00C01AF3">
              <w:rPr>
                <w:rFonts w:ascii="Times New Roman" w:hAnsi="Times New Roman"/>
                <w:sz w:val="22"/>
                <w:szCs w:val="22"/>
                <w:lang w:val="sr-Latn-ME"/>
              </w:rPr>
              <w:t xml:space="preserve"> </w:t>
            </w:r>
            <w:r w:rsidR="00B8238C" w:rsidRPr="00C01AF3">
              <w:rPr>
                <w:rFonts w:ascii="Times New Roman" w:hAnsi="Times New Roman"/>
                <w:bCs/>
                <w:noProof/>
                <w:color w:val="000000"/>
                <w:sz w:val="22"/>
                <w:szCs w:val="22"/>
                <w:lang w:val="sr-Latn-ME"/>
              </w:rPr>
              <w:t>[1,</w:t>
            </w:r>
            <w:r w:rsidRPr="00C01AF3">
              <w:rPr>
                <w:rFonts w:ascii="Times New Roman" w:hAnsi="Times New Roman"/>
                <w:bCs/>
                <w:noProof/>
                <w:color w:val="000000"/>
                <w:sz w:val="22"/>
                <w:szCs w:val="22"/>
                <w:lang w:val="sr-Latn-ME"/>
              </w:rPr>
              <w:t>25-1</w:t>
            </w:r>
            <w:r w:rsidR="00B8238C" w:rsidRPr="00C01AF3">
              <w:rPr>
                <w:rFonts w:ascii="Times New Roman" w:hAnsi="Times New Roman"/>
                <w:bCs/>
                <w:noProof/>
                <w:color w:val="000000"/>
                <w:sz w:val="22"/>
                <w:szCs w:val="22"/>
                <w:lang w:val="sr-Latn-ME"/>
              </w:rPr>
              <w:t>,52] p&lt;0,</w:t>
            </w:r>
            <w:r w:rsidRPr="00C01AF3">
              <w:rPr>
                <w:rFonts w:ascii="Times New Roman" w:hAnsi="Times New Roman"/>
                <w:bCs/>
                <w:noProof/>
                <w:color w:val="000000"/>
                <w:sz w:val="22"/>
                <w:szCs w:val="22"/>
                <w:lang w:val="sr-Latn-ME"/>
              </w:rPr>
              <w:t>001). Međutim, n</w:t>
            </w:r>
            <w:r w:rsidR="00CA4AEB" w:rsidRPr="00C01AF3">
              <w:rPr>
                <w:rFonts w:ascii="Times New Roman" w:hAnsi="Times New Roman"/>
                <w:bCs/>
                <w:noProof/>
                <w:color w:val="000000"/>
                <w:sz w:val="22"/>
                <w:szCs w:val="22"/>
                <w:lang w:val="sr-Latn-ME"/>
              </w:rPr>
              <w:t>ije bilo značajne razlike u mor</w:t>
            </w:r>
            <w:r w:rsidRPr="00C01AF3">
              <w:rPr>
                <w:rFonts w:ascii="Times New Roman" w:hAnsi="Times New Roman"/>
                <w:bCs/>
                <w:noProof/>
                <w:color w:val="000000"/>
                <w:sz w:val="22"/>
                <w:szCs w:val="22"/>
                <w:lang w:val="sr-Latn-ME"/>
              </w:rPr>
              <w:t xml:space="preserve">talitetu </w:t>
            </w:r>
            <w:r w:rsidR="00FF130B" w:rsidRPr="00C01AF3">
              <w:rPr>
                <w:rFonts w:ascii="Times New Roman" w:hAnsi="Times New Roman"/>
                <w:bCs/>
                <w:noProof/>
                <w:color w:val="000000"/>
                <w:sz w:val="22"/>
                <w:szCs w:val="22"/>
                <w:lang w:val="sr-Latn-ME"/>
              </w:rPr>
              <w:t>sveukupnog</w:t>
            </w:r>
            <w:r w:rsidRPr="00C01AF3">
              <w:rPr>
                <w:rFonts w:ascii="Times New Roman" w:hAnsi="Times New Roman"/>
                <w:bCs/>
                <w:noProof/>
                <w:color w:val="000000"/>
                <w:sz w:val="22"/>
                <w:szCs w:val="22"/>
                <w:lang w:val="sr-Latn-ME"/>
              </w:rPr>
              <w:t xml:space="preserve"> uzroka između tera</w:t>
            </w:r>
            <w:r w:rsidR="00FF130B" w:rsidRPr="00C01AF3">
              <w:rPr>
                <w:rFonts w:ascii="Times New Roman" w:hAnsi="Times New Roman"/>
                <w:bCs/>
                <w:noProof/>
                <w:color w:val="000000"/>
                <w:sz w:val="22"/>
                <w:szCs w:val="22"/>
                <w:lang w:val="sr-Latn-ME"/>
              </w:rPr>
              <w:t>pije zasnovane na amlodipinu i h</w:t>
            </w:r>
            <w:r w:rsidRPr="00C01AF3">
              <w:rPr>
                <w:rFonts w:ascii="Times New Roman" w:hAnsi="Times New Roman"/>
                <w:bCs/>
                <w:noProof/>
                <w:color w:val="000000"/>
                <w:sz w:val="22"/>
                <w:szCs w:val="22"/>
                <w:lang w:val="sr-Latn-ME"/>
              </w:rPr>
              <w:t>lorotalidonu RR 0,96 95% CI [0,89-1,02] p=0,20.</w:t>
            </w:r>
          </w:p>
          <w:p w:rsidR="004A6E73" w:rsidRPr="00C01AF3" w:rsidRDefault="004A6E73" w:rsidP="004A6E73">
            <w:pPr>
              <w:tabs>
                <w:tab w:val="clear" w:pos="284"/>
              </w:tabs>
              <w:autoSpaceDE w:val="0"/>
              <w:autoSpaceDN w:val="0"/>
              <w:jc w:val="left"/>
              <w:rPr>
                <w:rFonts w:ascii="Times New Roman" w:hAnsi="Times New Roman"/>
                <w:bCs/>
                <w:noProof/>
                <w:color w:val="000000"/>
                <w:sz w:val="22"/>
                <w:szCs w:val="22"/>
                <w:lang w:val="sr-Latn-ME"/>
              </w:rPr>
            </w:pPr>
          </w:p>
          <w:p w:rsidR="00056F49" w:rsidRPr="00C01AF3" w:rsidRDefault="00056F49" w:rsidP="00056F49">
            <w:pPr>
              <w:pStyle w:val="Header"/>
              <w:tabs>
                <w:tab w:val="clear" w:pos="4536"/>
                <w:tab w:val="clear" w:pos="9072"/>
                <w:tab w:val="left" w:pos="284"/>
              </w:tabs>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Valsartan</w:t>
            </w:r>
          </w:p>
          <w:p w:rsidR="0008303B" w:rsidRPr="00C01AF3" w:rsidRDefault="0008303B" w:rsidP="00056F49">
            <w:pPr>
              <w:pStyle w:val="Header"/>
              <w:tabs>
                <w:tab w:val="clear" w:pos="4536"/>
                <w:tab w:val="clear" w:pos="9072"/>
                <w:tab w:val="left" w:pos="284"/>
              </w:tabs>
              <w:jc w:val="left"/>
              <w:rPr>
                <w:rFonts w:ascii="Times New Roman" w:hAnsi="Times New Roman" w:cs="Arial"/>
                <w:bCs/>
                <w:i/>
                <w:sz w:val="22"/>
                <w:lang w:val="sr-Latn-ME"/>
              </w:rPr>
            </w:pPr>
            <w:r w:rsidRPr="00C01AF3">
              <w:rPr>
                <w:rFonts w:ascii="Times New Roman" w:hAnsi="Times New Roman" w:cs="Arial"/>
                <w:bCs/>
                <w:i/>
                <w:sz w:val="22"/>
                <w:lang w:val="sr-Latn-ME"/>
              </w:rPr>
              <w:t xml:space="preserve">Mehanizam </w:t>
            </w:r>
            <w:r w:rsidR="007B42AA" w:rsidRPr="00C01AF3">
              <w:rPr>
                <w:rFonts w:ascii="Times New Roman" w:hAnsi="Times New Roman" w:cs="Arial"/>
                <w:bCs/>
                <w:i/>
                <w:sz w:val="22"/>
                <w:lang w:val="sr-Latn-ME"/>
              </w:rPr>
              <w:t>djelov</w:t>
            </w:r>
            <w:r w:rsidRPr="00C01AF3">
              <w:rPr>
                <w:rFonts w:ascii="Times New Roman" w:hAnsi="Times New Roman" w:cs="Arial"/>
                <w:bCs/>
                <w:i/>
                <w:sz w:val="22"/>
                <w:lang w:val="sr-Latn-ME"/>
              </w:rPr>
              <w:t xml:space="preserve">anja </w:t>
            </w:r>
          </w:p>
          <w:p w:rsidR="00085C5A" w:rsidRPr="00C01AF3" w:rsidRDefault="00056F49" w:rsidP="00056F49">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Valsartan je </w:t>
            </w:r>
            <w:r w:rsidR="00133285" w:rsidRPr="00C01AF3">
              <w:rPr>
                <w:rFonts w:ascii="Times New Roman" w:hAnsi="Times New Roman" w:cs="Arial"/>
                <w:sz w:val="22"/>
                <w:lang w:val="sr-Latn-ME"/>
              </w:rPr>
              <w:t xml:space="preserve">lijek aktivan pri </w:t>
            </w:r>
            <w:r w:rsidRPr="00C01AF3">
              <w:rPr>
                <w:rFonts w:ascii="Times New Roman" w:hAnsi="Times New Roman" w:cs="Arial"/>
                <w:sz w:val="22"/>
                <w:lang w:val="sr-Latn-ME"/>
              </w:rPr>
              <w:t>oralno</w:t>
            </w:r>
            <w:r w:rsidR="00133285" w:rsidRPr="00C01AF3">
              <w:rPr>
                <w:rFonts w:ascii="Times New Roman" w:hAnsi="Times New Roman" w:cs="Arial"/>
                <w:sz w:val="22"/>
                <w:lang w:val="sr-Latn-ME"/>
              </w:rPr>
              <w:t>j</w:t>
            </w:r>
            <w:r w:rsidRPr="00C01AF3">
              <w:rPr>
                <w:rFonts w:ascii="Times New Roman" w:hAnsi="Times New Roman" w:cs="Arial"/>
                <w:sz w:val="22"/>
                <w:lang w:val="sr-Latn-ME"/>
              </w:rPr>
              <w:t xml:space="preserve"> </w:t>
            </w:r>
            <w:r w:rsidR="00133285" w:rsidRPr="00C01AF3">
              <w:rPr>
                <w:rFonts w:ascii="Times New Roman" w:hAnsi="Times New Roman" w:cs="Arial"/>
                <w:sz w:val="22"/>
                <w:lang w:val="sr-Latn-ME"/>
              </w:rPr>
              <w:t>primjeni</w:t>
            </w:r>
            <w:r w:rsidRPr="00C01AF3">
              <w:rPr>
                <w:rFonts w:ascii="Times New Roman" w:hAnsi="Times New Roman" w:cs="Arial"/>
                <w:sz w:val="22"/>
                <w:lang w:val="sr-Latn-ME"/>
              </w:rPr>
              <w:t>, potentan i specifičan antagonist receptora za angiotenzin II. D</w:t>
            </w:r>
            <w:r w:rsidR="00133285" w:rsidRPr="00C01AF3">
              <w:rPr>
                <w:rFonts w:ascii="Times New Roman" w:hAnsi="Times New Roman" w:cs="Arial"/>
                <w:sz w:val="22"/>
                <w:lang w:val="sr-Latn-ME"/>
              </w:rPr>
              <w:t>j</w:t>
            </w:r>
            <w:r w:rsidRPr="00C01AF3">
              <w:rPr>
                <w:rFonts w:ascii="Times New Roman" w:hAnsi="Times New Roman" w:cs="Arial"/>
                <w:sz w:val="22"/>
                <w:lang w:val="sr-Latn-ME"/>
              </w:rPr>
              <w:t xml:space="preserve">eluje selektivno na </w:t>
            </w:r>
            <w:r w:rsidR="003E737D" w:rsidRPr="00C01AF3">
              <w:rPr>
                <w:rFonts w:ascii="Times New Roman" w:hAnsi="Times New Roman" w:cs="Arial"/>
                <w:sz w:val="22"/>
                <w:lang w:val="sr-Latn-ME"/>
              </w:rPr>
              <w:t>AT</w:t>
            </w:r>
            <w:r w:rsidR="003E737D" w:rsidRPr="00C01AF3">
              <w:rPr>
                <w:rFonts w:ascii="Times New Roman" w:hAnsi="Times New Roman" w:cs="Arial"/>
                <w:sz w:val="22"/>
                <w:vertAlign w:val="subscript"/>
                <w:lang w:val="sr-Latn-ME"/>
              </w:rPr>
              <w:t>1</w:t>
            </w:r>
            <w:r w:rsidRPr="00C01AF3">
              <w:rPr>
                <w:rFonts w:ascii="Times New Roman" w:hAnsi="Times New Roman" w:cs="Arial"/>
                <w:sz w:val="22"/>
                <w:lang w:val="sr-Latn-ME"/>
              </w:rPr>
              <w:t xml:space="preserve"> podtip receptora koji je odgovoran za poznato dejstvo angiotenzina II.</w:t>
            </w:r>
          </w:p>
          <w:p w:rsidR="00056F49" w:rsidRPr="00C01AF3" w:rsidRDefault="00056F49" w:rsidP="00085C5A">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 </w:t>
            </w:r>
          </w:p>
          <w:p w:rsidR="00DB472A" w:rsidRPr="00C01AF3" w:rsidRDefault="00DB472A" w:rsidP="00056F49">
            <w:pPr>
              <w:pStyle w:val="Header"/>
              <w:tabs>
                <w:tab w:val="clear" w:pos="4536"/>
                <w:tab w:val="clear" w:pos="9072"/>
                <w:tab w:val="left" w:pos="284"/>
              </w:tabs>
              <w:spacing w:before="120"/>
              <w:jc w:val="left"/>
              <w:rPr>
                <w:rFonts w:ascii="Times New Roman" w:hAnsi="Times New Roman" w:cs="Arial"/>
                <w:i/>
                <w:sz w:val="22"/>
                <w:lang w:val="sr-Latn-ME"/>
              </w:rPr>
            </w:pPr>
            <w:r w:rsidRPr="00C01AF3">
              <w:rPr>
                <w:rFonts w:ascii="Times New Roman" w:hAnsi="Times New Roman" w:cs="Arial"/>
                <w:i/>
                <w:sz w:val="22"/>
                <w:lang w:val="sr-Latn-ME"/>
              </w:rPr>
              <w:t xml:space="preserve">Klinička efikasnost i </w:t>
            </w:r>
            <w:r w:rsidR="006A1297" w:rsidRPr="00C01AF3">
              <w:rPr>
                <w:rFonts w:ascii="Times New Roman" w:hAnsi="Times New Roman" w:cs="Arial"/>
                <w:i/>
                <w:sz w:val="22"/>
                <w:lang w:val="sr-Latn-ME"/>
              </w:rPr>
              <w:t>bezbjedn</w:t>
            </w:r>
            <w:r w:rsidRPr="00C01AF3">
              <w:rPr>
                <w:rFonts w:ascii="Times New Roman" w:hAnsi="Times New Roman" w:cs="Arial"/>
                <w:i/>
                <w:sz w:val="22"/>
                <w:lang w:val="sr-Latn-ME"/>
              </w:rPr>
              <w:t>ost</w:t>
            </w:r>
          </w:p>
          <w:p w:rsidR="00056F49" w:rsidRPr="00C01AF3" w:rsidRDefault="00A65414" w:rsidP="00056F49">
            <w:pPr>
              <w:pStyle w:val="Header"/>
              <w:tabs>
                <w:tab w:val="clear" w:pos="4536"/>
                <w:tab w:val="clear" w:pos="9072"/>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Primje</w:t>
            </w:r>
            <w:r w:rsidR="00056F49" w:rsidRPr="00C01AF3">
              <w:rPr>
                <w:rFonts w:ascii="Times New Roman" w:hAnsi="Times New Roman" w:cs="Arial"/>
                <w:sz w:val="22"/>
                <w:lang w:val="sr-Latn-ME"/>
              </w:rPr>
              <w:t>na valsartana na pacije</w:t>
            </w:r>
            <w:r w:rsidR="0089665D" w:rsidRPr="00C01AF3">
              <w:rPr>
                <w:rFonts w:ascii="Times New Roman" w:hAnsi="Times New Roman" w:cs="Arial"/>
                <w:sz w:val="22"/>
                <w:lang w:val="sr-Latn-ME"/>
              </w:rPr>
              <w:t>ntima sa hipertenzijom</w:t>
            </w:r>
            <w:r w:rsidR="00FD05ED" w:rsidRPr="00C01AF3">
              <w:rPr>
                <w:rFonts w:ascii="Times New Roman" w:hAnsi="Times New Roman" w:cs="Arial"/>
                <w:sz w:val="22"/>
                <w:lang w:val="sr-Latn-ME"/>
              </w:rPr>
              <w:t xml:space="preserve"> dovodi do</w:t>
            </w:r>
            <w:r w:rsidR="00056F49" w:rsidRPr="00C01AF3">
              <w:rPr>
                <w:rFonts w:ascii="Times New Roman" w:hAnsi="Times New Roman" w:cs="Arial"/>
                <w:sz w:val="22"/>
                <w:lang w:val="sr-Latn-ME"/>
              </w:rPr>
              <w:t xml:space="preserve"> u sniženj</w:t>
            </w:r>
            <w:r w:rsidR="0089665D" w:rsidRPr="00C01AF3">
              <w:rPr>
                <w:rFonts w:ascii="Times New Roman" w:hAnsi="Times New Roman" w:cs="Arial"/>
                <w:sz w:val="22"/>
                <w:lang w:val="sr-Latn-ME"/>
              </w:rPr>
              <w:t>a</w:t>
            </w:r>
            <w:r w:rsidR="00056F49" w:rsidRPr="00C01AF3">
              <w:rPr>
                <w:rFonts w:ascii="Times New Roman" w:hAnsi="Times New Roman" w:cs="Arial"/>
                <w:sz w:val="22"/>
                <w:lang w:val="sr-Latn-ME"/>
              </w:rPr>
              <w:t xml:space="preserve"> krvnog pritiska bez uticaja na </w:t>
            </w:r>
            <w:r w:rsidR="00133285" w:rsidRPr="00C01AF3">
              <w:rPr>
                <w:rFonts w:ascii="Times New Roman" w:hAnsi="Times New Roman" w:cs="Arial"/>
                <w:sz w:val="22"/>
                <w:lang w:val="sr-Latn-ME"/>
              </w:rPr>
              <w:t xml:space="preserve">brzinu </w:t>
            </w:r>
            <w:r w:rsidR="00056F49" w:rsidRPr="00C01AF3">
              <w:rPr>
                <w:rFonts w:ascii="Times New Roman" w:hAnsi="Times New Roman" w:cs="Arial"/>
                <w:sz w:val="22"/>
                <w:lang w:val="sr-Latn-ME"/>
              </w:rPr>
              <w:t>puls</w:t>
            </w:r>
            <w:r w:rsidR="00133285" w:rsidRPr="00C01AF3">
              <w:rPr>
                <w:rFonts w:ascii="Times New Roman" w:hAnsi="Times New Roman" w:cs="Arial"/>
                <w:sz w:val="22"/>
                <w:lang w:val="sr-Latn-ME"/>
              </w:rPr>
              <w:t>a</w:t>
            </w:r>
            <w:r w:rsidR="00056F49" w:rsidRPr="00C01AF3">
              <w:rPr>
                <w:rFonts w:ascii="Times New Roman" w:hAnsi="Times New Roman" w:cs="Arial"/>
                <w:sz w:val="22"/>
                <w:lang w:val="sr-Latn-ME"/>
              </w:rPr>
              <w:t>.</w:t>
            </w:r>
          </w:p>
          <w:p w:rsidR="00056F49" w:rsidRPr="00C01AF3" w:rsidRDefault="00056F49" w:rsidP="00056F49">
            <w:pPr>
              <w:pStyle w:val="Header"/>
              <w:tabs>
                <w:tab w:val="clear" w:pos="4536"/>
                <w:tab w:val="clear" w:pos="9072"/>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 xml:space="preserve">Kod većine pacijenta, </w:t>
            </w:r>
            <w:r w:rsidR="001B7840" w:rsidRPr="00C01AF3">
              <w:rPr>
                <w:rFonts w:ascii="Times New Roman" w:hAnsi="Times New Roman" w:cs="Arial"/>
                <w:sz w:val="22"/>
                <w:lang w:val="sr-Latn-ME"/>
              </w:rPr>
              <w:t>poslije</w:t>
            </w:r>
            <w:r w:rsidRPr="00C01AF3">
              <w:rPr>
                <w:rFonts w:ascii="Times New Roman" w:hAnsi="Times New Roman" w:cs="Arial"/>
                <w:sz w:val="22"/>
                <w:lang w:val="sr-Latn-ME"/>
              </w:rPr>
              <w:t xml:space="preserve">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 xml:space="preserve">ne pojedinačne oralne doze </w:t>
            </w:r>
            <w:r w:rsidR="00A65414" w:rsidRPr="00C01AF3">
              <w:rPr>
                <w:rFonts w:ascii="Times New Roman" w:hAnsi="Times New Roman" w:cs="Arial"/>
                <w:sz w:val="22"/>
                <w:lang w:val="sr-Latn-ME"/>
              </w:rPr>
              <w:t>lijek</w:t>
            </w:r>
            <w:r w:rsidRPr="00C01AF3">
              <w:rPr>
                <w:rFonts w:ascii="Times New Roman" w:hAnsi="Times New Roman" w:cs="Arial"/>
                <w:sz w:val="22"/>
                <w:lang w:val="sr-Latn-ME"/>
              </w:rPr>
              <w:t>a, početak</w:t>
            </w:r>
            <w:r w:rsidR="0022733C" w:rsidRPr="00C01AF3">
              <w:rPr>
                <w:rFonts w:ascii="Times New Roman" w:hAnsi="Times New Roman" w:cs="Arial"/>
                <w:sz w:val="22"/>
                <w:lang w:val="sr-Latn-ME"/>
              </w:rPr>
              <w:t xml:space="preserve"> </w:t>
            </w:r>
            <w:r w:rsidRPr="00C01AF3">
              <w:rPr>
                <w:rFonts w:ascii="Times New Roman" w:hAnsi="Times New Roman" w:cs="Arial"/>
                <w:sz w:val="22"/>
                <w:lang w:val="sr-Latn-ME"/>
              </w:rPr>
              <w:t xml:space="preserve"> antihipertenzivne aktivnosti javlja se unutar 2 sata, a maksimalno sniženje krvnog pritiska postiže se unutar 4-6 sati od uzimanja </w:t>
            </w:r>
            <w:r w:rsidR="00A65414" w:rsidRPr="00C01AF3">
              <w:rPr>
                <w:rFonts w:ascii="Times New Roman" w:hAnsi="Times New Roman" w:cs="Arial"/>
                <w:sz w:val="22"/>
                <w:lang w:val="sr-Latn-ME"/>
              </w:rPr>
              <w:t>lijek</w:t>
            </w:r>
            <w:r w:rsidRPr="00C01AF3">
              <w:rPr>
                <w:rFonts w:ascii="Times New Roman" w:hAnsi="Times New Roman" w:cs="Arial"/>
                <w:sz w:val="22"/>
                <w:lang w:val="sr-Latn-ME"/>
              </w:rPr>
              <w:t xml:space="preserve">a. Antihipertenzivni efekt traje više od 24 sata od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ne. Za vr</w:t>
            </w:r>
            <w:r w:rsidR="001A4AB5" w:rsidRPr="00C01AF3">
              <w:rPr>
                <w:rFonts w:ascii="Times New Roman" w:hAnsi="Times New Roman" w:cs="Arial"/>
                <w:sz w:val="22"/>
                <w:lang w:val="sr-Latn-ME"/>
              </w:rPr>
              <w:t>i</w:t>
            </w:r>
            <w:r w:rsidR="00133285" w:rsidRPr="00C01AF3">
              <w:rPr>
                <w:rFonts w:ascii="Times New Roman" w:hAnsi="Times New Roman" w:cs="Arial"/>
                <w:sz w:val="22"/>
                <w:lang w:val="sr-Latn-ME"/>
              </w:rPr>
              <w:t>j</w:t>
            </w:r>
            <w:r w:rsidRPr="00C01AF3">
              <w:rPr>
                <w:rFonts w:ascii="Times New Roman" w:hAnsi="Times New Roman" w:cs="Arial"/>
                <w:sz w:val="22"/>
                <w:lang w:val="sr-Latn-ME"/>
              </w:rPr>
              <w:t xml:space="preserve">eme ponovljene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 xml:space="preserve">ne, maksimalno sniženje krvnog pritiska sa bilo kojom dozom postiže se unutar 2-4 </w:t>
            </w:r>
            <w:r w:rsidR="00422020" w:rsidRPr="00C01AF3">
              <w:rPr>
                <w:rFonts w:ascii="Times New Roman" w:hAnsi="Times New Roman" w:cs="Arial"/>
                <w:sz w:val="22"/>
                <w:lang w:val="sr-Latn-ME"/>
              </w:rPr>
              <w:t>nedjelj</w:t>
            </w:r>
            <w:r w:rsidR="00085C5A" w:rsidRPr="00C01AF3">
              <w:rPr>
                <w:rFonts w:ascii="Times New Roman" w:hAnsi="Times New Roman" w:cs="Arial"/>
                <w:sz w:val="22"/>
                <w:lang w:val="sr-Latn-ME"/>
              </w:rPr>
              <w:t>e.</w:t>
            </w:r>
          </w:p>
          <w:p w:rsidR="00272AA3" w:rsidRPr="00C01AF3" w:rsidRDefault="007C4A86" w:rsidP="00056F49">
            <w:pPr>
              <w:pStyle w:val="Header"/>
              <w:tabs>
                <w:tab w:val="clear" w:pos="4536"/>
                <w:tab w:val="clear" w:pos="9072"/>
                <w:tab w:val="left" w:pos="284"/>
              </w:tabs>
              <w:spacing w:before="120"/>
              <w:jc w:val="left"/>
              <w:rPr>
                <w:rFonts w:ascii="Times New Roman" w:hAnsi="Times New Roman" w:cs="Arial"/>
                <w:sz w:val="22"/>
                <w:u w:val="single"/>
                <w:lang w:val="sr-Latn-ME"/>
              </w:rPr>
            </w:pPr>
            <w:r w:rsidRPr="00C01AF3">
              <w:rPr>
                <w:rFonts w:ascii="Times New Roman" w:hAnsi="Times New Roman" w:cs="Arial"/>
                <w:sz w:val="22"/>
                <w:u w:val="single"/>
                <w:lang w:val="sr-Latn-ME"/>
              </w:rPr>
              <w:t>Hidrohlortiazid</w:t>
            </w:r>
          </w:p>
          <w:p w:rsidR="00D00233" w:rsidRPr="00C01AF3" w:rsidRDefault="00D00233" w:rsidP="00056F49">
            <w:pPr>
              <w:pStyle w:val="Header"/>
              <w:tabs>
                <w:tab w:val="clear" w:pos="4536"/>
                <w:tab w:val="clear" w:pos="9072"/>
                <w:tab w:val="left" w:pos="284"/>
              </w:tabs>
              <w:spacing w:before="120"/>
              <w:jc w:val="left"/>
              <w:rPr>
                <w:rFonts w:ascii="Times New Roman" w:hAnsi="Times New Roman" w:cs="Arial"/>
                <w:i/>
                <w:sz w:val="22"/>
                <w:lang w:val="sr-Latn-ME"/>
              </w:rPr>
            </w:pPr>
            <w:r w:rsidRPr="00C01AF3">
              <w:rPr>
                <w:rFonts w:ascii="Times New Roman" w:hAnsi="Times New Roman" w:cs="Arial"/>
                <w:i/>
                <w:sz w:val="22"/>
                <w:lang w:val="sr-Latn-ME"/>
              </w:rPr>
              <w:t xml:space="preserve">Mehanizam </w:t>
            </w:r>
            <w:r w:rsidR="007B42AA" w:rsidRPr="00C01AF3">
              <w:rPr>
                <w:rFonts w:ascii="Times New Roman" w:hAnsi="Times New Roman" w:cs="Arial"/>
                <w:i/>
                <w:sz w:val="22"/>
                <w:lang w:val="sr-Latn-ME"/>
              </w:rPr>
              <w:t>djelov</w:t>
            </w:r>
            <w:r w:rsidRPr="00C01AF3">
              <w:rPr>
                <w:rFonts w:ascii="Times New Roman" w:hAnsi="Times New Roman" w:cs="Arial"/>
                <w:i/>
                <w:sz w:val="22"/>
                <w:lang w:val="sr-Latn-ME"/>
              </w:rPr>
              <w:t xml:space="preserve">anja </w:t>
            </w:r>
          </w:p>
          <w:p w:rsidR="00834B78" w:rsidRPr="00C01AF3" w:rsidRDefault="0050171E" w:rsidP="00056F49">
            <w:pPr>
              <w:pStyle w:val="Header"/>
              <w:tabs>
                <w:tab w:val="clear" w:pos="4536"/>
                <w:tab w:val="clear" w:pos="9072"/>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Mjesto</w:t>
            </w:r>
            <w:r w:rsidR="00834B78" w:rsidRPr="00C01AF3">
              <w:rPr>
                <w:rFonts w:ascii="Times New Roman" w:hAnsi="Times New Roman" w:cs="Arial"/>
                <w:sz w:val="22"/>
                <w:lang w:val="sr-Latn-ME"/>
              </w:rPr>
              <w:t xml:space="preserve"> </w:t>
            </w:r>
            <w:r w:rsidR="007B42AA" w:rsidRPr="00C01AF3">
              <w:rPr>
                <w:rFonts w:ascii="Times New Roman" w:hAnsi="Times New Roman" w:cs="Arial"/>
                <w:sz w:val="22"/>
                <w:lang w:val="sr-Latn-ME"/>
              </w:rPr>
              <w:t>djelov</w:t>
            </w:r>
            <w:r w:rsidR="00834B78" w:rsidRPr="00C01AF3">
              <w:rPr>
                <w:rFonts w:ascii="Times New Roman" w:hAnsi="Times New Roman" w:cs="Arial"/>
                <w:sz w:val="22"/>
                <w:lang w:val="sr-Latn-ME"/>
              </w:rPr>
              <w:t>anja tiazidnih diuretika je primarno u distalnim bubrežnim tubulima. Pokazano je da u bubrežnom korteksu postoji receptor visokog afiniteta</w:t>
            </w:r>
            <w:r w:rsidR="000F2017" w:rsidRPr="00C01AF3">
              <w:rPr>
                <w:rFonts w:ascii="Times New Roman" w:hAnsi="Times New Roman" w:cs="Arial"/>
                <w:sz w:val="22"/>
                <w:lang w:val="sr-Latn-ME"/>
              </w:rPr>
              <w:t>,</w:t>
            </w:r>
            <w:r w:rsidR="00834B78" w:rsidRPr="00C01AF3">
              <w:rPr>
                <w:rFonts w:ascii="Times New Roman" w:hAnsi="Times New Roman" w:cs="Arial"/>
                <w:sz w:val="22"/>
                <w:lang w:val="sr-Latn-ME"/>
              </w:rPr>
              <w:t xml:space="preserve"> </w:t>
            </w:r>
            <w:r w:rsidR="000F2017" w:rsidRPr="00C01AF3">
              <w:rPr>
                <w:rFonts w:ascii="Times New Roman" w:hAnsi="Times New Roman" w:cs="Arial"/>
                <w:sz w:val="22"/>
                <w:lang w:val="sr-Latn-ME"/>
              </w:rPr>
              <w:t>kao</w:t>
            </w:r>
            <w:r w:rsidR="00834B78" w:rsidRPr="00C01AF3">
              <w:rPr>
                <w:rFonts w:ascii="Times New Roman" w:hAnsi="Times New Roman" w:cs="Arial"/>
                <w:sz w:val="22"/>
                <w:lang w:val="sr-Latn-ME"/>
              </w:rPr>
              <w:t xml:space="preserve"> primarno </w:t>
            </w:r>
            <w:r w:rsidRPr="00C01AF3">
              <w:rPr>
                <w:rFonts w:ascii="Times New Roman" w:hAnsi="Times New Roman" w:cs="Arial"/>
                <w:sz w:val="22"/>
                <w:lang w:val="sr-Latn-ME"/>
              </w:rPr>
              <w:t>mjesto</w:t>
            </w:r>
            <w:r w:rsidR="000F2017" w:rsidRPr="00C01AF3">
              <w:rPr>
                <w:rFonts w:ascii="Times New Roman" w:hAnsi="Times New Roman" w:cs="Arial"/>
                <w:sz w:val="22"/>
                <w:lang w:val="sr-Latn-ME"/>
              </w:rPr>
              <w:t xml:space="preserve"> vezivanja,</w:t>
            </w:r>
            <w:r w:rsidR="00834B78" w:rsidRPr="00C01AF3">
              <w:rPr>
                <w:rFonts w:ascii="Times New Roman" w:hAnsi="Times New Roman" w:cs="Arial"/>
                <w:sz w:val="22"/>
                <w:lang w:val="sr-Latn-ME"/>
              </w:rPr>
              <w:t xml:space="preserve"> za dejstvo tiazidnog diuretika i inhibiciju transporta NaCl u distalnim tubulima. Način </w:t>
            </w:r>
            <w:r w:rsidR="007B42AA" w:rsidRPr="00C01AF3">
              <w:rPr>
                <w:rFonts w:ascii="Times New Roman" w:hAnsi="Times New Roman" w:cs="Arial"/>
                <w:sz w:val="22"/>
                <w:lang w:val="sr-Latn-ME"/>
              </w:rPr>
              <w:t>djelov</w:t>
            </w:r>
            <w:r w:rsidR="00834B78" w:rsidRPr="00C01AF3">
              <w:rPr>
                <w:rFonts w:ascii="Times New Roman" w:hAnsi="Times New Roman" w:cs="Arial"/>
                <w:sz w:val="22"/>
                <w:lang w:val="sr-Latn-ME"/>
              </w:rPr>
              <w:t>anja tiazida je preko inhibicije Na</w:t>
            </w:r>
            <w:r w:rsidR="00834B78" w:rsidRPr="00C01AF3">
              <w:rPr>
                <w:rFonts w:ascii="Times New Roman" w:hAnsi="Times New Roman" w:cs="Arial"/>
                <w:sz w:val="22"/>
                <w:vertAlign w:val="superscript"/>
                <w:lang w:val="sr-Latn-ME"/>
              </w:rPr>
              <w:t>+</w:t>
            </w:r>
            <w:r w:rsidR="00834B78" w:rsidRPr="00C01AF3">
              <w:rPr>
                <w:rFonts w:ascii="Times New Roman" w:hAnsi="Times New Roman" w:cs="Arial"/>
                <w:sz w:val="22"/>
                <w:lang w:val="sr-Latn-ME"/>
              </w:rPr>
              <w:t>Cl</w:t>
            </w:r>
            <w:r w:rsidR="00834B78" w:rsidRPr="00C01AF3">
              <w:rPr>
                <w:rFonts w:ascii="Times New Roman" w:hAnsi="Times New Roman" w:cs="Arial"/>
                <w:sz w:val="22"/>
                <w:vertAlign w:val="superscript"/>
                <w:lang w:val="sr-Latn-ME"/>
              </w:rPr>
              <w:t>–</w:t>
            </w:r>
            <w:r w:rsidR="00834B78" w:rsidRPr="00C01AF3">
              <w:rPr>
                <w:rFonts w:ascii="Times New Roman" w:hAnsi="Times New Roman" w:cs="Arial"/>
                <w:sz w:val="22"/>
                <w:lang w:val="sr-Latn-ME"/>
              </w:rPr>
              <w:t xml:space="preserve"> kotransportera</w:t>
            </w:r>
            <w:r w:rsidR="00CA707F" w:rsidRPr="00C01AF3">
              <w:rPr>
                <w:rFonts w:ascii="Times New Roman" w:hAnsi="Times New Roman" w:cs="Arial"/>
                <w:sz w:val="22"/>
                <w:lang w:val="sr-Latn-ME"/>
              </w:rPr>
              <w:t>,</w:t>
            </w:r>
            <w:r w:rsidR="00834B78" w:rsidRPr="00C01AF3">
              <w:rPr>
                <w:rFonts w:ascii="Times New Roman" w:hAnsi="Times New Roman" w:cs="Arial"/>
                <w:sz w:val="22"/>
                <w:lang w:val="sr-Latn-ME"/>
              </w:rPr>
              <w:t xml:space="preserve"> </w:t>
            </w:r>
            <w:r w:rsidR="00123F8B" w:rsidRPr="00C01AF3">
              <w:rPr>
                <w:rFonts w:ascii="Times New Roman" w:hAnsi="Times New Roman" w:cs="Arial"/>
                <w:sz w:val="22"/>
                <w:lang w:val="sr-Latn-ME"/>
              </w:rPr>
              <w:t>vjerovat</w:t>
            </w:r>
            <w:r w:rsidR="00CA707F" w:rsidRPr="00C01AF3">
              <w:rPr>
                <w:rFonts w:ascii="Times New Roman" w:hAnsi="Times New Roman" w:cs="Arial"/>
                <w:sz w:val="22"/>
                <w:lang w:val="sr-Latn-ME"/>
              </w:rPr>
              <w:t>no</w:t>
            </w:r>
            <w:r w:rsidR="00834B78" w:rsidRPr="00C01AF3">
              <w:rPr>
                <w:rFonts w:ascii="Times New Roman" w:hAnsi="Times New Roman" w:cs="Arial"/>
                <w:sz w:val="22"/>
                <w:lang w:val="sr-Latn-ME"/>
              </w:rPr>
              <w:t xml:space="preserve"> kompeticijom </w:t>
            </w:r>
            <w:r w:rsidR="00CA707F" w:rsidRPr="00C01AF3">
              <w:rPr>
                <w:rFonts w:ascii="Times New Roman" w:hAnsi="Times New Roman" w:cs="Arial"/>
                <w:sz w:val="22"/>
                <w:lang w:val="sr-Latn-ME"/>
              </w:rPr>
              <w:t>za</w:t>
            </w:r>
            <w:r w:rsidR="00834B78" w:rsidRPr="00C01AF3">
              <w:rPr>
                <w:rFonts w:ascii="Times New Roman" w:hAnsi="Times New Roman" w:cs="Arial"/>
                <w:sz w:val="22"/>
                <w:lang w:val="sr-Latn-ME"/>
              </w:rPr>
              <w:t xml:space="preserve"> </w:t>
            </w:r>
            <w:r w:rsidRPr="00C01AF3">
              <w:rPr>
                <w:rFonts w:ascii="Times New Roman" w:hAnsi="Times New Roman" w:cs="Arial"/>
                <w:sz w:val="22"/>
                <w:lang w:val="sr-Latn-ME"/>
              </w:rPr>
              <w:t>mjesto</w:t>
            </w:r>
            <w:r w:rsidR="00CA707F" w:rsidRPr="00C01AF3">
              <w:rPr>
                <w:rFonts w:ascii="Times New Roman" w:hAnsi="Times New Roman" w:cs="Arial"/>
                <w:sz w:val="22"/>
                <w:lang w:val="sr-Latn-ME"/>
              </w:rPr>
              <w:t xml:space="preserve"> vezivanja</w:t>
            </w:r>
            <w:r w:rsidR="00834B78" w:rsidRPr="00C01AF3">
              <w:rPr>
                <w:rFonts w:ascii="Times New Roman" w:hAnsi="Times New Roman" w:cs="Arial"/>
                <w:sz w:val="22"/>
                <w:lang w:val="sr-Latn-ME"/>
              </w:rPr>
              <w:t xml:space="preserve"> Cl</w:t>
            </w:r>
            <w:r w:rsidR="00834B78" w:rsidRPr="00C01AF3">
              <w:rPr>
                <w:rFonts w:ascii="Times New Roman" w:hAnsi="Times New Roman" w:cs="Arial"/>
                <w:sz w:val="22"/>
                <w:vertAlign w:val="superscript"/>
                <w:lang w:val="sr-Latn-ME"/>
              </w:rPr>
              <w:t>–</w:t>
            </w:r>
            <w:r w:rsidR="00834B78" w:rsidRPr="00C01AF3">
              <w:rPr>
                <w:rFonts w:ascii="Times New Roman" w:hAnsi="Times New Roman" w:cs="Arial"/>
                <w:sz w:val="22"/>
                <w:lang w:val="sr-Latn-ME"/>
              </w:rPr>
              <w:t xml:space="preserve">  koji utiče na</w:t>
            </w:r>
            <w:r w:rsidR="00421F01" w:rsidRPr="00C01AF3">
              <w:rPr>
                <w:rFonts w:ascii="Times New Roman" w:hAnsi="Times New Roman" w:cs="Arial"/>
                <w:sz w:val="22"/>
                <w:lang w:val="sr-Latn-ME"/>
              </w:rPr>
              <w:t xml:space="preserve"> mehanizam reapsorpcije</w:t>
            </w:r>
            <w:r w:rsidR="00834B78" w:rsidRPr="00C01AF3">
              <w:rPr>
                <w:rFonts w:ascii="Times New Roman" w:hAnsi="Times New Roman" w:cs="Arial"/>
                <w:sz w:val="22"/>
                <w:lang w:val="sr-Latn-ME"/>
              </w:rPr>
              <w:t xml:space="preserve"> elektrolita: direktnim povećanjem ekskrecije natrijuma i hlorida u približno </w:t>
            </w:r>
            <w:r w:rsidR="009227DC" w:rsidRPr="00C01AF3">
              <w:rPr>
                <w:rFonts w:ascii="Times New Roman" w:hAnsi="Times New Roman" w:cs="Arial"/>
                <w:sz w:val="22"/>
                <w:lang w:val="sr-Latn-ME"/>
              </w:rPr>
              <w:t>jednakim</w:t>
            </w:r>
            <w:r w:rsidR="00834B78" w:rsidRPr="00C01AF3">
              <w:rPr>
                <w:rFonts w:ascii="Times New Roman" w:hAnsi="Times New Roman" w:cs="Arial"/>
                <w:sz w:val="22"/>
                <w:lang w:val="sr-Latn-ME"/>
              </w:rPr>
              <w:t xml:space="preserve"> količinama, </w:t>
            </w:r>
            <w:r w:rsidR="009227DC" w:rsidRPr="00C01AF3">
              <w:rPr>
                <w:rFonts w:ascii="Times New Roman" w:hAnsi="Times New Roman" w:cs="Arial"/>
                <w:sz w:val="22"/>
                <w:lang w:val="sr-Latn-ME"/>
              </w:rPr>
              <w:t xml:space="preserve">i </w:t>
            </w:r>
            <w:r w:rsidR="00834B78" w:rsidRPr="00C01AF3">
              <w:rPr>
                <w:rFonts w:ascii="Times New Roman" w:hAnsi="Times New Roman" w:cs="Arial"/>
                <w:sz w:val="22"/>
                <w:lang w:val="sr-Latn-ME"/>
              </w:rPr>
              <w:t xml:space="preserve">indirektno, diuretskim </w:t>
            </w:r>
            <w:r w:rsidR="007B42AA" w:rsidRPr="00C01AF3">
              <w:rPr>
                <w:rFonts w:ascii="Times New Roman" w:hAnsi="Times New Roman" w:cs="Arial"/>
                <w:sz w:val="22"/>
                <w:lang w:val="sr-Latn-ME"/>
              </w:rPr>
              <w:t>djelov</w:t>
            </w:r>
            <w:r w:rsidR="00834B78" w:rsidRPr="00C01AF3">
              <w:rPr>
                <w:rFonts w:ascii="Times New Roman" w:hAnsi="Times New Roman" w:cs="Arial"/>
                <w:sz w:val="22"/>
                <w:lang w:val="sr-Latn-ME"/>
              </w:rPr>
              <w:t xml:space="preserve">anjem koje </w:t>
            </w:r>
            <w:r w:rsidR="0048247F" w:rsidRPr="00C01AF3">
              <w:rPr>
                <w:rFonts w:ascii="Times New Roman" w:hAnsi="Times New Roman" w:cs="Arial"/>
                <w:sz w:val="22"/>
                <w:lang w:val="sr-Latn-ME"/>
              </w:rPr>
              <w:t xml:space="preserve">smanjuje volumen plazme, sa </w:t>
            </w:r>
            <w:r w:rsidR="001B7840" w:rsidRPr="00C01AF3">
              <w:rPr>
                <w:rFonts w:ascii="Times New Roman" w:hAnsi="Times New Roman" w:cs="Arial"/>
                <w:sz w:val="22"/>
                <w:lang w:val="sr-Latn-ME"/>
              </w:rPr>
              <w:t>poslje</w:t>
            </w:r>
            <w:r w:rsidR="00834B78" w:rsidRPr="00C01AF3">
              <w:rPr>
                <w:rFonts w:ascii="Times New Roman" w:hAnsi="Times New Roman" w:cs="Arial"/>
                <w:sz w:val="22"/>
                <w:lang w:val="sr-Latn-ME"/>
              </w:rPr>
              <w:t>dičnim povećanjima reninske</w:t>
            </w:r>
            <w:r w:rsidR="0048247F" w:rsidRPr="00C01AF3">
              <w:rPr>
                <w:rFonts w:ascii="Times New Roman" w:hAnsi="Times New Roman" w:cs="Arial"/>
                <w:sz w:val="22"/>
                <w:lang w:val="sr-Latn-ME"/>
              </w:rPr>
              <w:t xml:space="preserve"> aktivnosti u plazmi, </w:t>
            </w:r>
            <w:r w:rsidR="00834B78" w:rsidRPr="00C01AF3">
              <w:rPr>
                <w:rFonts w:ascii="Times New Roman" w:hAnsi="Times New Roman" w:cs="Arial"/>
                <w:sz w:val="22"/>
                <w:lang w:val="sr-Latn-ME"/>
              </w:rPr>
              <w:t>sekrecije aldosterona</w:t>
            </w:r>
            <w:r w:rsidR="0048247F" w:rsidRPr="00C01AF3">
              <w:rPr>
                <w:rFonts w:ascii="Times New Roman" w:hAnsi="Times New Roman" w:cs="Arial"/>
                <w:sz w:val="22"/>
                <w:lang w:val="sr-Latn-ME"/>
              </w:rPr>
              <w:t xml:space="preserve"> i</w:t>
            </w:r>
            <w:r w:rsidR="00834B78" w:rsidRPr="00C01AF3">
              <w:rPr>
                <w:rFonts w:ascii="Times New Roman" w:hAnsi="Times New Roman" w:cs="Arial"/>
                <w:sz w:val="22"/>
                <w:lang w:val="sr-Latn-ME"/>
              </w:rPr>
              <w:t xml:space="preserve"> izlučivanja kalijuma putem urina i smanjenjem serumskog kalijuma. </w:t>
            </w:r>
          </w:p>
          <w:p w:rsidR="00EB16E0" w:rsidRPr="00C01AF3" w:rsidRDefault="00EB16E0" w:rsidP="00056F49">
            <w:pPr>
              <w:pStyle w:val="Header"/>
              <w:tabs>
                <w:tab w:val="clear" w:pos="4536"/>
                <w:tab w:val="clear" w:pos="9072"/>
                <w:tab w:val="left" w:pos="284"/>
              </w:tabs>
              <w:spacing w:before="120"/>
              <w:jc w:val="left"/>
              <w:rPr>
                <w:rFonts w:ascii="Times New Roman" w:hAnsi="Times New Roman" w:cs="Arial"/>
                <w:sz w:val="22"/>
                <w:lang w:val="sr-Latn-ME"/>
              </w:rPr>
            </w:pPr>
          </w:p>
          <w:p w:rsidR="00D00233" w:rsidRPr="00C01AF3" w:rsidRDefault="00D00233" w:rsidP="00056F49">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Pedijatrisjka populacija</w:t>
            </w:r>
          </w:p>
          <w:p w:rsidR="00056F49" w:rsidRPr="00C01AF3" w:rsidRDefault="00834B78" w:rsidP="00056F49">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Evropska </w:t>
            </w:r>
            <w:r w:rsidR="002C1C6B" w:rsidRPr="00C01AF3">
              <w:rPr>
                <w:rFonts w:ascii="Times New Roman" w:hAnsi="Times New Roman" w:cs="Arial"/>
                <w:sz w:val="22"/>
                <w:lang w:val="sr-Latn-ME"/>
              </w:rPr>
              <w:t xml:space="preserve">Agencija za </w:t>
            </w:r>
            <w:r w:rsidR="0090474F" w:rsidRPr="00C01AF3">
              <w:rPr>
                <w:rFonts w:ascii="Times New Roman" w:hAnsi="Times New Roman" w:cs="Arial"/>
                <w:sz w:val="22"/>
                <w:lang w:val="sr-Latn-ME"/>
              </w:rPr>
              <w:t>ljek</w:t>
            </w:r>
            <w:r w:rsidR="002C1C6B" w:rsidRPr="00C01AF3">
              <w:rPr>
                <w:rFonts w:ascii="Times New Roman" w:hAnsi="Times New Roman" w:cs="Arial"/>
                <w:sz w:val="22"/>
                <w:lang w:val="sr-Latn-ME"/>
              </w:rPr>
              <w:t>ove</w:t>
            </w:r>
            <w:r w:rsidRPr="00C01AF3">
              <w:rPr>
                <w:rFonts w:ascii="Times New Roman" w:hAnsi="Times New Roman" w:cs="Arial"/>
                <w:sz w:val="22"/>
                <w:lang w:val="sr-Latn-ME"/>
              </w:rPr>
              <w:t xml:space="preserve"> je obustavila obavezu podnošenja rezultata </w:t>
            </w:r>
            <w:r w:rsidR="002C1C6B" w:rsidRPr="00C01AF3">
              <w:rPr>
                <w:rFonts w:ascii="Times New Roman" w:hAnsi="Times New Roman" w:cs="Arial"/>
                <w:sz w:val="22"/>
                <w:lang w:val="sr-Latn-ME"/>
              </w:rPr>
              <w:t>studija</w:t>
            </w:r>
            <w:r w:rsidR="00443318" w:rsidRPr="00C01AF3">
              <w:rPr>
                <w:rFonts w:ascii="Times New Roman" w:hAnsi="Times New Roman" w:cs="Arial"/>
                <w:sz w:val="22"/>
                <w:lang w:val="sr-Latn-ME"/>
              </w:rPr>
              <w:t xml:space="preserve"> sa </w:t>
            </w:r>
            <w:r w:rsidR="00A65414" w:rsidRPr="00C01AF3">
              <w:rPr>
                <w:rFonts w:ascii="Times New Roman" w:hAnsi="Times New Roman" w:cs="Arial"/>
                <w:sz w:val="22"/>
                <w:lang w:val="sr-Latn-ME"/>
              </w:rPr>
              <w:t>lijek</w:t>
            </w:r>
            <w:r w:rsidRPr="00C01AF3">
              <w:rPr>
                <w:rFonts w:ascii="Times New Roman" w:hAnsi="Times New Roman" w:cs="Arial"/>
                <w:sz w:val="22"/>
                <w:lang w:val="sr-Latn-ME"/>
              </w:rPr>
              <w:t>om Exforge HCT u svim podgrupama pedijatrijske populacije kod esencijalne hipertenzije. Pogledati odjeljak 4.2. za info</w:t>
            </w:r>
            <w:r w:rsidR="00443318" w:rsidRPr="00C01AF3">
              <w:rPr>
                <w:rFonts w:ascii="Times New Roman" w:hAnsi="Times New Roman" w:cs="Arial"/>
                <w:sz w:val="22"/>
                <w:lang w:val="sr-Latn-ME"/>
              </w:rPr>
              <w:t xml:space="preserve">rmacije  o pedijatrijskoj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ni.</w:t>
            </w:r>
          </w:p>
          <w:p w:rsidR="007B6CEC" w:rsidRPr="00C01AF3" w:rsidRDefault="007B6CEC" w:rsidP="007B6CEC">
            <w:pPr>
              <w:pStyle w:val="Text"/>
              <w:spacing w:before="0"/>
              <w:jc w:val="left"/>
              <w:rPr>
                <w:sz w:val="22"/>
                <w:szCs w:val="22"/>
                <w:u w:val="single"/>
                <w:lang w:val="sr-Latn-ME"/>
              </w:rPr>
            </w:pPr>
          </w:p>
          <w:p w:rsidR="007B6CEC" w:rsidRPr="00C01AF3" w:rsidRDefault="007B6CEC" w:rsidP="007B6CEC">
            <w:pPr>
              <w:pStyle w:val="Text"/>
              <w:spacing w:before="0"/>
              <w:jc w:val="left"/>
              <w:rPr>
                <w:sz w:val="22"/>
                <w:szCs w:val="22"/>
                <w:u w:val="single"/>
                <w:lang w:val="sr-Latn-ME"/>
              </w:rPr>
            </w:pPr>
            <w:r w:rsidRPr="00C01AF3">
              <w:rPr>
                <w:sz w:val="22"/>
                <w:szCs w:val="22"/>
                <w:u w:val="single"/>
                <w:lang w:val="sr-Latn-ME"/>
              </w:rPr>
              <w:t xml:space="preserve">Ostalo: Dvostruka blokada sistema renin-angiotenzin-aldosteron (RAAS) </w:t>
            </w:r>
          </w:p>
          <w:p w:rsidR="007B6CEC" w:rsidRPr="00C01AF3" w:rsidRDefault="007B6CEC" w:rsidP="007B6CEC">
            <w:pPr>
              <w:pStyle w:val="Text"/>
              <w:spacing w:before="0"/>
              <w:jc w:val="left"/>
              <w:rPr>
                <w:sz w:val="22"/>
                <w:szCs w:val="22"/>
                <w:lang w:val="sr-Latn-ME"/>
              </w:rPr>
            </w:pPr>
            <w:r w:rsidRPr="00C01AF3">
              <w:rPr>
                <w:sz w:val="22"/>
                <w:szCs w:val="22"/>
                <w:lang w:val="sr-Latn-ME"/>
              </w:rPr>
              <w:t>Dva velika randomizovan</w:t>
            </w:r>
            <w:r w:rsidR="00286D6A" w:rsidRPr="00C01AF3">
              <w:rPr>
                <w:sz w:val="22"/>
                <w:szCs w:val="22"/>
                <w:lang w:val="sr-Latn-ME"/>
              </w:rPr>
              <w:t>a</w:t>
            </w:r>
            <w:r w:rsidRPr="00C01AF3">
              <w:rPr>
                <w:sz w:val="22"/>
                <w:szCs w:val="22"/>
                <w:lang w:val="sr-Latn-ME"/>
              </w:rPr>
              <w:t xml:space="preserve">, kontrolisana ispitivanja (ONTARGET (eng. ONgoing Telmisartan Alone and in combination with Ramipril Global Endpoint Trial) i VA NEPHRON-D (eng. The Veterans Affairs Nephropathy </w:t>
            </w:r>
            <w:r w:rsidRPr="00C01AF3">
              <w:rPr>
                <w:sz w:val="22"/>
                <w:szCs w:val="22"/>
                <w:lang w:val="sr-Latn-ME"/>
              </w:rPr>
              <w:lastRenderedPageBreak/>
              <w:t>in Diabetes)) ispitivala su primjenu kombinacije ACE inhibitora i blokatora angiotenzinskih receptora (ARBs).</w:t>
            </w:r>
          </w:p>
          <w:p w:rsidR="007B6CEC" w:rsidRPr="00C01AF3" w:rsidRDefault="007B6CEC" w:rsidP="007B6CEC">
            <w:pPr>
              <w:pStyle w:val="Text"/>
              <w:spacing w:before="0"/>
              <w:jc w:val="left"/>
              <w:rPr>
                <w:sz w:val="22"/>
                <w:szCs w:val="22"/>
                <w:lang w:val="sr-Latn-ME"/>
              </w:rPr>
            </w:pPr>
          </w:p>
          <w:p w:rsidR="007B6CEC" w:rsidRPr="00C01AF3" w:rsidRDefault="007B6CEC" w:rsidP="007B6CEC">
            <w:pPr>
              <w:pStyle w:val="Text"/>
              <w:spacing w:before="0"/>
              <w:jc w:val="left"/>
              <w:rPr>
                <w:sz w:val="22"/>
                <w:szCs w:val="22"/>
                <w:lang w:val="sr-Latn-ME"/>
              </w:rPr>
            </w:pPr>
            <w:r w:rsidRPr="00C01AF3">
              <w:rPr>
                <w:sz w:val="22"/>
                <w:szCs w:val="22"/>
                <w:lang w:val="sr-Latn-ME"/>
              </w:rPr>
              <w:t xml:space="preserve">ONTARGET je ispitivanje sprovedeno </w:t>
            </w:r>
            <w:r w:rsidR="0007584D" w:rsidRPr="00C01AF3">
              <w:rPr>
                <w:sz w:val="22"/>
                <w:szCs w:val="22"/>
                <w:lang w:val="sr-Latn-ME"/>
              </w:rPr>
              <w:t>kod</w:t>
            </w:r>
            <w:r w:rsidRPr="00C01AF3">
              <w:rPr>
                <w:sz w:val="22"/>
                <w:szCs w:val="22"/>
                <w:lang w:val="sr-Latn-ME"/>
              </w:rPr>
              <w:t xml:space="preserve"> pacije</w:t>
            </w:r>
            <w:r w:rsidR="0007584D" w:rsidRPr="00C01AF3">
              <w:rPr>
                <w:sz w:val="22"/>
                <w:szCs w:val="22"/>
                <w:lang w:val="sr-Latn-ME"/>
              </w:rPr>
              <w:t>nata</w:t>
            </w:r>
            <w:r w:rsidRPr="00C01AF3">
              <w:rPr>
                <w:sz w:val="22"/>
                <w:szCs w:val="22"/>
                <w:lang w:val="sr-Latn-ME"/>
              </w:rPr>
              <w:t xml:space="preserve"> sa kardiovaskularnom ili cerebrovaskularnom bole</w:t>
            </w:r>
            <w:r w:rsidR="00286D6A" w:rsidRPr="00C01AF3">
              <w:rPr>
                <w:sz w:val="22"/>
                <w:szCs w:val="22"/>
                <w:lang w:val="sr-Latn-ME"/>
              </w:rPr>
              <w:t>šću</w:t>
            </w:r>
            <w:r w:rsidRPr="00C01AF3">
              <w:rPr>
                <w:sz w:val="22"/>
                <w:szCs w:val="22"/>
                <w:lang w:val="sr-Latn-ME"/>
              </w:rPr>
              <w:t xml:space="preserve"> u anamnezi, ili sa diabetes mellitus-om tipa 2 uz dokaze oštećenja ciljnih organa. </w:t>
            </w:r>
          </w:p>
          <w:p w:rsidR="007B6CEC" w:rsidRPr="00C01AF3" w:rsidRDefault="007B6CEC" w:rsidP="007B6CEC">
            <w:pPr>
              <w:pStyle w:val="Text"/>
              <w:spacing w:before="0"/>
              <w:jc w:val="left"/>
              <w:rPr>
                <w:sz w:val="22"/>
                <w:szCs w:val="22"/>
                <w:lang w:val="sr-Latn-ME"/>
              </w:rPr>
            </w:pPr>
            <w:r w:rsidRPr="00C01AF3">
              <w:rPr>
                <w:sz w:val="22"/>
                <w:szCs w:val="22"/>
                <w:lang w:val="sr-Latn-ME"/>
              </w:rPr>
              <w:t xml:space="preserve">VA NEPHRON-D je ispitivanje </w:t>
            </w:r>
            <w:r w:rsidR="0007584D" w:rsidRPr="00C01AF3">
              <w:rPr>
                <w:sz w:val="22"/>
                <w:szCs w:val="22"/>
                <w:lang w:val="sr-Latn-ME"/>
              </w:rPr>
              <w:t>kod</w:t>
            </w:r>
            <w:r w:rsidRPr="00C01AF3">
              <w:rPr>
                <w:sz w:val="22"/>
                <w:szCs w:val="22"/>
                <w:lang w:val="sr-Latn-ME"/>
              </w:rPr>
              <w:t xml:space="preserve"> pacij</w:t>
            </w:r>
            <w:r w:rsidR="0007584D" w:rsidRPr="00C01AF3">
              <w:rPr>
                <w:sz w:val="22"/>
                <w:szCs w:val="22"/>
                <w:lang w:val="sr-Latn-ME"/>
              </w:rPr>
              <w:t>enat</w:t>
            </w:r>
            <w:r w:rsidRPr="00C01AF3">
              <w:rPr>
                <w:sz w:val="22"/>
                <w:szCs w:val="22"/>
                <w:lang w:val="sr-Latn-ME"/>
              </w:rPr>
              <w:t xml:space="preserve">a sa diabetes mellitus-om tipa 2 i dijabetičkom nefropatijom. </w:t>
            </w:r>
          </w:p>
          <w:p w:rsidR="007B6CEC" w:rsidRPr="00C01AF3" w:rsidRDefault="007B6CEC" w:rsidP="007B6CEC">
            <w:pPr>
              <w:pStyle w:val="Text"/>
              <w:spacing w:before="0"/>
              <w:jc w:val="left"/>
              <w:rPr>
                <w:sz w:val="22"/>
                <w:szCs w:val="22"/>
                <w:lang w:val="sr-Latn-ME"/>
              </w:rPr>
            </w:pPr>
          </w:p>
          <w:p w:rsidR="0007584D" w:rsidRPr="00C01AF3" w:rsidRDefault="0007584D" w:rsidP="0007584D">
            <w:pPr>
              <w:pStyle w:val="Text"/>
              <w:spacing w:before="0"/>
              <w:jc w:val="left"/>
              <w:rPr>
                <w:sz w:val="22"/>
                <w:szCs w:val="22"/>
                <w:lang w:val="sr-Latn-ME"/>
              </w:rPr>
            </w:pPr>
            <w:r w:rsidRPr="00C01AF3">
              <w:rPr>
                <w:sz w:val="22"/>
                <w:szCs w:val="22"/>
                <w:lang w:val="sr-Latn-ME"/>
              </w:rPr>
              <w:t>Ova</w:t>
            </w:r>
            <w:r w:rsidR="007B6CEC" w:rsidRPr="00C01AF3">
              <w:rPr>
                <w:sz w:val="22"/>
                <w:szCs w:val="22"/>
                <w:lang w:val="sr-Latn-ME"/>
              </w:rPr>
              <w:t xml:space="preserve"> ispitivanja ni</w:t>
            </w:r>
            <w:r w:rsidR="003A5FC9" w:rsidRPr="00C01AF3">
              <w:rPr>
                <w:sz w:val="22"/>
                <w:szCs w:val="22"/>
                <w:lang w:val="sr-Latn-ME"/>
              </w:rPr>
              <w:t>je</w:t>
            </w:r>
            <w:r w:rsidR="007B6CEC" w:rsidRPr="00C01AF3">
              <w:rPr>
                <w:sz w:val="22"/>
                <w:szCs w:val="22"/>
                <w:lang w:val="sr-Latn-ME"/>
              </w:rPr>
              <w:t xml:space="preserve">su pokazala značajan povoljan </w:t>
            </w:r>
            <w:r w:rsidR="003A5FC9" w:rsidRPr="00C01AF3">
              <w:rPr>
                <w:sz w:val="22"/>
                <w:szCs w:val="22"/>
                <w:lang w:val="sr-Latn-ME"/>
              </w:rPr>
              <w:t xml:space="preserve">efekat </w:t>
            </w:r>
            <w:r w:rsidR="007B6CEC" w:rsidRPr="00C01AF3">
              <w:rPr>
                <w:sz w:val="22"/>
                <w:szCs w:val="22"/>
                <w:lang w:val="sr-Latn-ME"/>
              </w:rPr>
              <w:t xml:space="preserve">na bubrežne i/ili kardiovaskularne ishode i smrtnost, a uočen </w:t>
            </w:r>
            <w:r w:rsidRPr="00C01AF3">
              <w:rPr>
                <w:sz w:val="22"/>
                <w:szCs w:val="22"/>
                <w:lang w:val="sr-Latn-ME"/>
              </w:rPr>
              <w:t xml:space="preserve">je </w:t>
            </w:r>
            <w:r w:rsidR="007B6CEC" w:rsidRPr="00C01AF3">
              <w:rPr>
                <w:sz w:val="22"/>
                <w:szCs w:val="22"/>
                <w:lang w:val="sr-Latn-ME"/>
              </w:rPr>
              <w:t>povećani rizik od hiperkal</w:t>
            </w:r>
            <w:r w:rsidR="003A5FC9" w:rsidRPr="00C01AF3">
              <w:rPr>
                <w:sz w:val="22"/>
                <w:szCs w:val="22"/>
                <w:lang w:val="sr-Latn-ME"/>
              </w:rPr>
              <w:t>ij</w:t>
            </w:r>
            <w:r w:rsidR="007B6CEC" w:rsidRPr="00C01AF3">
              <w:rPr>
                <w:sz w:val="22"/>
                <w:szCs w:val="22"/>
                <w:lang w:val="sr-Latn-ME"/>
              </w:rPr>
              <w:t>emije, akutn</w:t>
            </w:r>
            <w:r w:rsidR="00286D6A" w:rsidRPr="00C01AF3">
              <w:rPr>
                <w:sz w:val="22"/>
                <w:szCs w:val="22"/>
                <w:lang w:val="sr-Latn-ME"/>
              </w:rPr>
              <w:t>og</w:t>
            </w:r>
            <w:r w:rsidRPr="00C01AF3">
              <w:rPr>
                <w:sz w:val="22"/>
                <w:szCs w:val="22"/>
                <w:lang w:val="sr-Latn-ME"/>
              </w:rPr>
              <w:t xml:space="preserve"> oštećenja </w:t>
            </w:r>
            <w:r w:rsidR="007B6CEC" w:rsidRPr="00C01AF3">
              <w:rPr>
                <w:sz w:val="22"/>
                <w:szCs w:val="22"/>
                <w:lang w:val="sr-Latn-ME"/>
              </w:rPr>
              <w:t xml:space="preserve">bubrega i/ili hipotenzije u </w:t>
            </w:r>
            <w:r w:rsidRPr="00C01AF3">
              <w:rPr>
                <w:sz w:val="22"/>
                <w:szCs w:val="22"/>
                <w:lang w:val="sr-Latn-ME"/>
              </w:rPr>
              <w:t>poređenju sa</w:t>
            </w:r>
            <w:r w:rsidR="007B6CEC" w:rsidRPr="00C01AF3">
              <w:rPr>
                <w:sz w:val="22"/>
                <w:szCs w:val="22"/>
                <w:lang w:val="sr-Latn-ME"/>
              </w:rPr>
              <w:t xml:space="preserve"> monotera</w:t>
            </w:r>
            <w:r w:rsidRPr="00C01AF3">
              <w:rPr>
                <w:sz w:val="22"/>
                <w:szCs w:val="22"/>
                <w:lang w:val="sr-Latn-ME"/>
              </w:rPr>
              <w:t>pijom. S</w:t>
            </w:r>
            <w:r w:rsidR="003A5FC9" w:rsidRPr="00C01AF3">
              <w:rPr>
                <w:sz w:val="22"/>
                <w:szCs w:val="22"/>
                <w:lang w:val="sr-Latn-ME"/>
              </w:rPr>
              <w:t xml:space="preserve"> </w:t>
            </w:r>
            <w:r w:rsidRPr="00C01AF3">
              <w:rPr>
                <w:sz w:val="22"/>
                <w:szCs w:val="22"/>
                <w:lang w:val="sr-Latn-ME"/>
              </w:rPr>
              <w:t>obzirom na slične</w:t>
            </w:r>
            <w:r w:rsidR="00286D6A" w:rsidRPr="00C01AF3">
              <w:rPr>
                <w:sz w:val="22"/>
                <w:szCs w:val="22"/>
                <w:lang w:val="sr-Latn-ME"/>
              </w:rPr>
              <w:t xml:space="preserve"> farmakodin</w:t>
            </w:r>
            <w:r w:rsidRPr="00C01AF3">
              <w:rPr>
                <w:sz w:val="22"/>
                <w:szCs w:val="22"/>
                <w:lang w:val="sr-Latn-ME"/>
              </w:rPr>
              <w:t>amske osobine</w:t>
            </w:r>
            <w:r w:rsidR="007B6CEC" w:rsidRPr="00C01AF3">
              <w:rPr>
                <w:sz w:val="22"/>
                <w:szCs w:val="22"/>
                <w:lang w:val="sr-Latn-ME"/>
              </w:rPr>
              <w:t xml:space="preserve">, </w:t>
            </w:r>
            <w:r w:rsidRPr="00C01AF3">
              <w:rPr>
                <w:sz w:val="22"/>
                <w:szCs w:val="22"/>
                <w:lang w:val="sr-Latn-ME"/>
              </w:rPr>
              <w:t>ovi</w:t>
            </w:r>
            <w:r w:rsidR="007B6CEC" w:rsidRPr="00C01AF3">
              <w:rPr>
                <w:sz w:val="22"/>
                <w:szCs w:val="22"/>
                <w:lang w:val="sr-Latn-ME"/>
              </w:rPr>
              <w:t xml:space="preserve"> rezultati </w:t>
            </w:r>
            <w:r w:rsidRPr="00C01AF3">
              <w:rPr>
                <w:sz w:val="22"/>
                <w:szCs w:val="22"/>
                <w:lang w:val="sr-Latn-ME"/>
              </w:rPr>
              <w:t xml:space="preserve">su </w:t>
            </w:r>
            <w:r w:rsidR="007B6CEC" w:rsidRPr="00C01AF3">
              <w:rPr>
                <w:sz w:val="22"/>
                <w:szCs w:val="22"/>
                <w:lang w:val="sr-Latn-ME"/>
              </w:rPr>
              <w:t xml:space="preserve">relevantni i za druge ACE inhibitore i </w:t>
            </w:r>
            <w:r w:rsidRPr="00C01AF3">
              <w:rPr>
                <w:sz w:val="22"/>
                <w:szCs w:val="22"/>
                <w:lang w:val="sr-Latn-ME"/>
              </w:rPr>
              <w:t>blokatore angiotenzinskih receptora (</w:t>
            </w:r>
            <w:r w:rsidR="007B6CEC" w:rsidRPr="00C01AF3">
              <w:rPr>
                <w:sz w:val="22"/>
                <w:szCs w:val="22"/>
                <w:lang w:val="sr-Latn-ME"/>
              </w:rPr>
              <w:t>ARB</w:t>
            </w:r>
            <w:r w:rsidRPr="00C01AF3">
              <w:rPr>
                <w:sz w:val="22"/>
                <w:szCs w:val="22"/>
                <w:lang w:val="sr-Latn-ME"/>
              </w:rPr>
              <w:t>s)</w:t>
            </w:r>
            <w:r w:rsidR="007B6CEC" w:rsidRPr="00C01AF3">
              <w:rPr>
                <w:sz w:val="22"/>
                <w:szCs w:val="22"/>
                <w:lang w:val="sr-Latn-ME"/>
              </w:rPr>
              <w:t>.</w:t>
            </w:r>
          </w:p>
          <w:p w:rsidR="0007584D" w:rsidRPr="00C01AF3" w:rsidRDefault="0007584D" w:rsidP="0007584D">
            <w:pPr>
              <w:pStyle w:val="Text"/>
              <w:spacing w:before="0"/>
              <w:jc w:val="left"/>
              <w:rPr>
                <w:sz w:val="22"/>
                <w:szCs w:val="22"/>
                <w:lang w:val="sr-Latn-ME"/>
              </w:rPr>
            </w:pPr>
          </w:p>
          <w:p w:rsidR="007B6CEC" w:rsidRPr="00C01AF3" w:rsidRDefault="0007584D" w:rsidP="007B6CEC">
            <w:pPr>
              <w:pStyle w:val="Text"/>
              <w:spacing w:before="0"/>
              <w:jc w:val="left"/>
              <w:rPr>
                <w:sz w:val="22"/>
                <w:szCs w:val="22"/>
                <w:lang w:val="sr-Latn-ME"/>
              </w:rPr>
            </w:pPr>
            <w:r w:rsidRPr="00C01AF3">
              <w:rPr>
                <w:sz w:val="22"/>
                <w:szCs w:val="22"/>
                <w:lang w:val="sr-Latn-ME"/>
              </w:rPr>
              <w:t xml:space="preserve">Zbog toga se </w:t>
            </w:r>
            <w:r w:rsidR="007B6CEC" w:rsidRPr="00C01AF3">
              <w:rPr>
                <w:sz w:val="22"/>
                <w:szCs w:val="22"/>
                <w:lang w:val="sr-Latn-ME"/>
              </w:rPr>
              <w:t xml:space="preserve">ACE inhibitori i </w:t>
            </w:r>
            <w:r w:rsidRPr="00C01AF3">
              <w:rPr>
                <w:sz w:val="22"/>
                <w:szCs w:val="22"/>
                <w:lang w:val="sr-Latn-ME"/>
              </w:rPr>
              <w:t>blokatori angiotenzinskih receptora (ARBs) ne sm</w:t>
            </w:r>
            <w:r w:rsidR="00CF2A65" w:rsidRPr="00C01AF3">
              <w:rPr>
                <w:sz w:val="22"/>
                <w:szCs w:val="22"/>
                <w:lang w:val="sr-Latn-ME"/>
              </w:rPr>
              <w:t>i</w:t>
            </w:r>
            <w:r w:rsidR="007B6CEC" w:rsidRPr="00C01AF3">
              <w:rPr>
                <w:sz w:val="22"/>
                <w:szCs w:val="22"/>
                <w:lang w:val="sr-Latn-ME"/>
              </w:rPr>
              <w:t>ju is</w:t>
            </w:r>
            <w:r w:rsidRPr="00C01AF3">
              <w:rPr>
                <w:sz w:val="22"/>
                <w:szCs w:val="22"/>
                <w:lang w:val="sr-Latn-ME"/>
              </w:rPr>
              <w:t>tovremeno primjenjivati kod pacijenata sa</w:t>
            </w:r>
            <w:r w:rsidR="007B6CEC" w:rsidRPr="00C01AF3">
              <w:rPr>
                <w:sz w:val="22"/>
                <w:szCs w:val="22"/>
                <w:lang w:val="sr-Latn-ME"/>
              </w:rPr>
              <w:t xml:space="preserve"> dijabetičkom nefropatijom (vidjeti </w:t>
            </w:r>
            <w:r w:rsidRPr="00C01AF3">
              <w:rPr>
                <w:sz w:val="22"/>
                <w:szCs w:val="22"/>
                <w:lang w:val="sr-Latn-ME"/>
              </w:rPr>
              <w:t>odjeljak</w:t>
            </w:r>
            <w:r w:rsidR="007B6CEC" w:rsidRPr="00C01AF3">
              <w:rPr>
                <w:sz w:val="22"/>
                <w:szCs w:val="22"/>
                <w:lang w:val="sr-Latn-ME"/>
              </w:rPr>
              <w:t xml:space="preserve"> 4.4).</w:t>
            </w:r>
          </w:p>
          <w:p w:rsidR="007B6CEC" w:rsidRPr="00C01AF3" w:rsidRDefault="007B6CEC" w:rsidP="007B6CEC">
            <w:pPr>
              <w:pStyle w:val="Text"/>
              <w:spacing w:before="0"/>
              <w:jc w:val="left"/>
              <w:rPr>
                <w:sz w:val="22"/>
                <w:szCs w:val="22"/>
                <w:lang w:val="sr-Latn-ME"/>
              </w:rPr>
            </w:pPr>
          </w:p>
          <w:p w:rsidR="007B6CEC" w:rsidRPr="00C01AF3" w:rsidRDefault="007B6CEC" w:rsidP="007B6CEC">
            <w:pPr>
              <w:pStyle w:val="Text"/>
              <w:spacing w:before="0"/>
              <w:jc w:val="left"/>
              <w:rPr>
                <w:sz w:val="22"/>
                <w:szCs w:val="22"/>
                <w:lang w:val="sr-Latn-ME"/>
              </w:rPr>
            </w:pPr>
            <w:r w:rsidRPr="00C01AF3">
              <w:rPr>
                <w:sz w:val="22"/>
                <w:szCs w:val="22"/>
                <w:lang w:val="sr-Latn-ME"/>
              </w:rPr>
              <w:t xml:space="preserve">ALTITUDE (eng. Aliskiren Trial in Type 2 Diabetes Using Cardiovascular and Renal Disease Endpoints) je ispitivanje </w:t>
            </w:r>
            <w:r w:rsidR="00D82D7F" w:rsidRPr="00C01AF3">
              <w:rPr>
                <w:sz w:val="22"/>
                <w:szCs w:val="22"/>
                <w:lang w:val="sr-Latn-ME"/>
              </w:rPr>
              <w:t>dizajnirano</w:t>
            </w:r>
            <w:r w:rsidRPr="00C01AF3">
              <w:rPr>
                <w:sz w:val="22"/>
                <w:szCs w:val="22"/>
                <w:lang w:val="sr-Latn-ME"/>
              </w:rPr>
              <w:t xml:space="preserve"> za testiranje koristi dodavanja aliskirena standardnoj terapiji s</w:t>
            </w:r>
            <w:r w:rsidR="00D82D7F" w:rsidRPr="00C01AF3">
              <w:rPr>
                <w:sz w:val="22"/>
                <w:szCs w:val="22"/>
                <w:lang w:val="sr-Latn-ME"/>
              </w:rPr>
              <w:t>a</w:t>
            </w:r>
            <w:r w:rsidRPr="00C01AF3">
              <w:rPr>
                <w:sz w:val="22"/>
                <w:szCs w:val="22"/>
                <w:lang w:val="sr-Latn-ME"/>
              </w:rPr>
              <w:t xml:space="preserve"> ACE inhibitorom ili </w:t>
            </w:r>
            <w:r w:rsidR="00EB5488" w:rsidRPr="00C01AF3">
              <w:rPr>
                <w:sz w:val="22"/>
                <w:szCs w:val="22"/>
                <w:lang w:val="sr-Latn-ME"/>
              </w:rPr>
              <w:t>blokatorima angiotenzinskih receptora (ARBs)</w:t>
            </w:r>
            <w:r w:rsidR="00CF2A65" w:rsidRPr="00C01AF3">
              <w:rPr>
                <w:sz w:val="22"/>
                <w:szCs w:val="22"/>
                <w:lang w:val="sr-Latn-ME"/>
              </w:rPr>
              <w:t xml:space="preserve"> </w:t>
            </w:r>
            <w:r w:rsidR="00EB5488" w:rsidRPr="00C01AF3">
              <w:rPr>
                <w:sz w:val="22"/>
                <w:szCs w:val="22"/>
                <w:lang w:val="sr-Latn-ME"/>
              </w:rPr>
              <w:t>kod pacijenata sa diabetes mellitus-om tipa 2 i h</w:t>
            </w:r>
            <w:r w:rsidRPr="00C01AF3">
              <w:rPr>
                <w:sz w:val="22"/>
                <w:szCs w:val="22"/>
                <w:lang w:val="sr-Latn-ME"/>
              </w:rPr>
              <w:t>roničnom bole</w:t>
            </w:r>
            <w:r w:rsidR="00286D6A" w:rsidRPr="00C01AF3">
              <w:rPr>
                <w:sz w:val="22"/>
                <w:szCs w:val="22"/>
                <w:lang w:val="sr-Latn-ME"/>
              </w:rPr>
              <w:t>šću</w:t>
            </w:r>
            <w:r w:rsidRPr="00C01AF3">
              <w:rPr>
                <w:sz w:val="22"/>
                <w:szCs w:val="22"/>
                <w:lang w:val="sr-Latn-ME"/>
              </w:rPr>
              <w:t xml:space="preserve"> bubrega, kardiovaskularnom bole</w:t>
            </w:r>
            <w:r w:rsidR="00EB5488" w:rsidRPr="00C01AF3">
              <w:rPr>
                <w:sz w:val="22"/>
                <w:szCs w:val="22"/>
                <w:lang w:val="sr-Latn-ME"/>
              </w:rPr>
              <w:t>šću</w:t>
            </w:r>
            <w:r w:rsidRPr="00C01AF3">
              <w:rPr>
                <w:sz w:val="22"/>
                <w:szCs w:val="22"/>
                <w:lang w:val="sr-Latn-ME"/>
              </w:rPr>
              <w:t xml:space="preserve"> ili</w:t>
            </w:r>
            <w:r w:rsidR="00CF2A65" w:rsidRPr="00C01AF3">
              <w:rPr>
                <w:sz w:val="22"/>
                <w:szCs w:val="22"/>
                <w:lang w:val="sr-Latn-ME"/>
              </w:rPr>
              <w:t xml:space="preserve"> oboje. Ispitivanje je bilo pr</w:t>
            </w:r>
            <w:r w:rsidR="003A5FC9" w:rsidRPr="00C01AF3">
              <w:rPr>
                <w:sz w:val="22"/>
                <w:szCs w:val="22"/>
                <w:lang w:val="sr-Latn-ME"/>
              </w:rPr>
              <w:t>ij</w:t>
            </w:r>
            <w:r w:rsidRPr="00C01AF3">
              <w:rPr>
                <w:sz w:val="22"/>
                <w:szCs w:val="22"/>
                <w:lang w:val="sr-Latn-ME"/>
              </w:rPr>
              <w:t xml:space="preserve">evremeno prekinuto zbog povećanog rizika od </w:t>
            </w:r>
            <w:r w:rsidR="00EB5488" w:rsidRPr="00C01AF3">
              <w:rPr>
                <w:sz w:val="22"/>
                <w:szCs w:val="22"/>
                <w:lang w:val="sr-Latn-ME"/>
              </w:rPr>
              <w:t>neželjenih</w:t>
            </w:r>
            <w:r w:rsidRPr="00C01AF3">
              <w:rPr>
                <w:sz w:val="22"/>
                <w:szCs w:val="22"/>
                <w:lang w:val="sr-Latn-ME"/>
              </w:rPr>
              <w:t xml:space="preserve"> ishoda. Kardiovaskularna smrt i moždani udar </w:t>
            </w:r>
            <w:r w:rsidR="00EB5488" w:rsidRPr="00C01AF3">
              <w:rPr>
                <w:sz w:val="22"/>
                <w:szCs w:val="22"/>
                <w:lang w:val="sr-Latn-ME"/>
              </w:rPr>
              <w:t>su</w:t>
            </w:r>
            <w:r w:rsidRPr="00C01AF3">
              <w:rPr>
                <w:sz w:val="22"/>
                <w:szCs w:val="22"/>
                <w:lang w:val="sr-Latn-ME"/>
              </w:rPr>
              <w:t xml:space="preserve"> numerički bili učestaliji u </w:t>
            </w:r>
            <w:r w:rsidR="00EB5488" w:rsidRPr="00C01AF3">
              <w:rPr>
                <w:sz w:val="22"/>
                <w:szCs w:val="22"/>
                <w:lang w:val="sr-Latn-ME"/>
              </w:rPr>
              <w:t>grupi</w:t>
            </w:r>
            <w:r w:rsidRPr="00C01AF3">
              <w:rPr>
                <w:sz w:val="22"/>
                <w:szCs w:val="22"/>
                <w:lang w:val="sr-Latn-ME"/>
              </w:rPr>
              <w:t xml:space="preserve"> koja je primala aliskiren </w:t>
            </w:r>
            <w:r w:rsidR="00286D6A" w:rsidRPr="00C01AF3">
              <w:rPr>
                <w:sz w:val="22"/>
                <w:szCs w:val="22"/>
                <w:lang w:val="sr-Latn-ME"/>
              </w:rPr>
              <w:t>u odnosu na onu</w:t>
            </w:r>
            <w:r w:rsidRPr="00C01AF3">
              <w:rPr>
                <w:sz w:val="22"/>
                <w:szCs w:val="22"/>
                <w:lang w:val="sr-Latn-ME"/>
              </w:rPr>
              <w:t xml:space="preserve"> koja je primala placebo, a </w:t>
            </w:r>
            <w:r w:rsidR="00EB5488" w:rsidRPr="00C01AF3">
              <w:rPr>
                <w:sz w:val="22"/>
                <w:szCs w:val="22"/>
                <w:lang w:val="sr-Latn-ME"/>
              </w:rPr>
              <w:t>ozbiljni neželjeni događaji</w:t>
            </w:r>
            <w:r w:rsidRPr="00C01AF3">
              <w:rPr>
                <w:sz w:val="22"/>
                <w:szCs w:val="22"/>
                <w:lang w:val="sr-Latn-ME"/>
              </w:rPr>
              <w:t xml:space="preserve"> od značaja (hiperkal</w:t>
            </w:r>
            <w:r w:rsidR="003A5FC9" w:rsidRPr="00C01AF3">
              <w:rPr>
                <w:sz w:val="22"/>
                <w:szCs w:val="22"/>
                <w:lang w:val="sr-Latn-ME"/>
              </w:rPr>
              <w:t>ij</w:t>
            </w:r>
            <w:r w:rsidRPr="00C01AF3">
              <w:rPr>
                <w:sz w:val="22"/>
                <w:szCs w:val="22"/>
                <w:lang w:val="sr-Latn-ME"/>
              </w:rPr>
              <w:t>emija, hipotenzija i bubrežna</w:t>
            </w:r>
            <w:r w:rsidR="00286D6A" w:rsidRPr="00C01AF3">
              <w:rPr>
                <w:sz w:val="22"/>
                <w:szCs w:val="22"/>
                <w:lang w:val="sr-Latn-ME"/>
              </w:rPr>
              <w:t xml:space="preserve"> disfunkcija) bili su učestalije</w:t>
            </w:r>
            <w:r w:rsidRPr="00C01AF3">
              <w:rPr>
                <w:sz w:val="22"/>
                <w:szCs w:val="22"/>
                <w:lang w:val="sr-Latn-ME"/>
              </w:rPr>
              <w:t xml:space="preserve"> zabilježeni u </w:t>
            </w:r>
            <w:r w:rsidR="00EB5488" w:rsidRPr="00C01AF3">
              <w:rPr>
                <w:sz w:val="22"/>
                <w:szCs w:val="22"/>
                <w:lang w:val="sr-Latn-ME"/>
              </w:rPr>
              <w:t>grupi</w:t>
            </w:r>
            <w:r w:rsidRPr="00C01AF3">
              <w:rPr>
                <w:sz w:val="22"/>
                <w:szCs w:val="22"/>
                <w:lang w:val="sr-Latn-ME"/>
              </w:rPr>
              <w:t xml:space="preserve"> koja je primala aliskiren </w:t>
            </w:r>
            <w:r w:rsidR="00286D6A" w:rsidRPr="00C01AF3">
              <w:rPr>
                <w:sz w:val="22"/>
                <w:szCs w:val="22"/>
                <w:lang w:val="sr-Latn-ME"/>
              </w:rPr>
              <w:t>u odnosu na onu</w:t>
            </w:r>
            <w:r w:rsidRPr="00C01AF3">
              <w:rPr>
                <w:sz w:val="22"/>
                <w:szCs w:val="22"/>
                <w:lang w:val="sr-Latn-ME"/>
              </w:rPr>
              <w:t xml:space="preserve"> koja je primala placebo.</w:t>
            </w:r>
          </w:p>
          <w:p w:rsidR="008362C5" w:rsidRPr="00C01AF3" w:rsidRDefault="008362C5" w:rsidP="00A570AD">
            <w:pPr>
              <w:pStyle w:val="Header"/>
              <w:tabs>
                <w:tab w:val="clear" w:pos="4536"/>
                <w:tab w:val="clear" w:pos="9072"/>
                <w:tab w:val="left" w:pos="284"/>
              </w:tabs>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5.2. Farmakokinetički podaci</w:t>
            </w:r>
          </w:p>
        </w:tc>
      </w:tr>
      <w:tr w:rsidR="00834DBB" w:rsidRPr="00C01AF3" w:rsidTr="00DE0A48">
        <w:trPr>
          <w:trHeight w:val="1145"/>
        </w:trPr>
        <w:tc>
          <w:tcPr>
            <w:tcW w:w="10188" w:type="dxa"/>
            <w:gridSpan w:val="3"/>
            <w:vAlign w:val="center"/>
          </w:tcPr>
          <w:p w:rsidR="00056F49" w:rsidRPr="00C01AF3" w:rsidRDefault="00056F49" w:rsidP="00056F49">
            <w:pPr>
              <w:pStyle w:val="Header"/>
              <w:tabs>
                <w:tab w:val="clear" w:pos="4536"/>
                <w:tab w:val="clear" w:pos="9072"/>
                <w:tab w:val="left" w:pos="284"/>
              </w:tabs>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Linearnost</w:t>
            </w:r>
          </w:p>
          <w:p w:rsidR="00056F49" w:rsidRPr="00C01AF3" w:rsidRDefault="006D5646" w:rsidP="00056F49">
            <w:pPr>
              <w:pStyle w:val="Header"/>
              <w:tabs>
                <w:tab w:val="clear" w:pos="4536"/>
                <w:tab w:val="clear" w:pos="9072"/>
                <w:tab w:val="left" w:pos="284"/>
              </w:tabs>
              <w:jc w:val="left"/>
              <w:rPr>
                <w:rFonts w:ascii="Times New Roman" w:hAnsi="Times New Roman" w:cs="Arial"/>
                <w:bCs/>
                <w:sz w:val="22"/>
                <w:szCs w:val="22"/>
                <w:lang w:val="sr-Latn-ME"/>
              </w:rPr>
            </w:pPr>
            <w:r w:rsidRPr="00C01AF3">
              <w:rPr>
                <w:rFonts w:ascii="Times New Roman" w:hAnsi="Times New Roman" w:cs="Arial"/>
                <w:bCs/>
                <w:sz w:val="22"/>
                <w:szCs w:val="22"/>
                <w:lang w:val="sr-Latn-ME"/>
              </w:rPr>
              <w:t xml:space="preserve">Amlodipin, valsartan i </w:t>
            </w:r>
            <w:r w:rsidR="007C4A86" w:rsidRPr="00C01AF3">
              <w:rPr>
                <w:rFonts w:ascii="Times New Roman" w:hAnsi="Times New Roman" w:cs="Arial"/>
                <w:bCs/>
                <w:sz w:val="22"/>
                <w:szCs w:val="22"/>
                <w:lang w:val="sr-Latn-ME"/>
              </w:rPr>
              <w:t>hidrohlortiazid</w:t>
            </w:r>
            <w:r w:rsidRPr="00C01AF3">
              <w:rPr>
                <w:rFonts w:ascii="Times New Roman" w:hAnsi="Times New Roman" w:cs="Arial"/>
                <w:bCs/>
                <w:sz w:val="22"/>
                <w:szCs w:val="22"/>
                <w:lang w:val="sr-Latn-ME"/>
              </w:rPr>
              <w:t xml:space="preserve"> </w:t>
            </w:r>
            <w:r w:rsidR="00056F49" w:rsidRPr="00C01AF3">
              <w:rPr>
                <w:rFonts w:ascii="Times New Roman" w:hAnsi="Times New Roman" w:cs="Arial"/>
                <w:bCs/>
                <w:sz w:val="22"/>
                <w:szCs w:val="22"/>
                <w:lang w:val="sr-Latn-ME"/>
              </w:rPr>
              <w:t xml:space="preserve"> </w:t>
            </w:r>
            <w:r w:rsidR="003A5FC9" w:rsidRPr="00C01AF3">
              <w:rPr>
                <w:rFonts w:ascii="Times New Roman" w:hAnsi="Times New Roman" w:cs="Arial"/>
                <w:bCs/>
                <w:sz w:val="22"/>
                <w:szCs w:val="22"/>
                <w:lang w:val="sr-Latn-ME"/>
              </w:rPr>
              <w:t xml:space="preserve">pokazuju </w:t>
            </w:r>
            <w:r w:rsidR="00056F49" w:rsidRPr="00C01AF3">
              <w:rPr>
                <w:rFonts w:ascii="Times New Roman" w:hAnsi="Times New Roman" w:cs="Arial"/>
                <w:bCs/>
                <w:sz w:val="22"/>
                <w:szCs w:val="22"/>
                <w:lang w:val="sr-Latn-ME"/>
              </w:rPr>
              <w:t>lineranu farmakokinetiku.</w:t>
            </w:r>
          </w:p>
          <w:p w:rsidR="00267B74" w:rsidRPr="00C01AF3" w:rsidRDefault="00267B74" w:rsidP="00056F49">
            <w:pPr>
              <w:pStyle w:val="Header"/>
              <w:tabs>
                <w:tab w:val="clear" w:pos="4536"/>
                <w:tab w:val="clear" w:pos="9072"/>
                <w:tab w:val="left" w:pos="284"/>
              </w:tabs>
              <w:jc w:val="left"/>
              <w:rPr>
                <w:rFonts w:ascii="Times New Roman" w:hAnsi="Times New Roman" w:cs="Arial"/>
                <w:bCs/>
                <w:sz w:val="22"/>
                <w:szCs w:val="22"/>
                <w:lang w:val="sr-Latn-ME"/>
              </w:rPr>
            </w:pPr>
          </w:p>
          <w:p w:rsidR="006D5646" w:rsidRPr="00C01AF3" w:rsidRDefault="006D5646" w:rsidP="00D470B6">
            <w:pPr>
              <w:pStyle w:val="Header"/>
              <w:tabs>
                <w:tab w:val="clear" w:pos="4536"/>
                <w:tab w:val="clear" w:pos="9072"/>
                <w:tab w:val="left" w:pos="284"/>
              </w:tabs>
              <w:spacing w:before="80" w:after="80"/>
              <w:jc w:val="left"/>
              <w:rPr>
                <w:rFonts w:ascii="Times New Roman" w:hAnsi="Times New Roman" w:cs="Arial"/>
                <w:bCs/>
                <w:i/>
                <w:sz w:val="22"/>
                <w:u w:val="single"/>
                <w:lang w:val="sr-Latn-ME"/>
              </w:rPr>
            </w:pPr>
            <w:r w:rsidRPr="00C01AF3">
              <w:rPr>
                <w:rFonts w:ascii="Times New Roman" w:hAnsi="Times New Roman" w:cs="Arial"/>
                <w:bCs/>
                <w:i/>
                <w:sz w:val="22"/>
                <w:u w:val="single"/>
                <w:lang w:val="sr-Latn-ME"/>
              </w:rPr>
              <w:t>Amlodipin/Valsartan/</w:t>
            </w:r>
            <w:r w:rsidR="007C4A86" w:rsidRPr="00C01AF3">
              <w:rPr>
                <w:rFonts w:ascii="Times New Roman" w:hAnsi="Times New Roman" w:cs="Arial"/>
                <w:bCs/>
                <w:i/>
                <w:sz w:val="22"/>
                <w:u w:val="single"/>
                <w:lang w:val="sr-Latn-ME"/>
              </w:rPr>
              <w:t>Hidrohlortiazid</w:t>
            </w:r>
          </w:p>
          <w:p w:rsidR="00D470B6" w:rsidRPr="00C01AF3" w:rsidRDefault="001B7840" w:rsidP="00D470B6">
            <w:pPr>
              <w:pStyle w:val="Header"/>
              <w:tabs>
                <w:tab w:val="clear" w:pos="4536"/>
                <w:tab w:val="clear" w:pos="9072"/>
                <w:tab w:val="left" w:pos="284"/>
              </w:tabs>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Poslije</w:t>
            </w:r>
            <w:r w:rsidR="0022733C" w:rsidRPr="00C01AF3">
              <w:rPr>
                <w:rFonts w:ascii="Times New Roman" w:hAnsi="Times New Roman" w:cs="Arial"/>
                <w:bCs/>
                <w:sz w:val="22"/>
                <w:lang w:val="sr-Latn-ME"/>
              </w:rPr>
              <w:t xml:space="preserve"> </w:t>
            </w:r>
            <w:r w:rsidR="00D470B6" w:rsidRPr="00C01AF3">
              <w:rPr>
                <w:rFonts w:ascii="Times New Roman" w:hAnsi="Times New Roman" w:cs="Arial"/>
                <w:bCs/>
                <w:sz w:val="22"/>
                <w:lang w:val="sr-Latn-ME"/>
              </w:rPr>
              <w:t xml:space="preserve">oralne </w:t>
            </w:r>
            <w:r w:rsidR="00A65414" w:rsidRPr="00C01AF3">
              <w:rPr>
                <w:rFonts w:ascii="Times New Roman" w:hAnsi="Times New Roman" w:cs="Arial"/>
                <w:bCs/>
                <w:sz w:val="22"/>
                <w:lang w:val="sr-Latn-ME"/>
              </w:rPr>
              <w:t>primje</w:t>
            </w:r>
            <w:r w:rsidR="00D470B6" w:rsidRPr="00C01AF3">
              <w:rPr>
                <w:rFonts w:ascii="Times New Roman" w:hAnsi="Times New Roman" w:cs="Arial"/>
                <w:bCs/>
                <w:sz w:val="22"/>
                <w:lang w:val="sr-Latn-ME"/>
              </w:rPr>
              <w:t xml:space="preserve">ne </w:t>
            </w:r>
            <w:r w:rsidR="00A65414" w:rsidRPr="00C01AF3">
              <w:rPr>
                <w:rFonts w:ascii="Times New Roman" w:hAnsi="Times New Roman" w:cs="Arial"/>
                <w:bCs/>
                <w:sz w:val="22"/>
                <w:lang w:val="sr-Latn-ME"/>
              </w:rPr>
              <w:t>lijek</w:t>
            </w:r>
            <w:r w:rsidR="00D470B6" w:rsidRPr="00C01AF3">
              <w:rPr>
                <w:rFonts w:ascii="Times New Roman" w:hAnsi="Times New Roman" w:cs="Arial"/>
                <w:bCs/>
                <w:sz w:val="22"/>
                <w:lang w:val="sr-Latn-ME"/>
              </w:rPr>
              <w:t xml:space="preserve">a </w:t>
            </w:r>
            <w:r w:rsidR="00D470B6" w:rsidRPr="00C01AF3">
              <w:rPr>
                <w:rFonts w:ascii="Times New Roman" w:hAnsi="Times New Roman"/>
                <w:bCs/>
                <w:sz w:val="22"/>
                <w:lang w:val="sr-Latn-ME"/>
              </w:rPr>
              <w:t>Exforge</w:t>
            </w:r>
            <w:r w:rsidR="00267B74" w:rsidRPr="00C01AF3">
              <w:rPr>
                <w:rFonts w:ascii="Times New Roman" w:hAnsi="Times New Roman"/>
                <w:bCs/>
                <w:sz w:val="22"/>
                <w:lang w:val="sr-Latn-ME"/>
              </w:rPr>
              <w:t xml:space="preserve"> HCT kod normalnih zdravih osoba, </w:t>
            </w:r>
            <w:r w:rsidR="00D470B6" w:rsidRPr="00C01AF3">
              <w:rPr>
                <w:rFonts w:ascii="Times New Roman" w:hAnsi="Times New Roman" w:cs="Arial"/>
                <w:bCs/>
                <w:sz w:val="22"/>
                <w:lang w:val="sr-Latn-ME"/>
              </w:rPr>
              <w:t xml:space="preserve"> maksimalne koncentracije </w:t>
            </w:r>
            <w:r w:rsidR="00EC450D" w:rsidRPr="00C01AF3">
              <w:rPr>
                <w:rFonts w:ascii="Times New Roman" w:hAnsi="Times New Roman" w:cs="Arial"/>
                <w:bCs/>
                <w:sz w:val="22"/>
                <w:lang w:val="sr-Latn-ME"/>
              </w:rPr>
              <w:t xml:space="preserve">u plazmi </w:t>
            </w:r>
            <w:r w:rsidR="00D470B6" w:rsidRPr="00C01AF3">
              <w:rPr>
                <w:rFonts w:ascii="Times New Roman" w:hAnsi="Times New Roman" w:cs="Arial"/>
                <w:bCs/>
                <w:sz w:val="22"/>
                <w:lang w:val="sr-Latn-ME"/>
              </w:rPr>
              <w:t>amlodipina</w:t>
            </w:r>
            <w:r w:rsidR="003C5D39" w:rsidRPr="00C01AF3">
              <w:rPr>
                <w:rFonts w:ascii="Times New Roman" w:hAnsi="Times New Roman" w:cs="Arial"/>
                <w:bCs/>
                <w:sz w:val="22"/>
                <w:lang w:val="sr-Latn-ME"/>
              </w:rPr>
              <w:t xml:space="preserve"> </w:t>
            </w:r>
            <w:r w:rsidR="00267B74" w:rsidRPr="00C01AF3">
              <w:rPr>
                <w:rFonts w:ascii="Times New Roman" w:hAnsi="Times New Roman" w:cs="Arial"/>
                <w:bCs/>
                <w:sz w:val="22"/>
                <w:lang w:val="sr-Latn-ME"/>
              </w:rPr>
              <w:t>se postižu za 6-8</w:t>
            </w:r>
            <w:r w:rsidR="00EC450D" w:rsidRPr="00C01AF3">
              <w:rPr>
                <w:rFonts w:ascii="Times New Roman" w:hAnsi="Times New Roman" w:cs="Arial"/>
                <w:bCs/>
                <w:sz w:val="22"/>
                <w:lang w:val="sr-Latn-ME"/>
              </w:rPr>
              <w:t>h</w:t>
            </w:r>
            <w:r w:rsidR="00267B74" w:rsidRPr="00C01AF3">
              <w:rPr>
                <w:rFonts w:ascii="Times New Roman" w:hAnsi="Times New Roman" w:cs="Arial"/>
                <w:bCs/>
                <w:sz w:val="22"/>
                <w:lang w:val="sr-Latn-ME"/>
              </w:rPr>
              <w:t>, valsartana za 3</w:t>
            </w:r>
            <w:r w:rsidR="00EC450D" w:rsidRPr="00C01AF3">
              <w:rPr>
                <w:rFonts w:ascii="Times New Roman" w:hAnsi="Times New Roman" w:cs="Arial"/>
                <w:bCs/>
                <w:sz w:val="22"/>
                <w:lang w:val="sr-Latn-ME"/>
              </w:rPr>
              <w:t>h</w:t>
            </w:r>
            <w:r w:rsidR="00267B74" w:rsidRPr="00C01AF3">
              <w:rPr>
                <w:rFonts w:ascii="Times New Roman" w:hAnsi="Times New Roman" w:cs="Arial"/>
                <w:bCs/>
                <w:sz w:val="22"/>
                <w:lang w:val="sr-Latn-ME"/>
              </w:rPr>
              <w:t xml:space="preserve"> i hidrohlrotiazida za 2</w:t>
            </w:r>
            <w:r w:rsidR="00EC450D" w:rsidRPr="00C01AF3">
              <w:rPr>
                <w:rFonts w:ascii="Times New Roman" w:hAnsi="Times New Roman" w:cs="Arial"/>
                <w:bCs/>
                <w:sz w:val="22"/>
                <w:lang w:val="sr-Latn-ME"/>
              </w:rPr>
              <w:t>h</w:t>
            </w:r>
            <w:r w:rsidR="00267B74" w:rsidRPr="00C01AF3">
              <w:rPr>
                <w:rFonts w:ascii="Times New Roman" w:hAnsi="Times New Roman" w:cs="Arial"/>
                <w:bCs/>
                <w:sz w:val="22"/>
                <w:lang w:val="sr-Latn-ME"/>
              </w:rPr>
              <w:t xml:space="preserve">. </w:t>
            </w:r>
            <w:r w:rsidR="00521663" w:rsidRPr="00C01AF3">
              <w:rPr>
                <w:rFonts w:ascii="Times New Roman" w:hAnsi="Times New Roman" w:cs="Arial"/>
                <w:bCs/>
                <w:sz w:val="22"/>
                <w:lang w:val="sr-Latn-ME"/>
              </w:rPr>
              <w:t xml:space="preserve">Veličina </w:t>
            </w:r>
            <w:r w:rsidR="00D470B6" w:rsidRPr="00C01AF3">
              <w:rPr>
                <w:rFonts w:ascii="Times New Roman" w:hAnsi="Times New Roman" w:cs="Arial"/>
                <w:bCs/>
                <w:sz w:val="22"/>
                <w:lang w:val="sr-Latn-ME"/>
              </w:rPr>
              <w:t xml:space="preserve">i obim resorpcije </w:t>
            </w:r>
            <w:r w:rsidR="00267B74" w:rsidRPr="00C01AF3">
              <w:rPr>
                <w:rFonts w:ascii="Times New Roman" w:hAnsi="Times New Roman" w:cs="Arial"/>
                <w:bCs/>
                <w:sz w:val="22"/>
                <w:lang w:val="sr-Latn-ME"/>
              </w:rPr>
              <w:t>amlodipina, vals</w:t>
            </w:r>
            <w:r w:rsidR="00521663" w:rsidRPr="00C01AF3">
              <w:rPr>
                <w:rFonts w:ascii="Times New Roman" w:hAnsi="Times New Roman" w:cs="Arial"/>
                <w:bCs/>
                <w:sz w:val="22"/>
                <w:lang w:val="sr-Latn-ME"/>
              </w:rPr>
              <w:t xml:space="preserve">artana i </w:t>
            </w:r>
            <w:r w:rsidR="007C4A86" w:rsidRPr="00C01AF3">
              <w:rPr>
                <w:rFonts w:ascii="Times New Roman" w:hAnsi="Times New Roman" w:cs="Arial"/>
                <w:bCs/>
                <w:sz w:val="22"/>
                <w:lang w:val="sr-Latn-ME"/>
              </w:rPr>
              <w:t>hidrohlortiazid</w:t>
            </w:r>
            <w:r w:rsidR="00521663" w:rsidRPr="00C01AF3">
              <w:rPr>
                <w:rFonts w:ascii="Times New Roman" w:hAnsi="Times New Roman" w:cs="Arial"/>
                <w:bCs/>
                <w:sz w:val="22"/>
                <w:lang w:val="sr-Latn-ME"/>
              </w:rPr>
              <w:t xml:space="preserve">a u </w:t>
            </w:r>
            <w:r w:rsidR="00A65414" w:rsidRPr="00C01AF3">
              <w:rPr>
                <w:rFonts w:ascii="Times New Roman" w:hAnsi="Times New Roman" w:cs="Arial"/>
                <w:bCs/>
                <w:sz w:val="22"/>
                <w:lang w:val="sr-Latn-ME"/>
              </w:rPr>
              <w:t>lijek</w:t>
            </w:r>
            <w:r w:rsidR="003C5D39" w:rsidRPr="00C01AF3">
              <w:rPr>
                <w:rFonts w:ascii="Times New Roman" w:hAnsi="Times New Roman" w:cs="Arial"/>
                <w:bCs/>
                <w:sz w:val="22"/>
                <w:lang w:val="sr-Latn-ME"/>
              </w:rPr>
              <w:t>u E</w:t>
            </w:r>
            <w:r w:rsidR="00267B74" w:rsidRPr="00C01AF3">
              <w:rPr>
                <w:rFonts w:ascii="Times New Roman" w:hAnsi="Times New Roman" w:cs="Arial"/>
                <w:bCs/>
                <w:sz w:val="22"/>
                <w:lang w:val="sr-Latn-ME"/>
              </w:rPr>
              <w:t xml:space="preserve">xforge HCT su iste kao kada su </w:t>
            </w:r>
            <w:r w:rsidR="0090474F" w:rsidRPr="00C01AF3">
              <w:rPr>
                <w:rFonts w:ascii="Times New Roman" w:hAnsi="Times New Roman" w:cs="Arial"/>
                <w:bCs/>
                <w:sz w:val="22"/>
                <w:lang w:val="sr-Latn-ME"/>
              </w:rPr>
              <w:t>prim</w:t>
            </w:r>
            <w:r w:rsidR="00627786" w:rsidRPr="00C01AF3">
              <w:rPr>
                <w:rFonts w:ascii="Times New Roman" w:hAnsi="Times New Roman" w:cs="Arial"/>
                <w:bCs/>
                <w:sz w:val="22"/>
                <w:lang w:val="sr-Latn-ME"/>
              </w:rPr>
              <w:t>i</w:t>
            </w:r>
            <w:r w:rsidR="0090474F" w:rsidRPr="00C01AF3">
              <w:rPr>
                <w:rFonts w:ascii="Times New Roman" w:hAnsi="Times New Roman" w:cs="Arial"/>
                <w:bCs/>
                <w:sz w:val="22"/>
                <w:lang w:val="sr-Latn-ME"/>
              </w:rPr>
              <w:t>jen</w:t>
            </w:r>
            <w:r w:rsidR="00267B74" w:rsidRPr="00C01AF3">
              <w:rPr>
                <w:rFonts w:ascii="Times New Roman" w:hAnsi="Times New Roman" w:cs="Arial"/>
                <w:bCs/>
                <w:sz w:val="22"/>
                <w:lang w:val="sr-Latn-ME"/>
              </w:rPr>
              <w:t>jene</w:t>
            </w:r>
            <w:r w:rsidR="00D470B6" w:rsidRPr="00C01AF3">
              <w:rPr>
                <w:rFonts w:ascii="Times New Roman" w:hAnsi="Times New Roman" w:cs="Arial"/>
                <w:bCs/>
                <w:sz w:val="22"/>
                <w:lang w:val="sr-Latn-ME"/>
              </w:rPr>
              <w:t xml:space="preserve"> u obliku </w:t>
            </w:r>
            <w:r w:rsidR="00B36F7D" w:rsidRPr="00C01AF3">
              <w:rPr>
                <w:rFonts w:ascii="Times New Roman" w:hAnsi="Times New Roman" w:cs="Arial"/>
                <w:bCs/>
                <w:sz w:val="22"/>
                <w:lang w:val="sr-Latn-ME"/>
              </w:rPr>
              <w:t>pojedinačnih formulacija</w:t>
            </w:r>
            <w:r w:rsidR="00D470B6" w:rsidRPr="00C01AF3">
              <w:rPr>
                <w:rFonts w:ascii="Times New Roman" w:hAnsi="Times New Roman" w:cs="Arial"/>
                <w:bCs/>
                <w:sz w:val="22"/>
                <w:lang w:val="sr-Latn-ME"/>
              </w:rPr>
              <w:t>.</w:t>
            </w:r>
          </w:p>
          <w:p w:rsidR="00D12E98" w:rsidRPr="00C01AF3" w:rsidRDefault="00D12E98" w:rsidP="00056F49">
            <w:pPr>
              <w:pStyle w:val="Header"/>
              <w:tabs>
                <w:tab w:val="clear" w:pos="4536"/>
                <w:tab w:val="clear" w:pos="9072"/>
                <w:tab w:val="left" w:pos="284"/>
              </w:tabs>
              <w:jc w:val="left"/>
              <w:rPr>
                <w:rFonts w:ascii="Times New Roman" w:hAnsi="Times New Roman" w:cs="Arial"/>
                <w:bCs/>
                <w:sz w:val="22"/>
                <w:szCs w:val="22"/>
                <w:u w:val="single"/>
                <w:lang w:val="sr-Latn-ME"/>
              </w:rPr>
            </w:pPr>
          </w:p>
          <w:p w:rsidR="00056F49" w:rsidRPr="00C01AF3" w:rsidRDefault="00056F49" w:rsidP="0022733C">
            <w:pPr>
              <w:pStyle w:val="Header"/>
              <w:tabs>
                <w:tab w:val="clear" w:pos="4536"/>
                <w:tab w:val="clear" w:pos="9072"/>
                <w:tab w:val="left" w:pos="284"/>
              </w:tabs>
              <w:jc w:val="left"/>
              <w:rPr>
                <w:rFonts w:ascii="Times New Roman" w:hAnsi="Times New Roman" w:cs="Arial"/>
                <w:bCs/>
                <w:sz w:val="22"/>
                <w:szCs w:val="22"/>
                <w:u w:val="single"/>
                <w:lang w:val="sr-Latn-ME"/>
              </w:rPr>
            </w:pPr>
            <w:r w:rsidRPr="00C01AF3">
              <w:rPr>
                <w:rFonts w:ascii="Times New Roman" w:hAnsi="Times New Roman" w:cs="Arial"/>
                <w:bCs/>
                <w:sz w:val="22"/>
                <w:szCs w:val="22"/>
                <w:u w:val="single"/>
                <w:lang w:val="sr-Latn-ME"/>
              </w:rPr>
              <w:t>Amlodipin</w:t>
            </w:r>
          </w:p>
          <w:p w:rsidR="003E50F8" w:rsidRPr="00C01AF3" w:rsidRDefault="003E50F8" w:rsidP="0022733C">
            <w:pPr>
              <w:pStyle w:val="Header"/>
              <w:tabs>
                <w:tab w:val="clear" w:pos="4536"/>
                <w:tab w:val="clear" w:pos="9072"/>
                <w:tab w:val="left" w:pos="284"/>
              </w:tabs>
              <w:jc w:val="left"/>
              <w:rPr>
                <w:rFonts w:ascii="Times New Roman" w:hAnsi="Times New Roman" w:cs="Arial"/>
                <w:bCs/>
                <w:i/>
                <w:sz w:val="22"/>
                <w:szCs w:val="22"/>
                <w:u w:val="single"/>
                <w:lang w:val="sr-Latn-ME"/>
              </w:rPr>
            </w:pPr>
          </w:p>
          <w:p w:rsidR="00056F49" w:rsidRPr="00C01AF3" w:rsidRDefault="00056F49" w:rsidP="0022733C">
            <w:pPr>
              <w:pStyle w:val="Header"/>
              <w:tabs>
                <w:tab w:val="clear" w:pos="4536"/>
                <w:tab w:val="clear" w:pos="9072"/>
                <w:tab w:val="left" w:pos="284"/>
              </w:tabs>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Resorpcija</w:t>
            </w:r>
            <w:r w:rsidR="00AB38BB" w:rsidRPr="00C01AF3">
              <w:rPr>
                <w:rFonts w:ascii="Times New Roman" w:hAnsi="Times New Roman" w:cs="Arial"/>
                <w:bCs/>
                <w:sz w:val="22"/>
                <w:szCs w:val="22"/>
                <w:lang w:val="sr-Latn-ME"/>
              </w:rPr>
              <w:t xml:space="preserve">: </w:t>
            </w:r>
            <w:r w:rsidR="001B7840" w:rsidRPr="00C01AF3">
              <w:rPr>
                <w:rFonts w:ascii="Times New Roman" w:hAnsi="Times New Roman" w:cs="Arial"/>
                <w:bCs/>
                <w:sz w:val="22"/>
                <w:szCs w:val="22"/>
                <w:lang w:val="sr-Latn-ME"/>
              </w:rPr>
              <w:t>Poslije</w:t>
            </w:r>
            <w:r w:rsidR="00AB38BB" w:rsidRPr="00C01AF3">
              <w:rPr>
                <w:rFonts w:ascii="Times New Roman" w:hAnsi="Times New Roman" w:cs="Arial"/>
                <w:bCs/>
                <w:sz w:val="22"/>
                <w:szCs w:val="22"/>
                <w:lang w:val="sr-Latn-ME"/>
              </w:rPr>
              <w:t xml:space="preserve"> </w:t>
            </w:r>
            <w:r w:rsidR="009003C2" w:rsidRPr="00C01AF3">
              <w:rPr>
                <w:rFonts w:ascii="Times New Roman" w:hAnsi="Times New Roman" w:cs="Arial"/>
                <w:bCs/>
                <w:sz w:val="22"/>
                <w:szCs w:val="22"/>
                <w:lang w:val="sr-Latn-ME"/>
              </w:rPr>
              <w:t xml:space="preserve">samostalne </w:t>
            </w:r>
            <w:r w:rsidRPr="00C01AF3">
              <w:rPr>
                <w:rFonts w:ascii="Times New Roman" w:hAnsi="Times New Roman" w:cs="Arial"/>
                <w:bCs/>
                <w:sz w:val="22"/>
                <w:szCs w:val="22"/>
                <w:lang w:val="sr-Latn-ME"/>
              </w:rPr>
              <w:t xml:space="preserve">oralne </w:t>
            </w:r>
            <w:r w:rsidR="00A65414" w:rsidRPr="00C01AF3">
              <w:rPr>
                <w:rFonts w:ascii="Times New Roman" w:hAnsi="Times New Roman" w:cs="Arial"/>
                <w:bCs/>
                <w:sz w:val="22"/>
                <w:szCs w:val="22"/>
                <w:lang w:val="sr-Latn-ME"/>
              </w:rPr>
              <w:t>primje</w:t>
            </w:r>
            <w:r w:rsidRPr="00C01AF3">
              <w:rPr>
                <w:rFonts w:ascii="Times New Roman" w:hAnsi="Times New Roman" w:cs="Arial"/>
                <w:bCs/>
                <w:sz w:val="22"/>
                <w:szCs w:val="22"/>
                <w:lang w:val="sr-Latn-ME"/>
              </w:rPr>
              <w:t xml:space="preserve">ne terapijskih doza amlodipina, maksimalne koncentracije </w:t>
            </w:r>
            <w:r w:rsidR="00A65414" w:rsidRPr="00C01AF3">
              <w:rPr>
                <w:rFonts w:ascii="Times New Roman" w:hAnsi="Times New Roman" w:cs="Arial"/>
                <w:bCs/>
                <w:sz w:val="22"/>
                <w:szCs w:val="22"/>
                <w:lang w:val="sr-Latn-ME"/>
              </w:rPr>
              <w:t>lijek</w:t>
            </w:r>
            <w:r w:rsidRPr="00C01AF3">
              <w:rPr>
                <w:rFonts w:ascii="Times New Roman" w:hAnsi="Times New Roman" w:cs="Arial"/>
                <w:bCs/>
                <w:sz w:val="22"/>
                <w:szCs w:val="22"/>
                <w:lang w:val="sr-Latn-ME"/>
              </w:rPr>
              <w:t>a u plazmi postižu se unutar 6-12</w:t>
            </w:r>
            <w:r w:rsidR="009003C2" w:rsidRPr="00C01AF3">
              <w:rPr>
                <w:rFonts w:ascii="Times New Roman" w:hAnsi="Times New Roman" w:cs="Arial"/>
                <w:bCs/>
                <w:sz w:val="22"/>
                <w:szCs w:val="22"/>
                <w:lang w:val="sr-Latn-ME"/>
              </w:rPr>
              <w:t>h</w:t>
            </w:r>
            <w:r w:rsidRPr="00C01AF3">
              <w:rPr>
                <w:rFonts w:ascii="Times New Roman" w:hAnsi="Times New Roman" w:cs="Arial"/>
                <w:bCs/>
                <w:sz w:val="22"/>
                <w:szCs w:val="22"/>
                <w:lang w:val="sr-Latn-ME"/>
              </w:rPr>
              <w:t xml:space="preserve">. </w:t>
            </w:r>
            <w:r w:rsidR="003A5FC9"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psolutn</w:t>
            </w:r>
            <w:r w:rsidR="003A5FC9"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 xml:space="preserve"> biološk</w:t>
            </w:r>
            <w:r w:rsidR="003A5FC9"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 xml:space="preserve"> raspoloživost amlodipina </w:t>
            </w:r>
            <w:r w:rsidR="003A5FC9" w:rsidRPr="00C01AF3">
              <w:rPr>
                <w:rFonts w:ascii="Times New Roman" w:hAnsi="Times New Roman" w:cs="Arial"/>
                <w:bCs/>
                <w:sz w:val="22"/>
                <w:szCs w:val="22"/>
                <w:lang w:val="sr-Latn-ME"/>
              </w:rPr>
              <w:t xml:space="preserve">je izračunata </w:t>
            </w:r>
            <w:r w:rsidRPr="00C01AF3">
              <w:rPr>
                <w:rFonts w:ascii="Times New Roman" w:hAnsi="Times New Roman" w:cs="Arial"/>
                <w:bCs/>
                <w:sz w:val="22"/>
                <w:szCs w:val="22"/>
                <w:lang w:val="sr-Latn-ME"/>
              </w:rPr>
              <w:t xml:space="preserve">između 64% i 80%. Hrana ne utiče na bioraspoloživost amlodipina. </w:t>
            </w:r>
          </w:p>
          <w:p w:rsidR="00056F49" w:rsidRPr="00C01AF3" w:rsidRDefault="00E44429" w:rsidP="00056F49">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Raspodjel</w:t>
            </w:r>
            <w:r w:rsidR="0089745C" w:rsidRPr="00C01AF3">
              <w:rPr>
                <w:rFonts w:ascii="Times New Roman" w:hAnsi="Times New Roman" w:cs="Arial"/>
                <w:bCs/>
                <w:i/>
                <w:sz w:val="22"/>
                <w:szCs w:val="22"/>
                <w:u w:val="single"/>
                <w:lang w:val="sr-Latn-ME"/>
              </w:rPr>
              <w:t>a</w:t>
            </w:r>
            <w:r w:rsidR="0089745C" w:rsidRPr="00C01AF3">
              <w:rPr>
                <w:rFonts w:ascii="Times New Roman" w:hAnsi="Times New Roman" w:cs="Arial"/>
                <w:bCs/>
                <w:i/>
                <w:sz w:val="22"/>
                <w:szCs w:val="22"/>
                <w:lang w:val="sr-Latn-ME"/>
              </w:rPr>
              <w:t>:</w:t>
            </w:r>
            <w:r w:rsidR="00056F49" w:rsidRPr="00C01AF3">
              <w:rPr>
                <w:rFonts w:ascii="Times New Roman" w:hAnsi="Times New Roman" w:cs="Arial"/>
                <w:bCs/>
                <w:sz w:val="22"/>
                <w:szCs w:val="22"/>
                <w:lang w:val="sr-Latn-ME"/>
              </w:rPr>
              <w:t xml:space="preserve"> Volumen </w:t>
            </w:r>
            <w:r w:rsidRPr="00C01AF3">
              <w:rPr>
                <w:rFonts w:ascii="Times New Roman" w:hAnsi="Times New Roman" w:cs="Arial"/>
                <w:bCs/>
                <w:sz w:val="22"/>
                <w:szCs w:val="22"/>
                <w:lang w:val="sr-Latn-ME"/>
              </w:rPr>
              <w:t>raspodjel</w:t>
            </w:r>
            <w:r w:rsidR="0089745C" w:rsidRPr="00C01AF3">
              <w:rPr>
                <w:rFonts w:ascii="Times New Roman" w:hAnsi="Times New Roman" w:cs="Arial"/>
                <w:bCs/>
                <w:sz w:val="22"/>
                <w:szCs w:val="22"/>
                <w:lang w:val="sr-Latn-ME"/>
              </w:rPr>
              <w:t>e</w:t>
            </w:r>
            <w:r w:rsidR="00056F49" w:rsidRPr="00C01AF3">
              <w:rPr>
                <w:rFonts w:ascii="Times New Roman" w:hAnsi="Times New Roman" w:cs="Arial"/>
                <w:bCs/>
                <w:sz w:val="22"/>
                <w:szCs w:val="22"/>
                <w:lang w:val="sr-Latn-ME"/>
              </w:rPr>
              <w:t xml:space="preserve"> amlodipina iznosi otprilike 21 L/kg. U </w:t>
            </w:r>
            <w:r w:rsidR="00056F49" w:rsidRPr="00C01AF3">
              <w:rPr>
                <w:rFonts w:ascii="Times New Roman" w:hAnsi="Times New Roman" w:cs="Arial"/>
                <w:bCs/>
                <w:i/>
                <w:sz w:val="22"/>
                <w:szCs w:val="22"/>
                <w:lang w:val="sr-Latn-ME"/>
              </w:rPr>
              <w:t>in vitro</w:t>
            </w:r>
            <w:r w:rsidR="00056F49" w:rsidRPr="00C01AF3">
              <w:rPr>
                <w:rFonts w:ascii="Times New Roman" w:hAnsi="Times New Roman" w:cs="Arial"/>
                <w:bCs/>
                <w:sz w:val="22"/>
                <w:szCs w:val="22"/>
                <w:lang w:val="sr-Latn-ME"/>
              </w:rPr>
              <w:t xml:space="preserve"> </w:t>
            </w:r>
            <w:r w:rsidR="0089745C" w:rsidRPr="00C01AF3">
              <w:rPr>
                <w:rFonts w:ascii="Times New Roman" w:hAnsi="Times New Roman" w:cs="Arial"/>
                <w:bCs/>
                <w:sz w:val="22"/>
                <w:szCs w:val="22"/>
                <w:lang w:val="sr-Latn-ME"/>
              </w:rPr>
              <w:t>studijama</w:t>
            </w:r>
            <w:r w:rsidR="00056F49" w:rsidRPr="00C01AF3">
              <w:rPr>
                <w:rFonts w:ascii="Times New Roman" w:hAnsi="Times New Roman" w:cs="Arial"/>
                <w:bCs/>
                <w:sz w:val="22"/>
                <w:szCs w:val="22"/>
                <w:lang w:val="sr-Latn-ME"/>
              </w:rPr>
              <w:t xml:space="preserve"> pokazano je da </w:t>
            </w:r>
            <w:r w:rsidR="0089745C" w:rsidRPr="00C01AF3">
              <w:rPr>
                <w:rFonts w:ascii="Times New Roman" w:hAnsi="Times New Roman" w:cs="Arial"/>
                <w:bCs/>
                <w:sz w:val="22"/>
                <w:szCs w:val="22"/>
                <w:lang w:val="sr-Latn-ME"/>
              </w:rPr>
              <w:t xml:space="preserve">je </w:t>
            </w:r>
            <w:r w:rsidR="00056F49" w:rsidRPr="00C01AF3">
              <w:rPr>
                <w:rFonts w:ascii="Times New Roman" w:hAnsi="Times New Roman" w:cs="Arial"/>
                <w:bCs/>
                <w:sz w:val="22"/>
                <w:szCs w:val="22"/>
                <w:lang w:val="sr-Latn-ME"/>
              </w:rPr>
              <w:t xml:space="preserve">otprilike 97,5% cirkulišućeg </w:t>
            </w:r>
            <w:r w:rsidR="00A65414" w:rsidRPr="00C01AF3">
              <w:rPr>
                <w:rFonts w:ascii="Times New Roman" w:hAnsi="Times New Roman" w:cs="Arial"/>
                <w:bCs/>
                <w:sz w:val="22"/>
                <w:szCs w:val="22"/>
                <w:lang w:val="sr-Latn-ME"/>
              </w:rPr>
              <w:t>lijek</w:t>
            </w:r>
            <w:r w:rsidR="00056F49" w:rsidRPr="00C01AF3">
              <w:rPr>
                <w:rFonts w:ascii="Times New Roman" w:hAnsi="Times New Roman" w:cs="Arial"/>
                <w:bCs/>
                <w:sz w:val="22"/>
                <w:szCs w:val="22"/>
                <w:lang w:val="sr-Latn-ME"/>
              </w:rPr>
              <w:t xml:space="preserve">a vezano za proteine plazme. </w:t>
            </w: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Metabolizam</w:t>
            </w:r>
            <w:r w:rsidRPr="00C01AF3">
              <w:rPr>
                <w:rFonts w:ascii="Times New Roman" w:hAnsi="Times New Roman" w:cs="Arial"/>
                <w:b/>
                <w:bCs/>
                <w:sz w:val="22"/>
                <w:szCs w:val="22"/>
                <w:lang w:val="sr-Latn-ME"/>
              </w:rPr>
              <w:t xml:space="preserve">: </w:t>
            </w:r>
            <w:r w:rsidRPr="00C01AF3">
              <w:rPr>
                <w:rFonts w:ascii="Times New Roman" w:hAnsi="Times New Roman" w:cs="Arial"/>
                <w:bCs/>
                <w:sz w:val="22"/>
                <w:szCs w:val="22"/>
                <w:lang w:val="sr-Latn-ME"/>
              </w:rPr>
              <w:t xml:space="preserve">Amlodipin se opsežno (otprilike 90%) metaboliše u jetri, </w:t>
            </w:r>
            <w:r w:rsidR="00705D92" w:rsidRPr="00C01AF3">
              <w:rPr>
                <w:rFonts w:ascii="Times New Roman" w:hAnsi="Times New Roman" w:cs="Arial"/>
                <w:bCs/>
                <w:sz w:val="22"/>
                <w:szCs w:val="22"/>
                <w:lang w:val="sr-Latn-ME"/>
              </w:rPr>
              <w:t>do</w:t>
            </w:r>
            <w:r w:rsidRPr="00C01AF3">
              <w:rPr>
                <w:rFonts w:ascii="Times New Roman" w:hAnsi="Times New Roman" w:cs="Arial"/>
                <w:bCs/>
                <w:sz w:val="22"/>
                <w:szCs w:val="22"/>
                <w:lang w:val="sr-Latn-ME"/>
              </w:rPr>
              <w:t xml:space="preserve"> neaktivni metaboliti.</w:t>
            </w:r>
          </w:p>
          <w:p w:rsidR="00056F49" w:rsidRPr="00C01AF3" w:rsidRDefault="00692CB8" w:rsidP="00056F49">
            <w:pPr>
              <w:pStyle w:val="Header"/>
              <w:tabs>
                <w:tab w:val="clear" w:pos="4536"/>
                <w:tab w:val="clear" w:pos="9072"/>
                <w:tab w:val="left" w:pos="284"/>
              </w:tabs>
              <w:spacing w:before="80" w:after="80"/>
              <w:jc w:val="left"/>
              <w:rPr>
                <w:rFonts w:ascii="Times New Roman" w:hAnsi="Times New Roman" w:cs="Arial"/>
                <w:b/>
                <w:bCs/>
                <w:sz w:val="22"/>
                <w:szCs w:val="22"/>
                <w:lang w:val="sr-Latn-ME"/>
              </w:rPr>
            </w:pPr>
            <w:r w:rsidRPr="00C01AF3">
              <w:rPr>
                <w:rFonts w:ascii="Times New Roman" w:hAnsi="Times New Roman" w:cs="Arial"/>
                <w:bCs/>
                <w:i/>
                <w:sz w:val="22"/>
                <w:szCs w:val="22"/>
                <w:u w:val="single"/>
                <w:lang w:val="sr-Latn-ME"/>
              </w:rPr>
              <w:t>Izlučivanje</w:t>
            </w:r>
            <w:r w:rsidR="00056F49" w:rsidRPr="00C01AF3">
              <w:rPr>
                <w:rFonts w:ascii="Times New Roman" w:hAnsi="Times New Roman" w:cs="Arial"/>
                <w:bCs/>
                <w:sz w:val="22"/>
                <w:szCs w:val="22"/>
                <w:lang w:val="sr-Latn-ME"/>
              </w:rPr>
              <w:t xml:space="preserve">: </w:t>
            </w:r>
            <w:r w:rsidR="001D2532" w:rsidRPr="00C01AF3">
              <w:rPr>
                <w:rFonts w:ascii="Times New Roman" w:hAnsi="Times New Roman" w:cs="Arial"/>
                <w:bCs/>
                <w:sz w:val="22"/>
                <w:szCs w:val="22"/>
                <w:lang w:val="sr-Latn-ME"/>
              </w:rPr>
              <w:t>Izlučivanje</w:t>
            </w:r>
            <w:r w:rsidR="00056F49" w:rsidRPr="00C01AF3">
              <w:rPr>
                <w:rFonts w:ascii="Times New Roman" w:hAnsi="Times New Roman" w:cs="Arial"/>
                <w:bCs/>
                <w:sz w:val="22"/>
                <w:szCs w:val="22"/>
                <w:lang w:val="sr-Latn-ME"/>
              </w:rPr>
              <w:t xml:space="preserve"> amlodipina iz plazme je bifazičan proces sa terminalnim poluvremenom eliminacije od otprilike 30</w:t>
            </w:r>
            <w:r w:rsidR="008A5E6A" w:rsidRPr="00C01AF3">
              <w:rPr>
                <w:rFonts w:ascii="Times New Roman" w:hAnsi="Times New Roman" w:cs="Arial"/>
                <w:bCs/>
                <w:sz w:val="22"/>
                <w:szCs w:val="22"/>
                <w:lang w:val="sr-Latn-ME"/>
              </w:rPr>
              <w:t>-</w:t>
            </w:r>
            <w:r w:rsidR="00056F49" w:rsidRPr="00C01AF3">
              <w:rPr>
                <w:rFonts w:ascii="Times New Roman" w:hAnsi="Times New Roman" w:cs="Arial"/>
                <w:bCs/>
                <w:sz w:val="22"/>
                <w:szCs w:val="22"/>
                <w:lang w:val="sr-Latn-ME"/>
              </w:rPr>
              <w:t>50</w:t>
            </w:r>
            <w:r w:rsidR="003539E1" w:rsidRPr="00C01AF3">
              <w:rPr>
                <w:rFonts w:ascii="Times New Roman" w:hAnsi="Times New Roman" w:cs="Arial"/>
                <w:bCs/>
                <w:sz w:val="22"/>
                <w:szCs w:val="22"/>
                <w:lang w:val="sr-Latn-ME"/>
              </w:rPr>
              <w:t>h</w:t>
            </w:r>
            <w:r w:rsidR="00056F49" w:rsidRPr="00C01AF3">
              <w:rPr>
                <w:rFonts w:ascii="Times New Roman" w:hAnsi="Times New Roman" w:cs="Arial"/>
                <w:bCs/>
                <w:sz w:val="22"/>
                <w:szCs w:val="22"/>
                <w:lang w:val="sr-Latn-ME"/>
              </w:rPr>
              <w:t xml:space="preserve">. </w:t>
            </w:r>
            <w:r w:rsidR="008B1605" w:rsidRPr="00C01AF3">
              <w:rPr>
                <w:rFonts w:ascii="Times New Roman" w:hAnsi="Times New Roman" w:cs="Arial"/>
                <w:bCs/>
                <w:sz w:val="22"/>
                <w:szCs w:val="22"/>
                <w:lang w:val="sr-Latn-ME"/>
              </w:rPr>
              <w:t>Nivoi ravnotežnog stanja u plazmi</w:t>
            </w:r>
            <w:r w:rsidR="00056F49" w:rsidRPr="00C01AF3">
              <w:rPr>
                <w:rFonts w:ascii="Times New Roman" w:hAnsi="Times New Roman" w:cs="Arial"/>
                <w:bCs/>
                <w:sz w:val="22"/>
                <w:szCs w:val="22"/>
                <w:lang w:val="sr-Latn-ME"/>
              </w:rPr>
              <w:t xml:space="preserve"> postiž</w:t>
            </w:r>
            <w:r w:rsidR="008B1605" w:rsidRPr="00C01AF3">
              <w:rPr>
                <w:rFonts w:ascii="Times New Roman" w:hAnsi="Times New Roman" w:cs="Arial"/>
                <w:bCs/>
                <w:sz w:val="22"/>
                <w:szCs w:val="22"/>
                <w:lang w:val="sr-Latn-ME"/>
              </w:rPr>
              <w:t>u</w:t>
            </w:r>
            <w:r w:rsidR="00056F49" w:rsidRPr="00C01AF3">
              <w:rPr>
                <w:rFonts w:ascii="Times New Roman" w:hAnsi="Times New Roman" w:cs="Arial"/>
                <w:bCs/>
                <w:sz w:val="22"/>
                <w:szCs w:val="22"/>
                <w:lang w:val="sr-Latn-ME"/>
              </w:rPr>
              <w:t xml:space="preserve"> se </w:t>
            </w:r>
            <w:r w:rsidR="001B7840" w:rsidRPr="00C01AF3">
              <w:rPr>
                <w:rFonts w:ascii="Times New Roman" w:hAnsi="Times New Roman" w:cs="Arial"/>
                <w:bCs/>
                <w:sz w:val="22"/>
                <w:szCs w:val="22"/>
                <w:lang w:val="sr-Latn-ME"/>
              </w:rPr>
              <w:t>poslije</w:t>
            </w:r>
            <w:r w:rsidR="00056F49" w:rsidRPr="00C01AF3">
              <w:rPr>
                <w:rFonts w:ascii="Times New Roman" w:hAnsi="Times New Roman" w:cs="Arial"/>
                <w:bCs/>
                <w:sz w:val="22"/>
                <w:szCs w:val="22"/>
                <w:lang w:val="sr-Latn-ME"/>
              </w:rPr>
              <w:t xml:space="preserve"> 7-8 dana </w:t>
            </w:r>
            <w:r w:rsidR="008B1605" w:rsidRPr="00C01AF3">
              <w:rPr>
                <w:rFonts w:ascii="Times New Roman" w:hAnsi="Times New Roman" w:cs="Arial"/>
                <w:bCs/>
                <w:sz w:val="22"/>
                <w:szCs w:val="22"/>
                <w:lang w:val="sr-Latn-ME"/>
              </w:rPr>
              <w:t xml:space="preserve">nakon </w:t>
            </w:r>
            <w:r w:rsidR="00056F49" w:rsidRPr="00C01AF3">
              <w:rPr>
                <w:rFonts w:ascii="Times New Roman" w:hAnsi="Times New Roman" w:cs="Arial"/>
                <w:bCs/>
                <w:sz w:val="22"/>
                <w:szCs w:val="22"/>
                <w:lang w:val="sr-Latn-ME"/>
              </w:rPr>
              <w:t xml:space="preserve">kontinuirane </w:t>
            </w:r>
            <w:r w:rsidR="00A65414" w:rsidRPr="00C01AF3">
              <w:rPr>
                <w:rFonts w:ascii="Times New Roman" w:hAnsi="Times New Roman" w:cs="Arial"/>
                <w:bCs/>
                <w:sz w:val="22"/>
                <w:szCs w:val="22"/>
                <w:lang w:val="sr-Latn-ME"/>
              </w:rPr>
              <w:t>primje</w:t>
            </w:r>
            <w:r w:rsidR="00056F49" w:rsidRPr="00C01AF3">
              <w:rPr>
                <w:rFonts w:ascii="Times New Roman" w:hAnsi="Times New Roman" w:cs="Arial"/>
                <w:bCs/>
                <w:sz w:val="22"/>
                <w:szCs w:val="22"/>
                <w:lang w:val="sr-Latn-ME"/>
              </w:rPr>
              <w:t xml:space="preserve">ne </w:t>
            </w:r>
            <w:r w:rsidR="00A65414" w:rsidRPr="00C01AF3">
              <w:rPr>
                <w:rFonts w:ascii="Times New Roman" w:hAnsi="Times New Roman" w:cs="Arial"/>
                <w:bCs/>
                <w:sz w:val="22"/>
                <w:szCs w:val="22"/>
                <w:lang w:val="sr-Latn-ME"/>
              </w:rPr>
              <w:t>lijek</w:t>
            </w:r>
            <w:r w:rsidR="00056F49" w:rsidRPr="00C01AF3">
              <w:rPr>
                <w:rFonts w:ascii="Times New Roman" w:hAnsi="Times New Roman" w:cs="Arial"/>
                <w:bCs/>
                <w:sz w:val="22"/>
                <w:szCs w:val="22"/>
                <w:lang w:val="sr-Latn-ME"/>
              </w:rPr>
              <w:t>a. Urinom se izluči 10% neprom</w:t>
            </w:r>
            <w:r w:rsidR="00D676D5" w:rsidRPr="00C01AF3">
              <w:rPr>
                <w:rFonts w:ascii="Times New Roman" w:hAnsi="Times New Roman" w:cs="Arial"/>
                <w:bCs/>
                <w:sz w:val="22"/>
                <w:szCs w:val="22"/>
                <w:lang w:val="sr-Latn-ME"/>
              </w:rPr>
              <w:t>ij</w:t>
            </w:r>
            <w:r w:rsidR="00056F49" w:rsidRPr="00C01AF3">
              <w:rPr>
                <w:rFonts w:ascii="Times New Roman" w:hAnsi="Times New Roman" w:cs="Arial"/>
                <w:bCs/>
                <w:sz w:val="22"/>
                <w:szCs w:val="22"/>
                <w:lang w:val="sr-Latn-ME"/>
              </w:rPr>
              <w:t xml:space="preserve">enjenog </w:t>
            </w:r>
            <w:r w:rsidR="00A65414" w:rsidRPr="00C01AF3">
              <w:rPr>
                <w:rFonts w:ascii="Times New Roman" w:hAnsi="Times New Roman" w:cs="Arial"/>
                <w:bCs/>
                <w:sz w:val="22"/>
                <w:szCs w:val="22"/>
                <w:lang w:val="sr-Latn-ME"/>
              </w:rPr>
              <w:t>lijek</w:t>
            </w:r>
            <w:r w:rsidR="00056F49" w:rsidRPr="00C01AF3">
              <w:rPr>
                <w:rFonts w:ascii="Times New Roman" w:hAnsi="Times New Roman" w:cs="Arial"/>
                <w:bCs/>
                <w:sz w:val="22"/>
                <w:szCs w:val="22"/>
                <w:lang w:val="sr-Latn-ME"/>
              </w:rPr>
              <w:t>a i 60% njegovih metabolita.</w:t>
            </w:r>
          </w:p>
          <w:p w:rsidR="003E50F8" w:rsidRPr="00C01AF3" w:rsidRDefault="003E50F8" w:rsidP="00056F49">
            <w:pPr>
              <w:pStyle w:val="Header"/>
              <w:tabs>
                <w:tab w:val="clear" w:pos="4536"/>
                <w:tab w:val="clear" w:pos="9072"/>
                <w:tab w:val="left" w:pos="284"/>
              </w:tabs>
              <w:spacing w:before="80" w:after="80"/>
              <w:jc w:val="left"/>
              <w:rPr>
                <w:rFonts w:ascii="Times New Roman" w:hAnsi="Times New Roman" w:cs="Arial"/>
                <w:bCs/>
                <w:sz w:val="22"/>
                <w:u w:val="single"/>
                <w:lang w:val="sr-Latn-ME"/>
              </w:rPr>
            </w:pP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lastRenderedPageBreak/>
              <w:t>Valsartan</w:t>
            </w:r>
          </w:p>
          <w:p w:rsidR="00056F49" w:rsidRPr="00C01AF3" w:rsidRDefault="00056F49" w:rsidP="00056F49">
            <w:pPr>
              <w:pStyle w:val="Header"/>
              <w:tabs>
                <w:tab w:val="clear" w:pos="4536"/>
                <w:tab w:val="clear" w:pos="9072"/>
                <w:tab w:val="left" w:pos="284"/>
              </w:tabs>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Resorpcija</w:t>
            </w:r>
            <w:r w:rsidR="00132847" w:rsidRPr="00C01AF3">
              <w:rPr>
                <w:rFonts w:ascii="Times New Roman" w:hAnsi="Times New Roman" w:cs="Arial"/>
                <w:bCs/>
                <w:sz w:val="22"/>
                <w:szCs w:val="22"/>
                <w:lang w:val="sr-Latn-ME"/>
              </w:rPr>
              <w:t xml:space="preserve">: </w:t>
            </w:r>
            <w:r w:rsidR="001B7840" w:rsidRPr="00C01AF3">
              <w:rPr>
                <w:rFonts w:ascii="Times New Roman" w:hAnsi="Times New Roman" w:cs="Arial"/>
                <w:bCs/>
                <w:sz w:val="22"/>
                <w:szCs w:val="22"/>
                <w:lang w:val="sr-Latn-ME"/>
              </w:rPr>
              <w:t>Poslije</w:t>
            </w:r>
            <w:r w:rsidR="00132847" w:rsidRPr="00C01AF3">
              <w:rPr>
                <w:rFonts w:ascii="Times New Roman" w:hAnsi="Times New Roman" w:cs="Arial"/>
                <w:bCs/>
                <w:sz w:val="22"/>
                <w:szCs w:val="22"/>
                <w:lang w:val="sr-Latn-ME"/>
              </w:rPr>
              <w:t xml:space="preserve"> </w:t>
            </w:r>
            <w:r w:rsidR="00035911" w:rsidRPr="00C01AF3">
              <w:rPr>
                <w:rFonts w:ascii="Times New Roman" w:hAnsi="Times New Roman" w:cs="Arial"/>
                <w:bCs/>
                <w:sz w:val="22"/>
                <w:szCs w:val="22"/>
                <w:lang w:val="sr-Latn-ME"/>
              </w:rPr>
              <w:t xml:space="preserve">pojedinačne </w:t>
            </w:r>
            <w:r w:rsidRPr="00C01AF3">
              <w:rPr>
                <w:rFonts w:ascii="Times New Roman" w:hAnsi="Times New Roman" w:cs="Arial"/>
                <w:bCs/>
                <w:sz w:val="22"/>
                <w:szCs w:val="22"/>
                <w:lang w:val="sr-Latn-ME"/>
              </w:rPr>
              <w:t xml:space="preserve">oralne </w:t>
            </w:r>
            <w:r w:rsidR="00A65414" w:rsidRPr="00C01AF3">
              <w:rPr>
                <w:rFonts w:ascii="Times New Roman" w:hAnsi="Times New Roman" w:cs="Arial"/>
                <w:bCs/>
                <w:sz w:val="22"/>
                <w:szCs w:val="22"/>
                <w:lang w:val="sr-Latn-ME"/>
              </w:rPr>
              <w:t>primje</w:t>
            </w:r>
            <w:r w:rsidRPr="00C01AF3">
              <w:rPr>
                <w:rFonts w:ascii="Times New Roman" w:hAnsi="Times New Roman" w:cs="Arial"/>
                <w:bCs/>
                <w:sz w:val="22"/>
                <w:szCs w:val="22"/>
                <w:lang w:val="sr-Latn-ME"/>
              </w:rPr>
              <w:t xml:space="preserve">ne valsartana, njegove maksimalne koncentracije u plazmi postižu se za 2-4 sata. </w:t>
            </w:r>
            <w:r w:rsidR="00A130EB" w:rsidRPr="00C01AF3">
              <w:rPr>
                <w:rFonts w:ascii="Times New Roman" w:hAnsi="Times New Roman" w:cs="Arial"/>
                <w:bCs/>
                <w:sz w:val="22"/>
                <w:szCs w:val="22"/>
                <w:lang w:val="sr-Latn-ME"/>
              </w:rPr>
              <w:t>Srednja</w:t>
            </w:r>
            <w:r w:rsidRPr="00C01AF3">
              <w:rPr>
                <w:rFonts w:ascii="Times New Roman" w:hAnsi="Times New Roman" w:cs="Arial"/>
                <w:bCs/>
                <w:sz w:val="22"/>
                <w:szCs w:val="22"/>
                <w:lang w:val="sr-Latn-ME"/>
              </w:rPr>
              <w:t xml:space="preserve"> </w:t>
            </w:r>
            <w:r w:rsidR="003A5FC9" w:rsidRPr="00C01AF3">
              <w:rPr>
                <w:rFonts w:ascii="Times New Roman" w:hAnsi="Times New Roman" w:cs="Arial"/>
                <w:bCs/>
                <w:sz w:val="22"/>
                <w:szCs w:val="22"/>
                <w:lang w:val="sr-Latn-ME"/>
              </w:rPr>
              <w:t xml:space="preserve">vrijednost </w:t>
            </w:r>
            <w:r w:rsidRPr="00C01AF3">
              <w:rPr>
                <w:rFonts w:ascii="Times New Roman" w:hAnsi="Times New Roman" w:cs="Arial"/>
                <w:bCs/>
                <w:sz w:val="22"/>
                <w:szCs w:val="22"/>
                <w:lang w:val="sr-Latn-ME"/>
              </w:rPr>
              <w:t>apsolutn</w:t>
            </w:r>
            <w:r w:rsidR="003A5FC9" w:rsidRPr="00C01AF3">
              <w:rPr>
                <w:rFonts w:ascii="Times New Roman" w:hAnsi="Times New Roman" w:cs="Arial"/>
                <w:bCs/>
                <w:sz w:val="22"/>
                <w:szCs w:val="22"/>
                <w:lang w:val="sr-Latn-ME"/>
              </w:rPr>
              <w:t>e</w:t>
            </w:r>
            <w:r w:rsidRPr="00C01AF3">
              <w:rPr>
                <w:rFonts w:ascii="Times New Roman" w:hAnsi="Times New Roman" w:cs="Arial"/>
                <w:bCs/>
                <w:sz w:val="22"/>
                <w:szCs w:val="22"/>
                <w:lang w:val="sr-Latn-ME"/>
              </w:rPr>
              <w:t xml:space="preserve"> bioraspoloživost</w:t>
            </w:r>
            <w:r w:rsidR="003A5FC9" w:rsidRPr="00C01AF3">
              <w:rPr>
                <w:rFonts w:ascii="Times New Roman" w:hAnsi="Times New Roman" w:cs="Arial"/>
                <w:bCs/>
                <w:sz w:val="22"/>
                <w:szCs w:val="22"/>
                <w:lang w:val="sr-Latn-ME"/>
              </w:rPr>
              <w:t>i</w:t>
            </w:r>
            <w:r w:rsidRPr="00C01AF3">
              <w:rPr>
                <w:rFonts w:ascii="Times New Roman" w:hAnsi="Times New Roman" w:cs="Arial"/>
                <w:bCs/>
                <w:sz w:val="22"/>
                <w:szCs w:val="22"/>
                <w:lang w:val="sr-Latn-ME"/>
              </w:rPr>
              <w:t xml:space="preserve"> iznosi 23%. Hrana smanjuje </w:t>
            </w:r>
            <w:r w:rsidR="00FE52A2" w:rsidRPr="00C01AF3">
              <w:rPr>
                <w:rFonts w:ascii="Times New Roman" w:hAnsi="Times New Roman" w:cs="Arial"/>
                <w:bCs/>
                <w:sz w:val="22"/>
                <w:szCs w:val="22"/>
                <w:lang w:val="sr-Latn-ME"/>
              </w:rPr>
              <w:t>izloženost</w:t>
            </w:r>
            <w:r w:rsidRPr="00C01AF3">
              <w:rPr>
                <w:rFonts w:ascii="Times New Roman" w:hAnsi="Times New Roman" w:cs="Arial"/>
                <w:bCs/>
                <w:sz w:val="22"/>
                <w:szCs w:val="22"/>
                <w:lang w:val="sr-Latn-ME"/>
              </w:rPr>
              <w:t xml:space="preserve"> (</w:t>
            </w:r>
            <w:r w:rsidR="00B7287E" w:rsidRPr="00C01AF3">
              <w:rPr>
                <w:rFonts w:ascii="Times New Roman" w:hAnsi="Times New Roman" w:cs="Arial"/>
                <w:bCs/>
                <w:sz w:val="22"/>
                <w:szCs w:val="22"/>
                <w:lang w:val="sr-Latn-ME"/>
              </w:rPr>
              <w:t>mjere</w:t>
            </w:r>
            <w:r w:rsidRPr="00C01AF3">
              <w:rPr>
                <w:rFonts w:ascii="Times New Roman" w:hAnsi="Times New Roman" w:cs="Arial"/>
                <w:bCs/>
                <w:sz w:val="22"/>
                <w:szCs w:val="22"/>
                <w:lang w:val="sr-Latn-ME"/>
              </w:rPr>
              <w:t xml:space="preserve">no </w:t>
            </w:r>
            <w:r w:rsidR="00FE52A2" w:rsidRPr="00C01AF3">
              <w:rPr>
                <w:rFonts w:ascii="Times New Roman" w:hAnsi="Times New Roman" w:cs="Arial"/>
                <w:bCs/>
                <w:sz w:val="22"/>
                <w:szCs w:val="22"/>
                <w:lang w:val="sr-Latn-ME"/>
              </w:rPr>
              <w:t>preko</w:t>
            </w:r>
            <w:r w:rsidRPr="00C01AF3">
              <w:rPr>
                <w:rFonts w:ascii="Times New Roman" w:hAnsi="Times New Roman" w:cs="Arial"/>
                <w:bCs/>
                <w:sz w:val="22"/>
                <w:szCs w:val="22"/>
                <w:lang w:val="sr-Latn-ME"/>
              </w:rPr>
              <w:t xml:space="preserve"> PIK</w:t>
            </w:r>
            <w:r w:rsidR="00FE52A2"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 valsartan</w:t>
            </w:r>
            <w:r w:rsidR="00202050" w:rsidRPr="00C01AF3">
              <w:rPr>
                <w:rFonts w:ascii="Times New Roman" w:hAnsi="Times New Roman" w:cs="Arial"/>
                <w:bCs/>
                <w:sz w:val="22"/>
                <w:szCs w:val="22"/>
                <w:lang w:val="sr-Latn-ME"/>
              </w:rPr>
              <w:t>u</w:t>
            </w:r>
            <w:r w:rsidRPr="00C01AF3">
              <w:rPr>
                <w:rFonts w:ascii="Times New Roman" w:hAnsi="Times New Roman" w:cs="Arial"/>
                <w:bCs/>
                <w:sz w:val="22"/>
                <w:szCs w:val="22"/>
                <w:lang w:val="sr-Latn-ME"/>
              </w:rPr>
              <w:t xml:space="preserve"> za oko 40% i maksimalnu koncentraciju u plazmi (C</w:t>
            </w:r>
            <w:r w:rsidRPr="00C01AF3">
              <w:rPr>
                <w:rFonts w:ascii="Times New Roman" w:hAnsi="Times New Roman" w:cs="Arial"/>
                <w:bCs/>
                <w:sz w:val="22"/>
                <w:szCs w:val="22"/>
                <w:vertAlign w:val="subscript"/>
                <w:lang w:val="sr-Latn-ME"/>
              </w:rPr>
              <w:t>max</w:t>
            </w:r>
            <w:r w:rsidR="001B65B0" w:rsidRPr="00C01AF3">
              <w:rPr>
                <w:rFonts w:ascii="Times New Roman" w:hAnsi="Times New Roman" w:cs="Arial"/>
                <w:bCs/>
                <w:sz w:val="22"/>
                <w:szCs w:val="22"/>
                <w:lang w:val="sr-Latn-ME"/>
              </w:rPr>
              <w:t>) za oko 50%, ma</w:t>
            </w:r>
            <w:r w:rsidRPr="00C01AF3">
              <w:rPr>
                <w:rFonts w:ascii="Times New Roman" w:hAnsi="Times New Roman" w:cs="Arial"/>
                <w:bCs/>
                <w:sz w:val="22"/>
                <w:szCs w:val="22"/>
                <w:lang w:val="sr-Latn-ME"/>
              </w:rPr>
              <w:t xml:space="preserve">da za otprilike 8h </w:t>
            </w:r>
            <w:r w:rsidR="001B7840" w:rsidRPr="00C01AF3">
              <w:rPr>
                <w:rFonts w:ascii="Times New Roman" w:hAnsi="Times New Roman" w:cs="Arial"/>
                <w:bCs/>
                <w:sz w:val="22"/>
                <w:szCs w:val="22"/>
                <w:lang w:val="sr-Latn-ME"/>
              </w:rPr>
              <w:t>poslije</w:t>
            </w:r>
            <w:r w:rsidR="00202050" w:rsidRPr="00C01AF3">
              <w:rPr>
                <w:rFonts w:ascii="Times New Roman" w:hAnsi="Times New Roman" w:cs="Arial"/>
                <w:bCs/>
                <w:sz w:val="22"/>
                <w:szCs w:val="22"/>
                <w:lang w:val="sr-Latn-ME"/>
              </w:rPr>
              <w:t xml:space="preserve"> </w:t>
            </w:r>
            <w:r w:rsidR="00A65414" w:rsidRPr="00C01AF3">
              <w:rPr>
                <w:rFonts w:ascii="Times New Roman" w:hAnsi="Times New Roman" w:cs="Arial"/>
                <w:bCs/>
                <w:sz w:val="22"/>
                <w:szCs w:val="22"/>
                <w:lang w:val="sr-Latn-ME"/>
              </w:rPr>
              <w:t>primje</w:t>
            </w:r>
            <w:r w:rsidR="00202050" w:rsidRPr="00C01AF3">
              <w:rPr>
                <w:rFonts w:ascii="Times New Roman" w:hAnsi="Times New Roman" w:cs="Arial"/>
                <w:bCs/>
                <w:sz w:val="22"/>
                <w:szCs w:val="22"/>
                <w:lang w:val="sr-Latn-ME"/>
              </w:rPr>
              <w:t xml:space="preserve">ne, </w:t>
            </w:r>
            <w:r w:rsidRPr="00C01AF3">
              <w:rPr>
                <w:rFonts w:ascii="Times New Roman" w:hAnsi="Times New Roman" w:cs="Arial"/>
                <w:bCs/>
                <w:sz w:val="22"/>
                <w:szCs w:val="22"/>
                <w:lang w:val="sr-Latn-ME"/>
              </w:rPr>
              <w:t xml:space="preserve">koncentracije valsartana </w:t>
            </w:r>
            <w:r w:rsidR="00202050" w:rsidRPr="00C01AF3">
              <w:rPr>
                <w:rFonts w:ascii="Times New Roman" w:hAnsi="Times New Roman" w:cs="Arial"/>
                <w:bCs/>
                <w:sz w:val="22"/>
                <w:szCs w:val="22"/>
                <w:lang w:val="sr-Latn-ME"/>
              </w:rPr>
              <w:t xml:space="preserve">u plazmi </w:t>
            </w:r>
            <w:r w:rsidRPr="00C01AF3">
              <w:rPr>
                <w:rFonts w:ascii="Times New Roman" w:hAnsi="Times New Roman" w:cs="Arial"/>
                <w:bCs/>
                <w:sz w:val="22"/>
                <w:szCs w:val="22"/>
                <w:lang w:val="sr-Latn-ME"/>
              </w:rPr>
              <w:t xml:space="preserve">su slične i kod pacijenta koji su </w:t>
            </w:r>
            <w:r w:rsidR="00A65414" w:rsidRPr="00C01AF3">
              <w:rPr>
                <w:rFonts w:ascii="Times New Roman" w:hAnsi="Times New Roman" w:cs="Arial"/>
                <w:bCs/>
                <w:sz w:val="22"/>
                <w:szCs w:val="22"/>
                <w:lang w:val="sr-Latn-ME"/>
              </w:rPr>
              <w:t>lijek</w:t>
            </w:r>
            <w:r w:rsidRPr="00C01AF3">
              <w:rPr>
                <w:rFonts w:ascii="Times New Roman" w:hAnsi="Times New Roman" w:cs="Arial"/>
                <w:bCs/>
                <w:sz w:val="22"/>
                <w:szCs w:val="22"/>
                <w:lang w:val="sr-Latn-ME"/>
              </w:rPr>
              <w:t xml:space="preserve"> uzimali sa hranom i</w:t>
            </w:r>
            <w:r w:rsidR="00202050" w:rsidRPr="00C01AF3">
              <w:rPr>
                <w:rFonts w:ascii="Times New Roman" w:hAnsi="Times New Roman" w:cs="Arial"/>
                <w:bCs/>
                <w:sz w:val="22"/>
                <w:szCs w:val="22"/>
                <w:lang w:val="sr-Latn-ME"/>
              </w:rPr>
              <w:t xml:space="preserve"> kod onih koji su ga uzimali na</w:t>
            </w:r>
            <w:r w:rsidRPr="00C01AF3">
              <w:rPr>
                <w:rFonts w:ascii="Times New Roman" w:hAnsi="Times New Roman" w:cs="Arial"/>
                <w:bCs/>
                <w:sz w:val="22"/>
                <w:szCs w:val="22"/>
                <w:lang w:val="sr-Latn-ME"/>
              </w:rPr>
              <w:t>tašte. Smanjenje PIK</w:t>
            </w:r>
            <w:r w:rsidR="002E28C3"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 xml:space="preserve">, međutim, nije </w:t>
            </w:r>
            <w:r w:rsidR="002E28C3" w:rsidRPr="00C01AF3">
              <w:rPr>
                <w:rFonts w:ascii="Times New Roman" w:hAnsi="Times New Roman" w:cs="Arial"/>
                <w:bCs/>
                <w:sz w:val="22"/>
                <w:szCs w:val="22"/>
                <w:lang w:val="sr-Latn-ME"/>
              </w:rPr>
              <w:t xml:space="preserve">praćeno sa </w:t>
            </w:r>
            <w:r w:rsidRPr="00C01AF3">
              <w:rPr>
                <w:rFonts w:ascii="Times New Roman" w:hAnsi="Times New Roman" w:cs="Arial"/>
                <w:bCs/>
                <w:sz w:val="22"/>
                <w:szCs w:val="22"/>
                <w:lang w:val="sr-Latn-ME"/>
              </w:rPr>
              <w:t xml:space="preserve"> klinički značajnim smanjenjem terapijskog </w:t>
            </w:r>
            <w:r w:rsidR="002E28C3" w:rsidRPr="00C01AF3">
              <w:rPr>
                <w:rFonts w:ascii="Times New Roman" w:hAnsi="Times New Roman" w:cs="Arial"/>
                <w:bCs/>
                <w:sz w:val="22"/>
                <w:szCs w:val="22"/>
                <w:lang w:val="sr-Latn-ME"/>
              </w:rPr>
              <w:t>dejstva</w:t>
            </w:r>
            <w:r w:rsidRPr="00C01AF3">
              <w:rPr>
                <w:rFonts w:ascii="Times New Roman" w:hAnsi="Times New Roman" w:cs="Arial"/>
                <w:bCs/>
                <w:sz w:val="22"/>
                <w:szCs w:val="22"/>
                <w:lang w:val="sr-Latn-ME"/>
              </w:rPr>
              <w:t>, pa se valsartan može uzimati i sa hranom i bez nje.</w:t>
            </w:r>
          </w:p>
          <w:p w:rsidR="00056F49" w:rsidRPr="00C01AF3" w:rsidRDefault="00E44429" w:rsidP="00056F49">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Raspodjel</w:t>
            </w:r>
            <w:r w:rsidR="00C032A5" w:rsidRPr="00C01AF3">
              <w:rPr>
                <w:rFonts w:ascii="Times New Roman" w:hAnsi="Times New Roman" w:cs="Arial"/>
                <w:bCs/>
                <w:i/>
                <w:sz w:val="22"/>
                <w:szCs w:val="22"/>
                <w:u w:val="single"/>
                <w:lang w:val="sr-Latn-ME"/>
              </w:rPr>
              <w:t>a</w:t>
            </w:r>
            <w:r w:rsidR="00056F49" w:rsidRPr="00C01AF3">
              <w:rPr>
                <w:rFonts w:ascii="Times New Roman" w:hAnsi="Times New Roman" w:cs="Arial"/>
                <w:bCs/>
                <w:sz w:val="22"/>
                <w:szCs w:val="22"/>
                <w:u w:val="single"/>
                <w:lang w:val="sr-Latn-ME"/>
              </w:rPr>
              <w:t>:</w:t>
            </w:r>
            <w:r w:rsidR="00056F49" w:rsidRPr="00C01AF3">
              <w:rPr>
                <w:rFonts w:ascii="Times New Roman" w:hAnsi="Times New Roman" w:cs="Arial"/>
                <w:bCs/>
                <w:sz w:val="22"/>
                <w:szCs w:val="22"/>
                <w:lang w:val="sr-Latn-ME"/>
              </w:rPr>
              <w:t xml:space="preserve"> Volumen </w:t>
            </w:r>
            <w:r w:rsidRPr="00C01AF3">
              <w:rPr>
                <w:rFonts w:ascii="Times New Roman" w:hAnsi="Times New Roman" w:cs="Arial"/>
                <w:bCs/>
                <w:sz w:val="22"/>
                <w:szCs w:val="22"/>
                <w:lang w:val="sr-Latn-ME"/>
              </w:rPr>
              <w:t>raspodjel</w:t>
            </w:r>
            <w:r w:rsidR="00C032A5" w:rsidRPr="00C01AF3">
              <w:rPr>
                <w:rFonts w:ascii="Times New Roman" w:hAnsi="Times New Roman" w:cs="Arial"/>
                <w:bCs/>
                <w:sz w:val="22"/>
                <w:szCs w:val="22"/>
                <w:lang w:val="sr-Latn-ME"/>
              </w:rPr>
              <w:t>e valsartana u ravnotežnom stanju</w:t>
            </w:r>
            <w:r w:rsidR="00056F49" w:rsidRPr="00C01AF3">
              <w:rPr>
                <w:rFonts w:ascii="Times New Roman" w:hAnsi="Times New Roman" w:cs="Arial"/>
                <w:bCs/>
                <w:sz w:val="22"/>
                <w:szCs w:val="22"/>
                <w:lang w:val="sr-Latn-ME"/>
              </w:rPr>
              <w:t xml:space="preserve"> </w:t>
            </w:r>
            <w:r w:rsidR="001B7840" w:rsidRPr="00C01AF3">
              <w:rPr>
                <w:rFonts w:ascii="Times New Roman" w:hAnsi="Times New Roman" w:cs="Arial"/>
                <w:bCs/>
                <w:sz w:val="22"/>
                <w:szCs w:val="22"/>
                <w:lang w:val="sr-Latn-ME"/>
              </w:rPr>
              <w:t>poslije</w:t>
            </w:r>
            <w:r w:rsidR="00056F49" w:rsidRPr="00C01AF3">
              <w:rPr>
                <w:rFonts w:ascii="Times New Roman" w:hAnsi="Times New Roman" w:cs="Arial"/>
                <w:bCs/>
                <w:sz w:val="22"/>
                <w:szCs w:val="22"/>
                <w:lang w:val="sr-Latn-ME"/>
              </w:rPr>
              <w:t xml:space="preserve"> i.v. </w:t>
            </w:r>
            <w:r w:rsidR="00A65414" w:rsidRPr="00C01AF3">
              <w:rPr>
                <w:rFonts w:ascii="Times New Roman" w:hAnsi="Times New Roman" w:cs="Arial"/>
                <w:bCs/>
                <w:sz w:val="22"/>
                <w:szCs w:val="22"/>
                <w:lang w:val="sr-Latn-ME"/>
              </w:rPr>
              <w:t>primje</w:t>
            </w:r>
            <w:r w:rsidR="00056F49" w:rsidRPr="00C01AF3">
              <w:rPr>
                <w:rFonts w:ascii="Times New Roman" w:hAnsi="Times New Roman" w:cs="Arial"/>
                <w:bCs/>
                <w:sz w:val="22"/>
                <w:szCs w:val="22"/>
                <w:lang w:val="sr-Latn-ME"/>
              </w:rPr>
              <w:t xml:space="preserve">ne iznosi oko 17 L, </w:t>
            </w:r>
            <w:r w:rsidR="00C032A5" w:rsidRPr="00C01AF3">
              <w:rPr>
                <w:rFonts w:ascii="Times New Roman" w:hAnsi="Times New Roman" w:cs="Arial"/>
                <w:bCs/>
                <w:sz w:val="22"/>
                <w:szCs w:val="22"/>
                <w:lang w:val="sr-Latn-ME"/>
              </w:rPr>
              <w:t xml:space="preserve">ukazujući da </w:t>
            </w:r>
            <w:r w:rsidR="00056F49" w:rsidRPr="00C01AF3">
              <w:rPr>
                <w:rFonts w:ascii="Times New Roman" w:hAnsi="Times New Roman" w:cs="Arial"/>
                <w:bCs/>
                <w:sz w:val="22"/>
                <w:szCs w:val="22"/>
                <w:lang w:val="sr-Latn-ME"/>
              </w:rPr>
              <w:t>valsartan ne prelazi u tkiva u većoj m</w:t>
            </w:r>
            <w:r w:rsidR="000F7CEB" w:rsidRPr="00C01AF3">
              <w:rPr>
                <w:rFonts w:ascii="Times New Roman" w:hAnsi="Times New Roman" w:cs="Arial"/>
                <w:bCs/>
                <w:sz w:val="22"/>
                <w:szCs w:val="22"/>
                <w:lang w:val="sr-Latn-ME"/>
              </w:rPr>
              <w:t>j</w:t>
            </w:r>
            <w:r w:rsidR="00056F49" w:rsidRPr="00C01AF3">
              <w:rPr>
                <w:rFonts w:ascii="Times New Roman" w:hAnsi="Times New Roman" w:cs="Arial"/>
                <w:bCs/>
                <w:sz w:val="22"/>
                <w:szCs w:val="22"/>
                <w:lang w:val="sr-Latn-ME"/>
              </w:rPr>
              <w:t xml:space="preserve">eri. Valsartan se u visokom </w:t>
            </w:r>
            <w:r w:rsidR="001B0A1F" w:rsidRPr="00C01AF3">
              <w:rPr>
                <w:rFonts w:ascii="Times New Roman" w:hAnsi="Times New Roman" w:cs="Arial"/>
                <w:bCs/>
                <w:sz w:val="22"/>
                <w:szCs w:val="22"/>
                <w:lang w:val="sr-Latn-ME"/>
              </w:rPr>
              <w:t>procen</w:t>
            </w:r>
            <w:r w:rsidR="00056F49" w:rsidRPr="00C01AF3">
              <w:rPr>
                <w:rFonts w:ascii="Times New Roman" w:hAnsi="Times New Roman" w:cs="Arial"/>
                <w:bCs/>
                <w:sz w:val="22"/>
                <w:szCs w:val="22"/>
                <w:lang w:val="sr-Latn-ME"/>
              </w:rPr>
              <w:t>tu ve</w:t>
            </w:r>
            <w:r w:rsidR="00C032A5" w:rsidRPr="00C01AF3">
              <w:rPr>
                <w:rFonts w:ascii="Times New Roman" w:hAnsi="Times New Roman" w:cs="Arial"/>
                <w:bCs/>
                <w:sz w:val="22"/>
                <w:szCs w:val="22"/>
                <w:lang w:val="sr-Latn-ME"/>
              </w:rPr>
              <w:t>zuje</w:t>
            </w:r>
            <w:r w:rsidR="00056F49" w:rsidRPr="00C01AF3">
              <w:rPr>
                <w:rFonts w:ascii="Times New Roman" w:hAnsi="Times New Roman" w:cs="Arial"/>
                <w:bCs/>
                <w:sz w:val="22"/>
                <w:szCs w:val="22"/>
                <w:lang w:val="sr-Latn-ME"/>
              </w:rPr>
              <w:t xml:space="preserve"> za proteine seruma (94-97%), uglavnom za albumin. </w:t>
            </w: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szCs w:val="22"/>
                <w:lang w:val="sr-Latn-ME"/>
              </w:rPr>
            </w:pPr>
            <w:r w:rsidRPr="00C01AF3">
              <w:rPr>
                <w:rFonts w:ascii="Times New Roman" w:hAnsi="Times New Roman" w:cs="Arial"/>
                <w:bCs/>
                <w:i/>
                <w:sz w:val="22"/>
                <w:szCs w:val="22"/>
                <w:u w:val="single"/>
                <w:lang w:val="sr-Latn-ME"/>
              </w:rPr>
              <w:t>Metabolizam</w:t>
            </w:r>
            <w:r w:rsidRPr="00C01AF3">
              <w:rPr>
                <w:rFonts w:ascii="Times New Roman" w:hAnsi="Times New Roman" w:cs="Arial"/>
                <w:b/>
                <w:bCs/>
                <w:sz w:val="22"/>
                <w:szCs w:val="22"/>
                <w:lang w:val="sr-Latn-ME"/>
              </w:rPr>
              <w:t xml:space="preserve">: </w:t>
            </w:r>
            <w:r w:rsidRPr="00C01AF3">
              <w:rPr>
                <w:rFonts w:ascii="Times New Roman" w:hAnsi="Times New Roman" w:cs="Arial"/>
                <w:bCs/>
                <w:sz w:val="22"/>
                <w:szCs w:val="22"/>
                <w:lang w:val="sr-Latn-ME"/>
              </w:rPr>
              <w:t>Valsartan ne podl</w:t>
            </w:r>
            <w:r w:rsidR="000F7CEB" w:rsidRPr="00C01AF3">
              <w:rPr>
                <w:rFonts w:ascii="Times New Roman" w:hAnsi="Times New Roman" w:cs="Arial"/>
                <w:bCs/>
                <w:sz w:val="22"/>
                <w:szCs w:val="22"/>
                <w:lang w:val="sr-Latn-ME"/>
              </w:rPr>
              <w:t>ij</w:t>
            </w:r>
            <w:r w:rsidRPr="00C01AF3">
              <w:rPr>
                <w:rFonts w:ascii="Times New Roman" w:hAnsi="Times New Roman" w:cs="Arial"/>
                <w:bCs/>
                <w:sz w:val="22"/>
                <w:szCs w:val="22"/>
                <w:lang w:val="sr-Latn-ME"/>
              </w:rPr>
              <w:t>eže u većoj m</w:t>
            </w:r>
            <w:r w:rsidR="000F7CEB" w:rsidRPr="00C01AF3">
              <w:rPr>
                <w:rFonts w:ascii="Times New Roman" w:hAnsi="Times New Roman" w:cs="Arial"/>
                <w:bCs/>
                <w:sz w:val="22"/>
                <w:szCs w:val="22"/>
                <w:lang w:val="sr-Latn-ME"/>
              </w:rPr>
              <w:t>j</w:t>
            </w:r>
            <w:r w:rsidRPr="00C01AF3">
              <w:rPr>
                <w:rFonts w:ascii="Times New Roman" w:hAnsi="Times New Roman" w:cs="Arial"/>
                <w:bCs/>
                <w:sz w:val="22"/>
                <w:szCs w:val="22"/>
                <w:lang w:val="sr-Latn-ME"/>
              </w:rPr>
              <w:t>eri metaboličkoj transformaciji i</w:t>
            </w:r>
            <w:r w:rsidR="006D142B" w:rsidRPr="00C01AF3">
              <w:rPr>
                <w:rFonts w:ascii="Times New Roman" w:hAnsi="Times New Roman" w:cs="Arial"/>
                <w:bCs/>
                <w:sz w:val="22"/>
                <w:szCs w:val="22"/>
                <w:lang w:val="sr-Latn-ME"/>
              </w:rPr>
              <w:t xml:space="preserve"> </w:t>
            </w:r>
            <w:r w:rsidRPr="00C01AF3">
              <w:rPr>
                <w:rFonts w:ascii="Times New Roman" w:hAnsi="Times New Roman" w:cs="Arial"/>
                <w:bCs/>
                <w:sz w:val="22"/>
                <w:szCs w:val="22"/>
                <w:lang w:val="sr-Latn-ME"/>
              </w:rPr>
              <w:t>samo oko 20% date doze izluči s</w:t>
            </w:r>
            <w:r w:rsidR="006D142B" w:rsidRPr="00C01AF3">
              <w:rPr>
                <w:rFonts w:ascii="Times New Roman" w:hAnsi="Times New Roman" w:cs="Arial"/>
                <w:bCs/>
                <w:sz w:val="22"/>
                <w:szCs w:val="22"/>
                <w:lang w:val="sr-Latn-ME"/>
              </w:rPr>
              <w:t xml:space="preserve">e u obliku metabolita. Hidroksi </w:t>
            </w:r>
            <w:r w:rsidRPr="00C01AF3">
              <w:rPr>
                <w:rFonts w:ascii="Times New Roman" w:hAnsi="Times New Roman" w:cs="Arial"/>
                <w:bCs/>
                <w:sz w:val="22"/>
                <w:szCs w:val="22"/>
                <w:lang w:val="sr-Latn-ME"/>
              </w:rPr>
              <w:t>metabolit je identifikovan u plazmi u niskoj koncentraciji (manje od 10% PIK</w:t>
            </w:r>
            <w:r w:rsidR="006D142B" w:rsidRPr="00C01AF3">
              <w:rPr>
                <w:rFonts w:ascii="Times New Roman" w:hAnsi="Times New Roman" w:cs="Arial"/>
                <w:bCs/>
                <w:sz w:val="22"/>
                <w:szCs w:val="22"/>
                <w:lang w:val="sr-Latn-ME"/>
              </w:rPr>
              <w:t>-a</w:t>
            </w:r>
            <w:r w:rsidRPr="00C01AF3">
              <w:rPr>
                <w:rFonts w:ascii="Times New Roman" w:hAnsi="Times New Roman" w:cs="Arial"/>
                <w:bCs/>
                <w:sz w:val="22"/>
                <w:szCs w:val="22"/>
                <w:lang w:val="sr-Latn-ME"/>
              </w:rPr>
              <w:t xml:space="preserve"> valsartana). Ovaj metabolit je farmakološki neaktivan.</w:t>
            </w:r>
          </w:p>
          <w:p w:rsidR="00800D38" w:rsidRPr="00C01AF3" w:rsidRDefault="00286180" w:rsidP="00800D38">
            <w:pPr>
              <w:pStyle w:val="Header"/>
              <w:tabs>
                <w:tab w:val="clear" w:pos="4536"/>
                <w:tab w:val="clear" w:pos="9072"/>
                <w:tab w:val="left" w:pos="284"/>
              </w:tabs>
              <w:spacing w:before="80" w:after="80"/>
              <w:jc w:val="left"/>
              <w:rPr>
                <w:rFonts w:ascii="Times New Roman" w:hAnsi="Times New Roman" w:cs="Arial"/>
                <w:b/>
                <w:bCs/>
                <w:sz w:val="22"/>
                <w:szCs w:val="22"/>
                <w:lang w:val="sr-Latn-ME"/>
              </w:rPr>
            </w:pPr>
            <w:r w:rsidRPr="00C01AF3">
              <w:rPr>
                <w:rFonts w:ascii="Times New Roman" w:hAnsi="Times New Roman" w:cs="Arial"/>
                <w:bCs/>
                <w:i/>
                <w:sz w:val="22"/>
                <w:szCs w:val="22"/>
                <w:u w:val="single"/>
                <w:lang w:val="sr-Latn-ME"/>
              </w:rPr>
              <w:t>Izlučivanje</w:t>
            </w:r>
            <w:r w:rsidR="00056F49" w:rsidRPr="00C01AF3">
              <w:rPr>
                <w:rFonts w:ascii="Times New Roman" w:hAnsi="Times New Roman" w:cs="Arial"/>
                <w:bCs/>
                <w:sz w:val="22"/>
                <w:szCs w:val="22"/>
                <w:u w:val="single"/>
                <w:lang w:val="sr-Latn-ME"/>
              </w:rPr>
              <w:t>:</w:t>
            </w:r>
            <w:r w:rsidR="00056F49" w:rsidRPr="00C01AF3">
              <w:rPr>
                <w:rFonts w:ascii="Times New Roman" w:hAnsi="Times New Roman" w:cs="Arial"/>
                <w:bCs/>
                <w:sz w:val="22"/>
                <w:szCs w:val="22"/>
                <w:lang w:val="sr-Latn-ME"/>
              </w:rPr>
              <w:t xml:space="preserve"> </w:t>
            </w:r>
            <w:r w:rsidR="004D4566" w:rsidRPr="00C01AF3">
              <w:rPr>
                <w:rFonts w:ascii="Times New Roman" w:hAnsi="Times New Roman" w:cs="Arial"/>
                <w:bCs/>
                <w:sz w:val="22"/>
                <w:szCs w:val="22"/>
                <w:lang w:val="sr-Latn-ME"/>
              </w:rPr>
              <w:t>Valsartan pokazuje multieksponencijalnu kinetiku</w:t>
            </w:r>
            <w:r w:rsidR="00582AC1" w:rsidRPr="00C01AF3">
              <w:rPr>
                <w:rFonts w:ascii="Times New Roman" w:hAnsi="Times New Roman"/>
                <w:color w:val="000000"/>
                <w:sz w:val="22"/>
                <w:szCs w:val="22"/>
                <w:lang w:val="sr-Latn-ME"/>
              </w:rPr>
              <w:t xml:space="preserve"> (t</w:t>
            </w:r>
            <w:r w:rsidR="00582AC1" w:rsidRPr="00C01AF3">
              <w:rPr>
                <w:rFonts w:ascii="Times New Roman" w:hAnsi="Times New Roman"/>
                <w:color w:val="000000"/>
                <w:sz w:val="22"/>
                <w:szCs w:val="22"/>
                <w:vertAlign w:val="subscript"/>
                <w:lang w:val="sr-Latn-ME"/>
              </w:rPr>
              <w:t xml:space="preserve">1/2α </w:t>
            </w:r>
            <w:r w:rsidR="00582AC1" w:rsidRPr="00C01AF3">
              <w:rPr>
                <w:rFonts w:ascii="Times New Roman" w:hAnsi="Times New Roman"/>
                <w:color w:val="000000"/>
                <w:sz w:val="22"/>
                <w:szCs w:val="22"/>
                <w:lang w:val="sr-Latn-ME"/>
              </w:rPr>
              <w:t>&lt; 1 h i t</w:t>
            </w:r>
            <w:r w:rsidR="00582AC1" w:rsidRPr="00C01AF3">
              <w:rPr>
                <w:rFonts w:ascii="Times New Roman" w:hAnsi="Times New Roman"/>
                <w:color w:val="000000"/>
                <w:sz w:val="22"/>
                <w:szCs w:val="22"/>
                <w:vertAlign w:val="subscript"/>
                <w:lang w:val="sr-Latn-ME"/>
              </w:rPr>
              <w:t xml:space="preserve">1/2β </w:t>
            </w:r>
            <w:r w:rsidR="00582AC1" w:rsidRPr="00C01AF3">
              <w:rPr>
                <w:rFonts w:ascii="Times New Roman" w:hAnsi="Times New Roman"/>
                <w:color w:val="000000"/>
                <w:sz w:val="22"/>
                <w:szCs w:val="22"/>
                <w:lang w:val="sr-Latn-ME"/>
              </w:rPr>
              <w:t>oko 9 h)</w:t>
            </w:r>
            <w:r w:rsidR="004D4566" w:rsidRPr="00C01AF3">
              <w:rPr>
                <w:rFonts w:ascii="Times New Roman" w:hAnsi="Times New Roman"/>
                <w:color w:val="000000"/>
                <w:sz w:val="22"/>
                <w:szCs w:val="22"/>
                <w:lang w:val="sr-Latn-ME"/>
              </w:rPr>
              <w:t>.</w:t>
            </w:r>
            <w:r w:rsidR="00582AC1" w:rsidRPr="00C01AF3">
              <w:rPr>
                <w:rFonts w:ascii="Times New Roman" w:hAnsi="Times New Roman"/>
                <w:color w:val="000000"/>
                <w:sz w:val="22"/>
                <w:szCs w:val="22"/>
                <w:lang w:val="sr-Latn-ME"/>
              </w:rPr>
              <w:t xml:space="preserve"> </w:t>
            </w:r>
            <w:r w:rsidR="00056F49" w:rsidRPr="00C01AF3">
              <w:rPr>
                <w:rFonts w:ascii="Times New Roman" w:hAnsi="Times New Roman" w:cs="Arial"/>
                <w:bCs/>
                <w:sz w:val="22"/>
                <w:szCs w:val="22"/>
                <w:lang w:val="sr-Latn-ME"/>
              </w:rPr>
              <w:t>Valsartan se primarno eliminiše u ne</w:t>
            </w:r>
            <w:r w:rsidR="00644CBB" w:rsidRPr="00C01AF3">
              <w:rPr>
                <w:rFonts w:ascii="Times New Roman" w:hAnsi="Times New Roman" w:cs="Arial"/>
                <w:bCs/>
                <w:sz w:val="22"/>
                <w:szCs w:val="22"/>
                <w:lang w:val="sr-Latn-ME"/>
              </w:rPr>
              <w:t>promijen</w:t>
            </w:r>
            <w:r w:rsidR="00056F49" w:rsidRPr="00C01AF3">
              <w:rPr>
                <w:rFonts w:ascii="Times New Roman" w:hAnsi="Times New Roman" w:cs="Arial"/>
                <w:bCs/>
                <w:sz w:val="22"/>
                <w:szCs w:val="22"/>
                <w:lang w:val="sr-Latn-ME"/>
              </w:rPr>
              <w:t>jenom obliku fecesom (oko 83% date doze) i urinom (oko 13% date d</w:t>
            </w:r>
            <w:r w:rsidR="00B246E8" w:rsidRPr="00C01AF3">
              <w:rPr>
                <w:rFonts w:ascii="Times New Roman" w:hAnsi="Times New Roman" w:cs="Arial"/>
                <w:bCs/>
                <w:sz w:val="22"/>
                <w:szCs w:val="22"/>
                <w:lang w:val="sr-Latn-ME"/>
              </w:rPr>
              <w:t xml:space="preserve">oze). </w:t>
            </w:r>
            <w:r w:rsidR="001B7840" w:rsidRPr="00C01AF3">
              <w:rPr>
                <w:rFonts w:ascii="Times New Roman" w:hAnsi="Times New Roman" w:cs="Arial"/>
                <w:bCs/>
                <w:sz w:val="22"/>
                <w:szCs w:val="22"/>
                <w:lang w:val="sr-Latn-ME"/>
              </w:rPr>
              <w:t>Poslije</w:t>
            </w:r>
            <w:r w:rsidR="00B246E8" w:rsidRPr="00C01AF3">
              <w:rPr>
                <w:rFonts w:ascii="Times New Roman" w:hAnsi="Times New Roman" w:cs="Arial"/>
                <w:bCs/>
                <w:sz w:val="22"/>
                <w:szCs w:val="22"/>
                <w:lang w:val="sr-Latn-ME"/>
              </w:rPr>
              <w:t xml:space="preserve"> i.v. </w:t>
            </w:r>
            <w:r w:rsidR="00A65414" w:rsidRPr="00C01AF3">
              <w:rPr>
                <w:rFonts w:ascii="Times New Roman" w:hAnsi="Times New Roman" w:cs="Arial"/>
                <w:bCs/>
                <w:sz w:val="22"/>
                <w:szCs w:val="22"/>
                <w:lang w:val="sr-Latn-ME"/>
              </w:rPr>
              <w:t>primje</w:t>
            </w:r>
            <w:r w:rsidR="00B246E8" w:rsidRPr="00C01AF3">
              <w:rPr>
                <w:rFonts w:ascii="Times New Roman" w:hAnsi="Times New Roman" w:cs="Arial"/>
                <w:bCs/>
                <w:sz w:val="22"/>
                <w:szCs w:val="22"/>
                <w:lang w:val="sr-Latn-ME"/>
              </w:rPr>
              <w:t xml:space="preserve">ne, </w:t>
            </w:r>
            <w:r w:rsidR="00056F49" w:rsidRPr="00C01AF3">
              <w:rPr>
                <w:rFonts w:ascii="Times New Roman" w:hAnsi="Times New Roman" w:cs="Arial"/>
                <w:bCs/>
                <w:sz w:val="22"/>
                <w:szCs w:val="22"/>
                <w:lang w:val="sr-Latn-ME"/>
              </w:rPr>
              <w:t>k</w:t>
            </w:r>
            <w:r w:rsidR="001D4D04" w:rsidRPr="00C01AF3">
              <w:rPr>
                <w:rFonts w:ascii="Times New Roman" w:hAnsi="Times New Roman" w:cs="Arial"/>
                <w:bCs/>
                <w:sz w:val="22"/>
                <w:szCs w:val="22"/>
                <w:lang w:val="sr-Latn-ME"/>
              </w:rPr>
              <w:t>lirens</w:t>
            </w:r>
            <w:r w:rsidR="00B246E8" w:rsidRPr="00C01AF3">
              <w:rPr>
                <w:rFonts w:ascii="Times New Roman" w:hAnsi="Times New Roman" w:cs="Arial"/>
                <w:bCs/>
                <w:sz w:val="22"/>
                <w:szCs w:val="22"/>
                <w:lang w:val="sr-Latn-ME"/>
              </w:rPr>
              <w:t xml:space="preserve"> u plazmi</w:t>
            </w:r>
            <w:r w:rsidR="001D4D04" w:rsidRPr="00C01AF3">
              <w:rPr>
                <w:rFonts w:ascii="Times New Roman" w:hAnsi="Times New Roman" w:cs="Arial"/>
                <w:bCs/>
                <w:sz w:val="22"/>
                <w:szCs w:val="22"/>
                <w:lang w:val="sr-Latn-ME"/>
              </w:rPr>
              <w:t xml:space="preserve"> valsartana iznosi oko 2 l</w:t>
            </w:r>
            <w:r w:rsidR="00056F49" w:rsidRPr="00C01AF3">
              <w:rPr>
                <w:rFonts w:ascii="Times New Roman" w:hAnsi="Times New Roman" w:cs="Arial"/>
                <w:bCs/>
                <w:sz w:val="22"/>
                <w:szCs w:val="22"/>
                <w:lang w:val="sr-Latn-ME"/>
              </w:rPr>
              <w:t>/h,</w:t>
            </w:r>
            <w:r w:rsidR="001D4D04" w:rsidRPr="00C01AF3">
              <w:rPr>
                <w:rFonts w:ascii="Times New Roman" w:hAnsi="Times New Roman" w:cs="Arial"/>
                <w:bCs/>
                <w:sz w:val="22"/>
                <w:szCs w:val="22"/>
                <w:lang w:val="sr-Latn-ME"/>
              </w:rPr>
              <w:t xml:space="preserve"> a njegov renalni klirens 0,62 l</w:t>
            </w:r>
            <w:r w:rsidR="00056F49" w:rsidRPr="00C01AF3">
              <w:rPr>
                <w:rFonts w:ascii="Times New Roman" w:hAnsi="Times New Roman" w:cs="Arial"/>
                <w:bCs/>
                <w:sz w:val="22"/>
                <w:szCs w:val="22"/>
                <w:lang w:val="sr-Latn-ME"/>
              </w:rPr>
              <w:t xml:space="preserve">/h (oko 30% </w:t>
            </w:r>
            <w:r w:rsidR="00B246E8" w:rsidRPr="00C01AF3">
              <w:rPr>
                <w:rFonts w:ascii="Times New Roman" w:hAnsi="Times New Roman" w:cs="Arial"/>
                <w:bCs/>
                <w:sz w:val="22"/>
                <w:szCs w:val="22"/>
                <w:lang w:val="sr-Latn-ME"/>
              </w:rPr>
              <w:t xml:space="preserve">od </w:t>
            </w:r>
            <w:r w:rsidR="00056F49" w:rsidRPr="00C01AF3">
              <w:rPr>
                <w:rFonts w:ascii="Times New Roman" w:hAnsi="Times New Roman" w:cs="Arial"/>
                <w:bCs/>
                <w:sz w:val="22"/>
                <w:szCs w:val="22"/>
                <w:lang w:val="sr-Latn-ME"/>
              </w:rPr>
              <w:t>ukupnog klirensa). Poluvr</w:t>
            </w:r>
            <w:r w:rsidR="00D534C7" w:rsidRPr="00C01AF3">
              <w:rPr>
                <w:rFonts w:ascii="Times New Roman" w:hAnsi="Times New Roman" w:cs="Arial"/>
                <w:bCs/>
                <w:sz w:val="22"/>
                <w:szCs w:val="22"/>
                <w:lang w:val="sr-Latn-ME"/>
              </w:rPr>
              <w:t>ij</w:t>
            </w:r>
            <w:r w:rsidR="00056F49" w:rsidRPr="00C01AF3">
              <w:rPr>
                <w:rFonts w:ascii="Times New Roman" w:hAnsi="Times New Roman" w:cs="Arial"/>
                <w:bCs/>
                <w:sz w:val="22"/>
                <w:szCs w:val="22"/>
                <w:lang w:val="sr-Latn-ME"/>
              </w:rPr>
              <w:t>eme eliminacije valsartana je 6</w:t>
            </w:r>
            <w:r w:rsidR="001A3ADF" w:rsidRPr="00C01AF3">
              <w:rPr>
                <w:rFonts w:ascii="Times New Roman" w:hAnsi="Times New Roman" w:cs="Arial"/>
                <w:bCs/>
                <w:sz w:val="22"/>
                <w:szCs w:val="22"/>
                <w:lang w:val="sr-Latn-ME"/>
              </w:rPr>
              <w:t>h</w:t>
            </w:r>
            <w:r w:rsidR="00056F49" w:rsidRPr="00C01AF3">
              <w:rPr>
                <w:rFonts w:ascii="Times New Roman" w:hAnsi="Times New Roman" w:cs="Arial"/>
                <w:bCs/>
                <w:sz w:val="22"/>
                <w:szCs w:val="22"/>
                <w:lang w:val="sr-Latn-ME"/>
              </w:rPr>
              <w:t>.</w:t>
            </w:r>
          </w:p>
          <w:p w:rsidR="00191616" w:rsidRPr="00C01AF3" w:rsidRDefault="00191616" w:rsidP="00800D38">
            <w:pPr>
              <w:pStyle w:val="Header"/>
              <w:tabs>
                <w:tab w:val="clear" w:pos="4536"/>
                <w:tab w:val="clear" w:pos="9072"/>
                <w:tab w:val="left" w:pos="284"/>
              </w:tabs>
              <w:spacing w:before="80" w:after="80"/>
              <w:jc w:val="left"/>
              <w:rPr>
                <w:rFonts w:ascii="Times New Roman" w:hAnsi="Times New Roman" w:cs="Arial"/>
                <w:bCs/>
                <w:sz w:val="22"/>
                <w:u w:val="single"/>
                <w:lang w:val="sr-Latn-ME"/>
              </w:rPr>
            </w:pPr>
          </w:p>
          <w:p w:rsidR="00080E97" w:rsidRPr="00C01AF3" w:rsidRDefault="007C4A86" w:rsidP="00800D38">
            <w:pPr>
              <w:pStyle w:val="Header"/>
              <w:tabs>
                <w:tab w:val="clear" w:pos="4536"/>
                <w:tab w:val="clear" w:pos="9072"/>
                <w:tab w:val="left" w:pos="284"/>
              </w:tabs>
              <w:spacing w:before="80" w:after="80"/>
              <w:jc w:val="left"/>
              <w:rPr>
                <w:rFonts w:ascii="Times New Roman" w:hAnsi="Times New Roman" w:cs="Arial"/>
                <w:b/>
                <w:bCs/>
                <w:sz w:val="22"/>
                <w:szCs w:val="22"/>
                <w:u w:val="single"/>
                <w:lang w:val="sr-Latn-ME"/>
              </w:rPr>
            </w:pPr>
            <w:r w:rsidRPr="00C01AF3">
              <w:rPr>
                <w:rFonts w:ascii="Times New Roman" w:hAnsi="Times New Roman" w:cs="Arial"/>
                <w:bCs/>
                <w:sz w:val="22"/>
                <w:u w:val="single"/>
                <w:lang w:val="sr-Latn-ME"/>
              </w:rPr>
              <w:t>Hidrohlortiazid</w:t>
            </w:r>
          </w:p>
          <w:p w:rsidR="00080E97" w:rsidRPr="00C01AF3" w:rsidRDefault="00080E97" w:rsidP="00080E97">
            <w:pPr>
              <w:pStyle w:val="Header"/>
              <w:spacing w:before="80" w:after="80"/>
              <w:jc w:val="left"/>
              <w:rPr>
                <w:rFonts w:ascii="Times New Roman" w:hAnsi="Times New Roman" w:cs="Arial"/>
                <w:bCs/>
                <w:sz w:val="22"/>
                <w:lang w:val="sr-Latn-ME"/>
              </w:rPr>
            </w:pPr>
            <w:r w:rsidRPr="00C01AF3">
              <w:rPr>
                <w:rFonts w:ascii="Times New Roman" w:hAnsi="Times New Roman" w:cs="Arial"/>
                <w:bCs/>
                <w:i/>
                <w:sz w:val="22"/>
                <w:u w:val="single"/>
                <w:lang w:val="sr-Latn-ME"/>
              </w:rPr>
              <w:t>Resorpcija</w:t>
            </w:r>
            <w:r w:rsidR="008F35FF" w:rsidRPr="00C01AF3">
              <w:rPr>
                <w:rFonts w:ascii="Times New Roman" w:hAnsi="Times New Roman" w:cs="Arial"/>
                <w:bCs/>
                <w:i/>
                <w:sz w:val="22"/>
                <w:lang w:val="sr-Latn-ME"/>
              </w:rPr>
              <w:t>:</w:t>
            </w:r>
            <w:r w:rsidRPr="00C01AF3">
              <w:rPr>
                <w:rFonts w:ascii="Times New Roman" w:hAnsi="Times New Roman" w:cs="Arial"/>
                <w:bCs/>
                <w:sz w:val="22"/>
                <w:lang w:val="sr-Latn-ME"/>
              </w:rPr>
              <w:t xml:space="preserve">Resorpcija </w:t>
            </w:r>
            <w:r w:rsidR="007C4A86" w:rsidRPr="00C01AF3">
              <w:rPr>
                <w:rFonts w:ascii="Times New Roman" w:hAnsi="Times New Roman" w:cs="Arial"/>
                <w:bCs/>
                <w:sz w:val="22"/>
                <w:lang w:val="sr-Latn-ME"/>
              </w:rPr>
              <w:t>hidrohlortiazid</w:t>
            </w:r>
            <w:r w:rsidRPr="00C01AF3">
              <w:rPr>
                <w:rFonts w:ascii="Times New Roman" w:hAnsi="Times New Roman" w:cs="Arial"/>
                <w:bCs/>
                <w:sz w:val="22"/>
                <w:lang w:val="sr-Latn-ME"/>
              </w:rPr>
              <w:t xml:space="preserve">a </w:t>
            </w:r>
            <w:r w:rsidR="001B7840" w:rsidRPr="00C01AF3">
              <w:rPr>
                <w:rFonts w:ascii="Times New Roman" w:hAnsi="Times New Roman" w:cs="Arial"/>
                <w:bCs/>
                <w:sz w:val="22"/>
                <w:lang w:val="sr-Latn-ME"/>
              </w:rPr>
              <w:t>poslije</w:t>
            </w:r>
            <w:r w:rsidR="00265311" w:rsidRPr="00C01AF3">
              <w:rPr>
                <w:rFonts w:ascii="Times New Roman" w:hAnsi="Times New Roman" w:cs="Arial"/>
                <w:bCs/>
                <w:sz w:val="22"/>
                <w:lang w:val="sr-Latn-ME"/>
              </w:rPr>
              <w:t xml:space="preserve"> oralne doze je brza (T</w:t>
            </w:r>
            <w:r w:rsidRPr="00C01AF3">
              <w:rPr>
                <w:rFonts w:ascii="Times New Roman" w:hAnsi="Times New Roman" w:cs="Arial"/>
                <w:bCs/>
                <w:sz w:val="22"/>
                <w:vertAlign w:val="subscript"/>
                <w:lang w:val="sr-Latn-ME"/>
              </w:rPr>
              <w:t>max</w:t>
            </w:r>
            <w:r w:rsidRPr="00C01AF3">
              <w:rPr>
                <w:rFonts w:ascii="Times New Roman" w:hAnsi="Times New Roman" w:cs="Arial"/>
                <w:bCs/>
                <w:sz w:val="22"/>
                <w:lang w:val="sr-Latn-ME"/>
              </w:rPr>
              <w:t xml:space="preserve"> oko 2 sata</w:t>
            </w:r>
            <w:r w:rsidR="00265311" w:rsidRPr="00C01AF3">
              <w:rPr>
                <w:rFonts w:ascii="Times New Roman" w:hAnsi="Times New Roman" w:cs="Arial"/>
                <w:bCs/>
                <w:sz w:val="22"/>
                <w:lang w:val="sr-Latn-ME"/>
              </w:rPr>
              <w:t>)</w:t>
            </w:r>
            <w:r w:rsidR="008F35FF"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Povećanje srednje  </w:t>
            </w:r>
            <w:r w:rsidR="004853F5" w:rsidRPr="00C01AF3">
              <w:rPr>
                <w:rFonts w:ascii="Times New Roman" w:hAnsi="Times New Roman" w:cs="Arial"/>
                <w:bCs/>
                <w:sz w:val="22"/>
                <w:lang w:val="sr-Latn-ME"/>
              </w:rPr>
              <w:t>vrijedno</w:t>
            </w:r>
            <w:r w:rsidRPr="00C01AF3">
              <w:rPr>
                <w:rFonts w:ascii="Times New Roman" w:hAnsi="Times New Roman" w:cs="Arial"/>
                <w:bCs/>
                <w:sz w:val="22"/>
                <w:lang w:val="sr-Latn-ME"/>
              </w:rPr>
              <w:t xml:space="preserve">sti PIK-a  je linearno i proporcionalno dozi u terapijskom </w:t>
            </w:r>
            <w:r w:rsidR="00497D64" w:rsidRPr="00C01AF3">
              <w:rPr>
                <w:rFonts w:ascii="Times New Roman" w:hAnsi="Times New Roman" w:cs="Arial"/>
                <w:bCs/>
                <w:sz w:val="22"/>
                <w:lang w:val="sr-Latn-ME"/>
              </w:rPr>
              <w:t>opsegu</w:t>
            </w:r>
            <w:r w:rsidRPr="00C01AF3">
              <w:rPr>
                <w:rFonts w:ascii="Times New Roman" w:hAnsi="Times New Roman" w:cs="Arial"/>
                <w:bCs/>
                <w:sz w:val="22"/>
                <w:lang w:val="sr-Latn-ME"/>
              </w:rPr>
              <w:t xml:space="preserve">. </w:t>
            </w:r>
          </w:p>
          <w:p w:rsidR="00080E97" w:rsidRPr="00C01AF3" w:rsidRDefault="00080E97" w:rsidP="00080E97">
            <w:pPr>
              <w:pStyle w:val="Header"/>
              <w:spacing w:before="80" w:after="80"/>
              <w:jc w:val="left"/>
              <w:rPr>
                <w:rFonts w:ascii="Times New Roman" w:hAnsi="Times New Roman" w:cs="Arial"/>
                <w:bCs/>
                <w:sz w:val="22"/>
                <w:lang w:val="sr-Latn-ME"/>
              </w:rPr>
            </w:pPr>
            <w:r w:rsidRPr="00C01AF3">
              <w:rPr>
                <w:rFonts w:ascii="Times New Roman" w:hAnsi="Times New Roman" w:cs="Arial"/>
                <w:bCs/>
                <w:sz w:val="22"/>
                <w:lang w:val="sr-Latn-ME"/>
              </w:rPr>
              <w:t>Efekat hran</w:t>
            </w:r>
            <w:r w:rsidR="000F7CEB" w:rsidRPr="00C01AF3">
              <w:rPr>
                <w:rFonts w:ascii="Times New Roman" w:hAnsi="Times New Roman" w:cs="Arial"/>
                <w:bCs/>
                <w:sz w:val="22"/>
                <w:lang w:val="sr-Latn-ME"/>
              </w:rPr>
              <w:t>e</w:t>
            </w:r>
            <w:r w:rsidR="00F94767" w:rsidRPr="00C01AF3">
              <w:rPr>
                <w:rFonts w:ascii="Times New Roman" w:hAnsi="Times New Roman" w:cs="Arial"/>
                <w:bCs/>
                <w:sz w:val="22"/>
                <w:lang w:val="sr-Latn-ME"/>
              </w:rPr>
              <w:t xml:space="preserve"> </w:t>
            </w:r>
            <w:r w:rsidRPr="00C01AF3">
              <w:rPr>
                <w:rFonts w:ascii="Times New Roman" w:hAnsi="Times New Roman" w:cs="Arial"/>
                <w:bCs/>
                <w:sz w:val="22"/>
                <w:lang w:val="sr-Latn-ME"/>
              </w:rPr>
              <w:t xml:space="preserve">na resorpciju </w:t>
            </w:r>
            <w:r w:rsidR="007C4A86" w:rsidRPr="00C01AF3">
              <w:rPr>
                <w:rFonts w:ascii="Times New Roman" w:hAnsi="Times New Roman" w:cs="Arial"/>
                <w:bCs/>
                <w:sz w:val="22"/>
                <w:lang w:val="sr-Latn-ME"/>
              </w:rPr>
              <w:t>hidrohlortiazid</w:t>
            </w:r>
            <w:r w:rsidRPr="00C01AF3">
              <w:rPr>
                <w:rFonts w:ascii="Times New Roman" w:hAnsi="Times New Roman" w:cs="Arial"/>
                <w:bCs/>
                <w:sz w:val="22"/>
                <w:lang w:val="sr-Latn-ME"/>
              </w:rPr>
              <w:t>a, ako postoji, ima mali klinički z</w:t>
            </w:r>
            <w:r w:rsidR="000F7CEB" w:rsidRPr="00C01AF3">
              <w:rPr>
                <w:rFonts w:ascii="Times New Roman" w:hAnsi="Times New Roman" w:cs="Arial"/>
                <w:bCs/>
                <w:sz w:val="22"/>
                <w:lang w:val="sr-Latn-ME"/>
              </w:rPr>
              <w:t>n</w:t>
            </w:r>
            <w:r w:rsidRPr="00C01AF3">
              <w:rPr>
                <w:rFonts w:ascii="Times New Roman" w:hAnsi="Times New Roman" w:cs="Arial"/>
                <w:bCs/>
                <w:sz w:val="22"/>
                <w:lang w:val="sr-Latn-ME"/>
              </w:rPr>
              <w:t xml:space="preserve">ačaj. Apsolutna bioraspoloživost </w:t>
            </w:r>
            <w:r w:rsidR="007C4A86" w:rsidRPr="00C01AF3">
              <w:rPr>
                <w:rFonts w:ascii="Times New Roman" w:hAnsi="Times New Roman" w:cs="Arial"/>
                <w:bCs/>
                <w:sz w:val="22"/>
                <w:lang w:val="sr-Latn-ME"/>
              </w:rPr>
              <w:t>hidrohlortiazid</w:t>
            </w:r>
            <w:r w:rsidRPr="00C01AF3">
              <w:rPr>
                <w:rFonts w:ascii="Times New Roman" w:hAnsi="Times New Roman" w:cs="Arial"/>
                <w:bCs/>
                <w:sz w:val="22"/>
                <w:lang w:val="sr-Latn-ME"/>
              </w:rPr>
              <w:t xml:space="preserve">a je 70% </w:t>
            </w:r>
            <w:r w:rsidR="000F7CEB" w:rsidRPr="00C01AF3">
              <w:rPr>
                <w:rFonts w:ascii="Times New Roman" w:hAnsi="Times New Roman" w:cs="Arial"/>
                <w:bCs/>
                <w:sz w:val="22"/>
                <w:lang w:val="sr-Latn-ME"/>
              </w:rPr>
              <w:t xml:space="preserve">nakon </w:t>
            </w:r>
            <w:r w:rsidRPr="00C01AF3">
              <w:rPr>
                <w:rFonts w:ascii="Times New Roman" w:hAnsi="Times New Roman" w:cs="Arial"/>
                <w:bCs/>
                <w:sz w:val="22"/>
                <w:lang w:val="sr-Latn-ME"/>
              </w:rPr>
              <w:t>oraln</w:t>
            </w:r>
            <w:r w:rsidR="00F94767" w:rsidRPr="00C01AF3">
              <w:rPr>
                <w:rFonts w:ascii="Times New Roman" w:hAnsi="Times New Roman" w:cs="Arial"/>
                <w:bCs/>
                <w:sz w:val="22"/>
                <w:lang w:val="sr-Latn-ME"/>
              </w:rPr>
              <w:t xml:space="preserve">e </w:t>
            </w:r>
            <w:r w:rsidR="00A65414" w:rsidRPr="00C01AF3">
              <w:rPr>
                <w:rFonts w:ascii="Times New Roman" w:hAnsi="Times New Roman" w:cs="Arial"/>
                <w:bCs/>
                <w:sz w:val="22"/>
                <w:lang w:val="sr-Latn-ME"/>
              </w:rPr>
              <w:t>primje</w:t>
            </w:r>
            <w:r w:rsidR="00F94767" w:rsidRPr="00C01AF3">
              <w:rPr>
                <w:rFonts w:ascii="Times New Roman" w:hAnsi="Times New Roman" w:cs="Arial"/>
                <w:bCs/>
                <w:sz w:val="22"/>
                <w:lang w:val="sr-Latn-ME"/>
              </w:rPr>
              <w:t>ne</w:t>
            </w:r>
            <w:r w:rsidRPr="00C01AF3">
              <w:rPr>
                <w:rFonts w:ascii="Times New Roman" w:hAnsi="Times New Roman" w:cs="Arial"/>
                <w:bCs/>
                <w:sz w:val="22"/>
                <w:lang w:val="sr-Latn-ME"/>
              </w:rPr>
              <w:t>.</w:t>
            </w:r>
          </w:p>
          <w:p w:rsidR="00080E97" w:rsidRPr="00C01AF3" w:rsidRDefault="00E44429" w:rsidP="00080E97">
            <w:pPr>
              <w:pStyle w:val="Header"/>
              <w:spacing w:before="80" w:after="80"/>
              <w:jc w:val="left"/>
              <w:rPr>
                <w:rFonts w:ascii="Times New Roman" w:hAnsi="Times New Roman" w:cs="Arial"/>
                <w:bCs/>
                <w:sz w:val="22"/>
                <w:lang w:val="sr-Latn-ME"/>
              </w:rPr>
            </w:pPr>
            <w:r w:rsidRPr="00C01AF3">
              <w:rPr>
                <w:rFonts w:ascii="Times New Roman" w:hAnsi="Times New Roman" w:cs="Arial"/>
                <w:bCs/>
                <w:i/>
                <w:sz w:val="22"/>
                <w:u w:val="single"/>
                <w:lang w:val="sr-Latn-ME"/>
              </w:rPr>
              <w:t>Raspodjel</w:t>
            </w:r>
            <w:r w:rsidR="004B2D70" w:rsidRPr="00C01AF3">
              <w:rPr>
                <w:rFonts w:ascii="Times New Roman" w:hAnsi="Times New Roman" w:cs="Arial"/>
                <w:bCs/>
                <w:i/>
                <w:sz w:val="22"/>
                <w:u w:val="single"/>
                <w:lang w:val="sr-Latn-ME"/>
              </w:rPr>
              <w:t>a</w:t>
            </w:r>
            <w:r w:rsidR="008F35FF" w:rsidRPr="00C01AF3">
              <w:rPr>
                <w:rFonts w:ascii="Times New Roman" w:hAnsi="Times New Roman" w:cs="Arial"/>
                <w:bCs/>
                <w:i/>
                <w:sz w:val="22"/>
                <w:lang w:val="sr-Latn-ME"/>
              </w:rPr>
              <w:t>:</w:t>
            </w:r>
            <w:r w:rsidR="008F35FF" w:rsidRPr="00C01AF3">
              <w:rPr>
                <w:rFonts w:ascii="Times New Roman" w:hAnsi="Times New Roman" w:cs="Arial"/>
                <w:bCs/>
                <w:sz w:val="22"/>
                <w:lang w:val="sr-Latn-ME"/>
              </w:rPr>
              <w:t xml:space="preserve"> </w:t>
            </w:r>
            <w:r w:rsidR="000F7CEB" w:rsidRPr="00C01AF3">
              <w:rPr>
                <w:rFonts w:ascii="Times New Roman" w:hAnsi="Times New Roman" w:cs="Arial"/>
                <w:bCs/>
                <w:sz w:val="22"/>
                <w:lang w:val="sr-Latn-ME"/>
              </w:rPr>
              <w:t xml:space="preserve">Prividni </w:t>
            </w:r>
            <w:r w:rsidR="00080E97" w:rsidRPr="00C01AF3">
              <w:rPr>
                <w:rFonts w:ascii="Times New Roman" w:hAnsi="Times New Roman" w:cs="Arial"/>
                <w:bCs/>
                <w:sz w:val="22"/>
                <w:lang w:val="sr-Latn-ME"/>
              </w:rPr>
              <w:t xml:space="preserve">volumen </w:t>
            </w:r>
            <w:r w:rsidRPr="00C01AF3">
              <w:rPr>
                <w:rFonts w:ascii="Times New Roman" w:hAnsi="Times New Roman" w:cs="Arial"/>
                <w:bCs/>
                <w:sz w:val="22"/>
                <w:lang w:val="sr-Latn-ME"/>
              </w:rPr>
              <w:t>raspodjel</w:t>
            </w:r>
            <w:r w:rsidR="004B18B3" w:rsidRPr="00C01AF3">
              <w:rPr>
                <w:rFonts w:ascii="Times New Roman" w:hAnsi="Times New Roman" w:cs="Arial"/>
                <w:bCs/>
                <w:sz w:val="22"/>
                <w:lang w:val="sr-Latn-ME"/>
              </w:rPr>
              <w:t>e</w:t>
            </w:r>
            <w:r w:rsidR="00080E97" w:rsidRPr="00C01AF3">
              <w:rPr>
                <w:rFonts w:ascii="Times New Roman" w:hAnsi="Times New Roman" w:cs="Arial"/>
                <w:bCs/>
                <w:sz w:val="22"/>
                <w:lang w:val="sr-Latn-ME"/>
              </w:rPr>
              <w:t xml:space="preserve"> je 4-8 l/kg. Cirkulišući </w:t>
            </w:r>
            <w:r w:rsidR="007C4A86" w:rsidRPr="00C01AF3">
              <w:rPr>
                <w:rFonts w:ascii="Times New Roman" w:hAnsi="Times New Roman" w:cs="Arial"/>
                <w:bCs/>
                <w:sz w:val="22"/>
                <w:lang w:val="sr-Latn-ME"/>
              </w:rPr>
              <w:t>hidrohlortiazid</w:t>
            </w:r>
            <w:r w:rsidR="00080E97" w:rsidRPr="00C01AF3">
              <w:rPr>
                <w:rFonts w:ascii="Times New Roman" w:hAnsi="Times New Roman" w:cs="Arial"/>
                <w:bCs/>
                <w:sz w:val="22"/>
                <w:lang w:val="sr-Latn-ME"/>
              </w:rPr>
              <w:t xml:space="preserve"> je vezan za serumske proteine (40-70%) uglavnom za serumski albumin. </w:t>
            </w:r>
            <w:r w:rsidR="007C4A86" w:rsidRPr="00C01AF3">
              <w:rPr>
                <w:rFonts w:ascii="Times New Roman" w:hAnsi="Times New Roman" w:cs="Arial"/>
                <w:bCs/>
                <w:sz w:val="22"/>
                <w:lang w:val="sr-Latn-ME"/>
              </w:rPr>
              <w:t>Hidrohlortiazid</w:t>
            </w:r>
            <w:r w:rsidR="00080E97" w:rsidRPr="00C01AF3">
              <w:rPr>
                <w:rFonts w:ascii="Times New Roman" w:hAnsi="Times New Roman" w:cs="Arial"/>
                <w:bCs/>
                <w:sz w:val="22"/>
                <w:lang w:val="sr-Latn-ME"/>
              </w:rPr>
              <w:t xml:space="preserve"> se takođe akumulira u eritrocitima približno </w:t>
            </w:r>
            <w:r w:rsidR="00F42B43" w:rsidRPr="00C01AF3">
              <w:rPr>
                <w:rFonts w:ascii="Times New Roman" w:hAnsi="Times New Roman" w:cs="Arial"/>
                <w:bCs/>
                <w:sz w:val="22"/>
                <w:lang w:val="sr-Latn-ME"/>
              </w:rPr>
              <w:t>3</w:t>
            </w:r>
            <w:r w:rsidR="00080E97" w:rsidRPr="00C01AF3">
              <w:rPr>
                <w:rFonts w:ascii="Times New Roman" w:hAnsi="Times New Roman" w:cs="Arial"/>
                <w:bCs/>
                <w:sz w:val="22"/>
                <w:lang w:val="sr-Latn-ME"/>
              </w:rPr>
              <w:t xml:space="preserve"> puta više od nivoa u plazmi.</w:t>
            </w:r>
          </w:p>
          <w:p w:rsidR="00D15C4B" w:rsidRPr="00C01AF3" w:rsidRDefault="00F42B43" w:rsidP="00B039F5">
            <w:pPr>
              <w:pStyle w:val="Header"/>
              <w:spacing w:before="80" w:after="80"/>
              <w:jc w:val="left"/>
              <w:rPr>
                <w:rFonts w:ascii="Times New Roman" w:hAnsi="Times New Roman" w:cs="Arial"/>
                <w:bCs/>
                <w:sz w:val="22"/>
                <w:lang w:val="sr-Latn-ME"/>
              </w:rPr>
            </w:pPr>
            <w:r w:rsidRPr="00C01AF3">
              <w:rPr>
                <w:rFonts w:ascii="Times New Roman" w:hAnsi="Times New Roman" w:cs="Arial"/>
                <w:bCs/>
                <w:i/>
                <w:sz w:val="22"/>
                <w:u w:val="single"/>
                <w:lang w:val="sr-Latn-ME"/>
              </w:rPr>
              <w:t>Metabolizam</w:t>
            </w:r>
            <w:r w:rsidRPr="00C01AF3">
              <w:rPr>
                <w:rFonts w:ascii="Times New Roman" w:hAnsi="Times New Roman" w:cs="Arial"/>
                <w:bCs/>
                <w:i/>
                <w:sz w:val="22"/>
                <w:lang w:val="sr-Latn-ME"/>
              </w:rPr>
              <w:t xml:space="preserve">: </w:t>
            </w:r>
            <w:r w:rsidR="007C4A86" w:rsidRPr="00C01AF3">
              <w:rPr>
                <w:rFonts w:ascii="Times New Roman" w:hAnsi="Times New Roman" w:cs="Arial"/>
                <w:bCs/>
                <w:sz w:val="22"/>
                <w:lang w:val="sr-Latn-ME"/>
              </w:rPr>
              <w:t>Hidrohlortiazid</w:t>
            </w:r>
            <w:r w:rsidR="00D15C4B" w:rsidRPr="00C01AF3">
              <w:rPr>
                <w:rFonts w:ascii="Times New Roman" w:hAnsi="Times New Roman" w:cs="Arial"/>
                <w:bCs/>
                <w:sz w:val="22"/>
                <w:lang w:val="sr-Latn-ME"/>
              </w:rPr>
              <w:t xml:space="preserve"> se eliminiše pretežno </w:t>
            </w:r>
            <w:r w:rsidR="00A15512" w:rsidRPr="00C01AF3">
              <w:rPr>
                <w:rFonts w:ascii="Times New Roman" w:hAnsi="Times New Roman" w:cs="Arial"/>
                <w:bCs/>
                <w:sz w:val="22"/>
                <w:lang w:val="sr-Latn-ME"/>
              </w:rPr>
              <w:t>kao ne</w:t>
            </w:r>
            <w:r w:rsidR="00644CBB" w:rsidRPr="00C01AF3">
              <w:rPr>
                <w:rFonts w:ascii="Times New Roman" w:hAnsi="Times New Roman" w:cs="Arial"/>
                <w:bCs/>
                <w:sz w:val="22"/>
                <w:lang w:val="sr-Latn-ME"/>
              </w:rPr>
              <w:t>promijen</w:t>
            </w:r>
            <w:r w:rsidR="00D15C4B" w:rsidRPr="00C01AF3">
              <w:rPr>
                <w:rFonts w:ascii="Times New Roman" w:hAnsi="Times New Roman" w:cs="Arial"/>
                <w:bCs/>
                <w:sz w:val="22"/>
                <w:lang w:val="sr-Latn-ME"/>
              </w:rPr>
              <w:t xml:space="preserve">jen </w:t>
            </w:r>
            <w:r w:rsidR="00A65414" w:rsidRPr="00C01AF3">
              <w:rPr>
                <w:rFonts w:ascii="Times New Roman" w:hAnsi="Times New Roman" w:cs="Arial"/>
                <w:bCs/>
                <w:sz w:val="22"/>
                <w:lang w:val="sr-Latn-ME"/>
              </w:rPr>
              <w:t>lijek</w:t>
            </w:r>
            <w:r w:rsidR="00A15512" w:rsidRPr="00C01AF3">
              <w:rPr>
                <w:rFonts w:ascii="Times New Roman" w:hAnsi="Times New Roman" w:cs="Arial"/>
                <w:bCs/>
                <w:sz w:val="22"/>
                <w:lang w:val="sr-Latn-ME"/>
              </w:rPr>
              <w:t>.</w:t>
            </w:r>
            <w:r w:rsidR="00D15C4B" w:rsidRPr="00C01AF3">
              <w:rPr>
                <w:rFonts w:ascii="Times New Roman" w:hAnsi="Times New Roman" w:cs="Arial"/>
                <w:bCs/>
                <w:sz w:val="22"/>
                <w:lang w:val="sr-Latn-ME"/>
              </w:rPr>
              <w:t xml:space="preserve"> </w:t>
            </w:r>
          </w:p>
          <w:p w:rsidR="001D4D04" w:rsidRPr="00C01AF3" w:rsidRDefault="00E367F0" w:rsidP="00B039F5">
            <w:pPr>
              <w:pStyle w:val="Header"/>
              <w:spacing w:before="80" w:after="80"/>
              <w:jc w:val="left"/>
              <w:rPr>
                <w:rFonts w:ascii="Times New Roman" w:hAnsi="Times New Roman" w:cs="Arial"/>
                <w:bCs/>
                <w:sz w:val="22"/>
                <w:lang w:val="sr-Latn-ME"/>
              </w:rPr>
            </w:pPr>
            <w:r w:rsidRPr="00C01AF3">
              <w:rPr>
                <w:rFonts w:ascii="Times New Roman" w:hAnsi="Times New Roman" w:cs="Arial"/>
                <w:bCs/>
                <w:i/>
                <w:sz w:val="22"/>
                <w:u w:val="single"/>
                <w:lang w:val="sr-Latn-ME"/>
              </w:rPr>
              <w:t>Izlučivanje</w:t>
            </w:r>
            <w:r w:rsidR="00B039F5" w:rsidRPr="00C01AF3">
              <w:rPr>
                <w:rFonts w:ascii="Times New Roman" w:hAnsi="Times New Roman" w:cs="Arial"/>
                <w:bCs/>
                <w:i/>
                <w:sz w:val="22"/>
                <w:lang w:val="sr-Latn-ME"/>
              </w:rPr>
              <w:t>:</w:t>
            </w:r>
            <w:r w:rsidR="00080E97" w:rsidRPr="00C01AF3">
              <w:rPr>
                <w:rFonts w:ascii="Times New Roman" w:hAnsi="Times New Roman" w:cs="Arial"/>
                <w:bCs/>
                <w:sz w:val="22"/>
                <w:lang w:val="sr-Latn-ME"/>
              </w:rPr>
              <w:t xml:space="preserve">. </w:t>
            </w:r>
            <w:r w:rsidR="007C4A86" w:rsidRPr="00C01AF3">
              <w:rPr>
                <w:rFonts w:ascii="Times New Roman" w:hAnsi="Times New Roman" w:cs="Arial"/>
                <w:bCs/>
                <w:sz w:val="22"/>
                <w:lang w:val="sr-Latn-ME"/>
              </w:rPr>
              <w:t>Hidrohlortiazid</w:t>
            </w:r>
            <w:r w:rsidR="00080E97" w:rsidRPr="00C01AF3">
              <w:rPr>
                <w:rFonts w:ascii="Times New Roman" w:hAnsi="Times New Roman" w:cs="Arial"/>
                <w:bCs/>
                <w:sz w:val="22"/>
                <w:lang w:val="sr-Latn-ME"/>
              </w:rPr>
              <w:t xml:space="preserve"> se eliminiše iz plazme sa </w:t>
            </w:r>
            <w:r w:rsidR="00C40D1D" w:rsidRPr="00C01AF3">
              <w:rPr>
                <w:rFonts w:ascii="Times New Roman" w:hAnsi="Times New Roman" w:cs="Arial"/>
                <w:bCs/>
                <w:sz w:val="22"/>
                <w:lang w:val="sr-Latn-ME"/>
              </w:rPr>
              <w:t>prosječ</w:t>
            </w:r>
            <w:r w:rsidR="00080E97" w:rsidRPr="00C01AF3">
              <w:rPr>
                <w:rFonts w:ascii="Times New Roman" w:hAnsi="Times New Roman" w:cs="Arial"/>
                <w:bCs/>
                <w:sz w:val="22"/>
                <w:lang w:val="sr-Latn-ME"/>
              </w:rPr>
              <w:t>nim poluvremenom eliminacije od 6 do</w:t>
            </w:r>
            <w:r w:rsidR="00C40D1D" w:rsidRPr="00C01AF3">
              <w:rPr>
                <w:rFonts w:ascii="Times New Roman" w:hAnsi="Times New Roman" w:cs="Arial"/>
                <w:bCs/>
                <w:sz w:val="22"/>
                <w:lang w:val="sr-Latn-ME"/>
              </w:rPr>
              <w:t xml:space="preserve"> </w:t>
            </w:r>
            <w:r w:rsidR="00080E97" w:rsidRPr="00C01AF3">
              <w:rPr>
                <w:rFonts w:ascii="Times New Roman" w:hAnsi="Times New Roman" w:cs="Arial"/>
                <w:bCs/>
                <w:sz w:val="22"/>
                <w:lang w:val="sr-Latn-ME"/>
              </w:rPr>
              <w:t>15</w:t>
            </w:r>
            <w:r w:rsidR="005E59B6" w:rsidRPr="00C01AF3">
              <w:rPr>
                <w:rFonts w:ascii="Times New Roman" w:hAnsi="Times New Roman" w:cs="Arial"/>
                <w:bCs/>
                <w:sz w:val="22"/>
                <w:lang w:val="sr-Latn-ME"/>
              </w:rPr>
              <w:t>h</w:t>
            </w:r>
            <w:r w:rsidR="00080E97" w:rsidRPr="00C01AF3">
              <w:rPr>
                <w:rFonts w:ascii="Times New Roman" w:hAnsi="Times New Roman" w:cs="Arial"/>
                <w:bCs/>
                <w:sz w:val="22"/>
                <w:lang w:val="sr-Latn-ME"/>
              </w:rPr>
              <w:t xml:space="preserve"> u terminalnoj fazi eliminacije. Nema </w:t>
            </w:r>
            <w:r w:rsidR="00644CBB" w:rsidRPr="00C01AF3">
              <w:rPr>
                <w:rFonts w:ascii="Times New Roman" w:hAnsi="Times New Roman" w:cs="Arial"/>
                <w:bCs/>
                <w:sz w:val="22"/>
                <w:lang w:val="sr-Latn-ME"/>
              </w:rPr>
              <w:t>promjen</w:t>
            </w:r>
            <w:r w:rsidR="00080E97" w:rsidRPr="00C01AF3">
              <w:rPr>
                <w:rFonts w:ascii="Times New Roman" w:hAnsi="Times New Roman" w:cs="Arial"/>
                <w:bCs/>
                <w:sz w:val="22"/>
                <w:lang w:val="sr-Latn-ME"/>
              </w:rPr>
              <w:t xml:space="preserve">e u kinetici </w:t>
            </w:r>
            <w:r w:rsidR="007C4A86" w:rsidRPr="00C01AF3">
              <w:rPr>
                <w:rFonts w:ascii="Times New Roman" w:hAnsi="Times New Roman" w:cs="Arial"/>
                <w:bCs/>
                <w:sz w:val="22"/>
                <w:lang w:val="sr-Latn-ME"/>
              </w:rPr>
              <w:t>hidrohlortiazid</w:t>
            </w:r>
            <w:r w:rsidR="00080E97" w:rsidRPr="00C01AF3">
              <w:rPr>
                <w:rFonts w:ascii="Times New Roman" w:hAnsi="Times New Roman" w:cs="Arial"/>
                <w:bCs/>
                <w:sz w:val="22"/>
                <w:lang w:val="sr-Latn-ME"/>
              </w:rPr>
              <w:t>a pri ponov</w:t>
            </w:r>
            <w:r w:rsidR="000F7CEB" w:rsidRPr="00C01AF3">
              <w:rPr>
                <w:rFonts w:ascii="Times New Roman" w:hAnsi="Times New Roman" w:cs="Arial"/>
                <w:bCs/>
                <w:sz w:val="22"/>
                <w:lang w:val="sr-Latn-ME"/>
              </w:rPr>
              <w:t xml:space="preserve">ljenom </w:t>
            </w:r>
            <w:r w:rsidR="00080E97" w:rsidRPr="00C01AF3">
              <w:rPr>
                <w:rFonts w:ascii="Times New Roman" w:hAnsi="Times New Roman" w:cs="Arial"/>
                <w:bCs/>
                <w:sz w:val="22"/>
                <w:lang w:val="sr-Latn-ME"/>
              </w:rPr>
              <w:t>doz</w:t>
            </w:r>
            <w:r w:rsidR="000F7CEB" w:rsidRPr="00C01AF3">
              <w:rPr>
                <w:rFonts w:ascii="Times New Roman" w:hAnsi="Times New Roman" w:cs="Arial"/>
                <w:bCs/>
                <w:sz w:val="22"/>
                <w:lang w:val="sr-Latn-ME"/>
              </w:rPr>
              <w:t>iranju</w:t>
            </w:r>
            <w:r w:rsidR="00080E97" w:rsidRPr="00C01AF3">
              <w:rPr>
                <w:rFonts w:ascii="Times New Roman" w:hAnsi="Times New Roman" w:cs="Arial"/>
                <w:bCs/>
                <w:sz w:val="22"/>
                <w:lang w:val="sr-Latn-ME"/>
              </w:rPr>
              <w:t xml:space="preserve">, a akumulacija je minimalna </w:t>
            </w:r>
            <w:r w:rsidR="000F7CEB" w:rsidRPr="00C01AF3">
              <w:rPr>
                <w:rFonts w:ascii="Times New Roman" w:hAnsi="Times New Roman" w:cs="Arial"/>
                <w:bCs/>
                <w:sz w:val="22"/>
                <w:lang w:val="sr-Latn-ME"/>
              </w:rPr>
              <w:t>kada se</w:t>
            </w:r>
            <w:r w:rsidR="00080E97" w:rsidRPr="00C01AF3">
              <w:rPr>
                <w:rFonts w:ascii="Times New Roman" w:hAnsi="Times New Roman" w:cs="Arial"/>
                <w:bCs/>
                <w:sz w:val="22"/>
                <w:lang w:val="sr-Latn-ME"/>
              </w:rPr>
              <w:t xml:space="preserve"> doz</w:t>
            </w:r>
            <w:r w:rsidR="000F7CEB" w:rsidRPr="00C01AF3">
              <w:rPr>
                <w:rFonts w:ascii="Times New Roman" w:hAnsi="Times New Roman" w:cs="Arial"/>
                <w:bCs/>
                <w:sz w:val="22"/>
                <w:lang w:val="sr-Latn-ME"/>
              </w:rPr>
              <w:t>ira</w:t>
            </w:r>
            <w:r w:rsidR="00080E97" w:rsidRPr="00C01AF3">
              <w:rPr>
                <w:rFonts w:ascii="Times New Roman" w:hAnsi="Times New Roman" w:cs="Arial"/>
                <w:bCs/>
                <w:sz w:val="22"/>
                <w:lang w:val="sr-Latn-ME"/>
              </w:rPr>
              <w:t xml:space="preserve"> jednom dnevno. Više od 95% </w:t>
            </w:r>
            <w:r w:rsidR="000F7CEB" w:rsidRPr="00C01AF3">
              <w:rPr>
                <w:rFonts w:ascii="Times New Roman" w:hAnsi="Times New Roman" w:cs="Arial"/>
                <w:bCs/>
                <w:sz w:val="22"/>
                <w:lang w:val="sr-Latn-ME"/>
              </w:rPr>
              <w:t>re</w:t>
            </w:r>
            <w:r w:rsidR="00080E97" w:rsidRPr="00C01AF3">
              <w:rPr>
                <w:rFonts w:ascii="Times New Roman" w:hAnsi="Times New Roman" w:cs="Arial"/>
                <w:bCs/>
                <w:sz w:val="22"/>
                <w:lang w:val="sr-Latn-ME"/>
              </w:rPr>
              <w:t>sorbovane doze se izlučuje u ne</w:t>
            </w:r>
            <w:r w:rsidR="00644CBB" w:rsidRPr="00C01AF3">
              <w:rPr>
                <w:rFonts w:ascii="Times New Roman" w:hAnsi="Times New Roman" w:cs="Arial"/>
                <w:bCs/>
                <w:sz w:val="22"/>
                <w:lang w:val="sr-Latn-ME"/>
              </w:rPr>
              <w:t>promijen</w:t>
            </w:r>
            <w:r w:rsidR="00080E97" w:rsidRPr="00C01AF3">
              <w:rPr>
                <w:rFonts w:ascii="Times New Roman" w:hAnsi="Times New Roman" w:cs="Arial"/>
                <w:bCs/>
                <w:sz w:val="22"/>
                <w:lang w:val="sr-Latn-ME"/>
              </w:rPr>
              <w:t>jenom obliku urinom. Bubrežni klirens se odvija pasivnom filtracijom i aktivnim izlučivanjem u bubrežn</w:t>
            </w:r>
            <w:r w:rsidR="00B61BE3" w:rsidRPr="00C01AF3">
              <w:rPr>
                <w:rFonts w:ascii="Times New Roman" w:hAnsi="Times New Roman" w:cs="Arial"/>
                <w:bCs/>
                <w:sz w:val="22"/>
                <w:lang w:val="sr-Latn-ME"/>
              </w:rPr>
              <w:t>im</w:t>
            </w:r>
            <w:r w:rsidR="00080E97" w:rsidRPr="00C01AF3">
              <w:rPr>
                <w:rFonts w:ascii="Times New Roman" w:hAnsi="Times New Roman" w:cs="Arial"/>
                <w:bCs/>
                <w:sz w:val="22"/>
                <w:lang w:val="sr-Latn-ME"/>
              </w:rPr>
              <w:t xml:space="preserve"> tubul</w:t>
            </w:r>
            <w:r w:rsidR="00B61BE3" w:rsidRPr="00C01AF3">
              <w:rPr>
                <w:rFonts w:ascii="Times New Roman" w:hAnsi="Times New Roman" w:cs="Arial"/>
                <w:bCs/>
                <w:sz w:val="22"/>
                <w:lang w:val="sr-Latn-ME"/>
              </w:rPr>
              <w:t>ima</w:t>
            </w:r>
            <w:r w:rsidR="00080E97" w:rsidRPr="00C01AF3">
              <w:rPr>
                <w:rFonts w:ascii="Times New Roman" w:hAnsi="Times New Roman" w:cs="Arial"/>
                <w:bCs/>
                <w:sz w:val="22"/>
                <w:lang w:val="sr-Latn-ME"/>
              </w:rPr>
              <w:t>.</w:t>
            </w:r>
          </w:p>
          <w:p w:rsidR="00191616" w:rsidRPr="00C01AF3" w:rsidRDefault="00191616" w:rsidP="00056F49">
            <w:pPr>
              <w:pStyle w:val="Header"/>
              <w:tabs>
                <w:tab w:val="clear" w:pos="4536"/>
                <w:tab w:val="clear" w:pos="9072"/>
                <w:tab w:val="left" w:pos="284"/>
              </w:tabs>
              <w:spacing w:before="80" w:after="80"/>
              <w:jc w:val="left"/>
              <w:rPr>
                <w:rFonts w:ascii="Times New Roman" w:hAnsi="Times New Roman" w:cs="Arial"/>
                <w:bCs/>
                <w:sz w:val="22"/>
                <w:u w:val="single"/>
                <w:lang w:val="sr-Latn-ME"/>
              </w:rPr>
            </w:pPr>
          </w:p>
          <w:p w:rsidR="00056F49" w:rsidRPr="00C01AF3" w:rsidRDefault="00056F49" w:rsidP="00056F49">
            <w:pPr>
              <w:pStyle w:val="Header"/>
              <w:tabs>
                <w:tab w:val="clear" w:pos="4536"/>
                <w:tab w:val="clear" w:pos="9072"/>
                <w:tab w:val="left" w:pos="284"/>
              </w:tabs>
              <w:spacing w:before="80" w:after="80"/>
              <w:jc w:val="left"/>
              <w:rPr>
                <w:rFonts w:ascii="Times New Roman" w:hAnsi="Times New Roman" w:cs="Arial"/>
                <w:bCs/>
                <w:sz w:val="22"/>
                <w:u w:val="single"/>
                <w:lang w:val="sr-Latn-ME"/>
              </w:rPr>
            </w:pPr>
            <w:r w:rsidRPr="00C01AF3">
              <w:rPr>
                <w:rFonts w:ascii="Times New Roman" w:hAnsi="Times New Roman" w:cs="Arial"/>
                <w:bCs/>
                <w:sz w:val="22"/>
                <w:u w:val="single"/>
                <w:lang w:val="sr-Latn-ME"/>
              </w:rPr>
              <w:t>Specijalne populacije</w:t>
            </w:r>
          </w:p>
          <w:p w:rsidR="00056F49" w:rsidRPr="00C01AF3" w:rsidRDefault="007A6280" w:rsidP="001D4D04">
            <w:pPr>
              <w:pStyle w:val="Header"/>
              <w:tabs>
                <w:tab w:val="clear" w:pos="4536"/>
                <w:tab w:val="clear" w:pos="9072"/>
                <w:tab w:val="left" w:pos="284"/>
              </w:tabs>
              <w:jc w:val="left"/>
              <w:rPr>
                <w:rFonts w:ascii="Times New Roman" w:hAnsi="Times New Roman" w:cs="Arial"/>
                <w:b/>
                <w:bCs/>
                <w:i/>
                <w:sz w:val="22"/>
                <w:u w:val="single"/>
                <w:lang w:val="sr-Latn-ME"/>
              </w:rPr>
            </w:pPr>
            <w:r w:rsidRPr="00C01AF3">
              <w:rPr>
                <w:rFonts w:ascii="Times New Roman" w:hAnsi="Times New Roman" w:cs="Arial"/>
                <w:bCs/>
                <w:i/>
                <w:sz w:val="22"/>
                <w:u w:val="single"/>
                <w:lang w:val="sr-Latn-ME"/>
              </w:rPr>
              <w:t>Pedijatrijska populacija (ispod 18 godina</w:t>
            </w:r>
            <w:r w:rsidRPr="00C01AF3">
              <w:rPr>
                <w:rFonts w:ascii="Times New Roman" w:hAnsi="Times New Roman" w:cs="Arial"/>
                <w:b/>
                <w:bCs/>
                <w:i/>
                <w:sz w:val="22"/>
                <w:u w:val="single"/>
                <w:lang w:val="sr-Latn-ME"/>
              </w:rPr>
              <w:t>)</w:t>
            </w:r>
          </w:p>
          <w:p w:rsidR="007F68FE" w:rsidRPr="00C01AF3" w:rsidRDefault="007F68FE" w:rsidP="001D4D0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Nema dostupnih farmakokinetičkih podataka o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 xml:space="preserve">ni </w:t>
            </w:r>
            <w:r w:rsidR="00A65414" w:rsidRPr="00C01AF3">
              <w:rPr>
                <w:rFonts w:ascii="Times New Roman" w:hAnsi="Times New Roman" w:cs="Arial"/>
                <w:sz w:val="22"/>
                <w:lang w:val="sr-Latn-ME"/>
              </w:rPr>
              <w:t>lijek</w:t>
            </w:r>
            <w:r w:rsidRPr="00C01AF3">
              <w:rPr>
                <w:rFonts w:ascii="Times New Roman" w:hAnsi="Times New Roman" w:cs="Arial"/>
                <w:sz w:val="22"/>
                <w:lang w:val="sr-Latn-ME"/>
              </w:rPr>
              <w:t>a u pedijatrijskoj populaciji.</w:t>
            </w:r>
          </w:p>
          <w:p w:rsidR="001D4D04" w:rsidRPr="00C01AF3" w:rsidRDefault="007F68FE" w:rsidP="001D4D0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 xml:space="preserve"> </w:t>
            </w:r>
          </w:p>
          <w:p w:rsidR="009D1526" w:rsidRPr="00C01AF3" w:rsidRDefault="009D1526" w:rsidP="001D4D04">
            <w:pPr>
              <w:pStyle w:val="Header"/>
              <w:tabs>
                <w:tab w:val="clear" w:pos="4536"/>
                <w:tab w:val="clear" w:pos="9072"/>
                <w:tab w:val="left" w:pos="284"/>
              </w:tabs>
              <w:jc w:val="left"/>
              <w:rPr>
                <w:rFonts w:ascii="Times New Roman" w:hAnsi="Times New Roman" w:cs="Arial"/>
                <w:bCs/>
                <w:i/>
                <w:sz w:val="22"/>
                <w:u w:val="single"/>
                <w:lang w:val="sr-Latn-ME"/>
              </w:rPr>
            </w:pPr>
            <w:r w:rsidRPr="00C01AF3">
              <w:rPr>
                <w:rFonts w:ascii="Times New Roman" w:hAnsi="Times New Roman" w:cs="Arial"/>
                <w:i/>
                <w:sz w:val="22"/>
                <w:u w:val="single"/>
                <w:lang w:val="sr-Latn-ME"/>
              </w:rPr>
              <w:t>Starije osobe</w:t>
            </w:r>
            <w:r w:rsidR="005A33F4" w:rsidRPr="00C01AF3">
              <w:rPr>
                <w:rFonts w:ascii="Times New Roman" w:hAnsi="Times New Roman" w:cs="Arial"/>
                <w:i/>
                <w:sz w:val="22"/>
                <w:u w:val="single"/>
                <w:lang w:val="sr-Latn-ME"/>
              </w:rPr>
              <w:t xml:space="preserve"> ( </w:t>
            </w:r>
            <w:r w:rsidR="001D0486" w:rsidRPr="00C01AF3">
              <w:rPr>
                <w:rFonts w:ascii="Times New Roman" w:hAnsi="Times New Roman" w:cs="Arial"/>
                <w:i/>
                <w:sz w:val="22"/>
                <w:u w:val="single"/>
                <w:lang w:val="sr-Latn-ME"/>
              </w:rPr>
              <w:t xml:space="preserve">starosti </w:t>
            </w:r>
            <w:r w:rsidR="005A33F4" w:rsidRPr="00C01AF3">
              <w:rPr>
                <w:rFonts w:ascii="Times New Roman" w:hAnsi="Times New Roman" w:cs="Arial"/>
                <w:i/>
                <w:sz w:val="22"/>
                <w:u w:val="single"/>
                <w:lang w:val="sr-Latn-ME"/>
              </w:rPr>
              <w:t>65 godina i stariji)</w:t>
            </w:r>
          </w:p>
          <w:p w:rsidR="005A33F4" w:rsidRPr="00C01AF3" w:rsidRDefault="009D1526" w:rsidP="002C4801">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Vr</w:t>
            </w:r>
            <w:r w:rsidR="002420BD" w:rsidRPr="00C01AF3">
              <w:rPr>
                <w:rFonts w:ascii="Times New Roman" w:hAnsi="Times New Roman" w:cs="Arial"/>
                <w:sz w:val="22"/>
                <w:lang w:val="sr-Latn-ME"/>
              </w:rPr>
              <w:t>ij</w:t>
            </w:r>
            <w:r w:rsidRPr="00C01AF3">
              <w:rPr>
                <w:rFonts w:ascii="Times New Roman" w:hAnsi="Times New Roman" w:cs="Arial"/>
                <w:sz w:val="22"/>
                <w:lang w:val="sr-Latn-ME"/>
              </w:rPr>
              <w:t>eme za postizanje maksimalnih koncentracija amlodipina u plazmi je slično i kod mlađih i kod starijih pacijenta. Kod starijih pacijenta, klirens amlodipina pokazuje tendenciju smanjenja, prouzrokujući povećanje</w:t>
            </w:r>
            <w:r w:rsidR="001D4D04" w:rsidRPr="00C01AF3">
              <w:rPr>
                <w:rFonts w:ascii="Times New Roman" w:hAnsi="Times New Roman" w:cs="Arial"/>
                <w:sz w:val="22"/>
                <w:lang w:val="sr-Latn-ME"/>
              </w:rPr>
              <w:t xml:space="preserve"> </w:t>
            </w:r>
            <w:r w:rsidRPr="00C01AF3">
              <w:rPr>
                <w:rFonts w:ascii="Times New Roman" w:hAnsi="Times New Roman" w:cs="Arial"/>
                <w:sz w:val="22"/>
                <w:lang w:val="sr-Latn-ME"/>
              </w:rPr>
              <w:t>PIK</w:t>
            </w:r>
            <w:r w:rsidR="002C4801" w:rsidRPr="00C01AF3">
              <w:rPr>
                <w:rFonts w:ascii="Times New Roman" w:hAnsi="Times New Roman" w:cs="Arial"/>
                <w:sz w:val="22"/>
                <w:lang w:val="sr-Latn-ME"/>
              </w:rPr>
              <w:t>-a</w:t>
            </w:r>
            <w:r w:rsidRPr="00C01AF3">
              <w:rPr>
                <w:rFonts w:ascii="Times New Roman" w:hAnsi="Times New Roman" w:cs="Arial"/>
                <w:sz w:val="22"/>
                <w:lang w:val="sr-Latn-ME"/>
              </w:rPr>
              <w:t xml:space="preserve"> i produženje polu</w:t>
            </w:r>
            <w:r w:rsidR="00C40D1D" w:rsidRPr="00C01AF3">
              <w:rPr>
                <w:rFonts w:ascii="Times New Roman" w:hAnsi="Times New Roman" w:cs="Arial"/>
                <w:sz w:val="22"/>
                <w:lang w:val="sr-Latn-ME"/>
              </w:rPr>
              <w:t>vreme</w:t>
            </w:r>
            <w:r w:rsidRPr="00C01AF3">
              <w:rPr>
                <w:rFonts w:ascii="Times New Roman" w:hAnsi="Times New Roman" w:cs="Arial"/>
                <w:sz w:val="22"/>
                <w:lang w:val="sr-Latn-ME"/>
              </w:rPr>
              <w:t>na eliminacije.</w:t>
            </w:r>
            <w:r w:rsidR="002C4801" w:rsidRPr="00C01AF3">
              <w:rPr>
                <w:rFonts w:ascii="Times New Roman" w:hAnsi="Times New Roman" w:cs="Arial"/>
                <w:sz w:val="22"/>
                <w:lang w:val="sr-Latn-ME"/>
              </w:rPr>
              <w:t xml:space="preserve"> </w:t>
            </w:r>
            <w:r w:rsidR="005A33F4" w:rsidRPr="00C01AF3">
              <w:rPr>
                <w:rFonts w:ascii="Times New Roman" w:hAnsi="Times New Roman" w:cs="Arial"/>
                <w:sz w:val="22"/>
                <w:lang w:val="sr-Latn-ME"/>
              </w:rPr>
              <w:t>Srednja sistemska vr</w:t>
            </w:r>
            <w:r w:rsidR="00320A97" w:rsidRPr="00C01AF3">
              <w:rPr>
                <w:rFonts w:ascii="Times New Roman" w:hAnsi="Times New Roman" w:cs="Arial"/>
                <w:sz w:val="22"/>
                <w:lang w:val="sr-Latn-ME"/>
              </w:rPr>
              <w:t>ij</w:t>
            </w:r>
            <w:r w:rsidR="005A33F4" w:rsidRPr="00C01AF3">
              <w:rPr>
                <w:rFonts w:ascii="Times New Roman" w:hAnsi="Times New Roman" w:cs="Arial"/>
                <w:sz w:val="22"/>
                <w:lang w:val="sr-Latn-ME"/>
              </w:rPr>
              <w:t>ednost PIK-a valsartana veća je za 70% kod starijih osoba nego kod mlađih osoba, pa je stoga potreban oprez pri poveća</w:t>
            </w:r>
            <w:r w:rsidR="00CC3877" w:rsidRPr="00C01AF3">
              <w:rPr>
                <w:rFonts w:ascii="Times New Roman" w:hAnsi="Times New Roman" w:cs="Arial"/>
                <w:sz w:val="22"/>
                <w:lang w:val="sr-Latn-ME"/>
              </w:rPr>
              <w:t>vanju</w:t>
            </w:r>
            <w:r w:rsidR="005A33F4" w:rsidRPr="00C01AF3">
              <w:rPr>
                <w:rFonts w:ascii="Times New Roman" w:hAnsi="Times New Roman" w:cs="Arial"/>
                <w:sz w:val="22"/>
                <w:lang w:val="sr-Latn-ME"/>
              </w:rPr>
              <w:t xml:space="preserve"> doze.</w:t>
            </w:r>
          </w:p>
          <w:p w:rsidR="00633FCB" w:rsidRPr="00C01AF3" w:rsidRDefault="00633FCB" w:rsidP="000D6334">
            <w:pPr>
              <w:pStyle w:val="Header"/>
              <w:tabs>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Sistemska izloženost valsartan</w:t>
            </w:r>
            <w:r w:rsidR="005B29F8" w:rsidRPr="00C01AF3">
              <w:rPr>
                <w:rFonts w:ascii="Times New Roman" w:hAnsi="Times New Roman" w:cs="Arial"/>
                <w:sz w:val="22"/>
                <w:lang w:val="sr-Latn-ME"/>
              </w:rPr>
              <w:t>u</w:t>
            </w:r>
            <w:r w:rsidRPr="00C01AF3">
              <w:rPr>
                <w:rFonts w:ascii="Times New Roman" w:hAnsi="Times New Roman" w:cs="Arial"/>
                <w:sz w:val="22"/>
                <w:lang w:val="sr-Latn-ME"/>
              </w:rPr>
              <w:t xml:space="preserve"> je  neznatno povećana kod starijih u poređenj</w:t>
            </w:r>
            <w:r w:rsidR="00317C82" w:rsidRPr="00C01AF3">
              <w:rPr>
                <w:rFonts w:ascii="Times New Roman" w:hAnsi="Times New Roman" w:cs="Arial"/>
                <w:sz w:val="22"/>
                <w:lang w:val="sr-Latn-ME"/>
              </w:rPr>
              <w:t>u sa mlađi</w:t>
            </w:r>
            <w:r w:rsidRPr="00C01AF3">
              <w:rPr>
                <w:rFonts w:ascii="Times New Roman" w:hAnsi="Times New Roman" w:cs="Arial"/>
                <w:sz w:val="22"/>
                <w:lang w:val="sr-Latn-ME"/>
              </w:rPr>
              <w:t xml:space="preserve">m osobama, ali nije </w:t>
            </w:r>
            <w:r w:rsidRPr="00C01AF3">
              <w:rPr>
                <w:rFonts w:ascii="Times New Roman" w:hAnsi="Times New Roman" w:cs="Arial"/>
                <w:sz w:val="22"/>
                <w:lang w:val="sr-Latn-ME"/>
              </w:rPr>
              <w:lastRenderedPageBreak/>
              <w:t>pokazano da da ima bilo kak</w:t>
            </w:r>
            <w:r w:rsidR="003925A5" w:rsidRPr="00C01AF3">
              <w:rPr>
                <w:rFonts w:ascii="Times New Roman" w:hAnsi="Times New Roman" w:cs="Arial"/>
                <w:sz w:val="22"/>
                <w:lang w:val="sr-Latn-ME"/>
              </w:rPr>
              <w:t>a</w:t>
            </w:r>
            <w:r w:rsidRPr="00C01AF3">
              <w:rPr>
                <w:rFonts w:ascii="Times New Roman" w:hAnsi="Times New Roman" w:cs="Arial"/>
                <w:sz w:val="22"/>
                <w:lang w:val="sr-Latn-ME"/>
              </w:rPr>
              <w:t>v klinički značaj.</w:t>
            </w:r>
          </w:p>
          <w:p w:rsidR="00633FCB" w:rsidRPr="00C01AF3" w:rsidRDefault="00A2505F" w:rsidP="000D6334">
            <w:pPr>
              <w:pStyle w:val="Header"/>
              <w:tabs>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 xml:space="preserve">Ograničeni podaci ukazuju na </w:t>
            </w:r>
            <w:r w:rsidR="00633FCB" w:rsidRPr="00C01AF3">
              <w:rPr>
                <w:rFonts w:ascii="Times New Roman" w:hAnsi="Times New Roman" w:cs="Arial"/>
                <w:sz w:val="22"/>
                <w:lang w:val="sr-Latn-ME"/>
              </w:rPr>
              <w:t xml:space="preserve">to da je sistemsko izlučivanje </w:t>
            </w:r>
            <w:r w:rsidR="007C4A86" w:rsidRPr="00C01AF3">
              <w:rPr>
                <w:rFonts w:ascii="Times New Roman" w:hAnsi="Times New Roman" w:cs="Arial"/>
                <w:sz w:val="22"/>
                <w:lang w:val="sr-Latn-ME"/>
              </w:rPr>
              <w:t>hidrohlortiazid</w:t>
            </w:r>
            <w:r w:rsidR="00633FCB" w:rsidRPr="00C01AF3">
              <w:rPr>
                <w:rFonts w:ascii="Times New Roman" w:hAnsi="Times New Roman" w:cs="Arial"/>
                <w:sz w:val="22"/>
                <w:lang w:val="sr-Latn-ME"/>
              </w:rPr>
              <w:t xml:space="preserve">a smanjeno kod zdravih  i kod pacijenata sa hipertenzijom u poređenju sa </w:t>
            </w:r>
            <w:r w:rsidRPr="00C01AF3">
              <w:rPr>
                <w:rFonts w:ascii="Times New Roman" w:hAnsi="Times New Roman" w:cs="Arial"/>
                <w:sz w:val="22"/>
                <w:lang w:val="sr-Latn-ME"/>
              </w:rPr>
              <w:t xml:space="preserve">mlađim </w:t>
            </w:r>
            <w:r w:rsidR="00633FCB" w:rsidRPr="00C01AF3">
              <w:rPr>
                <w:rFonts w:ascii="Times New Roman" w:hAnsi="Times New Roman" w:cs="Arial"/>
                <w:sz w:val="22"/>
                <w:lang w:val="sr-Latn-ME"/>
              </w:rPr>
              <w:t xml:space="preserve">zdravim dobrovoljcima. </w:t>
            </w:r>
          </w:p>
          <w:p w:rsidR="00633FCB" w:rsidRPr="00C01AF3" w:rsidRDefault="00633FCB" w:rsidP="000D6334">
            <w:pPr>
              <w:pStyle w:val="Header"/>
              <w:tabs>
                <w:tab w:val="left" w:pos="284"/>
              </w:tabs>
              <w:spacing w:before="120"/>
              <w:jc w:val="left"/>
              <w:rPr>
                <w:rFonts w:ascii="Times New Roman" w:hAnsi="Times New Roman" w:cs="Arial"/>
                <w:sz w:val="22"/>
                <w:lang w:val="sr-Latn-ME"/>
              </w:rPr>
            </w:pPr>
            <w:r w:rsidRPr="00C01AF3">
              <w:rPr>
                <w:rFonts w:ascii="Times New Roman" w:hAnsi="Times New Roman" w:cs="Arial"/>
                <w:sz w:val="22"/>
                <w:lang w:val="sr-Latn-ME"/>
              </w:rPr>
              <w:t>S obzirom da se tri komponenete podje</w:t>
            </w:r>
            <w:r w:rsidR="00895E50" w:rsidRPr="00C01AF3">
              <w:rPr>
                <w:rFonts w:ascii="Times New Roman" w:hAnsi="Times New Roman" w:cs="Arial"/>
                <w:sz w:val="22"/>
                <w:lang w:val="sr-Latn-ME"/>
              </w:rPr>
              <w:t>d</w:t>
            </w:r>
            <w:r w:rsidRPr="00C01AF3">
              <w:rPr>
                <w:rFonts w:ascii="Times New Roman" w:hAnsi="Times New Roman" w:cs="Arial"/>
                <w:sz w:val="22"/>
                <w:lang w:val="sr-Latn-ME"/>
              </w:rPr>
              <w:t>nako dobro tolerišu kod mlađih i starijih pacijenata, preporučuju se normalni režimi doziranja</w:t>
            </w:r>
            <w:r w:rsidR="003715DE" w:rsidRPr="00C01AF3">
              <w:rPr>
                <w:rFonts w:ascii="Times New Roman" w:hAnsi="Times New Roman" w:cs="Arial"/>
                <w:sz w:val="22"/>
                <w:lang w:val="sr-Latn-ME"/>
              </w:rPr>
              <w:t xml:space="preserve"> (</w:t>
            </w:r>
            <w:r w:rsidR="00BD0291" w:rsidRPr="00C01AF3">
              <w:rPr>
                <w:rFonts w:ascii="Times New Roman" w:hAnsi="Times New Roman" w:cs="Arial"/>
                <w:sz w:val="22"/>
                <w:lang w:val="sr-Latn-ME"/>
              </w:rPr>
              <w:t>vidjet</w:t>
            </w:r>
            <w:r w:rsidR="003715DE" w:rsidRPr="00C01AF3">
              <w:rPr>
                <w:rFonts w:ascii="Times New Roman" w:hAnsi="Times New Roman" w:cs="Arial"/>
                <w:sz w:val="22"/>
                <w:lang w:val="sr-Latn-ME"/>
              </w:rPr>
              <w:t xml:space="preserve">i </w:t>
            </w:r>
            <w:r w:rsidR="00BD0291" w:rsidRPr="00C01AF3">
              <w:rPr>
                <w:rFonts w:ascii="Times New Roman" w:hAnsi="Times New Roman" w:cs="Arial"/>
                <w:sz w:val="22"/>
                <w:lang w:val="sr-Latn-ME"/>
              </w:rPr>
              <w:t>odjelj</w:t>
            </w:r>
            <w:r w:rsidR="003715DE" w:rsidRPr="00C01AF3">
              <w:rPr>
                <w:rFonts w:ascii="Times New Roman" w:hAnsi="Times New Roman" w:cs="Arial"/>
                <w:sz w:val="22"/>
                <w:lang w:val="sr-Latn-ME"/>
              </w:rPr>
              <w:t>ak 4.2)</w:t>
            </w:r>
            <w:r w:rsidRPr="00C01AF3">
              <w:rPr>
                <w:rFonts w:ascii="Times New Roman" w:hAnsi="Times New Roman" w:cs="Arial"/>
                <w:sz w:val="22"/>
                <w:lang w:val="sr-Latn-ME"/>
              </w:rPr>
              <w:t>.</w:t>
            </w:r>
          </w:p>
          <w:p w:rsidR="009D1526" w:rsidRPr="00C01AF3" w:rsidRDefault="000658C8" w:rsidP="000D6334">
            <w:pPr>
              <w:pStyle w:val="Header"/>
              <w:tabs>
                <w:tab w:val="clear" w:pos="4536"/>
                <w:tab w:val="clear" w:pos="9072"/>
                <w:tab w:val="left" w:pos="284"/>
              </w:tabs>
              <w:spacing w:before="120"/>
              <w:jc w:val="left"/>
              <w:rPr>
                <w:rFonts w:ascii="Times New Roman" w:hAnsi="Times New Roman" w:cs="Arial"/>
                <w:i/>
                <w:sz w:val="22"/>
                <w:u w:val="single"/>
                <w:lang w:val="sr-Latn-ME"/>
              </w:rPr>
            </w:pPr>
            <w:r w:rsidRPr="00C01AF3">
              <w:rPr>
                <w:rFonts w:ascii="Times New Roman" w:hAnsi="Times New Roman" w:cs="Arial"/>
                <w:i/>
                <w:sz w:val="22"/>
                <w:u w:val="single"/>
                <w:lang w:val="sr-Latn-ME"/>
              </w:rPr>
              <w:t>P</w:t>
            </w:r>
            <w:r w:rsidR="000B7FC3" w:rsidRPr="00C01AF3">
              <w:rPr>
                <w:rFonts w:ascii="Times New Roman" w:hAnsi="Times New Roman" w:cs="Arial"/>
                <w:i/>
                <w:sz w:val="22"/>
                <w:u w:val="single"/>
                <w:lang w:val="sr-Latn-ME"/>
              </w:rPr>
              <w:t>oremećaj funkcij</w:t>
            </w:r>
            <w:r w:rsidRPr="00C01AF3">
              <w:rPr>
                <w:rFonts w:ascii="Times New Roman" w:hAnsi="Times New Roman" w:cs="Arial"/>
                <w:i/>
                <w:sz w:val="22"/>
                <w:u w:val="single"/>
                <w:lang w:val="sr-Latn-ME"/>
              </w:rPr>
              <w:t>e</w:t>
            </w:r>
            <w:r w:rsidR="000B7FC3" w:rsidRPr="00C01AF3">
              <w:rPr>
                <w:rFonts w:ascii="Times New Roman" w:hAnsi="Times New Roman" w:cs="Arial"/>
                <w:i/>
                <w:sz w:val="22"/>
                <w:u w:val="single"/>
                <w:lang w:val="sr-Latn-ME"/>
              </w:rPr>
              <w:t xml:space="preserve"> </w:t>
            </w:r>
            <w:r w:rsidR="009D1526" w:rsidRPr="00C01AF3">
              <w:rPr>
                <w:rFonts w:ascii="Times New Roman" w:hAnsi="Times New Roman" w:cs="Arial"/>
                <w:i/>
                <w:sz w:val="22"/>
                <w:u w:val="single"/>
                <w:lang w:val="sr-Latn-ME"/>
              </w:rPr>
              <w:t>bubrega</w:t>
            </w:r>
          </w:p>
          <w:p w:rsidR="007D0786" w:rsidRPr="00C01AF3" w:rsidRDefault="007D0786" w:rsidP="000D6334">
            <w:pPr>
              <w:jc w:val="left"/>
              <w:rPr>
                <w:rFonts w:ascii="Times New Roman" w:hAnsi="Times New Roman"/>
                <w:sz w:val="22"/>
                <w:szCs w:val="22"/>
                <w:lang w:val="sr-Latn-ME"/>
              </w:rPr>
            </w:pPr>
            <w:r w:rsidRPr="00C01AF3">
              <w:rPr>
                <w:rFonts w:ascii="Times New Roman" w:hAnsi="Times New Roman" w:cs="Arial"/>
                <w:sz w:val="22"/>
                <w:lang w:val="sr-Latn-ME"/>
              </w:rPr>
              <w:t>Poremećaj funkcije</w:t>
            </w:r>
            <w:r w:rsidR="009D1526" w:rsidRPr="00C01AF3">
              <w:rPr>
                <w:rFonts w:ascii="Times New Roman" w:hAnsi="Times New Roman" w:cs="Arial"/>
                <w:sz w:val="22"/>
                <w:lang w:val="sr-Latn-ME"/>
              </w:rPr>
              <w:t xml:space="preserve"> </w:t>
            </w:r>
            <w:r w:rsidR="001010E4" w:rsidRPr="00C01AF3">
              <w:rPr>
                <w:rFonts w:ascii="Times New Roman" w:hAnsi="Times New Roman" w:cs="Arial"/>
                <w:sz w:val="22"/>
                <w:lang w:val="sr-Latn-ME"/>
              </w:rPr>
              <w:t xml:space="preserve">bubrega </w:t>
            </w:r>
            <w:r w:rsidR="009D1526" w:rsidRPr="00C01AF3">
              <w:rPr>
                <w:rFonts w:ascii="Times New Roman" w:hAnsi="Times New Roman" w:cs="Arial"/>
                <w:sz w:val="22"/>
                <w:lang w:val="sr-Latn-ME"/>
              </w:rPr>
              <w:t>ne utiče značajnije</w:t>
            </w:r>
            <w:r w:rsidR="004710E7" w:rsidRPr="00C01AF3">
              <w:rPr>
                <w:rFonts w:ascii="Times New Roman" w:hAnsi="Times New Roman" w:cs="Arial"/>
                <w:sz w:val="22"/>
                <w:lang w:val="sr-Latn-ME"/>
              </w:rPr>
              <w:t xml:space="preserve"> na farmakokinetiku amlodipina </w:t>
            </w:r>
            <w:r w:rsidR="001010E4" w:rsidRPr="00C01AF3">
              <w:rPr>
                <w:rFonts w:ascii="Times New Roman" w:hAnsi="Times New Roman" w:cs="Arial"/>
                <w:sz w:val="22"/>
                <w:lang w:val="sr-Latn-ME"/>
              </w:rPr>
              <w:t>kao što je očekivano</w:t>
            </w:r>
            <w:r w:rsidR="000D6334" w:rsidRPr="00C01AF3">
              <w:rPr>
                <w:rFonts w:ascii="Times New Roman" w:hAnsi="Times New Roman" w:cs="Arial"/>
                <w:sz w:val="22"/>
                <w:lang w:val="sr-Latn-ME"/>
              </w:rPr>
              <w:t xml:space="preserve">, </w:t>
            </w:r>
            <w:r w:rsidR="007F68FE" w:rsidRPr="00C01AF3">
              <w:rPr>
                <w:rFonts w:ascii="Times New Roman" w:hAnsi="Times New Roman"/>
                <w:sz w:val="22"/>
                <w:szCs w:val="22"/>
                <w:lang w:val="sr-Latn-ME"/>
              </w:rPr>
              <w:t xml:space="preserve">za </w:t>
            </w:r>
            <w:r w:rsidR="001010E4" w:rsidRPr="00C01AF3">
              <w:rPr>
                <w:rFonts w:ascii="Times New Roman" w:hAnsi="Times New Roman"/>
                <w:sz w:val="22"/>
                <w:szCs w:val="22"/>
                <w:lang w:val="sr-Latn-ME"/>
              </w:rPr>
              <w:t>jedinjenja</w:t>
            </w:r>
            <w:r w:rsidR="00893C69" w:rsidRPr="00C01AF3">
              <w:rPr>
                <w:rFonts w:ascii="Times New Roman" w:hAnsi="Times New Roman"/>
                <w:sz w:val="22"/>
                <w:szCs w:val="22"/>
                <w:lang w:val="sr-Latn-ME"/>
              </w:rPr>
              <w:t xml:space="preserve"> čiji je</w:t>
            </w:r>
            <w:r w:rsidR="000D6334" w:rsidRPr="00C01AF3">
              <w:rPr>
                <w:rFonts w:ascii="Times New Roman" w:hAnsi="Times New Roman"/>
                <w:sz w:val="22"/>
                <w:szCs w:val="22"/>
                <w:lang w:val="sr-Latn-ME"/>
              </w:rPr>
              <w:t xml:space="preserve"> </w:t>
            </w:r>
            <w:r w:rsidRPr="00C01AF3">
              <w:rPr>
                <w:rFonts w:ascii="Times New Roman" w:hAnsi="Times New Roman"/>
                <w:sz w:val="22"/>
                <w:szCs w:val="22"/>
                <w:lang w:val="sr-Latn-ME"/>
              </w:rPr>
              <w:t xml:space="preserve">bubrežni klirens samo 30% ukupnog klirensa iz plazme, nije uočena </w:t>
            </w:r>
            <w:r w:rsidR="001010E4" w:rsidRPr="00C01AF3">
              <w:rPr>
                <w:rFonts w:ascii="Times New Roman" w:hAnsi="Times New Roman"/>
                <w:sz w:val="22"/>
                <w:szCs w:val="22"/>
                <w:lang w:val="sr-Latn-ME"/>
              </w:rPr>
              <w:t>povezanost</w:t>
            </w:r>
            <w:r w:rsidRPr="00C01AF3">
              <w:rPr>
                <w:rFonts w:ascii="Times New Roman" w:hAnsi="Times New Roman"/>
                <w:sz w:val="22"/>
                <w:szCs w:val="22"/>
                <w:lang w:val="sr-Latn-ME"/>
              </w:rPr>
              <w:t xml:space="preserve"> između funkcije bubrega i sistemske izloženosti valsartanu.</w:t>
            </w:r>
          </w:p>
          <w:p w:rsidR="00633FCB" w:rsidRPr="00C01AF3" w:rsidRDefault="00633FCB" w:rsidP="000D6334">
            <w:pPr>
              <w:jc w:val="left"/>
              <w:rPr>
                <w:rFonts w:ascii="Times New Roman" w:hAnsi="Times New Roman"/>
                <w:sz w:val="22"/>
                <w:szCs w:val="22"/>
                <w:lang w:val="sr-Latn-ME"/>
              </w:rPr>
            </w:pPr>
          </w:p>
          <w:p w:rsidR="00633FCB" w:rsidRPr="00C01AF3" w:rsidRDefault="00633FCB" w:rsidP="000D6334">
            <w:pPr>
              <w:jc w:val="left"/>
              <w:rPr>
                <w:rFonts w:ascii="Times New Roman" w:hAnsi="Times New Roman"/>
                <w:sz w:val="22"/>
                <w:szCs w:val="22"/>
                <w:lang w:val="sr-Latn-ME"/>
              </w:rPr>
            </w:pPr>
            <w:r w:rsidRPr="00C01AF3">
              <w:rPr>
                <w:rFonts w:ascii="Times New Roman" w:hAnsi="Times New Roman"/>
                <w:sz w:val="22"/>
                <w:szCs w:val="22"/>
                <w:lang w:val="sr-Latn-ME"/>
              </w:rPr>
              <w:t xml:space="preserve">Pacijenti sa blagim </w:t>
            </w:r>
            <w:r w:rsidR="000012E0" w:rsidRPr="00C01AF3">
              <w:rPr>
                <w:rFonts w:ascii="Times New Roman" w:hAnsi="Times New Roman"/>
                <w:sz w:val="22"/>
                <w:szCs w:val="22"/>
                <w:lang w:val="sr-Latn-ME"/>
              </w:rPr>
              <w:t>do</w:t>
            </w:r>
            <w:r w:rsidR="00B60AA4" w:rsidRPr="00C01AF3">
              <w:rPr>
                <w:rFonts w:ascii="Times New Roman" w:hAnsi="Times New Roman"/>
                <w:sz w:val="22"/>
                <w:szCs w:val="22"/>
                <w:lang w:val="sr-Latn-ME"/>
              </w:rPr>
              <w:t xml:space="preserve"> </w:t>
            </w:r>
            <w:r w:rsidR="00BD0291" w:rsidRPr="00C01AF3">
              <w:rPr>
                <w:rFonts w:ascii="Times New Roman" w:hAnsi="Times New Roman"/>
                <w:sz w:val="22"/>
                <w:szCs w:val="22"/>
                <w:lang w:val="sr-Latn-ME"/>
              </w:rPr>
              <w:t>umjeren</w:t>
            </w:r>
            <w:r w:rsidRPr="00C01AF3">
              <w:rPr>
                <w:rFonts w:ascii="Times New Roman" w:hAnsi="Times New Roman"/>
                <w:sz w:val="22"/>
                <w:szCs w:val="22"/>
                <w:lang w:val="sr-Latn-ME"/>
              </w:rPr>
              <w:t>im poremećajem funkcije bubrega mogu prema tome primi</w:t>
            </w:r>
            <w:r w:rsidR="00B60AA4" w:rsidRPr="00C01AF3">
              <w:rPr>
                <w:rFonts w:ascii="Times New Roman" w:hAnsi="Times New Roman"/>
                <w:sz w:val="22"/>
                <w:szCs w:val="22"/>
                <w:lang w:val="sr-Latn-ME"/>
              </w:rPr>
              <w:t>ti uobičajenu početnu dozu (</w:t>
            </w:r>
            <w:r w:rsidR="00BD0291" w:rsidRPr="00C01AF3">
              <w:rPr>
                <w:rFonts w:ascii="Times New Roman" w:hAnsi="Times New Roman"/>
                <w:sz w:val="22"/>
                <w:szCs w:val="22"/>
                <w:lang w:val="sr-Latn-ME"/>
              </w:rPr>
              <w:t>vidjet</w:t>
            </w:r>
            <w:r w:rsidR="00B60AA4" w:rsidRPr="00C01AF3">
              <w:rPr>
                <w:rFonts w:ascii="Times New Roman" w:hAnsi="Times New Roman"/>
                <w:sz w:val="22"/>
                <w:szCs w:val="22"/>
                <w:lang w:val="sr-Latn-ME"/>
              </w:rPr>
              <w:t xml:space="preserve">i </w:t>
            </w:r>
            <w:r w:rsidR="00BD0291" w:rsidRPr="00C01AF3">
              <w:rPr>
                <w:rFonts w:ascii="Times New Roman" w:hAnsi="Times New Roman"/>
                <w:sz w:val="22"/>
                <w:szCs w:val="22"/>
                <w:lang w:val="sr-Latn-ME"/>
              </w:rPr>
              <w:t>odjelj</w:t>
            </w:r>
            <w:r w:rsidRPr="00C01AF3">
              <w:rPr>
                <w:rFonts w:ascii="Times New Roman" w:hAnsi="Times New Roman"/>
                <w:sz w:val="22"/>
                <w:szCs w:val="22"/>
                <w:lang w:val="sr-Latn-ME"/>
              </w:rPr>
              <w:t>ak 4.2. i 4.4.)</w:t>
            </w:r>
            <w:r w:rsidR="00B60AA4" w:rsidRPr="00C01AF3">
              <w:rPr>
                <w:rFonts w:ascii="Times New Roman" w:hAnsi="Times New Roman"/>
                <w:sz w:val="22"/>
                <w:szCs w:val="22"/>
                <w:lang w:val="sr-Latn-ME"/>
              </w:rPr>
              <w:t>.</w:t>
            </w:r>
          </w:p>
          <w:p w:rsidR="00633FCB" w:rsidRPr="00C01AF3" w:rsidRDefault="00633FCB" w:rsidP="000D6334">
            <w:pPr>
              <w:jc w:val="left"/>
              <w:rPr>
                <w:rFonts w:ascii="Times New Roman" w:hAnsi="Times New Roman"/>
                <w:sz w:val="22"/>
                <w:szCs w:val="22"/>
                <w:lang w:val="sr-Latn-ME"/>
              </w:rPr>
            </w:pPr>
          </w:p>
          <w:p w:rsidR="00021EF2" w:rsidRPr="00C01AF3" w:rsidRDefault="00B51990" w:rsidP="000D6334">
            <w:pPr>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 xml:space="preserve">Kod poremećaja funkcije </w:t>
            </w:r>
            <w:r w:rsidR="00633FCB" w:rsidRPr="00C01AF3">
              <w:rPr>
                <w:rFonts w:ascii="Times New Roman" w:hAnsi="Times New Roman"/>
                <w:color w:val="000000"/>
                <w:sz w:val="22"/>
                <w:szCs w:val="22"/>
                <w:lang w:val="sr-Latn-ME"/>
              </w:rPr>
              <w:t xml:space="preserve">bubrega, srednje </w:t>
            </w:r>
            <w:r w:rsidRPr="00C01AF3">
              <w:rPr>
                <w:rFonts w:ascii="Times New Roman" w:hAnsi="Times New Roman"/>
                <w:color w:val="000000"/>
                <w:sz w:val="22"/>
                <w:szCs w:val="22"/>
                <w:lang w:val="sr-Latn-ME"/>
              </w:rPr>
              <w:t xml:space="preserve">maksimalne </w:t>
            </w:r>
            <w:r w:rsidR="004853F5" w:rsidRPr="00C01AF3">
              <w:rPr>
                <w:rFonts w:ascii="Times New Roman" w:hAnsi="Times New Roman"/>
                <w:color w:val="000000"/>
                <w:sz w:val="22"/>
                <w:szCs w:val="22"/>
                <w:lang w:val="sr-Latn-ME"/>
              </w:rPr>
              <w:t>vrijedno</w:t>
            </w:r>
            <w:r w:rsidR="00633FCB" w:rsidRPr="00C01AF3">
              <w:rPr>
                <w:rFonts w:ascii="Times New Roman" w:hAnsi="Times New Roman"/>
                <w:color w:val="000000"/>
                <w:sz w:val="22"/>
                <w:szCs w:val="22"/>
                <w:lang w:val="sr-Latn-ME"/>
              </w:rPr>
              <w:t>sti</w:t>
            </w:r>
            <w:r w:rsidRPr="00C01AF3">
              <w:rPr>
                <w:rFonts w:ascii="Times New Roman" w:hAnsi="Times New Roman"/>
                <w:color w:val="000000"/>
                <w:sz w:val="22"/>
                <w:szCs w:val="22"/>
                <w:lang w:val="sr-Latn-ME"/>
              </w:rPr>
              <w:t xml:space="preserve"> u  plazmi</w:t>
            </w:r>
            <w:r w:rsidR="00633FCB" w:rsidRPr="00C01AF3">
              <w:rPr>
                <w:rFonts w:ascii="Times New Roman" w:hAnsi="Times New Roman"/>
                <w:color w:val="000000"/>
                <w:sz w:val="22"/>
                <w:szCs w:val="22"/>
                <w:lang w:val="sr-Latn-ME"/>
              </w:rPr>
              <w:t xml:space="preserve"> i PIK </w:t>
            </w:r>
            <w:r w:rsidR="004853F5" w:rsidRPr="00C01AF3">
              <w:rPr>
                <w:rFonts w:ascii="Times New Roman" w:hAnsi="Times New Roman"/>
                <w:color w:val="000000"/>
                <w:sz w:val="22"/>
                <w:szCs w:val="22"/>
                <w:lang w:val="sr-Latn-ME"/>
              </w:rPr>
              <w:t>vrijedno</w:t>
            </w:r>
            <w:r w:rsidR="00633FCB" w:rsidRPr="00C01AF3">
              <w:rPr>
                <w:rFonts w:ascii="Times New Roman" w:hAnsi="Times New Roman"/>
                <w:color w:val="000000"/>
                <w:sz w:val="22"/>
                <w:szCs w:val="22"/>
                <w:lang w:val="sr-Latn-ME"/>
              </w:rPr>
              <w:t xml:space="preserve">sti </w:t>
            </w:r>
            <w:r w:rsidR="007C4A86" w:rsidRPr="00C01AF3">
              <w:rPr>
                <w:rFonts w:ascii="Times New Roman" w:hAnsi="Times New Roman"/>
                <w:color w:val="000000"/>
                <w:sz w:val="22"/>
                <w:szCs w:val="22"/>
                <w:lang w:val="sr-Latn-ME"/>
              </w:rPr>
              <w:t>hidrohlortiazid</w:t>
            </w:r>
            <w:r w:rsidR="00633FCB" w:rsidRPr="00C01AF3">
              <w:rPr>
                <w:rFonts w:ascii="Times New Roman" w:hAnsi="Times New Roman"/>
                <w:color w:val="000000"/>
                <w:sz w:val="22"/>
                <w:szCs w:val="22"/>
                <w:lang w:val="sr-Latn-ME"/>
              </w:rPr>
              <w:t xml:space="preserve">a su povećane a izlučivanje urina smanjeno. Kod pacijenata sa blagim do </w:t>
            </w:r>
            <w:r w:rsidR="00BD0291" w:rsidRPr="00C01AF3">
              <w:rPr>
                <w:rFonts w:ascii="Times New Roman" w:hAnsi="Times New Roman"/>
                <w:color w:val="000000"/>
                <w:sz w:val="22"/>
                <w:szCs w:val="22"/>
                <w:lang w:val="sr-Latn-ME"/>
              </w:rPr>
              <w:t>umjeren</w:t>
            </w:r>
            <w:r w:rsidR="00633FCB" w:rsidRPr="00C01AF3">
              <w:rPr>
                <w:rFonts w:ascii="Times New Roman" w:hAnsi="Times New Roman"/>
                <w:color w:val="000000"/>
                <w:sz w:val="22"/>
                <w:szCs w:val="22"/>
                <w:lang w:val="sr-Latn-ME"/>
              </w:rPr>
              <w:t xml:space="preserve">im </w:t>
            </w:r>
            <w:r w:rsidR="000012E0" w:rsidRPr="00C01AF3">
              <w:rPr>
                <w:rFonts w:ascii="Times New Roman" w:hAnsi="Times New Roman"/>
                <w:color w:val="000000"/>
                <w:sz w:val="22"/>
                <w:szCs w:val="22"/>
                <w:lang w:val="sr-Latn-ME"/>
              </w:rPr>
              <w:t>poremećajem funkcije bubrega</w:t>
            </w:r>
            <w:r w:rsidR="00633FCB" w:rsidRPr="00C01AF3">
              <w:rPr>
                <w:rFonts w:ascii="Times New Roman" w:hAnsi="Times New Roman"/>
                <w:color w:val="000000"/>
                <w:sz w:val="22"/>
                <w:szCs w:val="22"/>
                <w:lang w:val="sr-Latn-ME"/>
              </w:rPr>
              <w:t xml:space="preserve">, zapaženo je 3 puta veće povećanje PIK-a </w:t>
            </w:r>
            <w:r w:rsidR="007C4A86" w:rsidRPr="00C01AF3">
              <w:rPr>
                <w:rFonts w:ascii="Times New Roman" w:hAnsi="Times New Roman"/>
                <w:color w:val="000000"/>
                <w:sz w:val="22"/>
                <w:szCs w:val="22"/>
                <w:lang w:val="sr-Latn-ME"/>
              </w:rPr>
              <w:t>hidrohlortiazid</w:t>
            </w:r>
            <w:r w:rsidR="00633FCB" w:rsidRPr="00C01AF3">
              <w:rPr>
                <w:rFonts w:ascii="Times New Roman" w:hAnsi="Times New Roman"/>
                <w:color w:val="000000"/>
                <w:sz w:val="22"/>
                <w:szCs w:val="22"/>
                <w:lang w:val="sr-Latn-ME"/>
              </w:rPr>
              <w:t xml:space="preserve">a. Kod pacijenata sa teškim </w:t>
            </w:r>
            <w:r w:rsidR="00733569" w:rsidRPr="00C01AF3">
              <w:rPr>
                <w:rFonts w:ascii="Times New Roman" w:hAnsi="Times New Roman"/>
                <w:color w:val="000000"/>
                <w:sz w:val="22"/>
                <w:szCs w:val="22"/>
                <w:lang w:val="sr-Latn-ME"/>
              </w:rPr>
              <w:t>poremećajem funkcije</w:t>
            </w:r>
            <w:r w:rsidR="00633FCB" w:rsidRPr="00C01AF3">
              <w:rPr>
                <w:rFonts w:ascii="Times New Roman" w:hAnsi="Times New Roman"/>
                <w:color w:val="000000"/>
                <w:sz w:val="22"/>
                <w:szCs w:val="22"/>
                <w:lang w:val="sr-Latn-ME"/>
              </w:rPr>
              <w:t xml:space="preserve"> bubrega </w:t>
            </w:r>
            <w:r w:rsidR="003309F3" w:rsidRPr="00C01AF3">
              <w:rPr>
                <w:rFonts w:ascii="Times New Roman" w:hAnsi="Times New Roman"/>
                <w:color w:val="000000"/>
                <w:sz w:val="22"/>
                <w:szCs w:val="22"/>
                <w:lang w:val="sr-Latn-ME"/>
              </w:rPr>
              <w:t>zabilje</w:t>
            </w:r>
            <w:r w:rsidR="00633FCB" w:rsidRPr="00C01AF3">
              <w:rPr>
                <w:rFonts w:ascii="Times New Roman" w:hAnsi="Times New Roman"/>
                <w:color w:val="000000"/>
                <w:sz w:val="22"/>
                <w:szCs w:val="22"/>
                <w:lang w:val="sr-Latn-ME"/>
              </w:rPr>
              <w:t xml:space="preserve">ženo je da se PIK povećao 8 puta. </w:t>
            </w:r>
            <w:r w:rsidR="000012E0" w:rsidRPr="00C01AF3">
              <w:rPr>
                <w:rFonts w:ascii="Times New Roman" w:hAnsi="Times New Roman"/>
                <w:color w:val="000000"/>
                <w:sz w:val="22"/>
                <w:szCs w:val="22"/>
                <w:lang w:val="sr-Latn-ME"/>
              </w:rPr>
              <w:t xml:space="preserve">Exforge HCT </w:t>
            </w:r>
            <w:r w:rsidR="00633FCB" w:rsidRPr="00C01AF3">
              <w:rPr>
                <w:rFonts w:ascii="Times New Roman" w:hAnsi="Times New Roman"/>
                <w:color w:val="000000"/>
                <w:sz w:val="22"/>
                <w:szCs w:val="22"/>
                <w:lang w:val="sr-Latn-ME"/>
              </w:rPr>
              <w:t xml:space="preserve">je kontraindikovan kod pacijenata sa teškim </w:t>
            </w:r>
            <w:r w:rsidR="000012E0" w:rsidRPr="00C01AF3">
              <w:rPr>
                <w:rFonts w:ascii="Times New Roman" w:hAnsi="Times New Roman"/>
                <w:color w:val="000000"/>
                <w:sz w:val="22"/>
                <w:szCs w:val="22"/>
                <w:lang w:val="sr-Latn-ME"/>
              </w:rPr>
              <w:t xml:space="preserve">poremećajem funkcije </w:t>
            </w:r>
            <w:r w:rsidR="00633FCB" w:rsidRPr="00C01AF3">
              <w:rPr>
                <w:rFonts w:ascii="Times New Roman" w:hAnsi="Times New Roman"/>
                <w:color w:val="000000"/>
                <w:sz w:val="22"/>
                <w:szCs w:val="22"/>
                <w:lang w:val="sr-Latn-ME"/>
              </w:rPr>
              <w:t xml:space="preserve"> bubrega</w:t>
            </w:r>
            <w:r w:rsidR="000012E0" w:rsidRPr="00C01AF3">
              <w:rPr>
                <w:rFonts w:ascii="Times New Roman" w:hAnsi="Times New Roman"/>
                <w:color w:val="000000"/>
                <w:sz w:val="22"/>
                <w:szCs w:val="22"/>
                <w:lang w:val="sr-Latn-ME"/>
              </w:rPr>
              <w:t>, anurijom  i kod pacijenata na dijalizi</w:t>
            </w:r>
            <w:r w:rsidR="000012E0" w:rsidRPr="00C01AF3">
              <w:rPr>
                <w:lang w:val="sr-Latn-ME"/>
              </w:rPr>
              <w:t xml:space="preserve"> </w:t>
            </w:r>
            <w:r w:rsidR="000012E0" w:rsidRPr="00C01AF3">
              <w:rPr>
                <w:rFonts w:ascii="Times New Roman" w:hAnsi="Times New Roman"/>
                <w:color w:val="000000"/>
                <w:sz w:val="22"/>
                <w:szCs w:val="22"/>
                <w:lang w:val="sr-Latn-ME"/>
              </w:rPr>
              <w:t>(</w:t>
            </w:r>
            <w:r w:rsidR="00BD0291" w:rsidRPr="00C01AF3">
              <w:rPr>
                <w:rFonts w:ascii="Times New Roman" w:hAnsi="Times New Roman"/>
                <w:color w:val="000000"/>
                <w:sz w:val="22"/>
                <w:szCs w:val="22"/>
                <w:lang w:val="sr-Latn-ME"/>
              </w:rPr>
              <w:t>vidjet</w:t>
            </w:r>
            <w:r w:rsidR="000012E0" w:rsidRPr="00C01AF3">
              <w:rPr>
                <w:rFonts w:ascii="Times New Roman" w:hAnsi="Times New Roman"/>
                <w:color w:val="000000"/>
                <w:sz w:val="22"/>
                <w:szCs w:val="22"/>
                <w:lang w:val="sr-Latn-ME"/>
              </w:rPr>
              <w:t xml:space="preserve">i </w:t>
            </w:r>
            <w:r w:rsidR="00BD0291" w:rsidRPr="00C01AF3">
              <w:rPr>
                <w:rFonts w:ascii="Times New Roman" w:hAnsi="Times New Roman"/>
                <w:color w:val="000000"/>
                <w:sz w:val="22"/>
                <w:szCs w:val="22"/>
                <w:lang w:val="sr-Latn-ME"/>
              </w:rPr>
              <w:t>odjelj</w:t>
            </w:r>
            <w:r w:rsidR="000012E0" w:rsidRPr="00C01AF3">
              <w:rPr>
                <w:rFonts w:ascii="Times New Roman" w:hAnsi="Times New Roman"/>
                <w:color w:val="000000"/>
                <w:sz w:val="22"/>
                <w:szCs w:val="22"/>
                <w:lang w:val="sr-Latn-ME"/>
              </w:rPr>
              <w:t>ak 4.3)</w:t>
            </w:r>
            <w:r w:rsidR="00EA3333" w:rsidRPr="00C01AF3">
              <w:rPr>
                <w:rFonts w:ascii="Times New Roman" w:hAnsi="Times New Roman"/>
                <w:color w:val="000000"/>
                <w:sz w:val="22"/>
                <w:szCs w:val="22"/>
                <w:lang w:val="sr-Latn-ME"/>
              </w:rPr>
              <w:t>.</w:t>
            </w:r>
          </w:p>
          <w:p w:rsidR="00633FCB" w:rsidRPr="00C01AF3" w:rsidRDefault="00633FCB" w:rsidP="000D6334">
            <w:pPr>
              <w:jc w:val="left"/>
              <w:rPr>
                <w:rFonts w:ascii="Times New Roman" w:hAnsi="Times New Roman"/>
                <w:color w:val="000000"/>
                <w:sz w:val="22"/>
                <w:szCs w:val="22"/>
                <w:lang w:val="sr-Latn-ME"/>
              </w:rPr>
            </w:pPr>
          </w:p>
          <w:p w:rsidR="009D1526" w:rsidRPr="00C01AF3" w:rsidRDefault="009D1526" w:rsidP="000D6334">
            <w:pPr>
              <w:pStyle w:val="Header"/>
              <w:tabs>
                <w:tab w:val="clear" w:pos="4536"/>
                <w:tab w:val="clear" w:pos="9072"/>
                <w:tab w:val="left" w:pos="284"/>
              </w:tabs>
              <w:jc w:val="left"/>
              <w:rPr>
                <w:rFonts w:ascii="Times New Roman" w:hAnsi="Times New Roman" w:cs="Arial"/>
                <w:i/>
                <w:sz w:val="22"/>
                <w:u w:val="single"/>
                <w:lang w:val="sr-Latn-ME"/>
              </w:rPr>
            </w:pPr>
            <w:r w:rsidRPr="00C01AF3">
              <w:rPr>
                <w:rFonts w:ascii="Times New Roman" w:hAnsi="Times New Roman" w:cs="Arial"/>
                <w:i/>
                <w:sz w:val="22"/>
                <w:u w:val="single"/>
                <w:lang w:val="sr-Latn-ME"/>
              </w:rPr>
              <w:t xml:space="preserve">Pacijenti sa </w:t>
            </w:r>
            <w:r w:rsidR="000B7FC3" w:rsidRPr="00C01AF3">
              <w:rPr>
                <w:rFonts w:ascii="Times New Roman" w:hAnsi="Times New Roman" w:cs="Arial"/>
                <w:i/>
                <w:sz w:val="22"/>
                <w:u w:val="single"/>
                <w:lang w:val="sr-Latn-ME"/>
              </w:rPr>
              <w:t>poremećajem funkcije</w:t>
            </w:r>
            <w:r w:rsidR="000D6334" w:rsidRPr="00C01AF3">
              <w:rPr>
                <w:rFonts w:ascii="Times New Roman" w:hAnsi="Times New Roman" w:cs="Arial"/>
                <w:i/>
                <w:sz w:val="22"/>
                <w:u w:val="single"/>
                <w:lang w:val="sr-Latn-ME"/>
              </w:rPr>
              <w:t xml:space="preserve"> </w:t>
            </w:r>
            <w:r w:rsidRPr="00C01AF3">
              <w:rPr>
                <w:rFonts w:ascii="Times New Roman" w:hAnsi="Times New Roman" w:cs="Arial"/>
                <w:i/>
                <w:sz w:val="22"/>
                <w:u w:val="single"/>
                <w:lang w:val="sr-Latn-ME"/>
              </w:rPr>
              <w:t>jetre</w:t>
            </w:r>
          </w:p>
          <w:p w:rsidR="009D1526" w:rsidRPr="00C01AF3" w:rsidRDefault="00582AC1" w:rsidP="000D6334">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D</w:t>
            </w:r>
            <w:r w:rsidR="00E23454" w:rsidRPr="00C01AF3">
              <w:rPr>
                <w:rFonts w:ascii="Times New Roman" w:hAnsi="Times New Roman" w:cs="Arial"/>
                <w:sz w:val="22"/>
                <w:lang w:val="sr-Latn-ME"/>
              </w:rPr>
              <w:t xml:space="preserve">ostupni su veoma ograničeni </w:t>
            </w:r>
            <w:r w:rsidR="00F07C41" w:rsidRPr="00C01AF3">
              <w:rPr>
                <w:rFonts w:ascii="Times New Roman" w:hAnsi="Times New Roman" w:cs="Arial"/>
                <w:sz w:val="22"/>
                <w:lang w:val="sr-Latn-ME"/>
              </w:rPr>
              <w:t xml:space="preserve">klinički </w:t>
            </w:r>
            <w:r w:rsidR="00E23454" w:rsidRPr="00C01AF3">
              <w:rPr>
                <w:rFonts w:ascii="Times New Roman" w:hAnsi="Times New Roman" w:cs="Arial"/>
                <w:sz w:val="22"/>
                <w:lang w:val="sr-Latn-ME"/>
              </w:rPr>
              <w:t xml:space="preserve">podaci o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ni amlodipi</w:t>
            </w:r>
            <w:r w:rsidR="00E23454" w:rsidRPr="00C01AF3">
              <w:rPr>
                <w:rFonts w:ascii="Times New Roman" w:hAnsi="Times New Roman" w:cs="Arial"/>
                <w:sz w:val="22"/>
                <w:lang w:val="sr-Latn-ME"/>
              </w:rPr>
              <w:t>na kod pacijenata sa poremećajem funkcije</w:t>
            </w:r>
            <w:r w:rsidRPr="00C01AF3">
              <w:rPr>
                <w:rFonts w:ascii="Times New Roman" w:hAnsi="Times New Roman" w:cs="Arial"/>
                <w:sz w:val="22"/>
                <w:lang w:val="sr-Latn-ME"/>
              </w:rPr>
              <w:t xml:space="preserve"> jetre. </w:t>
            </w:r>
            <w:r w:rsidR="009D1526" w:rsidRPr="00C01AF3">
              <w:rPr>
                <w:rFonts w:ascii="Times New Roman" w:hAnsi="Times New Roman" w:cs="Arial"/>
                <w:sz w:val="22"/>
                <w:lang w:val="sr-Latn-ME"/>
              </w:rPr>
              <w:t xml:space="preserve">Pacijenti sa </w:t>
            </w:r>
            <w:r w:rsidRPr="00C01AF3">
              <w:rPr>
                <w:rFonts w:ascii="Times New Roman" w:hAnsi="Times New Roman" w:cs="Arial"/>
                <w:sz w:val="22"/>
                <w:lang w:val="sr-Latn-ME"/>
              </w:rPr>
              <w:t xml:space="preserve">poremećajem funkcije </w:t>
            </w:r>
            <w:r w:rsidR="009D1526" w:rsidRPr="00C01AF3">
              <w:rPr>
                <w:rFonts w:ascii="Times New Roman" w:hAnsi="Times New Roman" w:cs="Arial"/>
                <w:sz w:val="22"/>
                <w:lang w:val="sr-Latn-ME"/>
              </w:rPr>
              <w:t xml:space="preserve">jetre imaju smanjen klirens amlodipina </w:t>
            </w:r>
            <w:r w:rsidR="00F07C41" w:rsidRPr="00C01AF3">
              <w:rPr>
                <w:rFonts w:ascii="Times New Roman" w:hAnsi="Times New Roman" w:cs="Arial"/>
                <w:sz w:val="22"/>
                <w:lang w:val="sr-Latn-ME"/>
              </w:rPr>
              <w:t xml:space="preserve">što dovodi do </w:t>
            </w:r>
            <w:r w:rsidR="009D1526" w:rsidRPr="00C01AF3">
              <w:rPr>
                <w:rFonts w:ascii="Times New Roman" w:hAnsi="Times New Roman" w:cs="Arial"/>
                <w:sz w:val="22"/>
                <w:lang w:val="sr-Latn-ME"/>
              </w:rPr>
              <w:t>povećanj</w:t>
            </w:r>
            <w:r w:rsidR="00F07C41" w:rsidRPr="00C01AF3">
              <w:rPr>
                <w:rFonts w:ascii="Times New Roman" w:hAnsi="Times New Roman" w:cs="Arial"/>
                <w:sz w:val="22"/>
                <w:lang w:val="sr-Latn-ME"/>
              </w:rPr>
              <w:t>a</w:t>
            </w:r>
            <w:r w:rsidR="009D1526" w:rsidRPr="00C01AF3">
              <w:rPr>
                <w:rFonts w:ascii="Times New Roman" w:hAnsi="Times New Roman" w:cs="Arial"/>
                <w:sz w:val="22"/>
                <w:lang w:val="sr-Latn-ME"/>
              </w:rPr>
              <w:t xml:space="preserve"> PIK za otprilike 40-</w:t>
            </w:r>
            <w:r w:rsidR="00F07C41" w:rsidRPr="00C01AF3">
              <w:rPr>
                <w:rFonts w:ascii="Times New Roman" w:hAnsi="Times New Roman" w:cs="Arial"/>
                <w:sz w:val="22"/>
                <w:lang w:val="sr-Latn-ME"/>
              </w:rPr>
              <w:t>60</w:t>
            </w:r>
            <w:r w:rsidR="009D1526" w:rsidRPr="00C01AF3">
              <w:rPr>
                <w:rFonts w:ascii="Times New Roman" w:hAnsi="Times New Roman" w:cs="Arial"/>
                <w:sz w:val="22"/>
                <w:lang w:val="sr-Latn-ME"/>
              </w:rPr>
              <w:t xml:space="preserve">%. U </w:t>
            </w:r>
            <w:r w:rsidR="000001B3" w:rsidRPr="00C01AF3">
              <w:rPr>
                <w:rFonts w:ascii="Times New Roman" w:hAnsi="Times New Roman" w:cs="Arial"/>
                <w:sz w:val="22"/>
                <w:lang w:val="sr-Latn-ME"/>
              </w:rPr>
              <w:t>prosjek</w:t>
            </w:r>
            <w:r w:rsidR="009D1526" w:rsidRPr="00C01AF3">
              <w:rPr>
                <w:rFonts w:ascii="Times New Roman" w:hAnsi="Times New Roman" w:cs="Arial"/>
                <w:sz w:val="22"/>
                <w:lang w:val="sr-Latn-ME"/>
              </w:rPr>
              <w:t xml:space="preserve">u, kod pacijenata sa blagim do </w:t>
            </w:r>
            <w:r w:rsidR="00BD0291" w:rsidRPr="00C01AF3">
              <w:rPr>
                <w:rFonts w:ascii="Times New Roman" w:hAnsi="Times New Roman" w:cs="Arial"/>
                <w:sz w:val="22"/>
                <w:lang w:val="sr-Latn-ME"/>
              </w:rPr>
              <w:t>umjeren</w:t>
            </w:r>
            <w:r w:rsidR="009D1526" w:rsidRPr="00C01AF3">
              <w:rPr>
                <w:rFonts w:ascii="Times New Roman" w:hAnsi="Times New Roman" w:cs="Arial"/>
                <w:sz w:val="22"/>
                <w:lang w:val="sr-Latn-ME"/>
              </w:rPr>
              <w:t xml:space="preserve">im hroničnim oboljenjem jetre, izloženost (određeno preko </w:t>
            </w:r>
            <w:r w:rsidR="006D3071" w:rsidRPr="00C01AF3">
              <w:rPr>
                <w:rFonts w:ascii="Times New Roman" w:hAnsi="Times New Roman" w:cs="Arial"/>
                <w:sz w:val="22"/>
                <w:lang w:val="sr-Latn-ME"/>
              </w:rPr>
              <w:t xml:space="preserve">PIK </w:t>
            </w:r>
            <w:r w:rsidR="009D1526" w:rsidRPr="00C01AF3">
              <w:rPr>
                <w:rFonts w:ascii="Times New Roman" w:hAnsi="Times New Roman" w:cs="Arial"/>
                <w:sz w:val="22"/>
                <w:lang w:val="sr-Latn-ME"/>
              </w:rPr>
              <w:t>vr</w:t>
            </w:r>
            <w:r w:rsidR="006D3071" w:rsidRPr="00C01AF3">
              <w:rPr>
                <w:rFonts w:ascii="Times New Roman" w:hAnsi="Times New Roman" w:cs="Arial"/>
                <w:sz w:val="22"/>
                <w:lang w:val="sr-Latn-ME"/>
              </w:rPr>
              <w:t>i</w:t>
            </w:r>
            <w:r w:rsidR="00CC3877" w:rsidRPr="00C01AF3">
              <w:rPr>
                <w:rFonts w:ascii="Times New Roman" w:hAnsi="Times New Roman" w:cs="Arial"/>
                <w:sz w:val="22"/>
                <w:lang w:val="sr-Latn-ME"/>
              </w:rPr>
              <w:t>j</w:t>
            </w:r>
            <w:r w:rsidR="006D3071" w:rsidRPr="00C01AF3">
              <w:rPr>
                <w:rFonts w:ascii="Times New Roman" w:hAnsi="Times New Roman" w:cs="Arial"/>
                <w:sz w:val="22"/>
                <w:lang w:val="sr-Latn-ME"/>
              </w:rPr>
              <w:t>ednosti</w:t>
            </w:r>
            <w:r w:rsidR="009D1526" w:rsidRPr="00C01AF3">
              <w:rPr>
                <w:rFonts w:ascii="Times New Roman" w:hAnsi="Times New Roman" w:cs="Arial"/>
                <w:sz w:val="22"/>
                <w:lang w:val="sr-Latn-ME"/>
              </w:rPr>
              <w:t>) valsartanu je dva puta viša u odnosu na onu određenu kod zdravih dobrovoljaca (</w:t>
            </w:r>
            <w:r w:rsidR="000B4038" w:rsidRPr="00C01AF3">
              <w:rPr>
                <w:rFonts w:ascii="Times New Roman" w:hAnsi="Times New Roman" w:cs="Arial"/>
                <w:sz w:val="22"/>
                <w:lang w:val="sr-Latn-ME"/>
              </w:rPr>
              <w:t xml:space="preserve">odgovarajućih </w:t>
            </w:r>
            <w:r w:rsidR="009D1526" w:rsidRPr="00C01AF3">
              <w:rPr>
                <w:rFonts w:ascii="Times New Roman" w:hAnsi="Times New Roman" w:cs="Arial"/>
                <w:sz w:val="22"/>
                <w:lang w:val="sr-Latn-ME"/>
              </w:rPr>
              <w:t>godina, pol</w:t>
            </w:r>
            <w:r w:rsidR="000B4038" w:rsidRPr="00C01AF3">
              <w:rPr>
                <w:rFonts w:ascii="Times New Roman" w:hAnsi="Times New Roman" w:cs="Arial"/>
                <w:sz w:val="22"/>
                <w:lang w:val="sr-Latn-ME"/>
              </w:rPr>
              <w:t>a</w:t>
            </w:r>
            <w:r w:rsidR="009D1526" w:rsidRPr="00C01AF3">
              <w:rPr>
                <w:rFonts w:ascii="Times New Roman" w:hAnsi="Times New Roman" w:cs="Arial"/>
                <w:sz w:val="22"/>
                <w:lang w:val="sr-Latn-ME"/>
              </w:rPr>
              <w:t xml:space="preserve"> i </w:t>
            </w:r>
            <w:r w:rsidR="005A518B" w:rsidRPr="00C01AF3">
              <w:rPr>
                <w:rFonts w:ascii="Times New Roman" w:hAnsi="Times New Roman" w:cs="Arial"/>
                <w:sz w:val="22"/>
                <w:lang w:val="sr-Latn-ME"/>
              </w:rPr>
              <w:t>tjeles</w:t>
            </w:r>
            <w:r w:rsidR="009D1526" w:rsidRPr="00C01AF3">
              <w:rPr>
                <w:rFonts w:ascii="Times New Roman" w:hAnsi="Times New Roman" w:cs="Arial"/>
                <w:sz w:val="22"/>
                <w:lang w:val="sr-Latn-ME"/>
              </w:rPr>
              <w:t>n</w:t>
            </w:r>
            <w:r w:rsidR="000B4038" w:rsidRPr="00C01AF3">
              <w:rPr>
                <w:rFonts w:ascii="Times New Roman" w:hAnsi="Times New Roman" w:cs="Arial"/>
                <w:sz w:val="22"/>
                <w:lang w:val="sr-Latn-ME"/>
              </w:rPr>
              <w:t>e mase</w:t>
            </w:r>
            <w:r w:rsidR="009D1526" w:rsidRPr="00C01AF3">
              <w:rPr>
                <w:rFonts w:ascii="Times New Roman" w:hAnsi="Times New Roman" w:cs="Arial"/>
                <w:sz w:val="22"/>
                <w:lang w:val="sr-Latn-ME"/>
              </w:rPr>
              <w:t xml:space="preserve">). </w:t>
            </w:r>
            <w:r w:rsidR="0000646F" w:rsidRPr="00C01AF3">
              <w:rPr>
                <w:rFonts w:ascii="Times New Roman" w:hAnsi="Times New Roman" w:cs="Arial"/>
                <w:sz w:val="22"/>
                <w:lang w:val="sr-Latn-ME"/>
              </w:rPr>
              <w:t>Zbog komponente valsartana, Exforge HCT je kontraindikovan kod pacijenata sa poremećajem funkcije jetre</w:t>
            </w:r>
            <w:r w:rsidR="0003444B" w:rsidRPr="00C01AF3">
              <w:rPr>
                <w:rFonts w:ascii="Times New Roman" w:hAnsi="Times New Roman" w:cs="Arial"/>
                <w:sz w:val="22"/>
                <w:lang w:val="sr-Latn-ME"/>
              </w:rPr>
              <w:t xml:space="preserve"> (vid</w:t>
            </w:r>
            <w:r w:rsidR="000012E0" w:rsidRPr="00C01AF3">
              <w:rPr>
                <w:rFonts w:ascii="Times New Roman" w:hAnsi="Times New Roman" w:cs="Arial"/>
                <w:sz w:val="22"/>
                <w:lang w:val="sr-Latn-ME"/>
              </w:rPr>
              <w:t>j</w:t>
            </w:r>
            <w:r w:rsidR="0003444B" w:rsidRPr="00C01AF3">
              <w:rPr>
                <w:rFonts w:ascii="Times New Roman" w:hAnsi="Times New Roman" w:cs="Arial"/>
                <w:sz w:val="22"/>
                <w:lang w:val="sr-Latn-ME"/>
              </w:rPr>
              <w:t xml:space="preserve">eti </w:t>
            </w:r>
            <w:r w:rsidR="00BD0291" w:rsidRPr="00C01AF3">
              <w:rPr>
                <w:rFonts w:ascii="Times New Roman" w:hAnsi="Times New Roman" w:cs="Arial"/>
                <w:sz w:val="22"/>
                <w:lang w:val="sr-Latn-ME"/>
              </w:rPr>
              <w:t>odjelj</w:t>
            </w:r>
            <w:r w:rsidR="0003444B" w:rsidRPr="00C01AF3">
              <w:rPr>
                <w:rFonts w:ascii="Times New Roman" w:hAnsi="Times New Roman" w:cs="Arial"/>
                <w:sz w:val="22"/>
                <w:lang w:val="sr-Latn-ME"/>
              </w:rPr>
              <w:t>ak</w:t>
            </w:r>
            <w:r w:rsidR="009D1526" w:rsidRPr="00C01AF3">
              <w:rPr>
                <w:rFonts w:ascii="Times New Roman" w:hAnsi="Times New Roman" w:cs="Arial"/>
                <w:sz w:val="22"/>
                <w:lang w:val="sr-Latn-ME"/>
              </w:rPr>
              <w:t xml:space="preserve"> 4.2</w:t>
            </w:r>
            <w:r w:rsidR="0000646F" w:rsidRPr="00C01AF3">
              <w:rPr>
                <w:rFonts w:ascii="Times New Roman" w:hAnsi="Times New Roman" w:cs="Arial"/>
                <w:sz w:val="22"/>
                <w:lang w:val="sr-Latn-ME"/>
              </w:rPr>
              <w:t xml:space="preserve"> i 4.3).</w:t>
            </w:r>
          </w:p>
          <w:p w:rsidR="0003444B" w:rsidRPr="00C01AF3" w:rsidRDefault="0003444B" w:rsidP="00EF624C">
            <w:pPr>
              <w:pStyle w:val="Header"/>
              <w:tabs>
                <w:tab w:val="clear" w:pos="4536"/>
                <w:tab w:val="clear" w:pos="9072"/>
                <w:tab w:val="left" w:pos="284"/>
              </w:tabs>
              <w:jc w:val="left"/>
              <w:rPr>
                <w:rFonts w:ascii="Times New Roman" w:hAnsi="Times New Roman" w:cs="Arial"/>
                <w:b/>
                <w:bCs/>
                <w:i/>
                <w:sz w:val="22"/>
                <w:lang w:val="sr-Latn-ME"/>
              </w:rPr>
            </w:pPr>
          </w:p>
        </w:tc>
      </w:tr>
      <w:tr w:rsidR="00834DBB" w:rsidRPr="00C01AF3" w:rsidTr="00DE0A48">
        <w:tc>
          <w:tcPr>
            <w:tcW w:w="10188" w:type="dxa"/>
            <w:gridSpan w:val="3"/>
            <w:vAlign w:val="center"/>
          </w:tcPr>
          <w:p w:rsidR="00834DBB" w:rsidRPr="00C01AF3" w:rsidRDefault="00842FF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5.3. Pret</w:t>
            </w:r>
            <w:r w:rsidR="00834DBB" w:rsidRPr="00C01AF3">
              <w:rPr>
                <w:rFonts w:ascii="Times New Roman" w:hAnsi="Times New Roman"/>
                <w:b/>
                <w:bCs/>
                <w:sz w:val="22"/>
                <w:szCs w:val="22"/>
                <w:lang w:val="sr-Latn-ME"/>
              </w:rPr>
              <w:t>klinički podaci o bezb</w:t>
            </w:r>
            <w:r w:rsidR="000012E0" w:rsidRPr="00C01AF3">
              <w:rPr>
                <w:rFonts w:ascii="Times New Roman" w:hAnsi="Times New Roman"/>
                <w:b/>
                <w:bCs/>
                <w:sz w:val="22"/>
                <w:szCs w:val="22"/>
                <w:lang w:val="sr-Latn-ME"/>
              </w:rPr>
              <w:t>j</w:t>
            </w:r>
            <w:r w:rsidR="00834DBB" w:rsidRPr="00C01AF3">
              <w:rPr>
                <w:rFonts w:ascii="Times New Roman" w:hAnsi="Times New Roman"/>
                <w:b/>
                <w:bCs/>
                <w:sz w:val="22"/>
                <w:szCs w:val="22"/>
                <w:lang w:val="sr-Latn-ME"/>
              </w:rPr>
              <w:t xml:space="preserve">ednosti </w:t>
            </w:r>
            <w:r w:rsidR="00A65414" w:rsidRPr="00C01AF3">
              <w:rPr>
                <w:rFonts w:ascii="Times New Roman" w:hAnsi="Times New Roman"/>
                <w:b/>
                <w:bCs/>
                <w:sz w:val="22"/>
                <w:szCs w:val="22"/>
                <w:lang w:val="sr-Latn-ME"/>
              </w:rPr>
              <w:t>lijek</w:t>
            </w:r>
            <w:r w:rsidR="00834DBB" w:rsidRPr="00C01AF3">
              <w:rPr>
                <w:rFonts w:ascii="Times New Roman" w:hAnsi="Times New Roman"/>
                <w:b/>
                <w:bCs/>
                <w:sz w:val="22"/>
                <w:szCs w:val="22"/>
                <w:lang w:val="sr-Latn-ME"/>
              </w:rPr>
              <w:t>a</w:t>
            </w:r>
          </w:p>
        </w:tc>
      </w:tr>
      <w:tr w:rsidR="00834DBB" w:rsidRPr="00C01AF3" w:rsidTr="00191616">
        <w:trPr>
          <w:trHeight w:val="80"/>
        </w:trPr>
        <w:tc>
          <w:tcPr>
            <w:tcW w:w="10188" w:type="dxa"/>
            <w:gridSpan w:val="3"/>
            <w:vAlign w:val="center"/>
          </w:tcPr>
          <w:p w:rsidR="00BF538F" w:rsidRPr="00C01AF3" w:rsidRDefault="00BF538F" w:rsidP="0076247A">
            <w:pPr>
              <w:tabs>
                <w:tab w:val="clear" w:pos="284"/>
              </w:tabs>
              <w:autoSpaceDE w:val="0"/>
              <w:autoSpaceDN w:val="0"/>
              <w:jc w:val="left"/>
              <w:rPr>
                <w:rFonts w:ascii="Times New Roman" w:hAnsi="Times New Roman"/>
                <w:color w:val="000000"/>
                <w:sz w:val="22"/>
                <w:szCs w:val="22"/>
                <w:u w:val="single"/>
                <w:lang w:val="sr-Latn-ME"/>
              </w:rPr>
            </w:pPr>
            <w:r w:rsidRPr="00C01AF3">
              <w:rPr>
                <w:rFonts w:ascii="Times New Roman" w:hAnsi="Times New Roman"/>
                <w:color w:val="000000"/>
                <w:sz w:val="22"/>
                <w:szCs w:val="22"/>
                <w:u w:val="single"/>
                <w:lang w:val="sr-Latn-ME"/>
              </w:rPr>
              <w:t>Amlodipin/ Valsartan</w:t>
            </w:r>
            <w:r w:rsidR="00142EC9" w:rsidRPr="00C01AF3">
              <w:rPr>
                <w:rFonts w:ascii="Times New Roman" w:hAnsi="Times New Roman"/>
                <w:color w:val="000000"/>
                <w:sz w:val="22"/>
                <w:szCs w:val="22"/>
                <w:u w:val="single"/>
                <w:lang w:val="sr-Latn-ME"/>
              </w:rPr>
              <w:t xml:space="preserve">/ </w:t>
            </w:r>
            <w:r w:rsidR="007C4A86" w:rsidRPr="00C01AF3">
              <w:rPr>
                <w:rFonts w:ascii="Times New Roman" w:hAnsi="Times New Roman"/>
                <w:color w:val="000000"/>
                <w:sz w:val="22"/>
                <w:szCs w:val="22"/>
                <w:u w:val="single"/>
                <w:lang w:val="sr-Latn-ME"/>
              </w:rPr>
              <w:t>Hidrohlortiazid</w:t>
            </w:r>
          </w:p>
          <w:p w:rsidR="00142EC9" w:rsidRPr="00C01AF3" w:rsidRDefault="00142EC9" w:rsidP="0076247A">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U različitim pre</w:t>
            </w:r>
            <w:r w:rsidR="003939D0" w:rsidRPr="00C01AF3">
              <w:rPr>
                <w:rFonts w:ascii="Times New Roman" w:hAnsi="Times New Roman"/>
                <w:color w:val="000000"/>
                <w:sz w:val="22"/>
                <w:szCs w:val="22"/>
                <w:lang w:val="sr-Latn-ME"/>
              </w:rPr>
              <w:t>t</w:t>
            </w:r>
            <w:r w:rsidRPr="00C01AF3">
              <w:rPr>
                <w:rFonts w:ascii="Times New Roman" w:hAnsi="Times New Roman"/>
                <w:color w:val="000000"/>
                <w:sz w:val="22"/>
                <w:szCs w:val="22"/>
                <w:lang w:val="sr-Latn-ME"/>
              </w:rPr>
              <w:t xml:space="preserve">kliničkim </w:t>
            </w:r>
            <w:r w:rsidR="00A20C82" w:rsidRPr="00C01AF3">
              <w:rPr>
                <w:rFonts w:ascii="Times New Roman" w:hAnsi="Times New Roman"/>
                <w:color w:val="000000"/>
                <w:sz w:val="22"/>
                <w:szCs w:val="22"/>
                <w:lang w:val="sr-Latn-ME"/>
              </w:rPr>
              <w:t>studijama</w:t>
            </w:r>
            <w:r w:rsidRPr="00C01AF3">
              <w:rPr>
                <w:rFonts w:ascii="Times New Roman" w:hAnsi="Times New Roman"/>
                <w:color w:val="000000"/>
                <w:sz w:val="22"/>
                <w:szCs w:val="22"/>
                <w:lang w:val="sr-Latn-ME"/>
              </w:rPr>
              <w:t xml:space="preserve"> </w:t>
            </w:r>
            <w:r w:rsidR="00CC3877" w:rsidRPr="00C01AF3">
              <w:rPr>
                <w:rFonts w:ascii="Times New Roman" w:hAnsi="Times New Roman"/>
                <w:color w:val="000000"/>
                <w:sz w:val="22"/>
                <w:szCs w:val="22"/>
                <w:lang w:val="sr-Latn-ME"/>
              </w:rPr>
              <w:t xml:space="preserve">bezbjednosti </w:t>
            </w:r>
            <w:r w:rsidRPr="00C01AF3">
              <w:rPr>
                <w:rFonts w:ascii="Times New Roman" w:hAnsi="Times New Roman"/>
                <w:color w:val="000000"/>
                <w:sz w:val="22"/>
                <w:szCs w:val="22"/>
                <w:lang w:val="sr-Latn-ME"/>
              </w:rPr>
              <w:t xml:space="preserve">sprovedenim na nekoliko životinjskih vrsta sa  amlodipinom, valsartanom, </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om, kombinacijama valsart</w:t>
            </w:r>
            <w:r w:rsidR="00A20C82" w:rsidRPr="00C01AF3">
              <w:rPr>
                <w:rFonts w:ascii="Times New Roman" w:hAnsi="Times New Roman"/>
                <w:color w:val="000000"/>
                <w:sz w:val="22"/>
                <w:szCs w:val="22"/>
                <w:lang w:val="sr-Latn-ME"/>
              </w:rPr>
              <w:t>an</w:t>
            </w:r>
            <w:r w:rsidRPr="00C01AF3">
              <w:rPr>
                <w:rFonts w:ascii="Times New Roman" w:hAnsi="Times New Roman"/>
                <w:color w:val="000000"/>
                <w:sz w:val="22"/>
                <w:szCs w:val="22"/>
                <w:lang w:val="sr-Latn-ME"/>
              </w:rPr>
              <w:t>/</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 amlodipin/valsartan i amlodipin/valsartan/</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 xml:space="preserve"> (Exforge HCT), nema dokaza o sistemskoj i</w:t>
            </w:r>
            <w:r w:rsidR="009E1CE7" w:rsidRPr="00C01AF3">
              <w:rPr>
                <w:rFonts w:ascii="Times New Roman" w:hAnsi="Times New Roman"/>
                <w:color w:val="000000"/>
                <w:sz w:val="22"/>
                <w:szCs w:val="22"/>
                <w:lang w:val="sr-Latn-ME"/>
              </w:rPr>
              <w:t>li</w:t>
            </w:r>
            <w:r w:rsidRPr="00C01AF3">
              <w:rPr>
                <w:rFonts w:ascii="Times New Roman" w:hAnsi="Times New Roman"/>
                <w:color w:val="000000"/>
                <w:sz w:val="22"/>
                <w:szCs w:val="22"/>
                <w:lang w:val="sr-Latn-ME"/>
              </w:rPr>
              <w:t xml:space="preserve"> toksičnosti ciljnog organa koj</w:t>
            </w:r>
            <w:r w:rsidR="009E1CE7" w:rsidRPr="00C01AF3">
              <w:rPr>
                <w:rFonts w:ascii="Times New Roman" w:hAnsi="Times New Roman"/>
                <w:color w:val="000000"/>
                <w:sz w:val="22"/>
                <w:szCs w:val="22"/>
                <w:lang w:val="sr-Latn-ME"/>
              </w:rPr>
              <w:t>i</w:t>
            </w:r>
            <w:r w:rsidRPr="00C01AF3">
              <w:rPr>
                <w:rFonts w:ascii="Times New Roman" w:hAnsi="Times New Roman"/>
                <w:color w:val="000000"/>
                <w:sz w:val="22"/>
                <w:szCs w:val="22"/>
                <w:lang w:val="sr-Latn-ME"/>
              </w:rPr>
              <w:t xml:space="preserve"> bi ne</w:t>
            </w:r>
            <w:r w:rsidR="009E1CE7" w:rsidRPr="00C01AF3">
              <w:rPr>
                <w:rFonts w:ascii="Times New Roman" w:hAnsi="Times New Roman"/>
                <w:color w:val="000000"/>
                <w:sz w:val="22"/>
                <w:szCs w:val="22"/>
                <w:lang w:val="sr-Latn-ME"/>
              </w:rPr>
              <w:t>gativno</w:t>
            </w:r>
            <w:r w:rsidRPr="00C01AF3">
              <w:rPr>
                <w:rFonts w:ascii="Times New Roman" w:hAnsi="Times New Roman"/>
                <w:color w:val="000000"/>
                <w:sz w:val="22"/>
                <w:szCs w:val="22"/>
                <w:lang w:val="sr-Latn-ME"/>
              </w:rPr>
              <w:t xml:space="preserve"> utical</w:t>
            </w:r>
            <w:r w:rsidR="009E1CE7" w:rsidRPr="00C01AF3">
              <w:rPr>
                <w:rFonts w:ascii="Times New Roman" w:hAnsi="Times New Roman"/>
                <w:color w:val="000000"/>
                <w:sz w:val="22"/>
                <w:szCs w:val="22"/>
                <w:lang w:val="sr-Latn-ME"/>
              </w:rPr>
              <w:t xml:space="preserve">i na razvoj </w:t>
            </w:r>
            <w:r w:rsidR="00A65414" w:rsidRPr="00C01AF3">
              <w:rPr>
                <w:rFonts w:ascii="Times New Roman" w:hAnsi="Times New Roman"/>
                <w:color w:val="000000"/>
                <w:sz w:val="22"/>
                <w:szCs w:val="22"/>
                <w:lang w:val="sr-Latn-ME"/>
              </w:rPr>
              <w:t>lijek</w:t>
            </w:r>
            <w:r w:rsidR="009E1CE7" w:rsidRPr="00C01AF3">
              <w:rPr>
                <w:rFonts w:ascii="Times New Roman" w:hAnsi="Times New Roman"/>
                <w:color w:val="000000"/>
                <w:sz w:val="22"/>
                <w:szCs w:val="22"/>
                <w:lang w:val="sr-Latn-ME"/>
              </w:rPr>
              <w:t>a</w:t>
            </w:r>
            <w:r w:rsidRPr="00C01AF3">
              <w:rPr>
                <w:rFonts w:ascii="Times New Roman" w:hAnsi="Times New Roman"/>
                <w:color w:val="000000"/>
                <w:sz w:val="22"/>
                <w:szCs w:val="22"/>
                <w:lang w:val="sr-Latn-ME"/>
              </w:rPr>
              <w:t xml:space="preserve"> Exforge HCT </w:t>
            </w:r>
            <w:r w:rsidR="00CC3877" w:rsidRPr="00C01AF3">
              <w:rPr>
                <w:rFonts w:ascii="Times New Roman" w:hAnsi="Times New Roman"/>
                <w:color w:val="000000"/>
                <w:sz w:val="22"/>
                <w:szCs w:val="22"/>
                <w:lang w:val="sr-Latn-ME"/>
              </w:rPr>
              <w:t>za</w:t>
            </w:r>
            <w:r w:rsidRPr="00C01AF3">
              <w:rPr>
                <w:rFonts w:ascii="Times New Roman" w:hAnsi="Times New Roman"/>
                <w:color w:val="000000"/>
                <w:sz w:val="22"/>
                <w:szCs w:val="22"/>
                <w:lang w:val="sr-Latn-ME"/>
              </w:rPr>
              <w:t xml:space="preserve"> kliničk</w:t>
            </w:r>
            <w:r w:rsidR="00CC3877" w:rsidRPr="00C01AF3">
              <w:rPr>
                <w:rFonts w:ascii="Times New Roman" w:hAnsi="Times New Roman"/>
                <w:color w:val="000000"/>
                <w:sz w:val="22"/>
                <w:szCs w:val="22"/>
                <w:lang w:val="sr-Latn-ME"/>
              </w:rPr>
              <w:t>uz</w:t>
            </w:r>
            <w:r w:rsidR="009E1CE7" w:rsidRPr="00C01AF3">
              <w:rPr>
                <w:rFonts w:ascii="Times New Roman" w:hAnsi="Times New Roman"/>
                <w:color w:val="000000"/>
                <w:sz w:val="22"/>
                <w:szCs w:val="22"/>
                <w:lang w:val="sr-Latn-ME"/>
              </w:rPr>
              <w:t xml:space="preserve"> </w:t>
            </w:r>
            <w:r w:rsidR="00A65414" w:rsidRPr="00C01AF3">
              <w:rPr>
                <w:rFonts w:ascii="Times New Roman" w:hAnsi="Times New Roman"/>
                <w:color w:val="000000"/>
                <w:sz w:val="22"/>
                <w:szCs w:val="22"/>
                <w:lang w:val="sr-Latn-ME"/>
              </w:rPr>
              <w:t>primje</w:t>
            </w:r>
            <w:r w:rsidR="009E1CE7" w:rsidRPr="00C01AF3">
              <w:rPr>
                <w:rFonts w:ascii="Times New Roman" w:hAnsi="Times New Roman"/>
                <w:color w:val="000000"/>
                <w:sz w:val="22"/>
                <w:szCs w:val="22"/>
                <w:lang w:val="sr-Latn-ME"/>
              </w:rPr>
              <w:t>n</w:t>
            </w:r>
            <w:r w:rsidR="00CC3877" w:rsidRPr="00C01AF3">
              <w:rPr>
                <w:rFonts w:ascii="Times New Roman" w:hAnsi="Times New Roman"/>
                <w:color w:val="000000"/>
                <w:sz w:val="22"/>
                <w:szCs w:val="22"/>
                <w:lang w:val="sr-Latn-ME"/>
              </w:rPr>
              <w:t>u</w:t>
            </w:r>
            <w:r w:rsidRPr="00C01AF3">
              <w:rPr>
                <w:rFonts w:ascii="Times New Roman" w:hAnsi="Times New Roman"/>
                <w:color w:val="000000"/>
                <w:sz w:val="22"/>
                <w:szCs w:val="22"/>
                <w:lang w:val="sr-Latn-ME"/>
              </w:rPr>
              <w:t>.</w:t>
            </w:r>
          </w:p>
          <w:p w:rsidR="00142EC9" w:rsidRPr="00C01AF3" w:rsidRDefault="00142EC9" w:rsidP="0076247A">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 xml:space="preserve"> </w:t>
            </w:r>
          </w:p>
          <w:p w:rsidR="00142EC9" w:rsidRPr="00C01AF3" w:rsidRDefault="00142EC9" w:rsidP="0076247A">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Sproveden</w:t>
            </w:r>
            <w:r w:rsidR="00306C9F" w:rsidRPr="00C01AF3">
              <w:rPr>
                <w:rFonts w:ascii="Times New Roman" w:hAnsi="Times New Roman"/>
                <w:color w:val="000000"/>
                <w:sz w:val="22"/>
                <w:szCs w:val="22"/>
                <w:lang w:val="sr-Latn-ME"/>
              </w:rPr>
              <w:t>e</w:t>
            </w:r>
            <w:r w:rsidRPr="00C01AF3">
              <w:rPr>
                <w:rFonts w:ascii="Times New Roman" w:hAnsi="Times New Roman"/>
                <w:color w:val="000000"/>
                <w:sz w:val="22"/>
                <w:szCs w:val="22"/>
                <w:lang w:val="sr-Latn-ME"/>
              </w:rPr>
              <w:t xml:space="preserve"> su pretkliničk</w:t>
            </w:r>
            <w:r w:rsidR="00306C9F" w:rsidRPr="00C01AF3">
              <w:rPr>
                <w:rFonts w:ascii="Times New Roman" w:hAnsi="Times New Roman"/>
                <w:color w:val="000000"/>
                <w:sz w:val="22"/>
                <w:szCs w:val="22"/>
                <w:lang w:val="sr-Latn-ME"/>
              </w:rPr>
              <w:t>e studije</w:t>
            </w:r>
            <w:r w:rsidRPr="00C01AF3">
              <w:rPr>
                <w:rFonts w:ascii="Times New Roman" w:hAnsi="Times New Roman"/>
                <w:color w:val="000000"/>
                <w:sz w:val="22"/>
                <w:szCs w:val="22"/>
                <w:lang w:val="sr-Latn-ME"/>
              </w:rPr>
              <w:t xml:space="preserve"> </w:t>
            </w:r>
            <w:r w:rsidR="00CC3877" w:rsidRPr="00C01AF3">
              <w:rPr>
                <w:rFonts w:ascii="Times New Roman" w:hAnsi="Times New Roman"/>
                <w:color w:val="000000"/>
                <w:sz w:val="22"/>
                <w:szCs w:val="22"/>
                <w:lang w:val="sr-Latn-ME"/>
              </w:rPr>
              <w:t xml:space="preserve">bezbjednosti </w:t>
            </w:r>
            <w:r w:rsidRPr="00C01AF3">
              <w:rPr>
                <w:rFonts w:ascii="Times New Roman" w:hAnsi="Times New Roman"/>
                <w:color w:val="000000"/>
                <w:sz w:val="22"/>
                <w:szCs w:val="22"/>
                <w:lang w:val="sr-Latn-ME"/>
              </w:rPr>
              <w:t>sa kombinacijom amlodipin/valsartan/</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 xml:space="preserve"> u trajanju do 13 nedjelja kod pacova. Ova kombinacija je dovela do očekivanog smanjenja ukupne mase crvenih krvnih </w:t>
            </w:r>
            <w:r w:rsidR="00C31F36" w:rsidRPr="00C01AF3">
              <w:rPr>
                <w:rFonts w:ascii="Times New Roman" w:hAnsi="Times New Roman"/>
                <w:color w:val="000000"/>
                <w:sz w:val="22"/>
                <w:szCs w:val="22"/>
                <w:lang w:val="sr-Latn-ME"/>
              </w:rPr>
              <w:t xml:space="preserve">ćelija </w:t>
            </w:r>
            <w:r w:rsidRPr="00C01AF3">
              <w:rPr>
                <w:rFonts w:ascii="Times New Roman" w:hAnsi="Times New Roman"/>
                <w:color w:val="000000"/>
                <w:sz w:val="22"/>
                <w:szCs w:val="22"/>
                <w:lang w:val="sr-Latn-ME"/>
              </w:rPr>
              <w:t>(eritrocita, hemoglobina, hematokrita i retikulocita) , povećanja  uree u serumu, povećanje kreatinina u serumu, povećanje kalijuma</w:t>
            </w:r>
            <w:r w:rsidR="00306C9F" w:rsidRPr="00C01AF3">
              <w:rPr>
                <w:rFonts w:ascii="Times New Roman" w:hAnsi="Times New Roman"/>
                <w:color w:val="000000"/>
                <w:sz w:val="22"/>
                <w:szCs w:val="22"/>
                <w:lang w:val="sr-Latn-ME"/>
              </w:rPr>
              <w:t xml:space="preserve"> </w:t>
            </w:r>
            <w:r w:rsidRPr="00C01AF3">
              <w:rPr>
                <w:rFonts w:ascii="Times New Roman" w:hAnsi="Times New Roman"/>
                <w:color w:val="000000"/>
                <w:sz w:val="22"/>
                <w:szCs w:val="22"/>
                <w:lang w:val="sr-Latn-ME"/>
              </w:rPr>
              <w:t>u serumu, jusktaglo</w:t>
            </w:r>
            <w:r w:rsidR="00306C9F" w:rsidRPr="00C01AF3">
              <w:rPr>
                <w:rFonts w:ascii="Times New Roman" w:hAnsi="Times New Roman"/>
                <w:color w:val="000000"/>
                <w:sz w:val="22"/>
                <w:szCs w:val="22"/>
                <w:lang w:val="sr-Latn-ME"/>
              </w:rPr>
              <w:t>merularne (JG) hiperplazije u bu</w:t>
            </w:r>
            <w:r w:rsidRPr="00C01AF3">
              <w:rPr>
                <w:rFonts w:ascii="Times New Roman" w:hAnsi="Times New Roman"/>
                <w:color w:val="000000"/>
                <w:sz w:val="22"/>
                <w:szCs w:val="22"/>
                <w:lang w:val="sr-Latn-ME"/>
              </w:rPr>
              <w:t xml:space="preserve">brezima i fokalne erozije u  </w:t>
            </w:r>
            <w:r w:rsidR="004C6F8D" w:rsidRPr="00C01AF3">
              <w:rPr>
                <w:rFonts w:ascii="Times New Roman" w:hAnsi="Times New Roman"/>
                <w:color w:val="000000"/>
                <w:sz w:val="22"/>
                <w:szCs w:val="22"/>
                <w:lang w:val="sr-Latn-ME"/>
              </w:rPr>
              <w:t>žlezdanom d</w:t>
            </w:r>
            <w:r w:rsidR="00C31F36" w:rsidRPr="00C01AF3">
              <w:rPr>
                <w:rFonts w:ascii="Times New Roman" w:hAnsi="Times New Roman"/>
                <w:color w:val="000000"/>
                <w:sz w:val="22"/>
                <w:szCs w:val="22"/>
                <w:lang w:val="sr-Latn-ME"/>
              </w:rPr>
              <w:t>ij</w:t>
            </w:r>
            <w:r w:rsidR="004C6F8D" w:rsidRPr="00C01AF3">
              <w:rPr>
                <w:rFonts w:ascii="Times New Roman" w:hAnsi="Times New Roman"/>
                <w:color w:val="000000"/>
                <w:sz w:val="22"/>
                <w:szCs w:val="22"/>
                <w:lang w:val="sr-Latn-ME"/>
              </w:rPr>
              <w:t xml:space="preserve">elu </w:t>
            </w:r>
            <w:r w:rsidR="0088018F" w:rsidRPr="00C01AF3">
              <w:rPr>
                <w:rFonts w:ascii="Times New Roman" w:hAnsi="Times New Roman"/>
                <w:color w:val="000000"/>
                <w:sz w:val="22"/>
                <w:szCs w:val="22"/>
                <w:lang w:val="sr-Latn-ME"/>
              </w:rPr>
              <w:t xml:space="preserve">želuca kod pacova. Sve ove </w:t>
            </w:r>
            <w:r w:rsidR="00644CBB" w:rsidRPr="00C01AF3">
              <w:rPr>
                <w:rFonts w:ascii="Times New Roman" w:hAnsi="Times New Roman"/>
                <w:color w:val="000000"/>
                <w:sz w:val="22"/>
                <w:szCs w:val="22"/>
                <w:lang w:val="sr-Latn-ME"/>
              </w:rPr>
              <w:t>promjen</w:t>
            </w:r>
            <w:r w:rsidR="0088018F" w:rsidRPr="00C01AF3">
              <w:rPr>
                <w:rFonts w:ascii="Times New Roman" w:hAnsi="Times New Roman"/>
                <w:color w:val="000000"/>
                <w:sz w:val="22"/>
                <w:szCs w:val="22"/>
                <w:lang w:val="sr-Latn-ME"/>
              </w:rPr>
              <w:t xml:space="preserve">e su nestale </w:t>
            </w:r>
            <w:r w:rsidR="001B7840" w:rsidRPr="00C01AF3">
              <w:rPr>
                <w:rFonts w:ascii="Times New Roman" w:hAnsi="Times New Roman"/>
                <w:color w:val="000000"/>
                <w:sz w:val="22"/>
                <w:szCs w:val="22"/>
                <w:lang w:val="sr-Latn-ME"/>
              </w:rPr>
              <w:t>poslije</w:t>
            </w:r>
            <w:r w:rsidR="0088018F" w:rsidRPr="00C01AF3">
              <w:rPr>
                <w:rFonts w:ascii="Times New Roman" w:hAnsi="Times New Roman"/>
                <w:color w:val="000000"/>
                <w:sz w:val="22"/>
                <w:szCs w:val="22"/>
                <w:lang w:val="sr-Latn-ME"/>
              </w:rPr>
              <w:t xml:space="preserve"> perioda od 4 </w:t>
            </w:r>
            <w:r w:rsidR="00422020" w:rsidRPr="00C01AF3">
              <w:rPr>
                <w:rFonts w:ascii="Times New Roman" w:hAnsi="Times New Roman"/>
                <w:color w:val="000000"/>
                <w:sz w:val="22"/>
                <w:szCs w:val="22"/>
                <w:lang w:val="sr-Latn-ME"/>
              </w:rPr>
              <w:t>nedjelj</w:t>
            </w:r>
            <w:r w:rsidRPr="00C01AF3">
              <w:rPr>
                <w:rFonts w:ascii="Times New Roman" w:hAnsi="Times New Roman"/>
                <w:color w:val="000000"/>
                <w:sz w:val="22"/>
                <w:szCs w:val="22"/>
                <w:lang w:val="sr-Latn-ME"/>
              </w:rPr>
              <w:t>e oporavka i smatra</w:t>
            </w:r>
            <w:r w:rsidR="00C31F36" w:rsidRPr="00C01AF3">
              <w:rPr>
                <w:rFonts w:ascii="Times New Roman" w:hAnsi="Times New Roman"/>
                <w:color w:val="000000"/>
                <w:sz w:val="22"/>
                <w:szCs w:val="22"/>
                <w:lang w:val="sr-Latn-ME"/>
              </w:rPr>
              <w:t>ju</w:t>
            </w:r>
            <w:r w:rsidRPr="00C01AF3">
              <w:rPr>
                <w:rFonts w:ascii="Times New Roman" w:hAnsi="Times New Roman"/>
                <w:color w:val="000000"/>
                <w:sz w:val="22"/>
                <w:szCs w:val="22"/>
                <w:lang w:val="sr-Latn-ME"/>
              </w:rPr>
              <w:t xml:space="preserve"> se pre</w:t>
            </w:r>
            <w:r w:rsidR="0088018F" w:rsidRPr="00C01AF3">
              <w:rPr>
                <w:rFonts w:ascii="Times New Roman" w:hAnsi="Times New Roman"/>
                <w:color w:val="000000"/>
                <w:sz w:val="22"/>
                <w:szCs w:val="22"/>
                <w:lang w:val="sr-Latn-ME"/>
              </w:rPr>
              <w:t>t</w:t>
            </w:r>
            <w:r w:rsidR="00C31F36" w:rsidRPr="00C01AF3">
              <w:rPr>
                <w:rFonts w:ascii="Times New Roman" w:hAnsi="Times New Roman"/>
                <w:color w:val="000000"/>
                <w:sz w:val="22"/>
                <w:szCs w:val="22"/>
                <w:lang w:val="sr-Latn-ME"/>
              </w:rPr>
              <w:t>j</w:t>
            </w:r>
            <w:r w:rsidR="0088018F" w:rsidRPr="00C01AF3">
              <w:rPr>
                <w:rFonts w:ascii="Times New Roman" w:hAnsi="Times New Roman"/>
                <w:color w:val="000000"/>
                <w:sz w:val="22"/>
                <w:szCs w:val="22"/>
                <w:lang w:val="sr-Latn-ME"/>
              </w:rPr>
              <w:t>erani</w:t>
            </w:r>
            <w:r w:rsidR="00C31F36" w:rsidRPr="00C01AF3">
              <w:rPr>
                <w:rFonts w:ascii="Times New Roman" w:hAnsi="Times New Roman"/>
                <w:color w:val="000000"/>
                <w:sz w:val="22"/>
                <w:szCs w:val="22"/>
                <w:lang w:val="sr-Latn-ME"/>
              </w:rPr>
              <w:t>m</w:t>
            </w:r>
            <w:r w:rsidRPr="00C01AF3">
              <w:rPr>
                <w:rFonts w:ascii="Times New Roman" w:hAnsi="Times New Roman"/>
                <w:color w:val="000000"/>
                <w:sz w:val="22"/>
                <w:szCs w:val="22"/>
                <w:lang w:val="sr-Latn-ME"/>
              </w:rPr>
              <w:t xml:space="preserve"> farm</w:t>
            </w:r>
            <w:r w:rsidR="0088018F" w:rsidRPr="00C01AF3">
              <w:rPr>
                <w:rFonts w:ascii="Times New Roman" w:hAnsi="Times New Roman"/>
                <w:color w:val="000000"/>
                <w:sz w:val="22"/>
                <w:szCs w:val="22"/>
                <w:lang w:val="sr-Latn-ME"/>
              </w:rPr>
              <w:t>a</w:t>
            </w:r>
            <w:r w:rsidRPr="00C01AF3">
              <w:rPr>
                <w:rFonts w:ascii="Times New Roman" w:hAnsi="Times New Roman"/>
                <w:color w:val="000000"/>
                <w:sz w:val="22"/>
                <w:szCs w:val="22"/>
                <w:lang w:val="sr-Latn-ME"/>
              </w:rPr>
              <w:t>k</w:t>
            </w:r>
            <w:r w:rsidR="0088018F" w:rsidRPr="00C01AF3">
              <w:rPr>
                <w:rFonts w:ascii="Times New Roman" w:hAnsi="Times New Roman"/>
                <w:color w:val="000000"/>
                <w:sz w:val="22"/>
                <w:szCs w:val="22"/>
                <w:lang w:val="sr-Latn-ME"/>
              </w:rPr>
              <w:t>o</w:t>
            </w:r>
            <w:r w:rsidRPr="00C01AF3">
              <w:rPr>
                <w:rFonts w:ascii="Times New Roman" w:hAnsi="Times New Roman"/>
                <w:color w:val="000000"/>
                <w:sz w:val="22"/>
                <w:szCs w:val="22"/>
                <w:lang w:val="sr-Latn-ME"/>
              </w:rPr>
              <w:t>loški</w:t>
            </w:r>
            <w:r w:rsidR="00C31F36" w:rsidRPr="00C01AF3">
              <w:rPr>
                <w:rFonts w:ascii="Times New Roman" w:hAnsi="Times New Roman"/>
                <w:color w:val="000000"/>
                <w:sz w:val="22"/>
                <w:szCs w:val="22"/>
                <w:lang w:val="sr-Latn-ME"/>
              </w:rPr>
              <w:t>m</w:t>
            </w:r>
            <w:r w:rsidRPr="00C01AF3">
              <w:rPr>
                <w:rFonts w:ascii="Times New Roman" w:hAnsi="Times New Roman"/>
                <w:color w:val="000000"/>
                <w:sz w:val="22"/>
                <w:szCs w:val="22"/>
                <w:lang w:val="sr-Latn-ME"/>
              </w:rPr>
              <w:t xml:space="preserve"> efekti</w:t>
            </w:r>
            <w:r w:rsidR="00C31F36" w:rsidRPr="00C01AF3">
              <w:rPr>
                <w:rFonts w:ascii="Times New Roman" w:hAnsi="Times New Roman"/>
                <w:color w:val="000000"/>
                <w:sz w:val="22"/>
                <w:szCs w:val="22"/>
                <w:lang w:val="sr-Latn-ME"/>
              </w:rPr>
              <w:t>ma</w:t>
            </w:r>
            <w:r w:rsidRPr="00C01AF3">
              <w:rPr>
                <w:rFonts w:ascii="Times New Roman" w:hAnsi="Times New Roman"/>
                <w:color w:val="000000"/>
                <w:sz w:val="22"/>
                <w:szCs w:val="22"/>
                <w:lang w:val="sr-Latn-ME"/>
              </w:rPr>
              <w:t>.</w:t>
            </w:r>
          </w:p>
          <w:p w:rsidR="005A18A2" w:rsidRPr="00C01AF3" w:rsidRDefault="00142EC9" w:rsidP="0076247A">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 xml:space="preserve">  </w:t>
            </w:r>
          </w:p>
          <w:p w:rsidR="00142EC9" w:rsidRPr="00C01AF3" w:rsidRDefault="005A18A2" w:rsidP="0076247A">
            <w:pPr>
              <w:tabs>
                <w:tab w:val="clear" w:pos="284"/>
              </w:tabs>
              <w:autoSpaceDE w:val="0"/>
              <w:autoSpaceDN w:val="0"/>
              <w:jc w:val="left"/>
              <w:rPr>
                <w:rFonts w:ascii="Times New Roman" w:hAnsi="Times New Roman"/>
                <w:color w:val="000000"/>
                <w:sz w:val="22"/>
                <w:szCs w:val="22"/>
                <w:lang w:val="sr-Latn-ME"/>
              </w:rPr>
            </w:pPr>
            <w:r w:rsidRPr="00C01AF3">
              <w:rPr>
                <w:rFonts w:ascii="Times New Roman" w:hAnsi="Times New Roman"/>
                <w:color w:val="000000"/>
                <w:sz w:val="22"/>
                <w:szCs w:val="22"/>
                <w:lang w:val="sr-Latn-ME"/>
              </w:rPr>
              <w:t>Kombinacija  amlodipin/valsartan/</w:t>
            </w:r>
            <w:r w:rsidR="007C4A86" w:rsidRPr="00C01AF3">
              <w:rPr>
                <w:rFonts w:ascii="Times New Roman" w:hAnsi="Times New Roman"/>
                <w:color w:val="000000"/>
                <w:sz w:val="22"/>
                <w:szCs w:val="22"/>
                <w:lang w:val="sr-Latn-ME"/>
              </w:rPr>
              <w:t>hidrohlortiazid</w:t>
            </w:r>
            <w:r w:rsidR="00142EC9" w:rsidRPr="00C01AF3">
              <w:rPr>
                <w:rFonts w:ascii="Times New Roman" w:hAnsi="Times New Roman"/>
                <w:color w:val="000000"/>
                <w:sz w:val="22"/>
                <w:szCs w:val="22"/>
                <w:lang w:val="sr-Latn-ME"/>
              </w:rPr>
              <w:t xml:space="preserve"> </w:t>
            </w:r>
            <w:r w:rsidRPr="00C01AF3">
              <w:rPr>
                <w:rFonts w:ascii="Times New Roman" w:hAnsi="Times New Roman"/>
                <w:color w:val="000000"/>
                <w:sz w:val="22"/>
                <w:szCs w:val="22"/>
                <w:lang w:val="sr-Latn-ME"/>
              </w:rPr>
              <w:t xml:space="preserve"> </w:t>
            </w:r>
            <w:r w:rsidR="00CB7B12" w:rsidRPr="00C01AF3">
              <w:rPr>
                <w:rFonts w:ascii="Times New Roman" w:hAnsi="Times New Roman"/>
                <w:color w:val="000000"/>
                <w:sz w:val="22"/>
                <w:szCs w:val="22"/>
                <w:lang w:val="sr-Latn-ME"/>
              </w:rPr>
              <w:t>ni</w:t>
            </w:r>
            <w:r w:rsidRPr="00C01AF3">
              <w:rPr>
                <w:rFonts w:ascii="Times New Roman" w:hAnsi="Times New Roman"/>
                <w:color w:val="000000"/>
                <w:sz w:val="22"/>
                <w:szCs w:val="22"/>
                <w:lang w:val="sr-Latn-ME"/>
              </w:rPr>
              <w:t>je ispitivana na genotoksičnost i</w:t>
            </w:r>
            <w:r w:rsidR="00CB7B12" w:rsidRPr="00C01AF3">
              <w:rPr>
                <w:rFonts w:ascii="Times New Roman" w:hAnsi="Times New Roman"/>
                <w:color w:val="000000"/>
                <w:sz w:val="22"/>
                <w:szCs w:val="22"/>
                <w:lang w:val="sr-Latn-ME"/>
              </w:rPr>
              <w:t xml:space="preserve">li </w:t>
            </w:r>
            <w:r w:rsidRPr="00C01AF3">
              <w:rPr>
                <w:rFonts w:ascii="Times New Roman" w:hAnsi="Times New Roman"/>
                <w:color w:val="000000"/>
                <w:sz w:val="22"/>
                <w:szCs w:val="22"/>
                <w:lang w:val="sr-Latn-ME"/>
              </w:rPr>
              <w:t xml:space="preserve">karcinogenost i nema dokaza o interakciji između ovih supstanci, koje su dugo </w:t>
            </w:r>
            <w:r w:rsidR="00C40D1D" w:rsidRPr="00C01AF3">
              <w:rPr>
                <w:rFonts w:ascii="Times New Roman" w:hAnsi="Times New Roman"/>
                <w:color w:val="000000"/>
                <w:sz w:val="22"/>
                <w:szCs w:val="22"/>
                <w:lang w:val="sr-Latn-ME"/>
              </w:rPr>
              <w:t>vreme</w:t>
            </w:r>
            <w:r w:rsidRPr="00C01AF3">
              <w:rPr>
                <w:rFonts w:ascii="Times New Roman" w:hAnsi="Times New Roman"/>
                <w:color w:val="000000"/>
                <w:sz w:val="22"/>
                <w:szCs w:val="22"/>
                <w:lang w:val="sr-Latn-ME"/>
              </w:rPr>
              <w:t xml:space="preserve">na na tržištu. Međutim, amlodipin, valsartan i </w:t>
            </w:r>
            <w:r w:rsidR="007C4A86" w:rsidRPr="00C01AF3">
              <w:rPr>
                <w:rFonts w:ascii="Times New Roman" w:hAnsi="Times New Roman"/>
                <w:color w:val="000000"/>
                <w:sz w:val="22"/>
                <w:szCs w:val="22"/>
                <w:lang w:val="sr-Latn-ME"/>
              </w:rPr>
              <w:t>hidrohlortiazid</w:t>
            </w:r>
            <w:r w:rsidRPr="00C01AF3">
              <w:rPr>
                <w:rFonts w:ascii="Times New Roman" w:hAnsi="Times New Roman"/>
                <w:color w:val="000000"/>
                <w:sz w:val="22"/>
                <w:szCs w:val="22"/>
                <w:lang w:val="sr-Latn-ME"/>
              </w:rPr>
              <w:t xml:space="preserve"> su i</w:t>
            </w:r>
            <w:r w:rsidR="00994BE7" w:rsidRPr="00C01AF3">
              <w:rPr>
                <w:rFonts w:ascii="Times New Roman" w:hAnsi="Times New Roman"/>
                <w:color w:val="000000"/>
                <w:sz w:val="22"/>
                <w:szCs w:val="22"/>
                <w:lang w:val="sr-Latn-ME"/>
              </w:rPr>
              <w:t>sp</w:t>
            </w:r>
            <w:r w:rsidRPr="00C01AF3">
              <w:rPr>
                <w:rFonts w:ascii="Times New Roman" w:hAnsi="Times New Roman"/>
                <w:color w:val="000000"/>
                <w:sz w:val="22"/>
                <w:szCs w:val="22"/>
                <w:lang w:val="sr-Latn-ME"/>
              </w:rPr>
              <w:t xml:space="preserve">itivani </w:t>
            </w:r>
            <w:r w:rsidR="00C31F36" w:rsidRPr="00C01AF3">
              <w:rPr>
                <w:rFonts w:ascii="Times New Roman" w:hAnsi="Times New Roman"/>
                <w:color w:val="000000"/>
                <w:sz w:val="22"/>
                <w:szCs w:val="22"/>
                <w:lang w:val="sr-Latn-ME"/>
              </w:rPr>
              <w:t xml:space="preserve">pojedinačno </w:t>
            </w:r>
            <w:r w:rsidRPr="00C01AF3">
              <w:rPr>
                <w:rFonts w:ascii="Times New Roman" w:hAnsi="Times New Roman"/>
                <w:color w:val="000000"/>
                <w:sz w:val="22"/>
                <w:szCs w:val="22"/>
                <w:lang w:val="sr-Latn-ME"/>
              </w:rPr>
              <w:t>na genotoksičnsot i karcinogen</w:t>
            </w:r>
            <w:r w:rsidR="00BC5C2F" w:rsidRPr="00C01AF3">
              <w:rPr>
                <w:rFonts w:ascii="Times New Roman" w:hAnsi="Times New Roman"/>
                <w:color w:val="000000"/>
                <w:sz w:val="22"/>
                <w:szCs w:val="22"/>
                <w:lang w:val="sr-Latn-ME"/>
              </w:rPr>
              <w:t>os</w:t>
            </w:r>
            <w:r w:rsidRPr="00C01AF3">
              <w:rPr>
                <w:rFonts w:ascii="Times New Roman" w:hAnsi="Times New Roman"/>
                <w:color w:val="000000"/>
                <w:sz w:val="22"/>
                <w:szCs w:val="22"/>
                <w:lang w:val="sr-Latn-ME"/>
              </w:rPr>
              <w:t>t sa negativnim rezultatima.</w:t>
            </w:r>
          </w:p>
          <w:p w:rsidR="0076247A" w:rsidRPr="00C01AF3" w:rsidRDefault="0076247A" w:rsidP="00AE4980">
            <w:pPr>
              <w:tabs>
                <w:tab w:val="clear" w:pos="284"/>
              </w:tabs>
              <w:autoSpaceDE w:val="0"/>
              <w:autoSpaceDN w:val="0"/>
              <w:jc w:val="left"/>
              <w:rPr>
                <w:rFonts w:ascii="Times New Roman" w:hAnsi="Times New Roman"/>
                <w:sz w:val="22"/>
                <w:szCs w:val="22"/>
                <w:lang w:val="sr-Latn-ME"/>
              </w:rPr>
            </w:pPr>
          </w:p>
          <w:p w:rsidR="00191616" w:rsidRPr="00C01AF3" w:rsidRDefault="00191616" w:rsidP="00AE4980">
            <w:pPr>
              <w:pStyle w:val="Header"/>
              <w:tabs>
                <w:tab w:val="left" w:pos="284"/>
              </w:tabs>
              <w:jc w:val="left"/>
              <w:rPr>
                <w:rFonts w:ascii="Times New Roman" w:hAnsi="Times New Roman"/>
                <w:sz w:val="22"/>
                <w:szCs w:val="22"/>
                <w:u w:val="single"/>
                <w:lang w:val="sr-Latn-ME"/>
              </w:rPr>
            </w:pPr>
          </w:p>
          <w:p w:rsidR="002A7E8B" w:rsidRPr="00C01AF3" w:rsidRDefault="002A7E8B" w:rsidP="00AE4980">
            <w:pPr>
              <w:pStyle w:val="Header"/>
              <w:tabs>
                <w:tab w:val="left" w:pos="284"/>
              </w:tabs>
              <w:jc w:val="left"/>
              <w:rPr>
                <w:rFonts w:ascii="Times New Roman" w:hAnsi="Times New Roman"/>
                <w:sz w:val="22"/>
                <w:szCs w:val="22"/>
                <w:u w:val="single"/>
                <w:lang w:val="sr-Latn-ME"/>
              </w:rPr>
            </w:pPr>
            <w:r w:rsidRPr="00C01AF3">
              <w:rPr>
                <w:rFonts w:ascii="Times New Roman" w:hAnsi="Times New Roman"/>
                <w:sz w:val="22"/>
                <w:szCs w:val="22"/>
                <w:u w:val="single"/>
                <w:lang w:val="sr-Latn-ME"/>
              </w:rPr>
              <w:lastRenderedPageBreak/>
              <w:t>Amlodipin</w:t>
            </w:r>
          </w:p>
          <w:p w:rsidR="002A7E8B" w:rsidRPr="00C01AF3" w:rsidRDefault="002A7E8B" w:rsidP="00AE4980">
            <w:pPr>
              <w:pStyle w:val="Header"/>
              <w:tabs>
                <w:tab w:val="left" w:pos="284"/>
              </w:tabs>
              <w:jc w:val="left"/>
              <w:rPr>
                <w:rFonts w:ascii="Times New Roman" w:hAnsi="Times New Roman"/>
                <w:i/>
                <w:sz w:val="22"/>
                <w:szCs w:val="22"/>
                <w:u w:val="single"/>
                <w:lang w:val="sr-Latn-ME"/>
              </w:rPr>
            </w:pPr>
            <w:r w:rsidRPr="00C01AF3">
              <w:rPr>
                <w:rFonts w:ascii="Times New Roman" w:hAnsi="Times New Roman"/>
                <w:i/>
                <w:sz w:val="22"/>
                <w:szCs w:val="22"/>
                <w:u w:val="single"/>
                <w:lang w:val="sr-Latn-ME"/>
              </w:rPr>
              <w:t>Reproduktivna toksičnost</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Reproduktivn</w:t>
            </w:r>
            <w:r w:rsidR="00585F5F" w:rsidRPr="00C01AF3">
              <w:rPr>
                <w:rFonts w:ascii="Times New Roman" w:hAnsi="Times New Roman"/>
                <w:bCs/>
                <w:sz w:val="22"/>
                <w:szCs w:val="22"/>
                <w:lang w:val="sr-Latn-ME"/>
              </w:rPr>
              <w:t>e studije na pacovim</w:t>
            </w:r>
            <w:r w:rsidRPr="00C01AF3">
              <w:rPr>
                <w:rFonts w:ascii="Times New Roman" w:hAnsi="Times New Roman"/>
                <w:bCs/>
                <w:sz w:val="22"/>
                <w:szCs w:val="22"/>
                <w:lang w:val="sr-Latn-ME"/>
              </w:rPr>
              <w:t>a  i miševima su pokaza</w:t>
            </w:r>
            <w:r w:rsidR="00D82129" w:rsidRPr="00C01AF3">
              <w:rPr>
                <w:rFonts w:ascii="Times New Roman" w:hAnsi="Times New Roman"/>
                <w:bCs/>
                <w:sz w:val="22"/>
                <w:szCs w:val="22"/>
                <w:lang w:val="sr-Latn-ME"/>
              </w:rPr>
              <w:t xml:space="preserve">la odložen datum </w:t>
            </w:r>
            <w:r w:rsidR="002A107A" w:rsidRPr="00C01AF3">
              <w:rPr>
                <w:rFonts w:ascii="Times New Roman" w:hAnsi="Times New Roman"/>
                <w:bCs/>
                <w:sz w:val="22"/>
                <w:szCs w:val="22"/>
                <w:lang w:val="sr-Latn-ME"/>
              </w:rPr>
              <w:t>okota</w:t>
            </w:r>
            <w:r w:rsidR="00D82129" w:rsidRPr="00C01AF3">
              <w:rPr>
                <w:rFonts w:ascii="Times New Roman" w:hAnsi="Times New Roman"/>
                <w:bCs/>
                <w:sz w:val="22"/>
                <w:szCs w:val="22"/>
                <w:lang w:val="sr-Latn-ME"/>
              </w:rPr>
              <w:t>, duže trajanje</w:t>
            </w:r>
            <w:r w:rsidRPr="00C01AF3">
              <w:rPr>
                <w:rFonts w:ascii="Times New Roman" w:hAnsi="Times New Roman"/>
                <w:bCs/>
                <w:sz w:val="22"/>
                <w:szCs w:val="22"/>
                <w:lang w:val="sr-Latn-ME"/>
              </w:rPr>
              <w:t xml:space="preserve"> </w:t>
            </w:r>
            <w:r w:rsidR="00A111EA" w:rsidRPr="00C01AF3">
              <w:rPr>
                <w:rFonts w:ascii="Times New Roman" w:hAnsi="Times New Roman"/>
                <w:bCs/>
                <w:sz w:val="22"/>
                <w:szCs w:val="22"/>
                <w:lang w:val="sr-Latn-ME"/>
              </w:rPr>
              <w:t>koć</w:t>
            </w:r>
            <w:r w:rsidR="002A107A" w:rsidRPr="00C01AF3">
              <w:rPr>
                <w:rFonts w:ascii="Times New Roman" w:hAnsi="Times New Roman"/>
                <w:bCs/>
                <w:sz w:val="22"/>
                <w:szCs w:val="22"/>
                <w:lang w:val="sr-Latn-ME"/>
              </w:rPr>
              <w:t>enja</w:t>
            </w:r>
            <w:r w:rsidRPr="00C01AF3">
              <w:rPr>
                <w:rFonts w:ascii="Times New Roman" w:hAnsi="Times New Roman"/>
                <w:bCs/>
                <w:sz w:val="22"/>
                <w:szCs w:val="22"/>
                <w:lang w:val="sr-Latn-ME"/>
              </w:rPr>
              <w:t xml:space="preserve"> </w:t>
            </w:r>
            <w:r w:rsidR="008D5749" w:rsidRPr="00C01AF3">
              <w:rPr>
                <w:rFonts w:ascii="Times New Roman" w:hAnsi="Times New Roman"/>
                <w:bCs/>
                <w:sz w:val="22"/>
                <w:szCs w:val="22"/>
                <w:lang w:val="sr-Latn-ME"/>
              </w:rPr>
              <w:t>i smanjen</w:t>
            </w:r>
            <w:r w:rsidR="00C31F36" w:rsidRPr="00C01AF3">
              <w:rPr>
                <w:rFonts w:ascii="Times New Roman" w:hAnsi="Times New Roman"/>
                <w:bCs/>
                <w:sz w:val="22"/>
                <w:szCs w:val="22"/>
                <w:lang w:val="sr-Latn-ME"/>
              </w:rPr>
              <w:t>o</w:t>
            </w:r>
            <w:r w:rsidR="008D5749" w:rsidRPr="00C01AF3">
              <w:rPr>
                <w:rFonts w:ascii="Times New Roman" w:hAnsi="Times New Roman"/>
                <w:bCs/>
                <w:sz w:val="22"/>
                <w:szCs w:val="22"/>
                <w:lang w:val="sr-Latn-ME"/>
              </w:rPr>
              <w:t xml:space="preserve"> preživljavanj</w:t>
            </w:r>
            <w:r w:rsidR="00C31F36" w:rsidRPr="00C01AF3">
              <w:rPr>
                <w:rFonts w:ascii="Times New Roman" w:hAnsi="Times New Roman"/>
                <w:bCs/>
                <w:sz w:val="22"/>
                <w:szCs w:val="22"/>
                <w:lang w:val="sr-Latn-ME"/>
              </w:rPr>
              <w:t>e</w:t>
            </w:r>
            <w:r w:rsidR="008D5749" w:rsidRPr="00C01AF3">
              <w:rPr>
                <w:rFonts w:ascii="Times New Roman" w:hAnsi="Times New Roman"/>
                <w:bCs/>
                <w:sz w:val="22"/>
                <w:szCs w:val="22"/>
                <w:lang w:val="sr-Latn-ME"/>
              </w:rPr>
              <w:t xml:space="preserve"> mladun</w:t>
            </w:r>
            <w:r w:rsidR="00C31F36" w:rsidRPr="00C01AF3">
              <w:rPr>
                <w:rFonts w:ascii="Times New Roman" w:hAnsi="Times New Roman"/>
                <w:bCs/>
                <w:sz w:val="22"/>
                <w:szCs w:val="22"/>
                <w:lang w:val="sr-Latn-ME"/>
              </w:rPr>
              <w:t>čadi</w:t>
            </w:r>
            <w:r w:rsidRPr="00C01AF3">
              <w:rPr>
                <w:rFonts w:ascii="Times New Roman" w:hAnsi="Times New Roman"/>
                <w:bCs/>
                <w:sz w:val="22"/>
                <w:szCs w:val="22"/>
                <w:lang w:val="sr-Latn-ME"/>
              </w:rPr>
              <w:t xml:space="preserve"> u dozama približno 50 puta većim od maksimalne preporučene doze za ljude </w:t>
            </w:r>
            <w:r w:rsidR="00C31F36" w:rsidRPr="00C01AF3">
              <w:rPr>
                <w:rFonts w:ascii="Times New Roman" w:hAnsi="Times New Roman"/>
                <w:bCs/>
                <w:sz w:val="22"/>
                <w:szCs w:val="22"/>
                <w:lang w:val="sr-Latn-ME"/>
              </w:rPr>
              <w:t>izražene u</w:t>
            </w:r>
            <w:r w:rsidRPr="00C01AF3">
              <w:rPr>
                <w:rFonts w:ascii="Times New Roman" w:hAnsi="Times New Roman"/>
                <w:bCs/>
                <w:sz w:val="22"/>
                <w:szCs w:val="22"/>
                <w:lang w:val="sr-Latn-ME"/>
              </w:rPr>
              <w:t xml:space="preserve"> mg/kg.</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p>
          <w:p w:rsidR="002A7E8B" w:rsidRPr="00C01AF3" w:rsidRDefault="00D82129" w:rsidP="00AE4980">
            <w:pPr>
              <w:pStyle w:val="Header"/>
              <w:tabs>
                <w:tab w:val="left" w:pos="284"/>
              </w:tabs>
              <w:jc w:val="left"/>
              <w:rPr>
                <w:rFonts w:ascii="Times New Roman" w:hAnsi="Times New Roman"/>
                <w:bCs/>
                <w:i/>
                <w:sz w:val="22"/>
                <w:szCs w:val="22"/>
                <w:u w:val="single"/>
                <w:lang w:val="sr-Latn-ME"/>
              </w:rPr>
            </w:pPr>
            <w:r w:rsidRPr="00C01AF3">
              <w:rPr>
                <w:rFonts w:ascii="Times New Roman" w:hAnsi="Times New Roman"/>
                <w:bCs/>
                <w:i/>
                <w:sz w:val="22"/>
                <w:szCs w:val="22"/>
                <w:u w:val="single"/>
                <w:lang w:val="sr-Latn-ME"/>
              </w:rPr>
              <w:t>Poremećaj</w:t>
            </w:r>
            <w:r w:rsidR="002A7E8B" w:rsidRPr="00C01AF3">
              <w:rPr>
                <w:rFonts w:ascii="Times New Roman" w:hAnsi="Times New Roman"/>
                <w:bCs/>
                <w:i/>
                <w:sz w:val="22"/>
                <w:szCs w:val="22"/>
                <w:u w:val="single"/>
                <w:lang w:val="sr-Latn-ME"/>
              </w:rPr>
              <w:t xml:space="preserve"> plodnosti</w:t>
            </w:r>
          </w:p>
          <w:p w:rsidR="002A7E8B" w:rsidRPr="00C01AF3" w:rsidRDefault="002A7E8B" w:rsidP="00AE4980">
            <w:pPr>
              <w:pStyle w:val="Header"/>
              <w:tabs>
                <w:tab w:val="left" w:pos="284"/>
              </w:tabs>
              <w:jc w:val="left"/>
              <w:rPr>
                <w:rFonts w:ascii="Times New Roman" w:hAnsi="Times New Roman"/>
                <w:bCs/>
                <w:sz w:val="22"/>
                <w:szCs w:val="22"/>
                <w:lang w:val="sr-Latn-ME"/>
              </w:rPr>
            </w:pPr>
            <w:r w:rsidRPr="00C01AF3">
              <w:rPr>
                <w:rFonts w:ascii="Times New Roman" w:hAnsi="Times New Roman"/>
                <w:bCs/>
                <w:sz w:val="22"/>
                <w:szCs w:val="22"/>
                <w:lang w:val="sr-Latn-ME"/>
              </w:rPr>
              <w:t xml:space="preserve">Nije bilo uticaja na plodnost pacova </w:t>
            </w:r>
            <w:r w:rsidR="00D94C19" w:rsidRPr="00C01AF3">
              <w:rPr>
                <w:rFonts w:ascii="Times New Roman" w:hAnsi="Times New Roman"/>
                <w:bCs/>
                <w:sz w:val="22"/>
                <w:szCs w:val="22"/>
                <w:lang w:val="sr-Latn-ME"/>
              </w:rPr>
              <w:t>tretiranih sa amlodipinom (mužjaci</w:t>
            </w:r>
            <w:r w:rsidRPr="00C01AF3">
              <w:rPr>
                <w:rFonts w:ascii="Times New Roman" w:hAnsi="Times New Roman"/>
                <w:bCs/>
                <w:sz w:val="22"/>
                <w:szCs w:val="22"/>
                <w:lang w:val="sr-Latn-ME"/>
              </w:rPr>
              <w:t xml:space="preserve"> 64 dana i ženk</w:t>
            </w:r>
            <w:r w:rsidR="00C31F36" w:rsidRPr="00C01AF3">
              <w:rPr>
                <w:rFonts w:ascii="Times New Roman" w:hAnsi="Times New Roman"/>
                <w:bCs/>
                <w:sz w:val="22"/>
                <w:szCs w:val="22"/>
                <w:lang w:val="sr-Latn-ME"/>
              </w:rPr>
              <w:t>e</w:t>
            </w:r>
            <w:r w:rsidRPr="00C01AF3">
              <w:rPr>
                <w:rFonts w:ascii="Times New Roman" w:hAnsi="Times New Roman"/>
                <w:bCs/>
                <w:sz w:val="22"/>
                <w:szCs w:val="22"/>
                <w:lang w:val="sr-Latn-ME"/>
              </w:rPr>
              <w:t xml:space="preserve"> 14 dana pr</w:t>
            </w:r>
            <w:r w:rsidR="000012E0" w:rsidRPr="00C01AF3">
              <w:rPr>
                <w:rFonts w:ascii="Times New Roman" w:hAnsi="Times New Roman"/>
                <w:bCs/>
                <w:sz w:val="22"/>
                <w:szCs w:val="22"/>
                <w:lang w:val="sr-Latn-ME"/>
              </w:rPr>
              <w:t>ij</w:t>
            </w:r>
            <w:r w:rsidRPr="00C01AF3">
              <w:rPr>
                <w:rFonts w:ascii="Times New Roman" w:hAnsi="Times New Roman"/>
                <w:bCs/>
                <w:sz w:val="22"/>
                <w:szCs w:val="22"/>
                <w:lang w:val="sr-Latn-ME"/>
              </w:rPr>
              <w:t xml:space="preserve">e parenja) u dozama </w:t>
            </w:r>
            <w:r w:rsidR="00C31F36" w:rsidRPr="00C01AF3">
              <w:rPr>
                <w:rFonts w:ascii="Times New Roman" w:hAnsi="Times New Roman"/>
                <w:bCs/>
                <w:sz w:val="22"/>
                <w:szCs w:val="22"/>
                <w:lang w:val="sr-Latn-ME"/>
              </w:rPr>
              <w:t>od najviše</w:t>
            </w:r>
            <w:r w:rsidRPr="00C01AF3">
              <w:rPr>
                <w:rFonts w:ascii="Times New Roman" w:hAnsi="Times New Roman"/>
                <w:bCs/>
                <w:sz w:val="22"/>
                <w:szCs w:val="22"/>
                <w:lang w:val="sr-Latn-ME"/>
              </w:rPr>
              <w:t xml:space="preserve"> 10 mg/kg/dan (8 puta </w:t>
            </w:r>
            <w:r w:rsidR="00C31F36" w:rsidRPr="00C01AF3">
              <w:rPr>
                <w:rFonts w:ascii="Times New Roman" w:hAnsi="Times New Roman"/>
                <w:bCs/>
                <w:sz w:val="22"/>
                <w:szCs w:val="22"/>
                <w:lang w:val="sr-Latn-ME"/>
              </w:rPr>
              <w:t>više</w:t>
            </w:r>
            <w:r w:rsidRPr="00C01AF3">
              <w:rPr>
                <w:rFonts w:ascii="Times New Roman" w:hAnsi="Times New Roman"/>
                <w:bCs/>
                <w:sz w:val="22"/>
                <w:szCs w:val="22"/>
                <w:lang w:val="sr-Latn-ME"/>
              </w:rPr>
              <w:t xml:space="preserve">* </w:t>
            </w:r>
            <w:r w:rsidR="00C31F36" w:rsidRPr="00C01AF3">
              <w:rPr>
                <w:rFonts w:ascii="Times New Roman" w:hAnsi="Times New Roman"/>
                <w:bCs/>
                <w:sz w:val="22"/>
                <w:szCs w:val="22"/>
                <w:lang w:val="sr-Latn-ME"/>
              </w:rPr>
              <w:t xml:space="preserve">od </w:t>
            </w:r>
            <w:r w:rsidRPr="00C01AF3">
              <w:rPr>
                <w:rFonts w:ascii="Times New Roman" w:hAnsi="Times New Roman"/>
                <w:bCs/>
                <w:sz w:val="22"/>
                <w:szCs w:val="22"/>
                <w:lang w:val="sr-Latn-ME"/>
              </w:rPr>
              <w:t>maksimaln</w:t>
            </w:r>
            <w:r w:rsidR="00C31F36" w:rsidRPr="00C01AF3">
              <w:rPr>
                <w:rFonts w:ascii="Times New Roman" w:hAnsi="Times New Roman"/>
                <w:bCs/>
                <w:sz w:val="22"/>
                <w:szCs w:val="22"/>
                <w:lang w:val="sr-Latn-ME"/>
              </w:rPr>
              <w:t>e</w:t>
            </w:r>
            <w:r w:rsidRPr="00C01AF3">
              <w:rPr>
                <w:rFonts w:ascii="Times New Roman" w:hAnsi="Times New Roman"/>
                <w:bCs/>
                <w:sz w:val="22"/>
                <w:szCs w:val="22"/>
                <w:lang w:val="sr-Latn-ME"/>
              </w:rPr>
              <w:t xml:space="preserve"> preporučen</w:t>
            </w:r>
            <w:r w:rsidR="00C31F36" w:rsidRPr="00C01AF3">
              <w:rPr>
                <w:rFonts w:ascii="Times New Roman" w:hAnsi="Times New Roman"/>
                <w:bCs/>
                <w:sz w:val="22"/>
                <w:szCs w:val="22"/>
                <w:lang w:val="sr-Latn-ME"/>
              </w:rPr>
              <w:t>e</w:t>
            </w:r>
            <w:r w:rsidRPr="00C01AF3">
              <w:rPr>
                <w:rFonts w:ascii="Times New Roman" w:hAnsi="Times New Roman"/>
                <w:bCs/>
                <w:sz w:val="22"/>
                <w:szCs w:val="22"/>
                <w:lang w:val="sr-Latn-ME"/>
              </w:rPr>
              <w:t xml:space="preserve"> </w:t>
            </w:r>
            <w:r w:rsidR="00C31F36" w:rsidRPr="00C01AF3">
              <w:rPr>
                <w:rFonts w:ascii="Times New Roman" w:hAnsi="Times New Roman"/>
                <w:bCs/>
                <w:sz w:val="22"/>
                <w:szCs w:val="22"/>
                <w:lang w:val="sr-Latn-ME"/>
              </w:rPr>
              <w:t xml:space="preserve">humane </w:t>
            </w:r>
            <w:r w:rsidRPr="00C01AF3">
              <w:rPr>
                <w:rFonts w:ascii="Times New Roman" w:hAnsi="Times New Roman"/>
                <w:bCs/>
                <w:sz w:val="22"/>
                <w:szCs w:val="22"/>
                <w:lang w:val="sr-Latn-ME"/>
              </w:rPr>
              <w:t xml:space="preserve">doza od 10 mg </w:t>
            </w:r>
            <w:r w:rsidR="00C31F36" w:rsidRPr="00C01AF3">
              <w:rPr>
                <w:rFonts w:ascii="Times New Roman" w:hAnsi="Times New Roman"/>
                <w:bCs/>
                <w:sz w:val="22"/>
                <w:szCs w:val="22"/>
                <w:lang w:val="sr-Latn-ME"/>
              </w:rPr>
              <w:t>izražene u</w:t>
            </w:r>
            <w:r w:rsidR="009636AB" w:rsidRPr="00C01AF3">
              <w:rPr>
                <w:rFonts w:ascii="Times New Roman" w:hAnsi="Times New Roman"/>
                <w:bCs/>
                <w:sz w:val="22"/>
                <w:szCs w:val="22"/>
                <w:lang w:val="sr-Latn-ME"/>
              </w:rPr>
              <w:t xml:space="preserve"> </w:t>
            </w:r>
            <w:r w:rsidRPr="00C01AF3">
              <w:rPr>
                <w:rFonts w:ascii="Times New Roman" w:hAnsi="Times New Roman"/>
                <w:bCs/>
                <w:sz w:val="22"/>
                <w:szCs w:val="22"/>
                <w:lang w:val="sr-Latn-ME"/>
              </w:rPr>
              <w:t>mg/m</w:t>
            </w:r>
            <w:r w:rsidRPr="00C01AF3">
              <w:rPr>
                <w:rFonts w:ascii="Times New Roman" w:hAnsi="Times New Roman"/>
                <w:bCs/>
                <w:sz w:val="22"/>
                <w:szCs w:val="22"/>
                <w:vertAlign w:val="superscript"/>
                <w:lang w:val="sr-Latn-ME"/>
              </w:rPr>
              <w:t>2</w:t>
            </w:r>
            <w:r w:rsidRPr="00C01AF3">
              <w:rPr>
                <w:rFonts w:ascii="Times New Roman" w:hAnsi="Times New Roman"/>
                <w:bCs/>
                <w:sz w:val="22"/>
                <w:szCs w:val="22"/>
                <w:lang w:val="sr-Latn-ME"/>
              </w:rPr>
              <w:t>). U drugo</w:t>
            </w:r>
            <w:r w:rsidR="00CD5E70" w:rsidRPr="00C01AF3">
              <w:rPr>
                <w:rFonts w:ascii="Times New Roman" w:hAnsi="Times New Roman"/>
                <w:bCs/>
                <w:sz w:val="22"/>
                <w:szCs w:val="22"/>
                <w:lang w:val="sr-Latn-ME"/>
              </w:rPr>
              <w:t xml:space="preserve">j studiji </w:t>
            </w:r>
            <w:r w:rsidRPr="00C01AF3">
              <w:rPr>
                <w:rFonts w:ascii="Times New Roman" w:hAnsi="Times New Roman"/>
                <w:bCs/>
                <w:sz w:val="22"/>
                <w:szCs w:val="22"/>
                <w:lang w:val="sr-Latn-ME"/>
              </w:rPr>
              <w:t>sa pacovima u koj</w:t>
            </w:r>
            <w:r w:rsidR="00CD5E70" w:rsidRPr="00C01AF3">
              <w:rPr>
                <w:rFonts w:ascii="Times New Roman" w:hAnsi="Times New Roman"/>
                <w:bCs/>
                <w:sz w:val="22"/>
                <w:szCs w:val="22"/>
                <w:lang w:val="sr-Latn-ME"/>
              </w:rPr>
              <w:t>oj</w:t>
            </w:r>
            <w:r w:rsidRPr="00C01AF3">
              <w:rPr>
                <w:rFonts w:ascii="Times New Roman" w:hAnsi="Times New Roman"/>
                <w:bCs/>
                <w:sz w:val="22"/>
                <w:szCs w:val="22"/>
                <w:lang w:val="sr-Latn-ME"/>
              </w:rPr>
              <w:t xml:space="preserve"> su mužjaci tretirani s amlodipin besilatom tokom 30 dana u dozi</w:t>
            </w:r>
            <w:r w:rsidR="00D82129" w:rsidRPr="00C01AF3">
              <w:rPr>
                <w:rFonts w:ascii="Times New Roman" w:hAnsi="Times New Roman"/>
                <w:bCs/>
                <w:sz w:val="22"/>
                <w:szCs w:val="22"/>
                <w:lang w:val="sr-Latn-ME"/>
              </w:rPr>
              <w:t xml:space="preserve"> </w:t>
            </w:r>
            <w:r w:rsidR="00CD5E70" w:rsidRPr="00C01AF3">
              <w:rPr>
                <w:rFonts w:ascii="Times New Roman" w:hAnsi="Times New Roman"/>
                <w:bCs/>
                <w:sz w:val="22"/>
                <w:szCs w:val="22"/>
                <w:lang w:val="sr-Latn-ME"/>
              </w:rPr>
              <w:t>uporedivoj</w:t>
            </w:r>
            <w:r w:rsidRPr="00C01AF3">
              <w:rPr>
                <w:rFonts w:ascii="Times New Roman" w:hAnsi="Times New Roman"/>
                <w:bCs/>
                <w:sz w:val="22"/>
                <w:szCs w:val="22"/>
                <w:lang w:val="sr-Latn-ME"/>
              </w:rPr>
              <w:t xml:space="preserve">  sa  </w:t>
            </w:r>
            <w:r w:rsidR="00C31F36" w:rsidRPr="00C01AF3">
              <w:rPr>
                <w:rFonts w:ascii="Times New Roman" w:hAnsi="Times New Roman"/>
                <w:bCs/>
                <w:sz w:val="22"/>
                <w:szCs w:val="22"/>
                <w:lang w:val="sr-Latn-ME"/>
              </w:rPr>
              <w:t xml:space="preserve">humanom </w:t>
            </w:r>
            <w:r w:rsidRPr="00C01AF3">
              <w:rPr>
                <w:rFonts w:ascii="Times New Roman" w:hAnsi="Times New Roman"/>
                <w:bCs/>
                <w:sz w:val="22"/>
                <w:szCs w:val="22"/>
                <w:lang w:val="sr-Latn-ME"/>
              </w:rPr>
              <w:t xml:space="preserve">dozom </w:t>
            </w:r>
            <w:r w:rsidR="00D3117B" w:rsidRPr="00C01AF3">
              <w:rPr>
                <w:rFonts w:ascii="Times New Roman" w:hAnsi="Times New Roman"/>
                <w:bCs/>
                <w:sz w:val="22"/>
                <w:szCs w:val="22"/>
                <w:lang w:val="sr-Latn-ME"/>
              </w:rPr>
              <w:t>izraženoj u</w:t>
            </w:r>
            <w:r w:rsidRPr="00C01AF3">
              <w:rPr>
                <w:rFonts w:ascii="Times New Roman" w:hAnsi="Times New Roman"/>
                <w:bCs/>
                <w:sz w:val="22"/>
                <w:szCs w:val="22"/>
                <w:lang w:val="sr-Latn-ME"/>
              </w:rPr>
              <w:t xml:space="preserve"> mg/kg, </w:t>
            </w:r>
            <w:r w:rsidR="003309F3" w:rsidRPr="00C01AF3">
              <w:rPr>
                <w:rFonts w:ascii="Times New Roman" w:hAnsi="Times New Roman"/>
                <w:bCs/>
                <w:sz w:val="22"/>
                <w:szCs w:val="22"/>
                <w:lang w:val="sr-Latn-ME"/>
              </w:rPr>
              <w:t>zabilje</w:t>
            </w:r>
            <w:r w:rsidRPr="00C01AF3">
              <w:rPr>
                <w:rFonts w:ascii="Times New Roman" w:hAnsi="Times New Roman"/>
                <w:bCs/>
                <w:sz w:val="22"/>
                <w:szCs w:val="22"/>
                <w:lang w:val="sr-Latn-ME"/>
              </w:rPr>
              <w:t>ženi su smanjen</w:t>
            </w:r>
            <w:r w:rsidR="00D3117B" w:rsidRPr="00C01AF3">
              <w:rPr>
                <w:rFonts w:ascii="Times New Roman" w:hAnsi="Times New Roman"/>
                <w:bCs/>
                <w:sz w:val="22"/>
                <w:szCs w:val="22"/>
                <w:lang w:val="sr-Latn-ME"/>
              </w:rPr>
              <w:t>i</w:t>
            </w:r>
            <w:r w:rsidRPr="00C01AF3">
              <w:rPr>
                <w:rFonts w:ascii="Times New Roman" w:hAnsi="Times New Roman"/>
                <w:bCs/>
                <w:sz w:val="22"/>
                <w:szCs w:val="22"/>
                <w:lang w:val="sr-Latn-ME"/>
              </w:rPr>
              <w:t xml:space="preserve"> </w:t>
            </w:r>
            <w:r w:rsidR="00E43296" w:rsidRPr="00C01AF3">
              <w:rPr>
                <w:rFonts w:ascii="Times New Roman" w:hAnsi="Times New Roman"/>
                <w:bCs/>
                <w:sz w:val="22"/>
                <w:szCs w:val="22"/>
                <w:lang w:val="sr-Latn-ME"/>
              </w:rPr>
              <w:t>nivo</w:t>
            </w:r>
            <w:r w:rsidR="00D3117B" w:rsidRPr="00C01AF3">
              <w:rPr>
                <w:rFonts w:ascii="Times New Roman" w:hAnsi="Times New Roman"/>
                <w:bCs/>
                <w:sz w:val="22"/>
                <w:szCs w:val="22"/>
                <w:lang w:val="sr-Latn-ME"/>
              </w:rPr>
              <w:t>i</w:t>
            </w:r>
            <w:r w:rsidR="00E43296" w:rsidRPr="00C01AF3">
              <w:rPr>
                <w:rFonts w:ascii="Times New Roman" w:hAnsi="Times New Roman"/>
                <w:bCs/>
                <w:sz w:val="22"/>
                <w:szCs w:val="22"/>
                <w:lang w:val="sr-Latn-ME"/>
              </w:rPr>
              <w:t xml:space="preserve"> </w:t>
            </w:r>
            <w:r w:rsidRPr="00C01AF3">
              <w:rPr>
                <w:rFonts w:ascii="Times New Roman" w:hAnsi="Times New Roman"/>
                <w:bCs/>
                <w:sz w:val="22"/>
                <w:szCs w:val="22"/>
                <w:lang w:val="sr-Latn-ME"/>
              </w:rPr>
              <w:t>folikul</w:t>
            </w:r>
            <w:r w:rsidR="00D3117B" w:rsidRPr="00C01AF3">
              <w:rPr>
                <w:rFonts w:ascii="Times New Roman" w:hAnsi="Times New Roman"/>
                <w:bCs/>
                <w:sz w:val="22"/>
                <w:szCs w:val="22"/>
                <w:lang w:val="sr-Latn-ME"/>
              </w:rPr>
              <w:t>o</w:t>
            </w:r>
            <w:r w:rsidRPr="00C01AF3">
              <w:rPr>
                <w:rFonts w:ascii="Times New Roman" w:hAnsi="Times New Roman"/>
                <w:bCs/>
                <w:sz w:val="22"/>
                <w:szCs w:val="22"/>
                <w:lang w:val="sr-Latn-ME"/>
              </w:rPr>
              <w:t>stimulirajuć</w:t>
            </w:r>
            <w:r w:rsidR="00D3117B" w:rsidRPr="00C01AF3">
              <w:rPr>
                <w:rFonts w:ascii="Times New Roman" w:hAnsi="Times New Roman"/>
                <w:bCs/>
                <w:sz w:val="22"/>
                <w:szCs w:val="22"/>
                <w:lang w:val="sr-Latn-ME"/>
              </w:rPr>
              <w:t>eg</w:t>
            </w:r>
            <w:r w:rsidRPr="00C01AF3">
              <w:rPr>
                <w:rFonts w:ascii="Times New Roman" w:hAnsi="Times New Roman"/>
                <w:bCs/>
                <w:sz w:val="22"/>
                <w:szCs w:val="22"/>
                <w:lang w:val="sr-Latn-ME"/>
              </w:rPr>
              <w:t xml:space="preserve"> hormon</w:t>
            </w:r>
            <w:r w:rsidR="00D3117B" w:rsidRPr="00C01AF3">
              <w:rPr>
                <w:rFonts w:ascii="Times New Roman" w:hAnsi="Times New Roman"/>
                <w:bCs/>
                <w:sz w:val="22"/>
                <w:szCs w:val="22"/>
                <w:lang w:val="sr-Latn-ME"/>
              </w:rPr>
              <w:t>a</w:t>
            </w:r>
            <w:r w:rsidRPr="00C01AF3">
              <w:rPr>
                <w:rFonts w:ascii="Times New Roman" w:hAnsi="Times New Roman"/>
                <w:bCs/>
                <w:sz w:val="22"/>
                <w:szCs w:val="22"/>
                <w:lang w:val="sr-Latn-ME"/>
              </w:rPr>
              <w:t xml:space="preserve"> i testosteron</w:t>
            </w:r>
            <w:r w:rsidR="00D3117B" w:rsidRPr="00C01AF3">
              <w:rPr>
                <w:rFonts w:ascii="Times New Roman" w:hAnsi="Times New Roman"/>
                <w:bCs/>
                <w:sz w:val="22"/>
                <w:szCs w:val="22"/>
                <w:lang w:val="sr-Latn-ME"/>
              </w:rPr>
              <w:t>a</w:t>
            </w:r>
            <w:r w:rsidRPr="00C01AF3">
              <w:rPr>
                <w:rFonts w:ascii="Times New Roman" w:hAnsi="Times New Roman"/>
                <w:bCs/>
                <w:sz w:val="22"/>
                <w:szCs w:val="22"/>
                <w:lang w:val="sr-Latn-ME"/>
              </w:rPr>
              <w:t xml:space="preserve"> u plazmi, kao i</w:t>
            </w:r>
            <w:r w:rsidR="00501329" w:rsidRPr="00C01AF3">
              <w:rPr>
                <w:rFonts w:ascii="Times New Roman" w:hAnsi="Times New Roman"/>
                <w:bCs/>
                <w:sz w:val="22"/>
                <w:szCs w:val="22"/>
                <w:lang w:val="sr-Latn-ME"/>
              </w:rPr>
              <w:t xml:space="preserve"> smanj</w:t>
            </w:r>
            <w:r w:rsidR="00D3117B" w:rsidRPr="00C01AF3">
              <w:rPr>
                <w:rFonts w:ascii="Times New Roman" w:hAnsi="Times New Roman"/>
                <w:bCs/>
                <w:sz w:val="22"/>
                <w:szCs w:val="22"/>
                <w:lang w:val="sr-Latn-ME"/>
              </w:rPr>
              <w:t>enje</w:t>
            </w:r>
            <w:r w:rsidR="00501329" w:rsidRPr="00C01AF3">
              <w:rPr>
                <w:rFonts w:ascii="Times New Roman" w:hAnsi="Times New Roman"/>
                <w:bCs/>
                <w:sz w:val="22"/>
                <w:szCs w:val="22"/>
                <w:lang w:val="sr-Latn-ME"/>
              </w:rPr>
              <w:t xml:space="preserve"> gust</w:t>
            </w:r>
            <w:r w:rsidR="00D3117B" w:rsidRPr="00C01AF3">
              <w:rPr>
                <w:rFonts w:ascii="Times New Roman" w:hAnsi="Times New Roman"/>
                <w:bCs/>
                <w:sz w:val="22"/>
                <w:szCs w:val="22"/>
                <w:lang w:val="sr-Latn-ME"/>
              </w:rPr>
              <w:t>ine</w:t>
            </w:r>
            <w:r w:rsidR="00501329" w:rsidRPr="00C01AF3">
              <w:rPr>
                <w:rFonts w:ascii="Times New Roman" w:hAnsi="Times New Roman"/>
                <w:bCs/>
                <w:sz w:val="22"/>
                <w:szCs w:val="22"/>
                <w:lang w:val="sr-Latn-ME"/>
              </w:rPr>
              <w:t xml:space="preserve"> </w:t>
            </w:r>
            <w:r w:rsidR="00E43296" w:rsidRPr="00C01AF3">
              <w:rPr>
                <w:rFonts w:ascii="Times New Roman" w:hAnsi="Times New Roman"/>
                <w:bCs/>
                <w:sz w:val="22"/>
                <w:szCs w:val="22"/>
                <w:lang w:val="sr-Latn-ME"/>
              </w:rPr>
              <w:t>sperme i</w:t>
            </w:r>
            <w:r w:rsidRPr="00C01AF3">
              <w:rPr>
                <w:rFonts w:ascii="Times New Roman" w:hAnsi="Times New Roman"/>
                <w:bCs/>
                <w:sz w:val="22"/>
                <w:szCs w:val="22"/>
                <w:lang w:val="sr-Latn-ME"/>
              </w:rPr>
              <w:t xml:space="preserve"> broja zrelih spermat</w:t>
            </w:r>
            <w:r w:rsidR="00501329" w:rsidRPr="00C01AF3">
              <w:rPr>
                <w:rFonts w:ascii="Times New Roman" w:hAnsi="Times New Roman"/>
                <w:bCs/>
                <w:sz w:val="22"/>
                <w:szCs w:val="22"/>
                <w:lang w:val="sr-Latn-ME"/>
              </w:rPr>
              <w:t>ozo</w:t>
            </w:r>
            <w:r w:rsidRPr="00C01AF3">
              <w:rPr>
                <w:rFonts w:ascii="Times New Roman" w:hAnsi="Times New Roman"/>
                <w:bCs/>
                <w:sz w:val="22"/>
                <w:szCs w:val="22"/>
                <w:lang w:val="sr-Latn-ME"/>
              </w:rPr>
              <w:t xml:space="preserve">ida i Sertolijevih </w:t>
            </w:r>
            <w:r w:rsidR="00E43296" w:rsidRPr="00C01AF3">
              <w:rPr>
                <w:rFonts w:ascii="Times New Roman" w:hAnsi="Times New Roman"/>
                <w:bCs/>
                <w:sz w:val="22"/>
                <w:szCs w:val="22"/>
                <w:lang w:val="sr-Latn-ME"/>
              </w:rPr>
              <w:t>ćelija</w:t>
            </w:r>
            <w:r w:rsidRPr="00C01AF3">
              <w:rPr>
                <w:rFonts w:ascii="Times New Roman" w:hAnsi="Times New Roman"/>
                <w:bCs/>
                <w:sz w:val="22"/>
                <w:szCs w:val="22"/>
                <w:lang w:val="sr-Latn-ME"/>
              </w:rPr>
              <w:t>.</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p>
          <w:p w:rsidR="002A7E8B" w:rsidRPr="00C01AF3" w:rsidRDefault="00161102" w:rsidP="00AE4980">
            <w:pPr>
              <w:pStyle w:val="Header"/>
              <w:tabs>
                <w:tab w:val="left" w:pos="284"/>
              </w:tabs>
              <w:jc w:val="left"/>
              <w:rPr>
                <w:rFonts w:ascii="Times New Roman" w:hAnsi="Times New Roman"/>
                <w:bCs/>
                <w:i/>
                <w:sz w:val="22"/>
                <w:szCs w:val="22"/>
                <w:u w:val="single"/>
                <w:lang w:val="sr-Latn-ME"/>
              </w:rPr>
            </w:pPr>
            <w:r w:rsidRPr="00C01AF3">
              <w:rPr>
                <w:rFonts w:ascii="Times New Roman" w:hAnsi="Times New Roman"/>
                <w:bCs/>
                <w:i/>
                <w:sz w:val="22"/>
                <w:szCs w:val="22"/>
                <w:u w:val="single"/>
                <w:lang w:val="sr-Latn-ME"/>
              </w:rPr>
              <w:t>Ka</w:t>
            </w:r>
            <w:r w:rsidR="00802A3C" w:rsidRPr="00C01AF3">
              <w:rPr>
                <w:rFonts w:ascii="Times New Roman" w:hAnsi="Times New Roman"/>
                <w:bCs/>
                <w:i/>
                <w:sz w:val="22"/>
                <w:szCs w:val="22"/>
                <w:u w:val="single"/>
                <w:lang w:val="sr-Latn-ME"/>
              </w:rPr>
              <w:t>rcino</w:t>
            </w:r>
            <w:r w:rsidR="002A7E8B" w:rsidRPr="00C01AF3">
              <w:rPr>
                <w:rFonts w:ascii="Times New Roman" w:hAnsi="Times New Roman"/>
                <w:bCs/>
                <w:i/>
                <w:sz w:val="22"/>
                <w:szCs w:val="22"/>
                <w:u w:val="single"/>
                <w:lang w:val="sr-Latn-ME"/>
              </w:rPr>
              <w:t>geneza, mutageneza</w:t>
            </w:r>
          </w:p>
          <w:p w:rsidR="002A7E8B" w:rsidRPr="00C01AF3" w:rsidRDefault="00501329" w:rsidP="00AE4980">
            <w:pPr>
              <w:pStyle w:val="Header"/>
              <w:tabs>
                <w:tab w:val="left" w:pos="284"/>
              </w:tabs>
              <w:jc w:val="left"/>
              <w:rPr>
                <w:rFonts w:ascii="Times New Roman" w:hAnsi="Times New Roman"/>
                <w:bCs/>
                <w:sz w:val="22"/>
                <w:szCs w:val="22"/>
                <w:lang w:val="sr-Latn-ME"/>
              </w:rPr>
            </w:pPr>
            <w:r w:rsidRPr="00C01AF3">
              <w:rPr>
                <w:rFonts w:ascii="Times New Roman" w:hAnsi="Times New Roman"/>
                <w:bCs/>
                <w:sz w:val="22"/>
                <w:szCs w:val="22"/>
                <w:lang w:val="sr-Latn-ME"/>
              </w:rPr>
              <w:t>Pacovi</w:t>
            </w:r>
            <w:r w:rsidR="002A7E8B" w:rsidRPr="00C01AF3">
              <w:rPr>
                <w:rFonts w:ascii="Times New Roman" w:hAnsi="Times New Roman"/>
                <w:bCs/>
                <w:sz w:val="22"/>
                <w:szCs w:val="22"/>
                <w:lang w:val="sr-Latn-ME"/>
              </w:rPr>
              <w:t xml:space="preserve"> i miševi tre</w:t>
            </w:r>
            <w:r w:rsidRPr="00C01AF3">
              <w:rPr>
                <w:rFonts w:ascii="Times New Roman" w:hAnsi="Times New Roman"/>
                <w:bCs/>
                <w:sz w:val="22"/>
                <w:szCs w:val="22"/>
                <w:lang w:val="sr-Latn-ME"/>
              </w:rPr>
              <w:t>tirani amlodipinom u hrani t</w:t>
            </w:r>
            <w:r w:rsidR="002A7E8B" w:rsidRPr="00C01AF3">
              <w:rPr>
                <w:rFonts w:ascii="Times New Roman" w:hAnsi="Times New Roman"/>
                <w:bCs/>
                <w:sz w:val="22"/>
                <w:szCs w:val="22"/>
                <w:lang w:val="sr-Latn-ME"/>
              </w:rPr>
              <w:t>o</w:t>
            </w:r>
            <w:r w:rsidRPr="00C01AF3">
              <w:rPr>
                <w:rFonts w:ascii="Times New Roman" w:hAnsi="Times New Roman"/>
                <w:bCs/>
                <w:sz w:val="22"/>
                <w:szCs w:val="22"/>
                <w:lang w:val="sr-Latn-ME"/>
              </w:rPr>
              <w:t xml:space="preserve">kom </w:t>
            </w:r>
            <w:r w:rsidR="0090474F" w:rsidRPr="00C01AF3">
              <w:rPr>
                <w:rFonts w:ascii="Times New Roman" w:hAnsi="Times New Roman"/>
                <w:bCs/>
                <w:sz w:val="22"/>
                <w:szCs w:val="22"/>
                <w:lang w:val="sr-Latn-ME"/>
              </w:rPr>
              <w:t>dvije</w:t>
            </w:r>
            <w:r w:rsidR="002A7E8B" w:rsidRPr="00C01AF3">
              <w:rPr>
                <w:rFonts w:ascii="Times New Roman" w:hAnsi="Times New Roman"/>
                <w:bCs/>
                <w:sz w:val="22"/>
                <w:szCs w:val="22"/>
                <w:lang w:val="sr-Latn-ME"/>
              </w:rPr>
              <w:t xml:space="preserve"> godine, u koncentracijam</w:t>
            </w:r>
            <w:r w:rsidRPr="00C01AF3">
              <w:rPr>
                <w:rFonts w:ascii="Times New Roman" w:hAnsi="Times New Roman"/>
                <w:bCs/>
                <w:sz w:val="22"/>
                <w:szCs w:val="22"/>
                <w:lang w:val="sr-Latn-ME"/>
              </w:rPr>
              <w:t xml:space="preserve">a izračunatim da bi se osigurali nivoi </w:t>
            </w:r>
            <w:r w:rsidR="002A7E8B" w:rsidRPr="00C01AF3">
              <w:rPr>
                <w:rFonts w:ascii="Times New Roman" w:hAnsi="Times New Roman"/>
                <w:bCs/>
                <w:sz w:val="22"/>
                <w:szCs w:val="22"/>
                <w:lang w:val="sr-Latn-ME"/>
              </w:rPr>
              <w:t xml:space="preserve"> </w:t>
            </w:r>
            <w:r w:rsidRPr="00C01AF3">
              <w:rPr>
                <w:rFonts w:ascii="Times New Roman" w:hAnsi="Times New Roman"/>
                <w:bCs/>
                <w:sz w:val="22"/>
                <w:szCs w:val="22"/>
                <w:lang w:val="sr-Latn-ME"/>
              </w:rPr>
              <w:t xml:space="preserve">dnevnih doza </w:t>
            </w:r>
            <w:r w:rsidR="002A7E8B" w:rsidRPr="00C01AF3">
              <w:rPr>
                <w:rFonts w:ascii="Times New Roman" w:hAnsi="Times New Roman"/>
                <w:bCs/>
                <w:sz w:val="22"/>
                <w:szCs w:val="22"/>
                <w:lang w:val="sr-Latn-ME"/>
              </w:rPr>
              <w:t xml:space="preserve"> 0,5, 1,25 i 2,5 mg/kg/dan ni</w:t>
            </w:r>
            <w:r w:rsidR="00D3117B" w:rsidRPr="00C01AF3">
              <w:rPr>
                <w:rFonts w:ascii="Times New Roman" w:hAnsi="Times New Roman"/>
                <w:bCs/>
                <w:sz w:val="22"/>
                <w:szCs w:val="22"/>
                <w:lang w:val="sr-Latn-ME"/>
              </w:rPr>
              <w:t>je</w:t>
            </w:r>
            <w:r w:rsidR="002A7E8B" w:rsidRPr="00C01AF3">
              <w:rPr>
                <w:rFonts w:ascii="Times New Roman" w:hAnsi="Times New Roman"/>
                <w:bCs/>
                <w:sz w:val="22"/>
                <w:szCs w:val="22"/>
                <w:lang w:val="sr-Latn-ME"/>
              </w:rPr>
              <w:t>su pokazali dokaze o ka</w:t>
            </w:r>
            <w:r w:rsidR="006402CD" w:rsidRPr="00C01AF3">
              <w:rPr>
                <w:rFonts w:ascii="Times New Roman" w:hAnsi="Times New Roman"/>
                <w:bCs/>
                <w:sz w:val="22"/>
                <w:szCs w:val="22"/>
                <w:lang w:val="sr-Latn-ME"/>
              </w:rPr>
              <w:t>rcino</w:t>
            </w:r>
            <w:r w:rsidR="002A7E8B" w:rsidRPr="00C01AF3">
              <w:rPr>
                <w:rFonts w:ascii="Times New Roman" w:hAnsi="Times New Roman"/>
                <w:bCs/>
                <w:sz w:val="22"/>
                <w:szCs w:val="22"/>
                <w:lang w:val="sr-Latn-ME"/>
              </w:rPr>
              <w:t xml:space="preserve">genosti. Najviša doza (za </w:t>
            </w:r>
            <w:r w:rsidR="00161102" w:rsidRPr="00C01AF3">
              <w:rPr>
                <w:rFonts w:ascii="Times New Roman" w:hAnsi="Times New Roman"/>
                <w:bCs/>
                <w:sz w:val="22"/>
                <w:szCs w:val="22"/>
                <w:lang w:val="sr-Latn-ME"/>
              </w:rPr>
              <w:t>miševe sličn</w:t>
            </w:r>
            <w:r w:rsidR="00D3117B" w:rsidRPr="00C01AF3">
              <w:rPr>
                <w:rFonts w:ascii="Times New Roman" w:hAnsi="Times New Roman"/>
                <w:bCs/>
                <w:sz w:val="22"/>
                <w:szCs w:val="22"/>
                <w:lang w:val="sr-Latn-ME"/>
              </w:rPr>
              <w:t>a</w:t>
            </w:r>
            <w:r w:rsidR="00161102" w:rsidRPr="00C01AF3">
              <w:rPr>
                <w:rFonts w:ascii="Times New Roman" w:hAnsi="Times New Roman"/>
                <w:bCs/>
                <w:sz w:val="22"/>
                <w:szCs w:val="22"/>
                <w:lang w:val="sr-Latn-ME"/>
              </w:rPr>
              <w:t xml:space="preserve">, </w:t>
            </w:r>
            <w:r w:rsidR="00D3117B" w:rsidRPr="00C01AF3">
              <w:rPr>
                <w:rFonts w:ascii="Times New Roman" w:hAnsi="Times New Roman"/>
                <w:bCs/>
                <w:sz w:val="22"/>
                <w:szCs w:val="22"/>
                <w:lang w:val="sr-Latn-ME"/>
              </w:rPr>
              <w:t xml:space="preserve">a za </w:t>
            </w:r>
            <w:r w:rsidR="00161102" w:rsidRPr="00C01AF3">
              <w:rPr>
                <w:rFonts w:ascii="Times New Roman" w:hAnsi="Times New Roman"/>
                <w:bCs/>
                <w:sz w:val="22"/>
                <w:szCs w:val="22"/>
                <w:lang w:val="sr-Latn-ME"/>
              </w:rPr>
              <w:t>pacove</w:t>
            </w:r>
            <w:r w:rsidR="00D3117B" w:rsidRPr="00C01AF3">
              <w:rPr>
                <w:rFonts w:ascii="Times New Roman" w:hAnsi="Times New Roman"/>
                <w:bCs/>
                <w:sz w:val="22"/>
                <w:szCs w:val="22"/>
                <w:lang w:val="sr-Latn-ME"/>
              </w:rPr>
              <w:t xml:space="preserve"> jednaka </w:t>
            </w:r>
            <w:r w:rsidR="002A7E8B" w:rsidRPr="00C01AF3">
              <w:rPr>
                <w:rFonts w:ascii="Times New Roman" w:hAnsi="Times New Roman"/>
                <w:bCs/>
                <w:sz w:val="22"/>
                <w:szCs w:val="22"/>
                <w:lang w:val="sr-Latn-ME"/>
              </w:rPr>
              <w:t xml:space="preserve"> </w:t>
            </w:r>
            <w:r w:rsidR="00D3117B" w:rsidRPr="00C01AF3">
              <w:rPr>
                <w:rFonts w:ascii="Times New Roman" w:hAnsi="Times New Roman"/>
                <w:bCs/>
                <w:sz w:val="22"/>
                <w:szCs w:val="22"/>
                <w:lang w:val="sr-Latn-ME"/>
              </w:rPr>
              <w:t xml:space="preserve">dvostrukoj, </w:t>
            </w:r>
            <w:r w:rsidR="002A7E8B" w:rsidRPr="00C01AF3">
              <w:rPr>
                <w:rFonts w:ascii="Times New Roman" w:hAnsi="Times New Roman"/>
                <w:bCs/>
                <w:sz w:val="22"/>
                <w:szCs w:val="22"/>
                <w:lang w:val="sr-Latn-ME"/>
              </w:rPr>
              <w:t>* maksimaln</w:t>
            </w:r>
            <w:r w:rsidR="00D3117B" w:rsidRPr="00C01AF3">
              <w:rPr>
                <w:rFonts w:ascii="Times New Roman" w:hAnsi="Times New Roman"/>
                <w:bCs/>
                <w:sz w:val="22"/>
                <w:szCs w:val="22"/>
                <w:lang w:val="sr-Latn-ME"/>
              </w:rPr>
              <w:t>oj</w:t>
            </w:r>
            <w:r w:rsidR="002A7E8B" w:rsidRPr="00C01AF3">
              <w:rPr>
                <w:rFonts w:ascii="Times New Roman" w:hAnsi="Times New Roman"/>
                <w:bCs/>
                <w:sz w:val="22"/>
                <w:szCs w:val="22"/>
                <w:lang w:val="sr-Latn-ME"/>
              </w:rPr>
              <w:t xml:space="preserve"> preporučen</w:t>
            </w:r>
            <w:r w:rsidR="00D3117B" w:rsidRPr="00C01AF3">
              <w:rPr>
                <w:rFonts w:ascii="Times New Roman" w:hAnsi="Times New Roman"/>
                <w:bCs/>
                <w:sz w:val="22"/>
                <w:szCs w:val="22"/>
                <w:lang w:val="sr-Latn-ME"/>
              </w:rPr>
              <w:t>oj</w:t>
            </w:r>
            <w:r w:rsidR="002A7E8B" w:rsidRPr="00C01AF3">
              <w:rPr>
                <w:rFonts w:ascii="Times New Roman" w:hAnsi="Times New Roman"/>
                <w:bCs/>
                <w:sz w:val="22"/>
                <w:szCs w:val="22"/>
                <w:lang w:val="sr-Latn-ME"/>
              </w:rPr>
              <w:t xml:space="preserve"> k</w:t>
            </w:r>
            <w:r w:rsidRPr="00C01AF3">
              <w:rPr>
                <w:rFonts w:ascii="Times New Roman" w:hAnsi="Times New Roman"/>
                <w:bCs/>
                <w:sz w:val="22"/>
                <w:szCs w:val="22"/>
                <w:lang w:val="sr-Latn-ME"/>
              </w:rPr>
              <w:t>liničk</w:t>
            </w:r>
            <w:r w:rsidR="00D3117B" w:rsidRPr="00C01AF3">
              <w:rPr>
                <w:rFonts w:ascii="Times New Roman" w:hAnsi="Times New Roman"/>
                <w:bCs/>
                <w:sz w:val="22"/>
                <w:szCs w:val="22"/>
                <w:lang w:val="sr-Latn-ME"/>
              </w:rPr>
              <w:t>oj</w:t>
            </w:r>
            <w:r w:rsidRPr="00C01AF3">
              <w:rPr>
                <w:rFonts w:ascii="Times New Roman" w:hAnsi="Times New Roman"/>
                <w:bCs/>
                <w:sz w:val="22"/>
                <w:szCs w:val="22"/>
                <w:lang w:val="sr-Latn-ME"/>
              </w:rPr>
              <w:t xml:space="preserve"> doz</w:t>
            </w:r>
            <w:r w:rsidR="00D3117B" w:rsidRPr="00C01AF3">
              <w:rPr>
                <w:rFonts w:ascii="Times New Roman" w:hAnsi="Times New Roman"/>
                <w:bCs/>
                <w:sz w:val="22"/>
                <w:szCs w:val="22"/>
                <w:lang w:val="sr-Latn-ME"/>
              </w:rPr>
              <w:t>i</w:t>
            </w:r>
            <w:r w:rsidRPr="00C01AF3">
              <w:rPr>
                <w:rFonts w:ascii="Times New Roman" w:hAnsi="Times New Roman"/>
                <w:bCs/>
                <w:sz w:val="22"/>
                <w:szCs w:val="22"/>
                <w:lang w:val="sr-Latn-ME"/>
              </w:rPr>
              <w:t xml:space="preserve"> od 10 mg </w:t>
            </w:r>
            <w:r w:rsidR="00D3117B" w:rsidRPr="00C01AF3">
              <w:rPr>
                <w:rFonts w:ascii="Times New Roman" w:hAnsi="Times New Roman"/>
                <w:bCs/>
                <w:sz w:val="22"/>
                <w:szCs w:val="22"/>
                <w:lang w:val="sr-Latn-ME"/>
              </w:rPr>
              <w:t xml:space="preserve">izraženoj u </w:t>
            </w:r>
            <w:r w:rsidR="002A7E8B" w:rsidRPr="00C01AF3">
              <w:rPr>
                <w:rFonts w:ascii="Times New Roman" w:hAnsi="Times New Roman"/>
                <w:bCs/>
                <w:sz w:val="22"/>
                <w:szCs w:val="22"/>
                <w:lang w:val="sr-Latn-ME"/>
              </w:rPr>
              <w:t>mg/m</w:t>
            </w:r>
            <w:r w:rsidR="002A7E8B" w:rsidRPr="00C01AF3">
              <w:rPr>
                <w:rFonts w:ascii="Times New Roman" w:hAnsi="Times New Roman"/>
                <w:bCs/>
                <w:sz w:val="22"/>
                <w:szCs w:val="22"/>
                <w:vertAlign w:val="superscript"/>
                <w:lang w:val="sr-Latn-ME"/>
              </w:rPr>
              <w:t>2</w:t>
            </w:r>
            <w:r w:rsidR="002A7E8B" w:rsidRPr="00C01AF3">
              <w:rPr>
                <w:rFonts w:ascii="Times New Roman" w:hAnsi="Times New Roman"/>
                <w:bCs/>
                <w:sz w:val="22"/>
                <w:szCs w:val="22"/>
                <w:lang w:val="sr-Latn-ME"/>
              </w:rPr>
              <w:t xml:space="preserve">) bila </w:t>
            </w:r>
            <w:r w:rsidR="00D3117B" w:rsidRPr="00C01AF3">
              <w:rPr>
                <w:rFonts w:ascii="Times New Roman" w:hAnsi="Times New Roman"/>
                <w:bCs/>
                <w:sz w:val="22"/>
                <w:szCs w:val="22"/>
                <w:lang w:val="sr-Latn-ME"/>
              </w:rPr>
              <w:t xml:space="preserve">je </w:t>
            </w:r>
            <w:r w:rsidR="002A7E8B" w:rsidRPr="00C01AF3">
              <w:rPr>
                <w:rFonts w:ascii="Times New Roman" w:hAnsi="Times New Roman"/>
                <w:bCs/>
                <w:sz w:val="22"/>
                <w:szCs w:val="22"/>
                <w:lang w:val="sr-Latn-ME"/>
              </w:rPr>
              <w:t>blizu maksimalne doze koju su mišev</w:t>
            </w:r>
            <w:r w:rsidRPr="00C01AF3">
              <w:rPr>
                <w:rFonts w:ascii="Times New Roman" w:hAnsi="Times New Roman"/>
                <w:bCs/>
                <w:sz w:val="22"/>
                <w:szCs w:val="22"/>
                <w:lang w:val="sr-Latn-ME"/>
              </w:rPr>
              <w:t xml:space="preserve">i </w:t>
            </w:r>
            <w:r w:rsidR="001B2095" w:rsidRPr="00C01AF3">
              <w:rPr>
                <w:rFonts w:ascii="Times New Roman" w:hAnsi="Times New Roman"/>
                <w:bCs/>
                <w:sz w:val="22"/>
                <w:szCs w:val="22"/>
                <w:lang w:val="sr-Latn-ME"/>
              </w:rPr>
              <w:t>tolerisali</w:t>
            </w:r>
            <w:r w:rsidRPr="00C01AF3">
              <w:rPr>
                <w:rFonts w:ascii="Times New Roman" w:hAnsi="Times New Roman"/>
                <w:bCs/>
                <w:sz w:val="22"/>
                <w:szCs w:val="22"/>
                <w:lang w:val="sr-Latn-ME"/>
              </w:rPr>
              <w:t>, ali ne i pacov</w:t>
            </w:r>
            <w:r w:rsidR="00D3117B" w:rsidRPr="00C01AF3">
              <w:rPr>
                <w:rFonts w:ascii="Times New Roman" w:hAnsi="Times New Roman"/>
                <w:bCs/>
                <w:sz w:val="22"/>
                <w:szCs w:val="22"/>
                <w:lang w:val="sr-Latn-ME"/>
              </w:rPr>
              <w:t>i</w:t>
            </w:r>
            <w:r w:rsidR="002A7E8B" w:rsidRPr="00C01AF3">
              <w:rPr>
                <w:rFonts w:ascii="Times New Roman" w:hAnsi="Times New Roman"/>
                <w:bCs/>
                <w:sz w:val="22"/>
                <w:szCs w:val="22"/>
                <w:lang w:val="sr-Latn-ME"/>
              </w:rPr>
              <w:t>.</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Ispitivanja mutagen</w:t>
            </w:r>
            <w:r w:rsidR="00501329" w:rsidRPr="00C01AF3">
              <w:rPr>
                <w:rFonts w:ascii="Times New Roman" w:hAnsi="Times New Roman"/>
                <w:bCs/>
                <w:sz w:val="22"/>
                <w:szCs w:val="22"/>
                <w:lang w:val="sr-Latn-ME"/>
              </w:rPr>
              <w:t>osti su</w:t>
            </w:r>
            <w:r w:rsidR="009B7F34" w:rsidRPr="00C01AF3">
              <w:rPr>
                <w:rFonts w:ascii="Times New Roman" w:hAnsi="Times New Roman"/>
                <w:bCs/>
                <w:sz w:val="22"/>
                <w:szCs w:val="22"/>
                <w:lang w:val="sr-Latn-ME"/>
              </w:rPr>
              <w:t xml:space="preserve"> pokazala da nema efekata</w:t>
            </w:r>
            <w:r w:rsidRPr="00C01AF3">
              <w:rPr>
                <w:rFonts w:ascii="Times New Roman" w:hAnsi="Times New Roman"/>
                <w:bCs/>
                <w:sz w:val="22"/>
                <w:szCs w:val="22"/>
                <w:lang w:val="sr-Latn-ME"/>
              </w:rPr>
              <w:t xml:space="preserve"> povezanih s </w:t>
            </w:r>
            <w:r w:rsidR="00A65414" w:rsidRPr="00C01AF3">
              <w:rPr>
                <w:rFonts w:ascii="Times New Roman" w:hAnsi="Times New Roman"/>
                <w:bCs/>
                <w:sz w:val="22"/>
                <w:szCs w:val="22"/>
                <w:lang w:val="sr-Latn-ME"/>
              </w:rPr>
              <w:t>lijek</w:t>
            </w:r>
            <w:r w:rsidR="00501329" w:rsidRPr="00C01AF3">
              <w:rPr>
                <w:rFonts w:ascii="Times New Roman" w:hAnsi="Times New Roman"/>
                <w:bCs/>
                <w:sz w:val="22"/>
                <w:szCs w:val="22"/>
                <w:lang w:val="sr-Latn-ME"/>
              </w:rPr>
              <w:t>om na nivou gena ili h</w:t>
            </w:r>
            <w:r w:rsidR="009B7F34" w:rsidRPr="00C01AF3">
              <w:rPr>
                <w:rFonts w:ascii="Times New Roman" w:hAnsi="Times New Roman"/>
                <w:bCs/>
                <w:sz w:val="22"/>
                <w:szCs w:val="22"/>
                <w:lang w:val="sr-Latn-ME"/>
              </w:rPr>
              <w:t>romoz</w:t>
            </w:r>
            <w:r w:rsidRPr="00C01AF3">
              <w:rPr>
                <w:rFonts w:ascii="Times New Roman" w:hAnsi="Times New Roman"/>
                <w:bCs/>
                <w:sz w:val="22"/>
                <w:szCs w:val="22"/>
                <w:lang w:val="sr-Latn-ME"/>
              </w:rPr>
              <w:t>oma.</w:t>
            </w:r>
          </w:p>
          <w:p w:rsidR="002A7E8B" w:rsidRPr="00C01AF3" w:rsidRDefault="00501329"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 zasnovano</w:t>
            </w:r>
            <w:r w:rsidR="002A7E8B" w:rsidRPr="00C01AF3">
              <w:rPr>
                <w:rFonts w:ascii="Times New Roman" w:hAnsi="Times New Roman"/>
                <w:bCs/>
                <w:sz w:val="22"/>
                <w:szCs w:val="22"/>
                <w:lang w:val="sr-Latn-ME"/>
              </w:rPr>
              <w:t xml:space="preserve"> na pacijentu težine 50 kg</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p>
          <w:p w:rsidR="002A7E8B" w:rsidRPr="00C01AF3" w:rsidRDefault="002A7E8B" w:rsidP="00AE4980">
            <w:pPr>
              <w:pStyle w:val="Header"/>
              <w:tabs>
                <w:tab w:val="left" w:pos="284"/>
              </w:tabs>
              <w:jc w:val="left"/>
              <w:rPr>
                <w:rFonts w:ascii="Times New Roman" w:hAnsi="Times New Roman"/>
                <w:bCs/>
                <w:sz w:val="22"/>
                <w:szCs w:val="22"/>
                <w:u w:val="single"/>
                <w:lang w:val="sr-Latn-ME"/>
              </w:rPr>
            </w:pPr>
            <w:r w:rsidRPr="00C01AF3">
              <w:rPr>
                <w:rFonts w:ascii="Times New Roman" w:hAnsi="Times New Roman"/>
                <w:bCs/>
                <w:sz w:val="22"/>
                <w:szCs w:val="22"/>
                <w:u w:val="single"/>
                <w:lang w:val="sr-Latn-ME"/>
              </w:rPr>
              <w:t>Valsartan</w:t>
            </w:r>
          </w:p>
          <w:p w:rsidR="002A7E8B" w:rsidRPr="00C01AF3" w:rsidRDefault="00521E3C" w:rsidP="00AE4980">
            <w:pPr>
              <w:pStyle w:val="Header"/>
              <w:tabs>
                <w:tab w:val="left" w:pos="284"/>
              </w:tabs>
              <w:jc w:val="left"/>
              <w:rPr>
                <w:rFonts w:ascii="Times New Roman" w:hAnsi="Times New Roman"/>
                <w:bCs/>
                <w:sz w:val="22"/>
                <w:szCs w:val="22"/>
                <w:lang w:val="sr-Latn-ME"/>
              </w:rPr>
            </w:pPr>
            <w:r w:rsidRPr="00C01AF3">
              <w:rPr>
                <w:rFonts w:ascii="Times New Roman" w:hAnsi="Times New Roman"/>
                <w:bCs/>
                <w:sz w:val="22"/>
                <w:szCs w:val="22"/>
                <w:lang w:val="sr-Latn-ME"/>
              </w:rPr>
              <w:t>Pret</w:t>
            </w:r>
            <w:r w:rsidR="002A7E8B" w:rsidRPr="00C01AF3">
              <w:rPr>
                <w:rFonts w:ascii="Times New Roman" w:hAnsi="Times New Roman"/>
                <w:bCs/>
                <w:sz w:val="22"/>
                <w:szCs w:val="22"/>
                <w:lang w:val="sr-Latn-ME"/>
              </w:rPr>
              <w:t>klinički podaci ni</w:t>
            </w:r>
            <w:r w:rsidR="00D3117B" w:rsidRPr="00C01AF3">
              <w:rPr>
                <w:rFonts w:ascii="Times New Roman" w:hAnsi="Times New Roman"/>
                <w:bCs/>
                <w:sz w:val="22"/>
                <w:szCs w:val="22"/>
                <w:lang w:val="sr-Latn-ME"/>
              </w:rPr>
              <w:t>je</w:t>
            </w:r>
            <w:r w:rsidR="002A7E8B" w:rsidRPr="00C01AF3">
              <w:rPr>
                <w:rFonts w:ascii="Times New Roman" w:hAnsi="Times New Roman"/>
                <w:bCs/>
                <w:sz w:val="22"/>
                <w:szCs w:val="22"/>
                <w:lang w:val="sr-Latn-ME"/>
              </w:rPr>
              <w:t>su otkrili nikakvu pose</w:t>
            </w:r>
            <w:r w:rsidR="00501329" w:rsidRPr="00C01AF3">
              <w:rPr>
                <w:rFonts w:ascii="Times New Roman" w:hAnsi="Times New Roman"/>
                <w:bCs/>
                <w:sz w:val="22"/>
                <w:szCs w:val="22"/>
                <w:lang w:val="sr-Latn-ME"/>
              </w:rPr>
              <w:t>bnu opasnost za ljude na osnovu</w:t>
            </w:r>
            <w:r w:rsidR="002A7E8B" w:rsidRPr="00C01AF3">
              <w:rPr>
                <w:rFonts w:ascii="Times New Roman" w:hAnsi="Times New Roman"/>
                <w:bCs/>
                <w:sz w:val="22"/>
                <w:szCs w:val="22"/>
                <w:lang w:val="sr-Latn-ME"/>
              </w:rPr>
              <w:t xml:space="preserve"> konvencionalnih studija </w:t>
            </w:r>
            <w:r w:rsidR="006A1297" w:rsidRPr="00C01AF3">
              <w:rPr>
                <w:rFonts w:ascii="Times New Roman" w:hAnsi="Times New Roman"/>
                <w:bCs/>
                <w:sz w:val="22"/>
                <w:szCs w:val="22"/>
                <w:lang w:val="sr-Latn-ME"/>
              </w:rPr>
              <w:t>bezbjedn</w:t>
            </w:r>
            <w:r w:rsidR="00501329" w:rsidRPr="00C01AF3">
              <w:rPr>
                <w:rFonts w:ascii="Times New Roman" w:hAnsi="Times New Roman"/>
                <w:bCs/>
                <w:sz w:val="22"/>
                <w:szCs w:val="22"/>
                <w:lang w:val="sr-Latn-ME"/>
              </w:rPr>
              <w:t>osne</w:t>
            </w:r>
            <w:r w:rsidR="002A7E8B" w:rsidRPr="00C01AF3">
              <w:rPr>
                <w:rFonts w:ascii="Times New Roman" w:hAnsi="Times New Roman"/>
                <w:bCs/>
                <w:sz w:val="22"/>
                <w:szCs w:val="22"/>
                <w:lang w:val="sr-Latn-ME"/>
              </w:rPr>
              <w:t xml:space="preserve"> farmakologije, toksičnosti ponovljenih doza, genotoksičnosti, ka</w:t>
            </w:r>
            <w:r w:rsidR="003626D1" w:rsidRPr="00C01AF3">
              <w:rPr>
                <w:rFonts w:ascii="Times New Roman" w:hAnsi="Times New Roman"/>
                <w:bCs/>
                <w:sz w:val="22"/>
                <w:szCs w:val="22"/>
                <w:lang w:val="sr-Latn-ME"/>
              </w:rPr>
              <w:t>rcino</w:t>
            </w:r>
            <w:r w:rsidR="002A7E8B" w:rsidRPr="00C01AF3">
              <w:rPr>
                <w:rFonts w:ascii="Times New Roman" w:hAnsi="Times New Roman"/>
                <w:bCs/>
                <w:sz w:val="22"/>
                <w:szCs w:val="22"/>
                <w:lang w:val="sr-Latn-ME"/>
              </w:rPr>
              <w:t>genog potencijala.</w:t>
            </w:r>
          </w:p>
          <w:p w:rsidR="002A7E8B" w:rsidRPr="00C01AF3" w:rsidRDefault="00501329"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Kod pacova</w:t>
            </w:r>
            <w:r w:rsidR="002A7E8B" w:rsidRPr="00C01AF3">
              <w:rPr>
                <w:rFonts w:ascii="Times New Roman" w:hAnsi="Times New Roman"/>
                <w:bCs/>
                <w:sz w:val="22"/>
                <w:szCs w:val="22"/>
                <w:lang w:val="sr-Latn-ME"/>
              </w:rPr>
              <w:t>, toksične doze valsarta</w:t>
            </w:r>
            <w:r w:rsidRPr="00C01AF3">
              <w:rPr>
                <w:rFonts w:ascii="Times New Roman" w:hAnsi="Times New Roman"/>
                <w:bCs/>
                <w:sz w:val="22"/>
                <w:szCs w:val="22"/>
                <w:lang w:val="sr-Latn-ME"/>
              </w:rPr>
              <w:t>na za majku (600 mg/kg/dan) to</w:t>
            </w:r>
            <w:r w:rsidR="002A7E8B" w:rsidRPr="00C01AF3">
              <w:rPr>
                <w:rFonts w:ascii="Times New Roman" w:hAnsi="Times New Roman"/>
                <w:bCs/>
                <w:sz w:val="22"/>
                <w:szCs w:val="22"/>
                <w:lang w:val="sr-Latn-ME"/>
              </w:rPr>
              <w:t>kom zadnjih dana gestacije i laktacije dovele su do smanjen</w:t>
            </w:r>
            <w:r w:rsidR="00D3117B" w:rsidRPr="00C01AF3">
              <w:rPr>
                <w:rFonts w:ascii="Times New Roman" w:hAnsi="Times New Roman"/>
                <w:bCs/>
                <w:sz w:val="22"/>
                <w:szCs w:val="22"/>
                <w:lang w:val="sr-Latn-ME"/>
              </w:rPr>
              <w:t>og</w:t>
            </w:r>
            <w:r w:rsidR="002A7E8B" w:rsidRPr="00C01AF3">
              <w:rPr>
                <w:rFonts w:ascii="Times New Roman" w:hAnsi="Times New Roman"/>
                <w:bCs/>
                <w:sz w:val="22"/>
                <w:szCs w:val="22"/>
                <w:lang w:val="sr-Latn-ME"/>
              </w:rPr>
              <w:t xml:space="preserve"> preživljavanja, manjeg </w:t>
            </w:r>
            <w:r w:rsidR="00893C69" w:rsidRPr="00C01AF3">
              <w:rPr>
                <w:rFonts w:ascii="Times New Roman" w:hAnsi="Times New Roman"/>
                <w:bCs/>
                <w:sz w:val="22"/>
                <w:szCs w:val="22"/>
                <w:lang w:val="sr-Latn-ME"/>
              </w:rPr>
              <w:t xml:space="preserve">porasta </w:t>
            </w:r>
            <w:r w:rsidR="002A7E8B" w:rsidRPr="00C01AF3">
              <w:rPr>
                <w:rFonts w:ascii="Times New Roman" w:hAnsi="Times New Roman"/>
                <w:bCs/>
                <w:sz w:val="22"/>
                <w:szCs w:val="22"/>
                <w:lang w:val="sr-Latn-ME"/>
              </w:rPr>
              <w:t>teži</w:t>
            </w:r>
            <w:r w:rsidRPr="00C01AF3">
              <w:rPr>
                <w:rFonts w:ascii="Times New Roman" w:hAnsi="Times New Roman"/>
                <w:bCs/>
                <w:sz w:val="22"/>
                <w:szCs w:val="22"/>
                <w:lang w:val="sr-Latn-ME"/>
              </w:rPr>
              <w:t>ne i odloženog</w:t>
            </w:r>
            <w:r w:rsidR="002A7E8B" w:rsidRPr="00C01AF3">
              <w:rPr>
                <w:rFonts w:ascii="Times New Roman" w:hAnsi="Times New Roman"/>
                <w:bCs/>
                <w:sz w:val="22"/>
                <w:szCs w:val="22"/>
                <w:lang w:val="sr-Latn-ME"/>
              </w:rPr>
              <w:t xml:space="preserve"> razvoja (odvajanje </w:t>
            </w:r>
            <w:r w:rsidRPr="00C01AF3">
              <w:rPr>
                <w:rFonts w:ascii="Times New Roman" w:hAnsi="Times New Roman"/>
                <w:bCs/>
                <w:sz w:val="22"/>
                <w:szCs w:val="22"/>
                <w:lang w:val="sr-Latn-ME"/>
              </w:rPr>
              <w:t>u</w:t>
            </w:r>
            <w:r w:rsidR="004C08A8" w:rsidRPr="00C01AF3">
              <w:rPr>
                <w:rFonts w:ascii="Times New Roman" w:hAnsi="Times New Roman"/>
                <w:bCs/>
                <w:sz w:val="22"/>
                <w:szCs w:val="22"/>
                <w:lang w:val="sr-Latn-ME"/>
              </w:rPr>
              <w:t>šne školjke</w:t>
            </w:r>
            <w:r w:rsidRPr="00C01AF3">
              <w:rPr>
                <w:rFonts w:ascii="Times New Roman" w:hAnsi="Times New Roman"/>
                <w:bCs/>
                <w:sz w:val="22"/>
                <w:szCs w:val="22"/>
                <w:lang w:val="sr-Latn-ME"/>
              </w:rPr>
              <w:t xml:space="preserve"> i otvaranje ušnog kanala) kod</w:t>
            </w:r>
            <w:r w:rsidR="002A7E8B" w:rsidRPr="00C01AF3">
              <w:rPr>
                <w:rFonts w:ascii="Times New Roman" w:hAnsi="Times New Roman"/>
                <w:bCs/>
                <w:sz w:val="22"/>
                <w:szCs w:val="22"/>
                <w:lang w:val="sr-Latn-ME"/>
              </w:rPr>
              <w:t xml:space="preserve"> mladunčadi (</w:t>
            </w:r>
            <w:r w:rsidR="00BD0291" w:rsidRPr="00C01AF3">
              <w:rPr>
                <w:rFonts w:ascii="Times New Roman" w:hAnsi="Times New Roman"/>
                <w:bCs/>
                <w:sz w:val="22"/>
                <w:szCs w:val="22"/>
                <w:lang w:val="sr-Latn-ME"/>
              </w:rPr>
              <w:t>vidjet</w:t>
            </w:r>
            <w:r w:rsidR="000A5A91" w:rsidRPr="00C01AF3">
              <w:rPr>
                <w:rFonts w:ascii="Times New Roman" w:hAnsi="Times New Roman"/>
                <w:bCs/>
                <w:sz w:val="22"/>
                <w:szCs w:val="22"/>
                <w:lang w:val="sr-Latn-ME"/>
              </w:rPr>
              <w:t xml:space="preserve">i </w:t>
            </w:r>
            <w:r w:rsidR="00BD0291" w:rsidRPr="00C01AF3">
              <w:rPr>
                <w:rFonts w:ascii="Times New Roman" w:hAnsi="Times New Roman"/>
                <w:bCs/>
                <w:sz w:val="22"/>
                <w:szCs w:val="22"/>
                <w:lang w:val="sr-Latn-ME"/>
              </w:rPr>
              <w:t>odjelj</w:t>
            </w:r>
            <w:r w:rsidR="000A5A91" w:rsidRPr="00C01AF3">
              <w:rPr>
                <w:rFonts w:ascii="Times New Roman" w:hAnsi="Times New Roman"/>
                <w:bCs/>
                <w:sz w:val="22"/>
                <w:szCs w:val="22"/>
                <w:lang w:val="sr-Latn-ME"/>
              </w:rPr>
              <w:t xml:space="preserve">ak </w:t>
            </w:r>
            <w:r w:rsidRPr="00C01AF3">
              <w:rPr>
                <w:rFonts w:ascii="Times New Roman" w:hAnsi="Times New Roman"/>
                <w:bCs/>
                <w:sz w:val="22"/>
                <w:szCs w:val="22"/>
                <w:lang w:val="sr-Latn-ME"/>
              </w:rPr>
              <w:t>4.6). Te doze kod pacova</w:t>
            </w:r>
            <w:r w:rsidR="002A7E8B" w:rsidRPr="00C01AF3">
              <w:rPr>
                <w:rFonts w:ascii="Times New Roman" w:hAnsi="Times New Roman"/>
                <w:bCs/>
                <w:sz w:val="22"/>
                <w:szCs w:val="22"/>
                <w:lang w:val="sr-Latn-ME"/>
              </w:rPr>
              <w:t xml:space="preserve"> (600 mg/kg/dan) su približno 18 puta veće od maksimalne preporučene</w:t>
            </w:r>
            <w:r w:rsidRPr="00C01AF3">
              <w:rPr>
                <w:rFonts w:ascii="Times New Roman" w:hAnsi="Times New Roman"/>
                <w:bCs/>
                <w:sz w:val="22"/>
                <w:szCs w:val="22"/>
                <w:lang w:val="sr-Latn-ME"/>
              </w:rPr>
              <w:t xml:space="preserve"> humane doze </w:t>
            </w:r>
            <w:r w:rsidR="004C08A8" w:rsidRPr="00C01AF3">
              <w:rPr>
                <w:rFonts w:ascii="Times New Roman" w:hAnsi="Times New Roman"/>
                <w:bCs/>
                <w:sz w:val="22"/>
                <w:szCs w:val="22"/>
                <w:lang w:val="sr-Latn-ME"/>
              </w:rPr>
              <w:t>izražene u</w:t>
            </w:r>
            <w:r w:rsidRPr="00C01AF3">
              <w:rPr>
                <w:rFonts w:ascii="Times New Roman" w:hAnsi="Times New Roman"/>
                <w:bCs/>
                <w:sz w:val="22"/>
                <w:szCs w:val="22"/>
                <w:lang w:val="sr-Latn-ME"/>
              </w:rPr>
              <w:t xml:space="preserve"> mg/m</w:t>
            </w:r>
            <w:r w:rsidRPr="00C01AF3">
              <w:rPr>
                <w:rFonts w:ascii="Times New Roman" w:hAnsi="Times New Roman"/>
                <w:bCs/>
                <w:sz w:val="22"/>
                <w:szCs w:val="22"/>
                <w:vertAlign w:val="superscript"/>
                <w:lang w:val="sr-Latn-ME"/>
              </w:rPr>
              <w:t>2</w:t>
            </w:r>
            <w:r w:rsidR="002F7CAE" w:rsidRPr="00C01AF3">
              <w:rPr>
                <w:rFonts w:ascii="Times New Roman" w:hAnsi="Times New Roman"/>
                <w:bCs/>
                <w:sz w:val="22"/>
                <w:szCs w:val="22"/>
                <w:lang w:val="sr-Latn-ME"/>
              </w:rPr>
              <w:t xml:space="preserve"> (proračuni</w:t>
            </w:r>
            <w:r w:rsidRPr="00C01AF3">
              <w:rPr>
                <w:rFonts w:ascii="Times New Roman" w:hAnsi="Times New Roman"/>
                <w:bCs/>
                <w:sz w:val="22"/>
                <w:szCs w:val="22"/>
                <w:lang w:val="sr-Latn-ME"/>
              </w:rPr>
              <w:t xml:space="preserve"> podrazum</w:t>
            </w:r>
            <w:r w:rsidR="002A7E8B" w:rsidRPr="00C01AF3">
              <w:rPr>
                <w:rFonts w:ascii="Times New Roman" w:hAnsi="Times New Roman"/>
                <w:bCs/>
                <w:sz w:val="22"/>
                <w:szCs w:val="22"/>
                <w:lang w:val="sr-Latn-ME"/>
              </w:rPr>
              <w:t>evaju oralnu dozu od 320 mg/d</w:t>
            </w:r>
            <w:r w:rsidRPr="00C01AF3">
              <w:rPr>
                <w:rFonts w:ascii="Times New Roman" w:hAnsi="Times New Roman"/>
                <w:bCs/>
                <w:sz w:val="22"/>
                <w:szCs w:val="22"/>
                <w:lang w:val="sr-Latn-ME"/>
              </w:rPr>
              <w:t>an i pacijenta</w:t>
            </w:r>
            <w:r w:rsidR="002A7E8B" w:rsidRPr="00C01AF3">
              <w:rPr>
                <w:rFonts w:ascii="Times New Roman" w:hAnsi="Times New Roman"/>
                <w:bCs/>
                <w:sz w:val="22"/>
                <w:szCs w:val="22"/>
                <w:lang w:val="sr-Latn-ME"/>
              </w:rPr>
              <w:t xml:space="preserve"> od 60 kg).</w:t>
            </w:r>
          </w:p>
          <w:p w:rsidR="002A7E8B" w:rsidRPr="00C01AF3" w:rsidRDefault="002A7E8B"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 xml:space="preserve">U </w:t>
            </w:r>
            <w:r w:rsidR="00893C69" w:rsidRPr="00C01AF3">
              <w:rPr>
                <w:rFonts w:ascii="Times New Roman" w:hAnsi="Times New Roman"/>
                <w:bCs/>
                <w:sz w:val="22"/>
                <w:szCs w:val="22"/>
                <w:lang w:val="sr-Latn-ME"/>
              </w:rPr>
              <w:t xml:space="preserve">pretkliničkim </w:t>
            </w:r>
            <w:r w:rsidR="006A1297" w:rsidRPr="00C01AF3">
              <w:rPr>
                <w:rFonts w:ascii="Times New Roman" w:hAnsi="Times New Roman"/>
                <w:bCs/>
                <w:sz w:val="22"/>
                <w:szCs w:val="22"/>
                <w:lang w:val="sr-Latn-ME"/>
              </w:rPr>
              <w:t>bezbjedn</w:t>
            </w:r>
            <w:r w:rsidR="00501329" w:rsidRPr="00C01AF3">
              <w:rPr>
                <w:rFonts w:ascii="Times New Roman" w:hAnsi="Times New Roman"/>
                <w:bCs/>
                <w:sz w:val="22"/>
                <w:szCs w:val="22"/>
                <w:lang w:val="sr-Latn-ME"/>
              </w:rPr>
              <w:t xml:space="preserve">osnim </w:t>
            </w:r>
            <w:r w:rsidR="009B40FD" w:rsidRPr="00C01AF3">
              <w:rPr>
                <w:rFonts w:ascii="Times New Roman" w:hAnsi="Times New Roman"/>
                <w:bCs/>
                <w:sz w:val="22"/>
                <w:szCs w:val="22"/>
                <w:lang w:val="sr-Latn-ME"/>
              </w:rPr>
              <w:t>studijama</w:t>
            </w:r>
            <w:r w:rsidRPr="00C01AF3">
              <w:rPr>
                <w:rFonts w:ascii="Times New Roman" w:hAnsi="Times New Roman"/>
                <w:bCs/>
                <w:sz w:val="22"/>
                <w:szCs w:val="22"/>
                <w:lang w:val="sr-Latn-ME"/>
              </w:rPr>
              <w:t xml:space="preserve">, visoke doze valsartana (200 do 600 mg/kg </w:t>
            </w:r>
            <w:r w:rsidR="005A518B" w:rsidRPr="00C01AF3">
              <w:rPr>
                <w:rFonts w:ascii="Times New Roman" w:hAnsi="Times New Roman"/>
                <w:bCs/>
                <w:sz w:val="22"/>
                <w:szCs w:val="22"/>
                <w:lang w:val="sr-Latn-ME"/>
              </w:rPr>
              <w:t>tjeles</w:t>
            </w:r>
            <w:r w:rsidR="00501329" w:rsidRPr="00C01AF3">
              <w:rPr>
                <w:rFonts w:ascii="Times New Roman" w:hAnsi="Times New Roman"/>
                <w:bCs/>
                <w:sz w:val="22"/>
                <w:szCs w:val="22"/>
                <w:lang w:val="sr-Latn-ME"/>
              </w:rPr>
              <w:t>ne težine) izazvale su  kod pacova</w:t>
            </w:r>
            <w:r w:rsidRPr="00C01AF3">
              <w:rPr>
                <w:rFonts w:ascii="Times New Roman" w:hAnsi="Times New Roman"/>
                <w:bCs/>
                <w:sz w:val="22"/>
                <w:szCs w:val="22"/>
                <w:lang w:val="sr-Latn-ME"/>
              </w:rPr>
              <w:t xml:space="preserve"> </w:t>
            </w:r>
            <w:r w:rsidR="004C08A8" w:rsidRPr="00C01AF3">
              <w:rPr>
                <w:rFonts w:ascii="Times New Roman" w:hAnsi="Times New Roman"/>
                <w:bCs/>
                <w:sz w:val="22"/>
                <w:szCs w:val="22"/>
                <w:lang w:val="sr-Latn-ME"/>
              </w:rPr>
              <w:t xml:space="preserve">sniženje </w:t>
            </w:r>
            <w:r w:rsidRPr="00C01AF3">
              <w:rPr>
                <w:rFonts w:ascii="Times New Roman" w:hAnsi="Times New Roman"/>
                <w:bCs/>
                <w:sz w:val="22"/>
                <w:szCs w:val="22"/>
                <w:lang w:val="sr-Latn-ME"/>
              </w:rPr>
              <w:t>p</w:t>
            </w:r>
            <w:r w:rsidR="00501329" w:rsidRPr="00C01AF3">
              <w:rPr>
                <w:rFonts w:ascii="Times New Roman" w:hAnsi="Times New Roman"/>
                <w:bCs/>
                <w:sz w:val="22"/>
                <w:szCs w:val="22"/>
                <w:lang w:val="sr-Latn-ME"/>
              </w:rPr>
              <w:t>arametara crvenih krvnih ćelija</w:t>
            </w:r>
            <w:r w:rsidRPr="00C01AF3">
              <w:rPr>
                <w:rFonts w:ascii="Times New Roman" w:hAnsi="Times New Roman"/>
                <w:bCs/>
                <w:sz w:val="22"/>
                <w:szCs w:val="22"/>
                <w:lang w:val="sr-Latn-ME"/>
              </w:rPr>
              <w:t xml:space="preserve"> (eritrocit</w:t>
            </w:r>
            <w:r w:rsidR="004C08A8" w:rsidRPr="00C01AF3">
              <w:rPr>
                <w:rFonts w:ascii="Times New Roman" w:hAnsi="Times New Roman"/>
                <w:bCs/>
                <w:sz w:val="22"/>
                <w:szCs w:val="22"/>
                <w:lang w:val="sr-Latn-ME"/>
              </w:rPr>
              <w:t>a</w:t>
            </w:r>
            <w:r w:rsidRPr="00C01AF3">
              <w:rPr>
                <w:rFonts w:ascii="Times New Roman" w:hAnsi="Times New Roman"/>
                <w:bCs/>
                <w:sz w:val="22"/>
                <w:szCs w:val="22"/>
                <w:lang w:val="sr-Latn-ME"/>
              </w:rPr>
              <w:t>, hemoglobin</w:t>
            </w:r>
            <w:r w:rsidR="004C08A8" w:rsidRPr="00C01AF3">
              <w:rPr>
                <w:rFonts w:ascii="Times New Roman" w:hAnsi="Times New Roman"/>
                <w:bCs/>
                <w:sz w:val="22"/>
                <w:szCs w:val="22"/>
                <w:lang w:val="sr-Latn-ME"/>
              </w:rPr>
              <w:t>a</w:t>
            </w:r>
            <w:r w:rsidRPr="00C01AF3">
              <w:rPr>
                <w:rFonts w:ascii="Times New Roman" w:hAnsi="Times New Roman"/>
                <w:bCs/>
                <w:sz w:val="22"/>
                <w:szCs w:val="22"/>
                <w:lang w:val="sr-Latn-ME"/>
              </w:rPr>
              <w:t>, hematokrit</w:t>
            </w:r>
            <w:r w:rsidR="004C08A8" w:rsidRPr="00C01AF3">
              <w:rPr>
                <w:rFonts w:ascii="Times New Roman" w:hAnsi="Times New Roman"/>
                <w:bCs/>
                <w:sz w:val="22"/>
                <w:szCs w:val="22"/>
                <w:lang w:val="sr-Latn-ME"/>
              </w:rPr>
              <w:t>a</w:t>
            </w:r>
            <w:r w:rsidRPr="00C01AF3">
              <w:rPr>
                <w:rFonts w:ascii="Times New Roman" w:hAnsi="Times New Roman"/>
                <w:bCs/>
                <w:sz w:val="22"/>
                <w:szCs w:val="22"/>
                <w:lang w:val="sr-Latn-ME"/>
              </w:rPr>
              <w:t>) i dokaz</w:t>
            </w:r>
            <w:r w:rsidR="004C08A8" w:rsidRPr="00C01AF3">
              <w:rPr>
                <w:rFonts w:ascii="Times New Roman" w:hAnsi="Times New Roman"/>
                <w:bCs/>
                <w:sz w:val="22"/>
                <w:szCs w:val="22"/>
                <w:lang w:val="sr-Latn-ME"/>
              </w:rPr>
              <w:t>ale</w:t>
            </w:r>
            <w:r w:rsidRPr="00C01AF3">
              <w:rPr>
                <w:rFonts w:ascii="Times New Roman" w:hAnsi="Times New Roman"/>
                <w:bCs/>
                <w:sz w:val="22"/>
                <w:szCs w:val="22"/>
                <w:lang w:val="sr-Latn-ME"/>
              </w:rPr>
              <w:t xml:space="preserve">  </w:t>
            </w:r>
            <w:r w:rsidR="00644CBB" w:rsidRPr="00C01AF3">
              <w:rPr>
                <w:rFonts w:ascii="Times New Roman" w:hAnsi="Times New Roman"/>
                <w:bCs/>
                <w:sz w:val="22"/>
                <w:szCs w:val="22"/>
                <w:lang w:val="sr-Latn-ME"/>
              </w:rPr>
              <w:t>promje</w:t>
            </w:r>
            <w:r w:rsidR="004C08A8" w:rsidRPr="00C01AF3">
              <w:rPr>
                <w:rFonts w:ascii="Times New Roman" w:hAnsi="Times New Roman"/>
                <w:bCs/>
                <w:sz w:val="22"/>
                <w:szCs w:val="22"/>
                <w:lang w:val="sr-Latn-ME"/>
              </w:rPr>
              <w:t>ne</w:t>
            </w:r>
            <w:r w:rsidRPr="00C01AF3">
              <w:rPr>
                <w:rFonts w:ascii="Times New Roman" w:hAnsi="Times New Roman"/>
                <w:bCs/>
                <w:sz w:val="22"/>
                <w:szCs w:val="22"/>
                <w:lang w:val="sr-Latn-ME"/>
              </w:rPr>
              <w:t xml:space="preserve"> u bubrežnoj hemodinamici (blago povećana urea</w:t>
            </w:r>
            <w:r w:rsidR="009B40FD" w:rsidRPr="00C01AF3">
              <w:rPr>
                <w:rFonts w:ascii="Times New Roman" w:hAnsi="Times New Roman"/>
                <w:bCs/>
                <w:sz w:val="22"/>
                <w:szCs w:val="22"/>
                <w:lang w:val="sr-Latn-ME"/>
              </w:rPr>
              <w:t xml:space="preserve"> u plazmi</w:t>
            </w:r>
            <w:r w:rsidRPr="00C01AF3">
              <w:rPr>
                <w:rFonts w:ascii="Times New Roman" w:hAnsi="Times New Roman"/>
                <w:bCs/>
                <w:sz w:val="22"/>
                <w:szCs w:val="22"/>
                <w:lang w:val="sr-Latn-ME"/>
              </w:rPr>
              <w:t xml:space="preserve"> i renalna tubularna hiperplazija i bazofilija </w:t>
            </w:r>
            <w:r w:rsidR="004C08A8" w:rsidRPr="00C01AF3">
              <w:rPr>
                <w:rFonts w:ascii="Times New Roman" w:hAnsi="Times New Roman"/>
                <w:bCs/>
                <w:sz w:val="22"/>
                <w:szCs w:val="22"/>
                <w:lang w:val="sr-Latn-ME"/>
              </w:rPr>
              <w:t>u mužjaka</w:t>
            </w:r>
            <w:r w:rsidR="00501329" w:rsidRPr="00C01AF3">
              <w:rPr>
                <w:rFonts w:ascii="Times New Roman" w:hAnsi="Times New Roman"/>
                <w:bCs/>
                <w:sz w:val="22"/>
                <w:szCs w:val="22"/>
                <w:lang w:val="sr-Latn-ME"/>
              </w:rPr>
              <w:t>). T</w:t>
            </w:r>
            <w:r w:rsidR="004C08A8" w:rsidRPr="00C01AF3">
              <w:rPr>
                <w:rFonts w:ascii="Times New Roman" w:hAnsi="Times New Roman"/>
                <w:bCs/>
                <w:sz w:val="22"/>
                <w:szCs w:val="22"/>
                <w:lang w:val="sr-Latn-ME"/>
              </w:rPr>
              <w:t>akve</w:t>
            </w:r>
            <w:r w:rsidR="00501329" w:rsidRPr="00C01AF3">
              <w:rPr>
                <w:rFonts w:ascii="Times New Roman" w:hAnsi="Times New Roman"/>
                <w:bCs/>
                <w:sz w:val="22"/>
                <w:szCs w:val="22"/>
                <w:lang w:val="sr-Latn-ME"/>
              </w:rPr>
              <w:t xml:space="preserve"> doze kod pacova</w:t>
            </w:r>
            <w:r w:rsidRPr="00C01AF3">
              <w:rPr>
                <w:rFonts w:ascii="Times New Roman" w:hAnsi="Times New Roman"/>
                <w:bCs/>
                <w:sz w:val="22"/>
                <w:szCs w:val="22"/>
                <w:lang w:val="sr-Latn-ME"/>
              </w:rPr>
              <w:t xml:space="preserve"> (200 i 600 mg/kg /dan) su oko 6 i 18 puta veće od maksimalne preporučene</w:t>
            </w:r>
            <w:r w:rsidR="00501329" w:rsidRPr="00C01AF3">
              <w:rPr>
                <w:rFonts w:ascii="Times New Roman" w:hAnsi="Times New Roman"/>
                <w:bCs/>
                <w:sz w:val="22"/>
                <w:szCs w:val="22"/>
                <w:lang w:val="sr-Latn-ME"/>
              </w:rPr>
              <w:t xml:space="preserve"> humane</w:t>
            </w:r>
            <w:r w:rsidRPr="00C01AF3">
              <w:rPr>
                <w:rFonts w:ascii="Times New Roman" w:hAnsi="Times New Roman"/>
                <w:bCs/>
                <w:sz w:val="22"/>
                <w:szCs w:val="22"/>
                <w:lang w:val="sr-Latn-ME"/>
              </w:rPr>
              <w:t xml:space="preserve"> doze</w:t>
            </w:r>
            <w:r w:rsidR="00501329" w:rsidRPr="00C01AF3">
              <w:rPr>
                <w:rFonts w:ascii="Times New Roman" w:hAnsi="Times New Roman"/>
                <w:bCs/>
                <w:sz w:val="22"/>
                <w:szCs w:val="22"/>
                <w:lang w:val="sr-Latn-ME"/>
              </w:rPr>
              <w:t xml:space="preserve"> </w:t>
            </w:r>
            <w:r w:rsidR="004C08A8" w:rsidRPr="00C01AF3">
              <w:rPr>
                <w:rFonts w:ascii="Times New Roman" w:hAnsi="Times New Roman"/>
                <w:bCs/>
                <w:sz w:val="22"/>
                <w:szCs w:val="22"/>
                <w:lang w:val="sr-Latn-ME"/>
              </w:rPr>
              <w:t>izražene u</w:t>
            </w:r>
            <w:r w:rsidR="00501329" w:rsidRPr="00C01AF3">
              <w:rPr>
                <w:rFonts w:ascii="Times New Roman" w:hAnsi="Times New Roman"/>
                <w:bCs/>
                <w:sz w:val="22"/>
                <w:szCs w:val="22"/>
                <w:lang w:val="sr-Latn-ME"/>
              </w:rPr>
              <w:t xml:space="preserve"> </w:t>
            </w:r>
            <w:r w:rsidRPr="00C01AF3">
              <w:rPr>
                <w:rFonts w:ascii="Times New Roman" w:hAnsi="Times New Roman"/>
                <w:bCs/>
                <w:sz w:val="22"/>
                <w:szCs w:val="22"/>
                <w:lang w:val="sr-Latn-ME"/>
              </w:rPr>
              <w:t xml:space="preserve"> mg/m</w:t>
            </w:r>
            <w:r w:rsidRPr="00C01AF3">
              <w:rPr>
                <w:rFonts w:ascii="Times New Roman" w:hAnsi="Times New Roman"/>
                <w:bCs/>
                <w:sz w:val="22"/>
                <w:szCs w:val="22"/>
                <w:vertAlign w:val="superscript"/>
                <w:lang w:val="sr-Latn-ME"/>
              </w:rPr>
              <w:t>2</w:t>
            </w:r>
            <w:r w:rsidR="0058401A" w:rsidRPr="00C01AF3">
              <w:rPr>
                <w:rFonts w:ascii="Times New Roman" w:hAnsi="Times New Roman"/>
                <w:bCs/>
                <w:sz w:val="22"/>
                <w:szCs w:val="22"/>
                <w:lang w:val="sr-Latn-ME"/>
              </w:rPr>
              <w:t xml:space="preserve"> (proračuni</w:t>
            </w:r>
            <w:r w:rsidRPr="00C01AF3">
              <w:rPr>
                <w:rFonts w:ascii="Times New Roman" w:hAnsi="Times New Roman"/>
                <w:bCs/>
                <w:sz w:val="22"/>
                <w:szCs w:val="22"/>
                <w:lang w:val="sr-Latn-ME"/>
              </w:rPr>
              <w:t xml:space="preserve"> podrazum</w:t>
            </w:r>
            <w:r w:rsidR="004C08A8" w:rsidRPr="00C01AF3">
              <w:rPr>
                <w:rFonts w:ascii="Times New Roman" w:hAnsi="Times New Roman"/>
                <w:bCs/>
                <w:sz w:val="22"/>
                <w:szCs w:val="22"/>
                <w:lang w:val="sr-Latn-ME"/>
              </w:rPr>
              <w:t>j</w:t>
            </w:r>
            <w:r w:rsidRPr="00C01AF3">
              <w:rPr>
                <w:rFonts w:ascii="Times New Roman" w:hAnsi="Times New Roman"/>
                <w:bCs/>
                <w:sz w:val="22"/>
                <w:szCs w:val="22"/>
                <w:lang w:val="sr-Latn-ME"/>
              </w:rPr>
              <w:t>evaju oraln</w:t>
            </w:r>
            <w:r w:rsidR="00501329" w:rsidRPr="00C01AF3">
              <w:rPr>
                <w:rFonts w:ascii="Times New Roman" w:hAnsi="Times New Roman"/>
                <w:bCs/>
                <w:sz w:val="22"/>
                <w:szCs w:val="22"/>
                <w:lang w:val="sr-Latn-ME"/>
              </w:rPr>
              <w:t>u dozu od 320 mg/dan i pacijenta</w:t>
            </w:r>
            <w:r w:rsidRPr="00C01AF3">
              <w:rPr>
                <w:rFonts w:ascii="Times New Roman" w:hAnsi="Times New Roman"/>
                <w:bCs/>
                <w:sz w:val="22"/>
                <w:szCs w:val="22"/>
                <w:lang w:val="sr-Latn-ME"/>
              </w:rPr>
              <w:t xml:space="preserve"> od 60 kg).</w:t>
            </w:r>
          </w:p>
          <w:p w:rsidR="002A7E8B" w:rsidRPr="00C01AF3" w:rsidRDefault="00B36222" w:rsidP="00AE4980">
            <w:pPr>
              <w:pStyle w:val="Header"/>
              <w:tabs>
                <w:tab w:val="left" w:pos="284"/>
              </w:tabs>
              <w:spacing w:before="120"/>
              <w:jc w:val="left"/>
              <w:rPr>
                <w:rFonts w:ascii="Times New Roman" w:hAnsi="Times New Roman"/>
                <w:bCs/>
                <w:sz w:val="22"/>
                <w:szCs w:val="22"/>
                <w:lang w:val="sr-Latn-ME"/>
              </w:rPr>
            </w:pPr>
            <w:r w:rsidRPr="00C01AF3">
              <w:rPr>
                <w:rFonts w:ascii="Times New Roman" w:hAnsi="Times New Roman"/>
                <w:bCs/>
                <w:sz w:val="22"/>
                <w:szCs w:val="22"/>
                <w:lang w:val="sr-Latn-ME"/>
              </w:rPr>
              <w:t xml:space="preserve">Kod </w:t>
            </w:r>
            <w:r w:rsidR="002A7E8B" w:rsidRPr="00C01AF3">
              <w:rPr>
                <w:rFonts w:ascii="Times New Roman" w:hAnsi="Times New Roman"/>
                <w:bCs/>
                <w:sz w:val="22"/>
                <w:szCs w:val="22"/>
                <w:lang w:val="sr-Latn-ME"/>
              </w:rPr>
              <w:t>mar</w:t>
            </w:r>
            <w:r w:rsidR="00501329" w:rsidRPr="00C01AF3">
              <w:rPr>
                <w:rFonts w:ascii="Times New Roman" w:hAnsi="Times New Roman"/>
                <w:bCs/>
                <w:sz w:val="22"/>
                <w:szCs w:val="22"/>
                <w:lang w:val="sr-Latn-ME"/>
              </w:rPr>
              <w:t>mozet</w:t>
            </w:r>
            <w:r w:rsidRPr="00C01AF3">
              <w:rPr>
                <w:rFonts w:ascii="Times New Roman" w:hAnsi="Times New Roman"/>
                <w:bCs/>
                <w:sz w:val="22"/>
                <w:szCs w:val="22"/>
                <w:lang w:val="sr-Latn-ME"/>
              </w:rPr>
              <w:t xml:space="preserve"> majmuna,</w:t>
            </w:r>
            <w:r w:rsidR="00501329" w:rsidRPr="00C01AF3">
              <w:rPr>
                <w:rFonts w:ascii="Times New Roman" w:hAnsi="Times New Roman"/>
                <w:bCs/>
                <w:sz w:val="22"/>
                <w:szCs w:val="22"/>
                <w:lang w:val="sr-Latn-ME"/>
              </w:rPr>
              <w:t xml:space="preserve"> pri sličnim dozama, </w:t>
            </w:r>
            <w:r w:rsidR="00644CBB" w:rsidRPr="00C01AF3">
              <w:rPr>
                <w:rFonts w:ascii="Times New Roman" w:hAnsi="Times New Roman"/>
                <w:bCs/>
                <w:sz w:val="22"/>
                <w:szCs w:val="22"/>
                <w:lang w:val="sr-Latn-ME"/>
              </w:rPr>
              <w:t>promjen</w:t>
            </w:r>
            <w:r w:rsidR="002A7E8B" w:rsidRPr="00C01AF3">
              <w:rPr>
                <w:rFonts w:ascii="Times New Roman" w:hAnsi="Times New Roman"/>
                <w:bCs/>
                <w:sz w:val="22"/>
                <w:szCs w:val="22"/>
                <w:lang w:val="sr-Latn-ME"/>
              </w:rPr>
              <w:t>e su slične, iako puno ozbiljnije,</w:t>
            </w:r>
            <w:r w:rsidR="00501329" w:rsidRPr="00C01AF3">
              <w:rPr>
                <w:rFonts w:ascii="Times New Roman" w:hAnsi="Times New Roman"/>
                <w:bCs/>
                <w:sz w:val="22"/>
                <w:szCs w:val="22"/>
                <w:lang w:val="sr-Latn-ME"/>
              </w:rPr>
              <w:t xml:space="preserve"> posebno u </w:t>
            </w:r>
            <w:r w:rsidR="004C08A8" w:rsidRPr="00C01AF3">
              <w:rPr>
                <w:rFonts w:ascii="Times New Roman" w:hAnsi="Times New Roman"/>
                <w:bCs/>
                <w:sz w:val="22"/>
                <w:szCs w:val="22"/>
                <w:lang w:val="sr-Latn-ME"/>
              </w:rPr>
              <w:t xml:space="preserve">bubrezima </w:t>
            </w:r>
            <w:r w:rsidR="00501329" w:rsidRPr="00C01AF3">
              <w:rPr>
                <w:rFonts w:ascii="Times New Roman" w:hAnsi="Times New Roman"/>
                <w:bCs/>
                <w:sz w:val="22"/>
                <w:szCs w:val="22"/>
                <w:lang w:val="sr-Latn-ME"/>
              </w:rPr>
              <w:t>gd</w:t>
            </w:r>
            <w:r w:rsidR="00FD647A" w:rsidRPr="00C01AF3">
              <w:rPr>
                <w:rFonts w:ascii="Times New Roman" w:hAnsi="Times New Roman"/>
                <w:bCs/>
                <w:sz w:val="22"/>
                <w:szCs w:val="22"/>
                <w:lang w:val="sr-Latn-ME"/>
              </w:rPr>
              <w:t>j</w:t>
            </w:r>
            <w:r w:rsidR="00501329" w:rsidRPr="00C01AF3">
              <w:rPr>
                <w:rFonts w:ascii="Times New Roman" w:hAnsi="Times New Roman"/>
                <w:bCs/>
                <w:sz w:val="22"/>
                <w:szCs w:val="22"/>
                <w:lang w:val="sr-Latn-ME"/>
              </w:rPr>
              <w:t xml:space="preserve">e su </w:t>
            </w:r>
            <w:r w:rsidR="004C08A8" w:rsidRPr="00C01AF3">
              <w:rPr>
                <w:rFonts w:ascii="Times New Roman" w:hAnsi="Times New Roman"/>
                <w:bCs/>
                <w:sz w:val="22"/>
                <w:szCs w:val="22"/>
                <w:lang w:val="sr-Latn-ME"/>
              </w:rPr>
              <w:t xml:space="preserve">se </w:t>
            </w:r>
            <w:r w:rsidR="00644CBB" w:rsidRPr="00C01AF3">
              <w:rPr>
                <w:rFonts w:ascii="Times New Roman" w:hAnsi="Times New Roman"/>
                <w:bCs/>
                <w:sz w:val="22"/>
                <w:szCs w:val="22"/>
                <w:lang w:val="sr-Latn-ME"/>
              </w:rPr>
              <w:t>promjen</w:t>
            </w:r>
            <w:r w:rsidR="002A7E8B" w:rsidRPr="00C01AF3">
              <w:rPr>
                <w:rFonts w:ascii="Times New Roman" w:hAnsi="Times New Roman"/>
                <w:bCs/>
                <w:sz w:val="22"/>
                <w:szCs w:val="22"/>
                <w:lang w:val="sr-Latn-ME"/>
              </w:rPr>
              <w:t xml:space="preserve">e </w:t>
            </w:r>
            <w:r w:rsidR="004C08A8" w:rsidRPr="00C01AF3">
              <w:rPr>
                <w:rFonts w:ascii="Times New Roman" w:hAnsi="Times New Roman"/>
                <w:bCs/>
                <w:sz w:val="22"/>
                <w:szCs w:val="22"/>
                <w:lang w:val="sr-Latn-ME"/>
              </w:rPr>
              <w:t>razvile u</w:t>
            </w:r>
            <w:r w:rsidR="002A7E8B" w:rsidRPr="00C01AF3">
              <w:rPr>
                <w:rFonts w:ascii="Times New Roman" w:hAnsi="Times New Roman"/>
                <w:bCs/>
                <w:sz w:val="22"/>
                <w:szCs w:val="22"/>
                <w:lang w:val="sr-Latn-ME"/>
              </w:rPr>
              <w:t xml:space="preserve"> nefropatij</w:t>
            </w:r>
            <w:r w:rsidR="004C08A8" w:rsidRPr="00C01AF3">
              <w:rPr>
                <w:rFonts w:ascii="Times New Roman" w:hAnsi="Times New Roman"/>
                <w:bCs/>
                <w:sz w:val="22"/>
                <w:szCs w:val="22"/>
                <w:lang w:val="sr-Latn-ME"/>
              </w:rPr>
              <w:t>u</w:t>
            </w:r>
            <w:r w:rsidR="002A7E8B" w:rsidRPr="00C01AF3">
              <w:rPr>
                <w:rFonts w:ascii="Times New Roman" w:hAnsi="Times New Roman"/>
                <w:bCs/>
                <w:sz w:val="22"/>
                <w:szCs w:val="22"/>
                <w:lang w:val="sr-Latn-ME"/>
              </w:rPr>
              <w:t xml:space="preserve"> k</w:t>
            </w:r>
            <w:r w:rsidR="009B40FD" w:rsidRPr="00C01AF3">
              <w:rPr>
                <w:rFonts w:ascii="Times New Roman" w:hAnsi="Times New Roman"/>
                <w:bCs/>
                <w:sz w:val="22"/>
                <w:szCs w:val="22"/>
                <w:lang w:val="sr-Latn-ME"/>
              </w:rPr>
              <w:t>oja uključ</w:t>
            </w:r>
            <w:r w:rsidR="004C08A8" w:rsidRPr="00C01AF3">
              <w:rPr>
                <w:rFonts w:ascii="Times New Roman" w:hAnsi="Times New Roman"/>
                <w:bCs/>
                <w:sz w:val="22"/>
                <w:szCs w:val="22"/>
                <w:lang w:val="sr-Latn-ME"/>
              </w:rPr>
              <w:t>uje</w:t>
            </w:r>
            <w:r w:rsidR="009B40FD" w:rsidRPr="00C01AF3">
              <w:rPr>
                <w:rFonts w:ascii="Times New Roman" w:hAnsi="Times New Roman"/>
                <w:bCs/>
                <w:sz w:val="22"/>
                <w:szCs w:val="22"/>
                <w:lang w:val="sr-Latn-ME"/>
              </w:rPr>
              <w:t xml:space="preserve"> povećanu ure</w:t>
            </w:r>
            <w:r w:rsidR="002A7E8B" w:rsidRPr="00C01AF3">
              <w:rPr>
                <w:rFonts w:ascii="Times New Roman" w:hAnsi="Times New Roman"/>
                <w:bCs/>
                <w:sz w:val="22"/>
                <w:szCs w:val="22"/>
                <w:lang w:val="sr-Latn-ME"/>
              </w:rPr>
              <w:t>u i kreatinin.</w:t>
            </w:r>
          </w:p>
          <w:p w:rsidR="00834DBB" w:rsidRPr="00C01AF3" w:rsidRDefault="00B36222" w:rsidP="00191616">
            <w:pPr>
              <w:pStyle w:val="Header"/>
              <w:tabs>
                <w:tab w:val="left" w:pos="284"/>
              </w:tabs>
              <w:spacing w:before="120"/>
              <w:jc w:val="left"/>
              <w:rPr>
                <w:rFonts w:ascii="Times New Roman" w:hAnsi="Times New Roman"/>
                <w:sz w:val="4"/>
                <w:szCs w:val="4"/>
                <w:lang w:val="sr-Latn-ME"/>
              </w:rPr>
            </w:pPr>
            <w:r w:rsidRPr="00C01AF3">
              <w:rPr>
                <w:rFonts w:ascii="Times New Roman" w:hAnsi="Times New Roman"/>
                <w:bCs/>
                <w:sz w:val="22"/>
                <w:szCs w:val="22"/>
                <w:lang w:val="sr-Latn-ME"/>
              </w:rPr>
              <w:t>Kod ob</w:t>
            </w:r>
            <w:r w:rsidR="00FD647A" w:rsidRPr="00C01AF3">
              <w:rPr>
                <w:rFonts w:ascii="Times New Roman" w:hAnsi="Times New Roman"/>
                <w:bCs/>
                <w:sz w:val="22"/>
                <w:szCs w:val="22"/>
                <w:lang w:val="sr-Latn-ME"/>
              </w:rPr>
              <w:t>j</w:t>
            </w:r>
            <w:r w:rsidRPr="00C01AF3">
              <w:rPr>
                <w:rFonts w:ascii="Times New Roman" w:hAnsi="Times New Roman"/>
                <w:bCs/>
                <w:sz w:val="22"/>
                <w:szCs w:val="22"/>
                <w:lang w:val="sr-Latn-ME"/>
              </w:rPr>
              <w:t xml:space="preserve">e vrste, takođe je </w:t>
            </w:r>
            <w:r w:rsidR="003309F3" w:rsidRPr="00C01AF3">
              <w:rPr>
                <w:rFonts w:ascii="Times New Roman" w:hAnsi="Times New Roman"/>
                <w:bCs/>
                <w:sz w:val="22"/>
                <w:szCs w:val="22"/>
                <w:lang w:val="sr-Latn-ME"/>
              </w:rPr>
              <w:t>zabilje</w:t>
            </w:r>
            <w:r w:rsidRPr="00C01AF3">
              <w:rPr>
                <w:rFonts w:ascii="Times New Roman" w:hAnsi="Times New Roman"/>
                <w:bCs/>
                <w:sz w:val="22"/>
                <w:szCs w:val="22"/>
                <w:lang w:val="sr-Latn-ME"/>
              </w:rPr>
              <w:t>ležena h</w:t>
            </w:r>
            <w:r w:rsidR="002A7E8B" w:rsidRPr="00C01AF3">
              <w:rPr>
                <w:rFonts w:ascii="Times New Roman" w:hAnsi="Times New Roman"/>
                <w:bCs/>
                <w:sz w:val="22"/>
                <w:szCs w:val="22"/>
                <w:lang w:val="sr-Latn-ME"/>
              </w:rPr>
              <w:t>ipertrofija rena</w:t>
            </w:r>
            <w:r w:rsidR="00501329" w:rsidRPr="00C01AF3">
              <w:rPr>
                <w:rFonts w:ascii="Times New Roman" w:hAnsi="Times New Roman"/>
                <w:bCs/>
                <w:sz w:val="22"/>
                <w:szCs w:val="22"/>
                <w:lang w:val="sr-Latn-ME"/>
              </w:rPr>
              <w:t>lnih jukstaglomerularnih ćelija</w:t>
            </w:r>
            <w:r w:rsidR="002A7E8B" w:rsidRPr="00C01AF3">
              <w:rPr>
                <w:rFonts w:ascii="Times New Roman" w:hAnsi="Times New Roman"/>
                <w:bCs/>
                <w:sz w:val="22"/>
                <w:szCs w:val="22"/>
                <w:lang w:val="sr-Latn-ME"/>
              </w:rPr>
              <w:t xml:space="preserve">. </w:t>
            </w:r>
            <w:r w:rsidR="009B40FD" w:rsidRPr="00C01AF3">
              <w:rPr>
                <w:rFonts w:ascii="Times New Roman" w:hAnsi="Times New Roman"/>
                <w:bCs/>
                <w:sz w:val="22"/>
                <w:szCs w:val="22"/>
                <w:lang w:val="sr-Latn-ME"/>
              </w:rPr>
              <w:t>Smatra se da su</w:t>
            </w:r>
            <w:r w:rsidR="002A7E8B" w:rsidRPr="00C01AF3">
              <w:rPr>
                <w:rFonts w:ascii="Times New Roman" w:hAnsi="Times New Roman"/>
                <w:bCs/>
                <w:sz w:val="22"/>
                <w:szCs w:val="22"/>
                <w:lang w:val="sr-Latn-ME"/>
              </w:rPr>
              <w:t xml:space="preserve"> sve </w:t>
            </w:r>
            <w:r w:rsidR="00644CBB" w:rsidRPr="00C01AF3">
              <w:rPr>
                <w:rFonts w:ascii="Times New Roman" w:hAnsi="Times New Roman"/>
                <w:bCs/>
                <w:sz w:val="22"/>
                <w:szCs w:val="22"/>
                <w:lang w:val="sr-Latn-ME"/>
              </w:rPr>
              <w:t>promjen</w:t>
            </w:r>
            <w:r w:rsidR="002A7E8B" w:rsidRPr="00C01AF3">
              <w:rPr>
                <w:rFonts w:ascii="Times New Roman" w:hAnsi="Times New Roman"/>
                <w:bCs/>
                <w:sz w:val="22"/>
                <w:szCs w:val="22"/>
                <w:lang w:val="sr-Latn-ME"/>
              </w:rPr>
              <w:t xml:space="preserve">e </w:t>
            </w:r>
            <w:r w:rsidR="00501329" w:rsidRPr="00C01AF3">
              <w:rPr>
                <w:rFonts w:ascii="Times New Roman" w:hAnsi="Times New Roman"/>
                <w:bCs/>
                <w:sz w:val="22"/>
                <w:szCs w:val="22"/>
                <w:lang w:val="sr-Latn-ME"/>
              </w:rPr>
              <w:t xml:space="preserve"> uzrokovane farmakološkim </w:t>
            </w:r>
            <w:r w:rsidR="007B42AA" w:rsidRPr="00C01AF3">
              <w:rPr>
                <w:rFonts w:ascii="Times New Roman" w:hAnsi="Times New Roman"/>
                <w:bCs/>
                <w:sz w:val="22"/>
                <w:szCs w:val="22"/>
                <w:lang w:val="sr-Latn-ME"/>
              </w:rPr>
              <w:t>djelov</w:t>
            </w:r>
            <w:r w:rsidR="00501329" w:rsidRPr="00C01AF3">
              <w:rPr>
                <w:rFonts w:ascii="Times New Roman" w:hAnsi="Times New Roman"/>
                <w:bCs/>
                <w:sz w:val="22"/>
                <w:szCs w:val="22"/>
                <w:lang w:val="sr-Latn-ME"/>
              </w:rPr>
              <w:t xml:space="preserve">anjem valsartana koji </w:t>
            </w:r>
            <w:r w:rsidR="002A7E8B" w:rsidRPr="00C01AF3">
              <w:rPr>
                <w:rFonts w:ascii="Times New Roman" w:hAnsi="Times New Roman"/>
                <w:bCs/>
                <w:sz w:val="22"/>
                <w:szCs w:val="22"/>
                <w:lang w:val="sr-Latn-ME"/>
              </w:rPr>
              <w:t>dovodi do</w:t>
            </w:r>
            <w:r w:rsidR="00501329" w:rsidRPr="00C01AF3">
              <w:rPr>
                <w:rFonts w:ascii="Times New Roman" w:hAnsi="Times New Roman"/>
                <w:bCs/>
                <w:sz w:val="22"/>
                <w:szCs w:val="22"/>
                <w:lang w:val="sr-Latn-ME"/>
              </w:rPr>
              <w:t xml:space="preserve"> dugotrajne hipotenzije, posebno kod</w:t>
            </w:r>
            <w:r w:rsidR="002A7E8B" w:rsidRPr="00C01AF3">
              <w:rPr>
                <w:rFonts w:ascii="Times New Roman" w:hAnsi="Times New Roman"/>
                <w:bCs/>
                <w:sz w:val="22"/>
                <w:szCs w:val="22"/>
                <w:lang w:val="sr-Latn-ME"/>
              </w:rPr>
              <w:t xml:space="preserve"> marmozet</w:t>
            </w:r>
            <w:r w:rsidRPr="00C01AF3">
              <w:rPr>
                <w:rFonts w:ascii="Times New Roman" w:hAnsi="Times New Roman"/>
                <w:bCs/>
                <w:sz w:val="22"/>
                <w:szCs w:val="22"/>
                <w:lang w:val="sr-Latn-ME"/>
              </w:rPr>
              <w:t xml:space="preserve"> majuna</w:t>
            </w:r>
            <w:r w:rsidR="002A7E8B" w:rsidRPr="00C01AF3">
              <w:rPr>
                <w:rFonts w:ascii="Times New Roman" w:hAnsi="Times New Roman"/>
                <w:bCs/>
                <w:sz w:val="22"/>
                <w:szCs w:val="22"/>
                <w:lang w:val="sr-Latn-ME"/>
              </w:rPr>
              <w:t>. Čini se da za terapijske doze valsartana kod ljudi, hipertrofija rena</w:t>
            </w:r>
            <w:r w:rsidR="00501329" w:rsidRPr="00C01AF3">
              <w:rPr>
                <w:rFonts w:ascii="Times New Roman" w:hAnsi="Times New Roman"/>
                <w:bCs/>
                <w:sz w:val="22"/>
                <w:szCs w:val="22"/>
                <w:lang w:val="sr-Latn-ME"/>
              </w:rPr>
              <w:t>lnih jukstaglomerularnih ćelija nije značajna</w:t>
            </w:r>
            <w:r w:rsidR="002A7E8B" w:rsidRPr="00C01AF3">
              <w:rPr>
                <w:rFonts w:ascii="Times New Roman" w:hAnsi="Times New Roman"/>
                <w:bCs/>
                <w:sz w:val="22"/>
                <w:szCs w:val="22"/>
                <w:lang w:val="sr-Latn-ME"/>
              </w:rPr>
              <w:t>.</w:t>
            </w:r>
          </w:p>
          <w:p w:rsidR="00191616" w:rsidRPr="00C01AF3" w:rsidRDefault="00191616" w:rsidP="009D1526">
            <w:pPr>
              <w:pStyle w:val="Header"/>
              <w:tabs>
                <w:tab w:val="clear" w:pos="4536"/>
                <w:tab w:val="clear" w:pos="9072"/>
                <w:tab w:val="left" w:pos="284"/>
              </w:tabs>
              <w:spacing w:before="120"/>
              <w:jc w:val="left"/>
              <w:rPr>
                <w:rFonts w:ascii="Times New Roman" w:hAnsi="Times New Roman"/>
                <w:sz w:val="4"/>
                <w:szCs w:val="4"/>
                <w:lang w:val="sr-Latn-ME"/>
              </w:rPr>
            </w:pPr>
          </w:p>
          <w:p w:rsidR="00191616" w:rsidRPr="00C01AF3" w:rsidRDefault="00191616" w:rsidP="009D1526">
            <w:pPr>
              <w:pStyle w:val="Header"/>
              <w:tabs>
                <w:tab w:val="clear" w:pos="4536"/>
                <w:tab w:val="clear" w:pos="9072"/>
                <w:tab w:val="left" w:pos="284"/>
              </w:tabs>
              <w:spacing w:before="120"/>
              <w:jc w:val="left"/>
              <w:rPr>
                <w:rFonts w:ascii="Times New Roman" w:hAnsi="Times New Roman"/>
                <w:sz w:val="22"/>
                <w:szCs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6. FARMACEUTSKI PODACI</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 xml:space="preserve">6.1. Lista </w:t>
            </w:r>
            <w:r w:rsidR="002B6F6A" w:rsidRPr="00C01AF3">
              <w:rPr>
                <w:rFonts w:ascii="Times New Roman" w:hAnsi="Times New Roman"/>
                <w:b/>
                <w:bCs/>
                <w:sz w:val="22"/>
                <w:szCs w:val="22"/>
                <w:lang w:val="sr-Latn-ME"/>
              </w:rPr>
              <w:t>pomoćnih supstanci</w:t>
            </w:r>
          </w:p>
        </w:tc>
      </w:tr>
      <w:tr w:rsidR="00834DBB" w:rsidRPr="00C01AF3" w:rsidTr="00DE0A48">
        <w:trPr>
          <w:trHeight w:val="779"/>
        </w:trPr>
        <w:tc>
          <w:tcPr>
            <w:tcW w:w="10188" w:type="dxa"/>
            <w:gridSpan w:val="3"/>
            <w:vAlign w:val="center"/>
          </w:tcPr>
          <w:p w:rsidR="00003794" w:rsidRPr="00C01AF3" w:rsidRDefault="00003794" w:rsidP="00003794">
            <w:pPr>
              <w:tabs>
                <w:tab w:val="clear" w:pos="284"/>
              </w:tabs>
              <w:jc w:val="left"/>
              <w:rPr>
                <w:rFonts w:ascii="Times New Roman" w:hAnsi="Times New Roman" w:cs="Arial"/>
                <w:sz w:val="22"/>
                <w:lang w:val="sr-Latn-ME"/>
              </w:rPr>
            </w:pPr>
            <w:r w:rsidRPr="00C01AF3">
              <w:rPr>
                <w:rFonts w:ascii="Times New Roman" w:hAnsi="Times New Roman" w:cs="Arial"/>
                <w:sz w:val="22"/>
                <w:lang w:val="sr-Latn-ME"/>
              </w:rPr>
              <w:t>Pomoćne supstance su (navedene posebno za svaku jačinu):</w:t>
            </w:r>
          </w:p>
          <w:p w:rsidR="00003794" w:rsidRPr="00C01AF3" w:rsidRDefault="00003794" w:rsidP="00003794">
            <w:pPr>
              <w:tabs>
                <w:tab w:val="clear" w:pos="284"/>
              </w:tabs>
              <w:jc w:val="left"/>
              <w:rPr>
                <w:rFonts w:ascii="Times New Roman" w:hAnsi="Times New Roman"/>
                <w:bCs/>
                <w:sz w:val="22"/>
                <w:u w:val="single"/>
                <w:lang w:val="sr-Latn-ME"/>
              </w:rPr>
            </w:pPr>
          </w:p>
          <w:p w:rsidR="00003794" w:rsidRPr="00C01AF3" w:rsidRDefault="00A71C2D" w:rsidP="00003794">
            <w:pPr>
              <w:tabs>
                <w:tab w:val="clear" w:pos="284"/>
              </w:tabs>
              <w:jc w:val="left"/>
              <w:rPr>
                <w:rFonts w:ascii="Times New Roman" w:hAnsi="Times New Roman"/>
                <w:b/>
                <w:bCs/>
                <w:i/>
                <w:sz w:val="22"/>
                <w:u w:val="single"/>
                <w:lang w:val="sr-Latn-ME"/>
              </w:rPr>
            </w:pPr>
            <w:r w:rsidRPr="00C01AF3">
              <w:rPr>
                <w:rFonts w:ascii="Times New Roman" w:hAnsi="Times New Roman"/>
                <w:b/>
                <w:bCs/>
                <w:i/>
                <w:sz w:val="22"/>
                <w:u w:val="single"/>
                <w:lang w:val="sr-Latn-ME"/>
              </w:rPr>
              <w:t>160mg + 5mg + 12,5mg</w:t>
            </w:r>
            <w:r w:rsidR="007C4A86" w:rsidRPr="00C01AF3">
              <w:rPr>
                <w:rFonts w:ascii="Times New Roman" w:hAnsi="Times New Roman"/>
                <w:b/>
                <w:bCs/>
                <w:i/>
                <w:sz w:val="22"/>
                <w:u w:val="single"/>
                <w:lang w:val="sr-Latn-ME"/>
              </w:rPr>
              <w:t xml:space="preserve"> </w:t>
            </w:r>
            <w:r w:rsidR="00003794" w:rsidRPr="00C01AF3">
              <w:rPr>
                <w:rFonts w:ascii="Times New Roman" w:hAnsi="Times New Roman"/>
                <w:b/>
                <w:bCs/>
                <w:i/>
                <w:sz w:val="22"/>
                <w:u w:val="single"/>
                <w:lang w:val="sr-Latn-ME"/>
              </w:rPr>
              <w:t>:</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Jezgro tablete: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celuloza, mikrokristalna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krospovidon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silicijum </w:t>
            </w:r>
            <w:r w:rsidR="00003794" w:rsidRPr="00C01AF3">
              <w:rPr>
                <w:rFonts w:ascii="Times New Roman" w:hAnsi="Times New Roman"/>
                <w:bCs/>
                <w:sz w:val="22"/>
                <w:lang w:val="sr-Latn-ME"/>
              </w:rPr>
              <w:t>dioksid, koloidni, bezvodni</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magnezijum </w:t>
            </w:r>
            <w:r w:rsidR="00003794" w:rsidRPr="00C01AF3">
              <w:rPr>
                <w:rFonts w:ascii="Times New Roman" w:hAnsi="Times New Roman"/>
                <w:bCs/>
                <w:sz w:val="22"/>
                <w:lang w:val="sr-Latn-ME"/>
              </w:rPr>
              <w:t>stearat</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Omotač tablete: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Pigmentn</w:t>
            </w:r>
            <w:r w:rsidR="00C27E7F" w:rsidRPr="00C01AF3">
              <w:rPr>
                <w:rFonts w:ascii="Times New Roman" w:hAnsi="Times New Roman"/>
                <w:bCs/>
                <w:sz w:val="22"/>
                <w:lang w:val="sr-Latn-ME"/>
              </w:rPr>
              <w:t>a mješavina</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el</w:t>
            </w:r>
            <w:r w:rsidR="00C27E7F" w:rsidRPr="00C01AF3">
              <w:rPr>
                <w:rFonts w:ascii="Times New Roman" w:hAnsi="Times New Roman"/>
                <w:bCs/>
                <w:sz w:val="22"/>
                <w:lang w:val="sr-Latn-ME"/>
              </w:rPr>
              <w:t>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Prečišćena voda</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mješavine</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 xml:space="preserve">ele: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titan </w:t>
            </w:r>
            <w:r w:rsidR="00003794" w:rsidRPr="00C01AF3">
              <w:rPr>
                <w:rFonts w:ascii="Times New Roman" w:hAnsi="Times New Roman"/>
                <w:bCs/>
                <w:sz w:val="22"/>
                <w:lang w:val="sr-Latn-ME"/>
              </w:rPr>
              <w:t xml:space="preserve">dioksid (E171)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i/>
                <w:sz w:val="22"/>
                <w:u w:val="single"/>
                <w:lang w:val="sr-Latn-ME"/>
              </w:rPr>
            </w:pPr>
          </w:p>
          <w:p w:rsidR="00003794" w:rsidRPr="00C01AF3" w:rsidRDefault="00A71C2D" w:rsidP="00003794">
            <w:pPr>
              <w:tabs>
                <w:tab w:val="clear" w:pos="284"/>
              </w:tabs>
              <w:jc w:val="left"/>
              <w:rPr>
                <w:rFonts w:ascii="Times New Roman" w:hAnsi="Times New Roman"/>
                <w:b/>
                <w:bCs/>
                <w:i/>
                <w:sz w:val="22"/>
                <w:u w:val="single"/>
                <w:lang w:val="sr-Latn-ME"/>
              </w:rPr>
            </w:pPr>
            <w:r w:rsidRPr="00C01AF3">
              <w:rPr>
                <w:rFonts w:ascii="Times New Roman" w:hAnsi="Times New Roman"/>
                <w:b/>
                <w:bCs/>
                <w:i/>
                <w:sz w:val="22"/>
                <w:u w:val="single"/>
                <w:lang w:val="sr-Latn-ME"/>
              </w:rPr>
              <w:t>160mg + 10mg + 12,5mg</w:t>
            </w:r>
            <w:r w:rsidR="007C4A86" w:rsidRPr="00C01AF3">
              <w:rPr>
                <w:rFonts w:ascii="Times New Roman" w:hAnsi="Times New Roman"/>
                <w:b/>
                <w:bCs/>
                <w:i/>
                <w:sz w:val="22"/>
                <w:u w:val="single"/>
                <w:lang w:val="sr-Latn-ME"/>
              </w:rPr>
              <w:t xml:space="preserve"> </w:t>
            </w:r>
            <w:r w:rsidR="00003794" w:rsidRPr="00C01AF3">
              <w:rPr>
                <w:rFonts w:ascii="Times New Roman" w:hAnsi="Times New Roman"/>
                <w:b/>
                <w:bCs/>
                <w:i/>
                <w:sz w:val="22"/>
                <w:u w:val="single"/>
                <w:lang w:val="sr-Latn-ME"/>
              </w:rPr>
              <w:t>:</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Jezgro tablete: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celuloza, mikrokristalna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krospovidon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silicijum </w:t>
            </w:r>
            <w:r w:rsidR="00003794" w:rsidRPr="00C01AF3">
              <w:rPr>
                <w:rFonts w:ascii="Times New Roman" w:hAnsi="Times New Roman"/>
                <w:bCs/>
                <w:sz w:val="22"/>
                <w:lang w:val="sr-Latn-ME"/>
              </w:rPr>
              <w:t>dioksid, koloidni, bezvodni</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magnezijum</w:t>
            </w:r>
            <w:r w:rsidR="001F304E" w:rsidRPr="00C01AF3">
              <w:rPr>
                <w:rFonts w:ascii="Times New Roman" w:hAnsi="Times New Roman"/>
                <w:bCs/>
                <w:sz w:val="22"/>
                <w:lang w:val="sr-Latn-ME"/>
              </w:rPr>
              <w:t xml:space="preserve"> </w:t>
            </w:r>
            <w:r w:rsidRPr="00C01AF3">
              <w:rPr>
                <w:rFonts w:ascii="Times New Roman" w:hAnsi="Times New Roman"/>
                <w:bCs/>
                <w:sz w:val="22"/>
                <w:lang w:val="sr-Latn-ME"/>
              </w:rPr>
              <w:t xml:space="preserve">stearat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Omotač tablete: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Pigmentna </w:t>
            </w:r>
            <w:r w:rsidR="00C27E7F" w:rsidRPr="00C01AF3">
              <w:rPr>
                <w:rFonts w:ascii="Times New Roman" w:hAnsi="Times New Roman"/>
                <w:bCs/>
                <w:sz w:val="22"/>
                <w:lang w:val="sr-Latn-ME"/>
              </w:rPr>
              <w:t>mješavina</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ela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Pigmentna </w:t>
            </w:r>
            <w:r w:rsidR="00C27E7F" w:rsidRPr="00C01AF3">
              <w:rPr>
                <w:rFonts w:ascii="Times New Roman" w:hAnsi="Times New Roman"/>
                <w:bCs/>
                <w:sz w:val="22"/>
                <w:lang w:val="sr-Latn-ME"/>
              </w:rPr>
              <w:t>mješavina</w:t>
            </w:r>
            <w:r w:rsidRPr="00C01AF3">
              <w:rPr>
                <w:rFonts w:ascii="Times New Roman" w:hAnsi="Times New Roman"/>
                <w:bCs/>
                <w:sz w:val="22"/>
                <w:lang w:val="sr-Latn-ME"/>
              </w:rPr>
              <w:t>, žuta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Pigmentne </w:t>
            </w:r>
            <w:r w:rsidR="00C27E7F" w:rsidRPr="00C01AF3">
              <w:rPr>
                <w:rFonts w:ascii="Times New Roman" w:hAnsi="Times New Roman"/>
                <w:bCs/>
                <w:sz w:val="22"/>
                <w:lang w:val="sr-Latn-ME"/>
              </w:rPr>
              <w:t>mješavina</w:t>
            </w:r>
            <w:r w:rsidRPr="00C01AF3">
              <w:rPr>
                <w:rFonts w:ascii="Times New Roman" w:hAnsi="Times New Roman"/>
                <w:bCs/>
                <w:sz w:val="22"/>
                <w:lang w:val="sr-Latn-ME"/>
              </w:rPr>
              <w:t>, crvena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Prečišćena voda</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mješavine</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el</w:t>
            </w:r>
            <w:r w:rsidR="004D6D0C" w:rsidRPr="00C01AF3">
              <w:rPr>
                <w:rFonts w:ascii="Times New Roman" w:hAnsi="Times New Roman"/>
                <w:bCs/>
                <w:sz w:val="22"/>
                <w:lang w:val="sr-Latn-ME"/>
              </w:rPr>
              <w:t>e</w:t>
            </w:r>
            <w:r w:rsidRPr="00C01AF3">
              <w:rPr>
                <w:rFonts w:ascii="Times New Roman" w:hAnsi="Times New Roman"/>
                <w:bCs/>
                <w:sz w:val="22"/>
                <w:lang w:val="sr-Latn-ME"/>
              </w:rPr>
              <w:t xml:space="preserv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titan </w:t>
            </w:r>
            <w:r w:rsidR="00003794" w:rsidRPr="00C01AF3">
              <w:rPr>
                <w:rFonts w:ascii="Times New Roman" w:hAnsi="Times New Roman"/>
                <w:bCs/>
                <w:sz w:val="22"/>
                <w:lang w:val="sr-Latn-ME"/>
              </w:rPr>
              <w:t xml:space="preserve">dioksid (E171)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mješavine</w:t>
            </w:r>
            <w:r w:rsidRPr="00C01AF3">
              <w:rPr>
                <w:rFonts w:ascii="Times New Roman" w:hAnsi="Times New Roman"/>
                <w:bCs/>
                <w:sz w:val="22"/>
                <w:lang w:val="sr-Latn-ME"/>
              </w:rPr>
              <w:t>, žute: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gvožđe </w:t>
            </w:r>
            <w:r w:rsidR="00003794" w:rsidRPr="00C01AF3">
              <w:rPr>
                <w:rFonts w:ascii="Times New Roman" w:hAnsi="Times New Roman"/>
                <w:bCs/>
                <w:sz w:val="22"/>
                <w:lang w:val="sr-Latn-ME"/>
              </w:rPr>
              <w:t>oksid, žuti (E172)</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mješavine</w:t>
            </w:r>
            <w:r w:rsidRPr="00C01AF3">
              <w:rPr>
                <w:rFonts w:ascii="Times New Roman" w:hAnsi="Times New Roman"/>
                <w:bCs/>
                <w:sz w:val="22"/>
                <w:lang w:val="sr-Latn-ME"/>
              </w:rPr>
              <w:t>, crvene: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lastRenderedPageBreak/>
              <w:t xml:space="preserve">hipromeloza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gvožđe </w:t>
            </w:r>
            <w:r w:rsidR="00003794" w:rsidRPr="00C01AF3">
              <w:rPr>
                <w:rFonts w:ascii="Times New Roman" w:hAnsi="Times New Roman"/>
                <w:bCs/>
                <w:sz w:val="22"/>
                <w:lang w:val="sr-Latn-ME"/>
              </w:rPr>
              <w:t>oksid, crveni (E172)</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A71C2D" w:rsidP="00003794">
            <w:pPr>
              <w:tabs>
                <w:tab w:val="clear" w:pos="284"/>
              </w:tabs>
              <w:jc w:val="left"/>
              <w:rPr>
                <w:rFonts w:ascii="Times New Roman" w:hAnsi="Times New Roman"/>
                <w:b/>
                <w:bCs/>
                <w:i/>
                <w:sz w:val="22"/>
                <w:u w:val="single"/>
                <w:lang w:val="sr-Latn-ME"/>
              </w:rPr>
            </w:pPr>
            <w:r w:rsidRPr="00C01AF3">
              <w:rPr>
                <w:rFonts w:ascii="Times New Roman" w:hAnsi="Times New Roman"/>
                <w:b/>
                <w:bCs/>
                <w:i/>
                <w:sz w:val="22"/>
                <w:u w:val="single"/>
                <w:lang w:val="sr-Latn-ME"/>
              </w:rPr>
              <w:t>160mg + 5mg + 25mg</w:t>
            </w:r>
            <w:r w:rsidR="00003794" w:rsidRPr="00C01AF3">
              <w:rPr>
                <w:rFonts w:ascii="Times New Roman" w:hAnsi="Times New Roman"/>
                <w:b/>
                <w:bCs/>
                <w:i/>
                <w:sz w:val="22"/>
                <w:u w:val="single"/>
                <w:lang w:val="sr-Latn-ME"/>
              </w:rPr>
              <w:t>:</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Jezgro tablete: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celuloza, mikrokristalna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krospovidon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silicijum </w:t>
            </w:r>
            <w:r w:rsidR="00003794" w:rsidRPr="00C01AF3">
              <w:rPr>
                <w:rFonts w:ascii="Times New Roman" w:hAnsi="Times New Roman"/>
                <w:bCs/>
                <w:sz w:val="22"/>
                <w:lang w:val="sr-Latn-ME"/>
              </w:rPr>
              <w:t>dioksid, koloidni, bezvodni</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magnezijum </w:t>
            </w:r>
            <w:r w:rsidR="00003794" w:rsidRPr="00C01AF3">
              <w:rPr>
                <w:rFonts w:ascii="Times New Roman" w:hAnsi="Times New Roman"/>
                <w:bCs/>
                <w:sz w:val="22"/>
                <w:lang w:val="sr-Latn-ME"/>
              </w:rPr>
              <w:t xml:space="preserve">stearat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Omotač tablete: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Pigmentna </w:t>
            </w:r>
            <w:r w:rsidR="00C27E7F" w:rsidRPr="00C01AF3">
              <w:rPr>
                <w:rFonts w:ascii="Times New Roman" w:hAnsi="Times New Roman"/>
                <w:bCs/>
                <w:sz w:val="22"/>
                <w:lang w:val="sr-Latn-ME"/>
              </w:rPr>
              <w:t>mješavina</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ela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Pigmentna </w:t>
            </w:r>
            <w:r w:rsidR="00C27E7F" w:rsidRPr="00C01AF3">
              <w:rPr>
                <w:rFonts w:ascii="Times New Roman" w:hAnsi="Times New Roman"/>
                <w:bCs/>
                <w:sz w:val="22"/>
                <w:lang w:val="sr-Latn-ME"/>
              </w:rPr>
              <w:t>mješavina</w:t>
            </w:r>
            <w:r w:rsidRPr="00C01AF3">
              <w:rPr>
                <w:rFonts w:ascii="Times New Roman" w:hAnsi="Times New Roman"/>
                <w:bCs/>
                <w:sz w:val="22"/>
                <w:lang w:val="sr-Latn-ME"/>
              </w:rPr>
              <w:t>, žuta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Prečišćena voda</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w:t>
            </w:r>
            <w:r w:rsidR="004D6D0C" w:rsidRPr="00C01AF3">
              <w:rPr>
                <w:rFonts w:ascii="Times New Roman" w:hAnsi="Times New Roman"/>
                <w:bCs/>
                <w:sz w:val="22"/>
                <w:lang w:val="sr-Latn-ME"/>
              </w:rPr>
              <w:t>e</w:t>
            </w:r>
            <w:r w:rsidRPr="00C01AF3">
              <w:rPr>
                <w:rFonts w:ascii="Times New Roman" w:hAnsi="Times New Roman"/>
                <w:bCs/>
                <w:sz w:val="22"/>
                <w:lang w:val="sr-Latn-ME"/>
              </w:rPr>
              <w:t>, b</w:t>
            </w:r>
            <w:r w:rsidR="00C27E7F" w:rsidRPr="00C01AF3">
              <w:rPr>
                <w:rFonts w:ascii="Times New Roman" w:hAnsi="Times New Roman"/>
                <w:bCs/>
                <w:sz w:val="22"/>
                <w:lang w:val="sr-Latn-ME"/>
              </w:rPr>
              <w:t>ij</w:t>
            </w:r>
            <w:r w:rsidRPr="00C01AF3">
              <w:rPr>
                <w:rFonts w:ascii="Times New Roman" w:hAnsi="Times New Roman"/>
                <w:bCs/>
                <w:sz w:val="22"/>
                <w:lang w:val="sr-Latn-ME"/>
              </w:rPr>
              <w:t>el</w:t>
            </w:r>
            <w:r w:rsidR="004D6D0C" w:rsidRPr="00C01AF3">
              <w:rPr>
                <w:rFonts w:ascii="Times New Roman" w:hAnsi="Times New Roman"/>
                <w:bCs/>
                <w:sz w:val="22"/>
                <w:lang w:val="sr-Latn-ME"/>
              </w:rPr>
              <w:t>e</w:t>
            </w:r>
            <w:r w:rsidRPr="00C01AF3">
              <w:rPr>
                <w:rFonts w:ascii="Times New Roman" w:hAnsi="Times New Roman"/>
                <w:bCs/>
                <w:sz w:val="22"/>
                <w:lang w:val="sr-Latn-ME"/>
              </w:rPr>
              <w:t xml:space="preserv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titan </w:t>
            </w:r>
            <w:r w:rsidR="00003794" w:rsidRPr="00C01AF3">
              <w:rPr>
                <w:rFonts w:ascii="Times New Roman" w:hAnsi="Times New Roman"/>
                <w:bCs/>
                <w:sz w:val="22"/>
                <w:lang w:val="sr-Latn-ME"/>
              </w:rPr>
              <w:t xml:space="preserve">dioksid (E171)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C27E7F" w:rsidRPr="00C01AF3">
              <w:rPr>
                <w:rFonts w:ascii="Times New Roman" w:hAnsi="Times New Roman"/>
                <w:bCs/>
                <w:sz w:val="22"/>
                <w:lang w:val="sr-Latn-ME"/>
              </w:rPr>
              <w:t>mješavine</w:t>
            </w:r>
            <w:r w:rsidRPr="00C01AF3">
              <w:rPr>
                <w:rFonts w:ascii="Times New Roman" w:hAnsi="Times New Roman"/>
                <w:bCs/>
                <w:sz w:val="22"/>
                <w:lang w:val="sr-Latn-ME"/>
              </w:rPr>
              <w:t>, žute: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gvožđe</w:t>
            </w:r>
            <w:r w:rsidR="00730683" w:rsidRPr="00C01AF3">
              <w:rPr>
                <w:rFonts w:ascii="Times New Roman" w:hAnsi="Times New Roman"/>
                <w:bCs/>
                <w:sz w:val="22"/>
                <w:lang w:val="sr-Latn-ME"/>
              </w:rPr>
              <w:t xml:space="preserve"> </w:t>
            </w:r>
            <w:r w:rsidRPr="00C01AF3">
              <w:rPr>
                <w:rFonts w:ascii="Times New Roman" w:hAnsi="Times New Roman"/>
                <w:bCs/>
                <w:sz w:val="22"/>
                <w:lang w:val="sr-Latn-ME"/>
              </w:rPr>
              <w:t>oksid, žuti (E172)</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A71C2D" w:rsidP="00003794">
            <w:pPr>
              <w:tabs>
                <w:tab w:val="clear" w:pos="284"/>
              </w:tabs>
              <w:jc w:val="left"/>
              <w:rPr>
                <w:rFonts w:ascii="Times New Roman" w:hAnsi="Times New Roman"/>
                <w:b/>
                <w:bCs/>
                <w:i/>
                <w:sz w:val="22"/>
                <w:u w:val="single"/>
                <w:lang w:val="sr-Latn-ME"/>
              </w:rPr>
            </w:pPr>
            <w:r w:rsidRPr="00C01AF3">
              <w:rPr>
                <w:rFonts w:ascii="Times New Roman" w:hAnsi="Times New Roman"/>
                <w:b/>
                <w:bCs/>
                <w:i/>
                <w:sz w:val="22"/>
                <w:u w:val="single"/>
                <w:lang w:val="sr-Latn-ME"/>
              </w:rPr>
              <w:t>160mg + 10mg + 25 mg</w:t>
            </w:r>
            <w:r w:rsidR="00003794" w:rsidRPr="00C01AF3">
              <w:rPr>
                <w:rFonts w:ascii="Times New Roman" w:hAnsi="Times New Roman"/>
                <w:b/>
                <w:bCs/>
                <w:i/>
                <w:sz w:val="22"/>
                <w:u w:val="single"/>
                <w:lang w:val="sr-Latn-ME"/>
              </w:rPr>
              <w:t>:</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Jezgro tablete: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celuloza, mikrokristalna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krospovidon </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silicijum </w:t>
            </w:r>
            <w:r w:rsidR="00003794" w:rsidRPr="00C01AF3">
              <w:rPr>
                <w:rFonts w:ascii="Times New Roman" w:hAnsi="Times New Roman"/>
                <w:bCs/>
                <w:sz w:val="22"/>
                <w:lang w:val="sr-Latn-ME"/>
              </w:rPr>
              <w:t>dioksid, koloidni, bezvodni</w:t>
            </w:r>
          </w:p>
          <w:p w:rsidR="00003794" w:rsidRPr="00C01AF3" w:rsidRDefault="00730683"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magnezijum </w:t>
            </w:r>
            <w:r w:rsidR="00003794" w:rsidRPr="00C01AF3">
              <w:rPr>
                <w:rFonts w:ascii="Times New Roman" w:hAnsi="Times New Roman"/>
                <w:bCs/>
                <w:sz w:val="22"/>
                <w:lang w:val="sr-Latn-ME"/>
              </w:rPr>
              <w:t xml:space="preserve">stearat </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Omotač tablete: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Pigmentna </w:t>
            </w:r>
            <w:r w:rsidR="003E418C" w:rsidRPr="00C01AF3">
              <w:rPr>
                <w:rFonts w:ascii="Times New Roman" w:hAnsi="Times New Roman"/>
                <w:bCs/>
                <w:sz w:val="22"/>
                <w:lang w:val="sr-Latn-ME"/>
              </w:rPr>
              <w:t>mješavina</w:t>
            </w:r>
            <w:r w:rsidRPr="00C01AF3">
              <w:rPr>
                <w:rFonts w:ascii="Times New Roman" w:hAnsi="Times New Roman"/>
                <w:bCs/>
                <w:sz w:val="22"/>
                <w:lang w:val="sr-Latn-ME"/>
              </w:rPr>
              <w:t>, žuta</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Prečišćena voda</w:t>
            </w:r>
          </w:p>
          <w:p w:rsidR="00003794" w:rsidRPr="00C01AF3" w:rsidRDefault="00003794" w:rsidP="00003794">
            <w:pPr>
              <w:tabs>
                <w:tab w:val="clear" w:pos="284"/>
              </w:tabs>
              <w:jc w:val="left"/>
              <w:rPr>
                <w:rFonts w:ascii="Times New Roman" w:hAnsi="Times New Roman"/>
                <w:bCs/>
                <w:sz w:val="22"/>
                <w:lang w:val="sr-Latn-ME"/>
              </w:rPr>
            </w:pP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Sastav pigmentne </w:t>
            </w:r>
            <w:r w:rsidR="003E418C" w:rsidRPr="00C01AF3">
              <w:rPr>
                <w:rFonts w:ascii="Times New Roman" w:hAnsi="Times New Roman"/>
                <w:bCs/>
                <w:sz w:val="22"/>
                <w:lang w:val="sr-Latn-ME"/>
              </w:rPr>
              <w:t>mješavine</w:t>
            </w:r>
            <w:r w:rsidRPr="00C01AF3">
              <w:rPr>
                <w:rFonts w:ascii="Times New Roman" w:hAnsi="Times New Roman"/>
                <w:bCs/>
                <w:sz w:val="22"/>
                <w:lang w:val="sr-Latn-ME"/>
              </w:rPr>
              <w:t>, žute:</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hipromeloza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gvožđe</w:t>
            </w:r>
            <w:r w:rsidR="00730683" w:rsidRPr="00C01AF3">
              <w:rPr>
                <w:rFonts w:ascii="Times New Roman" w:hAnsi="Times New Roman"/>
                <w:bCs/>
                <w:sz w:val="22"/>
                <w:lang w:val="sr-Latn-ME"/>
              </w:rPr>
              <w:t xml:space="preserve"> </w:t>
            </w:r>
            <w:r w:rsidRPr="00C01AF3">
              <w:rPr>
                <w:rFonts w:ascii="Times New Roman" w:hAnsi="Times New Roman"/>
                <w:bCs/>
                <w:sz w:val="22"/>
                <w:lang w:val="sr-Latn-ME"/>
              </w:rPr>
              <w:t>oksid, žuti (E172)</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makrogol 4000 </w:t>
            </w:r>
          </w:p>
          <w:p w:rsidR="00003794" w:rsidRPr="00C01AF3" w:rsidRDefault="00003794" w:rsidP="00003794">
            <w:pPr>
              <w:tabs>
                <w:tab w:val="clear" w:pos="284"/>
              </w:tabs>
              <w:jc w:val="left"/>
              <w:rPr>
                <w:rFonts w:ascii="Times New Roman" w:hAnsi="Times New Roman"/>
                <w:bCs/>
                <w:sz w:val="22"/>
                <w:lang w:val="sr-Latn-ME"/>
              </w:rPr>
            </w:pPr>
            <w:r w:rsidRPr="00C01AF3">
              <w:rPr>
                <w:rFonts w:ascii="Times New Roman" w:hAnsi="Times New Roman"/>
                <w:bCs/>
                <w:sz w:val="22"/>
                <w:lang w:val="sr-Latn-ME"/>
              </w:rPr>
              <w:t xml:space="preserve">talk </w:t>
            </w:r>
          </w:p>
          <w:p w:rsidR="00003794" w:rsidRPr="00C01AF3" w:rsidRDefault="00003794" w:rsidP="00003794">
            <w:pPr>
              <w:jc w:val="left"/>
              <w:rPr>
                <w:rFonts w:ascii="Times New Roman" w:hAnsi="Times New Roman"/>
                <w:sz w:val="22"/>
                <w:szCs w:val="22"/>
                <w:lang w:val="sr-Latn-ME"/>
              </w:rPr>
            </w:pPr>
          </w:p>
          <w:p w:rsidR="00801817" w:rsidRPr="00C01AF3" w:rsidRDefault="00801817" w:rsidP="00934C18">
            <w:pPr>
              <w:tabs>
                <w:tab w:val="clear" w:pos="284"/>
              </w:tabs>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lastRenderedPageBreak/>
              <w:t>6.2. Inkompatibilnost</w:t>
            </w:r>
          </w:p>
        </w:tc>
      </w:tr>
      <w:tr w:rsidR="00834DBB" w:rsidRPr="00C01AF3" w:rsidTr="00191616">
        <w:trPr>
          <w:trHeight w:val="520"/>
        </w:trPr>
        <w:tc>
          <w:tcPr>
            <w:tcW w:w="10188" w:type="dxa"/>
            <w:gridSpan w:val="3"/>
            <w:vAlign w:val="center"/>
          </w:tcPr>
          <w:p w:rsidR="00834DBB" w:rsidRPr="00C01AF3" w:rsidRDefault="00801817" w:rsidP="00D375FB">
            <w:pPr>
              <w:jc w:val="left"/>
              <w:rPr>
                <w:rFonts w:ascii="Times New Roman" w:hAnsi="Times New Roman"/>
                <w:sz w:val="22"/>
                <w:szCs w:val="22"/>
                <w:lang w:val="sr-Latn-ME"/>
              </w:rPr>
            </w:pPr>
            <w:r w:rsidRPr="00C01AF3">
              <w:rPr>
                <w:rFonts w:ascii="Times New Roman" w:hAnsi="Times New Roman" w:cs="Arial"/>
                <w:sz w:val="22"/>
                <w:lang w:val="sr-Latn-ME"/>
              </w:rPr>
              <w:t xml:space="preserve">Nije </w:t>
            </w:r>
            <w:r w:rsidR="00A65414" w:rsidRPr="00C01AF3">
              <w:rPr>
                <w:rFonts w:ascii="Times New Roman" w:hAnsi="Times New Roman" w:cs="Arial"/>
                <w:sz w:val="22"/>
                <w:lang w:val="sr-Latn-ME"/>
              </w:rPr>
              <w:t>primje</w:t>
            </w:r>
            <w:r w:rsidRPr="00C01AF3">
              <w:rPr>
                <w:rFonts w:ascii="Times New Roman" w:hAnsi="Times New Roman" w:cs="Arial"/>
                <w:sz w:val="22"/>
                <w:lang w:val="sr-Latn-ME"/>
              </w:rPr>
              <w:t>nljivo.</w:t>
            </w: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6.3. Rok upotrebe</w:t>
            </w:r>
          </w:p>
        </w:tc>
      </w:tr>
      <w:tr w:rsidR="00834DBB" w:rsidRPr="00C01AF3" w:rsidTr="00191616">
        <w:trPr>
          <w:trHeight w:val="449"/>
        </w:trPr>
        <w:tc>
          <w:tcPr>
            <w:tcW w:w="10188" w:type="dxa"/>
            <w:gridSpan w:val="3"/>
            <w:vAlign w:val="center"/>
          </w:tcPr>
          <w:p w:rsidR="00801817" w:rsidRPr="00C01AF3" w:rsidRDefault="00AE4980" w:rsidP="00801817">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2</w:t>
            </w:r>
            <w:r w:rsidR="00B65E17" w:rsidRPr="00C01AF3">
              <w:rPr>
                <w:rFonts w:ascii="Times New Roman" w:hAnsi="Times New Roman" w:cs="Arial"/>
                <w:sz w:val="22"/>
                <w:lang w:val="sr-Latn-ME"/>
              </w:rPr>
              <w:t xml:space="preserve"> godine</w:t>
            </w:r>
            <w:r w:rsidR="004D6D0C" w:rsidRPr="00C01AF3">
              <w:rPr>
                <w:rFonts w:ascii="Times New Roman" w:hAnsi="Times New Roman" w:cs="Arial"/>
                <w:sz w:val="22"/>
                <w:lang w:val="sr-Latn-ME"/>
              </w:rPr>
              <w:t>.</w:t>
            </w:r>
          </w:p>
          <w:p w:rsidR="00834DBB" w:rsidRPr="00C01AF3" w:rsidRDefault="00834DBB" w:rsidP="005473D6">
            <w:pPr>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 xml:space="preserve">6.4. Posebne </w:t>
            </w:r>
            <w:r w:rsidR="00B7287E" w:rsidRPr="00C01AF3">
              <w:rPr>
                <w:rFonts w:ascii="Times New Roman" w:hAnsi="Times New Roman"/>
                <w:b/>
                <w:bCs/>
                <w:sz w:val="22"/>
                <w:szCs w:val="22"/>
                <w:lang w:val="sr-Latn-ME"/>
              </w:rPr>
              <w:t>mjere</w:t>
            </w:r>
            <w:r w:rsidRPr="00C01AF3">
              <w:rPr>
                <w:rFonts w:ascii="Times New Roman" w:hAnsi="Times New Roman"/>
                <w:b/>
                <w:bCs/>
                <w:sz w:val="22"/>
                <w:szCs w:val="22"/>
                <w:lang w:val="sr-Latn-ME"/>
              </w:rPr>
              <w:t xml:space="preserve"> upozorenja pri čuvanju</w:t>
            </w:r>
          </w:p>
        </w:tc>
      </w:tr>
      <w:tr w:rsidR="00834DBB" w:rsidRPr="00C01AF3" w:rsidTr="00DE0A48">
        <w:trPr>
          <w:trHeight w:val="671"/>
        </w:trPr>
        <w:tc>
          <w:tcPr>
            <w:tcW w:w="10188" w:type="dxa"/>
            <w:gridSpan w:val="3"/>
            <w:vAlign w:val="center"/>
          </w:tcPr>
          <w:p w:rsidR="00BE1555" w:rsidRPr="00C01AF3" w:rsidRDefault="00BE1555" w:rsidP="00BE1555">
            <w:pPr>
              <w:pStyle w:val="Header"/>
              <w:tabs>
                <w:tab w:val="clear" w:pos="4536"/>
                <w:tab w:val="clear" w:pos="9072"/>
                <w:tab w:val="left" w:pos="284"/>
              </w:tabs>
              <w:spacing w:before="40" w:after="40"/>
              <w:jc w:val="left"/>
              <w:rPr>
                <w:rFonts w:ascii="Times New Roman" w:hAnsi="Times New Roman" w:cs="Arial"/>
                <w:sz w:val="22"/>
                <w:lang w:val="sr-Latn-ME"/>
              </w:rPr>
            </w:pPr>
            <w:r w:rsidRPr="00C01AF3">
              <w:rPr>
                <w:rFonts w:ascii="Times New Roman" w:hAnsi="Times New Roman"/>
                <w:sz w:val="22"/>
                <w:szCs w:val="22"/>
                <w:lang w:val="sr-Latn-ME"/>
              </w:rPr>
              <w:t xml:space="preserve">Čuvati  </w:t>
            </w:r>
            <w:r w:rsidRPr="00C01AF3">
              <w:rPr>
                <w:rFonts w:ascii="Times New Roman" w:hAnsi="Times New Roman" w:cs="Arial"/>
                <w:sz w:val="22"/>
                <w:lang w:val="sr-Latn-ME"/>
              </w:rPr>
              <w:t>van domašaja i vidokruga d</w:t>
            </w:r>
            <w:r w:rsidR="004D6D0C" w:rsidRPr="00C01AF3">
              <w:rPr>
                <w:rFonts w:ascii="Times New Roman" w:hAnsi="Times New Roman" w:cs="Arial"/>
                <w:sz w:val="22"/>
                <w:lang w:val="sr-Latn-ME"/>
              </w:rPr>
              <w:t>j</w:t>
            </w:r>
            <w:r w:rsidRPr="00C01AF3">
              <w:rPr>
                <w:rFonts w:ascii="Times New Roman" w:hAnsi="Times New Roman" w:cs="Arial"/>
                <w:sz w:val="22"/>
                <w:lang w:val="sr-Latn-ME"/>
              </w:rPr>
              <w:t>ece.</w:t>
            </w:r>
          </w:p>
          <w:p w:rsidR="00BE1555" w:rsidRPr="00C01AF3" w:rsidRDefault="00BE1555" w:rsidP="00BE1555">
            <w:pPr>
              <w:pStyle w:val="Header"/>
              <w:tabs>
                <w:tab w:val="clear" w:pos="4536"/>
                <w:tab w:val="clear" w:pos="9072"/>
                <w:tab w:val="left" w:pos="284"/>
              </w:tabs>
              <w:spacing w:before="40" w:after="40"/>
              <w:jc w:val="left"/>
              <w:rPr>
                <w:rFonts w:ascii="Times New Roman" w:hAnsi="Times New Roman"/>
                <w:sz w:val="22"/>
                <w:szCs w:val="22"/>
                <w:lang w:val="sr-Latn-ME"/>
              </w:rPr>
            </w:pPr>
            <w:r w:rsidRPr="00C01AF3">
              <w:rPr>
                <w:rFonts w:ascii="Times New Roman" w:hAnsi="Times New Roman"/>
                <w:sz w:val="22"/>
                <w:szCs w:val="22"/>
                <w:lang w:val="sr-Latn-ME"/>
              </w:rPr>
              <w:t>Čuvati  na temperaturi do 30° C.</w:t>
            </w:r>
          </w:p>
          <w:p w:rsidR="00BE1555" w:rsidRPr="00C01AF3" w:rsidRDefault="00BE1555" w:rsidP="00BE1555">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Čuvati u originalnom pakovanju  radi zaštite od vlage.</w:t>
            </w:r>
          </w:p>
          <w:p w:rsidR="00834DBB" w:rsidRPr="00C01AF3" w:rsidRDefault="00834DBB" w:rsidP="0096266F">
            <w:pPr>
              <w:pStyle w:val="Header"/>
              <w:tabs>
                <w:tab w:val="clear" w:pos="4536"/>
                <w:tab w:val="clear" w:pos="9072"/>
                <w:tab w:val="left" w:pos="284"/>
              </w:tabs>
              <w:spacing w:before="40" w:after="40"/>
              <w:jc w:val="left"/>
              <w:rPr>
                <w:rFonts w:ascii="Times New Roman" w:hAnsi="Times New Roman"/>
                <w:sz w:val="22"/>
                <w:szCs w:val="22"/>
                <w:lang w:val="sr-Latn-ME"/>
              </w:rPr>
            </w:pPr>
          </w:p>
        </w:tc>
      </w:tr>
      <w:tr w:rsidR="00834DBB" w:rsidRPr="00C01AF3" w:rsidTr="00DE0A48">
        <w:tc>
          <w:tcPr>
            <w:tcW w:w="10188" w:type="dxa"/>
            <w:gridSpan w:val="3"/>
            <w:vAlign w:val="center"/>
          </w:tcPr>
          <w:p w:rsidR="00834DBB"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6.5. Priroda i sadržaj kontaktne ambalaže</w:t>
            </w:r>
          </w:p>
        </w:tc>
      </w:tr>
      <w:tr w:rsidR="00834DBB" w:rsidRPr="00C01AF3" w:rsidTr="00DE0A48">
        <w:trPr>
          <w:trHeight w:val="671"/>
        </w:trPr>
        <w:tc>
          <w:tcPr>
            <w:tcW w:w="10188" w:type="dxa"/>
            <w:gridSpan w:val="3"/>
            <w:vAlign w:val="center"/>
          </w:tcPr>
          <w:p w:rsidR="00BE1555" w:rsidRPr="00C01AF3" w:rsidRDefault="00BE1555" w:rsidP="00BE1555">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Pakovanje: ukupno 28 film tableta, blister, 2x14 kom.</w:t>
            </w:r>
          </w:p>
          <w:p w:rsidR="00BE1555" w:rsidRPr="00C01AF3" w:rsidRDefault="00BE1555" w:rsidP="00BE1555">
            <w:pPr>
              <w:pStyle w:val="Header"/>
              <w:tabs>
                <w:tab w:val="clear" w:pos="4536"/>
                <w:tab w:val="clear" w:pos="9072"/>
                <w:tab w:val="left" w:pos="284"/>
              </w:tabs>
              <w:jc w:val="left"/>
              <w:rPr>
                <w:rFonts w:ascii="Times New Roman" w:hAnsi="Times New Roman" w:cs="Arial"/>
                <w:sz w:val="22"/>
                <w:lang w:val="sr-Latn-ME"/>
              </w:rPr>
            </w:pPr>
            <w:r w:rsidRPr="00C01AF3">
              <w:rPr>
                <w:rFonts w:ascii="Times New Roman" w:hAnsi="Times New Roman" w:cs="Arial"/>
                <w:sz w:val="22"/>
                <w:lang w:val="sr-Latn-ME"/>
              </w:rPr>
              <w:t>Unutrašnje pakovanje je PVC/PVDC blister.</w:t>
            </w:r>
          </w:p>
          <w:p w:rsidR="00834DBB" w:rsidRPr="00C01AF3" w:rsidRDefault="00834DBB" w:rsidP="00BE1555">
            <w:pPr>
              <w:widowControl w:val="0"/>
              <w:autoSpaceDE w:val="0"/>
              <w:autoSpaceDN w:val="0"/>
              <w:jc w:val="left"/>
              <w:rPr>
                <w:rFonts w:ascii="Times New Roman" w:hAnsi="Times New Roman"/>
                <w:sz w:val="22"/>
                <w:szCs w:val="22"/>
                <w:lang w:val="sr-Latn-ME"/>
              </w:rPr>
            </w:pPr>
          </w:p>
        </w:tc>
      </w:tr>
      <w:tr w:rsidR="00834DBB" w:rsidRPr="00C01AF3" w:rsidTr="00191616">
        <w:trPr>
          <w:trHeight w:val="1813"/>
        </w:trPr>
        <w:tc>
          <w:tcPr>
            <w:tcW w:w="10188" w:type="dxa"/>
            <w:gridSpan w:val="3"/>
            <w:vAlign w:val="center"/>
          </w:tcPr>
          <w:p w:rsidR="00776029" w:rsidRPr="00C01AF3" w:rsidRDefault="00834DBB">
            <w:pPr>
              <w:pStyle w:val="Header"/>
              <w:tabs>
                <w:tab w:val="clear" w:pos="4536"/>
                <w:tab w:val="clear" w:pos="9072"/>
                <w:tab w:val="left" w:pos="284"/>
              </w:tabs>
              <w:spacing w:before="80" w:after="80"/>
              <w:jc w:val="left"/>
              <w:rPr>
                <w:rFonts w:ascii="Times New Roman" w:hAnsi="Times New Roman"/>
                <w:b/>
                <w:bCs/>
                <w:sz w:val="22"/>
                <w:szCs w:val="22"/>
                <w:lang w:val="sr-Latn-ME"/>
              </w:rPr>
            </w:pPr>
            <w:r w:rsidRPr="00C01AF3">
              <w:rPr>
                <w:rFonts w:ascii="Times New Roman" w:hAnsi="Times New Roman"/>
                <w:b/>
                <w:bCs/>
                <w:sz w:val="22"/>
                <w:szCs w:val="22"/>
                <w:lang w:val="sr-Latn-ME"/>
              </w:rPr>
              <w:t xml:space="preserve">6.6. Posebne </w:t>
            </w:r>
            <w:r w:rsidR="00B7287E" w:rsidRPr="00C01AF3">
              <w:rPr>
                <w:rFonts w:ascii="Times New Roman" w:hAnsi="Times New Roman"/>
                <w:b/>
                <w:bCs/>
                <w:sz w:val="22"/>
                <w:szCs w:val="22"/>
                <w:lang w:val="sr-Latn-ME"/>
              </w:rPr>
              <w:t>mjere</w:t>
            </w:r>
            <w:r w:rsidRPr="00C01AF3">
              <w:rPr>
                <w:rFonts w:ascii="Times New Roman" w:hAnsi="Times New Roman"/>
                <w:b/>
                <w:bCs/>
                <w:sz w:val="22"/>
                <w:szCs w:val="22"/>
                <w:lang w:val="sr-Latn-ME"/>
              </w:rPr>
              <w:t xml:space="preserve"> opreza pri odlaganju materijala koji treba odbaciti nakon </w:t>
            </w:r>
            <w:r w:rsidR="00A65414" w:rsidRPr="00C01AF3">
              <w:rPr>
                <w:rFonts w:ascii="Times New Roman" w:hAnsi="Times New Roman"/>
                <w:b/>
                <w:bCs/>
                <w:sz w:val="22"/>
                <w:szCs w:val="22"/>
                <w:lang w:val="sr-Latn-ME"/>
              </w:rPr>
              <w:t>primje</w:t>
            </w:r>
            <w:r w:rsidRPr="00C01AF3">
              <w:rPr>
                <w:rFonts w:ascii="Times New Roman" w:hAnsi="Times New Roman"/>
                <w:b/>
                <w:bCs/>
                <w:sz w:val="22"/>
                <w:szCs w:val="22"/>
                <w:lang w:val="sr-Latn-ME"/>
              </w:rPr>
              <w:t xml:space="preserve">ne </w:t>
            </w:r>
            <w:r w:rsidR="00A65414" w:rsidRPr="00C01AF3">
              <w:rPr>
                <w:rFonts w:ascii="Times New Roman" w:hAnsi="Times New Roman"/>
                <w:b/>
                <w:bCs/>
                <w:sz w:val="22"/>
                <w:szCs w:val="22"/>
                <w:lang w:val="sr-Latn-ME"/>
              </w:rPr>
              <w:t>lijek</w:t>
            </w:r>
            <w:r w:rsidRPr="00C01AF3">
              <w:rPr>
                <w:rFonts w:ascii="Times New Roman" w:hAnsi="Times New Roman"/>
                <w:b/>
                <w:bCs/>
                <w:sz w:val="22"/>
                <w:szCs w:val="22"/>
                <w:lang w:val="sr-Latn-ME"/>
              </w:rPr>
              <w:t>a</w:t>
            </w:r>
          </w:p>
          <w:p w:rsidR="00D146ED" w:rsidRPr="00C01AF3" w:rsidRDefault="00801817" w:rsidP="002D237C">
            <w:pPr>
              <w:pStyle w:val="Header"/>
              <w:tabs>
                <w:tab w:val="clear" w:pos="4536"/>
                <w:tab w:val="clear" w:pos="9072"/>
                <w:tab w:val="left" w:pos="284"/>
              </w:tabs>
              <w:spacing w:before="80" w:after="80"/>
              <w:jc w:val="left"/>
              <w:rPr>
                <w:rFonts w:ascii="Times New Roman" w:hAnsi="Times New Roman" w:cs="Arial"/>
                <w:sz w:val="22"/>
                <w:lang w:val="sr-Latn-ME"/>
              </w:rPr>
            </w:pPr>
            <w:r w:rsidRPr="00C01AF3">
              <w:rPr>
                <w:rFonts w:ascii="Times New Roman" w:hAnsi="Times New Roman" w:cs="Arial"/>
                <w:sz w:val="22"/>
                <w:lang w:val="sr-Latn-ME"/>
              </w:rPr>
              <w:t xml:space="preserve">Neupotrebljeni </w:t>
            </w:r>
            <w:r w:rsidR="00A65414" w:rsidRPr="00C01AF3">
              <w:rPr>
                <w:rFonts w:ascii="Times New Roman" w:hAnsi="Times New Roman" w:cs="Arial"/>
                <w:sz w:val="22"/>
                <w:lang w:val="sr-Latn-ME"/>
              </w:rPr>
              <w:t>lijek</w:t>
            </w:r>
            <w:r w:rsidRPr="00C01AF3">
              <w:rPr>
                <w:rFonts w:ascii="Times New Roman" w:hAnsi="Times New Roman" w:cs="Arial"/>
                <w:sz w:val="22"/>
                <w:lang w:val="sr-Latn-ME"/>
              </w:rPr>
              <w:t xml:space="preserve"> se uništava u skladu sa važećim propisima.</w:t>
            </w:r>
          </w:p>
          <w:p w:rsidR="00A65414" w:rsidRPr="00C01AF3" w:rsidRDefault="00A65414" w:rsidP="002D237C">
            <w:pPr>
              <w:pStyle w:val="Header"/>
              <w:tabs>
                <w:tab w:val="clear" w:pos="4536"/>
                <w:tab w:val="clear" w:pos="9072"/>
                <w:tab w:val="left" w:pos="284"/>
              </w:tabs>
              <w:spacing w:before="80" w:after="80"/>
              <w:jc w:val="left"/>
              <w:rPr>
                <w:rFonts w:ascii="Times New Roman" w:hAnsi="Times New Roman" w:cs="Arial"/>
                <w:sz w:val="22"/>
                <w:lang w:val="sr-Latn-ME"/>
              </w:rPr>
            </w:pPr>
          </w:p>
          <w:p w:rsidR="00A65414" w:rsidRPr="00C01AF3" w:rsidRDefault="00A65414" w:rsidP="00A65414">
            <w:pPr>
              <w:rPr>
                <w:rFonts w:ascii="Times New Roman" w:hAnsi="Times New Roman"/>
                <w:b/>
                <w:sz w:val="22"/>
                <w:szCs w:val="22"/>
                <w:lang w:val="sr-Latn-ME"/>
              </w:rPr>
            </w:pPr>
            <w:r w:rsidRPr="00C01AF3">
              <w:rPr>
                <w:rFonts w:ascii="Times New Roman" w:hAnsi="Times New Roman"/>
                <w:b/>
                <w:sz w:val="22"/>
                <w:szCs w:val="22"/>
                <w:lang w:val="sr-Latn-ME"/>
              </w:rPr>
              <w:t>6.7. Režim izdavanja lijeka</w:t>
            </w:r>
          </w:p>
          <w:p w:rsidR="00A65414" w:rsidRPr="00C01AF3" w:rsidRDefault="00A65414" w:rsidP="00A65414">
            <w:pPr>
              <w:rPr>
                <w:rFonts w:ascii="Times New Roman" w:hAnsi="Times New Roman"/>
                <w:color w:val="00B050"/>
                <w:sz w:val="22"/>
                <w:szCs w:val="22"/>
                <w:lang w:val="sr-Latn-ME"/>
              </w:rPr>
            </w:pPr>
            <w:r w:rsidRPr="00C01AF3">
              <w:rPr>
                <w:rFonts w:ascii="Times New Roman" w:hAnsi="Times New Roman"/>
                <w:sz w:val="22"/>
                <w:szCs w:val="22"/>
                <w:lang w:val="sr-Latn-ME"/>
              </w:rPr>
              <w:t>Lijek se može izdavati samo na ljekarski recept.</w:t>
            </w:r>
          </w:p>
          <w:p w:rsidR="00FD7AC8" w:rsidRPr="00C01AF3" w:rsidRDefault="00FD7AC8" w:rsidP="002D237C">
            <w:pPr>
              <w:pStyle w:val="Header"/>
              <w:tabs>
                <w:tab w:val="clear" w:pos="4536"/>
                <w:tab w:val="clear" w:pos="9072"/>
                <w:tab w:val="left" w:pos="284"/>
              </w:tabs>
              <w:spacing w:before="80" w:after="80"/>
              <w:jc w:val="left"/>
              <w:rPr>
                <w:rFonts w:ascii="Times New Roman" w:hAnsi="Times New Roman"/>
                <w:bCs/>
                <w:sz w:val="22"/>
                <w:szCs w:val="22"/>
                <w:lang w:val="sr-Latn-ME"/>
              </w:rPr>
            </w:pPr>
          </w:p>
        </w:tc>
      </w:tr>
      <w:tr w:rsidR="00834DBB" w:rsidRPr="00C01AF3" w:rsidTr="00DE0A48">
        <w:trPr>
          <w:trHeight w:val="356"/>
        </w:trPr>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 xml:space="preserve">7. NOSILAC DOZVOLE </w:t>
            </w:r>
          </w:p>
        </w:tc>
      </w:tr>
      <w:tr w:rsidR="00834DBB" w:rsidRPr="00C01AF3" w:rsidTr="00DE0A48">
        <w:trPr>
          <w:trHeight w:val="896"/>
        </w:trPr>
        <w:tc>
          <w:tcPr>
            <w:tcW w:w="10188" w:type="dxa"/>
            <w:gridSpan w:val="3"/>
            <w:vAlign w:val="center"/>
          </w:tcPr>
          <w:p w:rsidR="00FD7AC8" w:rsidRPr="00C01AF3" w:rsidRDefault="00FD7AC8" w:rsidP="00FD7AC8">
            <w:pPr>
              <w:widowControl w:val="0"/>
              <w:autoSpaceDE w:val="0"/>
              <w:autoSpaceDN w:val="0"/>
              <w:rPr>
                <w:rFonts w:ascii="Times New Roman" w:hAnsi="Times New Roman"/>
                <w:bCs/>
                <w:sz w:val="22"/>
                <w:szCs w:val="22"/>
                <w:lang w:val="sr-Latn-ME"/>
              </w:rPr>
            </w:pPr>
            <w:r w:rsidRPr="00C01AF3">
              <w:rPr>
                <w:rFonts w:ascii="Times New Roman" w:hAnsi="Times New Roman"/>
                <w:bCs/>
                <w:sz w:val="22"/>
                <w:szCs w:val="22"/>
                <w:lang w:val="sr-Latn-ME"/>
              </w:rPr>
              <w:t xml:space="preserve">“Novartis Pharma Services AG” dio stranog društva Podgorica </w:t>
            </w:r>
          </w:p>
          <w:p w:rsidR="00834DBB" w:rsidRPr="00C01AF3" w:rsidRDefault="00FD7AC8" w:rsidP="00191616">
            <w:pPr>
              <w:widowControl w:val="0"/>
              <w:autoSpaceDE w:val="0"/>
              <w:autoSpaceDN w:val="0"/>
              <w:rPr>
                <w:rFonts w:ascii="Times New Roman" w:hAnsi="Times New Roman"/>
                <w:bCs/>
                <w:sz w:val="22"/>
                <w:szCs w:val="22"/>
                <w:lang w:val="sr-Latn-ME"/>
              </w:rPr>
            </w:pPr>
            <w:r w:rsidRPr="00C01AF3">
              <w:rPr>
                <w:rFonts w:ascii="Times New Roman" w:hAnsi="Times New Roman"/>
                <w:sz w:val="22"/>
                <w:szCs w:val="22"/>
                <w:lang w:val="sr-Latn-ME"/>
              </w:rPr>
              <w:t>Ul. Svetlane Kane Radović br 3, Podgorica</w:t>
            </w:r>
            <w:r w:rsidRPr="00C01AF3">
              <w:rPr>
                <w:rFonts w:ascii="Times New Roman" w:hAnsi="Times New Roman"/>
                <w:bCs/>
                <w:sz w:val="22"/>
                <w:szCs w:val="22"/>
                <w:lang w:val="sr-Latn-ME"/>
              </w:rPr>
              <w:t xml:space="preserve"> </w:t>
            </w: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8. BROJ PRVE DOZVOLE I OBNOVE DOZVOLE</w:t>
            </w:r>
          </w:p>
        </w:tc>
      </w:tr>
      <w:tr w:rsidR="00834DBB" w:rsidRPr="00C01AF3" w:rsidTr="00DE0A48">
        <w:trPr>
          <w:trHeight w:val="869"/>
        </w:trPr>
        <w:tc>
          <w:tcPr>
            <w:tcW w:w="10188" w:type="dxa"/>
            <w:gridSpan w:val="3"/>
            <w:vAlign w:val="center"/>
          </w:tcPr>
          <w:p w:rsidR="00A71C2D" w:rsidRPr="00C01AF3" w:rsidRDefault="00A71C2D" w:rsidP="00534415">
            <w:pPr>
              <w:widowControl w:val="0"/>
              <w:autoSpaceDE w:val="0"/>
              <w:autoSpaceDN w:val="0"/>
              <w:jc w:val="left"/>
              <w:rPr>
                <w:rFonts w:ascii="Times New Roman" w:hAnsi="Times New Roman" w:cs="Arial"/>
                <w:sz w:val="22"/>
                <w:lang w:val="sr-Latn-ME"/>
              </w:rPr>
            </w:pPr>
          </w:p>
          <w:p w:rsidR="00191616" w:rsidRPr="00C01AF3" w:rsidRDefault="00191616" w:rsidP="00191616">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160mg+5mg+12,5mg, blister, 28 film tableta: </w:t>
            </w:r>
            <w:r w:rsidR="00825E8A" w:rsidRPr="00C01AF3">
              <w:rPr>
                <w:rFonts w:ascii="Times New Roman" w:hAnsi="Times New Roman" w:cs="Arial"/>
                <w:sz w:val="22"/>
                <w:lang w:val="sr-Latn-ME"/>
              </w:rPr>
              <w:t>2030/14/316 - 5331</w:t>
            </w:r>
          </w:p>
          <w:p w:rsidR="00B03A4A" w:rsidRDefault="00D900B9" w:rsidP="00B03A4A">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 HCT®, film tableta, 160mg+10mg+12,5mg, blister, 28 film tableta: 2030/14/318 - 5332</w:t>
            </w:r>
            <w:r w:rsidR="00B03A4A" w:rsidRPr="00C01AF3">
              <w:rPr>
                <w:rFonts w:ascii="Times New Roman" w:hAnsi="Times New Roman" w:cs="Arial"/>
                <w:sz w:val="22"/>
                <w:lang w:val="sr-Latn-ME"/>
              </w:rPr>
              <w:t xml:space="preserve"> </w:t>
            </w:r>
          </w:p>
          <w:p w:rsidR="00B03A4A" w:rsidRDefault="00B03A4A" w:rsidP="00B03A4A">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160mg+5mg+25mg, blister, 28 film tableta: 2030/14/317 - 3489 </w:t>
            </w:r>
          </w:p>
          <w:p w:rsidR="00A71C2D" w:rsidRPr="00C01AF3" w:rsidRDefault="00191616" w:rsidP="00191616">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 HCT®, film tableta, 160mg+10mg+25mg, blister, 28 film tableta:</w:t>
            </w:r>
            <w:r w:rsidR="00825E8A" w:rsidRPr="00C01AF3">
              <w:rPr>
                <w:rFonts w:ascii="Times New Roman" w:hAnsi="Times New Roman" w:cs="Arial"/>
                <w:sz w:val="22"/>
                <w:lang w:val="sr-Latn-ME"/>
              </w:rPr>
              <w:t xml:space="preserve"> 2030/14/319 - 3490</w:t>
            </w:r>
          </w:p>
          <w:p w:rsidR="00191616" w:rsidRPr="00C01AF3" w:rsidRDefault="00191616" w:rsidP="00191616">
            <w:pPr>
              <w:widowControl w:val="0"/>
              <w:autoSpaceDE w:val="0"/>
              <w:autoSpaceDN w:val="0"/>
              <w:jc w:val="left"/>
              <w:rPr>
                <w:rFonts w:ascii="Times New Roman" w:hAnsi="Times New Roman" w:cs="Arial"/>
                <w:sz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9. DATUM PRVE DOZVOLE I DATUM OBNOVE DOZVOLE</w:t>
            </w:r>
          </w:p>
        </w:tc>
      </w:tr>
      <w:tr w:rsidR="00834DBB" w:rsidRPr="00C01AF3" w:rsidTr="00DE0A48">
        <w:trPr>
          <w:trHeight w:val="824"/>
        </w:trPr>
        <w:tc>
          <w:tcPr>
            <w:tcW w:w="10188" w:type="dxa"/>
            <w:gridSpan w:val="3"/>
            <w:vAlign w:val="center"/>
          </w:tcPr>
          <w:p w:rsidR="00CC666B" w:rsidRPr="00C01AF3" w:rsidRDefault="00CC666B" w:rsidP="00AE4980">
            <w:pPr>
              <w:pStyle w:val="Header"/>
              <w:jc w:val="left"/>
              <w:rPr>
                <w:rFonts w:ascii="Times New Roman" w:hAnsi="Times New Roman"/>
                <w:sz w:val="22"/>
                <w:lang w:val="sr-Latn-ME"/>
              </w:rPr>
            </w:pPr>
          </w:p>
          <w:p w:rsidR="00D043A6" w:rsidRPr="00C01AF3" w:rsidRDefault="00D043A6" w:rsidP="00D043A6">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160mg+5mg+12,5mg, blister, 28 film tableta: </w:t>
            </w:r>
            <w:r w:rsidR="00825E8A" w:rsidRPr="00C01AF3">
              <w:rPr>
                <w:rFonts w:ascii="Times New Roman" w:hAnsi="Times New Roman" w:cs="Arial"/>
                <w:sz w:val="22"/>
                <w:lang w:val="sr-Latn-ME"/>
              </w:rPr>
              <w:t>19.09.2014. godine</w:t>
            </w:r>
          </w:p>
          <w:p w:rsidR="00825E8A" w:rsidRPr="00C01AF3" w:rsidRDefault="00D043A6" w:rsidP="00825E8A">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 xml:space="preserve">Exforge HCT®, film tableta, 160mg+10mg+12,5mg, blister, 28 film tableta: </w:t>
            </w:r>
            <w:r w:rsidR="00825E8A" w:rsidRPr="00C01AF3">
              <w:rPr>
                <w:rFonts w:ascii="Times New Roman" w:hAnsi="Times New Roman" w:cs="Arial"/>
                <w:sz w:val="22"/>
                <w:lang w:val="sr-Latn-ME"/>
              </w:rPr>
              <w:t>19.09.2014. godine</w:t>
            </w:r>
          </w:p>
          <w:p w:rsidR="00825E8A" w:rsidRPr="00C01AF3" w:rsidRDefault="00D043A6" w:rsidP="00825E8A">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 HCT®, film tableta, 160mg+5mg+25mg, blister, 28 film tableta:</w:t>
            </w:r>
            <w:r w:rsidR="00825E8A" w:rsidRPr="00C01AF3">
              <w:rPr>
                <w:rFonts w:ascii="Times New Roman" w:hAnsi="Times New Roman" w:cs="Arial"/>
                <w:sz w:val="22"/>
                <w:lang w:val="sr-Latn-ME"/>
              </w:rPr>
              <w:t xml:space="preserve"> 19.09.2014. godine</w:t>
            </w:r>
          </w:p>
          <w:p w:rsidR="00825E8A" w:rsidRPr="00C01AF3" w:rsidRDefault="00D043A6" w:rsidP="00825E8A">
            <w:pPr>
              <w:widowControl w:val="0"/>
              <w:autoSpaceDE w:val="0"/>
              <w:autoSpaceDN w:val="0"/>
              <w:jc w:val="left"/>
              <w:rPr>
                <w:rFonts w:ascii="Times New Roman" w:hAnsi="Times New Roman" w:cs="Arial"/>
                <w:sz w:val="22"/>
                <w:lang w:val="sr-Latn-ME"/>
              </w:rPr>
            </w:pPr>
            <w:r w:rsidRPr="00C01AF3">
              <w:rPr>
                <w:rFonts w:ascii="Times New Roman" w:hAnsi="Times New Roman" w:cs="Arial"/>
                <w:sz w:val="22"/>
                <w:lang w:val="sr-Latn-ME"/>
              </w:rPr>
              <w:t>Exforge HCT®, film tableta, 160mg+10mg+25mg, blister, 28 film tableta:</w:t>
            </w:r>
            <w:r w:rsidR="00825E8A" w:rsidRPr="00C01AF3">
              <w:rPr>
                <w:rFonts w:ascii="Times New Roman" w:hAnsi="Times New Roman" w:cs="Arial"/>
                <w:sz w:val="22"/>
                <w:lang w:val="sr-Latn-ME"/>
              </w:rPr>
              <w:t xml:space="preserve"> 19.09.2014. godine</w:t>
            </w:r>
          </w:p>
          <w:p w:rsidR="00A71C2D" w:rsidRPr="00C01AF3" w:rsidRDefault="00A71C2D" w:rsidP="00A71C2D">
            <w:pPr>
              <w:widowControl w:val="0"/>
              <w:autoSpaceDE w:val="0"/>
              <w:autoSpaceDN w:val="0"/>
              <w:jc w:val="left"/>
              <w:rPr>
                <w:rFonts w:ascii="Times New Roman" w:hAnsi="Times New Roman" w:cs="Arial"/>
                <w:sz w:val="22"/>
                <w:lang w:val="sr-Latn-ME"/>
              </w:rPr>
            </w:pPr>
          </w:p>
        </w:tc>
      </w:tr>
      <w:tr w:rsidR="00834DBB" w:rsidRPr="00C01AF3" w:rsidTr="00DE0A48">
        <w:tc>
          <w:tcPr>
            <w:tcW w:w="10188" w:type="dxa"/>
            <w:gridSpan w:val="3"/>
            <w:shd w:val="clear" w:color="auto" w:fill="E0E0E0"/>
            <w:vAlign w:val="center"/>
          </w:tcPr>
          <w:p w:rsidR="00834DBB" w:rsidRPr="00C01AF3" w:rsidRDefault="00834DBB">
            <w:pPr>
              <w:pStyle w:val="Header"/>
              <w:tabs>
                <w:tab w:val="clear" w:pos="4536"/>
                <w:tab w:val="clear" w:pos="9072"/>
                <w:tab w:val="left" w:pos="284"/>
              </w:tabs>
              <w:jc w:val="left"/>
              <w:rPr>
                <w:rFonts w:ascii="Times New Roman" w:hAnsi="Times New Roman"/>
                <w:b/>
                <w:bCs/>
                <w:sz w:val="22"/>
                <w:szCs w:val="22"/>
                <w:lang w:val="sr-Latn-ME"/>
              </w:rPr>
            </w:pPr>
            <w:r w:rsidRPr="00C01AF3">
              <w:rPr>
                <w:rFonts w:ascii="Times New Roman" w:hAnsi="Times New Roman"/>
                <w:b/>
                <w:bCs/>
                <w:sz w:val="22"/>
                <w:szCs w:val="22"/>
                <w:lang w:val="sr-Latn-ME"/>
              </w:rPr>
              <w:t>10. DATUM REVIZIJE TEKSTA</w:t>
            </w:r>
          </w:p>
        </w:tc>
      </w:tr>
    </w:tbl>
    <w:p w:rsidR="00191616" w:rsidRPr="00C01AF3" w:rsidRDefault="00191616" w:rsidP="009F4449">
      <w:pPr>
        <w:rPr>
          <w:rFonts w:ascii="Times New Roman" w:hAnsi="Times New Roman"/>
          <w:sz w:val="22"/>
          <w:lang w:val="sr-Latn-ME"/>
        </w:rPr>
      </w:pPr>
    </w:p>
    <w:p w:rsidR="00834DBB" w:rsidRPr="00C01AF3" w:rsidRDefault="00191616" w:rsidP="00191616">
      <w:pPr>
        <w:tabs>
          <w:tab w:val="left" w:pos="2617"/>
        </w:tabs>
        <w:rPr>
          <w:rFonts w:ascii="Times New Roman" w:hAnsi="Times New Roman"/>
          <w:sz w:val="22"/>
          <w:lang w:val="sr-Latn-ME"/>
        </w:rPr>
      </w:pPr>
      <w:r w:rsidRPr="00C01AF3">
        <w:rPr>
          <w:rFonts w:ascii="Times New Roman" w:hAnsi="Times New Roman"/>
          <w:sz w:val="22"/>
          <w:lang w:val="sr-Latn-ME"/>
        </w:rPr>
        <w:t>Septembar, 2014.</w:t>
      </w:r>
    </w:p>
    <w:sectPr w:rsidR="00834DBB" w:rsidRPr="00C01AF3" w:rsidSect="009D4827">
      <w:headerReference w:type="default" r:id="rId11"/>
      <w:footerReference w:type="even" r:id="rId12"/>
      <w:footerReference w:type="default" r:id="rId13"/>
      <w:pgSz w:w="11907" w:h="16840" w:code="9"/>
      <w:pgMar w:top="2030" w:right="1134" w:bottom="1701" w:left="1134" w:header="357" w:footer="3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BE" w:rsidRDefault="00144FBE">
      <w:r>
        <w:separator/>
      </w:r>
    </w:p>
  </w:endnote>
  <w:endnote w:type="continuationSeparator" w:id="0">
    <w:p w:rsidR="00144FBE" w:rsidRDefault="0014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umanist777">
    <w:altName w:val="Lucida Sans Unicode"/>
    <w:charset w:val="00"/>
    <w:family w:val="swiss"/>
    <w:pitch w:val="variable"/>
    <w:sig w:usb0="00000087" w:usb1="00000000" w:usb2="00000000" w:usb3="00000000" w:csb0="0000001B" w:csb1="00000000"/>
  </w:font>
  <w:font w:name="Arial (W1)">
    <w:altName w:val="Arial"/>
    <w:charset w:val="00"/>
    <w:family w:val="swiss"/>
    <w:pitch w:val="variable"/>
    <w:sig w:usb0="20007A87" w:usb1="80000000" w:usb2="00000008"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26" w:rsidRDefault="00995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5026" w:rsidRDefault="0099502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26" w:rsidRPr="009D4827" w:rsidRDefault="00995026" w:rsidP="009D4827">
    <w:pPr>
      <w:framePr w:wrap="around" w:vAnchor="text" w:hAnchor="margin" w:xAlign="right" w:y="1"/>
      <w:tabs>
        <w:tab w:val="clear" w:pos="284"/>
        <w:tab w:val="center" w:pos="4320"/>
        <w:tab w:val="right" w:pos="8640"/>
      </w:tabs>
      <w:jc w:val="left"/>
      <w:rPr>
        <w:rFonts w:ascii="Times New Roman" w:hAnsi="Times New Roman"/>
        <w:sz w:val="20"/>
        <w:szCs w:val="20"/>
        <w:lang w:val="sr-Latn-ME"/>
      </w:rPr>
    </w:pPr>
  </w:p>
  <w:p w:rsidR="00995026" w:rsidRPr="009D4827" w:rsidRDefault="00995026" w:rsidP="009D4827">
    <w:pPr>
      <w:pBdr>
        <w:top w:val="thinThickSmallGap" w:sz="24" w:space="1" w:color="auto"/>
      </w:pBdr>
      <w:tabs>
        <w:tab w:val="clear" w:pos="284"/>
        <w:tab w:val="center" w:pos="4320"/>
        <w:tab w:val="right" w:pos="8640"/>
      </w:tabs>
      <w:jc w:val="center"/>
      <w:rPr>
        <w:rFonts w:ascii="Times New Roman" w:hAnsi="Times New Roman"/>
        <w:sz w:val="20"/>
        <w:szCs w:val="20"/>
        <w:lang w:val="sr-Latn-ME"/>
      </w:rPr>
    </w:pPr>
  </w:p>
  <w:p w:rsidR="00995026" w:rsidRPr="009D4827" w:rsidRDefault="00995026" w:rsidP="009D4827">
    <w:pPr>
      <w:tabs>
        <w:tab w:val="clear" w:pos="284"/>
        <w:tab w:val="center" w:pos="4320"/>
        <w:tab w:val="right" w:pos="8640"/>
      </w:tabs>
      <w:jc w:val="center"/>
      <w:rPr>
        <w:rFonts w:ascii="Times New Roman" w:hAnsi="Times New Roman"/>
        <w:color w:val="E65900"/>
        <w:sz w:val="16"/>
        <w:szCs w:val="18"/>
        <w:lang w:val="sr-Latn-ME"/>
      </w:rPr>
    </w:pPr>
    <w:r w:rsidRPr="009D4827">
      <w:rPr>
        <w:rFonts w:ascii="Times New Roman" w:hAnsi="Times New Roman"/>
        <w:color w:val="FA0000"/>
        <w:sz w:val="16"/>
        <w:szCs w:val="18"/>
        <w:lang w:val="sr-Latn-ME"/>
      </w:rPr>
      <w:t>Agencija za ljekove i medicinska sredstva Crne Gore,</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81000 Podgorica, Bul. Ivana Crnojevića 64a</w:t>
    </w:r>
  </w:p>
  <w:p w:rsidR="00995026" w:rsidRPr="009D4827" w:rsidRDefault="00995026" w:rsidP="009D4827">
    <w:pPr>
      <w:tabs>
        <w:tab w:val="clear" w:pos="284"/>
        <w:tab w:val="center" w:pos="4320"/>
        <w:tab w:val="right" w:pos="8640"/>
      </w:tabs>
      <w:jc w:val="center"/>
      <w:rPr>
        <w:rFonts w:ascii="Times New Roman" w:hAnsi="Times New Roman"/>
        <w:color w:val="FA0000"/>
        <w:sz w:val="16"/>
        <w:szCs w:val="18"/>
        <w:lang w:val="sr-Latn-ME"/>
      </w:rPr>
    </w:pPr>
    <w:r w:rsidRPr="009D4827">
      <w:rPr>
        <w:rFonts w:ascii="Times New Roman" w:hAnsi="Times New Roman"/>
        <w:color w:val="E65900"/>
        <w:sz w:val="16"/>
        <w:szCs w:val="18"/>
        <w:lang w:val="sr-Latn-ME"/>
      </w:rPr>
      <w:t xml:space="preserve">tel: +382 (0) 20 310 280  </w:t>
    </w:r>
    <w:r w:rsidRPr="009D4827">
      <w:rPr>
        <w:rFonts w:ascii="Times New Roman" w:hAnsi="Times New Roman"/>
        <w:color w:val="FA0000"/>
        <w:sz w:val="16"/>
        <w:szCs w:val="18"/>
        <w:lang w:val="sr-Latn-ME"/>
      </w:rPr>
      <w:t>fax: +382 (0) 20 310 581,</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e-mail: info@calims.me,</w:t>
    </w:r>
    <w:r w:rsidRPr="009D4827">
      <w:rPr>
        <w:rFonts w:ascii="Times New Roman" w:hAnsi="Times New Roman"/>
        <w:sz w:val="16"/>
        <w:szCs w:val="18"/>
        <w:lang w:val="sr-Latn-ME"/>
      </w:rPr>
      <w:t xml:space="preserve"> </w:t>
    </w:r>
    <w:r w:rsidRPr="009D4827">
      <w:rPr>
        <w:rFonts w:ascii="Times New Roman" w:hAnsi="Times New Roman"/>
        <w:color w:val="FA0000"/>
        <w:sz w:val="16"/>
        <w:szCs w:val="18"/>
        <w:lang w:val="sr-Latn-ME"/>
      </w:rPr>
      <w:t>www.calims.me</w:t>
    </w:r>
    <w:r w:rsidRPr="009D4827">
      <w:rPr>
        <w:rFonts w:ascii="Times New Roman" w:hAnsi="Times New Roman"/>
        <w:sz w:val="16"/>
        <w:szCs w:val="18"/>
        <w:lang w:val="sr-Latn-ME"/>
      </w:rPr>
      <w:t xml:space="preserve">, </w:t>
    </w:r>
    <w:r w:rsidRPr="009D4827">
      <w:rPr>
        <w:rFonts w:ascii="Times New Roman" w:hAnsi="Times New Roman"/>
        <w:color w:val="E65900"/>
        <w:sz w:val="16"/>
        <w:szCs w:val="18"/>
        <w:lang w:val="sr-Latn-ME"/>
      </w:rPr>
      <w:t>PIB: 02739658,</w:t>
    </w:r>
    <w:r w:rsidRPr="009D4827">
      <w:rPr>
        <w:rFonts w:ascii="Times New Roman" w:hAnsi="Times New Roman"/>
        <w:sz w:val="16"/>
        <w:szCs w:val="18"/>
        <w:lang w:val="sr-Latn-ME"/>
      </w:rPr>
      <w:t xml:space="preserve"> </w:t>
    </w:r>
    <w:r w:rsidRPr="009D4827">
      <w:rPr>
        <w:rFonts w:ascii="Times New Roman" w:hAnsi="Times New Roman"/>
        <w:color w:val="FA0000"/>
        <w:sz w:val="16"/>
        <w:szCs w:val="18"/>
        <w:lang w:val="sr-Latn-ME"/>
      </w:rPr>
      <w:t>žiro račun: 520-3603-33</w:t>
    </w:r>
  </w:p>
  <w:p w:rsidR="00995026" w:rsidRPr="009D4827" w:rsidRDefault="00995026" w:rsidP="009D4827">
    <w:pPr>
      <w:tabs>
        <w:tab w:val="clear" w:pos="284"/>
        <w:tab w:val="center" w:pos="4320"/>
        <w:tab w:val="right" w:pos="8640"/>
      </w:tabs>
      <w:jc w:val="center"/>
      <w:rPr>
        <w:rFonts w:ascii="Times New Roman" w:hAnsi="Times New Roman"/>
        <w:sz w:val="16"/>
        <w:szCs w:val="18"/>
        <w:lang w:val="sr-Latn-ME"/>
      </w:rPr>
    </w:pPr>
  </w:p>
  <w:p w:rsidR="00995026" w:rsidRPr="009D4827" w:rsidRDefault="00995026" w:rsidP="009D4827">
    <w:pPr>
      <w:tabs>
        <w:tab w:val="clear" w:pos="284"/>
        <w:tab w:val="center" w:pos="4320"/>
        <w:tab w:val="right" w:pos="8640"/>
      </w:tabs>
      <w:jc w:val="left"/>
      <w:rPr>
        <w:rFonts w:ascii="Times New Roman" w:hAnsi="Times New Roman"/>
        <w:sz w:val="20"/>
        <w:szCs w:val="20"/>
        <w:lang w:val="sr-Latn-ME"/>
      </w:rPr>
    </w:pPr>
  </w:p>
  <w:p w:rsidR="00995026" w:rsidRPr="009D4827" w:rsidRDefault="00995026" w:rsidP="009D4827">
    <w:pPr>
      <w:tabs>
        <w:tab w:val="clear" w:pos="284"/>
        <w:tab w:val="center" w:pos="4320"/>
        <w:tab w:val="right" w:pos="8640"/>
      </w:tabs>
      <w:jc w:val="center"/>
      <w:rPr>
        <w:rFonts w:ascii="Times New Roman" w:hAnsi="Times New Roman"/>
        <w:sz w:val="22"/>
        <w:szCs w:val="22"/>
        <w:lang w:val="sr-Latn-ME"/>
      </w:rPr>
    </w:pPr>
    <w:r w:rsidRPr="009D4827">
      <w:rPr>
        <w:rFonts w:ascii="Times New Roman" w:hAnsi="Times New Roman"/>
        <w:sz w:val="20"/>
        <w:szCs w:val="20"/>
        <w:lang w:val="sr-Latn-ME"/>
      </w:rPr>
      <w:fldChar w:fldCharType="begin"/>
    </w:r>
    <w:r w:rsidRPr="009D4827">
      <w:rPr>
        <w:rFonts w:ascii="Times New Roman" w:hAnsi="Times New Roman"/>
        <w:sz w:val="20"/>
        <w:szCs w:val="20"/>
        <w:lang w:val="sr-Latn-ME"/>
      </w:rPr>
      <w:instrText xml:space="preserve"> PAGE </w:instrText>
    </w:r>
    <w:r w:rsidRPr="009D4827">
      <w:rPr>
        <w:rFonts w:ascii="Times New Roman" w:hAnsi="Times New Roman"/>
        <w:sz w:val="20"/>
        <w:szCs w:val="20"/>
        <w:lang w:val="sr-Latn-ME"/>
      </w:rPr>
      <w:fldChar w:fldCharType="separate"/>
    </w:r>
    <w:r w:rsidR="00086DBD">
      <w:rPr>
        <w:rFonts w:ascii="Times New Roman" w:hAnsi="Times New Roman"/>
        <w:noProof/>
        <w:sz w:val="20"/>
        <w:szCs w:val="20"/>
        <w:lang w:val="sr-Latn-ME"/>
      </w:rPr>
      <w:t>1</w:t>
    </w:r>
    <w:r w:rsidRPr="009D4827">
      <w:rPr>
        <w:rFonts w:ascii="Times New Roman" w:hAnsi="Times New Roman"/>
        <w:sz w:val="20"/>
        <w:szCs w:val="20"/>
        <w:lang w:val="sr-Latn-ME"/>
      </w:rPr>
      <w:fldChar w:fldCharType="end"/>
    </w:r>
    <w:r w:rsidRPr="009D4827">
      <w:rPr>
        <w:rFonts w:ascii="Times New Roman" w:hAnsi="Times New Roman"/>
        <w:sz w:val="20"/>
        <w:szCs w:val="20"/>
        <w:lang w:val="sr-Latn-ME"/>
      </w:rPr>
      <w:t xml:space="preserve"> / </w:t>
    </w:r>
    <w:r w:rsidRPr="009D4827">
      <w:rPr>
        <w:rFonts w:ascii="Times New Roman" w:hAnsi="Times New Roman"/>
        <w:sz w:val="20"/>
        <w:szCs w:val="20"/>
        <w:lang w:val="sr-Latn-ME"/>
      </w:rPr>
      <w:fldChar w:fldCharType="begin"/>
    </w:r>
    <w:r w:rsidRPr="009D4827">
      <w:rPr>
        <w:rFonts w:ascii="Times New Roman" w:hAnsi="Times New Roman"/>
        <w:sz w:val="20"/>
        <w:szCs w:val="20"/>
        <w:lang w:val="sr-Latn-ME"/>
      </w:rPr>
      <w:instrText xml:space="preserve"> NUMPAGES </w:instrText>
    </w:r>
    <w:r w:rsidRPr="009D4827">
      <w:rPr>
        <w:rFonts w:ascii="Times New Roman" w:hAnsi="Times New Roman"/>
        <w:sz w:val="20"/>
        <w:szCs w:val="20"/>
        <w:lang w:val="sr-Latn-ME"/>
      </w:rPr>
      <w:fldChar w:fldCharType="separate"/>
    </w:r>
    <w:r w:rsidR="00086DBD">
      <w:rPr>
        <w:rFonts w:ascii="Times New Roman" w:hAnsi="Times New Roman"/>
        <w:noProof/>
        <w:sz w:val="20"/>
        <w:szCs w:val="20"/>
        <w:lang w:val="sr-Latn-ME"/>
      </w:rPr>
      <w:t>28</w:t>
    </w:r>
    <w:r w:rsidRPr="009D4827">
      <w:rPr>
        <w:rFonts w:ascii="Times New Roman" w:hAnsi="Times New Roman"/>
        <w:sz w:val="20"/>
        <w:szCs w:val="20"/>
        <w:lang w:val="sr-Latn-ME"/>
      </w:rPr>
      <w:fldChar w:fldCharType="end"/>
    </w:r>
  </w:p>
  <w:p w:rsidR="00995026" w:rsidRPr="009D4827" w:rsidRDefault="00995026" w:rsidP="009D4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BE" w:rsidRDefault="00144FBE">
      <w:r>
        <w:separator/>
      </w:r>
    </w:p>
  </w:footnote>
  <w:footnote w:type="continuationSeparator" w:id="0">
    <w:p w:rsidR="00144FBE" w:rsidRDefault="00144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026" w:rsidRDefault="00995026" w:rsidP="009D4827">
    <w:pPr>
      <w:pStyle w:val="Header"/>
      <w:rPr>
        <w:sz w:val="16"/>
        <w:szCs w:val="16"/>
      </w:rPr>
    </w:pPr>
  </w:p>
  <w:p w:rsidR="00995026" w:rsidRDefault="00995026" w:rsidP="009D4827">
    <w:pPr>
      <w:pStyle w:val="Header"/>
      <w:pBdr>
        <w:top w:val="thinThickSmallGap" w:sz="24" w:space="2" w:color="auto"/>
      </w:pBdr>
    </w:pPr>
    <w:r>
      <w:rPr>
        <w:noProof/>
        <w:sz w:val="16"/>
        <w:szCs w:val="16"/>
        <w:lang w:val="sr-Latn-ME" w:eastAsia="sr-Latn-ME"/>
      </w:rPr>
      <w:drawing>
        <wp:inline distT="0" distB="0" distL="0" distR="0" wp14:anchorId="5063B1E4" wp14:editId="1BAC636D">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995026" w:rsidRPr="00995026" w:rsidRDefault="00995026" w:rsidP="009D4827">
    <w:pPr>
      <w:pStyle w:val="Header"/>
      <w:pBdr>
        <w:top w:val="thinThickSmallGap" w:sz="24" w:space="2" w:color="auto"/>
      </w:pBd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3C87"/>
    <w:multiLevelType w:val="hybridMultilevel"/>
    <w:tmpl w:val="8C30A5F6"/>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
    <w:nsid w:val="15F760C3"/>
    <w:multiLevelType w:val="hybridMultilevel"/>
    <w:tmpl w:val="AF748528"/>
    <w:lvl w:ilvl="0" w:tplc="FEB4FA34">
      <w:start w:val="1"/>
      <w:numFmt w:val="bullet"/>
      <w:lvlText w:val=""/>
      <w:lvlJc w:val="left"/>
      <w:pPr>
        <w:tabs>
          <w:tab w:val="num" w:pos="357"/>
        </w:tabs>
        <w:ind w:left="567" w:hanging="567"/>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1FD76BA"/>
    <w:multiLevelType w:val="hybridMultilevel"/>
    <w:tmpl w:val="3208CE48"/>
    <w:lvl w:ilvl="0" w:tplc="2D86BD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A26B09"/>
    <w:multiLevelType w:val="multilevel"/>
    <w:tmpl w:val="FFFFFFFF"/>
    <w:lvl w:ilvl="0">
      <w:start w:val="1"/>
      <w:numFmt w:val="bullet"/>
      <w:lvlText w:val=""/>
      <w:lvlJc w:val="left"/>
      <w:pPr>
        <w:tabs>
          <w:tab w:val="decimal" w:pos="648"/>
        </w:tabs>
        <w:ind w:left="720"/>
      </w:pPr>
      <w:rPr>
        <w:rFonts w:ascii="Symbol" w:hAnsi="Symbol"/>
        <w:strike w:val="0"/>
        <w:color w:val="000000"/>
        <w:spacing w:val="10"/>
        <w:w w:val="105"/>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B1A11B9"/>
    <w:multiLevelType w:val="hybridMultilevel"/>
    <w:tmpl w:val="F8B4C200"/>
    <w:lvl w:ilvl="0" w:tplc="E76848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57E84"/>
    <w:multiLevelType w:val="hybridMultilevel"/>
    <w:tmpl w:val="E9E45632"/>
    <w:lvl w:ilvl="0" w:tplc="9E607296">
      <w:start w:val="1"/>
      <w:numFmt w:val="bullet"/>
      <w:lvlText w:val=""/>
      <w:lvlJc w:val="left"/>
      <w:pPr>
        <w:tabs>
          <w:tab w:val="num" w:pos="35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F40B90"/>
    <w:multiLevelType w:val="hybridMultilevel"/>
    <w:tmpl w:val="9BD486B6"/>
    <w:lvl w:ilvl="0" w:tplc="9108514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76729C"/>
    <w:multiLevelType w:val="hybridMultilevel"/>
    <w:tmpl w:val="55AC3156"/>
    <w:lvl w:ilvl="0" w:tplc="9108514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22737F"/>
    <w:multiLevelType w:val="hybridMultilevel"/>
    <w:tmpl w:val="375AEE90"/>
    <w:lvl w:ilvl="0" w:tplc="38687C0E">
      <w:start w:val="1"/>
      <w:numFmt w:val="bullet"/>
      <w:lvlText w:val="-"/>
      <w:lvlJc w:val="left"/>
      <w:pPr>
        <w:tabs>
          <w:tab w:val="num" w:pos="720"/>
        </w:tabs>
        <w:ind w:left="720" w:hanging="360"/>
      </w:pPr>
      <w:rPr>
        <w:rFonts w:ascii="Courier New" w:hAnsi="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
    <w:nsid w:val="536D3419"/>
    <w:multiLevelType w:val="hybridMultilevel"/>
    <w:tmpl w:val="B7D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B7FB1"/>
    <w:multiLevelType w:val="hybridMultilevel"/>
    <w:tmpl w:val="07B6199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1">
    <w:nsid w:val="5BDE1943"/>
    <w:multiLevelType w:val="hybridMultilevel"/>
    <w:tmpl w:val="4DC6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F50C5C"/>
    <w:multiLevelType w:val="hybridMultilevel"/>
    <w:tmpl w:val="9DBE2AF6"/>
    <w:lvl w:ilvl="0" w:tplc="55AADCD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10"/>
  </w:num>
  <w:num w:numId="5">
    <w:abstractNumId w:val="11"/>
  </w:num>
  <w:num w:numId="6">
    <w:abstractNumId w:val="6"/>
  </w:num>
  <w:num w:numId="7">
    <w:abstractNumId w:val="7"/>
  </w:num>
  <w:num w:numId="8">
    <w:abstractNumId w:val="0"/>
  </w:num>
  <w:num w:numId="9">
    <w:abstractNumId w:val="8"/>
  </w:num>
  <w:num w:numId="10">
    <w:abstractNumId w:val="4"/>
  </w:num>
  <w:num w:numId="11">
    <w:abstractNumId w:val="9"/>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DA"/>
    <w:rsid w:val="000000C9"/>
    <w:rsid w:val="000001B3"/>
    <w:rsid w:val="00000EBD"/>
    <w:rsid w:val="000012E0"/>
    <w:rsid w:val="000023B3"/>
    <w:rsid w:val="00002535"/>
    <w:rsid w:val="00003794"/>
    <w:rsid w:val="00004E50"/>
    <w:rsid w:val="0000646F"/>
    <w:rsid w:val="00007CCF"/>
    <w:rsid w:val="00010065"/>
    <w:rsid w:val="0001027E"/>
    <w:rsid w:val="000110DB"/>
    <w:rsid w:val="00012575"/>
    <w:rsid w:val="00012E7A"/>
    <w:rsid w:val="00013ACF"/>
    <w:rsid w:val="00013C5E"/>
    <w:rsid w:val="00015E6C"/>
    <w:rsid w:val="00016ED3"/>
    <w:rsid w:val="0001787A"/>
    <w:rsid w:val="00017A9F"/>
    <w:rsid w:val="00017BA4"/>
    <w:rsid w:val="00017C73"/>
    <w:rsid w:val="000200E3"/>
    <w:rsid w:val="0002044D"/>
    <w:rsid w:val="00020D69"/>
    <w:rsid w:val="0002193E"/>
    <w:rsid w:val="00021DF6"/>
    <w:rsid w:val="00021EF2"/>
    <w:rsid w:val="00023157"/>
    <w:rsid w:val="0002321B"/>
    <w:rsid w:val="0002446A"/>
    <w:rsid w:val="00026E66"/>
    <w:rsid w:val="00026EF5"/>
    <w:rsid w:val="00026F0C"/>
    <w:rsid w:val="00027321"/>
    <w:rsid w:val="00027429"/>
    <w:rsid w:val="00031C85"/>
    <w:rsid w:val="00032E04"/>
    <w:rsid w:val="00033CF6"/>
    <w:rsid w:val="000343AC"/>
    <w:rsid w:val="0003444B"/>
    <w:rsid w:val="000348EE"/>
    <w:rsid w:val="00034D2A"/>
    <w:rsid w:val="000351F8"/>
    <w:rsid w:val="00035911"/>
    <w:rsid w:val="000361FE"/>
    <w:rsid w:val="0003681A"/>
    <w:rsid w:val="000368BE"/>
    <w:rsid w:val="000369A4"/>
    <w:rsid w:val="00037F74"/>
    <w:rsid w:val="000403BC"/>
    <w:rsid w:val="00040D61"/>
    <w:rsid w:val="000413BF"/>
    <w:rsid w:val="000430B9"/>
    <w:rsid w:val="00043D06"/>
    <w:rsid w:val="00043FC2"/>
    <w:rsid w:val="00044D9E"/>
    <w:rsid w:val="000451AA"/>
    <w:rsid w:val="000478ED"/>
    <w:rsid w:val="00050305"/>
    <w:rsid w:val="00051BAE"/>
    <w:rsid w:val="00051DA1"/>
    <w:rsid w:val="00052A33"/>
    <w:rsid w:val="00055289"/>
    <w:rsid w:val="000558AD"/>
    <w:rsid w:val="00056F49"/>
    <w:rsid w:val="00060254"/>
    <w:rsid w:val="00061698"/>
    <w:rsid w:val="00061DBF"/>
    <w:rsid w:val="00062CFF"/>
    <w:rsid w:val="00062E5E"/>
    <w:rsid w:val="0006577A"/>
    <w:rsid w:val="000658C8"/>
    <w:rsid w:val="00066C8F"/>
    <w:rsid w:val="00067668"/>
    <w:rsid w:val="00070D49"/>
    <w:rsid w:val="00070F53"/>
    <w:rsid w:val="00071ECD"/>
    <w:rsid w:val="00071F8B"/>
    <w:rsid w:val="00072B24"/>
    <w:rsid w:val="00074207"/>
    <w:rsid w:val="00074EF9"/>
    <w:rsid w:val="0007584D"/>
    <w:rsid w:val="000758F1"/>
    <w:rsid w:val="0007696D"/>
    <w:rsid w:val="000777DB"/>
    <w:rsid w:val="00080E97"/>
    <w:rsid w:val="00081F24"/>
    <w:rsid w:val="0008303B"/>
    <w:rsid w:val="00083BE0"/>
    <w:rsid w:val="00084164"/>
    <w:rsid w:val="00085C5A"/>
    <w:rsid w:val="00086C5D"/>
    <w:rsid w:val="00086DBD"/>
    <w:rsid w:val="0008758F"/>
    <w:rsid w:val="00090171"/>
    <w:rsid w:val="00090DD5"/>
    <w:rsid w:val="0009176B"/>
    <w:rsid w:val="00092AF2"/>
    <w:rsid w:val="00093091"/>
    <w:rsid w:val="0009356C"/>
    <w:rsid w:val="000941B9"/>
    <w:rsid w:val="00094EF2"/>
    <w:rsid w:val="0009545D"/>
    <w:rsid w:val="0009556D"/>
    <w:rsid w:val="0009747A"/>
    <w:rsid w:val="00097E82"/>
    <w:rsid w:val="000A1258"/>
    <w:rsid w:val="000A175C"/>
    <w:rsid w:val="000A2FB9"/>
    <w:rsid w:val="000A50BB"/>
    <w:rsid w:val="000A5A2B"/>
    <w:rsid w:val="000A5A91"/>
    <w:rsid w:val="000A6B8E"/>
    <w:rsid w:val="000A6E92"/>
    <w:rsid w:val="000A772E"/>
    <w:rsid w:val="000B00FC"/>
    <w:rsid w:val="000B0410"/>
    <w:rsid w:val="000B2AAB"/>
    <w:rsid w:val="000B4038"/>
    <w:rsid w:val="000B7FC3"/>
    <w:rsid w:val="000C064B"/>
    <w:rsid w:val="000C129C"/>
    <w:rsid w:val="000C4C9A"/>
    <w:rsid w:val="000C528A"/>
    <w:rsid w:val="000C5A0C"/>
    <w:rsid w:val="000C68CA"/>
    <w:rsid w:val="000D0419"/>
    <w:rsid w:val="000D0EEE"/>
    <w:rsid w:val="000D1CF9"/>
    <w:rsid w:val="000D2B85"/>
    <w:rsid w:val="000D6334"/>
    <w:rsid w:val="000E238E"/>
    <w:rsid w:val="000E5979"/>
    <w:rsid w:val="000E7C5D"/>
    <w:rsid w:val="000F0F0C"/>
    <w:rsid w:val="000F19AF"/>
    <w:rsid w:val="000F19D9"/>
    <w:rsid w:val="000F2017"/>
    <w:rsid w:val="000F271D"/>
    <w:rsid w:val="000F3F0C"/>
    <w:rsid w:val="000F45C4"/>
    <w:rsid w:val="000F5142"/>
    <w:rsid w:val="000F5CB1"/>
    <w:rsid w:val="000F7CEB"/>
    <w:rsid w:val="00100606"/>
    <w:rsid w:val="001010E4"/>
    <w:rsid w:val="00101D37"/>
    <w:rsid w:val="0010236C"/>
    <w:rsid w:val="00103B07"/>
    <w:rsid w:val="0010468B"/>
    <w:rsid w:val="00105542"/>
    <w:rsid w:val="00105EAD"/>
    <w:rsid w:val="00107A6A"/>
    <w:rsid w:val="001105CD"/>
    <w:rsid w:val="0011080F"/>
    <w:rsid w:val="00112C5A"/>
    <w:rsid w:val="00114CB9"/>
    <w:rsid w:val="0011620A"/>
    <w:rsid w:val="00116BCF"/>
    <w:rsid w:val="0012087C"/>
    <w:rsid w:val="00123A7A"/>
    <w:rsid w:val="00123F8B"/>
    <w:rsid w:val="00124248"/>
    <w:rsid w:val="001254C8"/>
    <w:rsid w:val="001261AE"/>
    <w:rsid w:val="00130304"/>
    <w:rsid w:val="001312E4"/>
    <w:rsid w:val="00132847"/>
    <w:rsid w:val="00132CD0"/>
    <w:rsid w:val="00133285"/>
    <w:rsid w:val="00141189"/>
    <w:rsid w:val="00142885"/>
    <w:rsid w:val="00142EC9"/>
    <w:rsid w:val="00143A28"/>
    <w:rsid w:val="0014433F"/>
    <w:rsid w:val="001444EC"/>
    <w:rsid w:val="001445C9"/>
    <w:rsid w:val="00144744"/>
    <w:rsid w:val="00144C4D"/>
    <w:rsid w:val="00144C97"/>
    <w:rsid w:val="00144FBE"/>
    <w:rsid w:val="00145096"/>
    <w:rsid w:val="00145B57"/>
    <w:rsid w:val="00146EAF"/>
    <w:rsid w:val="00146F63"/>
    <w:rsid w:val="00147462"/>
    <w:rsid w:val="00150553"/>
    <w:rsid w:val="0015055C"/>
    <w:rsid w:val="00150A6D"/>
    <w:rsid w:val="0015286F"/>
    <w:rsid w:val="00152A81"/>
    <w:rsid w:val="00155918"/>
    <w:rsid w:val="00161102"/>
    <w:rsid w:val="00163483"/>
    <w:rsid w:val="001641D9"/>
    <w:rsid w:val="00164655"/>
    <w:rsid w:val="001715A4"/>
    <w:rsid w:val="0017242C"/>
    <w:rsid w:val="001728E9"/>
    <w:rsid w:val="00172AF0"/>
    <w:rsid w:val="00173CD6"/>
    <w:rsid w:val="001756C3"/>
    <w:rsid w:val="001769E9"/>
    <w:rsid w:val="00176CF7"/>
    <w:rsid w:val="0017770A"/>
    <w:rsid w:val="00181BB4"/>
    <w:rsid w:val="0018259D"/>
    <w:rsid w:val="0018380A"/>
    <w:rsid w:val="00183DEC"/>
    <w:rsid w:val="001840F1"/>
    <w:rsid w:val="001846BF"/>
    <w:rsid w:val="00186E03"/>
    <w:rsid w:val="00187086"/>
    <w:rsid w:val="00187DE6"/>
    <w:rsid w:val="001906DA"/>
    <w:rsid w:val="00191616"/>
    <w:rsid w:val="00191C8F"/>
    <w:rsid w:val="001932DF"/>
    <w:rsid w:val="00195244"/>
    <w:rsid w:val="0019580A"/>
    <w:rsid w:val="00197953"/>
    <w:rsid w:val="001A3ADF"/>
    <w:rsid w:val="001A3CC9"/>
    <w:rsid w:val="001A4535"/>
    <w:rsid w:val="001A4AB5"/>
    <w:rsid w:val="001B0A1F"/>
    <w:rsid w:val="001B1311"/>
    <w:rsid w:val="001B1483"/>
    <w:rsid w:val="001B2095"/>
    <w:rsid w:val="001B2419"/>
    <w:rsid w:val="001B417C"/>
    <w:rsid w:val="001B5E75"/>
    <w:rsid w:val="001B65B0"/>
    <w:rsid w:val="001B7840"/>
    <w:rsid w:val="001B7874"/>
    <w:rsid w:val="001B7B9F"/>
    <w:rsid w:val="001C1AAC"/>
    <w:rsid w:val="001C1E67"/>
    <w:rsid w:val="001C427B"/>
    <w:rsid w:val="001C6B6F"/>
    <w:rsid w:val="001C6C0F"/>
    <w:rsid w:val="001C774F"/>
    <w:rsid w:val="001D0486"/>
    <w:rsid w:val="001D1987"/>
    <w:rsid w:val="001D2532"/>
    <w:rsid w:val="001D4D04"/>
    <w:rsid w:val="001D615F"/>
    <w:rsid w:val="001D6442"/>
    <w:rsid w:val="001D6A19"/>
    <w:rsid w:val="001E220D"/>
    <w:rsid w:val="001E2BDA"/>
    <w:rsid w:val="001E35A5"/>
    <w:rsid w:val="001E3E9B"/>
    <w:rsid w:val="001E4969"/>
    <w:rsid w:val="001E51C0"/>
    <w:rsid w:val="001E7F95"/>
    <w:rsid w:val="001F2AF7"/>
    <w:rsid w:val="001F304E"/>
    <w:rsid w:val="001F437B"/>
    <w:rsid w:val="001F6459"/>
    <w:rsid w:val="001F6A86"/>
    <w:rsid w:val="001F705B"/>
    <w:rsid w:val="001F7E33"/>
    <w:rsid w:val="00201A47"/>
    <w:rsid w:val="00202050"/>
    <w:rsid w:val="00203A7A"/>
    <w:rsid w:val="002040DF"/>
    <w:rsid w:val="0020567E"/>
    <w:rsid w:val="00210C36"/>
    <w:rsid w:val="0021372C"/>
    <w:rsid w:val="00213BA7"/>
    <w:rsid w:val="00214CAF"/>
    <w:rsid w:val="00215A47"/>
    <w:rsid w:val="00216F82"/>
    <w:rsid w:val="00220F88"/>
    <w:rsid w:val="00220FC1"/>
    <w:rsid w:val="00221005"/>
    <w:rsid w:val="00221116"/>
    <w:rsid w:val="00222242"/>
    <w:rsid w:val="002239A1"/>
    <w:rsid w:val="0022733C"/>
    <w:rsid w:val="002277DD"/>
    <w:rsid w:val="0023247F"/>
    <w:rsid w:val="00235946"/>
    <w:rsid w:val="00236B75"/>
    <w:rsid w:val="00240452"/>
    <w:rsid w:val="00240A88"/>
    <w:rsid w:val="00241186"/>
    <w:rsid w:val="00241EDB"/>
    <w:rsid w:val="002420BD"/>
    <w:rsid w:val="00242D68"/>
    <w:rsid w:val="002441C2"/>
    <w:rsid w:val="002454FD"/>
    <w:rsid w:val="0024670D"/>
    <w:rsid w:val="00247552"/>
    <w:rsid w:val="00247947"/>
    <w:rsid w:val="002503CC"/>
    <w:rsid w:val="002523F4"/>
    <w:rsid w:val="00252BA7"/>
    <w:rsid w:val="0025399F"/>
    <w:rsid w:val="00254B82"/>
    <w:rsid w:val="0026044C"/>
    <w:rsid w:val="002617B3"/>
    <w:rsid w:val="00262A23"/>
    <w:rsid w:val="00264230"/>
    <w:rsid w:val="00265311"/>
    <w:rsid w:val="00267B74"/>
    <w:rsid w:val="002702F0"/>
    <w:rsid w:val="00272AA3"/>
    <w:rsid w:val="00273380"/>
    <w:rsid w:val="00273669"/>
    <w:rsid w:val="00273BE0"/>
    <w:rsid w:val="00274054"/>
    <w:rsid w:val="00275FBA"/>
    <w:rsid w:val="00276995"/>
    <w:rsid w:val="002770EE"/>
    <w:rsid w:val="00277278"/>
    <w:rsid w:val="002777F5"/>
    <w:rsid w:val="002808BC"/>
    <w:rsid w:val="002818CE"/>
    <w:rsid w:val="00282BAE"/>
    <w:rsid w:val="0028353C"/>
    <w:rsid w:val="00284DFD"/>
    <w:rsid w:val="00285576"/>
    <w:rsid w:val="0028588B"/>
    <w:rsid w:val="00286180"/>
    <w:rsid w:val="00286D6A"/>
    <w:rsid w:val="0028761C"/>
    <w:rsid w:val="00290E32"/>
    <w:rsid w:val="0029258C"/>
    <w:rsid w:val="00294881"/>
    <w:rsid w:val="00294D8E"/>
    <w:rsid w:val="00297199"/>
    <w:rsid w:val="002A08C8"/>
    <w:rsid w:val="002A107A"/>
    <w:rsid w:val="002A11F4"/>
    <w:rsid w:val="002A164E"/>
    <w:rsid w:val="002A3108"/>
    <w:rsid w:val="002A3A4B"/>
    <w:rsid w:val="002A4F0E"/>
    <w:rsid w:val="002A7E8B"/>
    <w:rsid w:val="002B0770"/>
    <w:rsid w:val="002B16AA"/>
    <w:rsid w:val="002B3874"/>
    <w:rsid w:val="002B67AB"/>
    <w:rsid w:val="002B6F6A"/>
    <w:rsid w:val="002B7195"/>
    <w:rsid w:val="002B71E4"/>
    <w:rsid w:val="002C1C6B"/>
    <w:rsid w:val="002C2D98"/>
    <w:rsid w:val="002C377C"/>
    <w:rsid w:val="002C4801"/>
    <w:rsid w:val="002C59C9"/>
    <w:rsid w:val="002C5BD6"/>
    <w:rsid w:val="002C61C3"/>
    <w:rsid w:val="002C728C"/>
    <w:rsid w:val="002C7FB0"/>
    <w:rsid w:val="002D237C"/>
    <w:rsid w:val="002D46D5"/>
    <w:rsid w:val="002D55F1"/>
    <w:rsid w:val="002D56B2"/>
    <w:rsid w:val="002D5866"/>
    <w:rsid w:val="002D5D38"/>
    <w:rsid w:val="002D60B3"/>
    <w:rsid w:val="002D7A0E"/>
    <w:rsid w:val="002E133F"/>
    <w:rsid w:val="002E1792"/>
    <w:rsid w:val="002E28C3"/>
    <w:rsid w:val="002E2A77"/>
    <w:rsid w:val="002E32EC"/>
    <w:rsid w:val="002E4842"/>
    <w:rsid w:val="002E533B"/>
    <w:rsid w:val="002E6401"/>
    <w:rsid w:val="002E6704"/>
    <w:rsid w:val="002F0FF4"/>
    <w:rsid w:val="002F112F"/>
    <w:rsid w:val="002F1AD7"/>
    <w:rsid w:val="002F2E63"/>
    <w:rsid w:val="002F30D0"/>
    <w:rsid w:val="002F322F"/>
    <w:rsid w:val="002F3CB9"/>
    <w:rsid w:val="002F4391"/>
    <w:rsid w:val="002F64B6"/>
    <w:rsid w:val="002F67D5"/>
    <w:rsid w:val="002F704E"/>
    <w:rsid w:val="002F7CAE"/>
    <w:rsid w:val="003013E5"/>
    <w:rsid w:val="00301ACF"/>
    <w:rsid w:val="00302026"/>
    <w:rsid w:val="00306C9F"/>
    <w:rsid w:val="00307690"/>
    <w:rsid w:val="003078B9"/>
    <w:rsid w:val="00310243"/>
    <w:rsid w:val="0031084D"/>
    <w:rsid w:val="003121FC"/>
    <w:rsid w:val="003131B2"/>
    <w:rsid w:val="00313383"/>
    <w:rsid w:val="003154E2"/>
    <w:rsid w:val="00315578"/>
    <w:rsid w:val="00315A14"/>
    <w:rsid w:val="00316E97"/>
    <w:rsid w:val="00317C82"/>
    <w:rsid w:val="00320A97"/>
    <w:rsid w:val="00323BE2"/>
    <w:rsid w:val="003256AF"/>
    <w:rsid w:val="003309F3"/>
    <w:rsid w:val="00331293"/>
    <w:rsid w:val="00332756"/>
    <w:rsid w:val="00332D58"/>
    <w:rsid w:val="00334AA6"/>
    <w:rsid w:val="0033501C"/>
    <w:rsid w:val="00340E8E"/>
    <w:rsid w:val="003419A4"/>
    <w:rsid w:val="00341E43"/>
    <w:rsid w:val="00342006"/>
    <w:rsid w:val="00344217"/>
    <w:rsid w:val="00345DB4"/>
    <w:rsid w:val="0034705B"/>
    <w:rsid w:val="00347113"/>
    <w:rsid w:val="003539E1"/>
    <w:rsid w:val="00353A0F"/>
    <w:rsid w:val="00354763"/>
    <w:rsid w:val="00355442"/>
    <w:rsid w:val="003556DE"/>
    <w:rsid w:val="00355AE6"/>
    <w:rsid w:val="00356330"/>
    <w:rsid w:val="00360BC9"/>
    <w:rsid w:val="00361526"/>
    <w:rsid w:val="003626D1"/>
    <w:rsid w:val="003629C2"/>
    <w:rsid w:val="00362BF6"/>
    <w:rsid w:val="00362F0D"/>
    <w:rsid w:val="003630D1"/>
    <w:rsid w:val="00363698"/>
    <w:rsid w:val="00363C51"/>
    <w:rsid w:val="00364388"/>
    <w:rsid w:val="00366356"/>
    <w:rsid w:val="003669B4"/>
    <w:rsid w:val="003670A9"/>
    <w:rsid w:val="0037078A"/>
    <w:rsid w:val="00370DEB"/>
    <w:rsid w:val="003715DE"/>
    <w:rsid w:val="00371D4A"/>
    <w:rsid w:val="0037265A"/>
    <w:rsid w:val="00373896"/>
    <w:rsid w:val="00373BD6"/>
    <w:rsid w:val="00373E8B"/>
    <w:rsid w:val="00373F78"/>
    <w:rsid w:val="0037475C"/>
    <w:rsid w:val="0037481A"/>
    <w:rsid w:val="003758A2"/>
    <w:rsid w:val="00376CA0"/>
    <w:rsid w:val="0038298F"/>
    <w:rsid w:val="00383544"/>
    <w:rsid w:val="00384261"/>
    <w:rsid w:val="00386C29"/>
    <w:rsid w:val="00386CFE"/>
    <w:rsid w:val="0038705E"/>
    <w:rsid w:val="00391951"/>
    <w:rsid w:val="00391E44"/>
    <w:rsid w:val="003925A5"/>
    <w:rsid w:val="00393559"/>
    <w:rsid w:val="003939D0"/>
    <w:rsid w:val="00394F01"/>
    <w:rsid w:val="00395D9A"/>
    <w:rsid w:val="00397E4B"/>
    <w:rsid w:val="003A1611"/>
    <w:rsid w:val="003A3909"/>
    <w:rsid w:val="003A4828"/>
    <w:rsid w:val="003A5FC9"/>
    <w:rsid w:val="003A61F5"/>
    <w:rsid w:val="003A6398"/>
    <w:rsid w:val="003A64AA"/>
    <w:rsid w:val="003A6D62"/>
    <w:rsid w:val="003B2082"/>
    <w:rsid w:val="003B3324"/>
    <w:rsid w:val="003B3C3F"/>
    <w:rsid w:val="003B5AAC"/>
    <w:rsid w:val="003B66D5"/>
    <w:rsid w:val="003B6995"/>
    <w:rsid w:val="003C0DBC"/>
    <w:rsid w:val="003C1F02"/>
    <w:rsid w:val="003C25A8"/>
    <w:rsid w:val="003C2D8B"/>
    <w:rsid w:val="003C3391"/>
    <w:rsid w:val="003C4B92"/>
    <w:rsid w:val="003C4E73"/>
    <w:rsid w:val="003C5D39"/>
    <w:rsid w:val="003C6268"/>
    <w:rsid w:val="003C6A51"/>
    <w:rsid w:val="003C76BB"/>
    <w:rsid w:val="003D2C63"/>
    <w:rsid w:val="003D2F4C"/>
    <w:rsid w:val="003D3646"/>
    <w:rsid w:val="003D3859"/>
    <w:rsid w:val="003D46D6"/>
    <w:rsid w:val="003D584E"/>
    <w:rsid w:val="003D5BB2"/>
    <w:rsid w:val="003D5F64"/>
    <w:rsid w:val="003E1488"/>
    <w:rsid w:val="003E201F"/>
    <w:rsid w:val="003E2DD1"/>
    <w:rsid w:val="003E30EC"/>
    <w:rsid w:val="003E418C"/>
    <w:rsid w:val="003E50F8"/>
    <w:rsid w:val="003E5A4E"/>
    <w:rsid w:val="003E5B77"/>
    <w:rsid w:val="003E608B"/>
    <w:rsid w:val="003E65BD"/>
    <w:rsid w:val="003E737D"/>
    <w:rsid w:val="003E759A"/>
    <w:rsid w:val="003F300C"/>
    <w:rsid w:val="003F331D"/>
    <w:rsid w:val="003F34A9"/>
    <w:rsid w:val="003F3BE3"/>
    <w:rsid w:val="003F42F0"/>
    <w:rsid w:val="003F5364"/>
    <w:rsid w:val="003F7690"/>
    <w:rsid w:val="003F79D4"/>
    <w:rsid w:val="00401087"/>
    <w:rsid w:val="00401415"/>
    <w:rsid w:val="004077BE"/>
    <w:rsid w:val="00411FDF"/>
    <w:rsid w:val="00412842"/>
    <w:rsid w:val="00414C90"/>
    <w:rsid w:val="00416328"/>
    <w:rsid w:val="0041764A"/>
    <w:rsid w:val="00421455"/>
    <w:rsid w:val="00421A45"/>
    <w:rsid w:val="00421B5C"/>
    <w:rsid w:val="00421F01"/>
    <w:rsid w:val="00422020"/>
    <w:rsid w:val="0042413A"/>
    <w:rsid w:val="00424ABD"/>
    <w:rsid w:val="00427D2D"/>
    <w:rsid w:val="00427D41"/>
    <w:rsid w:val="00431581"/>
    <w:rsid w:val="0043258B"/>
    <w:rsid w:val="00433816"/>
    <w:rsid w:val="00434278"/>
    <w:rsid w:val="00434DFA"/>
    <w:rsid w:val="00436791"/>
    <w:rsid w:val="00440552"/>
    <w:rsid w:val="004420E9"/>
    <w:rsid w:val="00443318"/>
    <w:rsid w:val="00443550"/>
    <w:rsid w:val="004435F2"/>
    <w:rsid w:val="00444D67"/>
    <w:rsid w:val="00444DEA"/>
    <w:rsid w:val="00446B9F"/>
    <w:rsid w:val="00446F1D"/>
    <w:rsid w:val="00450F79"/>
    <w:rsid w:val="00451278"/>
    <w:rsid w:val="00453244"/>
    <w:rsid w:val="00453ED7"/>
    <w:rsid w:val="004545CB"/>
    <w:rsid w:val="004549C3"/>
    <w:rsid w:val="00454F64"/>
    <w:rsid w:val="0045518C"/>
    <w:rsid w:val="0045615C"/>
    <w:rsid w:val="004574E6"/>
    <w:rsid w:val="004615D0"/>
    <w:rsid w:val="00464A58"/>
    <w:rsid w:val="00465DFA"/>
    <w:rsid w:val="0046616D"/>
    <w:rsid w:val="00467FE6"/>
    <w:rsid w:val="00470391"/>
    <w:rsid w:val="0047066F"/>
    <w:rsid w:val="004710E7"/>
    <w:rsid w:val="00474B95"/>
    <w:rsid w:val="00474C9C"/>
    <w:rsid w:val="00476FE8"/>
    <w:rsid w:val="004770B5"/>
    <w:rsid w:val="00481497"/>
    <w:rsid w:val="00481601"/>
    <w:rsid w:val="0048247F"/>
    <w:rsid w:val="00482857"/>
    <w:rsid w:val="00482A2B"/>
    <w:rsid w:val="00483084"/>
    <w:rsid w:val="0048504E"/>
    <w:rsid w:val="004853F5"/>
    <w:rsid w:val="00485849"/>
    <w:rsid w:val="00486402"/>
    <w:rsid w:val="0048654D"/>
    <w:rsid w:val="00487457"/>
    <w:rsid w:val="004877D8"/>
    <w:rsid w:val="004901C7"/>
    <w:rsid w:val="004905BE"/>
    <w:rsid w:val="004930EF"/>
    <w:rsid w:val="00493C06"/>
    <w:rsid w:val="00494A57"/>
    <w:rsid w:val="004956C6"/>
    <w:rsid w:val="00497D64"/>
    <w:rsid w:val="004A0D13"/>
    <w:rsid w:val="004A1FAE"/>
    <w:rsid w:val="004A2795"/>
    <w:rsid w:val="004A2DB4"/>
    <w:rsid w:val="004A3D29"/>
    <w:rsid w:val="004A4087"/>
    <w:rsid w:val="004A59A5"/>
    <w:rsid w:val="004A6E73"/>
    <w:rsid w:val="004A7835"/>
    <w:rsid w:val="004B18B3"/>
    <w:rsid w:val="004B29BA"/>
    <w:rsid w:val="004B2C01"/>
    <w:rsid w:val="004B2D70"/>
    <w:rsid w:val="004B3091"/>
    <w:rsid w:val="004B3606"/>
    <w:rsid w:val="004B3CE1"/>
    <w:rsid w:val="004B618E"/>
    <w:rsid w:val="004B6B56"/>
    <w:rsid w:val="004C08A8"/>
    <w:rsid w:val="004C0F79"/>
    <w:rsid w:val="004C509E"/>
    <w:rsid w:val="004C561F"/>
    <w:rsid w:val="004C6F5A"/>
    <w:rsid w:val="004C6F8D"/>
    <w:rsid w:val="004D0975"/>
    <w:rsid w:val="004D1415"/>
    <w:rsid w:val="004D2EC6"/>
    <w:rsid w:val="004D4566"/>
    <w:rsid w:val="004D4AFC"/>
    <w:rsid w:val="004D576D"/>
    <w:rsid w:val="004D57F0"/>
    <w:rsid w:val="004D6D0C"/>
    <w:rsid w:val="004D788F"/>
    <w:rsid w:val="004E23AA"/>
    <w:rsid w:val="004E2CA8"/>
    <w:rsid w:val="004E507B"/>
    <w:rsid w:val="004E571A"/>
    <w:rsid w:val="004E5C69"/>
    <w:rsid w:val="004E7C8A"/>
    <w:rsid w:val="004F0023"/>
    <w:rsid w:val="004F099D"/>
    <w:rsid w:val="004F164F"/>
    <w:rsid w:val="004F32D2"/>
    <w:rsid w:val="004F35B9"/>
    <w:rsid w:val="004F44E6"/>
    <w:rsid w:val="004F4DDE"/>
    <w:rsid w:val="004F5758"/>
    <w:rsid w:val="004F711F"/>
    <w:rsid w:val="004F79B0"/>
    <w:rsid w:val="004F7E85"/>
    <w:rsid w:val="00501329"/>
    <w:rsid w:val="0050171E"/>
    <w:rsid w:val="00503801"/>
    <w:rsid w:val="00504A15"/>
    <w:rsid w:val="00512963"/>
    <w:rsid w:val="005137BB"/>
    <w:rsid w:val="00513DCA"/>
    <w:rsid w:val="00515F17"/>
    <w:rsid w:val="005175CB"/>
    <w:rsid w:val="00517A4A"/>
    <w:rsid w:val="00520816"/>
    <w:rsid w:val="00520B5E"/>
    <w:rsid w:val="00521659"/>
    <w:rsid w:val="00521663"/>
    <w:rsid w:val="00521E3C"/>
    <w:rsid w:val="00522DC0"/>
    <w:rsid w:val="00522F46"/>
    <w:rsid w:val="00525B79"/>
    <w:rsid w:val="005279FB"/>
    <w:rsid w:val="00530701"/>
    <w:rsid w:val="00531B72"/>
    <w:rsid w:val="0053271B"/>
    <w:rsid w:val="005335A8"/>
    <w:rsid w:val="00533862"/>
    <w:rsid w:val="00534415"/>
    <w:rsid w:val="005369A6"/>
    <w:rsid w:val="0053731A"/>
    <w:rsid w:val="0054084E"/>
    <w:rsid w:val="00540C43"/>
    <w:rsid w:val="0054145B"/>
    <w:rsid w:val="00544443"/>
    <w:rsid w:val="005473D6"/>
    <w:rsid w:val="005473D8"/>
    <w:rsid w:val="00547434"/>
    <w:rsid w:val="005475E3"/>
    <w:rsid w:val="00550F20"/>
    <w:rsid w:val="0055650B"/>
    <w:rsid w:val="005565FA"/>
    <w:rsid w:val="00561102"/>
    <w:rsid w:val="005617BD"/>
    <w:rsid w:val="0056337C"/>
    <w:rsid w:val="005634F4"/>
    <w:rsid w:val="00563701"/>
    <w:rsid w:val="00564B38"/>
    <w:rsid w:val="00565282"/>
    <w:rsid w:val="00565671"/>
    <w:rsid w:val="0057152A"/>
    <w:rsid w:val="0057227A"/>
    <w:rsid w:val="0057235A"/>
    <w:rsid w:val="0057317B"/>
    <w:rsid w:val="00573FF7"/>
    <w:rsid w:val="005740BB"/>
    <w:rsid w:val="00575566"/>
    <w:rsid w:val="00576ED2"/>
    <w:rsid w:val="00577452"/>
    <w:rsid w:val="005779E5"/>
    <w:rsid w:val="00580D2F"/>
    <w:rsid w:val="00582AC1"/>
    <w:rsid w:val="00583090"/>
    <w:rsid w:val="0058401A"/>
    <w:rsid w:val="00584AC9"/>
    <w:rsid w:val="00585906"/>
    <w:rsid w:val="0058597E"/>
    <w:rsid w:val="00585F5F"/>
    <w:rsid w:val="00586C41"/>
    <w:rsid w:val="00590ECF"/>
    <w:rsid w:val="005912CE"/>
    <w:rsid w:val="0059153B"/>
    <w:rsid w:val="0059196C"/>
    <w:rsid w:val="00593795"/>
    <w:rsid w:val="00593E10"/>
    <w:rsid w:val="00594947"/>
    <w:rsid w:val="00595314"/>
    <w:rsid w:val="00596A2F"/>
    <w:rsid w:val="005A18A2"/>
    <w:rsid w:val="005A2B03"/>
    <w:rsid w:val="005A2B57"/>
    <w:rsid w:val="005A33F4"/>
    <w:rsid w:val="005A364E"/>
    <w:rsid w:val="005A4DBB"/>
    <w:rsid w:val="005A518B"/>
    <w:rsid w:val="005A5E18"/>
    <w:rsid w:val="005B0535"/>
    <w:rsid w:val="005B29F8"/>
    <w:rsid w:val="005B6CB7"/>
    <w:rsid w:val="005B6E4C"/>
    <w:rsid w:val="005C0E7E"/>
    <w:rsid w:val="005C2D10"/>
    <w:rsid w:val="005C3350"/>
    <w:rsid w:val="005C36AB"/>
    <w:rsid w:val="005C3F73"/>
    <w:rsid w:val="005C49AF"/>
    <w:rsid w:val="005C6933"/>
    <w:rsid w:val="005C6E92"/>
    <w:rsid w:val="005C71A3"/>
    <w:rsid w:val="005C7891"/>
    <w:rsid w:val="005C7F62"/>
    <w:rsid w:val="005D13F7"/>
    <w:rsid w:val="005D1F8D"/>
    <w:rsid w:val="005D226F"/>
    <w:rsid w:val="005D37A7"/>
    <w:rsid w:val="005D4C95"/>
    <w:rsid w:val="005D7CBF"/>
    <w:rsid w:val="005E1F46"/>
    <w:rsid w:val="005E3D84"/>
    <w:rsid w:val="005E4952"/>
    <w:rsid w:val="005E589F"/>
    <w:rsid w:val="005E59B6"/>
    <w:rsid w:val="005E5B22"/>
    <w:rsid w:val="005E692A"/>
    <w:rsid w:val="005E6BE0"/>
    <w:rsid w:val="005E7DB5"/>
    <w:rsid w:val="005F0B76"/>
    <w:rsid w:val="005F0D7A"/>
    <w:rsid w:val="005F12AD"/>
    <w:rsid w:val="005F20E7"/>
    <w:rsid w:val="005F4E1D"/>
    <w:rsid w:val="005F69A4"/>
    <w:rsid w:val="005F69B3"/>
    <w:rsid w:val="005F7268"/>
    <w:rsid w:val="006029F9"/>
    <w:rsid w:val="00604B1D"/>
    <w:rsid w:val="006054EE"/>
    <w:rsid w:val="0060551F"/>
    <w:rsid w:val="006070C6"/>
    <w:rsid w:val="00607C04"/>
    <w:rsid w:val="006107B4"/>
    <w:rsid w:val="006108A3"/>
    <w:rsid w:val="00611444"/>
    <w:rsid w:val="00613979"/>
    <w:rsid w:val="00615417"/>
    <w:rsid w:val="006165D2"/>
    <w:rsid w:val="006169C8"/>
    <w:rsid w:val="00617369"/>
    <w:rsid w:val="00622B72"/>
    <w:rsid w:val="00625871"/>
    <w:rsid w:val="00625A0F"/>
    <w:rsid w:val="00626EC2"/>
    <w:rsid w:val="00627786"/>
    <w:rsid w:val="00627D33"/>
    <w:rsid w:val="00627DE2"/>
    <w:rsid w:val="00633FCB"/>
    <w:rsid w:val="0063431A"/>
    <w:rsid w:val="00634531"/>
    <w:rsid w:val="006368B3"/>
    <w:rsid w:val="006402CD"/>
    <w:rsid w:val="00640E24"/>
    <w:rsid w:val="006410A8"/>
    <w:rsid w:val="006414BA"/>
    <w:rsid w:val="00641679"/>
    <w:rsid w:val="00641CDA"/>
    <w:rsid w:val="006420C7"/>
    <w:rsid w:val="00642522"/>
    <w:rsid w:val="00644CBB"/>
    <w:rsid w:val="0065176A"/>
    <w:rsid w:val="00653532"/>
    <w:rsid w:val="00655825"/>
    <w:rsid w:val="006559AF"/>
    <w:rsid w:val="00664600"/>
    <w:rsid w:val="00665931"/>
    <w:rsid w:val="00666C75"/>
    <w:rsid w:val="00667650"/>
    <w:rsid w:val="0067070A"/>
    <w:rsid w:val="0067095D"/>
    <w:rsid w:val="00671B25"/>
    <w:rsid w:val="0067256D"/>
    <w:rsid w:val="006754F6"/>
    <w:rsid w:val="006761B5"/>
    <w:rsid w:val="00676722"/>
    <w:rsid w:val="006769D9"/>
    <w:rsid w:val="00677E7E"/>
    <w:rsid w:val="00681B63"/>
    <w:rsid w:val="00682A53"/>
    <w:rsid w:val="006843E7"/>
    <w:rsid w:val="00684E5B"/>
    <w:rsid w:val="00685872"/>
    <w:rsid w:val="00686FD4"/>
    <w:rsid w:val="00687E69"/>
    <w:rsid w:val="00691DAD"/>
    <w:rsid w:val="00692CB8"/>
    <w:rsid w:val="00694CFB"/>
    <w:rsid w:val="0069567E"/>
    <w:rsid w:val="00695B8B"/>
    <w:rsid w:val="006969C5"/>
    <w:rsid w:val="006A1136"/>
    <w:rsid w:val="006A1297"/>
    <w:rsid w:val="006A1C41"/>
    <w:rsid w:val="006A3875"/>
    <w:rsid w:val="006A4323"/>
    <w:rsid w:val="006A52E3"/>
    <w:rsid w:val="006A5BD9"/>
    <w:rsid w:val="006A5C76"/>
    <w:rsid w:val="006A61D2"/>
    <w:rsid w:val="006A6419"/>
    <w:rsid w:val="006A6470"/>
    <w:rsid w:val="006A6D0C"/>
    <w:rsid w:val="006B03F9"/>
    <w:rsid w:val="006B1DAB"/>
    <w:rsid w:val="006B2702"/>
    <w:rsid w:val="006B2CC9"/>
    <w:rsid w:val="006B434E"/>
    <w:rsid w:val="006B4D75"/>
    <w:rsid w:val="006B521C"/>
    <w:rsid w:val="006B7846"/>
    <w:rsid w:val="006C02E5"/>
    <w:rsid w:val="006C132E"/>
    <w:rsid w:val="006D142B"/>
    <w:rsid w:val="006D23EA"/>
    <w:rsid w:val="006D3071"/>
    <w:rsid w:val="006D3586"/>
    <w:rsid w:val="006D3AE4"/>
    <w:rsid w:val="006D3D99"/>
    <w:rsid w:val="006D4DB2"/>
    <w:rsid w:val="006D51B1"/>
    <w:rsid w:val="006D5646"/>
    <w:rsid w:val="006D5DC6"/>
    <w:rsid w:val="006E08BB"/>
    <w:rsid w:val="006E14DE"/>
    <w:rsid w:val="006E2AAA"/>
    <w:rsid w:val="006F05CD"/>
    <w:rsid w:val="006F1851"/>
    <w:rsid w:val="006F36A8"/>
    <w:rsid w:val="006F76E8"/>
    <w:rsid w:val="006F7810"/>
    <w:rsid w:val="007008FF"/>
    <w:rsid w:val="00700D07"/>
    <w:rsid w:val="0070147C"/>
    <w:rsid w:val="00705403"/>
    <w:rsid w:val="007057C3"/>
    <w:rsid w:val="00705D92"/>
    <w:rsid w:val="007112FB"/>
    <w:rsid w:val="007117D5"/>
    <w:rsid w:val="00711A8E"/>
    <w:rsid w:val="00713842"/>
    <w:rsid w:val="007143B5"/>
    <w:rsid w:val="0071738B"/>
    <w:rsid w:val="00717595"/>
    <w:rsid w:val="00720480"/>
    <w:rsid w:val="007221AE"/>
    <w:rsid w:val="0072354D"/>
    <w:rsid w:val="007253D3"/>
    <w:rsid w:val="00726C5A"/>
    <w:rsid w:val="00727CAD"/>
    <w:rsid w:val="00730683"/>
    <w:rsid w:val="0073193C"/>
    <w:rsid w:val="00733376"/>
    <w:rsid w:val="00733569"/>
    <w:rsid w:val="00736024"/>
    <w:rsid w:val="00737643"/>
    <w:rsid w:val="007378FC"/>
    <w:rsid w:val="00737E31"/>
    <w:rsid w:val="0074036B"/>
    <w:rsid w:val="00740BB5"/>
    <w:rsid w:val="00740DE6"/>
    <w:rsid w:val="007442FD"/>
    <w:rsid w:val="00744692"/>
    <w:rsid w:val="00745BB5"/>
    <w:rsid w:val="00747947"/>
    <w:rsid w:val="007518E2"/>
    <w:rsid w:val="00752A5E"/>
    <w:rsid w:val="0075515D"/>
    <w:rsid w:val="007553D7"/>
    <w:rsid w:val="007605F8"/>
    <w:rsid w:val="0076247A"/>
    <w:rsid w:val="00763B80"/>
    <w:rsid w:val="007652B3"/>
    <w:rsid w:val="007709A7"/>
    <w:rsid w:val="00770A6D"/>
    <w:rsid w:val="007725F7"/>
    <w:rsid w:val="00772B62"/>
    <w:rsid w:val="007738DB"/>
    <w:rsid w:val="00774E34"/>
    <w:rsid w:val="00776029"/>
    <w:rsid w:val="00777A69"/>
    <w:rsid w:val="00777AA3"/>
    <w:rsid w:val="007804CD"/>
    <w:rsid w:val="00780CB4"/>
    <w:rsid w:val="007814E7"/>
    <w:rsid w:val="00781EFE"/>
    <w:rsid w:val="00782598"/>
    <w:rsid w:val="00783B40"/>
    <w:rsid w:val="00784227"/>
    <w:rsid w:val="00786246"/>
    <w:rsid w:val="007875C3"/>
    <w:rsid w:val="0079279D"/>
    <w:rsid w:val="00796C95"/>
    <w:rsid w:val="00796ED5"/>
    <w:rsid w:val="00797B19"/>
    <w:rsid w:val="007A0736"/>
    <w:rsid w:val="007A34E7"/>
    <w:rsid w:val="007A4A3D"/>
    <w:rsid w:val="007A4FA5"/>
    <w:rsid w:val="007A6280"/>
    <w:rsid w:val="007A6ECF"/>
    <w:rsid w:val="007B0BEE"/>
    <w:rsid w:val="007B0E58"/>
    <w:rsid w:val="007B2E16"/>
    <w:rsid w:val="007B4267"/>
    <w:rsid w:val="007B42AA"/>
    <w:rsid w:val="007B6CEC"/>
    <w:rsid w:val="007C1B76"/>
    <w:rsid w:val="007C37E9"/>
    <w:rsid w:val="007C4A86"/>
    <w:rsid w:val="007D0786"/>
    <w:rsid w:val="007D2279"/>
    <w:rsid w:val="007D2B54"/>
    <w:rsid w:val="007D427D"/>
    <w:rsid w:val="007D5142"/>
    <w:rsid w:val="007D6DF0"/>
    <w:rsid w:val="007D70C7"/>
    <w:rsid w:val="007D75E7"/>
    <w:rsid w:val="007E157E"/>
    <w:rsid w:val="007E3044"/>
    <w:rsid w:val="007E3832"/>
    <w:rsid w:val="007E4D1B"/>
    <w:rsid w:val="007E6632"/>
    <w:rsid w:val="007E756B"/>
    <w:rsid w:val="007F1E2C"/>
    <w:rsid w:val="007F4846"/>
    <w:rsid w:val="007F68FE"/>
    <w:rsid w:val="007F6AE9"/>
    <w:rsid w:val="007F7696"/>
    <w:rsid w:val="007F773F"/>
    <w:rsid w:val="007F7876"/>
    <w:rsid w:val="0080097F"/>
    <w:rsid w:val="00800D38"/>
    <w:rsid w:val="008010CC"/>
    <w:rsid w:val="00801817"/>
    <w:rsid w:val="00801F12"/>
    <w:rsid w:val="00802A3C"/>
    <w:rsid w:val="0080384D"/>
    <w:rsid w:val="008064E9"/>
    <w:rsid w:val="00806F72"/>
    <w:rsid w:val="0081122A"/>
    <w:rsid w:val="0081161D"/>
    <w:rsid w:val="0081191F"/>
    <w:rsid w:val="008119E3"/>
    <w:rsid w:val="00812D6E"/>
    <w:rsid w:val="00815508"/>
    <w:rsid w:val="00815737"/>
    <w:rsid w:val="0081599B"/>
    <w:rsid w:val="00815BA6"/>
    <w:rsid w:val="00815CF3"/>
    <w:rsid w:val="00821264"/>
    <w:rsid w:val="00822465"/>
    <w:rsid w:val="00822826"/>
    <w:rsid w:val="00822FD0"/>
    <w:rsid w:val="008248B5"/>
    <w:rsid w:val="00824D28"/>
    <w:rsid w:val="00824D9B"/>
    <w:rsid w:val="00825E8A"/>
    <w:rsid w:val="008263E0"/>
    <w:rsid w:val="00827B51"/>
    <w:rsid w:val="00827E90"/>
    <w:rsid w:val="008327AF"/>
    <w:rsid w:val="00833C35"/>
    <w:rsid w:val="008342FD"/>
    <w:rsid w:val="00834B78"/>
    <w:rsid w:val="00834DBB"/>
    <w:rsid w:val="00835A02"/>
    <w:rsid w:val="0083622D"/>
    <w:rsid w:val="008362C5"/>
    <w:rsid w:val="00836C0E"/>
    <w:rsid w:val="00837F9D"/>
    <w:rsid w:val="0084033B"/>
    <w:rsid w:val="008408D7"/>
    <w:rsid w:val="00840A12"/>
    <w:rsid w:val="00841D8C"/>
    <w:rsid w:val="008428A5"/>
    <w:rsid w:val="00842FFB"/>
    <w:rsid w:val="00845764"/>
    <w:rsid w:val="00846A85"/>
    <w:rsid w:val="00847E78"/>
    <w:rsid w:val="008523AF"/>
    <w:rsid w:val="00852674"/>
    <w:rsid w:val="00853C4B"/>
    <w:rsid w:val="008542AF"/>
    <w:rsid w:val="00856ED7"/>
    <w:rsid w:val="008574A0"/>
    <w:rsid w:val="00857714"/>
    <w:rsid w:val="00857B4C"/>
    <w:rsid w:val="00860532"/>
    <w:rsid w:val="0086144F"/>
    <w:rsid w:val="00862030"/>
    <w:rsid w:val="00863212"/>
    <w:rsid w:val="008634E7"/>
    <w:rsid w:val="0086399D"/>
    <w:rsid w:val="00864172"/>
    <w:rsid w:val="00864E5B"/>
    <w:rsid w:val="00872252"/>
    <w:rsid w:val="008725D1"/>
    <w:rsid w:val="00873D32"/>
    <w:rsid w:val="008740B4"/>
    <w:rsid w:val="00875DF9"/>
    <w:rsid w:val="00876C9C"/>
    <w:rsid w:val="0087711B"/>
    <w:rsid w:val="0088018F"/>
    <w:rsid w:val="00880447"/>
    <w:rsid w:val="00886A27"/>
    <w:rsid w:val="008870F5"/>
    <w:rsid w:val="00892858"/>
    <w:rsid w:val="00892BA7"/>
    <w:rsid w:val="00893887"/>
    <w:rsid w:val="00893C69"/>
    <w:rsid w:val="008946F1"/>
    <w:rsid w:val="00895E50"/>
    <w:rsid w:val="0089665D"/>
    <w:rsid w:val="0089745C"/>
    <w:rsid w:val="008A072C"/>
    <w:rsid w:val="008A0960"/>
    <w:rsid w:val="008A0A4B"/>
    <w:rsid w:val="008A1620"/>
    <w:rsid w:val="008A2ECB"/>
    <w:rsid w:val="008A3A01"/>
    <w:rsid w:val="008A3A94"/>
    <w:rsid w:val="008A4548"/>
    <w:rsid w:val="008A5156"/>
    <w:rsid w:val="008A52A3"/>
    <w:rsid w:val="008A5E6A"/>
    <w:rsid w:val="008A6194"/>
    <w:rsid w:val="008B0439"/>
    <w:rsid w:val="008B1605"/>
    <w:rsid w:val="008B353B"/>
    <w:rsid w:val="008B3AB5"/>
    <w:rsid w:val="008B770A"/>
    <w:rsid w:val="008C08DA"/>
    <w:rsid w:val="008C2053"/>
    <w:rsid w:val="008C26B6"/>
    <w:rsid w:val="008C2838"/>
    <w:rsid w:val="008C3A89"/>
    <w:rsid w:val="008C518B"/>
    <w:rsid w:val="008C51F3"/>
    <w:rsid w:val="008D0DC5"/>
    <w:rsid w:val="008D261A"/>
    <w:rsid w:val="008D3C7D"/>
    <w:rsid w:val="008D4394"/>
    <w:rsid w:val="008D5749"/>
    <w:rsid w:val="008D6177"/>
    <w:rsid w:val="008D61F6"/>
    <w:rsid w:val="008D6AD2"/>
    <w:rsid w:val="008E0874"/>
    <w:rsid w:val="008E0B37"/>
    <w:rsid w:val="008E2AA2"/>
    <w:rsid w:val="008E4EFE"/>
    <w:rsid w:val="008E5B9C"/>
    <w:rsid w:val="008E5EA5"/>
    <w:rsid w:val="008E6ECB"/>
    <w:rsid w:val="008E77A1"/>
    <w:rsid w:val="008E7BAD"/>
    <w:rsid w:val="008E7EDE"/>
    <w:rsid w:val="008F04EA"/>
    <w:rsid w:val="008F0EDB"/>
    <w:rsid w:val="008F0F99"/>
    <w:rsid w:val="008F25EA"/>
    <w:rsid w:val="008F318B"/>
    <w:rsid w:val="008F35FF"/>
    <w:rsid w:val="008F4B39"/>
    <w:rsid w:val="008F6AF9"/>
    <w:rsid w:val="008F7027"/>
    <w:rsid w:val="008F72B5"/>
    <w:rsid w:val="008F7788"/>
    <w:rsid w:val="009003C2"/>
    <w:rsid w:val="009003E5"/>
    <w:rsid w:val="00900EF3"/>
    <w:rsid w:val="009010A1"/>
    <w:rsid w:val="009011B0"/>
    <w:rsid w:val="00903841"/>
    <w:rsid w:val="0090474F"/>
    <w:rsid w:val="009056EE"/>
    <w:rsid w:val="009061FD"/>
    <w:rsid w:val="00906AF9"/>
    <w:rsid w:val="00906C93"/>
    <w:rsid w:val="00906D67"/>
    <w:rsid w:val="0091082E"/>
    <w:rsid w:val="00910CD1"/>
    <w:rsid w:val="009120A0"/>
    <w:rsid w:val="009130C8"/>
    <w:rsid w:val="0091379D"/>
    <w:rsid w:val="009147B4"/>
    <w:rsid w:val="00920AAC"/>
    <w:rsid w:val="00921C4F"/>
    <w:rsid w:val="009226A9"/>
    <w:rsid w:val="009227DC"/>
    <w:rsid w:val="00922FA2"/>
    <w:rsid w:val="00923094"/>
    <w:rsid w:val="0092543C"/>
    <w:rsid w:val="0092548D"/>
    <w:rsid w:val="009266D6"/>
    <w:rsid w:val="00927291"/>
    <w:rsid w:val="009300F6"/>
    <w:rsid w:val="00930609"/>
    <w:rsid w:val="00934C18"/>
    <w:rsid w:val="0093516D"/>
    <w:rsid w:val="00936ED2"/>
    <w:rsid w:val="00937335"/>
    <w:rsid w:val="00940FD2"/>
    <w:rsid w:val="00943699"/>
    <w:rsid w:val="00945117"/>
    <w:rsid w:val="009459C8"/>
    <w:rsid w:val="009476ED"/>
    <w:rsid w:val="00947DB8"/>
    <w:rsid w:val="00950260"/>
    <w:rsid w:val="00952142"/>
    <w:rsid w:val="00952158"/>
    <w:rsid w:val="00952174"/>
    <w:rsid w:val="00953029"/>
    <w:rsid w:val="009543B2"/>
    <w:rsid w:val="00954B70"/>
    <w:rsid w:val="00956115"/>
    <w:rsid w:val="00957BD1"/>
    <w:rsid w:val="0096060A"/>
    <w:rsid w:val="00961321"/>
    <w:rsid w:val="00961F08"/>
    <w:rsid w:val="0096266F"/>
    <w:rsid w:val="009636AB"/>
    <w:rsid w:val="009650CA"/>
    <w:rsid w:val="009654F0"/>
    <w:rsid w:val="009658EF"/>
    <w:rsid w:val="00965E32"/>
    <w:rsid w:val="00965F84"/>
    <w:rsid w:val="00966209"/>
    <w:rsid w:val="00966BA2"/>
    <w:rsid w:val="00970592"/>
    <w:rsid w:val="00970CF3"/>
    <w:rsid w:val="00971AAD"/>
    <w:rsid w:val="0097453E"/>
    <w:rsid w:val="009759A7"/>
    <w:rsid w:val="00976023"/>
    <w:rsid w:val="009767CB"/>
    <w:rsid w:val="00981F8D"/>
    <w:rsid w:val="00982149"/>
    <w:rsid w:val="00982636"/>
    <w:rsid w:val="009826E2"/>
    <w:rsid w:val="00982E70"/>
    <w:rsid w:val="009857C0"/>
    <w:rsid w:val="00985E95"/>
    <w:rsid w:val="009860DC"/>
    <w:rsid w:val="0098692D"/>
    <w:rsid w:val="00991709"/>
    <w:rsid w:val="00994BE7"/>
    <w:rsid w:val="00995026"/>
    <w:rsid w:val="0099690E"/>
    <w:rsid w:val="009A2CA5"/>
    <w:rsid w:val="009A6898"/>
    <w:rsid w:val="009A717F"/>
    <w:rsid w:val="009B0A6D"/>
    <w:rsid w:val="009B22B3"/>
    <w:rsid w:val="009B40FD"/>
    <w:rsid w:val="009B674B"/>
    <w:rsid w:val="009B681D"/>
    <w:rsid w:val="009B6FC9"/>
    <w:rsid w:val="009B7A77"/>
    <w:rsid w:val="009B7F34"/>
    <w:rsid w:val="009C012F"/>
    <w:rsid w:val="009C1021"/>
    <w:rsid w:val="009C1AD8"/>
    <w:rsid w:val="009C2537"/>
    <w:rsid w:val="009C26AE"/>
    <w:rsid w:val="009C51E8"/>
    <w:rsid w:val="009C6BF9"/>
    <w:rsid w:val="009C7A66"/>
    <w:rsid w:val="009D03A7"/>
    <w:rsid w:val="009D0C32"/>
    <w:rsid w:val="009D1526"/>
    <w:rsid w:val="009D1E74"/>
    <w:rsid w:val="009D2CF9"/>
    <w:rsid w:val="009D2D09"/>
    <w:rsid w:val="009D4827"/>
    <w:rsid w:val="009D4971"/>
    <w:rsid w:val="009D7207"/>
    <w:rsid w:val="009E1B15"/>
    <w:rsid w:val="009E1CE7"/>
    <w:rsid w:val="009E3981"/>
    <w:rsid w:val="009E5130"/>
    <w:rsid w:val="009E56E2"/>
    <w:rsid w:val="009E732E"/>
    <w:rsid w:val="009E7C40"/>
    <w:rsid w:val="009F08EF"/>
    <w:rsid w:val="009F10F4"/>
    <w:rsid w:val="009F3ABF"/>
    <w:rsid w:val="009F3F63"/>
    <w:rsid w:val="009F4449"/>
    <w:rsid w:val="009F48F2"/>
    <w:rsid w:val="009F4FE2"/>
    <w:rsid w:val="009F52EA"/>
    <w:rsid w:val="009F5B75"/>
    <w:rsid w:val="009F6885"/>
    <w:rsid w:val="009F749C"/>
    <w:rsid w:val="00A017CA"/>
    <w:rsid w:val="00A02B7C"/>
    <w:rsid w:val="00A03656"/>
    <w:rsid w:val="00A106BC"/>
    <w:rsid w:val="00A111EA"/>
    <w:rsid w:val="00A130EB"/>
    <w:rsid w:val="00A13BB0"/>
    <w:rsid w:val="00A15512"/>
    <w:rsid w:val="00A20C82"/>
    <w:rsid w:val="00A2187C"/>
    <w:rsid w:val="00A241DA"/>
    <w:rsid w:val="00A2505F"/>
    <w:rsid w:val="00A25A7E"/>
    <w:rsid w:val="00A25A91"/>
    <w:rsid w:val="00A26437"/>
    <w:rsid w:val="00A264AD"/>
    <w:rsid w:val="00A265A0"/>
    <w:rsid w:val="00A274CD"/>
    <w:rsid w:val="00A3025B"/>
    <w:rsid w:val="00A30E7A"/>
    <w:rsid w:val="00A31201"/>
    <w:rsid w:val="00A32681"/>
    <w:rsid w:val="00A33594"/>
    <w:rsid w:val="00A33AEE"/>
    <w:rsid w:val="00A34C93"/>
    <w:rsid w:val="00A35670"/>
    <w:rsid w:val="00A37FD9"/>
    <w:rsid w:val="00A402BE"/>
    <w:rsid w:val="00A40925"/>
    <w:rsid w:val="00A43193"/>
    <w:rsid w:val="00A446B4"/>
    <w:rsid w:val="00A44B9A"/>
    <w:rsid w:val="00A464E2"/>
    <w:rsid w:val="00A47DFF"/>
    <w:rsid w:val="00A50AE6"/>
    <w:rsid w:val="00A55E51"/>
    <w:rsid w:val="00A56397"/>
    <w:rsid w:val="00A570AD"/>
    <w:rsid w:val="00A579B1"/>
    <w:rsid w:val="00A60902"/>
    <w:rsid w:val="00A61339"/>
    <w:rsid w:val="00A63634"/>
    <w:rsid w:val="00A63DEB"/>
    <w:rsid w:val="00A65414"/>
    <w:rsid w:val="00A660FD"/>
    <w:rsid w:val="00A66233"/>
    <w:rsid w:val="00A67E16"/>
    <w:rsid w:val="00A710A4"/>
    <w:rsid w:val="00A71C2D"/>
    <w:rsid w:val="00A72691"/>
    <w:rsid w:val="00A72A28"/>
    <w:rsid w:val="00A74BF9"/>
    <w:rsid w:val="00A74E15"/>
    <w:rsid w:val="00A763DD"/>
    <w:rsid w:val="00A76CC4"/>
    <w:rsid w:val="00A80696"/>
    <w:rsid w:val="00A86E46"/>
    <w:rsid w:val="00A87602"/>
    <w:rsid w:val="00A91EE0"/>
    <w:rsid w:val="00A93DC3"/>
    <w:rsid w:val="00A93DC9"/>
    <w:rsid w:val="00A945C2"/>
    <w:rsid w:val="00A94BCE"/>
    <w:rsid w:val="00A95BC8"/>
    <w:rsid w:val="00A95FAD"/>
    <w:rsid w:val="00A9771D"/>
    <w:rsid w:val="00A97B45"/>
    <w:rsid w:val="00AA0383"/>
    <w:rsid w:val="00AA06B3"/>
    <w:rsid w:val="00AA0B08"/>
    <w:rsid w:val="00AA0C12"/>
    <w:rsid w:val="00AA13EA"/>
    <w:rsid w:val="00AA3502"/>
    <w:rsid w:val="00AA46FD"/>
    <w:rsid w:val="00AA55BB"/>
    <w:rsid w:val="00AA5F41"/>
    <w:rsid w:val="00AA696B"/>
    <w:rsid w:val="00AA739F"/>
    <w:rsid w:val="00AB211A"/>
    <w:rsid w:val="00AB2454"/>
    <w:rsid w:val="00AB27C6"/>
    <w:rsid w:val="00AB2EE5"/>
    <w:rsid w:val="00AB38BB"/>
    <w:rsid w:val="00AB3C0C"/>
    <w:rsid w:val="00AB42FE"/>
    <w:rsid w:val="00AB6547"/>
    <w:rsid w:val="00AB782D"/>
    <w:rsid w:val="00AB79AC"/>
    <w:rsid w:val="00AC1585"/>
    <w:rsid w:val="00AC3781"/>
    <w:rsid w:val="00AC43A0"/>
    <w:rsid w:val="00AC4741"/>
    <w:rsid w:val="00AC4D96"/>
    <w:rsid w:val="00AC50CC"/>
    <w:rsid w:val="00AC69E7"/>
    <w:rsid w:val="00AC6C48"/>
    <w:rsid w:val="00AC6D84"/>
    <w:rsid w:val="00AC7AD7"/>
    <w:rsid w:val="00AC7C71"/>
    <w:rsid w:val="00AD09D7"/>
    <w:rsid w:val="00AD0BFC"/>
    <w:rsid w:val="00AD0D15"/>
    <w:rsid w:val="00AD1DAB"/>
    <w:rsid w:val="00AD21EF"/>
    <w:rsid w:val="00AD3326"/>
    <w:rsid w:val="00AD345D"/>
    <w:rsid w:val="00AD36C1"/>
    <w:rsid w:val="00AD44FB"/>
    <w:rsid w:val="00AD5A98"/>
    <w:rsid w:val="00AD646A"/>
    <w:rsid w:val="00AD724A"/>
    <w:rsid w:val="00AD767D"/>
    <w:rsid w:val="00AD7FE9"/>
    <w:rsid w:val="00AE389E"/>
    <w:rsid w:val="00AE4980"/>
    <w:rsid w:val="00AE4B0B"/>
    <w:rsid w:val="00AE6BD0"/>
    <w:rsid w:val="00AE6F29"/>
    <w:rsid w:val="00AF002C"/>
    <w:rsid w:val="00AF0129"/>
    <w:rsid w:val="00AF01B0"/>
    <w:rsid w:val="00AF0900"/>
    <w:rsid w:val="00AF125A"/>
    <w:rsid w:val="00AF13FC"/>
    <w:rsid w:val="00AF18D5"/>
    <w:rsid w:val="00AF227A"/>
    <w:rsid w:val="00AF2311"/>
    <w:rsid w:val="00AF3288"/>
    <w:rsid w:val="00AF4E2D"/>
    <w:rsid w:val="00AF5842"/>
    <w:rsid w:val="00AF67E8"/>
    <w:rsid w:val="00B039F5"/>
    <w:rsid w:val="00B03A4A"/>
    <w:rsid w:val="00B047A4"/>
    <w:rsid w:val="00B050F2"/>
    <w:rsid w:val="00B10D10"/>
    <w:rsid w:val="00B10E1F"/>
    <w:rsid w:val="00B12EC4"/>
    <w:rsid w:val="00B145AB"/>
    <w:rsid w:val="00B14E50"/>
    <w:rsid w:val="00B169D9"/>
    <w:rsid w:val="00B17B36"/>
    <w:rsid w:val="00B21475"/>
    <w:rsid w:val="00B246E8"/>
    <w:rsid w:val="00B26AD5"/>
    <w:rsid w:val="00B26EB0"/>
    <w:rsid w:val="00B2737C"/>
    <w:rsid w:val="00B27787"/>
    <w:rsid w:val="00B27F81"/>
    <w:rsid w:val="00B30F5E"/>
    <w:rsid w:val="00B32954"/>
    <w:rsid w:val="00B33097"/>
    <w:rsid w:val="00B36222"/>
    <w:rsid w:val="00B3641F"/>
    <w:rsid w:val="00B36F7D"/>
    <w:rsid w:val="00B375FB"/>
    <w:rsid w:val="00B37C71"/>
    <w:rsid w:val="00B44F78"/>
    <w:rsid w:val="00B45C90"/>
    <w:rsid w:val="00B46F2F"/>
    <w:rsid w:val="00B5120E"/>
    <w:rsid w:val="00B514F7"/>
    <w:rsid w:val="00B51512"/>
    <w:rsid w:val="00B51990"/>
    <w:rsid w:val="00B538AD"/>
    <w:rsid w:val="00B54DBB"/>
    <w:rsid w:val="00B560D9"/>
    <w:rsid w:val="00B56725"/>
    <w:rsid w:val="00B60AA4"/>
    <w:rsid w:val="00B617BC"/>
    <w:rsid w:val="00B61BE3"/>
    <w:rsid w:val="00B62380"/>
    <w:rsid w:val="00B631D0"/>
    <w:rsid w:val="00B6370E"/>
    <w:rsid w:val="00B640F0"/>
    <w:rsid w:val="00B6485B"/>
    <w:rsid w:val="00B6503B"/>
    <w:rsid w:val="00B653E6"/>
    <w:rsid w:val="00B65C80"/>
    <w:rsid w:val="00B65E17"/>
    <w:rsid w:val="00B664C4"/>
    <w:rsid w:val="00B668B1"/>
    <w:rsid w:val="00B67A1C"/>
    <w:rsid w:val="00B7287E"/>
    <w:rsid w:val="00B743BC"/>
    <w:rsid w:val="00B74F37"/>
    <w:rsid w:val="00B75A25"/>
    <w:rsid w:val="00B75E9C"/>
    <w:rsid w:val="00B80EFE"/>
    <w:rsid w:val="00B821F4"/>
    <w:rsid w:val="00B8238C"/>
    <w:rsid w:val="00B84335"/>
    <w:rsid w:val="00B86830"/>
    <w:rsid w:val="00B86D05"/>
    <w:rsid w:val="00B87C61"/>
    <w:rsid w:val="00B91CCB"/>
    <w:rsid w:val="00B91D75"/>
    <w:rsid w:val="00B92B0A"/>
    <w:rsid w:val="00B92D31"/>
    <w:rsid w:val="00B92FC2"/>
    <w:rsid w:val="00B941B4"/>
    <w:rsid w:val="00B946A1"/>
    <w:rsid w:val="00B9692E"/>
    <w:rsid w:val="00B96EE2"/>
    <w:rsid w:val="00B97733"/>
    <w:rsid w:val="00BA1070"/>
    <w:rsid w:val="00BA11A9"/>
    <w:rsid w:val="00BA20FF"/>
    <w:rsid w:val="00BA24C3"/>
    <w:rsid w:val="00BA3335"/>
    <w:rsid w:val="00BA3C8B"/>
    <w:rsid w:val="00BA6A8E"/>
    <w:rsid w:val="00BB054D"/>
    <w:rsid w:val="00BB0812"/>
    <w:rsid w:val="00BB203B"/>
    <w:rsid w:val="00BB3D3A"/>
    <w:rsid w:val="00BB4256"/>
    <w:rsid w:val="00BB5489"/>
    <w:rsid w:val="00BC03B1"/>
    <w:rsid w:val="00BC0782"/>
    <w:rsid w:val="00BC16E9"/>
    <w:rsid w:val="00BC19DB"/>
    <w:rsid w:val="00BC222D"/>
    <w:rsid w:val="00BC25E3"/>
    <w:rsid w:val="00BC3636"/>
    <w:rsid w:val="00BC4841"/>
    <w:rsid w:val="00BC49A8"/>
    <w:rsid w:val="00BC4CCC"/>
    <w:rsid w:val="00BC5304"/>
    <w:rsid w:val="00BC5653"/>
    <w:rsid w:val="00BC5C2F"/>
    <w:rsid w:val="00BD0291"/>
    <w:rsid w:val="00BD1745"/>
    <w:rsid w:val="00BD18DD"/>
    <w:rsid w:val="00BD1D77"/>
    <w:rsid w:val="00BD587A"/>
    <w:rsid w:val="00BD6D6C"/>
    <w:rsid w:val="00BD725A"/>
    <w:rsid w:val="00BE1555"/>
    <w:rsid w:val="00BE2843"/>
    <w:rsid w:val="00BE2F72"/>
    <w:rsid w:val="00BE4552"/>
    <w:rsid w:val="00BE601A"/>
    <w:rsid w:val="00BE648B"/>
    <w:rsid w:val="00BE6817"/>
    <w:rsid w:val="00BE703C"/>
    <w:rsid w:val="00BF02E2"/>
    <w:rsid w:val="00BF02F2"/>
    <w:rsid w:val="00BF1F39"/>
    <w:rsid w:val="00BF251C"/>
    <w:rsid w:val="00BF325B"/>
    <w:rsid w:val="00BF47C4"/>
    <w:rsid w:val="00BF538F"/>
    <w:rsid w:val="00BF58DD"/>
    <w:rsid w:val="00BF5925"/>
    <w:rsid w:val="00C00BBE"/>
    <w:rsid w:val="00C01AF3"/>
    <w:rsid w:val="00C02A14"/>
    <w:rsid w:val="00C032A5"/>
    <w:rsid w:val="00C03C61"/>
    <w:rsid w:val="00C04B04"/>
    <w:rsid w:val="00C0552D"/>
    <w:rsid w:val="00C06D37"/>
    <w:rsid w:val="00C07254"/>
    <w:rsid w:val="00C1142A"/>
    <w:rsid w:val="00C1219B"/>
    <w:rsid w:val="00C12CAD"/>
    <w:rsid w:val="00C147E9"/>
    <w:rsid w:val="00C16C19"/>
    <w:rsid w:val="00C16E90"/>
    <w:rsid w:val="00C16FEA"/>
    <w:rsid w:val="00C17876"/>
    <w:rsid w:val="00C21144"/>
    <w:rsid w:val="00C21C16"/>
    <w:rsid w:val="00C22638"/>
    <w:rsid w:val="00C228EE"/>
    <w:rsid w:val="00C23652"/>
    <w:rsid w:val="00C252D3"/>
    <w:rsid w:val="00C26DED"/>
    <w:rsid w:val="00C27135"/>
    <w:rsid w:val="00C27171"/>
    <w:rsid w:val="00C27E7F"/>
    <w:rsid w:val="00C31F36"/>
    <w:rsid w:val="00C326A2"/>
    <w:rsid w:val="00C327CB"/>
    <w:rsid w:val="00C33231"/>
    <w:rsid w:val="00C33BE1"/>
    <w:rsid w:val="00C35B94"/>
    <w:rsid w:val="00C37C38"/>
    <w:rsid w:val="00C400A5"/>
    <w:rsid w:val="00C4080E"/>
    <w:rsid w:val="00C40BCE"/>
    <w:rsid w:val="00C40D1D"/>
    <w:rsid w:val="00C410CA"/>
    <w:rsid w:val="00C42103"/>
    <w:rsid w:val="00C43DAC"/>
    <w:rsid w:val="00C44949"/>
    <w:rsid w:val="00C47131"/>
    <w:rsid w:val="00C47311"/>
    <w:rsid w:val="00C5061D"/>
    <w:rsid w:val="00C54112"/>
    <w:rsid w:val="00C5436B"/>
    <w:rsid w:val="00C55F47"/>
    <w:rsid w:val="00C5622F"/>
    <w:rsid w:val="00C57E3A"/>
    <w:rsid w:val="00C57FFA"/>
    <w:rsid w:val="00C62CA9"/>
    <w:rsid w:val="00C65DC4"/>
    <w:rsid w:val="00C67508"/>
    <w:rsid w:val="00C67EE9"/>
    <w:rsid w:val="00C67F02"/>
    <w:rsid w:val="00C707C1"/>
    <w:rsid w:val="00C70ABC"/>
    <w:rsid w:val="00C71042"/>
    <w:rsid w:val="00C74B89"/>
    <w:rsid w:val="00C75D76"/>
    <w:rsid w:val="00C77CF4"/>
    <w:rsid w:val="00C806C2"/>
    <w:rsid w:val="00C8188D"/>
    <w:rsid w:val="00C8286E"/>
    <w:rsid w:val="00C84F68"/>
    <w:rsid w:val="00C85521"/>
    <w:rsid w:val="00C867C6"/>
    <w:rsid w:val="00C87256"/>
    <w:rsid w:val="00C91E50"/>
    <w:rsid w:val="00C935A6"/>
    <w:rsid w:val="00C9763E"/>
    <w:rsid w:val="00C97CE5"/>
    <w:rsid w:val="00CA1AFF"/>
    <w:rsid w:val="00CA209B"/>
    <w:rsid w:val="00CA2D8B"/>
    <w:rsid w:val="00CA4AEB"/>
    <w:rsid w:val="00CA649A"/>
    <w:rsid w:val="00CA707F"/>
    <w:rsid w:val="00CA7179"/>
    <w:rsid w:val="00CA7F23"/>
    <w:rsid w:val="00CB04CA"/>
    <w:rsid w:val="00CB0818"/>
    <w:rsid w:val="00CB09EE"/>
    <w:rsid w:val="00CB0A45"/>
    <w:rsid w:val="00CB1414"/>
    <w:rsid w:val="00CB17C0"/>
    <w:rsid w:val="00CB1BED"/>
    <w:rsid w:val="00CB253A"/>
    <w:rsid w:val="00CB3474"/>
    <w:rsid w:val="00CB49AC"/>
    <w:rsid w:val="00CB4EE6"/>
    <w:rsid w:val="00CB5932"/>
    <w:rsid w:val="00CB5993"/>
    <w:rsid w:val="00CB5E2C"/>
    <w:rsid w:val="00CB74F3"/>
    <w:rsid w:val="00CB7B12"/>
    <w:rsid w:val="00CC1EE1"/>
    <w:rsid w:val="00CC3877"/>
    <w:rsid w:val="00CC4C88"/>
    <w:rsid w:val="00CC666B"/>
    <w:rsid w:val="00CD1995"/>
    <w:rsid w:val="00CD2B3E"/>
    <w:rsid w:val="00CD5A95"/>
    <w:rsid w:val="00CD5E70"/>
    <w:rsid w:val="00CD675E"/>
    <w:rsid w:val="00CD6D52"/>
    <w:rsid w:val="00CD70A1"/>
    <w:rsid w:val="00CD73FE"/>
    <w:rsid w:val="00CD7AD4"/>
    <w:rsid w:val="00CD7DCC"/>
    <w:rsid w:val="00CE1703"/>
    <w:rsid w:val="00CE36DD"/>
    <w:rsid w:val="00CE46C5"/>
    <w:rsid w:val="00CE57C9"/>
    <w:rsid w:val="00CE6440"/>
    <w:rsid w:val="00CE7380"/>
    <w:rsid w:val="00CE76DA"/>
    <w:rsid w:val="00CE7AF6"/>
    <w:rsid w:val="00CF2A65"/>
    <w:rsid w:val="00CF3285"/>
    <w:rsid w:val="00CF4262"/>
    <w:rsid w:val="00CF47D2"/>
    <w:rsid w:val="00CF4ED4"/>
    <w:rsid w:val="00CF59D6"/>
    <w:rsid w:val="00CF6195"/>
    <w:rsid w:val="00CF7A10"/>
    <w:rsid w:val="00D00233"/>
    <w:rsid w:val="00D01981"/>
    <w:rsid w:val="00D01EA1"/>
    <w:rsid w:val="00D03B72"/>
    <w:rsid w:val="00D043A6"/>
    <w:rsid w:val="00D072AD"/>
    <w:rsid w:val="00D072D0"/>
    <w:rsid w:val="00D1026F"/>
    <w:rsid w:val="00D110E3"/>
    <w:rsid w:val="00D12E98"/>
    <w:rsid w:val="00D14124"/>
    <w:rsid w:val="00D146ED"/>
    <w:rsid w:val="00D15C4B"/>
    <w:rsid w:val="00D204DF"/>
    <w:rsid w:val="00D20A49"/>
    <w:rsid w:val="00D223BA"/>
    <w:rsid w:val="00D22C77"/>
    <w:rsid w:val="00D27F38"/>
    <w:rsid w:val="00D3117B"/>
    <w:rsid w:val="00D31A4A"/>
    <w:rsid w:val="00D31E6A"/>
    <w:rsid w:val="00D3350D"/>
    <w:rsid w:val="00D335DB"/>
    <w:rsid w:val="00D3544B"/>
    <w:rsid w:val="00D362F6"/>
    <w:rsid w:val="00D375FB"/>
    <w:rsid w:val="00D37F86"/>
    <w:rsid w:val="00D41C5A"/>
    <w:rsid w:val="00D4363B"/>
    <w:rsid w:val="00D43980"/>
    <w:rsid w:val="00D46EF3"/>
    <w:rsid w:val="00D470B6"/>
    <w:rsid w:val="00D47EFD"/>
    <w:rsid w:val="00D506DF"/>
    <w:rsid w:val="00D50724"/>
    <w:rsid w:val="00D51217"/>
    <w:rsid w:val="00D52719"/>
    <w:rsid w:val="00D52742"/>
    <w:rsid w:val="00D527DB"/>
    <w:rsid w:val="00D52F10"/>
    <w:rsid w:val="00D534C7"/>
    <w:rsid w:val="00D53CBA"/>
    <w:rsid w:val="00D5616B"/>
    <w:rsid w:val="00D56E5A"/>
    <w:rsid w:val="00D601B5"/>
    <w:rsid w:val="00D60386"/>
    <w:rsid w:val="00D60CDD"/>
    <w:rsid w:val="00D648C7"/>
    <w:rsid w:val="00D663BF"/>
    <w:rsid w:val="00D66D2A"/>
    <w:rsid w:val="00D676D5"/>
    <w:rsid w:val="00D70C23"/>
    <w:rsid w:val="00D71A86"/>
    <w:rsid w:val="00D724E9"/>
    <w:rsid w:val="00D7287E"/>
    <w:rsid w:val="00D741A9"/>
    <w:rsid w:val="00D805D4"/>
    <w:rsid w:val="00D80B1C"/>
    <w:rsid w:val="00D811F6"/>
    <w:rsid w:val="00D82129"/>
    <w:rsid w:val="00D82D22"/>
    <w:rsid w:val="00D82D7F"/>
    <w:rsid w:val="00D82DAE"/>
    <w:rsid w:val="00D82E55"/>
    <w:rsid w:val="00D8400B"/>
    <w:rsid w:val="00D84B5B"/>
    <w:rsid w:val="00D85D2F"/>
    <w:rsid w:val="00D86CD1"/>
    <w:rsid w:val="00D900B9"/>
    <w:rsid w:val="00D924EC"/>
    <w:rsid w:val="00D928BA"/>
    <w:rsid w:val="00D9499B"/>
    <w:rsid w:val="00D94C19"/>
    <w:rsid w:val="00D95177"/>
    <w:rsid w:val="00D970EE"/>
    <w:rsid w:val="00D971CF"/>
    <w:rsid w:val="00DA0B42"/>
    <w:rsid w:val="00DA1200"/>
    <w:rsid w:val="00DA3117"/>
    <w:rsid w:val="00DA55B6"/>
    <w:rsid w:val="00DA5A1F"/>
    <w:rsid w:val="00DA5AFF"/>
    <w:rsid w:val="00DA6A08"/>
    <w:rsid w:val="00DA775F"/>
    <w:rsid w:val="00DB0800"/>
    <w:rsid w:val="00DB3BBA"/>
    <w:rsid w:val="00DB472A"/>
    <w:rsid w:val="00DB52DB"/>
    <w:rsid w:val="00DB7068"/>
    <w:rsid w:val="00DC00D9"/>
    <w:rsid w:val="00DC084F"/>
    <w:rsid w:val="00DC3086"/>
    <w:rsid w:val="00DC3393"/>
    <w:rsid w:val="00DC4B2C"/>
    <w:rsid w:val="00DC5555"/>
    <w:rsid w:val="00DC6D65"/>
    <w:rsid w:val="00DC6E92"/>
    <w:rsid w:val="00DC7304"/>
    <w:rsid w:val="00DC7682"/>
    <w:rsid w:val="00DD0055"/>
    <w:rsid w:val="00DD0333"/>
    <w:rsid w:val="00DD21F9"/>
    <w:rsid w:val="00DD2894"/>
    <w:rsid w:val="00DD3136"/>
    <w:rsid w:val="00DD4D4E"/>
    <w:rsid w:val="00DD5460"/>
    <w:rsid w:val="00DD5923"/>
    <w:rsid w:val="00DE0191"/>
    <w:rsid w:val="00DE0A48"/>
    <w:rsid w:val="00DE5C52"/>
    <w:rsid w:val="00DE748C"/>
    <w:rsid w:val="00DE76C3"/>
    <w:rsid w:val="00DF25EA"/>
    <w:rsid w:val="00DF2A44"/>
    <w:rsid w:val="00DF5BC9"/>
    <w:rsid w:val="00DF7718"/>
    <w:rsid w:val="00E00F05"/>
    <w:rsid w:val="00E015B7"/>
    <w:rsid w:val="00E0322A"/>
    <w:rsid w:val="00E0429A"/>
    <w:rsid w:val="00E04ADF"/>
    <w:rsid w:val="00E0553C"/>
    <w:rsid w:val="00E0586D"/>
    <w:rsid w:val="00E0768D"/>
    <w:rsid w:val="00E10475"/>
    <w:rsid w:val="00E10A77"/>
    <w:rsid w:val="00E11EBC"/>
    <w:rsid w:val="00E128D3"/>
    <w:rsid w:val="00E12CC6"/>
    <w:rsid w:val="00E1387C"/>
    <w:rsid w:val="00E13CF8"/>
    <w:rsid w:val="00E169B2"/>
    <w:rsid w:val="00E172CC"/>
    <w:rsid w:val="00E21302"/>
    <w:rsid w:val="00E21778"/>
    <w:rsid w:val="00E23454"/>
    <w:rsid w:val="00E23528"/>
    <w:rsid w:val="00E26452"/>
    <w:rsid w:val="00E26B7A"/>
    <w:rsid w:val="00E27149"/>
    <w:rsid w:val="00E27485"/>
    <w:rsid w:val="00E27E44"/>
    <w:rsid w:val="00E307DE"/>
    <w:rsid w:val="00E348C6"/>
    <w:rsid w:val="00E367F0"/>
    <w:rsid w:val="00E412E2"/>
    <w:rsid w:val="00E41C5E"/>
    <w:rsid w:val="00E43296"/>
    <w:rsid w:val="00E43C82"/>
    <w:rsid w:val="00E44429"/>
    <w:rsid w:val="00E44FD8"/>
    <w:rsid w:val="00E46B1F"/>
    <w:rsid w:val="00E47515"/>
    <w:rsid w:val="00E47CBE"/>
    <w:rsid w:val="00E500F8"/>
    <w:rsid w:val="00E50242"/>
    <w:rsid w:val="00E5039B"/>
    <w:rsid w:val="00E51F51"/>
    <w:rsid w:val="00E52C9F"/>
    <w:rsid w:val="00E533D6"/>
    <w:rsid w:val="00E539E8"/>
    <w:rsid w:val="00E54247"/>
    <w:rsid w:val="00E56C5D"/>
    <w:rsid w:val="00E57F23"/>
    <w:rsid w:val="00E57FE6"/>
    <w:rsid w:val="00E610FE"/>
    <w:rsid w:val="00E615C1"/>
    <w:rsid w:val="00E63383"/>
    <w:rsid w:val="00E6413D"/>
    <w:rsid w:val="00E649E2"/>
    <w:rsid w:val="00E65FF5"/>
    <w:rsid w:val="00E701F3"/>
    <w:rsid w:val="00E70467"/>
    <w:rsid w:val="00E70663"/>
    <w:rsid w:val="00E7177C"/>
    <w:rsid w:val="00E7280A"/>
    <w:rsid w:val="00E72F23"/>
    <w:rsid w:val="00E73C3F"/>
    <w:rsid w:val="00E7533E"/>
    <w:rsid w:val="00E77E77"/>
    <w:rsid w:val="00E826F9"/>
    <w:rsid w:val="00E83770"/>
    <w:rsid w:val="00E83DCE"/>
    <w:rsid w:val="00E846C9"/>
    <w:rsid w:val="00E865CC"/>
    <w:rsid w:val="00E873BE"/>
    <w:rsid w:val="00E9072B"/>
    <w:rsid w:val="00E91E7C"/>
    <w:rsid w:val="00E9309D"/>
    <w:rsid w:val="00E9398A"/>
    <w:rsid w:val="00E960EC"/>
    <w:rsid w:val="00E96ABA"/>
    <w:rsid w:val="00E96B17"/>
    <w:rsid w:val="00E97E17"/>
    <w:rsid w:val="00EA020F"/>
    <w:rsid w:val="00EA1252"/>
    <w:rsid w:val="00EA1C39"/>
    <w:rsid w:val="00EA2C8D"/>
    <w:rsid w:val="00EA2FB4"/>
    <w:rsid w:val="00EA3333"/>
    <w:rsid w:val="00EA5675"/>
    <w:rsid w:val="00EA5F28"/>
    <w:rsid w:val="00EA7A22"/>
    <w:rsid w:val="00EB16E0"/>
    <w:rsid w:val="00EB1EDF"/>
    <w:rsid w:val="00EB25AC"/>
    <w:rsid w:val="00EB25CF"/>
    <w:rsid w:val="00EB342F"/>
    <w:rsid w:val="00EB4CD9"/>
    <w:rsid w:val="00EB5488"/>
    <w:rsid w:val="00EB67D7"/>
    <w:rsid w:val="00EB6B92"/>
    <w:rsid w:val="00EB6CF1"/>
    <w:rsid w:val="00EC033C"/>
    <w:rsid w:val="00EC2117"/>
    <w:rsid w:val="00EC2392"/>
    <w:rsid w:val="00EC3098"/>
    <w:rsid w:val="00EC3272"/>
    <w:rsid w:val="00EC450D"/>
    <w:rsid w:val="00EC4E69"/>
    <w:rsid w:val="00ED017C"/>
    <w:rsid w:val="00ED08FF"/>
    <w:rsid w:val="00ED0FA9"/>
    <w:rsid w:val="00ED1089"/>
    <w:rsid w:val="00ED14B9"/>
    <w:rsid w:val="00ED6143"/>
    <w:rsid w:val="00ED614F"/>
    <w:rsid w:val="00EE0ECC"/>
    <w:rsid w:val="00EE159B"/>
    <w:rsid w:val="00EE1986"/>
    <w:rsid w:val="00EE2D48"/>
    <w:rsid w:val="00EE3AD2"/>
    <w:rsid w:val="00EE4659"/>
    <w:rsid w:val="00EE4F6A"/>
    <w:rsid w:val="00EE5F10"/>
    <w:rsid w:val="00EE64D8"/>
    <w:rsid w:val="00EE744B"/>
    <w:rsid w:val="00EF1F13"/>
    <w:rsid w:val="00EF2C34"/>
    <w:rsid w:val="00EF3F5C"/>
    <w:rsid w:val="00EF624C"/>
    <w:rsid w:val="00EF7965"/>
    <w:rsid w:val="00F002BD"/>
    <w:rsid w:val="00F006C5"/>
    <w:rsid w:val="00F033B1"/>
    <w:rsid w:val="00F03F56"/>
    <w:rsid w:val="00F04613"/>
    <w:rsid w:val="00F06DC7"/>
    <w:rsid w:val="00F07C41"/>
    <w:rsid w:val="00F1018D"/>
    <w:rsid w:val="00F1047A"/>
    <w:rsid w:val="00F10E07"/>
    <w:rsid w:val="00F116E1"/>
    <w:rsid w:val="00F130D0"/>
    <w:rsid w:val="00F15F71"/>
    <w:rsid w:val="00F1764B"/>
    <w:rsid w:val="00F226A9"/>
    <w:rsid w:val="00F22ACD"/>
    <w:rsid w:val="00F25389"/>
    <w:rsid w:val="00F25F2B"/>
    <w:rsid w:val="00F26775"/>
    <w:rsid w:val="00F276C7"/>
    <w:rsid w:val="00F30D71"/>
    <w:rsid w:val="00F30E2A"/>
    <w:rsid w:val="00F3260B"/>
    <w:rsid w:val="00F343A7"/>
    <w:rsid w:val="00F35914"/>
    <w:rsid w:val="00F40E95"/>
    <w:rsid w:val="00F41A7D"/>
    <w:rsid w:val="00F42B43"/>
    <w:rsid w:val="00F474C5"/>
    <w:rsid w:val="00F500BC"/>
    <w:rsid w:val="00F51708"/>
    <w:rsid w:val="00F5170A"/>
    <w:rsid w:val="00F5198F"/>
    <w:rsid w:val="00F51C03"/>
    <w:rsid w:val="00F51D62"/>
    <w:rsid w:val="00F53C37"/>
    <w:rsid w:val="00F54170"/>
    <w:rsid w:val="00F54CB2"/>
    <w:rsid w:val="00F55643"/>
    <w:rsid w:val="00F558CF"/>
    <w:rsid w:val="00F575A1"/>
    <w:rsid w:val="00F60723"/>
    <w:rsid w:val="00F60A72"/>
    <w:rsid w:val="00F60AC7"/>
    <w:rsid w:val="00F60D4C"/>
    <w:rsid w:val="00F61182"/>
    <w:rsid w:val="00F6233C"/>
    <w:rsid w:val="00F644B7"/>
    <w:rsid w:val="00F64A86"/>
    <w:rsid w:val="00F70D92"/>
    <w:rsid w:val="00F73073"/>
    <w:rsid w:val="00F73AFB"/>
    <w:rsid w:val="00F741B7"/>
    <w:rsid w:val="00F74773"/>
    <w:rsid w:val="00F75732"/>
    <w:rsid w:val="00F772EF"/>
    <w:rsid w:val="00F8014B"/>
    <w:rsid w:val="00F809F3"/>
    <w:rsid w:val="00F81A94"/>
    <w:rsid w:val="00F81C14"/>
    <w:rsid w:val="00F81D9F"/>
    <w:rsid w:val="00F82379"/>
    <w:rsid w:val="00F86834"/>
    <w:rsid w:val="00F86865"/>
    <w:rsid w:val="00F87347"/>
    <w:rsid w:val="00F873B6"/>
    <w:rsid w:val="00F91048"/>
    <w:rsid w:val="00F9133F"/>
    <w:rsid w:val="00F933BA"/>
    <w:rsid w:val="00F94767"/>
    <w:rsid w:val="00F9485F"/>
    <w:rsid w:val="00F948FD"/>
    <w:rsid w:val="00F94CE8"/>
    <w:rsid w:val="00F95706"/>
    <w:rsid w:val="00F960B1"/>
    <w:rsid w:val="00FA291D"/>
    <w:rsid w:val="00FA2A02"/>
    <w:rsid w:val="00FA3391"/>
    <w:rsid w:val="00FA547E"/>
    <w:rsid w:val="00FA5833"/>
    <w:rsid w:val="00FA74F1"/>
    <w:rsid w:val="00FB27A8"/>
    <w:rsid w:val="00FB35DD"/>
    <w:rsid w:val="00FB3AB9"/>
    <w:rsid w:val="00FB71F9"/>
    <w:rsid w:val="00FB7349"/>
    <w:rsid w:val="00FB76DB"/>
    <w:rsid w:val="00FC0C28"/>
    <w:rsid w:val="00FC0E38"/>
    <w:rsid w:val="00FC33A7"/>
    <w:rsid w:val="00FC41C4"/>
    <w:rsid w:val="00FC4468"/>
    <w:rsid w:val="00FC55DA"/>
    <w:rsid w:val="00FD05ED"/>
    <w:rsid w:val="00FD1726"/>
    <w:rsid w:val="00FD2B3A"/>
    <w:rsid w:val="00FD647A"/>
    <w:rsid w:val="00FD7AC8"/>
    <w:rsid w:val="00FD7AD1"/>
    <w:rsid w:val="00FD7F8C"/>
    <w:rsid w:val="00FE0FFF"/>
    <w:rsid w:val="00FE17B9"/>
    <w:rsid w:val="00FE2C5D"/>
    <w:rsid w:val="00FE52A2"/>
    <w:rsid w:val="00FE723A"/>
    <w:rsid w:val="00FE78EC"/>
    <w:rsid w:val="00FE7B64"/>
    <w:rsid w:val="00FF10D9"/>
    <w:rsid w:val="00FF130B"/>
    <w:rsid w:val="00FF163F"/>
    <w:rsid w:val="00FF1B1F"/>
    <w:rsid w:val="00FF2505"/>
    <w:rsid w:val="00FF25BF"/>
    <w:rsid w:val="00FF3DFD"/>
    <w:rsid w:val="00FF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jc w:val="both"/>
    </w:pPr>
    <w:rPr>
      <w:rFonts w:ascii="Humanist777" w:hAnsi="Humanist777"/>
      <w:sz w:val="24"/>
      <w:szCs w:val="24"/>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link w:val="Footer"/>
    <w:locked/>
    <w:rsid w:val="00845764"/>
    <w:rPr>
      <w:rFonts w:ascii="Humanist777" w:hAnsi="Humanist777"/>
      <w:sz w:val="24"/>
      <w:szCs w:val="24"/>
    </w:rPr>
  </w:style>
  <w:style w:type="paragraph" w:customStyle="1" w:styleId="Text">
    <w:name w:val="Text"/>
    <w:aliases w:val="Graphic"/>
    <w:basedOn w:val="Normal"/>
    <w:link w:val="TextChar"/>
    <w:rsid w:val="00B56725"/>
    <w:pPr>
      <w:tabs>
        <w:tab w:val="clear" w:pos="284"/>
      </w:tabs>
      <w:spacing w:before="120"/>
    </w:pPr>
    <w:rPr>
      <w:rFonts w:ascii="Times New Roman" w:hAnsi="Times New Roman"/>
      <w:szCs w:val="20"/>
    </w:rPr>
  </w:style>
  <w:style w:type="character" w:customStyle="1" w:styleId="TextChar">
    <w:name w:val="Text Char"/>
    <w:link w:val="Text"/>
    <w:rsid w:val="00B56725"/>
    <w:rPr>
      <w:sz w:val="24"/>
    </w:rPr>
  </w:style>
  <w:style w:type="paragraph" w:customStyle="1" w:styleId="Table">
    <w:name w:val="Table"/>
    <w:basedOn w:val="Normal"/>
    <w:rsid w:val="00284DFD"/>
    <w:pPr>
      <w:keepNext/>
      <w:keepLines/>
      <w:spacing w:before="40" w:after="20"/>
      <w:jc w:val="left"/>
    </w:pPr>
    <w:rPr>
      <w:rFonts w:ascii="Arial" w:hAnsi="Arial"/>
      <w:sz w:val="20"/>
      <w:szCs w:val="20"/>
    </w:rPr>
  </w:style>
  <w:style w:type="paragraph" w:styleId="Revision">
    <w:name w:val="Revision"/>
    <w:hidden/>
    <w:uiPriority w:val="99"/>
    <w:semiHidden/>
    <w:rsid w:val="00016ED3"/>
    <w:rPr>
      <w:rFonts w:ascii="Humanist777" w:hAnsi="Humanist777"/>
      <w:sz w:val="24"/>
      <w:szCs w:val="24"/>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D5616B"/>
    <w:rPr>
      <w:rFonts w:ascii="Humanist777" w:hAnsi="Humanist777"/>
      <w:sz w:val="24"/>
      <w:szCs w:val="24"/>
    </w:rPr>
  </w:style>
  <w:style w:type="paragraph" w:styleId="ListParagraph">
    <w:name w:val="List Paragraph"/>
    <w:basedOn w:val="Normal"/>
    <w:uiPriority w:val="34"/>
    <w:qFormat/>
    <w:rsid w:val="006A5C76"/>
    <w:pPr>
      <w:ind w:left="720"/>
      <w:contextualSpacing/>
    </w:pPr>
  </w:style>
  <w:style w:type="character" w:styleId="Hyperlink">
    <w:name w:val="Hyperlink"/>
    <w:rsid w:val="006A6419"/>
    <w:rPr>
      <w:color w:val="0000FF"/>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D4827"/>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284"/>
      </w:tabs>
      <w:jc w:val="both"/>
    </w:pPr>
    <w:rPr>
      <w:rFonts w:ascii="Humanist777" w:hAnsi="Humanist777"/>
      <w:sz w:val="24"/>
      <w:szCs w:val="24"/>
    </w:rPr>
  </w:style>
  <w:style w:type="paragraph" w:styleId="Heading1">
    <w:name w:val="heading 1"/>
    <w:basedOn w:val="Normal"/>
    <w:next w:val="Normal"/>
    <w:qFormat/>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pPr>
      <w:keepNext/>
      <w:jc w:val="center"/>
      <w:outlineLvl w:val="1"/>
    </w:pPr>
    <w:rPr>
      <w:rFonts w:ascii="Arial" w:hAnsi="Arial" w:cs="Arial"/>
      <w:i/>
      <w:iCs/>
      <w:color w:val="999999"/>
      <w:sz w:val="18"/>
    </w:rPr>
  </w:style>
  <w:style w:type="paragraph" w:styleId="Heading3">
    <w:name w:val="heading 3"/>
    <w:basedOn w:val="Normal"/>
    <w:next w:val="Normal"/>
    <w:qFormat/>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pPr>
      <w:tabs>
        <w:tab w:val="clear" w:pos="284"/>
        <w:tab w:val="center" w:pos="4536"/>
        <w:tab w:val="right" w:pos="9072"/>
      </w:tabs>
    </w:pPr>
  </w:style>
  <w:style w:type="paragraph" w:styleId="Footer">
    <w:name w:val="footer"/>
    <w:basedOn w:val="Normal"/>
    <w:link w:val="FooterChar"/>
    <w:pPr>
      <w:tabs>
        <w:tab w:val="clear" w:pos="284"/>
        <w:tab w:val="center" w:pos="4536"/>
        <w:tab w:val="right" w:pos="9072"/>
      </w:tabs>
    </w:pPr>
  </w:style>
  <w:style w:type="character" w:styleId="PageNumber">
    <w:name w:val="page number"/>
    <w:basedOn w:val="DefaultParagraphFont"/>
  </w:style>
  <w:style w:type="character" w:styleId="CommentReference">
    <w:name w:val="annotation reference"/>
    <w:semiHidden/>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link w:val="Footer"/>
    <w:locked/>
    <w:rsid w:val="00845764"/>
    <w:rPr>
      <w:rFonts w:ascii="Humanist777" w:hAnsi="Humanist777"/>
      <w:sz w:val="24"/>
      <w:szCs w:val="24"/>
    </w:rPr>
  </w:style>
  <w:style w:type="paragraph" w:customStyle="1" w:styleId="Text">
    <w:name w:val="Text"/>
    <w:aliases w:val="Graphic"/>
    <w:basedOn w:val="Normal"/>
    <w:link w:val="TextChar"/>
    <w:rsid w:val="00B56725"/>
    <w:pPr>
      <w:tabs>
        <w:tab w:val="clear" w:pos="284"/>
      </w:tabs>
      <w:spacing w:before="120"/>
    </w:pPr>
    <w:rPr>
      <w:rFonts w:ascii="Times New Roman" w:hAnsi="Times New Roman"/>
      <w:szCs w:val="20"/>
    </w:rPr>
  </w:style>
  <w:style w:type="character" w:customStyle="1" w:styleId="TextChar">
    <w:name w:val="Text Char"/>
    <w:link w:val="Text"/>
    <w:rsid w:val="00B56725"/>
    <w:rPr>
      <w:sz w:val="24"/>
    </w:rPr>
  </w:style>
  <w:style w:type="paragraph" w:customStyle="1" w:styleId="Table">
    <w:name w:val="Table"/>
    <w:basedOn w:val="Normal"/>
    <w:rsid w:val="00284DFD"/>
    <w:pPr>
      <w:keepNext/>
      <w:keepLines/>
      <w:spacing w:before="40" w:after="20"/>
      <w:jc w:val="left"/>
    </w:pPr>
    <w:rPr>
      <w:rFonts w:ascii="Arial" w:hAnsi="Arial"/>
      <w:sz w:val="20"/>
      <w:szCs w:val="20"/>
    </w:rPr>
  </w:style>
  <w:style w:type="paragraph" w:styleId="Revision">
    <w:name w:val="Revision"/>
    <w:hidden/>
    <w:uiPriority w:val="99"/>
    <w:semiHidden/>
    <w:rsid w:val="00016ED3"/>
    <w:rPr>
      <w:rFonts w:ascii="Humanist777" w:hAnsi="Humanist777"/>
      <w:sz w:val="24"/>
      <w:szCs w:val="24"/>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D5616B"/>
    <w:rPr>
      <w:rFonts w:ascii="Humanist777" w:hAnsi="Humanist777"/>
      <w:sz w:val="24"/>
      <w:szCs w:val="24"/>
    </w:rPr>
  </w:style>
  <w:style w:type="paragraph" w:styleId="ListParagraph">
    <w:name w:val="List Paragraph"/>
    <w:basedOn w:val="Normal"/>
    <w:uiPriority w:val="34"/>
    <w:qFormat/>
    <w:rsid w:val="006A5C76"/>
    <w:pPr>
      <w:ind w:left="720"/>
      <w:contextualSpacing/>
    </w:pPr>
  </w:style>
  <w:style w:type="character" w:styleId="Hyperlink">
    <w:name w:val="Hyperlink"/>
    <w:rsid w:val="006A6419"/>
    <w:rPr>
      <w:color w:val="0000FF"/>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D4827"/>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alims.me" TargetMode="External"/><Relationship Id="rId4" Type="http://schemas.microsoft.com/office/2007/relationships/stylesWithEffects" Target="stylesWithEffects.xml"/><Relationship Id="rId9" Type="http://schemas.openxmlformats.org/officeDocument/2006/relationships/hyperlink" Target="http://www.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SAZETAK%20KARAKTERISTIKA%20LE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27E9-6FEE-4AAD-A711-ADEC825B0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SAZETAK KARAKTERISTIKA LEKA.dot</Template>
  <TotalTime>56</TotalTime>
  <Pages>28</Pages>
  <Words>10231</Words>
  <Characters>58321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Novartis</Company>
  <LinksUpToDate>false</LinksUpToDate>
  <CharactersWithSpaces>68416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Bankovic</cp:lastModifiedBy>
  <cp:revision>18</cp:revision>
  <cp:lastPrinted>2011-08-02T11:35:00Z</cp:lastPrinted>
  <dcterms:created xsi:type="dcterms:W3CDTF">2014-10-28T11:20:00Z</dcterms:created>
  <dcterms:modified xsi:type="dcterms:W3CDTF">2014-10-29T14:09:00Z</dcterms:modified>
</cp:coreProperties>
</file>