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3E0" w:rsidRPr="007F1889" w:rsidRDefault="001943E0" w:rsidP="001943E0">
      <w:pPr>
        <w:spacing w:before="1000"/>
        <w:jc w:val="left"/>
        <w:rPr>
          <w:rFonts w:ascii="Times New Roman" w:hAnsi="Times New Roman" w:cs="Arial"/>
          <w:sz w:val="22"/>
          <w:szCs w:val="22"/>
          <w:lang w:val="sr-Latn-ME"/>
        </w:rPr>
      </w:pPr>
    </w:p>
    <w:tbl>
      <w:tblPr>
        <w:tblW w:w="9360" w:type="dxa"/>
        <w:jc w:val="center"/>
        <w:tblLayout w:type="fixed"/>
        <w:tblLook w:val="0000" w:firstRow="0" w:lastRow="0" w:firstColumn="0" w:lastColumn="0" w:noHBand="0" w:noVBand="0"/>
      </w:tblPr>
      <w:tblGrid>
        <w:gridCol w:w="2160"/>
        <w:gridCol w:w="7200"/>
      </w:tblGrid>
      <w:tr w:rsidR="001943E0" w:rsidRPr="007F1889" w:rsidTr="008136BC">
        <w:trPr>
          <w:trHeight w:val="530"/>
          <w:jc w:val="center"/>
        </w:trPr>
        <w:tc>
          <w:tcPr>
            <w:tcW w:w="9360" w:type="dxa"/>
            <w:gridSpan w:val="2"/>
            <w:vAlign w:val="center"/>
          </w:tcPr>
          <w:p w:rsidR="001943E0" w:rsidRPr="007F1889" w:rsidRDefault="001943E0" w:rsidP="008136BC">
            <w:pPr>
              <w:jc w:val="center"/>
              <w:rPr>
                <w:rFonts w:ascii="Times New Roman" w:hAnsi="Times New Roman"/>
                <w:b/>
                <w:bCs/>
                <w:i/>
                <w:iCs/>
                <w:sz w:val="22"/>
                <w:szCs w:val="22"/>
                <w:u w:val="single"/>
                <w:lang w:val="sr-Latn-ME"/>
              </w:rPr>
            </w:pPr>
            <w:r w:rsidRPr="007F1889">
              <w:rPr>
                <w:rFonts w:ascii="Times New Roman" w:hAnsi="Times New Roman"/>
                <w:b/>
                <w:bCs/>
                <w:i/>
                <w:iCs/>
                <w:sz w:val="22"/>
                <w:szCs w:val="22"/>
                <w:u w:val="single"/>
                <w:lang w:val="sr-Latn-ME"/>
              </w:rPr>
              <w:t>SAŽETAK KARAKTERISTIKA LIJEKA</w:t>
            </w:r>
          </w:p>
        </w:tc>
      </w:tr>
      <w:tr w:rsidR="001943E0" w:rsidRPr="007F1889" w:rsidTr="008136BC">
        <w:trPr>
          <w:trHeight w:val="1969"/>
          <w:jc w:val="center"/>
        </w:trPr>
        <w:tc>
          <w:tcPr>
            <w:tcW w:w="9360" w:type="dxa"/>
            <w:gridSpan w:val="2"/>
            <w:vAlign w:val="bottom"/>
          </w:tcPr>
          <w:p w:rsidR="001943E0" w:rsidRPr="007F1889" w:rsidRDefault="001943E0" w:rsidP="008136BC">
            <w:pPr>
              <w:jc w:val="center"/>
              <w:rPr>
                <w:rFonts w:ascii="Times New Roman" w:hAnsi="Times New Roman"/>
                <w:b/>
                <w:bCs/>
                <w:sz w:val="22"/>
                <w:szCs w:val="22"/>
                <w:u w:val="single"/>
                <w:lang w:val="sr-Latn-ME"/>
              </w:rPr>
            </w:pPr>
          </w:p>
        </w:tc>
      </w:tr>
      <w:tr w:rsidR="001943E0" w:rsidRPr="007F1889" w:rsidTr="008136BC">
        <w:trPr>
          <w:trHeight w:val="1225"/>
          <w:jc w:val="center"/>
        </w:trPr>
        <w:tc>
          <w:tcPr>
            <w:tcW w:w="9360" w:type="dxa"/>
            <w:gridSpan w:val="2"/>
          </w:tcPr>
          <w:p w:rsidR="001943E0" w:rsidRPr="007F1889" w:rsidRDefault="001943E0" w:rsidP="008136BC">
            <w:pPr>
              <w:tabs>
                <w:tab w:val="clear" w:pos="284"/>
              </w:tabs>
              <w:autoSpaceDE w:val="0"/>
              <w:autoSpaceDN w:val="0"/>
              <w:adjustRightInd w:val="0"/>
              <w:jc w:val="center"/>
              <w:rPr>
                <w:rFonts w:ascii="Times New Roman" w:hAnsi="Times New Roman"/>
                <w:b/>
                <w:bCs/>
                <w:sz w:val="22"/>
                <w:szCs w:val="22"/>
                <w:lang w:val="sr-Latn-ME" w:eastAsia="zh-TW"/>
              </w:rPr>
            </w:pPr>
            <w:r w:rsidRPr="007F1889">
              <w:rPr>
                <w:rFonts w:ascii="Times New Roman" w:hAnsi="Times New Roman"/>
                <w:b/>
                <w:bCs/>
                <w:sz w:val="22"/>
                <w:szCs w:val="22"/>
                <w:lang w:val="sr-Latn-ME" w:eastAsia="zh-TW"/>
              </w:rPr>
              <w:t>5-Fluorouracil Ebewe®, koncentrat za rastvor za injekciju/infuziju, 250mg/5ml,</w:t>
            </w:r>
          </w:p>
          <w:p w:rsidR="001943E0" w:rsidRPr="007F1889" w:rsidRDefault="001943E0" w:rsidP="008136BC">
            <w:pPr>
              <w:tabs>
                <w:tab w:val="clear" w:pos="284"/>
              </w:tabs>
              <w:autoSpaceDE w:val="0"/>
              <w:autoSpaceDN w:val="0"/>
              <w:adjustRightInd w:val="0"/>
              <w:jc w:val="center"/>
              <w:rPr>
                <w:rFonts w:ascii="Times New Roman" w:hAnsi="Times New Roman"/>
                <w:b/>
                <w:bCs/>
                <w:sz w:val="22"/>
                <w:szCs w:val="22"/>
                <w:lang w:val="sr-Latn-ME" w:eastAsia="zh-TW"/>
              </w:rPr>
            </w:pPr>
            <w:r w:rsidRPr="007F1889">
              <w:rPr>
                <w:rFonts w:ascii="Times New Roman" w:hAnsi="Times New Roman"/>
                <w:b/>
                <w:bCs/>
                <w:sz w:val="22"/>
                <w:szCs w:val="22"/>
                <w:lang w:val="sr-Latn-ME" w:eastAsia="zh-TW"/>
              </w:rPr>
              <w:t>bočica, 1 x 5 ml</w:t>
            </w:r>
          </w:p>
          <w:p w:rsidR="001943E0" w:rsidRPr="007F1889" w:rsidRDefault="001943E0" w:rsidP="008136BC">
            <w:pPr>
              <w:tabs>
                <w:tab w:val="clear" w:pos="284"/>
              </w:tabs>
              <w:autoSpaceDE w:val="0"/>
              <w:autoSpaceDN w:val="0"/>
              <w:adjustRightInd w:val="0"/>
              <w:jc w:val="center"/>
              <w:rPr>
                <w:rFonts w:ascii="Times New Roman" w:hAnsi="Times New Roman"/>
                <w:b/>
                <w:bCs/>
                <w:sz w:val="22"/>
                <w:szCs w:val="22"/>
                <w:lang w:val="sr-Latn-ME" w:eastAsia="zh-TW"/>
              </w:rPr>
            </w:pPr>
            <w:r w:rsidRPr="007F1889">
              <w:rPr>
                <w:rFonts w:ascii="Times New Roman" w:hAnsi="Times New Roman"/>
                <w:b/>
                <w:bCs/>
                <w:sz w:val="22"/>
                <w:szCs w:val="22"/>
                <w:lang w:val="sr-Latn-ME" w:eastAsia="zh-TW"/>
              </w:rPr>
              <w:t>5-Fluorouracil Ebewe®, koncentrat za rastvor za injekciju/infuziju, 500mg/10ml,</w:t>
            </w:r>
          </w:p>
          <w:p w:rsidR="001943E0" w:rsidRPr="007F1889" w:rsidRDefault="001943E0" w:rsidP="008136BC">
            <w:pPr>
              <w:tabs>
                <w:tab w:val="clear" w:pos="284"/>
              </w:tabs>
              <w:autoSpaceDE w:val="0"/>
              <w:autoSpaceDN w:val="0"/>
              <w:adjustRightInd w:val="0"/>
              <w:jc w:val="center"/>
              <w:rPr>
                <w:rFonts w:ascii="Times New Roman" w:hAnsi="Times New Roman"/>
                <w:b/>
                <w:bCs/>
                <w:sz w:val="22"/>
                <w:szCs w:val="22"/>
                <w:lang w:val="sr-Latn-ME" w:eastAsia="zh-TW"/>
              </w:rPr>
            </w:pPr>
            <w:r w:rsidRPr="007F1889">
              <w:rPr>
                <w:rFonts w:ascii="Times New Roman" w:hAnsi="Times New Roman"/>
                <w:b/>
                <w:bCs/>
                <w:sz w:val="22"/>
                <w:szCs w:val="22"/>
                <w:lang w:val="sr-Latn-ME" w:eastAsia="zh-TW"/>
              </w:rPr>
              <w:t>bočica, 1 x 10 ml</w:t>
            </w:r>
          </w:p>
          <w:p w:rsidR="001943E0" w:rsidRPr="007F1889" w:rsidRDefault="001943E0" w:rsidP="008136BC">
            <w:pPr>
              <w:tabs>
                <w:tab w:val="clear" w:pos="284"/>
              </w:tabs>
              <w:autoSpaceDE w:val="0"/>
              <w:autoSpaceDN w:val="0"/>
              <w:adjustRightInd w:val="0"/>
              <w:jc w:val="center"/>
              <w:rPr>
                <w:rFonts w:ascii="Times New Roman" w:hAnsi="Times New Roman"/>
                <w:b/>
                <w:bCs/>
                <w:sz w:val="22"/>
                <w:szCs w:val="22"/>
                <w:lang w:val="sr-Latn-ME" w:eastAsia="zh-TW"/>
              </w:rPr>
            </w:pPr>
            <w:r w:rsidRPr="007F1889">
              <w:rPr>
                <w:rFonts w:ascii="Times New Roman" w:hAnsi="Times New Roman"/>
                <w:b/>
                <w:bCs/>
                <w:sz w:val="22"/>
                <w:szCs w:val="22"/>
                <w:lang w:val="sr-Latn-ME" w:eastAsia="zh-TW"/>
              </w:rPr>
              <w:t>5-Fluorouracil Ebewe®, koncentrat za rastvor za injekciju/infuziju, 1000mg/20ml,</w:t>
            </w:r>
          </w:p>
          <w:p w:rsidR="001943E0" w:rsidRPr="007F1889" w:rsidRDefault="001943E0" w:rsidP="008136BC">
            <w:pPr>
              <w:tabs>
                <w:tab w:val="clear" w:pos="284"/>
              </w:tabs>
              <w:autoSpaceDE w:val="0"/>
              <w:autoSpaceDN w:val="0"/>
              <w:adjustRightInd w:val="0"/>
              <w:jc w:val="center"/>
              <w:rPr>
                <w:rFonts w:ascii="Times New Roman" w:hAnsi="Times New Roman"/>
                <w:b/>
                <w:bCs/>
                <w:sz w:val="22"/>
                <w:szCs w:val="22"/>
                <w:lang w:val="sr-Latn-ME" w:eastAsia="zh-TW"/>
              </w:rPr>
            </w:pPr>
            <w:r w:rsidRPr="007F1889">
              <w:rPr>
                <w:rFonts w:ascii="Times New Roman" w:hAnsi="Times New Roman"/>
                <w:b/>
                <w:bCs/>
                <w:sz w:val="22"/>
                <w:szCs w:val="22"/>
                <w:lang w:val="sr-Latn-ME" w:eastAsia="zh-TW"/>
              </w:rPr>
              <w:t>bočica, 1 x 20 ml</w:t>
            </w:r>
          </w:p>
          <w:p w:rsidR="001943E0" w:rsidRPr="007F1889" w:rsidRDefault="001943E0" w:rsidP="008136BC">
            <w:pPr>
              <w:tabs>
                <w:tab w:val="clear" w:pos="284"/>
              </w:tabs>
              <w:autoSpaceDE w:val="0"/>
              <w:autoSpaceDN w:val="0"/>
              <w:adjustRightInd w:val="0"/>
              <w:jc w:val="center"/>
              <w:rPr>
                <w:rFonts w:ascii="Times New Roman" w:hAnsi="Times New Roman"/>
                <w:bCs/>
                <w:sz w:val="22"/>
                <w:szCs w:val="22"/>
                <w:lang w:val="sr-Latn-ME" w:eastAsia="zh-TW"/>
              </w:rPr>
            </w:pPr>
          </w:p>
          <w:p w:rsidR="001943E0" w:rsidRPr="007F1889" w:rsidRDefault="001943E0" w:rsidP="008136BC">
            <w:pPr>
              <w:tabs>
                <w:tab w:val="clear" w:pos="284"/>
              </w:tabs>
              <w:autoSpaceDE w:val="0"/>
              <w:autoSpaceDN w:val="0"/>
              <w:adjustRightInd w:val="0"/>
              <w:jc w:val="center"/>
              <w:rPr>
                <w:rFonts w:ascii="Times New Roman" w:hAnsi="Times New Roman"/>
                <w:bCs/>
                <w:sz w:val="22"/>
                <w:szCs w:val="22"/>
                <w:lang w:val="sr-Latn-ME" w:eastAsia="zh-TW"/>
              </w:rPr>
            </w:pPr>
          </w:p>
          <w:p w:rsidR="001943E0" w:rsidRPr="007F1889" w:rsidRDefault="001943E0" w:rsidP="008136BC">
            <w:pPr>
              <w:tabs>
                <w:tab w:val="clear" w:pos="284"/>
              </w:tabs>
              <w:autoSpaceDE w:val="0"/>
              <w:autoSpaceDN w:val="0"/>
              <w:adjustRightInd w:val="0"/>
              <w:jc w:val="center"/>
              <w:rPr>
                <w:rFonts w:ascii="Times New Roman" w:hAnsi="Times New Roman"/>
                <w:bCs/>
                <w:sz w:val="22"/>
                <w:szCs w:val="22"/>
                <w:lang w:val="sr-Latn-ME" w:eastAsia="zh-TW"/>
              </w:rPr>
            </w:pPr>
          </w:p>
          <w:p w:rsidR="001943E0" w:rsidRPr="007F1889" w:rsidRDefault="001943E0" w:rsidP="008136BC">
            <w:pPr>
              <w:tabs>
                <w:tab w:val="clear" w:pos="284"/>
              </w:tabs>
              <w:autoSpaceDE w:val="0"/>
              <w:autoSpaceDN w:val="0"/>
              <w:adjustRightInd w:val="0"/>
              <w:jc w:val="center"/>
              <w:rPr>
                <w:i/>
                <w:sz w:val="22"/>
                <w:szCs w:val="22"/>
                <w:lang w:val="sr-Latn-ME"/>
              </w:rPr>
            </w:pPr>
          </w:p>
        </w:tc>
      </w:tr>
      <w:tr w:rsidR="001943E0" w:rsidRPr="007F1889" w:rsidTr="008136BC">
        <w:trPr>
          <w:trHeight w:val="435"/>
          <w:jc w:val="center"/>
        </w:trPr>
        <w:tc>
          <w:tcPr>
            <w:tcW w:w="2160" w:type="dxa"/>
            <w:vAlign w:val="bottom"/>
          </w:tcPr>
          <w:p w:rsidR="001943E0" w:rsidRPr="007F1889" w:rsidRDefault="001943E0" w:rsidP="008136BC">
            <w:pPr>
              <w:jc w:val="right"/>
              <w:rPr>
                <w:rFonts w:ascii="Times New Roman" w:hAnsi="Times New Roman"/>
                <w:sz w:val="22"/>
                <w:szCs w:val="22"/>
                <w:lang w:val="sr-Latn-ME"/>
              </w:rPr>
            </w:pPr>
            <w:r w:rsidRPr="007F1889">
              <w:rPr>
                <w:rFonts w:ascii="Times New Roman" w:hAnsi="Times New Roman"/>
                <w:sz w:val="22"/>
                <w:szCs w:val="22"/>
                <w:lang w:val="sr-Latn-ME"/>
              </w:rPr>
              <w:t>Proizvođač:</w:t>
            </w:r>
          </w:p>
        </w:tc>
        <w:tc>
          <w:tcPr>
            <w:tcW w:w="7200" w:type="dxa"/>
            <w:vAlign w:val="bottom"/>
          </w:tcPr>
          <w:p w:rsidR="001943E0" w:rsidRPr="007F1889" w:rsidRDefault="001943E0" w:rsidP="008136BC">
            <w:pPr>
              <w:tabs>
                <w:tab w:val="clear" w:pos="284"/>
              </w:tabs>
              <w:ind w:left="72" w:hanging="72"/>
              <w:jc w:val="left"/>
              <w:rPr>
                <w:rFonts w:ascii="Times New Roman" w:hAnsi="Times New Roman"/>
                <w:b/>
                <w:bCs/>
                <w:sz w:val="22"/>
                <w:szCs w:val="22"/>
                <w:lang w:val="sr-Latn-ME"/>
              </w:rPr>
            </w:pPr>
            <w:r w:rsidRPr="007F1889">
              <w:rPr>
                <w:rFonts w:ascii="Times New Roman" w:hAnsi="Times New Roman"/>
                <w:b/>
                <w:bCs/>
                <w:sz w:val="22"/>
                <w:szCs w:val="22"/>
                <w:lang w:val="sr-Latn-ME"/>
              </w:rPr>
              <w:t>Ebewe Pharma Ges.m.b.h.Nfg.KG</w:t>
            </w:r>
          </w:p>
        </w:tc>
      </w:tr>
      <w:tr w:rsidR="001943E0" w:rsidRPr="007F1889" w:rsidTr="008136BC">
        <w:trPr>
          <w:trHeight w:val="360"/>
          <w:jc w:val="center"/>
        </w:trPr>
        <w:tc>
          <w:tcPr>
            <w:tcW w:w="2160" w:type="dxa"/>
            <w:vAlign w:val="bottom"/>
          </w:tcPr>
          <w:p w:rsidR="001943E0" w:rsidRPr="007F1889" w:rsidRDefault="001943E0" w:rsidP="008136BC">
            <w:pPr>
              <w:jc w:val="right"/>
              <w:rPr>
                <w:rFonts w:ascii="Times New Roman" w:hAnsi="Times New Roman"/>
                <w:sz w:val="22"/>
                <w:szCs w:val="22"/>
                <w:lang w:val="sr-Latn-ME"/>
              </w:rPr>
            </w:pPr>
            <w:r w:rsidRPr="007F1889">
              <w:rPr>
                <w:rFonts w:ascii="Times New Roman" w:hAnsi="Times New Roman"/>
                <w:sz w:val="22"/>
                <w:szCs w:val="22"/>
                <w:lang w:val="sr-Latn-ME"/>
              </w:rPr>
              <w:t>Adresa:</w:t>
            </w:r>
          </w:p>
        </w:tc>
        <w:tc>
          <w:tcPr>
            <w:tcW w:w="7200" w:type="dxa"/>
            <w:vAlign w:val="bottom"/>
          </w:tcPr>
          <w:p w:rsidR="001943E0" w:rsidRPr="007F1889" w:rsidRDefault="001943E0" w:rsidP="008136BC">
            <w:pPr>
              <w:tabs>
                <w:tab w:val="clear" w:pos="284"/>
              </w:tabs>
              <w:ind w:left="72" w:hanging="72"/>
              <w:jc w:val="left"/>
              <w:rPr>
                <w:rFonts w:ascii="Times New Roman" w:hAnsi="Times New Roman"/>
                <w:b/>
                <w:bCs/>
                <w:sz w:val="22"/>
                <w:szCs w:val="22"/>
                <w:lang w:val="sr-Latn-ME"/>
              </w:rPr>
            </w:pPr>
            <w:r w:rsidRPr="007F1889">
              <w:rPr>
                <w:rFonts w:ascii="Times New Roman" w:hAnsi="Times New Roman"/>
                <w:b/>
                <w:bCs/>
                <w:sz w:val="22"/>
                <w:szCs w:val="22"/>
                <w:lang w:val="sr-Latn-ME"/>
              </w:rPr>
              <w:t>Mondseestrasse 11, 4866 Unterach, Austrija</w:t>
            </w:r>
          </w:p>
        </w:tc>
      </w:tr>
      <w:tr w:rsidR="001943E0" w:rsidRPr="007F1889" w:rsidTr="008136BC">
        <w:trPr>
          <w:trHeight w:val="356"/>
          <w:jc w:val="center"/>
        </w:trPr>
        <w:tc>
          <w:tcPr>
            <w:tcW w:w="2160" w:type="dxa"/>
            <w:vAlign w:val="bottom"/>
          </w:tcPr>
          <w:p w:rsidR="001943E0" w:rsidRPr="007F1889" w:rsidRDefault="001943E0" w:rsidP="008136BC">
            <w:pPr>
              <w:jc w:val="right"/>
              <w:rPr>
                <w:rFonts w:ascii="Times New Roman" w:hAnsi="Times New Roman"/>
                <w:sz w:val="22"/>
                <w:szCs w:val="22"/>
                <w:lang w:val="sr-Latn-ME"/>
              </w:rPr>
            </w:pPr>
            <w:r w:rsidRPr="007F1889">
              <w:rPr>
                <w:rFonts w:ascii="Times New Roman" w:hAnsi="Times New Roman"/>
                <w:sz w:val="22"/>
                <w:szCs w:val="22"/>
                <w:lang w:val="sr-Latn-ME"/>
              </w:rPr>
              <w:t>Podnosilac zahtjeva:</w:t>
            </w:r>
          </w:p>
        </w:tc>
        <w:tc>
          <w:tcPr>
            <w:tcW w:w="7200" w:type="dxa"/>
            <w:vAlign w:val="bottom"/>
          </w:tcPr>
          <w:p w:rsidR="001943E0" w:rsidRPr="007F1889" w:rsidRDefault="001943E0" w:rsidP="008136BC">
            <w:pPr>
              <w:tabs>
                <w:tab w:val="clear" w:pos="284"/>
              </w:tabs>
              <w:ind w:left="72" w:hanging="72"/>
              <w:jc w:val="left"/>
              <w:rPr>
                <w:rFonts w:ascii="Times New Roman" w:hAnsi="Times New Roman"/>
                <w:b/>
                <w:bCs/>
                <w:sz w:val="22"/>
                <w:szCs w:val="22"/>
                <w:lang w:val="sr-Latn-ME"/>
              </w:rPr>
            </w:pPr>
            <w:r w:rsidRPr="007F1889">
              <w:rPr>
                <w:rFonts w:ascii="Times New Roman" w:hAnsi="Times New Roman"/>
                <w:b/>
                <w:sz w:val="22"/>
                <w:szCs w:val="22"/>
                <w:lang w:val="sr-Latn-ME"/>
              </w:rPr>
              <w:t xml:space="preserve">Glosarij d.o.o. </w:t>
            </w:r>
          </w:p>
        </w:tc>
      </w:tr>
      <w:tr w:rsidR="001943E0" w:rsidRPr="007F1889" w:rsidTr="008136BC">
        <w:trPr>
          <w:trHeight w:val="353"/>
          <w:jc w:val="center"/>
        </w:trPr>
        <w:tc>
          <w:tcPr>
            <w:tcW w:w="2160" w:type="dxa"/>
            <w:vAlign w:val="bottom"/>
          </w:tcPr>
          <w:p w:rsidR="001943E0" w:rsidRPr="007F1889" w:rsidRDefault="001943E0" w:rsidP="008136BC">
            <w:pPr>
              <w:jc w:val="right"/>
              <w:rPr>
                <w:rFonts w:ascii="Times New Roman" w:hAnsi="Times New Roman"/>
                <w:sz w:val="22"/>
                <w:szCs w:val="22"/>
                <w:lang w:val="sr-Latn-ME"/>
              </w:rPr>
            </w:pPr>
            <w:r w:rsidRPr="007F1889">
              <w:rPr>
                <w:rFonts w:ascii="Times New Roman" w:hAnsi="Times New Roman"/>
                <w:sz w:val="22"/>
                <w:szCs w:val="22"/>
                <w:lang w:val="sr-Latn-ME"/>
              </w:rPr>
              <w:t>Adresa:</w:t>
            </w:r>
          </w:p>
        </w:tc>
        <w:tc>
          <w:tcPr>
            <w:tcW w:w="7200" w:type="dxa"/>
            <w:vAlign w:val="bottom"/>
          </w:tcPr>
          <w:p w:rsidR="001943E0" w:rsidRPr="007F1889" w:rsidRDefault="001943E0" w:rsidP="008136BC">
            <w:pPr>
              <w:tabs>
                <w:tab w:val="clear" w:pos="284"/>
              </w:tabs>
              <w:ind w:left="72" w:hanging="72"/>
              <w:jc w:val="left"/>
              <w:rPr>
                <w:rFonts w:ascii="Times New Roman" w:hAnsi="Times New Roman"/>
                <w:b/>
                <w:bCs/>
                <w:sz w:val="22"/>
                <w:szCs w:val="22"/>
                <w:lang w:val="sr-Latn-ME"/>
              </w:rPr>
            </w:pPr>
            <w:r w:rsidRPr="007F1889">
              <w:rPr>
                <w:rFonts w:ascii="Times New Roman" w:hAnsi="Times New Roman"/>
                <w:b/>
                <w:sz w:val="22"/>
                <w:szCs w:val="22"/>
                <w:lang w:val="sr-Latn-ME"/>
              </w:rPr>
              <w:t>Vojislavljevica 76, Podgorica</w:t>
            </w:r>
          </w:p>
        </w:tc>
      </w:tr>
    </w:tbl>
    <w:p w:rsidR="001943E0" w:rsidRPr="007F1889" w:rsidRDefault="001943E0" w:rsidP="001943E0">
      <w:pPr>
        <w:pStyle w:val="Header"/>
        <w:tabs>
          <w:tab w:val="clear" w:pos="4536"/>
          <w:tab w:val="clear" w:pos="9072"/>
          <w:tab w:val="left" w:pos="284"/>
        </w:tabs>
        <w:rPr>
          <w:rFonts w:ascii="Times New Roman" w:hAnsi="Times New Roman"/>
          <w:sz w:val="22"/>
          <w:szCs w:val="22"/>
          <w:lang w:val="sr-Latn-ME"/>
        </w:rPr>
      </w:pPr>
    </w:p>
    <w:p w:rsidR="001943E0" w:rsidRPr="007F1889" w:rsidRDefault="001943E0" w:rsidP="001943E0">
      <w:pPr>
        <w:pStyle w:val="Header"/>
        <w:tabs>
          <w:tab w:val="clear" w:pos="4536"/>
          <w:tab w:val="clear" w:pos="9072"/>
          <w:tab w:val="left" w:pos="284"/>
        </w:tabs>
        <w:spacing w:before="400"/>
        <w:rPr>
          <w:rFonts w:ascii="Times New Roman" w:hAnsi="Times New Roman"/>
          <w:b/>
          <w:bCs/>
          <w:sz w:val="22"/>
          <w:szCs w:val="22"/>
          <w:lang w:val="sr-Latn-ME"/>
        </w:rPr>
      </w:pPr>
      <w:r w:rsidRPr="007F1889">
        <w:rPr>
          <w:rFonts w:ascii="Times New Roman" w:hAnsi="Times New Roman"/>
          <w:sz w:val="22"/>
          <w:szCs w:val="22"/>
          <w:lang w:val="sr-Latn-ME"/>
        </w:rPr>
        <w:br w:type="page"/>
      </w:r>
    </w:p>
    <w:p w:rsidR="00330BA9" w:rsidRPr="007F1889" w:rsidRDefault="00330BA9" w:rsidP="008136BC">
      <w:pPr>
        <w:pStyle w:val="Header"/>
        <w:tabs>
          <w:tab w:val="clear" w:pos="4536"/>
          <w:tab w:val="clear" w:pos="9072"/>
          <w:tab w:val="left" w:pos="284"/>
        </w:tabs>
        <w:rPr>
          <w:rFonts w:ascii="Times New Roman" w:hAnsi="Times New Roman"/>
          <w:b/>
          <w:bCs/>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b/>
          <w:bCs/>
          <w:sz w:val="22"/>
          <w:szCs w:val="22"/>
          <w:lang w:val="sr-Latn-ME"/>
        </w:rPr>
      </w:pPr>
      <w:r w:rsidRPr="007F1889">
        <w:rPr>
          <w:rFonts w:ascii="Times New Roman" w:hAnsi="Times New Roman"/>
          <w:b/>
          <w:bCs/>
          <w:sz w:val="22"/>
          <w:szCs w:val="22"/>
          <w:lang w:val="sr-Latn-ME"/>
        </w:rPr>
        <w:t>1. IME LIJEKA</w:t>
      </w:r>
    </w:p>
    <w:p w:rsidR="00330BA9" w:rsidRPr="007F1889" w:rsidRDefault="00330BA9" w:rsidP="008136BC">
      <w:pPr>
        <w:pStyle w:val="Header"/>
        <w:tabs>
          <w:tab w:val="clear" w:pos="4536"/>
          <w:tab w:val="clear" w:pos="9072"/>
          <w:tab w:val="left" w:pos="284"/>
        </w:tabs>
        <w:rPr>
          <w:rFonts w:ascii="Times New Roman" w:hAnsi="Times New Roman"/>
          <w:b/>
          <w:bCs/>
          <w:sz w:val="22"/>
          <w:szCs w:val="22"/>
          <w:lang w:val="sr-Latn-ME"/>
        </w:rPr>
      </w:pPr>
    </w:p>
    <w:p w:rsidR="00330BA9" w:rsidRPr="007F1889" w:rsidRDefault="00330BA9" w:rsidP="008136BC">
      <w:pPr>
        <w:tabs>
          <w:tab w:val="clear" w:pos="284"/>
        </w:tabs>
        <w:autoSpaceDE w:val="0"/>
        <w:autoSpaceDN w:val="0"/>
        <w:adjustRightInd w:val="0"/>
        <w:jc w:val="left"/>
        <w:rPr>
          <w:rFonts w:ascii="Times New Roman" w:hAnsi="Times New Roman"/>
          <w:bCs/>
          <w:sz w:val="22"/>
          <w:szCs w:val="22"/>
          <w:lang w:val="sr-Latn-ME" w:eastAsia="zh-TW"/>
        </w:rPr>
      </w:pPr>
      <w:r w:rsidRPr="007F1889">
        <w:rPr>
          <w:rFonts w:ascii="Times New Roman" w:hAnsi="Times New Roman"/>
          <w:bCs/>
          <w:sz w:val="22"/>
          <w:szCs w:val="22"/>
          <w:lang w:val="sr-Latn-ME" w:eastAsia="zh-TW"/>
        </w:rPr>
        <w:t>5-Fluorouracil Ebewe®, 250mg/5ml, koncentrat za rastvor za injekciju/infuziju</w:t>
      </w:r>
    </w:p>
    <w:p w:rsidR="00330BA9" w:rsidRPr="007F1889" w:rsidRDefault="00330BA9" w:rsidP="008136BC">
      <w:pPr>
        <w:tabs>
          <w:tab w:val="clear" w:pos="284"/>
        </w:tabs>
        <w:autoSpaceDE w:val="0"/>
        <w:autoSpaceDN w:val="0"/>
        <w:adjustRightInd w:val="0"/>
        <w:jc w:val="left"/>
        <w:rPr>
          <w:rFonts w:ascii="Times New Roman" w:hAnsi="Times New Roman"/>
          <w:bCs/>
          <w:sz w:val="22"/>
          <w:szCs w:val="22"/>
          <w:lang w:val="sr-Latn-ME" w:eastAsia="zh-TW"/>
        </w:rPr>
      </w:pPr>
      <w:r w:rsidRPr="007F1889">
        <w:rPr>
          <w:rFonts w:ascii="Times New Roman" w:hAnsi="Times New Roman"/>
          <w:bCs/>
          <w:sz w:val="22"/>
          <w:szCs w:val="22"/>
          <w:lang w:val="sr-Latn-ME" w:eastAsia="zh-TW"/>
        </w:rPr>
        <w:t xml:space="preserve">5-Fluorouracil Ebewe®, 500mg/10ml, koncentrat za rastvor za injekciju/infuziju </w:t>
      </w:r>
    </w:p>
    <w:p w:rsidR="00330BA9" w:rsidRPr="007F1889" w:rsidRDefault="00330BA9" w:rsidP="008136BC">
      <w:pPr>
        <w:tabs>
          <w:tab w:val="clear" w:pos="284"/>
        </w:tabs>
        <w:autoSpaceDE w:val="0"/>
        <w:autoSpaceDN w:val="0"/>
        <w:adjustRightInd w:val="0"/>
        <w:jc w:val="left"/>
        <w:rPr>
          <w:rFonts w:ascii="Times New Roman" w:hAnsi="Times New Roman"/>
          <w:bCs/>
          <w:sz w:val="22"/>
          <w:szCs w:val="22"/>
          <w:lang w:val="sr-Latn-ME" w:eastAsia="zh-TW"/>
        </w:rPr>
      </w:pPr>
      <w:r w:rsidRPr="007F1889">
        <w:rPr>
          <w:rFonts w:ascii="Times New Roman" w:hAnsi="Times New Roman"/>
          <w:bCs/>
          <w:sz w:val="22"/>
          <w:szCs w:val="22"/>
          <w:lang w:val="sr-Latn-ME" w:eastAsia="zh-TW"/>
        </w:rPr>
        <w:t xml:space="preserve">5-Fluorouracil Ebewe®, 1000mg/20ml, koncentrat za rastvor za injekciju/infuziju </w:t>
      </w:r>
    </w:p>
    <w:p w:rsidR="00330BA9" w:rsidRPr="007F1889" w:rsidRDefault="00330BA9" w:rsidP="008136BC">
      <w:pPr>
        <w:tabs>
          <w:tab w:val="clear" w:pos="284"/>
        </w:tabs>
        <w:autoSpaceDE w:val="0"/>
        <w:autoSpaceDN w:val="0"/>
        <w:adjustRightInd w:val="0"/>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r w:rsidRPr="007F1889">
        <w:rPr>
          <w:rFonts w:ascii="Times New Roman" w:hAnsi="Times New Roman"/>
          <w:sz w:val="22"/>
          <w:szCs w:val="22"/>
          <w:lang w:val="sr-Latn-ME"/>
        </w:rPr>
        <w:t>INN:</w:t>
      </w:r>
      <w:r w:rsidR="007F1889">
        <w:rPr>
          <w:rFonts w:ascii="Times New Roman" w:hAnsi="Times New Roman"/>
          <w:sz w:val="22"/>
          <w:szCs w:val="22"/>
          <w:lang w:val="sr-Latn-ME"/>
        </w:rPr>
        <w:t xml:space="preserve"> </w:t>
      </w:r>
      <w:r w:rsidRPr="007F1889">
        <w:rPr>
          <w:rFonts w:ascii="Times New Roman" w:hAnsi="Times New Roman"/>
          <w:sz w:val="22"/>
          <w:szCs w:val="22"/>
          <w:lang w:val="sr-Latn-ME"/>
        </w:rPr>
        <w:t>Fluorouracil</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jc w:val="left"/>
        <w:rPr>
          <w:rFonts w:ascii="Times New Roman" w:hAnsi="Times New Roman"/>
          <w:b/>
          <w:bCs/>
          <w:sz w:val="22"/>
          <w:szCs w:val="22"/>
          <w:lang w:val="sr-Latn-ME"/>
        </w:rPr>
      </w:pPr>
      <w:r w:rsidRPr="007F1889">
        <w:rPr>
          <w:rFonts w:ascii="Times New Roman" w:hAnsi="Times New Roman"/>
          <w:b/>
          <w:bCs/>
          <w:sz w:val="22"/>
          <w:szCs w:val="22"/>
          <w:lang w:val="sr-Latn-ME"/>
        </w:rPr>
        <w:t>2. KVALITATIVNI I KVANTITATIVNI SASTAV</w:t>
      </w:r>
    </w:p>
    <w:p w:rsidR="00330BA9" w:rsidRPr="007F1889" w:rsidRDefault="00330BA9" w:rsidP="008136BC">
      <w:pPr>
        <w:pStyle w:val="Header"/>
        <w:tabs>
          <w:tab w:val="clear" w:pos="4536"/>
          <w:tab w:val="clear" w:pos="9072"/>
          <w:tab w:val="left" w:pos="284"/>
        </w:tabs>
        <w:jc w:val="left"/>
        <w:rPr>
          <w:rFonts w:ascii="Times New Roman" w:hAnsi="Times New Roman"/>
          <w:b/>
          <w:bCs/>
          <w:sz w:val="22"/>
          <w:szCs w:val="22"/>
          <w:lang w:val="sr-Latn-ME"/>
        </w:rPr>
      </w:pPr>
    </w:p>
    <w:p w:rsidR="00330BA9" w:rsidRPr="007F1889" w:rsidRDefault="00330BA9" w:rsidP="008136BC">
      <w:pPr>
        <w:tabs>
          <w:tab w:val="clear" w:pos="284"/>
        </w:tabs>
        <w:autoSpaceDE w:val="0"/>
        <w:autoSpaceDN w:val="0"/>
        <w:adjustRightInd w:val="0"/>
        <w:jc w:val="left"/>
        <w:rPr>
          <w:rFonts w:ascii="Times New Roman" w:hAnsi="Times New Roman"/>
          <w:sz w:val="22"/>
          <w:szCs w:val="22"/>
          <w:lang w:val="sr-Latn-ME" w:eastAsia="zh-TW"/>
        </w:rPr>
      </w:pPr>
      <w:r w:rsidRPr="007F1889">
        <w:rPr>
          <w:rFonts w:ascii="Times New Roman" w:hAnsi="Times New Roman"/>
          <w:sz w:val="22"/>
          <w:szCs w:val="22"/>
          <w:lang w:val="sr-Latn-ME" w:eastAsia="zh-TW"/>
        </w:rPr>
        <w:t>1 ml koncentrata za rastvor za injekciju/infuziju sadrži 50 mg fluorouracila.</w:t>
      </w:r>
    </w:p>
    <w:p w:rsidR="00330BA9" w:rsidRPr="007F1889" w:rsidRDefault="00330BA9" w:rsidP="008136BC">
      <w:pPr>
        <w:tabs>
          <w:tab w:val="clear" w:pos="284"/>
        </w:tabs>
        <w:autoSpaceDE w:val="0"/>
        <w:autoSpaceDN w:val="0"/>
        <w:adjustRightInd w:val="0"/>
        <w:jc w:val="left"/>
        <w:rPr>
          <w:rFonts w:ascii="Times New Roman" w:hAnsi="Times New Roman"/>
          <w:bCs/>
          <w:sz w:val="22"/>
          <w:szCs w:val="22"/>
          <w:u w:val="single"/>
          <w:lang w:val="sr-Latn-ME" w:eastAsia="zh-TW"/>
        </w:rPr>
      </w:pPr>
    </w:p>
    <w:p w:rsidR="00330BA9" w:rsidRPr="007F1889" w:rsidRDefault="00330BA9" w:rsidP="008136BC">
      <w:pPr>
        <w:tabs>
          <w:tab w:val="clear" w:pos="284"/>
        </w:tabs>
        <w:autoSpaceDE w:val="0"/>
        <w:autoSpaceDN w:val="0"/>
        <w:adjustRightInd w:val="0"/>
        <w:jc w:val="left"/>
        <w:rPr>
          <w:rFonts w:ascii="Times New Roman" w:hAnsi="Times New Roman"/>
          <w:bCs/>
          <w:sz w:val="22"/>
          <w:szCs w:val="22"/>
          <w:u w:val="single"/>
          <w:lang w:val="sr-Latn-ME" w:eastAsia="zh-TW"/>
        </w:rPr>
      </w:pPr>
      <w:r w:rsidRPr="007F1889">
        <w:rPr>
          <w:rFonts w:ascii="Times New Roman" w:hAnsi="Times New Roman"/>
          <w:bCs/>
          <w:sz w:val="22"/>
          <w:szCs w:val="22"/>
          <w:u w:val="single"/>
          <w:lang w:val="sr-Latn-ME" w:eastAsia="zh-TW"/>
        </w:rPr>
        <w:t>5-Fluorouracil Ebewe®, 250mg/5ml, koncentrat za rastvor za injekciju/infuziju</w:t>
      </w:r>
    </w:p>
    <w:p w:rsidR="00330BA9" w:rsidRPr="007F1889" w:rsidRDefault="00330BA9" w:rsidP="008136BC">
      <w:pPr>
        <w:tabs>
          <w:tab w:val="clear" w:pos="284"/>
        </w:tabs>
        <w:autoSpaceDE w:val="0"/>
        <w:autoSpaceDN w:val="0"/>
        <w:adjustRightInd w:val="0"/>
        <w:jc w:val="left"/>
        <w:rPr>
          <w:rFonts w:ascii="Times New Roman" w:hAnsi="Times New Roman"/>
          <w:sz w:val="22"/>
          <w:szCs w:val="22"/>
          <w:lang w:val="sr-Latn-ME" w:eastAsia="zh-TW"/>
        </w:rPr>
      </w:pPr>
      <w:r w:rsidRPr="007F1889">
        <w:rPr>
          <w:rFonts w:ascii="Times New Roman" w:hAnsi="Times New Roman"/>
          <w:sz w:val="22"/>
          <w:szCs w:val="22"/>
          <w:lang w:val="sr-Latn-ME" w:eastAsia="zh-TW"/>
        </w:rPr>
        <w:t>Bočica od 5ml sadrži 250mg fluorouracila.</w:t>
      </w:r>
    </w:p>
    <w:p w:rsidR="00330BA9" w:rsidRPr="007F1889" w:rsidRDefault="00330BA9" w:rsidP="008136BC">
      <w:pPr>
        <w:tabs>
          <w:tab w:val="clear" w:pos="284"/>
        </w:tabs>
        <w:autoSpaceDE w:val="0"/>
        <w:autoSpaceDN w:val="0"/>
        <w:adjustRightInd w:val="0"/>
        <w:jc w:val="left"/>
        <w:rPr>
          <w:rFonts w:ascii="Times New Roman" w:hAnsi="Times New Roman"/>
          <w:sz w:val="22"/>
          <w:szCs w:val="22"/>
          <w:lang w:val="sr-Latn-ME" w:eastAsia="zh-TW"/>
        </w:rPr>
      </w:pPr>
    </w:p>
    <w:p w:rsidR="00330BA9" w:rsidRPr="007F1889" w:rsidRDefault="00330BA9" w:rsidP="008136BC">
      <w:pPr>
        <w:tabs>
          <w:tab w:val="clear" w:pos="284"/>
        </w:tabs>
        <w:autoSpaceDE w:val="0"/>
        <w:autoSpaceDN w:val="0"/>
        <w:adjustRightInd w:val="0"/>
        <w:jc w:val="left"/>
        <w:rPr>
          <w:rFonts w:ascii="Times New Roman" w:hAnsi="Times New Roman"/>
          <w:bCs/>
          <w:sz w:val="22"/>
          <w:szCs w:val="22"/>
          <w:u w:val="single"/>
          <w:lang w:val="sr-Latn-ME" w:eastAsia="zh-TW"/>
        </w:rPr>
      </w:pPr>
      <w:r w:rsidRPr="007F1889">
        <w:rPr>
          <w:rFonts w:ascii="Times New Roman" w:hAnsi="Times New Roman"/>
          <w:bCs/>
          <w:sz w:val="22"/>
          <w:szCs w:val="22"/>
          <w:u w:val="single"/>
          <w:lang w:val="sr-Latn-ME" w:eastAsia="zh-TW"/>
        </w:rPr>
        <w:t xml:space="preserve">5-Fluorouracil Ebewe®, 500mg/10ml, koncentrat za rastvor za injekciju/infuziju </w:t>
      </w:r>
    </w:p>
    <w:p w:rsidR="00330BA9" w:rsidRPr="007F1889" w:rsidRDefault="00330BA9" w:rsidP="008136BC">
      <w:pPr>
        <w:tabs>
          <w:tab w:val="clear" w:pos="284"/>
        </w:tabs>
        <w:autoSpaceDE w:val="0"/>
        <w:autoSpaceDN w:val="0"/>
        <w:adjustRightInd w:val="0"/>
        <w:jc w:val="left"/>
        <w:rPr>
          <w:rFonts w:ascii="Times New Roman" w:hAnsi="Times New Roman"/>
          <w:sz w:val="22"/>
          <w:szCs w:val="22"/>
          <w:lang w:val="sr-Latn-ME" w:eastAsia="zh-TW"/>
        </w:rPr>
      </w:pPr>
      <w:r w:rsidRPr="007F1889">
        <w:rPr>
          <w:rFonts w:ascii="Times New Roman" w:hAnsi="Times New Roman"/>
          <w:sz w:val="22"/>
          <w:szCs w:val="22"/>
          <w:lang w:val="sr-Latn-ME" w:eastAsia="zh-TW"/>
        </w:rPr>
        <w:t>Bočica od 10 ml sadrži 500mg fluorouracila.</w:t>
      </w:r>
    </w:p>
    <w:p w:rsidR="00330BA9" w:rsidRPr="007F1889" w:rsidRDefault="00330BA9" w:rsidP="008136BC">
      <w:pPr>
        <w:tabs>
          <w:tab w:val="clear" w:pos="284"/>
        </w:tabs>
        <w:autoSpaceDE w:val="0"/>
        <w:autoSpaceDN w:val="0"/>
        <w:adjustRightInd w:val="0"/>
        <w:jc w:val="left"/>
        <w:rPr>
          <w:rFonts w:ascii="Times New Roman" w:hAnsi="Times New Roman"/>
          <w:sz w:val="22"/>
          <w:szCs w:val="22"/>
          <w:lang w:val="sr-Latn-ME" w:eastAsia="zh-TW"/>
        </w:rPr>
      </w:pPr>
    </w:p>
    <w:p w:rsidR="00330BA9" w:rsidRPr="007F1889" w:rsidRDefault="00330BA9" w:rsidP="008136BC">
      <w:pPr>
        <w:tabs>
          <w:tab w:val="clear" w:pos="284"/>
        </w:tabs>
        <w:autoSpaceDE w:val="0"/>
        <w:autoSpaceDN w:val="0"/>
        <w:adjustRightInd w:val="0"/>
        <w:jc w:val="left"/>
        <w:rPr>
          <w:rFonts w:ascii="Times New Roman" w:hAnsi="Times New Roman"/>
          <w:bCs/>
          <w:sz w:val="22"/>
          <w:szCs w:val="22"/>
          <w:u w:val="single"/>
          <w:lang w:val="sr-Latn-ME" w:eastAsia="zh-TW"/>
        </w:rPr>
      </w:pPr>
      <w:r w:rsidRPr="007F1889">
        <w:rPr>
          <w:rFonts w:ascii="Times New Roman" w:hAnsi="Times New Roman"/>
          <w:bCs/>
          <w:sz w:val="22"/>
          <w:szCs w:val="22"/>
          <w:u w:val="single"/>
          <w:lang w:val="sr-Latn-ME" w:eastAsia="zh-TW"/>
        </w:rPr>
        <w:t xml:space="preserve">5-Fluorouracil Ebewe®, 1000mg/20ml, koncentrat za rastvor za injekciju/infuziju </w:t>
      </w:r>
    </w:p>
    <w:p w:rsidR="00330BA9" w:rsidRPr="007F1889" w:rsidRDefault="00330BA9" w:rsidP="008136BC">
      <w:pPr>
        <w:tabs>
          <w:tab w:val="clear" w:pos="284"/>
        </w:tabs>
        <w:autoSpaceDE w:val="0"/>
        <w:autoSpaceDN w:val="0"/>
        <w:adjustRightInd w:val="0"/>
        <w:jc w:val="left"/>
        <w:rPr>
          <w:rFonts w:ascii="Times New Roman" w:hAnsi="Times New Roman"/>
          <w:sz w:val="22"/>
          <w:szCs w:val="22"/>
          <w:lang w:val="sr-Latn-ME" w:eastAsia="zh-TW"/>
        </w:rPr>
      </w:pPr>
      <w:r w:rsidRPr="007F1889">
        <w:rPr>
          <w:rFonts w:ascii="Times New Roman" w:hAnsi="Times New Roman"/>
          <w:sz w:val="22"/>
          <w:szCs w:val="22"/>
          <w:lang w:val="sr-Latn-ME" w:eastAsia="zh-TW"/>
        </w:rPr>
        <w:t>Bočica od 20 ml sadrži 1000mg fluorouracila.</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330BA9" w:rsidRPr="007F1889" w:rsidRDefault="00330BA9" w:rsidP="008136BC">
      <w:pPr>
        <w:rPr>
          <w:rFonts w:ascii="Times New Roman" w:hAnsi="Times New Roman"/>
          <w:sz w:val="22"/>
          <w:szCs w:val="22"/>
          <w:lang w:val="sr-Latn-ME"/>
        </w:rPr>
      </w:pPr>
      <w:r w:rsidRPr="007F1889">
        <w:rPr>
          <w:rFonts w:ascii="Times New Roman" w:hAnsi="Times New Roman"/>
          <w:sz w:val="22"/>
          <w:szCs w:val="22"/>
          <w:lang w:val="sr-Latn-ME"/>
        </w:rPr>
        <w:t>Pomoćne supstance sa potvrđenim dejstvom:</w:t>
      </w:r>
    </w:p>
    <w:p w:rsidR="00330BA9" w:rsidRPr="007F1889" w:rsidRDefault="00330BA9" w:rsidP="008136BC">
      <w:pPr>
        <w:rPr>
          <w:rFonts w:ascii="Times New Roman" w:hAnsi="Times New Roman"/>
          <w:sz w:val="22"/>
          <w:szCs w:val="22"/>
          <w:lang w:val="sr-Latn-ME"/>
        </w:rPr>
      </w:pPr>
      <w:r w:rsidRPr="007F1889">
        <w:rPr>
          <w:rFonts w:ascii="Times New Roman" w:hAnsi="Times New Roman"/>
          <w:sz w:val="22"/>
          <w:szCs w:val="22"/>
          <w:lang w:val="sr-Latn-ME"/>
        </w:rPr>
        <w:t>Lijek 5-Fluorouarcil Ebewe sadrži 0,4 mmol/ml (8,8 mg/ml) natrijuma.</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r w:rsidRPr="007F1889">
        <w:rPr>
          <w:rFonts w:ascii="Times New Roman" w:hAnsi="Times New Roman"/>
          <w:sz w:val="22"/>
          <w:szCs w:val="22"/>
          <w:lang w:val="sr-Latn-ME"/>
        </w:rPr>
        <w:t>Za pomoćne supstance, vidjeti odjeljak 6.1.</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jc w:val="left"/>
        <w:rPr>
          <w:rFonts w:ascii="Times New Roman" w:hAnsi="Times New Roman"/>
          <w:b/>
          <w:bCs/>
          <w:sz w:val="22"/>
          <w:szCs w:val="22"/>
          <w:lang w:val="sr-Latn-ME"/>
        </w:rPr>
      </w:pPr>
      <w:r w:rsidRPr="007F1889">
        <w:rPr>
          <w:rFonts w:ascii="Times New Roman" w:hAnsi="Times New Roman"/>
          <w:b/>
          <w:bCs/>
          <w:sz w:val="22"/>
          <w:szCs w:val="22"/>
          <w:lang w:val="sr-Latn-ME"/>
        </w:rPr>
        <w:t>3. FARMACEUTSKI OBLIK</w:t>
      </w:r>
    </w:p>
    <w:p w:rsidR="00330BA9" w:rsidRPr="007F1889" w:rsidRDefault="00330BA9" w:rsidP="008136BC">
      <w:pPr>
        <w:pStyle w:val="Header"/>
        <w:tabs>
          <w:tab w:val="clear" w:pos="4536"/>
          <w:tab w:val="clear" w:pos="9072"/>
          <w:tab w:val="left" w:pos="284"/>
        </w:tabs>
        <w:jc w:val="left"/>
        <w:rPr>
          <w:rFonts w:ascii="Times New Roman" w:hAnsi="Times New Roman"/>
          <w:b/>
          <w:bCs/>
          <w:sz w:val="22"/>
          <w:szCs w:val="22"/>
          <w:lang w:val="sr-Latn-ME"/>
        </w:rPr>
      </w:pP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r w:rsidRPr="007F1889">
        <w:rPr>
          <w:rFonts w:ascii="Times New Roman" w:hAnsi="Times New Roman"/>
          <w:sz w:val="22"/>
          <w:szCs w:val="22"/>
          <w:lang w:val="sr-Latn-ME"/>
        </w:rPr>
        <w:t>Koncentrat za rastvor za injekciju/infuziju.</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eastAsia="zh-TW"/>
        </w:rPr>
      </w:pPr>
      <w:r w:rsidRPr="007F1889">
        <w:rPr>
          <w:rFonts w:ascii="Times New Roman" w:hAnsi="Times New Roman"/>
          <w:sz w:val="22"/>
          <w:szCs w:val="22"/>
          <w:lang w:val="sr-Latn-ME" w:eastAsia="zh-TW"/>
        </w:rPr>
        <w:t>Bistar, bezbojan do blijedo žut rastvor.</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eastAsia="zh-TW"/>
        </w:rPr>
      </w:pP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jc w:val="left"/>
        <w:rPr>
          <w:rFonts w:ascii="Times New Roman" w:hAnsi="Times New Roman"/>
          <w:b/>
          <w:bCs/>
          <w:sz w:val="22"/>
          <w:szCs w:val="22"/>
          <w:lang w:val="sr-Latn-ME"/>
        </w:rPr>
      </w:pPr>
      <w:r w:rsidRPr="007F1889">
        <w:rPr>
          <w:rFonts w:ascii="Times New Roman" w:hAnsi="Times New Roman"/>
          <w:b/>
          <w:bCs/>
          <w:sz w:val="22"/>
          <w:szCs w:val="22"/>
          <w:lang w:val="sr-Latn-ME"/>
        </w:rPr>
        <w:t>4. KLINIČKI PODACI</w:t>
      </w:r>
    </w:p>
    <w:p w:rsidR="00330BA9" w:rsidRPr="007F1889" w:rsidRDefault="00330BA9" w:rsidP="008136BC">
      <w:pPr>
        <w:pStyle w:val="Header"/>
        <w:tabs>
          <w:tab w:val="clear" w:pos="4536"/>
          <w:tab w:val="clear" w:pos="9072"/>
          <w:tab w:val="left" w:pos="284"/>
        </w:tabs>
        <w:jc w:val="left"/>
        <w:rPr>
          <w:rFonts w:ascii="Times New Roman" w:hAnsi="Times New Roman"/>
          <w:b/>
          <w:bCs/>
          <w:sz w:val="22"/>
          <w:szCs w:val="22"/>
          <w:lang w:val="sr-Latn-ME"/>
        </w:rPr>
      </w:pPr>
    </w:p>
    <w:p w:rsidR="00330BA9" w:rsidRPr="007F1889" w:rsidRDefault="00330BA9" w:rsidP="008136BC">
      <w:pPr>
        <w:pStyle w:val="Header"/>
        <w:tabs>
          <w:tab w:val="clear" w:pos="4536"/>
          <w:tab w:val="clear" w:pos="9072"/>
          <w:tab w:val="left" w:pos="284"/>
        </w:tabs>
        <w:spacing w:before="80" w:after="80"/>
        <w:jc w:val="left"/>
        <w:rPr>
          <w:rFonts w:ascii="Times New Roman" w:hAnsi="Times New Roman"/>
          <w:b/>
          <w:bCs/>
          <w:sz w:val="22"/>
          <w:szCs w:val="22"/>
          <w:lang w:val="sr-Latn-ME"/>
        </w:rPr>
      </w:pPr>
      <w:r w:rsidRPr="007F1889">
        <w:rPr>
          <w:rFonts w:ascii="Times New Roman" w:hAnsi="Times New Roman"/>
          <w:b/>
          <w:bCs/>
          <w:sz w:val="22"/>
          <w:szCs w:val="22"/>
          <w:lang w:val="sr-Latn-ME"/>
        </w:rPr>
        <w:t>4.1. Terapijske indikacije</w:t>
      </w:r>
    </w:p>
    <w:p w:rsidR="00330BA9" w:rsidRPr="007F1889" w:rsidRDefault="00330BA9" w:rsidP="008136BC">
      <w:pPr>
        <w:pStyle w:val="Header"/>
        <w:tabs>
          <w:tab w:val="clear" w:pos="4536"/>
          <w:tab w:val="clear" w:pos="9072"/>
          <w:tab w:val="left" w:pos="284"/>
        </w:tabs>
        <w:jc w:val="left"/>
        <w:rPr>
          <w:rFonts w:ascii="Times New Roman" w:hAnsi="Times New Roman"/>
          <w:bCs/>
          <w:sz w:val="22"/>
          <w:szCs w:val="22"/>
          <w:lang w:val="sr-Latn-ME"/>
        </w:rPr>
      </w:pPr>
      <w:r w:rsidRPr="007F1889">
        <w:rPr>
          <w:rFonts w:ascii="Times New Roman" w:hAnsi="Times New Roman"/>
          <w:bCs/>
          <w:sz w:val="22"/>
          <w:szCs w:val="22"/>
          <w:lang w:val="sr-Latn-ME"/>
        </w:rPr>
        <w:t>Fluorouracil je indikovan u terapiji sljedećih malignih oboljenja:</w:t>
      </w:r>
    </w:p>
    <w:p w:rsidR="00330BA9" w:rsidRPr="007F1889" w:rsidRDefault="00330BA9" w:rsidP="007F1889">
      <w:pPr>
        <w:pStyle w:val="Header"/>
        <w:numPr>
          <w:ilvl w:val="0"/>
          <w:numId w:val="2"/>
        </w:numPr>
        <w:tabs>
          <w:tab w:val="clear" w:pos="4536"/>
          <w:tab w:val="clear" w:pos="9072"/>
          <w:tab w:val="left" w:pos="284"/>
        </w:tabs>
        <w:ind w:left="284" w:hanging="284"/>
        <w:rPr>
          <w:rFonts w:ascii="Times New Roman" w:hAnsi="Times New Roman"/>
          <w:bCs/>
          <w:sz w:val="22"/>
          <w:szCs w:val="22"/>
          <w:lang w:val="sr-Latn-ME"/>
        </w:rPr>
      </w:pPr>
      <w:r w:rsidRPr="007F1889">
        <w:rPr>
          <w:rFonts w:ascii="Times New Roman" w:hAnsi="Times New Roman"/>
          <w:bCs/>
          <w:sz w:val="22"/>
          <w:szCs w:val="22"/>
          <w:lang w:val="sr-Latn-ME"/>
        </w:rPr>
        <w:t>terapija metastatskog kolorektalnog karcinoma</w:t>
      </w:r>
    </w:p>
    <w:p w:rsidR="00330BA9" w:rsidRPr="007F1889" w:rsidRDefault="00330BA9" w:rsidP="007F1889">
      <w:pPr>
        <w:pStyle w:val="Header"/>
        <w:numPr>
          <w:ilvl w:val="0"/>
          <w:numId w:val="2"/>
        </w:numPr>
        <w:tabs>
          <w:tab w:val="clear" w:pos="4536"/>
          <w:tab w:val="clear" w:pos="9072"/>
          <w:tab w:val="left" w:pos="284"/>
        </w:tabs>
        <w:ind w:left="284" w:hanging="284"/>
        <w:rPr>
          <w:rFonts w:ascii="Times New Roman" w:hAnsi="Times New Roman"/>
          <w:bCs/>
          <w:sz w:val="22"/>
          <w:szCs w:val="22"/>
          <w:lang w:val="sr-Latn-ME"/>
        </w:rPr>
      </w:pPr>
      <w:r w:rsidRPr="007F1889">
        <w:rPr>
          <w:rFonts w:ascii="Times New Roman" w:hAnsi="Times New Roman"/>
          <w:bCs/>
          <w:sz w:val="22"/>
          <w:szCs w:val="22"/>
          <w:lang w:val="sr-Latn-ME"/>
        </w:rPr>
        <w:t>kao adjuvantna terapija kod karcinoma kolona i rektuma</w:t>
      </w:r>
    </w:p>
    <w:p w:rsidR="00330BA9" w:rsidRPr="007F1889" w:rsidRDefault="00330BA9" w:rsidP="007F1889">
      <w:pPr>
        <w:pStyle w:val="Header"/>
        <w:numPr>
          <w:ilvl w:val="0"/>
          <w:numId w:val="2"/>
        </w:numPr>
        <w:tabs>
          <w:tab w:val="clear" w:pos="4536"/>
          <w:tab w:val="clear" w:pos="9072"/>
          <w:tab w:val="left" w:pos="284"/>
        </w:tabs>
        <w:ind w:left="284" w:hanging="284"/>
        <w:rPr>
          <w:rFonts w:ascii="Times New Roman" w:hAnsi="Times New Roman"/>
          <w:bCs/>
          <w:sz w:val="22"/>
          <w:szCs w:val="22"/>
          <w:lang w:val="sr-Latn-ME"/>
        </w:rPr>
      </w:pPr>
      <w:r w:rsidRPr="007F1889">
        <w:rPr>
          <w:rFonts w:ascii="Times New Roman" w:hAnsi="Times New Roman"/>
          <w:bCs/>
          <w:sz w:val="22"/>
          <w:szCs w:val="22"/>
          <w:lang w:val="sr-Latn-ME"/>
        </w:rPr>
        <w:t>terapija uznapredovalog karcinoma želuca</w:t>
      </w:r>
    </w:p>
    <w:p w:rsidR="00330BA9" w:rsidRPr="007F1889" w:rsidRDefault="00330BA9" w:rsidP="007F1889">
      <w:pPr>
        <w:pStyle w:val="Header"/>
        <w:numPr>
          <w:ilvl w:val="0"/>
          <w:numId w:val="2"/>
        </w:numPr>
        <w:tabs>
          <w:tab w:val="clear" w:pos="4536"/>
          <w:tab w:val="clear" w:pos="9072"/>
          <w:tab w:val="left" w:pos="284"/>
        </w:tabs>
        <w:ind w:left="284" w:hanging="284"/>
        <w:rPr>
          <w:rFonts w:ascii="Times New Roman" w:hAnsi="Times New Roman"/>
          <w:bCs/>
          <w:sz w:val="22"/>
          <w:szCs w:val="22"/>
          <w:lang w:val="sr-Latn-ME"/>
        </w:rPr>
      </w:pPr>
      <w:r w:rsidRPr="007F1889">
        <w:rPr>
          <w:rFonts w:ascii="Times New Roman" w:hAnsi="Times New Roman"/>
          <w:bCs/>
          <w:sz w:val="22"/>
          <w:szCs w:val="22"/>
          <w:lang w:val="sr-Latn-ME"/>
        </w:rPr>
        <w:t>terapija uznapredovalog karcinoma pankreasa</w:t>
      </w:r>
    </w:p>
    <w:p w:rsidR="00330BA9" w:rsidRPr="007F1889" w:rsidRDefault="00330BA9" w:rsidP="007F1889">
      <w:pPr>
        <w:pStyle w:val="Header"/>
        <w:numPr>
          <w:ilvl w:val="0"/>
          <w:numId w:val="2"/>
        </w:numPr>
        <w:tabs>
          <w:tab w:val="clear" w:pos="4536"/>
          <w:tab w:val="clear" w:pos="9072"/>
          <w:tab w:val="left" w:pos="284"/>
        </w:tabs>
        <w:ind w:left="284" w:hanging="284"/>
        <w:rPr>
          <w:rFonts w:ascii="Times New Roman" w:hAnsi="Times New Roman"/>
          <w:bCs/>
          <w:sz w:val="22"/>
          <w:szCs w:val="22"/>
          <w:lang w:val="sr-Latn-ME"/>
        </w:rPr>
      </w:pPr>
      <w:r w:rsidRPr="007F1889">
        <w:rPr>
          <w:rFonts w:ascii="Times New Roman" w:hAnsi="Times New Roman"/>
          <w:bCs/>
          <w:sz w:val="22"/>
          <w:szCs w:val="22"/>
          <w:lang w:val="sr-Latn-ME"/>
        </w:rPr>
        <w:t>terapija uznapredovalog karcinoma ezofagusa</w:t>
      </w:r>
    </w:p>
    <w:p w:rsidR="00330BA9" w:rsidRPr="007F1889" w:rsidRDefault="00330BA9" w:rsidP="007F1889">
      <w:pPr>
        <w:pStyle w:val="Header"/>
        <w:numPr>
          <w:ilvl w:val="0"/>
          <w:numId w:val="2"/>
        </w:numPr>
        <w:tabs>
          <w:tab w:val="clear" w:pos="4536"/>
          <w:tab w:val="clear" w:pos="9072"/>
          <w:tab w:val="left" w:pos="284"/>
        </w:tabs>
        <w:ind w:left="284" w:hanging="284"/>
        <w:rPr>
          <w:rFonts w:ascii="Times New Roman" w:hAnsi="Times New Roman"/>
          <w:bCs/>
          <w:sz w:val="22"/>
          <w:szCs w:val="22"/>
          <w:lang w:val="sr-Latn-ME"/>
        </w:rPr>
      </w:pPr>
      <w:r w:rsidRPr="007F1889">
        <w:rPr>
          <w:rFonts w:ascii="Times New Roman" w:hAnsi="Times New Roman"/>
          <w:bCs/>
          <w:sz w:val="22"/>
          <w:szCs w:val="22"/>
          <w:lang w:val="sr-Latn-ME"/>
        </w:rPr>
        <w:t>terapija uznapredovalog ili metastatskog karcinoma dojke</w:t>
      </w:r>
    </w:p>
    <w:p w:rsidR="00330BA9" w:rsidRPr="007F1889" w:rsidRDefault="00330BA9" w:rsidP="007F1889">
      <w:pPr>
        <w:pStyle w:val="Header"/>
        <w:numPr>
          <w:ilvl w:val="0"/>
          <w:numId w:val="2"/>
        </w:numPr>
        <w:tabs>
          <w:tab w:val="clear" w:pos="4536"/>
          <w:tab w:val="clear" w:pos="9072"/>
          <w:tab w:val="left" w:pos="284"/>
        </w:tabs>
        <w:ind w:left="284" w:hanging="284"/>
        <w:rPr>
          <w:rFonts w:ascii="Times New Roman" w:hAnsi="Times New Roman"/>
          <w:bCs/>
          <w:sz w:val="22"/>
          <w:szCs w:val="22"/>
          <w:lang w:val="sr-Latn-ME"/>
        </w:rPr>
      </w:pPr>
      <w:r w:rsidRPr="007F1889">
        <w:rPr>
          <w:rFonts w:ascii="Times New Roman" w:hAnsi="Times New Roman"/>
          <w:bCs/>
          <w:sz w:val="22"/>
          <w:szCs w:val="22"/>
          <w:lang w:val="sr-Latn-ME"/>
        </w:rPr>
        <w:t>kao adjuvantna terapija kod pacijenata sa operabilnim primarno invazivnim karcinomom dojke</w:t>
      </w:r>
    </w:p>
    <w:p w:rsidR="00330BA9" w:rsidRPr="007F1889" w:rsidRDefault="00330BA9" w:rsidP="007F1889">
      <w:pPr>
        <w:pStyle w:val="Header"/>
        <w:numPr>
          <w:ilvl w:val="0"/>
          <w:numId w:val="2"/>
        </w:numPr>
        <w:tabs>
          <w:tab w:val="clear" w:pos="4536"/>
          <w:tab w:val="clear" w:pos="9072"/>
          <w:tab w:val="left" w:pos="284"/>
        </w:tabs>
        <w:ind w:left="284" w:hanging="284"/>
        <w:rPr>
          <w:rFonts w:ascii="Times New Roman" w:hAnsi="Times New Roman"/>
          <w:bCs/>
          <w:sz w:val="22"/>
          <w:szCs w:val="22"/>
          <w:lang w:val="sr-Latn-ME"/>
        </w:rPr>
      </w:pPr>
      <w:r w:rsidRPr="007F1889">
        <w:rPr>
          <w:rFonts w:ascii="Times New Roman" w:hAnsi="Times New Roman"/>
          <w:bCs/>
          <w:sz w:val="22"/>
          <w:szCs w:val="22"/>
          <w:lang w:val="sr-Latn-ME"/>
        </w:rPr>
        <w:lastRenderedPageBreak/>
        <w:t>u terapiji inoperabilnog lokalno uznapredovalog skvamocelularnog karcinoma glave i vrata kod prethodno nelečenih pacijenata</w:t>
      </w:r>
    </w:p>
    <w:p w:rsidR="00330BA9" w:rsidRPr="007F1889" w:rsidRDefault="00330BA9" w:rsidP="007F1889">
      <w:pPr>
        <w:pStyle w:val="Header"/>
        <w:numPr>
          <w:ilvl w:val="0"/>
          <w:numId w:val="2"/>
        </w:numPr>
        <w:tabs>
          <w:tab w:val="clear" w:pos="4536"/>
          <w:tab w:val="clear" w:pos="9072"/>
          <w:tab w:val="left" w:pos="284"/>
        </w:tabs>
        <w:ind w:left="284" w:hanging="284"/>
        <w:rPr>
          <w:rFonts w:ascii="Times New Roman" w:hAnsi="Times New Roman"/>
          <w:bCs/>
          <w:sz w:val="22"/>
          <w:szCs w:val="22"/>
          <w:lang w:val="sr-Latn-ME"/>
        </w:rPr>
      </w:pPr>
      <w:r w:rsidRPr="007F1889">
        <w:rPr>
          <w:rFonts w:ascii="Times New Roman" w:hAnsi="Times New Roman"/>
          <w:bCs/>
          <w:sz w:val="22"/>
          <w:szCs w:val="22"/>
          <w:lang w:val="sr-Latn-ME"/>
        </w:rPr>
        <w:t>terapija lokalno rekurentnog ili metastatskog skvamocelularnog karcinoma glave i vrata</w:t>
      </w:r>
    </w:p>
    <w:p w:rsidR="00330BA9" w:rsidRPr="007F1889" w:rsidRDefault="00330BA9" w:rsidP="008136BC">
      <w:pPr>
        <w:pStyle w:val="Header"/>
        <w:tabs>
          <w:tab w:val="clear" w:pos="4536"/>
          <w:tab w:val="clear" w:pos="9072"/>
          <w:tab w:val="left" w:pos="284"/>
        </w:tabs>
        <w:jc w:val="left"/>
        <w:rPr>
          <w:rFonts w:ascii="Times New Roman" w:hAnsi="Times New Roman"/>
          <w:bCs/>
          <w:sz w:val="22"/>
          <w:szCs w:val="22"/>
          <w:lang w:val="sr-Latn-ME"/>
        </w:rPr>
      </w:pPr>
    </w:p>
    <w:p w:rsidR="00330BA9" w:rsidRPr="007F1889" w:rsidRDefault="00330BA9" w:rsidP="008136BC">
      <w:pPr>
        <w:pStyle w:val="Header"/>
        <w:tabs>
          <w:tab w:val="clear" w:pos="4536"/>
          <w:tab w:val="clear" w:pos="9072"/>
          <w:tab w:val="left" w:pos="284"/>
        </w:tabs>
        <w:spacing w:before="80" w:after="80"/>
        <w:jc w:val="left"/>
        <w:rPr>
          <w:rFonts w:ascii="Times New Roman" w:hAnsi="Times New Roman"/>
          <w:b/>
          <w:bCs/>
          <w:sz w:val="22"/>
          <w:szCs w:val="22"/>
          <w:lang w:val="sr-Latn-ME"/>
        </w:rPr>
      </w:pPr>
      <w:r w:rsidRPr="007F1889">
        <w:rPr>
          <w:rFonts w:ascii="Times New Roman" w:hAnsi="Times New Roman"/>
          <w:b/>
          <w:bCs/>
          <w:sz w:val="22"/>
          <w:szCs w:val="22"/>
          <w:lang w:val="sr-Latn-ME"/>
        </w:rPr>
        <w:t>4.2. Doziranje i način primjene</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 xml:space="preserve">Liječenje fluorouracilom bi trebalo da primjenjuje samo ljekar sa velikim iskustvom u terapiji karcinoma. </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Pacijenti se moraju pažljivo u često pratiti tokom terapije. Prije svake terapije potrebno je pažljivo procijeniti odnos koristi i rizika primjene lijeka kod svakog pacijenta ponaosob.</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5-fluorouracil se može primjenjivati kao intravenska injekcija kao bolus, infuzija ili kontinuirana infuzija do nekoliko dana.</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„Ovo su opšte preporuke. Za dodatne (ažurirane) podatke molimo Vas da pogledate lokalne ili internacionalne smjernice.“</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u w:val="single"/>
          <w:lang w:val="sr-Latn-ME"/>
        </w:rPr>
      </w:pPr>
      <w:r w:rsidRPr="007F1889">
        <w:rPr>
          <w:rFonts w:ascii="Times New Roman" w:hAnsi="Times New Roman"/>
          <w:sz w:val="22"/>
          <w:szCs w:val="22"/>
          <w:u w:val="single"/>
          <w:lang w:val="sr-Latn-ME"/>
        </w:rPr>
        <w:t>Intravenska primjena</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Doza fluorouracila i terapijska shema zavise od izabranog terapijskog režima, indikacija, opšteg stanja i prethodne terapije pacijenta. Terapijski režimi se razlikuju u kombinaciji fluorouracila sa drugim citostaticima ili dozi istovremeno primijenjene folinske kiseline.</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O broju primijenjenih ciklusa treba da odluči ordinirajući ljekar uzimajući u obzir lokalne protokole i smjernice o liječenju; uzimajući u obzir uspjeh liječenja i podnošljivost kod svakog pacijenta ponaosob.</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Inicijalu terapiju bi trebalo primijeniti u bolnici.</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 xml:space="preserve">Smanjenje doze se savjetuje kod pacijenata sa bilo kojim od sljedećih stanja: </w:t>
      </w:r>
    </w:p>
    <w:p w:rsidR="00330BA9" w:rsidRPr="007F1889" w:rsidRDefault="00330BA9" w:rsidP="001943E0">
      <w:pPr>
        <w:pStyle w:val="Header"/>
        <w:numPr>
          <w:ilvl w:val="0"/>
          <w:numId w:val="1"/>
        </w:numP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Kaheksija</w:t>
      </w:r>
    </w:p>
    <w:p w:rsidR="00330BA9" w:rsidRPr="007F1889" w:rsidRDefault="00330BA9" w:rsidP="001943E0">
      <w:pPr>
        <w:pStyle w:val="Header"/>
        <w:numPr>
          <w:ilvl w:val="0"/>
          <w:numId w:val="1"/>
        </w:numP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Velike hirurške intervencije u roku od 30 dana</w:t>
      </w:r>
    </w:p>
    <w:p w:rsidR="00330BA9" w:rsidRPr="007F1889" w:rsidRDefault="00330BA9" w:rsidP="001943E0">
      <w:pPr>
        <w:pStyle w:val="Header"/>
        <w:numPr>
          <w:ilvl w:val="0"/>
          <w:numId w:val="1"/>
        </w:numP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Smanjena funkcija kostne srži</w:t>
      </w:r>
    </w:p>
    <w:p w:rsidR="00330BA9" w:rsidRPr="007F1889" w:rsidRDefault="00330BA9" w:rsidP="001943E0">
      <w:pPr>
        <w:pStyle w:val="Header"/>
        <w:numPr>
          <w:ilvl w:val="0"/>
          <w:numId w:val="1"/>
        </w:numP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Oštećenje funkcije jetre ili bubrega</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Odrasle i starije pacijenti koji dobijaju 5-fluorouracil bi trebalo pratiti prije svake doze zbog hematološke (broj trombocita, leukocita i granulocita), gastrointestinalne (stomatitis, dijareja, krvarenje iz gastrointestinalnog trakta) i neurološke toksičnosti i, ako je neophodno, dozu fluorouracila treba smanjiti ili obustaviti njegovu primjenu.</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u w:val="single"/>
          <w:lang w:val="sr-Latn-ME"/>
        </w:rPr>
      </w:pPr>
      <w:r w:rsidRPr="007F1889">
        <w:rPr>
          <w:rFonts w:ascii="Times New Roman" w:hAnsi="Times New Roman"/>
          <w:sz w:val="22"/>
          <w:szCs w:val="22"/>
          <w:u w:val="single"/>
          <w:lang w:val="sr-Latn-ME"/>
        </w:rPr>
        <w:t xml:space="preserve">Neophodnost prilagođavanje doze ili prekida terapije zavisi od pojave neželjenih efekata. Hematološka toksičnost kao što je smanjenje leukocita (≤ 3500/mm³) i/ili broj trombocita (≤ 100 000/mm³) zahtijeva prekid liječenja. O nastavku terapije bi trebalo da odluči ordinirajući ljekar u zavisnosti od kliničkog scenarija. </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u w:val="single"/>
          <w:lang w:val="sr-Latn-ME"/>
        </w:rPr>
      </w:pPr>
    </w:p>
    <w:p w:rsidR="00330BA9" w:rsidRPr="007F1889" w:rsidRDefault="00330BA9" w:rsidP="008136BC">
      <w:pPr>
        <w:pStyle w:val="Header"/>
        <w:tabs>
          <w:tab w:val="clear" w:pos="4536"/>
          <w:tab w:val="clear" w:pos="9072"/>
          <w:tab w:val="left" w:pos="284"/>
        </w:tabs>
        <w:jc w:val="left"/>
        <w:rPr>
          <w:rFonts w:ascii="Times New Roman" w:hAnsi="Times New Roman"/>
          <w:b/>
          <w:sz w:val="22"/>
          <w:szCs w:val="22"/>
          <w:lang w:val="sr-Latn-ME"/>
        </w:rPr>
      </w:pPr>
      <w:r w:rsidRPr="007F1889">
        <w:rPr>
          <w:rFonts w:ascii="Times New Roman" w:hAnsi="Times New Roman"/>
          <w:b/>
          <w:sz w:val="22"/>
          <w:szCs w:val="22"/>
          <w:lang w:val="sr-Latn-ME"/>
        </w:rPr>
        <w:t>Kolorektalni karcinom:</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5-fluorouarcil se primjenjuje u terapiji karcinoma kolona i rektuma u brojnim terapijskim režimima. Poželjno je da se fluorouracil primjenjuje zajedno sa folinskom kiselinom. Terapijski režimi koji se obično primjenjuju takođe kombinuju fluorouracil i folinsku kiselinu sa drugim cirostaticima kao što su irinotekan (FOLFIRI i FLIRI), oksaliplatin (FOLFOX) ili irinotekan i oksaliplatin (FOLFIRINOX).</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lastRenderedPageBreak/>
        <w:t>Dozni opseg koji se obično primjenjuje se kreće između 200-600 mg/m² tjelesne površine. Doza takođe zavisi od toga kako se lijek primjenjuje, kao intravenska bolus injekcija ili kontinuirana intravenska infuzija.</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Sheme doziranja se takođe dosta razlikuju u zavisnosti od terapijskog režima, a dozu fluorouracila treba ponavljati jednom nedjeljno, dva puta mjesečno ili jednom mjesečno.</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Broj ciklusa se razlikuje kod svakog terapijskog režima i takođe zavisi od kliničke odluke bazirane na uspjehu terapije i podnošljivosti lijeka.</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jc w:val="left"/>
        <w:rPr>
          <w:rFonts w:ascii="Times New Roman" w:hAnsi="Times New Roman"/>
          <w:b/>
          <w:sz w:val="22"/>
          <w:szCs w:val="22"/>
          <w:lang w:val="sr-Latn-ME"/>
        </w:rPr>
      </w:pPr>
      <w:r w:rsidRPr="007F1889">
        <w:rPr>
          <w:rFonts w:ascii="Times New Roman" w:hAnsi="Times New Roman"/>
          <w:b/>
          <w:sz w:val="22"/>
          <w:szCs w:val="22"/>
          <w:lang w:val="sr-Latn-ME"/>
        </w:rPr>
        <w:t>Karcinom dojke:</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5-fluorouracil se obično primjenjuje u hemoterapijskim režimima u kombinaciji sa ciklofosfamidom i metotreksatom (CMF) ili epirubicinom, ciklofosfamidom (FEC) ili metotreksatom i leukovorinom (MFL). Uobičajeni dozni opseg je 500-600 mg/m² tjelesne površine kao intravenska bolus injekcija i ponavlja se na svake 3-4 nedjelje po potrebi. Kod adjuvantne terapije primarnog invazivnog karcinoma dojke, terapije će se nastaviti tokom 6 ciklusa.</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jc w:val="left"/>
        <w:rPr>
          <w:rFonts w:ascii="Times New Roman" w:hAnsi="Times New Roman"/>
          <w:b/>
          <w:sz w:val="22"/>
          <w:szCs w:val="22"/>
          <w:lang w:val="sr-Latn-ME"/>
        </w:rPr>
      </w:pPr>
      <w:r w:rsidRPr="007F1889">
        <w:rPr>
          <w:rFonts w:ascii="Times New Roman" w:hAnsi="Times New Roman"/>
          <w:b/>
          <w:sz w:val="22"/>
          <w:szCs w:val="22"/>
          <w:lang w:val="sr-Latn-ME"/>
        </w:rPr>
        <w:t>Karicnom želuca i karcinom gastroezofagusnog spoja:</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Trenutno se preporučuje perioperativna hemoterapija sa ECF režimom (epirubicin, cisplatin, 5-fluorouracil). Preporučena doza 5-fluorouracila je 200 mg/m² tjelesne površine dnevno kao kontinuirana intravenska infuzija tokom tri nedjelje. Preporučuje se 6 ciklusa ali ovo zavisi od uspjeha terapije i podnošljivosti lijeka od strane pacijenta.</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jc w:val="left"/>
        <w:rPr>
          <w:rFonts w:ascii="Times New Roman" w:hAnsi="Times New Roman"/>
          <w:b/>
          <w:sz w:val="22"/>
          <w:szCs w:val="22"/>
          <w:lang w:val="sr-Latn-ME"/>
        </w:rPr>
      </w:pPr>
      <w:r w:rsidRPr="007F1889">
        <w:rPr>
          <w:rFonts w:ascii="Times New Roman" w:hAnsi="Times New Roman"/>
          <w:b/>
          <w:sz w:val="22"/>
          <w:szCs w:val="22"/>
          <w:lang w:val="sr-Latn-ME"/>
        </w:rPr>
        <w:t>Karcinom ezofagusa:</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5-fluorouracil se obično primjenjuje u kombinaciji sa cisplatinom; ili cisplatin i epirubicin; ili epirubicin i oksaliplatin. Doze se kreću od 200-1000 mg/m² tjelesne površine dnevno kao kontinuirana intravenska infuzija tokom nekoliko dana koja se ponavlja u ciklusima u zavisnosti od terapijskog režima.</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Za karcinome koji zahvataju donje partije ezofagusa, obično se preporučuje perioperativna hemoterapija sa ECF režimom (epirubicin, cisplatin, 5-fluorouracil). Preporučena doza 5-fluorouracila je 200 mg/m² tjelesne površine dnevno kao kontinuirana intravenska infuzija tokom 3 nedjelje i ponavlja se u ciklusima.</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Ako razmišljate o primjeni 5-fluorouracila/cisplatina u kombinaciji sa radioterapijom, molimo da pogledate u odgovarajućoj literaturi.</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jc w:val="left"/>
        <w:rPr>
          <w:rFonts w:ascii="Times New Roman" w:hAnsi="Times New Roman"/>
          <w:b/>
          <w:sz w:val="22"/>
          <w:szCs w:val="22"/>
          <w:lang w:val="sr-Latn-ME"/>
        </w:rPr>
      </w:pPr>
      <w:r w:rsidRPr="007F1889">
        <w:rPr>
          <w:rFonts w:ascii="Times New Roman" w:hAnsi="Times New Roman"/>
          <w:b/>
          <w:sz w:val="22"/>
          <w:szCs w:val="22"/>
          <w:lang w:val="sr-Latn-ME"/>
        </w:rPr>
        <w:t>Karcinom pankreasa:</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Poželjno je da se 5-fluorouracil koristi u kombinaciji sa folinskom kiselinom ili gemcitabinom. Doza se kreće između 200-500 mg/m² tjelesne površine dnevno kao intravenska bolus injekcija ili intravenska infuzija, u zavisnosti od terapijskog režima i ponavlja se u ciklusima.</w:t>
      </w:r>
    </w:p>
    <w:p w:rsidR="00330BA9" w:rsidRPr="007F1889" w:rsidRDefault="00330BA9" w:rsidP="008136BC">
      <w:pPr>
        <w:pStyle w:val="Header"/>
        <w:tabs>
          <w:tab w:val="clear" w:pos="4536"/>
          <w:tab w:val="clear" w:pos="9072"/>
          <w:tab w:val="left" w:pos="284"/>
        </w:tabs>
        <w:jc w:val="left"/>
        <w:rPr>
          <w:rFonts w:ascii="Times New Roman" w:hAnsi="Times New Roman"/>
          <w:b/>
          <w:sz w:val="22"/>
          <w:szCs w:val="22"/>
          <w:lang w:val="sr-Latn-ME"/>
        </w:rPr>
      </w:pPr>
    </w:p>
    <w:p w:rsidR="00330BA9" w:rsidRPr="007F1889" w:rsidRDefault="00330BA9" w:rsidP="008136BC">
      <w:pPr>
        <w:pStyle w:val="Header"/>
        <w:tabs>
          <w:tab w:val="clear" w:pos="4536"/>
          <w:tab w:val="clear" w:pos="9072"/>
          <w:tab w:val="left" w:pos="284"/>
        </w:tabs>
        <w:jc w:val="left"/>
        <w:rPr>
          <w:rFonts w:ascii="Times New Roman" w:hAnsi="Times New Roman"/>
          <w:b/>
          <w:sz w:val="22"/>
          <w:szCs w:val="22"/>
          <w:lang w:val="sr-Latn-ME"/>
        </w:rPr>
      </w:pPr>
      <w:r w:rsidRPr="007F1889">
        <w:rPr>
          <w:rFonts w:ascii="Times New Roman" w:hAnsi="Times New Roman"/>
          <w:b/>
          <w:sz w:val="22"/>
          <w:szCs w:val="22"/>
          <w:lang w:val="sr-Latn-ME"/>
        </w:rPr>
        <w:t>Karcinom glave i vrata:</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Poželjno je da se 5-fluorouracil koristi u kombinaciji sa cisplatinom ili karboplatinom. Doza se kreće između 600-1200 mg/m² tjelesne površine dnevno kao kontinuirana intravenska infuzija tokom nekoliko dana i ponavlja se u ciklusima u zavisnosti od terapijskog režima.</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Ako razmišljate o primjeni 5-fluorouracila/cisplatina ili karboplatina u kombinaciji sa radioterapijom, molimo da pogledate u odgovarajućoj literaturi.</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jc w:val="left"/>
        <w:rPr>
          <w:rFonts w:ascii="Times New Roman" w:hAnsi="Times New Roman"/>
          <w:b/>
          <w:sz w:val="22"/>
          <w:szCs w:val="22"/>
          <w:lang w:val="sr-Latn-ME"/>
        </w:rPr>
      </w:pPr>
      <w:r w:rsidRPr="007F1889">
        <w:rPr>
          <w:rFonts w:ascii="Times New Roman" w:hAnsi="Times New Roman"/>
          <w:b/>
          <w:sz w:val="22"/>
          <w:szCs w:val="22"/>
          <w:lang w:val="sr-Latn-ME"/>
        </w:rPr>
        <w:t>Posebne grupe populacije</w:t>
      </w:r>
    </w:p>
    <w:p w:rsidR="00330BA9" w:rsidRPr="007F1889" w:rsidRDefault="00330BA9" w:rsidP="008136BC">
      <w:pPr>
        <w:pStyle w:val="Header"/>
        <w:tabs>
          <w:tab w:val="clear" w:pos="4536"/>
          <w:tab w:val="clear" w:pos="9072"/>
          <w:tab w:val="left" w:pos="284"/>
        </w:tabs>
        <w:rPr>
          <w:rFonts w:ascii="Times New Roman" w:hAnsi="Times New Roman"/>
          <w:sz w:val="22"/>
          <w:szCs w:val="22"/>
          <w:u w:val="single"/>
          <w:lang w:val="sr-Latn-ME"/>
        </w:rPr>
      </w:pPr>
      <w:r w:rsidRPr="007F1889">
        <w:rPr>
          <w:rFonts w:ascii="Times New Roman" w:hAnsi="Times New Roman"/>
          <w:sz w:val="22"/>
          <w:szCs w:val="22"/>
          <w:u w:val="single"/>
          <w:lang w:val="sr-Latn-ME"/>
        </w:rPr>
        <w:t>Oštećenje jetre ili bubrega</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Savjetuje se oprez, a doza će morati da se smanji kod pacijenata sa oštećenjem jetre ili bubrega.</w:t>
      </w:r>
    </w:p>
    <w:p w:rsidR="00330BA9" w:rsidRPr="007F1889" w:rsidRDefault="00330BA9" w:rsidP="008136BC">
      <w:pPr>
        <w:pStyle w:val="Header"/>
        <w:tabs>
          <w:tab w:val="clear" w:pos="4536"/>
          <w:tab w:val="clear" w:pos="9072"/>
          <w:tab w:val="left" w:pos="284"/>
        </w:tabs>
        <w:rPr>
          <w:rFonts w:ascii="Times New Roman" w:hAnsi="Times New Roman"/>
          <w:sz w:val="22"/>
          <w:szCs w:val="22"/>
          <w:u w:val="single"/>
          <w:lang w:val="sr-Latn-ME"/>
        </w:rPr>
      </w:pPr>
      <w:r w:rsidRPr="007F1889">
        <w:rPr>
          <w:rFonts w:ascii="Times New Roman" w:hAnsi="Times New Roman"/>
          <w:sz w:val="22"/>
          <w:szCs w:val="22"/>
          <w:u w:val="single"/>
          <w:lang w:val="sr-Latn-ME"/>
        </w:rPr>
        <w:lastRenderedPageBreak/>
        <w:t>Pedijatrijska populacija</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Fluorouracil se ne preporučuje kod djece zbog nedostatka podataka o bezbjednosti i efikasnosti.</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u w:val="single"/>
          <w:lang w:val="sr-Latn-ME"/>
        </w:rPr>
      </w:pPr>
      <w:r w:rsidRPr="007F1889">
        <w:rPr>
          <w:rFonts w:ascii="Times New Roman" w:hAnsi="Times New Roman"/>
          <w:sz w:val="22"/>
          <w:szCs w:val="22"/>
          <w:u w:val="single"/>
          <w:lang w:val="sr-Latn-ME"/>
        </w:rPr>
        <w:t>Stariji</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Nije potrebno prilagođavanje doze.</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spacing w:before="80" w:after="80"/>
        <w:jc w:val="left"/>
        <w:rPr>
          <w:rFonts w:ascii="Times New Roman" w:hAnsi="Times New Roman"/>
          <w:b/>
          <w:bCs/>
          <w:sz w:val="22"/>
          <w:szCs w:val="22"/>
          <w:lang w:val="sr-Latn-ME"/>
        </w:rPr>
      </w:pPr>
      <w:r w:rsidRPr="007F1889">
        <w:rPr>
          <w:rFonts w:ascii="Times New Roman" w:hAnsi="Times New Roman"/>
          <w:b/>
          <w:bCs/>
          <w:sz w:val="22"/>
          <w:szCs w:val="22"/>
          <w:lang w:val="sr-Latn-ME"/>
        </w:rPr>
        <w:t>4.3. Kontraindikacije</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Preosjetljivost na fluorouracil ili bilo koji sastojak lijeka.</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r w:rsidRPr="007F1889">
        <w:rPr>
          <w:rFonts w:ascii="Times New Roman" w:hAnsi="Times New Roman"/>
          <w:sz w:val="22"/>
          <w:szCs w:val="22"/>
          <w:lang w:val="sr-Latn-ME"/>
        </w:rPr>
        <w:t>Primjena fluorouracila je kontraindikovana kod:</w:t>
      </w:r>
    </w:p>
    <w:p w:rsidR="00330BA9" w:rsidRPr="007F1889" w:rsidRDefault="00330BA9" w:rsidP="007F1889">
      <w:pPr>
        <w:pStyle w:val="Header"/>
        <w:numPr>
          <w:ilvl w:val="0"/>
          <w:numId w:val="3"/>
        </w:numPr>
        <w:tabs>
          <w:tab w:val="clear" w:pos="4536"/>
          <w:tab w:val="clear" w:pos="9072"/>
          <w:tab w:val="left" w:pos="284"/>
        </w:tabs>
        <w:ind w:left="284" w:hanging="284"/>
        <w:rPr>
          <w:rFonts w:ascii="Times New Roman" w:hAnsi="Times New Roman"/>
          <w:sz w:val="22"/>
          <w:szCs w:val="22"/>
          <w:lang w:val="sr-Latn-ME"/>
        </w:rPr>
      </w:pPr>
      <w:r w:rsidRPr="007F1889">
        <w:rPr>
          <w:rFonts w:ascii="Times New Roman" w:hAnsi="Times New Roman"/>
          <w:sz w:val="22"/>
          <w:szCs w:val="22"/>
          <w:lang w:val="sr-Latn-ME"/>
        </w:rPr>
        <w:t>ozbiljnih infekcija (npr. herpes zoster, varičela)</w:t>
      </w:r>
    </w:p>
    <w:p w:rsidR="00330BA9" w:rsidRPr="007F1889" w:rsidRDefault="00330BA9" w:rsidP="007F1889">
      <w:pPr>
        <w:pStyle w:val="Header"/>
        <w:numPr>
          <w:ilvl w:val="0"/>
          <w:numId w:val="3"/>
        </w:numPr>
        <w:tabs>
          <w:tab w:val="clear" w:pos="4536"/>
          <w:tab w:val="clear" w:pos="9072"/>
          <w:tab w:val="left" w:pos="284"/>
        </w:tabs>
        <w:ind w:left="284" w:hanging="284"/>
        <w:rPr>
          <w:rFonts w:ascii="Times New Roman" w:hAnsi="Times New Roman"/>
          <w:sz w:val="22"/>
          <w:szCs w:val="22"/>
          <w:lang w:val="sr-Latn-ME"/>
        </w:rPr>
      </w:pPr>
      <w:r w:rsidRPr="007F1889">
        <w:rPr>
          <w:rFonts w:ascii="Times New Roman" w:hAnsi="Times New Roman"/>
          <w:sz w:val="22"/>
          <w:szCs w:val="22"/>
          <w:lang w:val="sr-Latn-ME"/>
        </w:rPr>
        <w:t>pacijenata koji su lošeg opšteg stanja</w:t>
      </w:r>
    </w:p>
    <w:p w:rsidR="00330BA9" w:rsidRPr="007F1889" w:rsidRDefault="00330BA9" w:rsidP="007F1889">
      <w:pPr>
        <w:pStyle w:val="Header"/>
        <w:numPr>
          <w:ilvl w:val="0"/>
          <w:numId w:val="3"/>
        </w:numPr>
        <w:tabs>
          <w:tab w:val="clear" w:pos="4536"/>
          <w:tab w:val="clear" w:pos="9072"/>
          <w:tab w:val="left" w:pos="284"/>
        </w:tabs>
        <w:ind w:left="284" w:hanging="284"/>
        <w:rPr>
          <w:rFonts w:ascii="Times New Roman" w:hAnsi="Times New Roman"/>
          <w:sz w:val="22"/>
          <w:szCs w:val="22"/>
          <w:lang w:val="sr-Latn-ME"/>
        </w:rPr>
      </w:pPr>
      <w:r w:rsidRPr="007F1889">
        <w:rPr>
          <w:rFonts w:ascii="Times New Roman" w:hAnsi="Times New Roman"/>
          <w:sz w:val="22"/>
          <w:szCs w:val="22"/>
          <w:lang w:val="sr-Latn-ME"/>
        </w:rPr>
        <w:t>depresije kostne srži nakon radioterapije ili terapije sa drugim citostaticima</w:t>
      </w:r>
    </w:p>
    <w:p w:rsidR="00330BA9" w:rsidRPr="007F1889" w:rsidRDefault="00330BA9" w:rsidP="007F1889">
      <w:pPr>
        <w:pStyle w:val="Header"/>
        <w:numPr>
          <w:ilvl w:val="0"/>
          <w:numId w:val="3"/>
        </w:numPr>
        <w:tabs>
          <w:tab w:val="clear" w:pos="4536"/>
          <w:tab w:val="clear" w:pos="9072"/>
          <w:tab w:val="left" w:pos="284"/>
        </w:tabs>
        <w:ind w:left="284" w:hanging="284"/>
        <w:rPr>
          <w:rFonts w:ascii="Times New Roman" w:hAnsi="Times New Roman"/>
          <w:sz w:val="22"/>
          <w:szCs w:val="22"/>
          <w:lang w:val="sr-Latn-ME"/>
        </w:rPr>
      </w:pPr>
      <w:r w:rsidRPr="007F1889">
        <w:rPr>
          <w:rFonts w:ascii="Times New Roman" w:hAnsi="Times New Roman"/>
          <w:sz w:val="22"/>
          <w:szCs w:val="22"/>
          <w:lang w:val="sr-Latn-ME"/>
        </w:rPr>
        <w:t>liječenja ne-malignih oboljenja</w:t>
      </w:r>
    </w:p>
    <w:p w:rsidR="00330BA9" w:rsidRPr="007F1889" w:rsidRDefault="00330BA9" w:rsidP="007F1889">
      <w:pPr>
        <w:pStyle w:val="Header"/>
        <w:numPr>
          <w:ilvl w:val="0"/>
          <w:numId w:val="3"/>
        </w:numPr>
        <w:tabs>
          <w:tab w:val="clear" w:pos="4536"/>
          <w:tab w:val="clear" w:pos="9072"/>
          <w:tab w:val="left" w:pos="284"/>
        </w:tabs>
        <w:ind w:left="284" w:hanging="284"/>
        <w:rPr>
          <w:rFonts w:ascii="Times New Roman" w:hAnsi="Times New Roman"/>
          <w:sz w:val="22"/>
          <w:szCs w:val="22"/>
          <w:lang w:val="sr-Latn-ME"/>
        </w:rPr>
      </w:pPr>
      <w:r w:rsidRPr="007F1889">
        <w:rPr>
          <w:rFonts w:ascii="Times New Roman" w:hAnsi="Times New Roman"/>
          <w:sz w:val="22"/>
          <w:szCs w:val="22"/>
          <w:lang w:val="sr-Latn-ME"/>
        </w:rPr>
        <w:t>ozbiljnih oštećenja jetre</w:t>
      </w:r>
    </w:p>
    <w:p w:rsidR="00330BA9" w:rsidRPr="007F1889" w:rsidRDefault="00330BA9" w:rsidP="007F1889">
      <w:pPr>
        <w:pStyle w:val="Header"/>
        <w:numPr>
          <w:ilvl w:val="0"/>
          <w:numId w:val="3"/>
        </w:numPr>
        <w:tabs>
          <w:tab w:val="clear" w:pos="4536"/>
          <w:tab w:val="clear" w:pos="9072"/>
          <w:tab w:val="left" w:pos="284"/>
        </w:tabs>
        <w:ind w:left="284" w:hanging="284"/>
        <w:rPr>
          <w:rFonts w:ascii="Times New Roman" w:hAnsi="Times New Roman"/>
          <w:sz w:val="22"/>
          <w:szCs w:val="22"/>
          <w:lang w:val="sr-Latn-ME"/>
        </w:rPr>
      </w:pPr>
      <w:r w:rsidRPr="007F1889">
        <w:rPr>
          <w:rFonts w:ascii="Times New Roman" w:hAnsi="Times New Roman"/>
          <w:sz w:val="22"/>
          <w:szCs w:val="22"/>
          <w:lang w:val="sr-Latn-ME"/>
        </w:rPr>
        <w:t>fluorouracil se ne smije davati u kombinaciji sa brivudinom, sorivudinom i analozima. Brivodin, sorivudin i njihovi analozi su moćni inhibitori enzima koji metaboliše 5-fluorouracil- dihidropirimidin dehidrogenaze (DPD).</w:t>
      </w:r>
    </w:p>
    <w:p w:rsidR="00330BA9" w:rsidRPr="007F1889" w:rsidRDefault="00330BA9" w:rsidP="007F1889">
      <w:pPr>
        <w:pStyle w:val="Header"/>
        <w:numPr>
          <w:ilvl w:val="0"/>
          <w:numId w:val="3"/>
        </w:numPr>
        <w:tabs>
          <w:tab w:val="clear" w:pos="4536"/>
          <w:tab w:val="clear" w:pos="9072"/>
          <w:tab w:val="left" w:pos="284"/>
        </w:tabs>
        <w:ind w:left="284" w:hanging="284"/>
        <w:rPr>
          <w:rFonts w:ascii="Times New Roman" w:hAnsi="Times New Roman"/>
          <w:sz w:val="22"/>
          <w:szCs w:val="22"/>
          <w:lang w:val="sr-Latn-ME"/>
        </w:rPr>
      </w:pPr>
      <w:r w:rsidRPr="007F1889">
        <w:rPr>
          <w:rFonts w:ascii="Times New Roman" w:hAnsi="Times New Roman"/>
          <w:sz w:val="22"/>
          <w:szCs w:val="22"/>
          <w:lang w:val="sr-Latn-ME"/>
        </w:rPr>
        <w:t>fluorouracil se ne smije  primjenjivati kod pacijenata homozigota za dihidropirimidin dehidrogenazu (DPD)</w:t>
      </w:r>
    </w:p>
    <w:p w:rsidR="00330BA9" w:rsidRPr="007F1889" w:rsidRDefault="00330BA9" w:rsidP="007F1889">
      <w:pPr>
        <w:pStyle w:val="Header"/>
        <w:numPr>
          <w:ilvl w:val="0"/>
          <w:numId w:val="3"/>
        </w:numPr>
        <w:tabs>
          <w:tab w:val="clear" w:pos="4536"/>
          <w:tab w:val="clear" w:pos="9072"/>
          <w:tab w:val="left" w:pos="284"/>
        </w:tabs>
        <w:ind w:left="284" w:hanging="284"/>
        <w:rPr>
          <w:rFonts w:ascii="Times New Roman" w:hAnsi="Times New Roman"/>
          <w:sz w:val="22"/>
          <w:szCs w:val="22"/>
          <w:lang w:val="sr-Latn-ME"/>
        </w:rPr>
      </w:pPr>
      <w:r w:rsidRPr="007F1889">
        <w:rPr>
          <w:rFonts w:ascii="Times New Roman" w:hAnsi="Times New Roman"/>
          <w:sz w:val="22"/>
          <w:szCs w:val="22"/>
          <w:lang w:val="sr-Latn-ME"/>
        </w:rPr>
        <w:t xml:space="preserve"> fluorouracil je strogo kontraindikovan kod trudnica ili žena koje doje</w:t>
      </w:r>
    </w:p>
    <w:p w:rsidR="00330BA9" w:rsidRPr="007F1889" w:rsidRDefault="00330BA9" w:rsidP="007F1889">
      <w:pPr>
        <w:pStyle w:val="Header"/>
        <w:tabs>
          <w:tab w:val="clear" w:pos="4536"/>
          <w:tab w:val="clear" w:pos="9072"/>
          <w:tab w:val="left" w:pos="284"/>
        </w:tabs>
        <w:ind w:left="284" w:hanging="284"/>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spacing w:before="80" w:after="80"/>
        <w:jc w:val="left"/>
        <w:rPr>
          <w:rFonts w:ascii="Times New Roman" w:hAnsi="Times New Roman"/>
          <w:b/>
          <w:bCs/>
          <w:sz w:val="22"/>
          <w:szCs w:val="22"/>
          <w:lang w:val="sr-Latn-ME"/>
        </w:rPr>
      </w:pPr>
      <w:r w:rsidRPr="007F1889">
        <w:rPr>
          <w:rFonts w:ascii="Times New Roman" w:hAnsi="Times New Roman"/>
          <w:b/>
          <w:bCs/>
          <w:sz w:val="22"/>
          <w:szCs w:val="22"/>
          <w:lang w:val="sr-Latn-ME"/>
        </w:rPr>
        <w:t>4.4. Posebna upozorenja i mjere opreza pri upotrebi lijeka</w:t>
      </w:r>
    </w:p>
    <w:p w:rsidR="00330BA9" w:rsidRPr="007F1889" w:rsidRDefault="00330BA9" w:rsidP="008136BC">
      <w:pPr>
        <w:tabs>
          <w:tab w:val="clear" w:pos="284"/>
        </w:tabs>
        <w:autoSpaceDE w:val="0"/>
        <w:autoSpaceDN w:val="0"/>
        <w:adjustRightInd w:val="0"/>
        <w:rPr>
          <w:rFonts w:ascii="Times New Roman" w:hAnsi="Times New Roman"/>
          <w:sz w:val="22"/>
          <w:szCs w:val="22"/>
          <w:lang w:val="sr-Latn-ME" w:eastAsia="zh-TW"/>
        </w:rPr>
      </w:pPr>
      <w:r w:rsidRPr="007F1889">
        <w:rPr>
          <w:rFonts w:ascii="Times New Roman" w:hAnsi="Times New Roman"/>
          <w:sz w:val="22"/>
          <w:szCs w:val="22"/>
          <w:lang w:val="sr-Latn-ME" w:eastAsia="zh-TW"/>
        </w:rPr>
        <w:t>Preporučuje se da se fluorouracil daje samo od strane, ili pod strogim nadzorom, kvalifikovanog ljekara koji je upoznat sa upotrebom snažnih antimetabolita i ima opremu za redovno praćenje kliničkih, biohemijskih i hematoloških efekata tokom i nakon primjene lijeka.</w:t>
      </w:r>
    </w:p>
    <w:p w:rsidR="00330BA9" w:rsidRPr="007F1889" w:rsidRDefault="00330BA9" w:rsidP="008136BC">
      <w:pPr>
        <w:tabs>
          <w:tab w:val="clear" w:pos="284"/>
        </w:tabs>
        <w:autoSpaceDE w:val="0"/>
        <w:autoSpaceDN w:val="0"/>
        <w:adjustRightInd w:val="0"/>
        <w:rPr>
          <w:rFonts w:ascii="Times New Roman" w:hAnsi="Times New Roman"/>
          <w:sz w:val="22"/>
          <w:szCs w:val="22"/>
          <w:lang w:val="sr-Latn-ME" w:eastAsia="zh-TW"/>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Svi pacijenti bi trebalo da dobiju inicijalu terapiju u bolnici.</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 xml:space="preserve">Odgovarajuću terapiju sa fluorouracilom obično prati leukopenija, najniži broj leukocita (WBC) se obično uočava između 7. i 14. dana od prve kure, ali se povremeno odloži do 20 dana. Broj leukocita se obično vraća na normalu do 30.dana. Dnevno praćenje broja trombocita i WBC se preporučuje a terapiju bi trebalo </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prekinuti ako broj trombocita padne ispod 100 000/mm³ ili WBC padne ispod 3500 /mm³. Ako je ukupni broj manji od 2000/mm³ i posebno ako postoji granulocitopenija, preporuka je da se pacijent smjesti u izolaciju u bolnici i liječi na odgovarajući način kako bi se spriječila sistemska infekcija.</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Terapiju bi takođe trebalo prekinuti pri pojavi prvih znakova ulceracije u ustima ili ako postoje dokazi o gastrointestinalnim neželjenim efektima kao što su stomatitis, dijareja, krvarenje iz gastrointestinalnog trakta i hemoragije na bilo kom mjestu. Odnos između doze i efekta je mali pa je terapijski odgovor malo vjerovatan bez određenog stepena toksičnosti. Zbog toga je neophodan oprez, pri odabiru pacijenata i prilagođavanja doze. Terapiju bi trebalo prekinuti u slučaju teške toksičnosti.</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Fluorouracil bi trebalo primjenjivati sa oprezom kod pacijenata sa smanjenom funkcijom bubrega ili jetre ili žuticom. Nakon primjene fluorouracila prijavljeni su izolovani slučajevi angine, poremećaja na EKG-u i rijetko, infarkt miokarda. Zbog toga je neophodan oprez kod pacijenata kod kojih se javi bol u grudima tokom terapijske kure ili kod pacijenata sa anamnezom, srčanih oboljenja.</w:t>
      </w:r>
    </w:p>
    <w:p w:rsidR="007F1889" w:rsidRDefault="007F188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Enzim dihidropirimidin dehidrogenaza (DHD) igra važnu ulogu u metabolizmu fluorouracila. Postoje izvještaji o povećanoj toksičnosti fluorouracila kod pacijenata sa smanjenom funkcijom/deficijencijom DPD. Ako je moguće, indikovano je određivanje enzimske aktivnosti DPD prije terapije  5-fluoropirimidinima.</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Nukleozidni analozi, npr. brivudin i sorivudin, koji utiču na aktivnost DPD mogu uzrokovati povećanje koncentracije i povećanje toksičnosti fluoropirimidina (vidjeti odjeljak 4.5). Zbog toga je potrebno da postoji vremenski razmak od najmanje 4 nedjelje između primjene fluorouracila i brivudina, sorivudina ili analoga. U slučaju nenamjerne primjene nukleozidnih analoga kod pacijenata koji dobijaju fluorouracil, potrebno je sprovesti efikasne mjere kako bi se smanjila toksičnost fluorouracila. Preporučuje se da se pacijent odmah hospitalizuje. Potrebno je sprovesti sve mjere kako bi se spriječila sistemska infekcija i dehidratacija.</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Vakcinaciju živim vakcinama bi trebalo izbjegavati kod pacijenata koji dobijaju fluorouracil zbog mogućih ozbiljnih ili fatalnih infekcija. Potrebno je izbjegavati kontakt sa osobama koje su nedavno dobile vakcinu protiv poliovirusa.</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Ne savjetuje se produženo izlaganje sunčevim zracima zbog rizika od fotosenzitivnosti.</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Primjenjivati sa oprezom kod pacijenata koji su dobijali visoke doze zračne terapije karlične regije.</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jc w:val="left"/>
        <w:rPr>
          <w:rFonts w:ascii="Times New Roman" w:hAnsi="Times New Roman"/>
          <w:sz w:val="22"/>
          <w:szCs w:val="22"/>
          <w:u w:val="single"/>
          <w:lang w:val="sr-Latn-ME"/>
        </w:rPr>
      </w:pPr>
      <w:r w:rsidRPr="007F1889">
        <w:rPr>
          <w:rFonts w:ascii="Times New Roman" w:hAnsi="Times New Roman"/>
          <w:sz w:val="22"/>
          <w:szCs w:val="22"/>
          <w:u w:val="single"/>
          <w:lang w:val="sr-Latn-ME"/>
        </w:rPr>
        <w:t>Kombinacija 5-fluorouracila i folinske kiseline</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Profil toksičnosti 5-fluorouracila može biti pojačan ili pomjeren folinskom kiselinom. Najčešće manifestacije su leukopenija, mukozitis, stomatitisi/ili dijareja koje mogu ograničiti primijenjenu dozu. Kada se fluorouracil i folinska kiselina primjenjuju u kombinaciji, dozu fluorouracila bi trebalo smanjiti više u slučaju toksičnosti nego kada se fluorouracil primjenjuje sam. Toksičnosti zabilježena kod pacijenata liječenih ovom kombinacijom su kvalitativno slične onima uočenim kod pacijenata liječenih samo 5-fluorouarcilom.</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Gastrointestinalna toksičnost je uočena češće i može biti teža ili čak životno-ugrožavajuća (posebno stomatitis i dijareja). U težim slučajevima, potrebno je prekinuti sa primjenom fluorouracila i folinske kiseline i započeti potpornu intravensku terapiju. Pacijente treba savjetovati da odmah kontaktiraju svog ordinirajućeg ljekara ako se jave stomatitis (blage do umjerene ulceracije) i/ili dijareja (vodene stolice ili pokreti crijeva).</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Potreban je poseban oprez u terapiji starijih ili nemoćnih pacijenata, s obzirom da ovi pacijenti mogu biti pod povećanim rizikom od teške toksičnosti.</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Žene u generativnoj dobi i muškarci moraju da koriste efikasne mjere kontracepcije tokom i do 6 mjeseci nakon terapije.</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Pacijenti koji uzimaju fenitoin zajedno sa fluorouracilom bi trebalo da obavljaju redovne analize zbog mogućeg povećanja vrijednosti fenitoina u plazmi.</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rPr>
          <w:rFonts w:ascii="Times New Roman" w:hAnsi="Times New Roman"/>
          <w:sz w:val="22"/>
          <w:szCs w:val="22"/>
          <w:lang w:val="sr-Latn-ME"/>
        </w:rPr>
      </w:pPr>
      <w:r w:rsidRPr="007F1889">
        <w:rPr>
          <w:rFonts w:ascii="Times New Roman" w:hAnsi="Times New Roman"/>
          <w:sz w:val="22"/>
          <w:szCs w:val="22"/>
          <w:lang w:val="sr-Latn-ME"/>
        </w:rPr>
        <w:t>Lijek 5-Fluorouarcil Ebewe sadrži natrijum, što treba uzeti u obzir kod primjene lijeka kod pacijenata koji su na dijeti sa smanjenim unosom natrijuma.</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7F1889" w:rsidRDefault="007F1889" w:rsidP="008136BC">
      <w:pPr>
        <w:pStyle w:val="Header"/>
        <w:tabs>
          <w:tab w:val="clear" w:pos="4536"/>
          <w:tab w:val="clear" w:pos="9072"/>
          <w:tab w:val="left" w:pos="284"/>
        </w:tabs>
        <w:spacing w:before="80" w:after="80"/>
        <w:jc w:val="left"/>
        <w:rPr>
          <w:rFonts w:ascii="Times New Roman" w:hAnsi="Times New Roman"/>
          <w:b/>
          <w:bCs/>
          <w:sz w:val="22"/>
          <w:szCs w:val="22"/>
          <w:lang w:val="sr-Latn-ME"/>
        </w:rPr>
      </w:pPr>
    </w:p>
    <w:p w:rsidR="00330BA9" w:rsidRPr="007F1889" w:rsidRDefault="00330BA9" w:rsidP="008136BC">
      <w:pPr>
        <w:pStyle w:val="Header"/>
        <w:tabs>
          <w:tab w:val="clear" w:pos="4536"/>
          <w:tab w:val="clear" w:pos="9072"/>
          <w:tab w:val="left" w:pos="284"/>
        </w:tabs>
        <w:spacing w:before="80" w:after="80"/>
        <w:jc w:val="left"/>
        <w:rPr>
          <w:rFonts w:ascii="Times New Roman" w:hAnsi="Times New Roman"/>
          <w:b/>
          <w:bCs/>
          <w:sz w:val="22"/>
          <w:szCs w:val="22"/>
          <w:lang w:val="sr-Latn-ME"/>
        </w:rPr>
      </w:pPr>
      <w:r w:rsidRPr="007F1889">
        <w:rPr>
          <w:rFonts w:ascii="Times New Roman" w:hAnsi="Times New Roman"/>
          <w:b/>
          <w:bCs/>
          <w:sz w:val="22"/>
          <w:szCs w:val="22"/>
          <w:lang w:val="sr-Latn-ME"/>
        </w:rPr>
        <w:lastRenderedPageBreak/>
        <w:t>4.5. Interakcije sa drugim ljekovima i druge vrste interakcija</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Pokazano je da različite supstance mogu da biohemijski mijenjaju antitumorsku efikasnost ili toksičnost fluorouracila. Uobičajeni ljekovi su metotreksat, metronidazol, lekovorin, interferon alfa i alopurinol.</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Pri istovremenoj primjeni 5fluorouracila i folinske kiseline mogu biti povećani efikasnot i toksičnost 5-fluorouracila. Neželjeni efekti mogu biti više izraženi i može se javiti teška dijareja. Životno-ugrožavajuće dijareje su uočene ako je primjenjivana doza fluorouracila od 600 mg/m² (i.v. bolus jednom nedjeljno) i folinska kiselina.</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 xml:space="preserve">U kombinaciji sa drugim mijelosupresivnim supstancama, potrebno je prilagođavanje doze. Istovremena ili prethodna radioterapija može zahtijevati smanjenje doze. Može biti povećana kardiotoksičnost antraciklina. </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Potrebno je izbjegavati kombinaciju fluorouracila sa klozapinom zbog povećanog rizika od agranulocitoze.</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Prijavljen je povećan rizik od cerebralnih infarkta kod pacijenata sa orofaringealnim karcinomom koji su liječeni fluorouracilom i cisplatinom.</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 xml:space="preserve">Nakon započinjanja terapije fluorouracilom kod nekoliko pacijenata stabilnih na varfarinu uočen je značajan porast protrombinskog vremena i INR. </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Enzim dihidropirimidin dehidrogenaza (DHD) igra važnu ulogu u metabolizmu fluorouracila. Nukleozidni analozi, npr. brivudin i sorivudin mogu indukovati porast koncentracije 5-FU ili drugih fluoropirimidina u plazmi, što je povezano sa reakcijama toksičnosti. Zbog toga je potrebno da postoji vremenski razmak od najmanje 4 nedjelje između primjene fluorouracila i brivudina, sorivudina ili analoga.</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Ako je moguće, indikovano je određivanje enzimske aktivnosti DPD prije terapije  5-fluoropirimidinima.</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Cimetidin, metronidazol i interferon mogu povećati plazma vrijednosti 5-fluorouracila i time povećati toksičnost 5-fluorouracila.</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Kod pacijenata koji dobijaju fenitoin i fluorouracil istovremeno, prijavljen je porast koncentracije fenitoina u plazmi što je dovelo do pojave simptoma toksičnosti fenitoina.</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Fluorouracil pojačava djelovanje drugih citostatika i zračne terapije (vidjeti odjeljak 4.2).</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Kod pacijenata koji dobijaju ciklofosfamid, metotreksat i 5-fluorouracil, dodavanje tiazidnih diuretika dovodi do izraženijeg smanjenja broja granulocita u poređenju sa pacijentima koji nijesu dobijali tiazide.</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Često je uočena hepatotoksičnost (porast alkalne fosfataze, transaminaze ili bilirubina) kod pacijenata koji dobijaju 5-fluorouracil u kombinaciji sa levamizolom.</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Kod pacijenata sa karcinomom dojke je prijavljeno da kombinovana terapija sa ciklofosfamidom, metotreksatom, 5-fluorouracilom i tamoksifenom povećava rizik od tromboembolijskih događaja.</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Ozbiljno, potencijalno životno ugrožavajući mukozitis se može javiti nakon istovremene primjene vinorelbina i 5-fluorouracila/folinske kiseline.</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lastRenderedPageBreak/>
        <w:t>Vakcinaciju živim vakcinama treba izbjegavati kod imunokompromitovanih pacijenata.</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spacing w:before="80" w:after="80"/>
        <w:jc w:val="left"/>
        <w:rPr>
          <w:rFonts w:ascii="Times New Roman" w:hAnsi="Times New Roman"/>
          <w:b/>
          <w:bCs/>
          <w:sz w:val="22"/>
          <w:szCs w:val="22"/>
          <w:lang w:val="sr-Latn-ME"/>
        </w:rPr>
      </w:pPr>
      <w:r w:rsidRPr="007F1889">
        <w:rPr>
          <w:rFonts w:ascii="Times New Roman" w:hAnsi="Times New Roman"/>
          <w:b/>
          <w:bCs/>
          <w:sz w:val="22"/>
          <w:szCs w:val="22"/>
          <w:lang w:val="sr-Latn-ME"/>
        </w:rPr>
        <w:t>4.6. Primjena u periodu trudnoće i dojenja</w:t>
      </w:r>
    </w:p>
    <w:p w:rsidR="00330BA9" w:rsidRPr="007F1889" w:rsidRDefault="00330BA9" w:rsidP="008136BC">
      <w:pPr>
        <w:pStyle w:val="Header"/>
        <w:tabs>
          <w:tab w:val="clear" w:pos="4536"/>
          <w:tab w:val="clear" w:pos="9072"/>
          <w:tab w:val="left" w:pos="284"/>
        </w:tabs>
        <w:rPr>
          <w:rFonts w:ascii="Times New Roman" w:hAnsi="Times New Roman"/>
          <w:sz w:val="22"/>
          <w:szCs w:val="22"/>
          <w:u w:val="single"/>
          <w:lang w:val="sr-Latn-ME"/>
        </w:rPr>
      </w:pPr>
      <w:r w:rsidRPr="007F1889">
        <w:rPr>
          <w:rFonts w:ascii="Times New Roman" w:hAnsi="Times New Roman"/>
          <w:sz w:val="22"/>
          <w:szCs w:val="22"/>
          <w:u w:val="single"/>
          <w:lang w:val="sr-Latn-ME"/>
        </w:rPr>
        <w:t>Trudnoća</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Ne postoje odgovarajuće i dobro kontrolisane studije kod trudnica, međutim, prijavljeni su defekti ploda i spontani pobačaji.</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Žene u generativnoj dobi treba savjetovati da izbjegavaju trudnoću i da koriste efikasne mjere kontracepcije tokom terapije  fluorouracilom i 6 mjeseci nakon toga (vidjeti odjeljak 4.4). Ako se lijek primjenjuje tokom trudnoće i ako pacijentkinja zatrudni tokom uzimanja lijeka, potrebno je da bude u potpunosti informisana o mogućim štetnim efektima za fetus a preporučuje se i genetsko savjetovalište.</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u w:val="single"/>
          <w:lang w:val="sr-Latn-ME"/>
        </w:rPr>
      </w:pPr>
      <w:r w:rsidRPr="007F1889">
        <w:rPr>
          <w:rFonts w:ascii="Times New Roman" w:hAnsi="Times New Roman"/>
          <w:sz w:val="22"/>
          <w:szCs w:val="22"/>
          <w:u w:val="single"/>
          <w:lang w:val="sr-Latn-ME"/>
        </w:rPr>
        <w:t>Fertlitet</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Muškarcima koji su na terapiji fluorouracilom se savjetuje da ne ostvaruju potomstvo tokom i do 6 mjeseci nakon prekida terapije (vidjeti odjeljak 4.4). Trebalo bi potražiti savjet o zamrzavanju sperme prije terapije zbog mogućih ireverzibilnog steriliteta zbog terapije fluorouracilom.</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u w:val="single"/>
          <w:lang w:val="sr-Latn-ME"/>
        </w:rPr>
      </w:pPr>
      <w:r w:rsidRPr="007F1889">
        <w:rPr>
          <w:rFonts w:ascii="Times New Roman" w:hAnsi="Times New Roman"/>
          <w:sz w:val="22"/>
          <w:szCs w:val="22"/>
          <w:u w:val="single"/>
          <w:lang w:val="sr-Latn-ME"/>
        </w:rPr>
        <w:t>Dojenje</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 xml:space="preserve">S obzirom da nije poznato da li 5-fluorouracil prolazi u majčino mlijeko, dojenje se mora prekinuti ako majka dobija ovaj lijek. </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spacing w:before="80" w:after="80"/>
        <w:jc w:val="left"/>
        <w:rPr>
          <w:rFonts w:ascii="Times New Roman" w:hAnsi="Times New Roman"/>
          <w:b/>
          <w:bCs/>
          <w:sz w:val="22"/>
          <w:szCs w:val="22"/>
          <w:lang w:val="sr-Latn-ME"/>
        </w:rPr>
      </w:pPr>
      <w:r w:rsidRPr="007F1889">
        <w:rPr>
          <w:rFonts w:ascii="Times New Roman" w:hAnsi="Times New Roman"/>
          <w:b/>
          <w:bCs/>
          <w:sz w:val="22"/>
          <w:szCs w:val="22"/>
          <w:lang w:val="sr-Latn-ME"/>
        </w:rPr>
        <w:t>4.7. Uticaj na psihofizičke sposobnosti prilikom upravljanja motornim vozilom i rukovanja mašinama</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r w:rsidRPr="007F1889">
        <w:rPr>
          <w:rFonts w:ascii="Times New Roman" w:hAnsi="Times New Roman"/>
          <w:sz w:val="22"/>
          <w:szCs w:val="22"/>
          <w:lang w:val="sr-Latn-ME"/>
        </w:rPr>
        <w:t>Nijesu sprovedena ispitivanja o uticaju fluorouracila na sposobnost upravljanja vozilom ili rukovanja mašinama.</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r w:rsidRPr="007F1889">
        <w:rPr>
          <w:rFonts w:ascii="Times New Roman" w:hAnsi="Times New Roman"/>
          <w:sz w:val="22"/>
          <w:szCs w:val="22"/>
          <w:lang w:val="sr-Latn-ME"/>
        </w:rPr>
        <w:t>Fluorouracil može uzrokovati neželjene efekte kao što su mučnina i povraćanje. Takođe može prouzrokovati neželjene događaje na nervni sistem i vizuelne promjene koje mogu djelovati štetno na sposobnost upravljanja vozilom ili rukovanja mašinama.</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spacing w:before="80" w:after="80"/>
        <w:jc w:val="left"/>
        <w:rPr>
          <w:rFonts w:ascii="Times New Roman" w:hAnsi="Times New Roman"/>
          <w:b/>
          <w:bCs/>
          <w:sz w:val="22"/>
          <w:szCs w:val="22"/>
          <w:lang w:val="sr-Latn-ME"/>
        </w:rPr>
      </w:pPr>
      <w:r w:rsidRPr="007F1889">
        <w:rPr>
          <w:rFonts w:ascii="Times New Roman" w:hAnsi="Times New Roman"/>
          <w:b/>
          <w:bCs/>
          <w:sz w:val="22"/>
          <w:szCs w:val="22"/>
          <w:lang w:val="sr-Latn-ME"/>
        </w:rPr>
        <w:t>4.8. Neželjena dejstva</w:t>
      </w: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Učestalost  neželjenih dejstava je definisana na sljedeći način:</w:t>
      </w: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 xml:space="preserve">Veoma česta (≥1/10) </w:t>
      </w: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 xml:space="preserve">Česta (≥1/100 do &lt;1/10) </w:t>
      </w: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 xml:space="preserve">Povremena (≥1/1,000 do &lt; 1/100) </w:t>
      </w: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 xml:space="preserve">Rijetka ≥1/10,000 do &lt;1/1,000) </w:t>
      </w: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Veoma rijetka (&lt;1/10,000)</w:t>
      </w: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Nije poznata (ne može se procijeniti na osnovu raspoloživih podataka)</w:t>
      </w:r>
    </w:p>
    <w:p w:rsidR="00330BA9" w:rsidRPr="007F1889" w:rsidRDefault="00330BA9" w:rsidP="008136BC">
      <w:pPr>
        <w:tabs>
          <w:tab w:val="clear" w:pos="284"/>
        </w:tabs>
        <w:jc w:val="left"/>
        <w:rPr>
          <w:rFonts w:ascii="Times New Roman" w:hAnsi="Times New Roman"/>
          <w:sz w:val="22"/>
          <w:szCs w:val="22"/>
          <w:lang w:val="sr-Latn-ME"/>
        </w:rPr>
      </w:pPr>
    </w:p>
    <w:p w:rsidR="00330BA9" w:rsidRPr="007F1889" w:rsidRDefault="00330BA9" w:rsidP="008136BC">
      <w:pPr>
        <w:tabs>
          <w:tab w:val="clear" w:pos="284"/>
        </w:tabs>
        <w:jc w:val="left"/>
        <w:rPr>
          <w:rFonts w:ascii="Times New Roman" w:hAnsi="Times New Roman"/>
          <w:b/>
          <w:sz w:val="22"/>
          <w:szCs w:val="22"/>
          <w:lang w:val="sr-Latn-ME"/>
        </w:rPr>
      </w:pPr>
      <w:r w:rsidRPr="007F1889">
        <w:rPr>
          <w:rFonts w:ascii="Times New Roman" w:hAnsi="Times New Roman"/>
          <w:b/>
          <w:sz w:val="22"/>
          <w:szCs w:val="22"/>
          <w:lang w:val="sr-Latn-ME"/>
        </w:rPr>
        <w:t>Poremećaji na nivou krvi i limfnog sistema</w:t>
      </w: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Veoma često: mijelosupresija ( pojava: 7.-10.dana, nadir: 9.-14.dana, opravak: 21.-28.dana), neutropenija, trombocitopenija, leukopenija, agranulocitoza, anemija i pancitopenija.</w:t>
      </w:r>
    </w:p>
    <w:p w:rsidR="00330BA9" w:rsidRPr="007F1889" w:rsidRDefault="00330BA9" w:rsidP="008136BC">
      <w:pPr>
        <w:tabs>
          <w:tab w:val="clear" w:pos="284"/>
        </w:tabs>
        <w:jc w:val="left"/>
        <w:rPr>
          <w:rFonts w:ascii="Times New Roman" w:hAnsi="Times New Roman"/>
          <w:b/>
          <w:sz w:val="22"/>
          <w:szCs w:val="22"/>
          <w:lang w:val="sr-Latn-ME"/>
        </w:rPr>
      </w:pPr>
    </w:p>
    <w:p w:rsidR="00330BA9" w:rsidRPr="007F1889" w:rsidRDefault="00330BA9" w:rsidP="008136BC">
      <w:pPr>
        <w:tabs>
          <w:tab w:val="clear" w:pos="284"/>
        </w:tabs>
        <w:jc w:val="left"/>
        <w:rPr>
          <w:rFonts w:ascii="Times New Roman" w:hAnsi="Times New Roman"/>
          <w:b/>
          <w:sz w:val="22"/>
          <w:szCs w:val="22"/>
          <w:lang w:val="sr-Latn-ME"/>
        </w:rPr>
      </w:pPr>
      <w:r w:rsidRPr="007F1889">
        <w:rPr>
          <w:rFonts w:ascii="Times New Roman" w:hAnsi="Times New Roman"/>
          <w:b/>
          <w:sz w:val="22"/>
          <w:szCs w:val="22"/>
          <w:lang w:val="sr-Latn-ME"/>
        </w:rPr>
        <w:t>Imunološki poremećaji</w:t>
      </w: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Veoma često: bronhospazam, imunosupresija sa povećanim rizikom od infekcije</w:t>
      </w:r>
    </w:p>
    <w:p w:rsidR="00330BA9" w:rsidRPr="007F1889" w:rsidRDefault="00330BA9" w:rsidP="008136BC">
      <w:pPr>
        <w:tabs>
          <w:tab w:val="clear" w:pos="284"/>
        </w:tabs>
        <w:jc w:val="left"/>
        <w:rPr>
          <w:rFonts w:ascii="Times New Roman" w:hAnsi="Times New Roman"/>
          <w:strike/>
          <w:sz w:val="22"/>
          <w:szCs w:val="22"/>
          <w:lang w:val="sr-Latn-ME"/>
        </w:rPr>
      </w:pPr>
      <w:r w:rsidRPr="007F1889">
        <w:rPr>
          <w:rFonts w:ascii="Times New Roman" w:hAnsi="Times New Roman"/>
          <w:sz w:val="22"/>
          <w:szCs w:val="22"/>
          <w:lang w:val="sr-Latn-ME"/>
        </w:rPr>
        <w:t>Rijetko: generalizovane alergijske reakcije, anafilaksa, anafilaktički šok</w:t>
      </w:r>
    </w:p>
    <w:p w:rsidR="00330BA9" w:rsidRPr="007F1889" w:rsidRDefault="00330BA9" w:rsidP="008136BC">
      <w:pPr>
        <w:tabs>
          <w:tab w:val="clear" w:pos="284"/>
        </w:tabs>
        <w:jc w:val="left"/>
        <w:rPr>
          <w:rFonts w:ascii="Times New Roman" w:hAnsi="Times New Roman"/>
          <w:strike/>
          <w:sz w:val="22"/>
          <w:szCs w:val="22"/>
          <w:lang w:val="sr-Latn-ME"/>
        </w:rPr>
      </w:pPr>
    </w:p>
    <w:p w:rsidR="007F1889" w:rsidRDefault="007F1889" w:rsidP="008136BC">
      <w:pPr>
        <w:tabs>
          <w:tab w:val="clear" w:pos="284"/>
        </w:tabs>
        <w:jc w:val="left"/>
        <w:rPr>
          <w:rFonts w:ascii="Times New Roman" w:hAnsi="Times New Roman"/>
          <w:b/>
          <w:sz w:val="22"/>
          <w:szCs w:val="22"/>
          <w:lang w:val="sr-Latn-ME"/>
        </w:rPr>
      </w:pPr>
    </w:p>
    <w:p w:rsidR="00330BA9" w:rsidRPr="007F1889" w:rsidRDefault="00330BA9" w:rsidP="008136BC">
      <w:pPr>
        <w:tabs>
          <w:tab w:val="clear" w:pos="284"/>
        </w:tabs>
        <w:jc w:val="left"/>
        <w:rPr>
          <w:rFonts w:ascii="Times New Roman" w:hAnsi="Times New Roman"/>
          <w:b/>
          <w:sz w:val="22"/>
          <w:szCs w:val="22"/>
          <w:lang w:val="sr-Latn-ME"/>
        </w:rPr>
      </w:pPr>
      <w:r w:rsidRPr="007F1889">
        <w:rPr>
          <w:rFonts w:ascii="Times New Roman" w:hAnsi="Times New Roman"/>
          <w:b/>
          <w:sz w:val="22"/>
          <w:szCs w:val="22"/>
          <w:lang w:val="sr-Latn-ME"/>
        </w:rPr>
        <w:t>Endokrini poremećaji</w:t>
      </w: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Rijetko: porast T4 (ukupni tiroksin), porast T3 (ukupni trijodtironin)</w:t>
      </w:r>
    </w:p>
    <w:p w:rsidR="00330BA9" w:rsidRPr="007F1889" w:rsidRDefault="00330BA9" w:rsidP="008136BC">
      <w:pPr>
        <w:tabs>
          <w:tab w:val="clear" w:pos="284"/>
        </w:tabs>
        <w:jc w:val="left"/>
        <w:rPr>
          <w:rFonts w:ascii="Times New Roman" w:hAnsi="Times New Roman"/>
          <w:sz w:val="22"/>
          <w:szCs w:val="22"/>
          <w:lang w:val="sr-Latn-ME"/>
        </w:rPr>
      </w:pPr>
    </w:p>
    <w:p w:rsidR="00330BA9" w:rsidRPr="007F1889" w:rsidRDefault="00330BA9" w:rsidP="008136BC">
      <w:pPr>
        <w:tabs>
          <w:tab w:val="clear" w:pos="284"/>
        </w:tabs>
        <w:jc w:val="left"/>
        <w:rPr>
          <w:rFonts w:ascii="Times New Roman" w:hAnsi="Times New Roman"/>
          <w:b/>
          <w:sz w:val="22"/>
          <w:szCs w:val="22"/>
          <w:lang w:val="sr-Latn-ME"/>
        </w:rPr>
      </w:pPr>
      <w:r w:rsidRPr="007F1889">
        <w:rPr>
          <w:rFonts w:ascii="Times New Roman" w:hAnsi="Times New Roman"/>
          <w:b/>
          <w:sz w:val="22"/>
          <w:szCs w:val="22"/>
          <w:lang w:val="sr-Latn-ME"/>
        </w:rPr>
        <w:t>Poremećaji metabolizma i ishrane</w:t>
      </w: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Veoma često: hiperurikemija</w:t>
      </w:r>
    </w:p>
    <w:p w:rsidR="00330BA9" w:rsidRPr="007F1889" w:rsidRDefault="00330BA9" w:rsidP="008136BC">
      <w:pPr>
        <w:tabs>
          <w:tab w:val="clear" w:pos="284"/>
        </w:tabs>
        <w:jc w:val="left"/>
        <w:rPr>
          <w:rFonts w:ascii="Times New Roman" w:hAnsi="Times New Roman"/>
          <w:sz w:val="22"/>
          <w:szCs w:val="22"/>
          <w:lang w:val="sr-Latn-ME"/>
        </w:rPr>
      </w:pPr>
    </w:p>
    <w:p w:rsidR="00330BA9" w:rsidRPr="007F1889" w:rsidRDefault="00330BA9" w:rsidP="008136BC">
      <w:pPr>
        <w:tabs>
          <w:tab w:val="clear" w:pos="284"/>
        </w:tabs>
        <w:jc w:val="left"/>
        <w:rPr>
          <w:rFonts w:ascii="Times New Roman" w:hAnsi="Times New Roman"/>
          <w:b/>
          <w:sz w:val="22"/>
          <w:szCs w:val="22"/>
          <w:lang w:val="sr-Latn-ME"/>
        </w:rPr>
      </w:pPr>
      <w:r w:rsidRPr="007F1889">
        <w:rPr>
          <w:rFonts w:ascii="Times New Roman" w:hAnsi="Times New Roman"/>
          <w:b/>
          <w:sz w:val="22"/>
          <w:szCs w:val="22"/>
          <w:lang w:val="sr-Latn-ME"/>
        </w:rPr>
        <w:t>Psihijatrijski poremećaji</w:t>
      </w: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Rijetko: konfuzija</w:t>
      </w:r>
    </w:p>
    <w:p w:rsidR="00330BA9" w:rsidRPr="007F1889" w:rsidRDefault="00330BA9" w:rsidP="008136BC">
      <w:pPr>
        <w:tabs>
          <w:tab w:val="clear" w:pos="284"/>
        </w:tabs>
        <w:jc w:val="left"/>
        <w:rPr>
          <w:rFonts w:ascii="Times New Roman" w:hAnsi="Times New Roman"/>
          <w:sz w:val="22"/>
          <w:szCs w:val="22"/>
          <w:lang w:val="sr-Latn-ME"/>
        </w:rPr>
      </w:pPr>
    </w:p>
    <w:p w:rsidR="00330BA9" w:rsidRPr="007F1889" w:rsidRDefault="00330BA9" w:rsidP="008136BC">
      <w:pPr>
        <w:tabs>
          <w:tab w:val="clear" w:pos="284"/>
        </w:tabs>
        <w:jc w:val="left"/>
        <w:rPr>
          <w:rFonts w:ascii="Times New Roman" w:hAnsi="Times New Roman"/>
          <w:b/>
          <w:sz w:val="22"/>
          <w:szCs w:val="22"/>
          <w:lang w:val="sr-Latn-ME"/>
        </w:rPr>
      </w:pPr>
      <w:r w:rsidRPr="007F1889">
        <w:rPr>
          <w:rFonts w:ascii="Times New Roman" w:hAnsi="Times New Roman"/>
          <w:b/>
          <w:sz w:val="22"/>
          <w:szCs w:val="22"/>
          <w:lang w:val="sr-Latn-ME"/>
        </w:rPr>
        <w:t>Poremećaji nervnog sistema:</w:t>
      </w: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Povremeno: nistagmus, glavobolja, ošamućenost, simptomi Parkinsonove bolesti, piramidalni znaci, euforija, somnolencija</w:t>
      </w: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Veoma rijetko: prijavljeni su simptomi leukoencefalopatije uključujući ataksiju, akutni cerebelarni sindrom, dizartrija, konfuzija, dezorijentacija, miastenija, afazija, konvulzija ili koma kod pacijenata koji dobijaju visoke doze 5-fluorouracila i kod pacijenata sa nedostatkom dihidropirimidin dehidrogenaze ili oštećenjem bubrega.</w:t>
      </w: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Nije poznata: može se javiti periferna neuoropatija</w:t>
      </w:r>
    </w:p>
    <w:p w:rsidR="00330BA9" w:rsidRPr="007F1889" w:rsidRDefault="00330BA9" w:rsidP="008136BC">
      <w:pPr>
        <w:tabs>
          <w:tab w:val="clear" w:pos="284"/>
        </w:tabs>
        <w:jc w:val="left"/>
        <w:rPr>
          <w:rFonts w:ascii="Times New Roman" w:hAnsi="Times New Roman"/>
          <w:b/>
          <w:sz w:val="22"/>
          <w:szCs w:val="22"/>
          <w:lang w:val="sr-Latn-ME"/>
        </w:rPr>
      </w:pPr>
    </w:p>
    <w:p w:rsidR="00330BA9" w:rsidRPr="007F1889" w:rsidRDefault="00330BA9" w:rsidP="008136BC">
      <w:pPr>
        <w:tabs>
          <w:tab w:val="clear" w:pos="284"/>
        </w:tabs>
        <w:jc w:val="left"/>
        <w:rPr>
          <w:rFonts w:ascii="Times New Roman" w:hAnsi="Times New Roman"/>
          <w:b/>
          <w:sz w:val="22"/>
          <w:szCs w:val="22"/>
          <w:lang w:val="sr-Latn-ME"/>
        </w:rPr>
      </w:pPr>
      <w:r w:rsidRPr="007F1889">
        <w:rPr>
          <w:rFonts w:ascii="Times New Roman" w:hAnsi="Times New Roman"/>
          <w:b/>
          <w:sz w:val="22"/>
          <w:szCs w:val="22"/>
          <w:lang w:val="sr-Latn-ME"/>
        </w:rPr>
        <w:t>Poremećaji na nivou oka</w:t>
      </w: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Povremeno: izražena lakrimacija, zamućenje vida, poremećaj očnih pokreta, optički neuritis, diplopija, smanjenje oštrine vida, fotofobija, konjuktivitis, zapaljenje očnih kapaka, ektropion, dakriostenoza.</w:t>
      </w:r>
    </w:p>
    <w:p w:rsidR="00330BA9" w:rsidRPr="007F1889" w:rsidRDefault="00330BA9" w:rsidP="008136BC">
      <w:pPr>
        <w:tabs>
          <w:tab w:val="clear" w:pos="284"/>
        </w:tabs>
        <w:jc w:val="left"/>
        <w:rPr>
          <w:rFonts w:ascii="Times New Roman" w:hAnsi="Times New Roman"/>
          <w:b/>
          <w:sz w:val="22"/>
          <w:szCs w:val="22"/>
          <w:lang w:val="sr-Latn-ME"/>
        </w:rPr>
      </w:pPr>
    </w:p>
    <w:p w:rsidR="00330BA9" w:rsidRPr="007F1889" w:rsidRDefault="00330BA9" w:rsidP="008136BC">
      <w:pPr>
        <w:tabs>
          <w:tab w:val="clear" w:pos="284"/>
        </w:tabs>
        <w:jc w:val="left"/>
        <w:rPr>
          <w:rFonts w:ascii="Times New Roman" w:hAnsi="Times New Roman"/>
          <w:b/>
          <w:sz w:val="22"/>
          <w:szCs w:val="22"/>
          <w:lang w:val="sr-Latn-ME"/>
        </w:rPr>
      </w:pPr>
      <w:r w:rsidRPr="007F1889">
        <w:rPr>
          <w:rFonts w:ascii="Times New Roman" w:hAnsi="Times New Roman"/>
          <w:b/>
          <w:sz w:val="22"/>
          <w:szCs w:val="22"/>
          <w:lang w:val="sr-Latn-ME"/>
        </w:rPr>
        <w:t>Kardiološki poremećaji</w:t>
      </w: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Veoma često: ishemijske promjene na EKG-u</w:t>
      </w: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Često: bol u grudima koji liči na anginozni bol</w:t>
      </w: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Povremeno: aritmija, infarkt miokarda, ishemija miokarda, miokarditis, srčana insuficijencija, dilatativna kardiomiopatija, kardijalni šok.</w:t>
      </w: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Veoma rijetko: srčani zastoj, iznenadna srčana smrt.</w:t>
      </w:r>
    </w:p>
    <w:p w:rsidR="00330BA9" w:rsidRPr="007F1889" w:rsidRDefault="00330BA9" w:rsidP="008136BC">
      <w:pPr>
        <w:tabs>
          <w:tab w:val="clear" w:pos="284"/>
        </w:tabs>
        <w:jc w:val="left"/>
        <w:rPr>
          <w:rFonts w:ascii="Times New Roman" w:hAnsi="Times New Roman"/>
          <w:sz w:val="22"/>
          <w:szCs w:val="22"/>
          <w:lang w:val="sr-Latn-ME"/>
        </w:rPr>
      </w:pP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Kardiotoksični neželjeni događaji u većini slučajeva se javljaju tokom i u roku od nekoliko sata od prvog terapijskog ciklusa. Postoji povećan rizik od kardiotoksičnosti kod pacijenata sa prethodnim srčanim koronarnim oboljenjem ili kardiomiopatijom.</w:t>
      </w:r>
    </w:p>
    <w:p w:rsidR="00330BA9" w:rsidRPr="007F1889" w:rsidRDefault="00330BA9" w:rsidP="008136BC">
      <w:pPr>
        <w:tabs>
          <w:tab w:val="clear" w:pos="284"/>
        </w:tabs>
        <w:jc w:val="left"/>
        <w:rPr>
          <w:rFonts w:ascii="Times New Roman" w:hAnsi="Times New Roman"/>
          <w:sz w:val="22"/>
          <w:szCs w:val="22"/>
          <w:lang w:val="sr-Latn-ME"/>
        </w:rPr>
      </w:pPr>
    </w:p>
    <w:p w:rsidR="00330BA9" w:rsidRPr="007F1889" w:rsidRDefault="00330BA9" w:rsidP="008136BC">
      <w:pPr>
        <w:tabs>
          <w:tab w:val="clear" w:pos="284"/>
        </w:tabs>
        <w:jc w:val="left"/>
        <w:rPr>
          <w:rFonts w:ascii="Times New Roman" w:hAnsi="Times New Roman"/>
          <w:b/>
          <w:sz w:val="22"/>
          <w:szCs w:val="22"/>
          <w:lang w:val="sr-Latn-ME"/>
        </w:rPr>
      </w:pPr>
      <w:r w:rsidRPr="007F1889">
        <w:rPr>
          <w:rFonts w:ascii="Times New Roman" w:hAnsi="Times New Roman"/>
          <w:b/>
          <w:sz w:val="22"/>
          <w:szCs w:val="22"/>
          <w:lang w:val="sr-Latn-ME"/>
        </w:rPr>
        <w:t>Vaskularni poremećaji</w:t>
      </w: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Povremeno: hipotenzija</w:t>
      </w: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Rijetko: cerebralna, intestinalna i periferna ishemija, Reynaud-ov sindrom, tromboembolija, tromboflebitis</w:t>
      </w:r>
    </w:p>
    <w:p w:rsidR="00330BA9" w:rsidRPr="007F1889" w:rsidRDefault="00330BA9" w:rsidP="008136BC">
      <w:pPr>
        <w:tabs>
          <w:tab w:val="clear" w:pos="284"/>
        </w:tabs>
        <w:jc w:val="left"/>
        <w:rPr>
          <w:rFonts w:ascii="Times New Roman" w:hAnsi="Times New Roman"/>
          <w:sz w:val="22"/>
          <w:szCs w:val="22"/>
          <w:lang w:val="sr-Latn-ME"/>
        </w:rPr>
      </w:pPr>
    </w:p>
    <w:p w:rsidR="00330BA9" w:rsidRPr="007F1889" w:rsidRDefault="00330BA9" w:rsidP="008136BC">
      <w:pPr>
        <w:tabs>
          <w:tab w:val="clear" w:pos="284"/>
        </w:tabs>
        <w:jc w:val="left"/>
        <w:rPr>
          <w:rFonts w:ascii="Times New Roman" w:hAnsi="Times New Roman"/>
          <w:b/>
          <w:sz w:val="22"/>
          <w:szCs w:val="22"/>
          <w:lang w:val="sr-Latn-ME"/>
        </w:rPr>
      </w:pPr>
      <w:r w:rsidRPr="007F1889">
        <w:rPr>
          <w:rFonts w:ascii="Times New Roman" w:hAnsi="Times New Roman"/>
          <w:b/>
          <w:sz w:val="22"/>
          <w:szCs w:val="22"/>
          <w:lang w:val="sr-Latn-ME"/>
        </w:rPr>
        <w:t>Gastrointestinalni poremećaji</w:t>
      </w: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Veoma često: Gastrointestinalni poremećaji su veoma česti i mogu biti životno-ugrožavajući.</w:t>
      </w: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Mukozitis (stomatitis, faringitis, ezofagitis, proktitis), anoreksija, vodena dijareja, mučnina, povraćanje Povremeno: dehidratacija, sepsa, gastrointestinalne ulceracije i krvarenje, nekroza.</w:t>
      </w:r>
    </w:p>
    <w:p w:rsidR="00330BA9" w:rsidRPr="007F1889" w:rsidRDefault="00330BA9" w:rsidP="008136BC">
      <w:pPr>
        <w:tabs>
          <w:tab w:val="clear" w:pos="284"/>
        </w:tabs>
        <w:jc w:val="left"/>
        <w:rPr>
          <w:rFonts w:ascii="Times New Roman" w:hAnsi="Times New Roman"/>
          <w:b/>
          <w:sz w:val="22"/>
          <w:szCs w:val="22"/>
          <w:lang w:val="sr-Latn-ME"/>
        </w:rPr>
      </w:pPr>
    </w:p>
    <w:p w:rsidR="00330BA9" w:rsidRPr="007F1889" w:rsidRDefault="00330BA9" w:rsidP="008136BC">
      <w:pPr>
        <w:tabs>
          <w:tab w:val="clear" w:pos="284"/>
        </w:tabs>
        <w:jc w:val="left"/>
        <w:rPr>
          <w:rFonts w:ascii="Times New Roman" w:hAnsi="Times New Roman"/>
          <w:b/>
          <w:sz w:val="22"/>
          <w:szCs w:val="22"/>
          <w:lang w:val="sr-Latn-ME"/>
        </w:rPr>
      </w:pPr>
      <w:r w:rsidRPr="007F1889">
        <w:rPr>
          <w:rFonts w:ascii="Times New Roman" w:hAnsi="Times New Roman"/>
          <w:b/>
          <w:sz w:val="22"/>
          <w:szCs w:val="22"/>
          <w:lang w:val="sr-Latn-ME"/>
        </w:rPr>
        <w:t xml:space="preserve">Hepatobilijarni poremećaji </w:t>
      </w: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Povremeno: oštećenje ćelija jetre</w:t>
      </w: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Veoma rijetko: nekroza jetre (slučajevi sa fatalnim ishodom), bilijarna skleroza, holecistitis</w:t>
      </w:r>
    </w:p>
    <w:p w:rsidR="00330BA9" w:rsidRPr="007F1889" w:rsidRDefault="00330BA9" w:rsidP="008136BC">
      <w:pPr>
        <w:tabs>
          <w:tab w:val="clear" w:pos="284"/>
        </w:tabs>
        <w:jc w:val="left"/>
        <w:rPr>
          <w:rFonts w:ascii="Times New Roman" w:hAnsi="Times New Roman"/>
          <w:sz w:val="22"/>
          <w:szCs w:val="22"/>
          <w:lang w:val="sr-Latn-ME"/>
        </w:rPr>
      </w:pPr>
    </w:p>
    <w:p w:rsidR="007F1889" w:rsidRDefault="007F1889" w:rsidP="008136BC">
      <w:pPr>
        <w:tabs>
          <w:tab w:val="clear" w:pos="284"/>
        </w:tabs>
        <w:jc w:val="left"/>
        <w:rPr>
          <w:rFonts w:ascii="Times New Roman" w:hAnsi="Times New Roman"/>
          <w:b/>
          <w:sz w:val="22"/>
          <w:szCs w:val="22"/>
          <w:lang w:val="sr-Latn-ME"/>
        </w:rPr>
      </w:pPr>
    </w:p>
    <w:p w:rsidR="00330BA9" w:rsidRPr="007F1889" w:rsidRDefault="00330BA9" w:rsidP="008136BC">
      <w:pPr>
        <w:tabs>
          <w:tab w:val="clear" w:pos="284"/>
        </w:tabs>
        <w:jc w:val="left"/>
        <w:rPr>
          <w:rFonts w:ascii="Times New Roman" w:hAnsi="Times New Roman"/>
          <w:b/>
          <w:sz w:val="22"/>
          <w:szCs w:val="22"/>
          <w:lang w:val="sr-Latn-ME"/>
        </w:rPr>
      </w:pPr>
      <w:r w:rsidRPr="007F1889">
        <w:rPr>
          <w:rFonts w:ascii="Times New Roman" w:hAnsi="Times New Roman"/>
          <w:b/>
          <w:sz w:val="22"/>
          <w:szCs w:val="22"/>
          <w:lang w:val="sr-Latn-ME"/>
        </w:rPr>
        <w:lastRenderedPageBreak/>
        <w:t>Poremećaji na nivou kože i potkožnog tkiva</w:t>
      </w: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Veoma često: alopecija</w:t>
      </w: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Sindrom palmarno-plantarne eritrodizestezije (sindrom šaka-stopalo) zabeležen je kod produžene primjene i kontinuirane infuzije visokih doza lijeka.</w:t>
      </w: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Sindom počinje sa dizestezijom dlanova i stopala koji progredira do bola i osjetljivosti. Ovo je povezano sa simetričnim oticanjem i eritemom šaka i stopala.</w:t>
      </w: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Povremeno: Dermatitis, promjene na koži (npr. suva koža, erozije/fisure, eritem, pruritozni makulopapulozni osip), egzantem, urtikarija, fotosenzitivnost, hiperpigmentacija kože, prugasta hiperpigmentacija ili depigmentacija u blizini vena. Promjene noktiju (npr. difuzna superficijalna plava pigmentacija, hiperpigmentacija, distrofija nokta), bol i zadebljanje nokatnog ležišta, paronihija) i oniholiza.</w:t>
      </w:r>
    </w:p>
    <w:p w:rsidR="00330BA9" w:rsidRPr="007F1889" w:rsidRDefault="00330BA9" w:rsidP="008136BC">
      <w:pPr>
        <w:tabs>
          <w:tab w:val="clear" w:pos="284"/>
        </w:tabs>
        <w:jc w:val="left"/>
        <w:rPr>
          <w:rFonts w:ascii="Times New Roman" w:hAnsi="Times New Roman"/>
          <w:sz w:val="22"/>
          <w:szCs w:val="22"/>
          <w:lang w:val="sr-Latn-ME"/>
        </w:rPr>
      </w:pPr>
    </w:p>
    <w:p w:rsidR="00330BA9" w:rsidRPr="007F1889" w:rsidRDefault="00330BA9" w:rsidP="008136BC">
      <w:pPr>
        <w:tabs>
          <w:tab w:val="clear" w:pos="284"/>
        </w:tabs>
        <w:jc w:val="left"/>
        <w:rPr>
          <w:rFonts w:ascii="Times New Roman" w:hAnsi="Times New Roman"/>
          <w:b/>
          <w:sz w:val="22"/>
          <w:szCs w:val="22"/>
          <w:lang w:val="sr-Latn-ME"/>
        </w:rPr>
      </w:pPr>
      <w:r w:rsidRPr="007F1889">
        <w:rPr>
          <w:rFonts w:ascii="Times New Roman" w:hAnsi="Times New Roman"/>
          <w:b/>
          <w:sz w:val="22"/>
          <w:szCs w:val="22"/>
          <w:lang w:val="sr-Latn-ME"/>
        </w:rPr>
        <w:t>Poremećaji reproduktivnog sistema i na nivou dojki</w:t>
      </w: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Povremeno: poremećaji ovulacije i spermatogeneze</w:t>
      </w:r>
    </w:p>
    <w:p w:rsidR="00330BA9" w:rsidRPr="007F1889" w:rsidRDefault="00330BA9" w:rsidP="008136BC">
      <w:pPr>
        <w:tabs>
          <w:tab w:val="clear" w:pos="284"/>
        </w:tabs>
        <w:jc w:val="left"/>
        <w:rPr>
          <w:rFonts w:ascii="Times New Roman" w:hAnsi="Times New Roman"/>
          <w:b/>
          <w:sz w:val="22"/>
          <w:szCs w:val="22"/>
          <w:lang w:val="sr-Latn-ME"/>
        </w:rPr>
      </w:pPr>
    </w:p>
    <w:p w:rsidR="00330BA9" w:rsidRPr="007F1889" w:rsidRDefault="00330BA9" w:rsidP="008136BC">
      <w:pPr>
        <w:tabs>
          <w:tab w:val="clear" w:pos="284"/>
        </w:tabs>
        <w:jc w:val="left"/>
        <w:rPr>
          <w:rFonts w:ascii="Times New Roman" w:hAnsi="Times New Roman"/>
          <w:b/>
          <w:sz w:val="22"/>
          <w:szCs w:val="22"/>
          <w:lang w:val="sr-Latn-ME"/>
        </w:rPr>
      </w:pPr>
      <w:r w:rsidRPr="007F1889">
        <w:rPr>
          <w:rFonts w:ascii="Times New Roman" w:hAnsi="Times New Roman"/>
          <w:b/>
          <w:sz w:val="22"/>
          <w:szCs w:val="22"/>
          <w:lang w:val="sr-Latn-ME"/>
        </w:rPr>
        <w:t>Opšti poremećaji i reakcije na mjestu primjene</w:t>
      </w: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Veoma često: odloženo zarastanje rana, epistaksa, zamor, opšta slabost, umor, nedostatak energije</w:t>
      </w:r>
    </w:p>
    <w:p w:rsidR="00330BA9" w:rsidRPr="007F1889" w:rsidRDefault="00330BA9" w:rsidP="008136BC">
      <w:pPr>
        <w:tabs>
          <w:tab w:val="clear" w:pos="284"/>
        </w:tabs>
        <w:jc w:val="left"/>
        <w:rPr>
          <w:rFonts w:ascii="Times New Roman" w:hAnsi="Times New Roman"/>
          <w:sz w:val="22"/>
          <w:szCs w:val="22"/>
          <w:lang w:val="sr-Latn-ME"/>
        </w:rPr>
      </w:pPr>
      <w:r w:rsidRPr="007F1889">
        <w:rPr>
          <w:rFonts w:ascii="Times New Roman" w:hAnsi="Times New Roman"/>
          <w:sz w:val="22"/>
          <w:szCs w:val="22"/>
          <w:lang w:val="sr-Latn-ME"/>
        </w:rPr>
        <w:t>Nije poznata: groznica</w:t>
      </w:r>
    </w:p>
    <w:p w:rsidR="00330BA9" w:rsidRPr="007F1889" w:rsidRDefault="00330BA9" w:rsidP="008136BC">
      <w:pPr>
        <w:tabs>
          <w:tab w:val="clear" w:pos="284"/>
        </w:tabs>
        <w:jc w:val="left"/>
        <w:rPr>
          <w:rFonts w:ascii="Times New Roman" w:hAnsi="Times New Roman"/>
          <w:b/>
          <w:sz w:val="22"/>
          <w:szCs w:val="22"/>
          <w:lang w:val="sr-Latn-ME"/>
        </w:rPr>
      </w:pPr>
    </w:p>
    <w:p w:rsidR="00330BA9" w:rsidRPr="007F1889" w:rsidRDefault="00330BA9" w:rsidP="008136BC">
      <w:pPr>
        <w:spacing w:after="200" w:line="276" w:lineRule="auto"/>
        <w:jc w:val="left"/>
        <w:rPr>
          <w:rFonts w:ascii="Times New Roman" w:eastAsia="Calibri" w:hAnsi="Times New Roman"/>
          <w:sz w:val="22"/>
          <w:szCs w:val="22"/>
          <w:u w:val="single"/>
          <w:lang w:val="sr-Latn-ME"/>
        </w:rPr>
      </w:pPr>
      <w:r w:rsidRPr="007F1889">
        <w:rPr>
          <w:rFonts w:ascii="Times New Roman" w:eastAsia="Calibri" w:hAnsi="Times New Roman"/>
          <w:sz w:val="22"/>
          <w:szCs w:val="22"/>
          <w:u w:val="single"/>
          <w:lang w:val="sr-Latn-ME"/>
        </w:rPr>
        <w:t>Prijavljivanje sumnji na neželjena dejstva</w:t>
      </w:r>
    </w:p>
    <w:p w:rsidR="00330BA9" w:rsidRPr="007F1889" w:rsidRDefault="00330BA9" w:rsidP="008136BC">
      <w:pPr>
        <w:spacing w:after="200" w:line="276" w:lineRule="auto"/>
        <w:jc w:val="left"/>
        <w:rPr>
          <w:rFonts w:ascii="Times New Roman" w:eastAsia="Calibri" w:hAnsi="Times New Roman"/>
          <w:sz w:val="22"/>
          <w:szCs w:val="22"/>
          <w:u w:val="single"/>
          <w:lang w:val="sr-Latn-ME"/>
        </w:rPr>
      </w:pPr>
      <w:r w:rsidRPr="007F1889">
        <w:rPr>
          <w:rFonts w:ascii="Times New Roman" w:eastAsia="Calibri" w:hAnsi="Times New Roman"/>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330BA9" w:rsidRPr="007F1889" w:rsidRDefault="00330BA9" w:rsidP="008136BC">
      <w:pPr>
        <w:pStyle w:val="NoSpacing"/>
        <w:rPr>
          <w:rFonts w:eastAsia="Calibri"/>
          <w:sz w:val="22"/>
          <w:szCs w:val="22"/>
          <w:lang w:val="sr-Latn-ME"/>
        </w:rPr>
      </w:pPr>
      <w:r w:rsidRPr="007F1889">
        <w:rPr>
          <w:rFonts w:eastAsia="Calibri"/>
          <w:sz w:val="22"/>
          <w:szCs w:val="22"/>
          <w:lang w:val="sr-Latn-ME"/>
        </w:rPr>
        <w:t>Agencija za ljekove i medicinska sredstva Crne Gore</w:t>
      </w:r>
    </w:p>
    <w:p w:rsidR="00330BA9" w:rsidRPr="007F1889" w:rsidRDefault="00330BA9" w:rsidP="008136BC">
      <w:pPr>
        <w:pStyle w:val="NoSpacing"/>
        <w:rPr>
          <w:rFonts w:eastAsia="Calibri"/>
          <w:sz w:val="22"/>
          <w:szCs w:val="22"/>
          <w:lang w:val="sr-Latn-ME"/>
        </w:rPr>
      </w:pPr>
      <w:r w:rsidRPr="007F1889">
        <w:rPr>
          <w:rFonts w:eastAsia="Calibri"/>
          <w:sz w:val="22"/>
          <w:szCs w:val="22"/>
          <w:lang w:val="sr-Latn-ME"/>
        </w:rPr>
        <w:t>Odjelenje za farmakovigilancu</w:t>
      </w:r>
    </w:p>
    <w:p w:rsidR="00330BA9" w:rsidRPr="007F1889" w:rsidRDefault="00330BA9" w:rsidP="008136BC">
      <w:pPr>
        <w:pStyle w:val="NoSpacing"/>
        <w:rPr>
          <w:rFonts w:eastAsia="Calibri"/>
          <w:sz w:val="22"/>
          <w:szCs w:val="22"/>
          <w:lang w:val="sr-Latn-ME"/>
        </w:rPr>
      </w:pPr>
      <w:r w:rsidRPr="007F1889">
        <w:rPr>
          <w:rFonts w:eastAsia="Calibri"/>
          <w:sz w:val="22"/>
          <w:szCs w:val="22"/>
          <w:lang w:val="sr-Latn-ME"/>
        </w:rPr>
        <w:t>Bulevar Ivana Crnojevića 64a, 81000 Podgorica</w:t>
      </w:r>
    </w:p>
    <w:p w:rsidR="00330BA9" w:rsidRPr="007F1889" w:rsidRDefault="00330BA9" w:rsidP="008136BC">
      <w:pPr>
        <w:pStyle w:val="NoSpacing"/>
        <w:ind w:left="567"/>
        <w:rPr>
          <w:rFonts w:eastAsia="Calibri"/>
          <w:sz w:val="22"/>
          <w:szCs w:val="22"/>
          <w:lang w:val="sr-Latn-ME"/>
        </w:rPr>
      </w:pPr>
    </w:p>
    <w:p w:rsidR="00330BA9" w:rsidRPr="007F1889" w:rsidRDefault="00330BA9" w:rsidP="008136BC">
      <w:pPr>
        <w:pStyle w:val="NoSpacing"/>
        <w:rPr>
          <w:rFonts w:eastAsia="Calibri"/>
          <w:sz w:val="22"/>
          <w:szCs w:val="22"/>
          <w:lang w:val="sr-Latn-ME"/>
        </w:rPr>
      </w:pPr>
      <w:r w:rsidRPr="007F1889">
        <w:rPr>
          <w:rFonts w:eastAsia="Calibri"/>
          <w:sz w:val="22"/>
          <w:szCs w:val="22"/>
          <w:lang w:val="sr-Latn-ME"/>
        </w:rPr>
        <w:t>tel: +382 (0) 20 310 280</w:t>
      </w:r>
    </w:p>
    <w:p w:rsidR="00330BA9" w:rsidRPr="007F1889" w:rsidRDefault="00330BA9" w:rsidP="008136BC">
      <w:pPr>
        <w:pStyle w:val="NoSpacing"/>
        <w:rPr>
          <w:rFonts w:eastAsia="Calibri"/>
          <w:sz w:val="22"/>
          <w:szCs w:val="22"/>
          <w:lang w:val="sr-Latn-ME"/>
        </w:rPr>
      </w:pPr>
      <w:r w:rsidRPr="007F1889">
        <w:rPr>
          <w:rFonts w:eastAsia="Calibri"/>
          <w:sz w:val="22"/>
          <w:szCs w:val="22"/>
          <w:lang w:val="sr-Latn-ME"/>
        </w:rPr>
        <w:t>fax: +382 (0) 20 310 581</w:t>
      </w:r>
    </w:p>
    <w:p w:rsidR="00330BA9" w:rsidRPr="007F1889" w:rsidRDefault="0063070A" w:rsidP="008136BC">
      <w:pPr>
        <w:pStyle w:val="NoSpacing"/>
        <w:rPr>
          <w:rFonts w:eastAsia="Calibri"/>
          <w:sz w:val="22"/>
          <w:szCs w:val="22"/>
          <w:lang w:val="sr-Latn-ME"/>
        </w:rPr>
      </w:pPr>
      <w:hyperlink r:id="rId8" w:history="1">
        <w:r w:rsidR="00330BA9" w:rsidRPr="007F1889">
          <w:rPr>
            <w:rFonts w:eastAsia="Calibri"/>
            <w:color w:val="0000FF"/>
            <w:sz w:val="22"/>
            <w:szCs w:val="22"/>
            <w:u w:val="single"/>
            <w:lang w:val="sr-Latn-ME"/>
          </w:rPr>
          <w:t>www.calims.me</w:t>
        </w:r>
      </w:hyperlink>
    </w:p>
    <w:p w:rsidR="00330BA9" w:rsidRPr="007F1889" w:rsidRDefault="0063070A" w:rsidP="008136BC">
      <w:pPr>
        <w:pStyle w:val="NoSpacing"/>
        <w:rPr>
          <w:rFonts w:eastAsia="Calibri"/>
          <w:color w:val="0000FF"/>
          <w:sz w:val="22"/>
          <w:szCs w:val="22"/>
          <w:u w:val="single"/>
          <w:lang w:val="sr-Latn-ME"/>
        </w:rPr>
      </w:pPr>
      <w:hyperlink r:id="rId9" w:history="1">
        <w:r w:rsidR="00330BA9" w:rsidRPr="007F1889">
          <w:rPr>
            <w:rFonts w:eastAsia="Calibri"/>
            <w:color w:val="0000FF"/>
            <w:sz w:val="22"/>
            <w:szCs w:val="22"/>
            <w:u w:val="single"/>
            <w:lang w:val="sr-Latn-ME"/>
          </w:rPr>
          <w:t>nezeljenadejstva@calims.me</w:t>
        </w:r>
      </w:hyperlink>
    </w:p>
    <w:p w:rsidR="00330BA9" w:rsidRPr="007F1889" w:rsidRDefault="00330BA9" w:rsidP="008136BC">
      <w:pPr>
        <w:pStyle w:val="NoSpacing"/>
        <w:rPr>
          <w:rFonts w:eastAsia="Calibri"/>
          <w:sz w:val="22"/>
          <w:szCs w:val="22"/>
          <w:lang w:val="sr-Latn-ME"/>
        </w:rPr>
      </w:pPr>
      <w:r w:rsidRPr="007F1889">
        <w:rPr>
          <w:rFonts w:eastAsia="Calibri"/>
          <w:sz w:val="22"/>
          <w:szCs w:val="22"/>
          <w:lang w:val="sr-Latn-ME"/>
        </w:rPr>
        <w:t>putem IS zdravstvene zaštite</w:t>
      </w:r>
    </w:p>
    <w:p w:rsidR="00330BA9" w:rsidRPr="007F1889" w:rsidRDefault="00330BA9" w:rsidP="008136BC">
      <w:pPr>
        <w:tabs>
          <w:tab w:val="clear" w:pos="284"/>
        </w:tabs>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spacing w:before="80" w:after="80"/>
        <w:jc w:val="left"/>
        <w:rPr>
          <w:rFonts w:ascii="Times New Roman" w:hAnsi="Times New Roman"/>
          <w:b/>
          <w:bCs/>
          <w:sz w:val="22"/>
          <w:szCs w:val="22"/>
          <w:lang w:val="sr-Latn-ME"/>
        </w:rPr>
      </w:pPr>
      <w:r w:rsidRPr="007F1889">
        <w:rPr>
          <w:rFonts w:ascii="Times New Roman" w:hAnsi="Times New Roman"/>
          <w:b/>
          <w:bCs/>
          <w:sz w:val="22"/>
          <w:szCs w:val="22"/>
          <w:lang w:val="sr-Latn-ME"/>
        </w:rPr>
        <w:t>4.9. Predoziranje</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Simptomi i znaci predoziranja su kvalitativno slični neželjenim reakcijama ali su često izraženiji. Mogu se javiti sljedeće neželjene reakcije:</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mučnina, povraćanje, dijareja, gastrointestinalne ulceracije i krvarenje, depresija kostne srži (uključujući trombocitopeniju, leukopeniju, agranulocitozu).</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Liječenje se sastoji od prekida primjene lijeka i primjene potpornih mjera (vidjeti odjeljak 4.4).</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Ne postoji specifičan antidot.</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Kod pacijenata kod kojih se desilo predoziranje fluorouracilom treba pratiti hematološke parametre tokom najmanje 4 nedjelje. Ako se jave neke abnormalnosti, potrebno je započeti odgovarajuću terapiju.</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jc w:val="left"/>
        <w:rPr>
          <w:rFonts w:ascii="Times New Roman" w:hAnsi="Times New Roman"/>
          <w:b/>
          <w:bCs/>
          <w:sz w:val="22"/>
          <w:szCs w:val="22"/>
          <w:lang w:val="sr-Latn-ME"/>
        </w:rPr>
      </w:pPr>
      <w:r w:rsidRPr="007F1889">
        <w:rPr>
          <w:rFonts w:ascii="Times New Roman" w:hAnsi="Times New Roman"/>
          <w:b/>
          <w:bCs/>
          <w:sz w:val="22"/>
          <w:szCs w:val="22"/>
          <w:lang w:val="sr-Latn-ME"/>
        </w:rPr>
        <w:t>5. FARMAKOLOŠKI PODACI</w:t>
      </w:r>
    </w:p>
    <w:p w:rsidR="00330BA9" w:rsidRPr="007F1889" w:rsidRDefault="00330BA9" w:rsidP="008136BC">
      <w:pPr>
        <w:pStyle w:val="Header"/>
        <w:tabs>
          <w:tab w:val="clear" w:pos="4536"/>
          <w:tab w:val="clear" w:pos="9072"/>
          <w:tab w:val="left" w:pos="284"/>
        </w:tabs>
        <w:jc w:val="left"/>
        <w:rPr>
          <w:rFonts w:ascii="Times New Roman" w:hAnsi="Times New Roman"/>
          <w:b/>
          <w:bCs/>
          <w:sz w:val="22"/>
          <w:szCs w:val="22"/>
          <w:lang w:val="sr-Latn-ME"/>
        </w:rPr>
      </w:pPr>
    </w:p>
    <w:p w:rsidR="00330BA9" w:rsidRPr="007F1889" w:rsidRDefault="00330BA9" w:rsidP="008136BC">
      <w:pPr>
        <w:pStyle w:val="Header"/>
        <w:tabs>
          <w:tab w:val="clear" w:pos="4536"/>
          <w:tab w:val="clear" w:pos="9072"/>
          <w:tab w:val="left" w:pos="284"/>
        </w:tabs>
        <w:spacing w:before="80" w:after="80"/>
        <w:jc w:val="left"/>
        <w:rPr>
          <w:rFonts w:ascii="Times New Roman" w:hAnsi="Times New Roman"/>
          <w:b/>
          <w:bCs/>
          <w:sz w:val="22"/>
          <w:szCs w:val="22"/>
          <w:lang w:val="sr-Latn-ME"/>
        </w:rPr>
      </w:pPr>
      <w:r w:rsidRPr="007F1889">
        <w:rPr>
          <w:rFonts w:ascii="Times New Roman" w:hAnsi="Times New Roman"/>
          <w:b/>
          <w:bCs/>
          <w:sz w:val="22"/>
          <w:szCs w:val="22"/>
          <w:lang w:val="sr-Latn-ME"/>
        </w:rPr>
        <w:t>5.1. Farmakodinamski podaci</w:t>
      </w:r>
    </w:p>
    <w:p w:rsidR="00330BA9" w:rsidRPr="007F1889" w:rsidRDefault="00330BA9" w:rsidP="008136BC">
      <w:pPr>
        <w:pStyle w:val="Header"/>
        <w:tabs>
          <w:tab w:val="clear" w:pos="4536"/>
          <w:tab w:val="clear" w:pos="9072"/>
          <w:tab w:val="left" w:pos="284"/>
        </w:tabs>
        <w:spacing w:before="80" w:after="80"/>
        <w:jc w:val="left"/>
        <w:rPr>
          <w:rFonts w:ascii="Times New Roman" w:hAnsi="Times New Roman"/>
          <w:b/>
          <w:bCs/>
          <w:sz w:val="22"/>
          <w:szCs w:val="22"/>
          <w:lang w:val="sr-Latn-ME"/>
        </w:rPr>
      </w:pP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r w:rsidRPr="007F1889">
        <w:rPr>
          <w:rFonts w:ascii="Times New Roman" w:hAnsi="Times New Roman"/>
          <w:b/>
          <w:bCs/>
          <w:sz w:val="22"/>
          <w:szCs w:val="22"/>
          <w:lang w:val="sr-Latn-ME"/>
        </w:rPr>
        <w:t xml:space="preserve">Farmakoterapijska grupa: </w:t>
      </w:r>
      <w:r w:rsidRPr="007F1889">
        <w:rPr>
          <w:rFonts w:ascii="Times New Roman" w:hAnsi="Times New Roman"/>
          <w:sz w:val="22"/>
          <w:szCs w:val="22"/>
          <w:lang w:val="sr-Latn-ME"/>
        </w:rPr>
        <w:t>analozi piramidina</w:t>
      </w:r>
    </w:p>
    <w:p w:rsidR="007F1889" w:rsidRDefault="007F1889" w:rsidP="008136BC">
      <w:pPr>
        <w:pStyle w:val="Header"/>
        <w:tabs>
          <w:tab w:val="clear" w:pos="4536"/>
          <w:tab w:val="clear" w:pos="9072"/>
          <w:tab w:val="left" w:pos="284"/>
        </w:tabs>
        <w:jc w:val="left"/>
        <w:rPr>
          <w:rFonts w:ascii="Times New Roman" w:hAnsi="Times New Roman"/>
          <w:b/>
          <w:bCs/>
          <w:sz w:val="22"/>
          <w:szCs w:val="22"/>
          <w:lang w:val="sr-Latn-ME"/>
        </w:rPr>
      </w:pP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r w:rsidRPr="007F1889">
        <w:rPr>
          <w:rFonts w:ascii="Times New Roman" w:hAnsi="Times New Roman"/>
          <w:b/>
          <w:bCs/>
          <w:sz w:val="22"/>
          <w:szCs w:val="22"/>
          <w:lang w:val="sr-Latn-ME"/>
        </w:rPr>
        <w:t xml:space="preserve">ATC kod: </w:t>
      </w:r>
      <w:r w:rsidRPr="007F1889">
        <w:rPr>
          <w:rFonts w:ascii="Times New Roman" w:hAnsi="Times New Roman"/>
          <w:sz w:val="22"/>
          <w:szCs w:val="22"/>
          <w:lang w:val="sr-Latn-ME"/>
        </w:rPr>
        <w:t>L01BC02</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Fluorouracil je analog uracila, komponente ribonukleinske kiseline. Smatra se da lijek djeluje kao antimetabolit. Nakon intracelularne konverzije do aktivnog deoksinuklida, ometa sintezu DNK time što blokira konverziju deoksiuridinske kiseline u timidinsku kiselinu pomoću celularnog enzima timidilat sintetaze. Fluorouracil može takođe da remeti sintezu RNK.</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spacing w:before="80" w:after="80"/>
        <w:jc w:val="left"/>
        <w:rPr>
          <w:rFonts w:ascii="Times New Roman" w:hAnsi="Times New Roman"/>
          <w:b/>
          <w:bCs/>
          <w:sz w:val="22"/>
          <w:szCs w:val="22"/>
          <w:lang w:val="sr-Latn-ME"/>
        </w:rPr>
      </w:pPr>
      <w:r w:rsidRPr="007F1889">
        <w:rPr>
          <w:rFonts w:ascii="Times New Roman" w:hAnsi="Times New Roman"/>
          <w:b/>
          <w:bCs/>
          <w:sz w:val="22"/>
          <w:szCs w:val="22"/>
          <w:lang w:val="sr-Latn-ME"/>
        </w:rPr>
        <w:t>5.2. Farmakokinetički podaci</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Nakon intravenske primjene, fluorouracil se distribuira kroz tjelesne tečnosti i nestaje iz krvi u roku od 3 sata. Prije svega ga preuzimaju tkiva koja se aktivno dijele i tumori nakon konverzije u nukleotidni oblik. Fluorouracil prolazi u cerebrospinalnu tečnost i tkivo mozga.</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Nakon intravenske primjene, poluvrijeme eliminacije iz plazme je prosječno oko 16 minuta i dozno je zavisno. Nakon pojedinačne intravenske doze fluorouracila, oko 15% doze se izlučuje u neizmijenjenom obliku u urin u roku od 6 sati; preko 90% od ove količine se izluči tokom prvog sata. Ostatak se uglavnom metaboliše u jetri do inaktivnih metabolita uobičajenim mehanizmama za uracil. Oštećenje jetre može dovesti do usporavanja metabolizma fluorouracila i može zahtijevati prilagođavanje doze.</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spacing w:before="80" w:after="80"/>
        <w:jc w:val="left"/>
        <w:rPr>
          <w:rFonts w:ascii="Times New Roman" w:hAnsi="Times New Roman"/>
          <w:b/>
          <w:bCs/>
          <w:sz w:val="22"/>
          <w:szCs w:val="22"/>
          <w:lang w:val="sr-Latn-ME"/>
        </w:rPr>
      </w:pPr>
      <w:r w:rsidRPr="007F1889">
        <w:rPr>
          <w:rFonts w:ascii="Times New Roman" w:hAnsi="Times New Roman"/>
          <w:b/>
          <w:bCs/>
          <w:sz w:val="22"/>
          <w:szCs w:val="22"/>
          <w:lang w:val="sr-Latn-ME"/>
        </w:rPr>
        <w:t>5.3. Pretklinički podaci o bezbjednosti lijeka</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Pretkliničke informacije nijesu navedene, s obzirom da je klinički toksikološki profil fluorouracila utvrđen nakon višegodišnje kliničke primjene.</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jc w:val="left"/>
        <w:rPr>
          <w:rFonts w:ascii="Times New Roman" w:hAnsi="Times New Roman"/>
          <w:b/>
          <w:bCs/>
          <w:sz w:val="22"/>
          <w:szCs w:val="22"/>
          <w:lang w:val="sr-Latn-ME"/>
        </w:rPr>
      </w:pPr>
      <w:r w:rsidRPr="007F1889">
        <w:rPr>
          <w:rFonts w:ascii="Times New Roman" w:hAnsi="Times New Roman"/>
          <w:b/>
          <w:bCs/>
          <w:sz w:val="22"/>
          <w:szCs w:val="22"/>
          <w:lang w:val="sr-Latn-ME"/>
        </w:rPr>
        <w:t>6. FARMACEUTSKI PODACI</w:t>
      </w:r>
    </w:p>
    <w:p w:rsidR="00330BA9" w:rsidRPr="007F1889" w:rsidRDefault="00330BA9" w:rsidP="008136BC">
      <w:pPr>
        <w:pStyle w:val="Header"/>
        <w:tabs>
          <w:tab w:val="clear" w:pos="4536"/>
          <w:tab w:val="clear" w:pos="9072"/>
          <w:tab w:val="left" w:pos="284"/>
        </w:tabs>
        <w:jc w:val="left"/>
        <w:rPr>
          <w:rFonts w:ascii="Times New Roman" w:hAnsi="Times New Roman"/>
          <w:b/>
          <w:bCs/>
          <w:sz w:val="22"/>
          <w:szCs w:val="22"/>
          <w:lang w:val="sr-Latn-ME"/>
        </w:rPr>
      </w:pPr>
    </w:p>
    <w:p w:rsidR="00330BA9" w:rsidRPr="007F1889" w:rsidRDefault="00330BA9" w:rsidP="008136BC">
      <w:pPr>
        <w:pStyle w:val="Header"/>
        <w:tabs>
          <w:tab w:val="clear" w:pos="4536"/>
          <w:tab w:val="clear" w:pos="9072"/>
          <w:tab w:val="left" w:pos="284"/>
        </w:tabs>
        <w:spacing w:before="80" w:after="80"/>
        <w:jc w:val="left"/>
        <w:rPr>
          <w:rFonts w:ascii="Times New Roman" w:hAnsi="Times New Roman"/>
          <w:b/>
          <w:bCs/>
          <w:sz w:val="22"/>
          <w:szCs w:val="22"/>
          <w:lang w:val="sr-Latn-ME"/>
        </w:rPr>
      </w:pPr>
      <w:r w:rsidRPr="007F1889">
        <w:rPr>
          <w:rFonts w:ascii="Times New Roman" w:hAnsi="Times New Roman"/>
          <w:b/>
          <w:bCs/>
          <w:sz w:val="22"/>
          <w:szCs w:val="22"/>
          <w:lang w:val="sr-Latn-ME"/>
        </w:rPr>
        <w:t>6.1. Lista pomoćnih supstanci</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r w:rsidRPr="007F1889">
        <w:rPr>
          <w:rFonts w:ascii="Times New Roman" w:hAnsi="Times New Roman"/>
          <w:sz w:val="22"/>
          <w:szCs w:val="22"/>
          <w:lang w:val="sr-Latn-ME"/>
        </w:rPr>
        <w:t>Natrijum hidroksid (za podešavanje pH)</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r w:rsidRPr="007F1889">
        <w:rPr>
          <w:rFonts w:ascii="Times New Roman" w:hAnsi="Times New Roman"/>
          <w:sz w:val="22"/>
          <w:szCs w:val="22"/>
          <w:lang w:val="sr-Latn-ME"/>
        </w:rPr>
        <w:t>Voda za injekcije</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spacing w:before="80" w:after="80"/>
        <w:jc w:val="left"/>
        <w:rPr>
          <w:rFonts w:ascii="Times New Roman" w:hAnsi="Times New Roman"/>
          <w:b/>
          <w:bCs/>
          <w:sz w:val="22"/>
          <w:szCs w:val="22"/>
          <w:lang w:val="sr-Latn-ME"/>
        </w:rPr>
      </w:pPr>
      <w:r w:rsidRPr="007F1889">
        <w:rPr>
          <w:rFonts w:ascii="Times New Roman" w:hAnsi="Times New Roman"/>
          <w:b/>
          <w:bCs/>
          <w:sz w:val="22"/>
          <w:szCs w:val="22"/>
          <w:lang w:val="sr-Latn-ME"/>
        </w:rPr>
        <w:t>6.2. Inkompatibilnosti</w:t>
      </w:r>
    </w:p>
    <w:p w:rsidR="00330BA9" w:rsidRPr="007F1889" w:rsidRDefault="00330BA9" w:rsidP="008136BC">
      <w:pPr>
        <w:pStyle w:val="BodyTextIndent3"/>
        <w:tabs>
          <w:tab w:val="left" w:pos="357"/>
          <w:tab w:val="left" w:pos="720"/>
        </w:tabs>
        <w:ind w:left="0"/>
        <w:jc w:val="left"/>
        <w:rPr>
          <w:rFonts w:cs="Times New Roman"/>
          <w:color w:val="000000"/>
          <w:sz w:val="22"/>
          <w:szCs w:val="22"/>
          <w:lang w:val="sr-Latn-ME"/>
        </w:rPr>
      </w:pPr>
      <w:r w:rsidRPr="007F1889">
        <w:rPr>
          <w:rFonts w:cs="Times New Roman"/>
          <w:color w:val="000000"/>
          <w:sz w:val="22"/>
          <w:szCs w:val="22"/>
          <w:lang w:val="sr-Latn-ME"/>
        </w:rPr>
        <w:t>Lijek se mora razblažiti sa 0.9% rastvorom natrijum hlorida ili 5% rastvorom glukoze.</w:t>
      </w:r>
    </w:p>
    <w:p w:rsidR="00330BA9" w:rsidRPr="007F1889" w:rsidRDefault="00330BA9" w:rsidP="008136BC">
      <w:pPr>
        <w:pStyle w:val="BodyTextIndent3"/>
        <w:tabs>
          <w:tab w:val="left" w:pos="357"/>
          <w:tab w:val="left" w:pos="720"/>
        </w:tabs>
        <w:ind w:left="0"/>
        <w:jc w:val="left"/>
        <w:rPr>
          <w:rFonts w:cs="Times New Roman"/>
          <w:color w:val="000000"/>
          <w:sz w:val="22"/>
          <w:szCs w:val="22"/>
          <w:lang w:val="sr-Latn-ME"/>
        </w:rPr>
      </w:pPr>
      <w:r w:rsidRPr="007F1889">
        <w:rPr>
          <w:rFonts w:cs="Times New Roman"/>
          <w:color w:val="000000"/>
          <w:sz w:val="22"/>
          <w:szCs w:val="22"/>
          <w:lang w:val="sr-Latn-ME"/>
        </w:rPr>
        <w:t>5-fluorouracil se ne smije razblaživati sa jako puferovanim rastvorima čiji je pH&lt;8, s obzirom da u ovim uslovima dolazi do stvaranja precipitata 5-fluorouracila. Ne miješati sa drugim hemoterapeutskim rastvorima.</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r w:rsidRPr="007F1889">
        <w:rPr>
          <w:rFonts w:ascii="Times New Roman" w:hAnsi="Times New Roman"/>
          <w:sz w:val="22"/>
          <w:szCs w:val="22"/>
          <w:lang w:val="sr-Latn-ME"/>
        </w:rPr>
        <w:t>Nema podataka o stabilnosti mješavina. Zbog toga fluorouracil rastvor za injekciju/infuziju ne smije se miješati sa drugim ljekovima.</w:t>
      </w:r>
    </w:p>
    <w:p w:rsidR="00330BA9" w:rsidRPr="007F1889" w:rsidRDefault="00330BA9" w:rsidP="008136BC">
      <w:pPr>
        <w:pStyle w:val="Header"/>
        <w:tabs>
          <w:tab w:val="clear" w:pos="4536"/>
          <w:tab w:val="clear" w:pos="9072"/>
          <w:tab w:val="left" w:pos="284"/>
        </w:tabs>
        <w:spacing w:before="80" w:after="80"/>
        <w:jc w:val="left"/>
        <w:rPr>
          <w:rFonts w:ascii="Times New Roman" w:hAnsi="Times New Roman"/>
          <w:b/>
          <w:bCs/>
          <w:sz w:val="22"/>
          <w:szCs w:val="22"/>
          <w:lang w:val="sr-Latn-ME"/>
        </w:rPr>
      </w:pPr>
      <w:r w:rsidRPr="007F1889">
        <w:rPr>
          <w:rFonts w:ascii="Times New Roman" w:hAnsi="Times New Roman"/>
          <w:b/>
          <w:bCs/>
          <w:sz w:val="22"/>
          <w:szCs w:val="22"/>
          <w:lang w:val="sr-Latn-ME"/>
        </w:rPr>
        <w:lastRenderedPageBreak/>
        <w:t>6.3. Rok upotrebe</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r w:rsidRPr="007F1889">
        <w:rPr>
          <w:rFonts w:ascii="Times New Roman" w:hAnsi="Times New Roman"/>
          <w:sz w:val="22"/>
          <w:szCs w:val="22"/>
          <w:lang w:val="sr-Latn-ME"/>
        </w:rPr>
        <w:t>2 godine</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r w:rsidRPr="007F1889">
        <w:rPr>
          <w:rFonts w:ascii="Times New Roman" w:hAnsi="Times New Roman"/>
          <w:sz w:val="22"/>
          <w:szCs w:val="22"/>
          <w:lang w:val="sr-Latn-ME"/>
        </w:rPr>
        <w:t>Nakon prvog otvaranja: Sadžaj bočice treba upotrijebiti odmah nakon otvaranja. Neiskorišćeni rastvor treba baciti.</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spacing w:before="80" w:after="80"/>
        <w:jc w:val="left"/>
        <w:rPr>
          <w:rFonts w:ascii="Times New Roman" w:hAnsi="Times New Roman"/>
          <w:b/>
          <w:bCs/>
          <w:sz w:val="22"/>
          <w:szCs w:val="22"/>
          <w:lang w:val="sr-Latn-ME"/>
        </w:rPr>
      </w:pPr>
      <w:r w:rsidRPr="007F1889">
        <w:rPr>
          <w:rFonts w:ascii="Times New Roman" w:hAnsi="Times New Roman"/>
          <w:b/>
          <w:bCs/>
          <w:sz w:val="22"/>
          <w:szCs w:val="22"/>
          <w:lang w:val="sr-Latn-ME"/>
        </w:rPr>
        <w:t>6.4. Posebne mjere upozorenja pri čuvanju lijeka</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r w:rsidRPr="007F1889">
        <w:rPr>
          <w:rFonts w:ascii="Times New Roman" w:hAnsi="Times New Roman"/>
          <w:sz w:val="22"/>
          <w:szCs w:val="22"/>
          <w:lang w:val="sr-Latn-ME" w:eastAsia="zh-TW"/>
        </w:rPr>
        <w:t xml:space="preserve">Lijek </w:t>
      </w:r>
      <w:r w:rsidRPr="007F1889">
        <w:rPr>
          <w:rFonts w:ascii="Times New Roman" w:eastAsia="TimesNewRoman" w:hAnsi="Times New Roman"/>
          <w:sz w:val="22"/>
          <w:szCs w:val="22"/>
          <w:lang w:val="sr-Latn-ME" w:eastAsia="zh-TW"/>
        </w:rPr>
        <w:t>č</w:t>
      </w:r>
      <w:r w:rsidRPr="007F1889">
        <w:rPr>
          <w:rFonts w:ascii="Times New Roman" w:hAnsi="Times New Roman"/>
          <w:sz w:val="22"/>
          <w:szCs w:val="22"/>
          <w:lang w:val="sr-Latn-ME" w:eastAsia="zh-TW"/>
        </w:rPr>
        <w:t xml:space="preserve">uvati na temperaturi do 25°C u originalnom pakovanju, zaštićeno od svjetlosti. Ne </w:t>
      </w:r>
      <w:r w:rsidRPr="007F1889">
        <w:rPr>
          <w:rFonts w:ascii="Times New Roman" w:eastAsia="TimesNewRoman" w:hAnsi="Times New Roman"/>
          <w:sz w:val="22"/>
          <w:szCs w:val="22"/>
          <w:lang w:val="sr-Latn-ME" w:eastAsia="zh-TW"/>
        </w:rPr>
        <w:t>č</w:t>
      </w:r>
      <w:r w:rsidRPr="007F1889">
        <w:rPr>
          <w:rFonts w:ascii="Times New Roman" w:hAnsi="Times New Roman"/>
          <w:sz w:val="22"/>
          <w:szCs w:val="22"/>
          <w:lang w:val="sr-Latn-ME" w:eastAsia="zh-TW"/>
        </w:rPr>
        <w:t>uvati u frižideru, niti zamrzavati.</w:t>
      </w:r>
      <w:r w:rsidRPr="007F1889">
        <w:rPr>
          <w:rFonts w:ascii="Times New Roman" w:hAnsi="Times New Roman"/>
          <w:sz w:val="22"/>
          <w:szCs w:val="22"/>
          <w:lang w:val="sr-Latn-ME"/>
        </w:rPr>
        <w:t xml:space="preserve"> </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r w:rsidRPr="007F1889">
        <w:rPr>
          <w:rFonts w:ascii="Times New Roman" w:hAnsi="Times New Roman"/>
          <w:sz w:val="22"/>
          <w:szCs w:val="22"/>
          <w:lang w:val="sr-Latn-ME"/>
        </w:rPr>
        <w:t>Ako dođe do formiranja precipitata kao rezultat izlaganju niskim temperaturama, ponovo rastvoriti zagrijevanjem na temperaturi od 60°C uz snažno miješanje. Prije upotrebe ostaviti da se ohladi do temperature tijela.</w:t>
      </w:r>
    </w:p>
    <w:p w:rsidR="00330BA9" w:rsidRPr="007F1889" w:rsidRDefault="00330BA9" w:rsidP="008136BC">
      <w:pPr>
        <w:tabs>
          <w:tab w:val="clear" w:pos="284"/>
        </w:tabs>
        <w:jc w:val="left"/>
        <w:rPr>
          <w:rFonts w:ascii="Times New Roman" w:hAnsi="Times New Roman"/>
          <w:noProof/>
          <w:color w:val="000000"/>
          <w:sz w:val="22"/>
          <w:szCs w:val="22"/>
          <w:lang w:val="sr-Latn-ME"/>
        </w:rPr>
      </w:pPr>
    </w:p>
    <w:p w:rsidR="00330BA9" w:rsidRPr="007F1889" w:rsidRDefault="00330BA9" w:rsidP="008136BC">
      <w:pPr>
        <w:tabs>
          <w:tab w:val="clear" w:pos="284"/>
        </w:tabs>
        <w:jc w:val="left"/>
        <w:rPr>
          <w:rFonts w:ascii="Times New Roman" w:hAnsi="Times New Roman"/>
          <w:noProof/>
          <w:color w:val="000000"/>
          <w:sz w:val="22"/>
          <w:szCs w:val="22"/>
          <w:lang w:val="sr-Latn-ME"/>
        </w:rPr>
      </w:pPr>
      <w:r w:rsidRPr="007F1889">
        <w:rPr>
          <w:rFonts w:ascii="Times New Roman" w:hAnsi="Times New Roman"/>
          <w:noProof/>
          <w:color w:val="000000"/>
          <w:sz w:val="22"/>
          <w:szCs w:val="22"/>
          <w:lang w:val="sr-Latn-ME"/>
        </w:rPr>
        <w:t xml:space="preserve">Rok upotrebe nakon razblaženja:  </w:t>
      </w:r>
    </w:p>
    <w:p w:rsidR="00330BA9" w:rsidRPr="007F1889" w:rsidRDefault="00330BA9" w:rsidP="008136BC">
      <w:pPr>
        <w:pStyle w:val="BodyTextIndent3"/>
        <w:tabs>
          <w:tab w:val="clear" w:pos="284"/>
        </w:tabs>
        <w:ind w:left="0"/>
        <w:jc w:val="left"/>
        <w:rPr>
          <w:rFonts w:cs="Times New Roman"/>
          <w:noProof/>
          <w:color w:val="000000"/>
          <w:sz w:val="22"/>
          <w:szCs w:val="22"/>
          <w:lang w:val="sr-Latn-ME"/>
        </w:rPr>
      </w:pPr>
      <w:r w:rsidRPr="007F1889">
        <w:rPr>
          <w:rFonts w:cs="Times New Roman"/>
          <w:color w:val="000000"/>
          <w:sz w:val="22"/>
          <w:szCs w:val="22"/>
          <w:lang w:val="sr-Latn-ME"/>
        </w:rPr>
        <w:t>Hemijska i fizička stabilnost proizvoda razblaženog sa 0.9% rastvorom natrijum hlorida i 5% rastvorom glukoze, potvrđena je tokom 24 sata na temperaturi do 25</w:t>
      </w:r>
      <w:r w:rsidRPr="007F1889">
        <w:rPr>
          <w:rFonts w:cs="Times New Roman"/>
          <w:color w:val="000000"/>
          <w:sz w:val="22"/>
          <w:szCs w:val="22"/>
          <w:lang w:val="sr-Latn-ME"/>
        </w:rPr>
        <w:sym w:font="Symbol" w:char="F0B0"/>
      </w:r>
      <w:r w:rsidRPr="007F1889">
        <w:rPr>
          <w:rFonts w:cs="Times New Roman"/>
          <w:color w:val="000000"/>
          <w:sz w:val="22"/>
          <w:szCs w:val="22"/>
          <w:lang w:val="sr-Latn-ME"/>
        </w:rPr>
        <w:t xml:space="preserve">C. </w:t>
      </w:r>
      <w:r w:rsidRPr="007F1889">
        <w:rPr>
          <w:rFonts w:cs="Times New Roman"/>
          <w:noProof/>
          <w:color w:val="000000"/>
          <w:sz w:val="22"/>
          <w:szCs w:val="22"/>
          <w:lang w:val="sr-Latn-ME"/>
        </w:rPr>
        <w:t>S mikrobiološke tačke gledišta, razblaženi rastvor treba odmah primijeniti. Ako se ne upotrijebi odmah, odgovornost za vrijeme i uslove čuvanja prije</w:t>
      </w:r>
      <w:r w:rsidR="007F1889">
        <w:rPr>
          <w:rFonts w:cs="Times New Roman"/>
          <w:noProof/>
          <w:color w:val="000000"/>
          <w:sz w:val="22"/>
          <w:szCs w:val="22"/>
          <w:lang w:val="sr-Latn-ME"/>
        </w:rPr>
        <w:t xml:space="preserve"> </w:t>
      </w:r>
      <w:r w:rsidRPr="007F1889">
        <w:rPr>
          <w:rFonts w:cs="Times New Roman"/>
          <w:noProof/>
          <w:color w:val="000000"/>
          <w:sz w:val="22"/>
          <w:szCs w:val="22"/>
          <w:lang w:val="sr-Latn-ME"/>
        </w:rPr>
        <w:t>upotrebe preuzima korisnik, osim ako se razblaživanje vrši pod kontrolisanim i validiranim aseptičnim uslovima.</w:t>
      </w:r>
    </w:p>
    <w:p w:rsidR="00330BA9" w:rsidRPr="007F1889" w:rsidRDefault="00330BA9" w:rsidP="008136BC">
      <w:pPr>
        <w:tabs>
          <w:tab w:val="clear" w:pos="284"/>
        </w:tabs>
        <w:jc w:val="left"/>
        <w:rPr>
          <w:rFonts w:ascii="Times New Roman" w:hAnsi="Times New Roman"/>
          <w:noProof/>
          <w:color w:val="000000"/>
          <w:sz w:val="22"/>
          <w:szCs w:val="22"/>
          <w:lang w:val="sr-Latn-ME"/>
        </w:rPr>
      </w:pPr>
      <w:r w:rsidRPr="007F1889">
        <w:rPr>
          <w:rFonts w:ascii="Times New Roman" w:hAnsi="Times New Roman"/>
          <w:noProof/>
          <w:color w:val="000000"/>
          <w:sz w:val="22"/>
          <w:szCs w:val="22"/>
          <w:lang w:val="sr-Latn-ME"/>
        </w:rPr>
        <w:t>Ukoliko su se stvorili precipitati usled izlaganja niskim temperaturama, isti će se razložiti zagrijevanjem do 60°C uz snažno mućkanje. Zatim ostavite da se prohladi do tjelesne temperature prije upotrebe.</w:t>
      </w:r>
    </w:p>
    <w:p w:rsidR="00330BA9" w:rsidRPr="007F1889" w:rsidRDefault="00330BA9" w:rsidP="008136BC">
      <w:pPr>
        <w:tabs>
          <w:tab w:val="left" w:pos="2520"/>
          <w:tab w:val="left" w:pos="4500"/>
        </w:tabs>
        <w:jc w:val="left"/>
        <w:rPr>
          <w:rFonts w:ascii="Times New Roman" w:hAnsi="Times New Roman"/>
          <w:color w:val="000000"/>
          <w:sz w:val="22"/>
          <w:szCs w:val="22"/>
          <w:lang w:val="sr-Latn-ME"/>
        </w:rPr>
      </w:pPr>
    </w:p>
    <w:p w:rsidR="00330BA9" w:rsidRPr="007F1889" w:rsidRDefault="00330BA9" w:rsidP="008136BC">
      <w:pPr>
        <w:tabs>
          <w:tab w:val="left" w:pos="2520"/>
          <w:tab w:val="left" w:pos="4500"/>
        </w:tabs>
        <w:jc w:val="left"/>
        <w:rPr>
          <w:rFonts w:ascii="Times New Roman" w:hAnsi="Times New Roman"/>
          <w:color w:val="000000"/>
          <w:sz w:val="22"/>
          <w:szCs w:val="22"/>
          <w:lang w:val="sr-Latn-ME"/>
        </w:rPr>
      </w:pPr>
      <w:r w:rsidRPr="007F1889">
        <w:rPr>
          <w:rFonts w:ascii="Times New Roman" w:hAnsi="Times New Roman"/>
          <w:color w:val="000000"/>
          <w:sz w:val="22"/>
          <w:szCs w:val="22"/>
          <w:lang w:val="sr-Latn-ME"/>
        </w:rPr>
        <w:t>Ne upotrebljavati ukoliko rastvor postane tamno žute ili braon boje.</w:t>
      </w:r>
    </w:p>
    <w:p w:rsidR="00330BA9" w:rsidRPr="007F1889" w:rsidRDefault="00330BA9" w:rsidP="008136BC">
      <w:pPr>
        <w:tabs>
          <w:tab w:val="clear" w:pos="284"/>
        </w:tabs>
        <w:jc w:val="left"/>
        <w:rPr>
          <w:rFonts w:ascii="Times New Roman" w:hAnsi="Times New Roman"/>
          <w:noProof/>
          <w:color w:val="000000"/>
          <w:sz w:val="22"/>
          <w:szCs w:val="22"/>
          <w:lang w:val="sr-Latn-ME"/>
        </w:rPr>
      </w:pPr>
    </w:p>
    <w:p w:rsidR="00330BA9" w:rsidRPr="007F1889" w:rsidRDefault="00330BA9" w:rsidP="008136BC">
      <w:pPr>
        <w:pStyle w:val="Header"/>
        <w:tabs>
          <w:tab w:val="clear" w:pos="4536"/>
          <w:tab w:val="clear" w:pos="9072"/>
          <w:tab w:val="left" w:pos="284"/>
        </w:tabs>
        <w:spacing w:before="80" w:after="80"/>
        <w:jc w:val="left"/>
        <w:rPr>
          <w:rFonts w:ascii="Times New Roman" w:hAnsi="Times New Roman"/>
          <w:b/>
          <w:bCs/>
          <w:sz w:val="22"/>
          <w:szCs w:val="22"/>
          <w:lang w:val="sr-Latn-ME"/>
        </w:rPr>
      </w:pPr>
      <w:r w:rsidRPr="007F1889">
        <w:rPr>
          <w:rFonts w:ascii="Times New Roman" w:hAnsi="Times New Roman"/>
          <w:b/>
          <w:bCs/>
          <w:sz w:val="22"/>
          <w:szCs w:val="22"/>
          <w:lang w:val="sr-Latn-ME"/>
        </w:rPr>
        <w:t>6.5. Vrsta i sadržaj pakovanja</w:t>
      </w:r>
    </w:p>
    <w:p w:rsidR="00330BA9" w:rsidRPr="007F1889" w:rsidRDefault="00330BA9" w:rsidP="008136BC">
      <w:pPr>
        <w:tabs>
          <w:tab w:val="clear" w:pos="284"/>
        </w:tabs>
        <w:autoSpaceDE w:val="0"/>
        <w:autoSpaceDN w:val="0"/>
        <w:adjustRightInd w:val="0"/>
        <w:jc w:val="left"/>
        <w:rPr>
          <w:rFonts w:ascii="Times New Roman" w:hAnsi="Times New Roman"/>
          <w:sz w:val="22"/>
          <w:szCs w:val="22"/>
          <w:lang w:val="sr-Latn-ME" w:eastAsia="zh-TW"/>
        </w:rPr>
      </w:pPr>
      <w:r w:rsidRPr="007F1889">
        <w:rPr>
          <w:rFonts w:ascii="Times New Roman" w:hAnsi="Times New Roman"/>
          <w:sz w:val="22"/>
          <w:szCs w:val="22"/>
          <w:lang w:val="sr-Latn-ME" w:eastAsia="zh-TW"/>
        </w:rPr>
        <w:t>Unutrašnje pakovanje je staklena bočica boje ćilibara,  hidroliti</w:t>
      </w:r>
      <w:r w:rsidRPr="007F1889">
        <w:rPr>
          <w:rFonts w:ascii="Times New Roman" w:eastAsia="TimesNewRoman" w:hAnsi="Times New Roman"/>
          <w:sz w:val="22"/>
          <w:szCs w:val="22"/>
          <w:lang w:val="sr-Latn-ME" w:eastAsia="zh-TW"/>
        </w:rPr>
        <w:t>č</w:t>
      </w:r>
      <w:r w:rsidRPr="007F1889">
        <w:rPr>
          <w:rFonts w:ascii="Times New Roman" w:hAnsi="Times New Roman"/>
          <w:sz w:val="22"/>
          <w:szCs w:val="22"/>
          <w:lang w:val="sr-Latn-ME" w:eastAsia="zh-TW"/>
        </w:rPr>
        <w:t xml:space="preserve">kog stakla (tip I), zatvorene gumenim čepom i aluminijumskim zatvaračem. </w:t>
      </w:r>
    </w:p>
    <w:p w:rsidR="00330BA9" w:rsidRPr="007F1889" w:rsidRDefault="00330BA9" w:rsidP="008136BC">
      <w:pPr>
        <w:tabs>
          <w:tab w:val="clear" w:pos="284"/>
        </w:tabs>
        <w:autoSpaceDE w:val="0"/>
        <w:autoSpaceDN w:val="0"/>
        <w:adjustRightInd w:val="0"/>
        <w:jc w:val="left"/>
        <w:rPr>
          <w:rFonts w:ascii="Times New Roman" w:hAnsi="Times New Roman"/>
          <w:sz w:val="22"/>
          <w:szCs w:val="22"/>
          <w:lang w:val="sr-Latn-ME" w:eastAsia="zh-TW"/>
        </w:rPr>
      </w:pPr>
      <w:r w:rsidRPr="007F1889">
        <w:rPr>
          <w:rFonts w:ascii="Times New Roman" w:hAnsi="Times New Roman"/>
          <w:sz w:val="22"/>
          <w:szCs w:val="22"/>
          <w:lang w:val="sr-Latn-ME" w:eastAsia="zh-TW"/>
        </w:rPr>
        <w:t>U složivoj kartonskoj kutiji nalazi se 1 bočica zapremine 5 ml, 10 ml ili 20 ml.</w:t>
      </w:r>
    </w:p>
    <w:p w:rsidR="00330BA9" w:rsidRPr="007F1889" w:rsidRDefault="00330BA9" w:rsidP="008136BC">
      <w:pPr>
        <w:tabs>
          <w:tab w:val="clear" w:pos="284"/>
        </w:tabs>
        <w:autoSpaceDE w:val="0"/>
        <w:autoSpaceDN w:val="0"/>
        <w:adjustRightInd w:val="0"/>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spacing w:before="80" w:after="80"/>
        <w:jc w:val="left"/>
        <w:rPr>
          <w:rFonts w:ascii="Times New Roman" w:hAnsi="Times New Roman"/>
          <w:b/>
          <w:bCs/>
          <w:sz w:val="22"/>
          <w:szCs w:val="22"/>
          <w:lang w:val="sr-Latn-ME"/>
        </w:rPr>
      </w:pPr>
      <w:r w:rsidRPr="007F1889">
        <w:rPr>
          <w:rFonts w:ascii="Times New Roman" w:hAnsi="Times New Roman"/>
          <w:b/>
          <w:bCs/>
          <w:sz w:val="22"/>
          <w:szCs w:val="22"/>
          <w:lang w:val="sr-Latn-ME"/>
        </w:rPr>
        <w:t xml:space="preserve">6.6. Instrukcije za primjenu/rukovanje </w:t>
      </w:r>
    </w:p>
    <w:p w:rsidR="00330BA9" w:rsidRPr="007F1889" w:rsidRDefault="00330BA9" w:rsidP="008136BC">
      <w:pPr>
        <w:tabs>
          <w:tab w:val="left" w:pos="426"/>
        </w:tabs>
        <w:rPr>
          <w:rFonts w:ascii="Times New Roman" w:hAnsi="Times New Roman"/>
          <w:noProof/>
          <w:color w:val="000000"/>
          <w:sz w:val="22"/>
          <w:szCs w:val="22"/>
          <w:lang w:val="sr-Latn-ME"/>
        </w:rPr>
      </w:pPr>
      <w:r w:rsidRPr="007F1889">
        <w:rPr>
          <w:rFonts w:ascii="Times New Roman" w:hAnsi="Times New Roman"/>
          <w:noProof/>
          <w:color w:val="000000"/>
          <w:sz w:val="22"/>
          <w:szCs w:val="22"/>
          <w:lang w:val="sr-Latn-ME"/>
        </w:rPr>
        <w:t xml:space="preserve">Zbog mogućeg mutagenog i karcinogenog efekta, neophodan je pojačan oprez za osoblje bolnice i ljekare. </w:t>
      </w:r>
    </w:p>
    <w:p w:rsidR="00330BA9" w:rsidRPr="007F1889" w:rsidRDefault="00330BA9" w:rsidP="008136BC">
      <w:pPr>
        <w:tabs>
          <w:tab w:val="left" w:pos="426"/>
        </w:tabs>
        <w:rPr>
          <w:rFonts w:ascii="Times New Roman" w:hAnsi="Times New Roman"/>
          <w:noProof/>
          <w:color w:val="000000"/>
          <w:sz w:val="22"/>
          <w:szCs w:val="22"/>
          <w:lang w:val="sr-Latn-ME"/>
        </w:rPr>
      </w:pPr>
      <w:r w:rsidRPr="007F1889">
        <w:rPr>
          <w:rFonts w:ascii="Times New Roman" w:hAnsi="Times New Roman"/>
          <w:noProof/>
          <w:color w:val="000000"/>
          <w:sz w:val="22"/>
          <w:szCs w:val="22"/>
          <w:lang w:val="sr-Latn-ME"/>
        </w:rPr>
        <w:t>Mora se izbjeći kontakt sa kožom i sluzokožom. Ukoliko dođe do takvog kontakta neophodno je zahvaćenu površinu dobro oprati vodom i sapunom. U slučaju kontakta sa očima obilno isprati vodom i odmah tražiti medicinsku pomoć. Potrebno je sprovesti sve mjere kako bi se omogućio rad u aseptičnim uslovima. Preporučuje se korišćenje radne površine sa laminiranom podlogom. Tokom rukovanja 5-fluorouracilom mora se nositi zaštitna odjeća.</w:t>
      </w:r>
    </w:p>
    <w:p w:rsidR="00330BA9" w:rsidRPr="007F1889" w:rsidRDefault="00330BA9" w:rsidP="008136BC">
      <w:pPr>
        <w:tabs>
          <w:tab w:val="left" w:pos="426"/>
        </w:tabs>
        <w:rPr>
          <w:rFonts w:ascii="Times New Roman" w:hAnsi="Times New Roman"/>
          <w:noProof/>
          <w:color w:val="000000"/>
          <w:sz w:val="22"/>
          <w:szCs w:val="22"/>
          <w:lang w:val="sr-Latn-ME"/>
        </w:rPr>
      </w:pPr>
    </w:p>
    <w:p w:rsidR="00330BA9" w:rsidRPr="007F1889" w:rsidRDefault="00330BA9" w:rsidP="008136BC">
      <w:pPr>
        <w:tabs>
          <w:tab w:val="left" w:pos="426"/>
        </w:tabs>
        <w:rPr>
          <w:rFonts w:ascii="Times New Roman" w:hAnsi="Times New Roman"/>
          <w:noProof/>
          <w:color w:val="000000"/>
          <w:sz w:val="22"/>
          <w:szCs w:val="22"/>
          <w:lang w:val="sr-Latn-ME"/>
        </w:rPr>
      </w:pPr>
      <w:r w:rsidRPr="007F1889">
        <w:rPr>
          <w:rFonts w:ascii="Times New Roman" w:hAnsi="Times New Roman"/>
          <w:noProof/>
          <w:color w:val="000000"/>
          <w:sz w:val="22"/>
          <w:szCs w:val="22"/>
          <w:lang w:val="sr-Latn-ME"/>
        </w:rPr>
        <w:t>Trudnice ne smiju rukovati fluorouracilom.</w:t>
      </w:r>
    </w:p>
    <w:p w:rsidR="00330BA9" w:rsidRPr="007F1889" w:rsidRDefault="00330BA9" w:rsidP="008136BC">
      <w:pPr>
        <w:tabs>
          <w:tab w:val="left" w:pos="426"/>
        </w:tabs>
        <w:rPr>
          <w:rFonts w:ascii="Times New Roman" w:hAnsi="Times New Roman"/>
          <w:noProof/>
          <w:color w:val="000000"/>
          <w:sz w:val="22"/>
          <w:szCs w:val="22"/>
          <w:lang w:val="sr-Latn-ME"/>
        </w:rPr>
      </w:pPr>
    </w:p>
    <w:p w:rsidR="00330BA9" w:rsidRPr="007F1889" w:rsidRDefault="00330BA9" w:rsidP="008136BC">
      <w:pPr>
        <w:tabs>
          <w:tab w:val="left" w:pos="426"/>
        </w:tabs>
        <w:jc w:val="left"/>
        <w:rPr>
          <w:rFonts w:ascii="Times New Roman" w:hAnsi="Times New Roman"/>
          <w:noProof/>
          <w:color w:val="000000"/>
          <w:sz w:val="22"/>
          <w:szCs w:val="22"/>
          <w:lang w:val="sr-Latn-ME"/>
        </w:rPr>
      </w:pPr>
      <w:r w:rsidRPr="007F1889">
        <w:rPr>
          <w:rFonts w:ascii="Times New Roman" w:hAnsi="Times New Roman"/>
          <w:noProof/>
          <w:color w:val="000000"/>
          <w:sz w:val="22"/>
          <w:szCs w:val="22"/>
          <w:lang w:val="sr-Latn-ME"/>
        </w:rPr>
        <w:t>Inaktivacija: - 700°C</w:t>
      </w:r>
    </w:p>
    <w:p w:rsidR="00330BA9" w:rsidRPr="007F1889" w:rsidRDefault="00330BA9" w:rsidP="008136BC">
      <w:pPr>
        <w:tabs>
          <w:tab w:val="left" w:pos="426"/>
        </w:tabs>
        <w:jc w:val="left"/>
        <w:rPr>
          <w:rFonts w:ascii="Times New Roman" w:hAnsi="Times New Roman"/>
          <w:noProof/>
          <w:color w:val="000000"/>
          <w:sz w:val="22"/>
          <w:szCs w:val="22"/>
          <w:lang w:val="sr-Latn-ME"/>
        </w:rPr>
      </w:pPr>
      <w:r w:rsidRPr="007F1889">
        <w:rPr>
          <w:rFonts w:ascii="Times New Roman" w:hAnsi="Times New Roman"/>
          <w:noProof/>
          <w:color w:val="000000"/>
          <w:sz w:val="22"/>
          <w:szCs w:val="22"/>
          <w:lang w:val="sr-Latn-ME"/>
        </w:rPr>
        <w:t xml:space="preserve">                      - natrijum-hipohlorit razblažen sa 10 djelova vode</w:t>
      </w:r>
    </w:p>
    <w:p w:rsidR="00330BA9" w:rsidRDefault="00330BA9" w:rsidP="008136BC">
      <w:pPr>
        <w:tabs>
          <w:tab w:val="left" w:pos="426"/>
        </w:tabs>
        <w:jc w:val="left"/>
        <w:rPr>
          <w:rFonts w:ascii="Times New Roman" w:hAnsi="Times New Roman"/>
          <w:noProof/>
          <w:color w:val="000000"/>
          <w:sz w:val="22"/>
          <w:szCs w:val="22"/>
          <w:lang w:val="sr-Latn-ME"/>
        </w:rPr>
      </w:pPr>
      <w:r w:rsidRPr="007F1889">
        <w:rPr>
          <w:rFonts w:ascii="Times New Roman" w:hAnsi="Times New Roman"/>
          <w:noProof/>
          <w:color w:val="000000"/>
          <w:sz w:val="22"/>
          <w:szCs w:val="22"/>
          <w:lang w:val="sr-Latn-ME"/>
        </w:rPr>
        <w:t xml:space="preserve">                      - koncentrovani NaOH tokom nekoliko sati.</w:t>
      </w:r>
    </w:p>
    <w:p w:rsidR="007F1889" w:rsidRPr="007F1889" w:rsidRDefault="007F1889" w:rsidP="008136BC">
      <w:pPr>
        <w:tabs>
          <w:tab w:val="left" w:pos="426"/>
        </w:tabs>
        <w:jc w:val="left"/>
        <w:rPr>
          <w:rFonts w:ascii="Times New Roman" w:hAnsi="Times New Roman"/>
          <w:noProof/>
          <w:color w:val="000000"/>
          <w:sz w:val="22"/>
          <w:szCs w:val="22"/>
          <w:lang w:val="sr-Latn-ME"/>
        </w:rPr>
      </w:pPr>
    </w:p>
    <w:p w:rsidR="002C1F0B" w:rsidRDefault="002C1F0B" w:rsidP="008136BC">
      <w:pPr>
        <w:pStyle w:val="Header"/>
        <w:tabs>
          <w:tab w:val="clear" w:pos="4536"/>
          <w:tab w:val="clear" w:pos="9072"/>
          <w:tab w:val="left" w:pos="284"/>
        </w:tabs>
        <w:rPr>
          <w:rFonts w:ascii="Times New Roman" w:hAnsi="Times New Roman"/>
          <w:noProof/>
          <w:color w:val="000000"/>
          <w:sz w:val="22"/>
          <w:szCs w:val="22"/>
          <w:lang w:val="sr-Latn-ME"/>
        </w:rPr>
      </w:pPr>
    </w:p>
    <w:p w:rsidR="002C1F0B" w:rsidRDefault="002C1F0B" w:rsidP="008136BC">
      <w:pPr>
        <w:pStyle w:val="Header"/>
        <w:tabs>
          <w:tab w:val="clear" w:pos="4536"/>
          <w:tab w:val="clear" w:pos="9072"/>
          <w:tab w:val="left" w:pos="284"/>
        </w:tabs>
        <w:rPr>
          <w:rFonts w:ascii="Times New Roman" w:hAnsi="Times New Roman"/>
          <w:noProof/>
          <w:color w:val="000000"/>
          <w:sz w:val="22"/>
          <w:szCs w:val="22"/>
          <w:lang w:val="sr-Latn-ME"/>
        </w:rPr>
      </w:pPr>
    </w:p>
    <w:p w:rsidR="002C1F0B" w:rsidRDefault="002C1F0B" w:rsidP="008136BC">
      <w:pPr>
        <w:pStyle w:val="Header"/>
        <w:tabs>
          <w:tab w:val="clear" w:pos="4536"/>
          <w:tab w:val="clear" w:pos="9072"/>
          <w:tab w:val="left" w:pos="284"/>
        </w:tabs>
        <w:rPr>
          <w:rFonts w:ascii="Times New Roman" w:hAnsi="Times New Roman"/>
          <w:noProof/>
          <w:color w:val="000000"/>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bookmarkStart w:id="0" w:name="_GoBack"/>
      <w:bookmarkEnd w:id="0"/>
      <w:r w:rsidRPr="007F1889">
        <w:rPr>
          <w:rFonts w:ascii="Times New Roman" w:hAnsi="Times New Roman"/>
          <w:noProof/>
          <w:color w:val="000000"/>
          <w:sz w:val="22"/>
          <w:szCs w:val="22"/>
          <w:lang w:val="sr-Latn-ME"/>
        </w:rPr>
        <w:t xml:space="preserve">Upotrijebite rastvor neposredno nakon razblaživanja. </w:t>
      </w:r>
      <w:r w:rsidRPr="007F1889">
        <w:rPr>
          <w:rFonts w:ascii="Times New Roman" w:hAnsi="Times New Roman"/>
          <w:sz w:val="22"/>
          <w:szCs w:val="22"/>
          <w:lang w:val="sr-Latn-ME"/>
        </w:rPr>
        <w:t>Ako dođe do formiranja precipitata kao rezultat izlaganju niskim temperaturama, ponovo rastvoriti zagrijevanjem na temperaturi od 60°C uz snažno miješanje. Prije upotrebe ostaviti da se ohladi do temperature tijela.</w:t>
      </w: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rPr>
          <w:rFonts w:ascii="Times New Roman" w:hAnsi="Times New Roman"/>
          <w:sz w:val="22"/>
          <w:szCs w:val="22"/>
          <w:lang w:val="sr-Latn-ME"/>
        </w:rPr>
      </w:pPr>
      <w:r w:rsidRPr="007F1889">
        <w:rPr>
          <w:rFonts w:ascii="Times New Roman" w:hAnsi="Times New Roman"/>
          <w:sz w:val="22"/>
          <w:szCs w:val="22"/>
          <w:lang w:val="sr-Latn-ME"/>
        </w:rPr>
        <w:t>Neiskorišćeni materijal i otpadni materijal treba odložiti u skladu sa lokalnim zahtjevima.</w:t>
      </w:r>
    </w:p>
    <w:p w:rsidR="00330BA9" w:rsidRPr="007F1889" w:rsidRDefault="00330BA9" w:rsidP="008136BC">
      <w:pPr>
        <w:tabs>
          <w:tab w:val="clear" w:pos="284"/>
        </w:tabs>
        <w:jc w:val="left"/>
        <w:rPr>
          <w:rFonts w:ascii="Times New Roman" w:hAnsi="Times New Roman"/>
          <w:noProof/>
          <w:color w:val="000000"/>
          <w:sz w:val="22"/>
          <w:szCs w:val="22"/>
          <w:lang w:val="sr-Latn-ME"/>
        </w:rPr>
      </w:pPr>
    </w:p>
    <w:p w:rsidR="00330BA9" w:rsidRPr="007F1889" w:rsidRDefault="00330BA9" w:rsidP="008136BC">
      <w:pPr>
        <w:tabs>
          <w:tab w:val="clear" w:pos="284"/>
        </w:tabs>
        <w:jc w:val="left"/>
        <w:rPr>
          <w:rFonts w:ascii="Times New Roman" w:hAnsi="Times New Roman"/>
          <w:b/>
          <w:noProof/>
          <w:color w:val="000000"/>
          <w:sz w:val="22"/>
          <w:szCs w:val="22"/>
          <w:lang w:val="sr-Latn-ME"/>
        </w:rPr>
      </w:pPr>
      <w:r w:rsidRPr="007F1889">
        <w:rPr>
          <w:rFonts w:ascii="Times New Roman" w:hAnsi="Times New Roman"/>
          <w:b/>
          <w:noProof/>
          <w:color w:val="000000"/>
          <w:sz w:val="22"/>
          <w:szCs w:val="22"/>
          <w:lang w:val="sr-Latn-ME"/>
        </w:rPr>
        <w:t>6.7. Režim izdavanja lijeka</w:t>
      </w:r>
    </w:p>
    <w:p w:rsidR="00330BA9" w:rsidRPr="007F1889" w:rsidRDefault="00330BA9" w:rsidP="008136BC">
      <w:pPr>
        <w:tabs>
          <w:tab w:val="clear" w:pos="284"/>
        </w:tabs>
        <w:jc w:val="left"/>
        <w:rPr>
          <w:rFonts w:ascii="Times New Roman" w:hAnsi="Times New Roman"/>
          <w:noProof/>
          <w:color w:val="000000"/>
          <w:sz w:val="22"/>
          <w:szCs w:val="22"/>
          <w:lang w:val="sr-Latn-ME"/>
        </w:rPr>
      </w:pPr>
      <w:r w:rsidRPr="007F1889">
        <w:rPr>
          <w:rFonts w:ascii="Times New Roman" w:hAnsi="Times New Roman"/>
          <w:sz w:val="22"/>
          <w:szCs w:val="22"/>
          <w:lang w:val="sr-Latn-ME"/>
        </w:rPr>
        <w:t>Lijek se može upotrebljavati samo u stacionarnoj zdravstvenoj ustanovi.</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jc w:val="left"/>
        <w:rPr>
          <w:rFonts w:ascii="Times New Roman" w:hAnsi="Times New Roman"/>
          <w:b/>
          <w:bCs/>
          <w:sz w:val="22"/>
          <w:szCs w:val="22"/>
          <w:lang w:val="sr-Latn-ME"/>
        </w:rPr>
      </w:pPr>
      <w:r w:rsidRPr="007F1889">
        <w:rPr>
          <w:rFonts w:ascii="Times New Roman" w:hAnsi="Times New Roman"/>
          <w:b/>
          <w:bCs/>
          <w:sz w:val="22"/>
          <w:szCs w:val="22"/>
          <w:lang w:val="sr-Latn-ME"/>
        </w:rPr>
        <w:t xml:space="preserve">7. NOSILAC DOZVOLE </w:t>
      </w:r>
    </w:p>
    <w:p w:rsidR="00330BA9" w:rsidRPr="007F1889" w:rsidRDefault="00330BA9" w:rsidP="008136BC">
      <w:pPr>
        <w:pStyle w:val="Header"/>
        <w:tabs>
          <w:tab w:val="clear" w:pos="4536"/>
          <w:tab w:val="clear" w:pos="9072"/>
          <w:tab w:val="left" w:pos="284"/>
        </w:tabs>
        <w:jc w:val="left"/>
        <w:rPr>
          <w:rFonts w:ascii="Times New Roman" w:hAnsi="Times New Roman"/>
          <w:b/>
          <w:bCs/>
          <w:sz w:val="22"/>
          <w:szCs w:val="22"/>
          <w:lang w:val="sr-Latn-ME"/>
        </w:rPr>
      </w:pP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r w:rsidRPr="007F1889">
        <w:rPr>
          <w:rFonts w:ascii="Times New Roman" w:hAnsi="Times New Roman"/>
          <w:sz w:val="22"/>
          <w:szCs w:val="22"/>
          <w:lang w:val="sr-Latn-ME"/>
        </w:rPr>
        <w:t xml:space="preserve">Glosarij d.o.o. </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r w:rsidRPr="007F1889">
        <w:rPr>
          <w:rFonts w:ascii="Times New Roman" w:hAnsi="Times New Roman"/>
          <w:sz w:val="22"/>
          <w:szCs w:val="22"/>
          <w:lang w:val="sr-Latn-ME"/>
        </w:rPr>
        <w:t>Vojislavljevica 76,  Podgorica, Crna Gora</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jc w:val="left"/>
        <w:rPr>
          <w:rFonts w:ascii="Times New Roman" w:hAnsi="Times New Roman"/>
          <w:b/>
          <w:bCs/>
          <w:sz w:val="22"/>
          <w:szCs w:val="22"/>
          <w:lang w:val="sr-Latn-ME"/>
        </w:rPr>
      </w:pPr>
      <w:r w:rsidRPr="007F1889">
        <w:rPr>
          <w:rFonts w:ascii="Times New Roman" w:hAnsi="Times New Roman"/>
          <w:b/>
          <w:bCs/>
          <w:sz w:val="22"/>
          <w:szCs w:val="22"/>
          <w:lang w:val="sr-Latn-ME"/>
        </w:rPr>
        <w:t>8. BROJ PRVE DOZVOLE I OBNOVE DOZVOLE</w:t>
      </w:r>
    </w:p>
    <w:p w:rsidR="00330BA9" w:rsidRPr="007F1889" w:rsidRDefault="00330BA9" w:rsidP="008136BC">
      <w:pPr>
        <w:pStyle w:val="Header"/>
        <w:tabs>
          <w:tab w:val="clear" w:pos="4536"/>
          <w:tab w:val="clear" w:pos="9072"/>
          <w:tab w:val="left" w:pos="284"/>
        </w:tabs>
        <w:jc w:val="left"/>
        <w:rPr>
          <w:rFonts w:ascii="Times New Roman" w:hAnsi="Times New Roman"/>
          <w:b/>
          <w:bCs/>
          <w:sz w:val="22"/>
          <w:szCs w:val="22"/>
          <w:lang w:val="sr-Latn-ME"/>
        </w:rPr>
      </w:pPr>
    </w:p>
    <w:p w:rsidR="00330BA9" w:rsidRPr="007F1889" w:rsidRDefault="00330BA9" w:rsidP="007F1889">
      <w:pPr>
        <w:widowControl w:val="0"/>
        <w:autoSpaceDE w:val="0"/>
        <w:autoSpaceDN w:val="0"/>
        <w:jc w:val="left"/>
        <w:rPr>
          <w:rFonts w:ascii="Times New Roman" w:hAnsi="Times New Roman"/>
          <w:sz w:val="22"/>
          <w:szCs w:val="22"/>
          <w:lang w:val="sr-Latn-ME"/>
        </w:rPr>
      </w:pPr>
      <w:r w:rsidRPr="007F1889">
        <w:rPr>
          <w:rFonts w:ascii="Times New Roman" w:hAnsi="Times New Roman"/>
          <w:sz w:val="22"/>
          <w:szCs w:val="22"/>
          <w:lang w:val="sr-Latn-ME"/>
        </w:rPr>
        <w:t xml:space="preserve">5-Fluorouracil Ebewe®, koncentrat za rastvor za injekciju/infuziju, 250mg/5ml, bočica, 1x5ml: </w:t>
      </w:r>
    </w:p>
    <w:p w:rsidR="00330BA9" w:rsidRPr="007F1889" w:rsidRDefault="00330BA9" w:rsidP="007F1889">
      <w:pPr>
        <w:widowControl w:val="0"/>
        <w:autoSpaceDE w:val="0"/>
        <w:autoSpaceDN w:val="0"/>
        <w:jc w:val="left"/>
        <w:rPr>
          <w:rFonts w:ascii="Times New Roman" w:hAnsi="Times New Roman"/>
          <w:sz w:val="22"/>
          <w:szCs w:val="22"/>
          <w:lang w:val="sr-Latn-ME"/>
        </w:rPr>
      </w:pPr>
      <w:r w:rsidRPr="007F1889">
        <w:rPr>
          <w:rFonts w:ascii="Times New Roman" w:hAnsi="Times New Roman"/>
          <w:sz w:val="22"/>
          <w:szCs w:val="22"/>
          <w:lang w:val="sr-Latn-ME"/>
        </w:rPr>
        <w:t>2030/14/496 – 4031</w:t>
      </w:r>
    </w:p>
    <w:p w:rsidR="00330BA9" w:rsidRPr="007F1889" w:rsidRDefault="00330BA9" w:rsidP="007F1889">
      <w:pPr>
        <w:widowControl w:val="0"/>
        <w:autoSpaceDE w:val="0"/>
        <w:autoSpaceDN w:val="0"/>
        <w:jc w:val="left"/>
        <w:rPr>
          <w:rFonts w:ascii="Times New Roman" w:hAnsi="Times New Roman"/>
          <w:sz w:val="22"/>
          <w:szCs w:val="22"/>
          <w:lang w:val="sr-Latn-ME"/>
        </w:rPr>
      </w:pPr>
      <w:r w:rsidRPr="007F1889">
        <w:rPr>
          <w:rFonts w:ascii="Times New Roman" w:hAnsi="Times New Roman"/>
          <w:sz w:val="22"/>
          <w:szCs w:val="22"/>
          <w:lang w:val="sr-Latn-ME"/>
        </w:rPr>
        <w:t>5-Fluorouracil Ebewe®, koncentrat za rastvor za injekciju/infuziju, 500mg/10ml, bočica, 1x10ml: 2030/14/497 – 4033</w:t>
      </w:r>
    </w:p>
    <w:p w:rsidR="00330BA9" w:rsidRPr="007F1889" w:rsidRDefault="00330BA9" w:rsidP="007F1889">
      <w:pPr>
        <w:jc w:val="left"/>
        <w:rPr>
          <w:rFonts w:ascii="Times New Roman" w:hAnsi="Times New Roman"/>
          <w:sz w:val="22"/>
          <w:szCs w:val="22"/>
          <w:lang w:val="sr-Latn-ME"/>
        </w:rPr>
      </w:pPr>
      <w:r w:rsidRPr="007F1889">
        <w:rPr>
          <w:rFonts w:ascii="Times New Roman" w:hAnsi="Times New Roman"/>
          <w:sz w:val="22"/>
          <w:szCs w:val="22"/>
          <w:lang w:val="sr-Latn-ME"/>
        </w:rPr>
        <w:t>5-Fluorouracil Ebewe®, koncentrat za rastvor za injekciju/infuziju, 1000mg/20ml, bočica, 1x20ml: 2030/14/498 – 4032</w:t>
      </w:r>
    </w:p>
    <w:p w:rsidR="00330BA9" w:rsidRPr="007F1889" w:rsidRDefault="00330BA9" w:rsidP="007F1889">
      <w:pPr>
        <w:jc w:val="left"/>
        <w:rPr>
          <w:rFonts w:ascii="Times New Roman" w:hAnsi="Times New Roman"/>
          <w:sz w:val="22"/>
          <w:szCs w:val="22"/>
          <w:lang w:val="sr-Latn-ME"/>
        </w:rPr>
      </w:pPr>
    </w:p>
    <w:p w:rsidR="00330BA9" w:rsidRPr="007F1889" w:rsidRDefault="00330BA9" w:rsidP="00330BA9">
      <w:pPr>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jc w:val="left"/>
        <w:rPr>
          <w:rFonts w:ascii="Times New Roman" w:hAnsi="Times New Roman"/>
          <w:b/>
          <w:bCs/>
          <w:sz w:val="22"/>
          <w:szCs w:val="22"/>
          <w:lang w:val="sr-Latn-ME"/>
        </w:rPr>
      </w:pPr>
      <w:r w:rsidRPr="007F1889">
        <w:rPr>
          <w:rFonts w:ascii="Times New Roman" w:hAnsi="Times New Roman"/>
          <w:b/>
          <w:bCs/>
          <w:sz w:val="22"/>
          <w:szCs w:val="22"/>
          <w:lang w:val="sr-Latn-ME"/>
        </w:rPr>
        <w:t>9. DATUM PRVE DOZVOLE I DATUM OBNOVE DOZVOLE</w:t>
      </w:r>
    </w:p>
    <w:p w:rsidR="00330BA9" w:rsidRPr="007F1889" w:rsidRDefault="00330BA9" w:rsidP="008136BC">
      <w:pPr>
        <w:pStyle w:val="Header"/>
        <w:tabs>
          <w:tab w:val="clear" w:pos="4536"/>
          <w:tab w:val="clear" w:pos="9072"/>
          <w:tab w:val="left" w:pos="284"/>
        </w:tabs>
        <w:jc w:val="left"/>
        <w:rPr>
          <w:rFonts w:ascii="Times New Roman" w:hAnsi="Times New Roman"/>
          <w:b/>
          <w:bCs/>
          <w:sz w:val="22"/>
          <w:szCs w:val="22"/>
          <w:lang w:val="sr-Latn-ME"/>
        </w:rPr>
      </w:pPr>
    </w:p>
    <w:p w:rsidR="00330BA9" w:rsidRPr="007F1889" w:rsidRDefault="00330BA9" w:rsidP="007F1889">
      <w:pPr>
        <w:widowControl w:val="0"/>
        <w:autoSpaceDE w:val="0"/>
        <w:autoSpaceDN w:val="0"/>
        <w:jc w:val="left"/>
        <w:rPr>
          <w:rFonts w:ascii="Times New Roman" w:hAnsi="Times New Roman"/>
          <w:sz w:val="22"/>
          <w:szCs w:val="22"/>
          <w:lang w:val="sr-Latn-ME"/>
        </w:rPr>
      </w:pPr>
      <w:r w:rsidRPr="007F1889">
        <w:rPr>
          <w:rFonts w:ascii="Times New Roman" w:hAnsi="Times New Roman"/>
          <w:sz w:val="22"/>
          <w:szCs w:val="22"/>
          <w:lang w:val="sr-Latn-ME"/>
        </w:rPr>
        <w:t xml:space="preserve">5-Fluorouracil Ebewe®, koncentrat za rastvor za injekciju/infuziju, 250mg/5ml, bočica, 1x5ml: </w:t>
      </w:r>
    </w:p>
    <w:p w:rsidR="00330BA9" w:rsidRPr="007F1889" w:rsidRDefault="00330BA9" w:rsidP="007F1889">
      <w:pPr>
        <w:widowControl w:val="0"/>
        <w:autoSpaceDE w:val="0"/>
        <w:autoSpaceDN w:val="0"/>
        <w:jc w:val="left"/>
        <w:rPr>
          <w:rFonts w:ascii="Times New Roman" w:hAnsi="Times New Roman"/>
          <w:sz w:val="22"/>
          <w:szCs w:val="22"/>
          <w:lang w:val="sr-Latn-ME"/>
        </w:rPr>
      </w:pPr>
      <w:r w:rsidRPr="007F1889">
        <w:rPr>
          <w:rFonts w:ascii="Times New Roman" w:hAnsi="Times New Roman"/>
          <w:sz w:val="22"/>
          <w:szCs w:val="22"/>
          <w:lang w:val="sr-Latn-ME"/>
        </w:rPr>
        <w:t>10.06.2014. godine</w:t>
      </w:r>
    </w:p>
    <w:p w:rsidR="00330BA9" w:rsidRPr="007F1889" w:rsidRDefault="00330BA9" w:rsidP="007F1889">
      <w:pPr>
        <w:widowControl w:val="0"/>
        <w:autoSpaceDE w:val="0"/>
        <w:autoSpaceDN w:val="0"/>
        <w:jc w:val="left"/>
        <w:rPr>
          <w:rFonts w:ascii="Times New Roman" w:hAnsi="Times New Roman"/>
          <w:sz w:val="22"/>
          <w:szCs w:val="22"/>
          <w:lang w:val="sr-Latn-ME"/>
        </w:rPr>
      </w:pPr>
      <w:r w:rsidRPr="007F1889">
        <w:rPr>
          <w:rFonts w:ascii="Times New Roman" w:hAnsi="Times New Roman"/>
          <w:sz w:val="22"/>
          <w:szCs w:val="22"/>
          <w:lang w:val="sr-Latn-ME"/>
        </w:rPr>
        <w:t>5-Fluorouracil Ebewe®, koncentrat za rastvor za injekciju/infuziju, 500mg/10ml, bočica, 1x10ml: 10.06.2014. godine</w:t>
      </w:r>
    </w:p>
    <w:p w:rsidR="00330BA9" w:rsidRPr="007F1889" w:rsidRDefault="00330BA9" w:rsidP="007F1889">
      <w:pPr>
        <w:jc w:val="left"/>
        <w:rPr>
          <w:rFonts w:ascii="Times New Roman" w:hAnsi="Times New Roman"/>
          <w:sz w:val="22"/>
          <w:szCs w:val="22"/>
          <w:lang w:val="sr-Latn-ME"/>
        </w:rPr>
      </w:pPr>
      <w:r w:rsidRPr="007F1889">
        <w:rPr>
          <w:rFonts w:ascii="Times New Roman" w:hAnsi="Times New Roman"/>
          <w:sz w:val="22"/>
          <w:szCs w:val="22"/>
          <w:lang w:val="sr-Latn-ME"/>
        </w:rPr>
        <w:t>5-Fluorouracil Ebewe®, koncentrat za rastvor za injekciju/infuziju, 1000mg/20ml, bočica, 1x20ml: 10.06.2014. godine</w:t>
      </w:r>
    </w:p>
    <w:p w:rsidR="00330BA9" w:rsidRPr="007F1889" w:rsidRDefault="00330BA9" w:rsidP="00330BA9">
      <w:pPr>
        <w:rPr>
          <w:rFonts w:ascii="Times New Roman" w:hAnsi="Times New Roman"/>
          <w:sz w:val="22"/>
          <w:szCs w:val="22"/>
          <w:lang w:val="sr-Latn-ME"/>
        </w:rPr>
      </w:pPr>
    </w:p>
    <w:p w:rsidR="00330BA9" w:rsidRPr="007F1889" w:rsidRDefault="00330BA9" w:rsidP="00330BA9">
      <w:pPr>
        <w:rPr>
          <w:rFonts w:ascii="Times New Roman" w:hAnsi="Times New Roman"/>
          <w:sz w:val="22"/>
          <w:szCs w:val="22"/>
          <w:lang w:val="sr-Latn-ME"/>
        </w:rPr>
      </w:pPr>
    </w:p>
    <w:p w:rsidR="00330BA9" w:rsidRPr="007F1889" w:rsidRDefault="00330BA9" w:rsidP="008136BC">
      <w:pPr>
        <w:pStyle w:val="Header"/>
        <w:tabs>
          <w:tab w:val="clear" w:pos="4536"/>
          <w:tab w:val="clear" w:pos="9072"/>
          <w:tab w:val="left" w:pos="284"/>
        </w:tabs>
        <w:jc w:val="left"/>
        <w:rPr>
          <w:rFonts w:ascii="Times New Roman" w:hAnsi="Times New Roman"/>
          <w:b/>
          <w:bCs/>
          <w:sz w:val="22"/>
          <w:szCs w:val="22"/>
          <w:lang w:val="sr-Latn-ME"/>
        </w:rPr>
      </w:pPr>
      <w:r w:rsidRPr="007F1889">
        <w:rPr>
          <w:rFonts w:ascii="Times New Roman" w:hAnsi="Times New Roman"/>
          <w:b/>
          <w:bCs/>
          <w:sz w:val="22"/>
          <w:szCs w:val="22"/>
          <w:lang w:val="sr-Latn-ME"/>
        </w:rPr>
        <w:t>10. DATUM REVIZIJE TEKSTA</w:t>
      </w:r>
    </w:p>
    <w:p w:rsidR="00330BA9" w:rsidRPr="007F1889" w:rsidRDefault="00330BA9" w:rsidP="008136BC">
      <w:pPr>
        <w:pStyle w:val="Header"/>
        <w:tabs>
          <w:tab w:val="clear" w:pos="4536"/>
          <w:tab w:val="clear" w:pos="9072"/>
          <w:tab w:val="left" w:pos="284"/>
        </w:tabs>
        <w:jc w:val="left"/>
        <w:rPr>
          <w:rFonts w:ascii="Times New Roman" w:hAnsi="Times New Roman"/>
          <w:b/>
          <w:bCs/>
          <w:sz w:val="22"/>
          <w:szCs w:val="22"/>
          <w:lang w:val="sr-Latn-ME"/>
        </w:rPr>
      </w:pPr>
    </w:p>
    <w:p w:rsidR="00330BA9" w:rsidRPr="007F1889" w:rsidRDefault="00330BA9" w:rsidP="00330BA9">
      <w:pPr>
        <w:widowControl w:val="0"/>
        <w:autoSpaceDE w:val="0"/>
        <w:autoSpaceDN w:val="0"/>
        <w:rPr>
          <w:rFonts w:ascii="Times New Roman" w:hAnsi="Times New Roman"/>
          <w:bCs/>
          <w:sz w:val="22"/>
          <w:szCs w:val="22"/>
          <w:lang w:val="sr-Latn-ME"/>
        </w:rPr>
      </w:pPr>
      <w:r w:rsidRPr="007F1889">
        <w:rPr>
          <w:rFonts w:ascii="Times New Roman" w:hAnsi="Times New Roman"/>
          <w:bCs/>
          <w:sz w:val="22"/>
          <w:szCs w:val="22"/>
          <w:lang w:val="sr-Latn-ME"/>
        </w:rPr>
        <w:t>Jun, 2014. godine</w:t>
      </w:r>
    </w:p>
    <w:p w:rsidR="00330BA9" w:rsidRPr="007F1889" w:rsidRDefault="00330BA9" w:rsidP="008136BC">
      <w:pPr>
        <w:pStyle w:val="Header"/>
        <w:tabs>
          <w:tab w:val="clear" w:pos="4536"/>
          <w:tab w:val="clear" w:pos="9072"/>
          <w:tab w:val="left" w:pos="284"/>
        </w:tabs>
        <w:jc w:val="left"/>
        <w:rPr>
          <w:rFonts w:ascii="Times New Roman" w:hAnsi="Times New Roman"/>
          <w:sz w:val="22"/>
          <w:szCs w:val="22"/>
          <w:lang w:val="sr-Latn-ME"/>
        </w:rPr>
      </w:pPr>
    </w:p>
    <w:p w:rsidR="001943E0" w:rsidRPr="007F1889" w:rsidRDefault="001943E0" w:rsidP="001943E0">
      <w:pPr>
        <w:rPr>
          <w:sz w:val="22"/>
          <w:szCs w:val="22"/>
          <w:lang w:val="sr-Latn-ME"/>
        </w:rPr>
      </w:pPr>
    </w:p>
    <w:p w:rsidR="004B7DD5" w:rsidRPr="007F1889" w:rsidRDefault="004B7DD5">
      <w:pPr>
        <w:rPr>
          <w:sz w:val="22"/>
          <w:szCs w:val="22"/>
          <w:lang w:val="sr-Latn-ME"/>
        </w:rPr>
      </w:pPr>
    </w:p>
    <w:sectPr w:rsidR="004B7DD5" w:rsidRPr="007F1889" w:rsidSect="00330BA9">
      <w:headerReference w:type="default" r:id="rId10"/>
      <w:footerReference w:type="even" r:id="rId11"/>
      <w:footerReference w:type="default" r:id="rId12"/>
      <w:pgSz w:w="11907" w:h="16840" w:code="9"/>
      <w:pgMar w:top="215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70A" w:rsidRDefault="0063070A">
      <w:r>
        <w:separator/>
      </w:r>
    </w:p>
  </w:endnote>
  <w:endnote w:type="continuationSeparator" w:id="0">
    <w:p w:rsidR="0063070A" w:rsidRDefault="00630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umanist777">
    <w:altName w:val="Lucida Sans Unicode"/>
    <w:charset w:val="00"/>
    <w:family w:val="swiss"/>
    <w:pitch w:val="variable"/>
    <w:sig w:usb0="00000087" w:usb1="00000000" w:usb2="00000000" w:usb3="00000000" w:csb0="0000001B"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1F6" w:rsidRDefault="00194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51F6" w:rsidRDefault="006307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1F6" w:rsidRDefault="001943E0">
    <w:pPr>
      <w:pStyle w:val="Footer"/>
      <w:framePr w:wrap="around" w:vAnchor="text" w:hAnchor="page" w:x="5995" w:y="207"/>
      <w:rPr>
        <w:rStyle w:val="PageNumber"/>
        <w:rFonts w:ascii="Arial" w:hAnsi="Arial" w:cs="Arial"/>
        <w:sz w:val="18"/>
      </w:rPr>
    </w:pPr>
    <w:r>
      <w:rPr>
        <w:rStyle w:val="PageNumber"/>
        <w:rFonts w:ascii="Arial" w:hAnsi="Arial" w:cs="Arial"/>
        <w:sz w:val="18"/>
      </w:rPr>
      <w:t xml:space="preserve"> </w:t>
    </w:r>
  </w:p>
  <w:p w:rsidR="00330BA9" w:rsidRPr="00405CFC" w:rsidRDefault="00330BA9" w:rsidP="00330BA9">
    <w:pPr>
      <w:pStyle w:val="Header"/>
      <w:pBdr>
        <w:top w:val="thinThickSmallGap" w:sz="24" w:space="1" w:color="auto"/>
      </w:pBdr>
      <w:jc w:val="center"/>
      <w:rPr>
        <w:rFonts w:ascii="Times New Roman" w:hAnsi="Times New Roman"/>
        <w:sz w:val="20"/>
        <w:szCs w:val="16"/>
        <w:lang w:val="sr-Latn-ME"/>
      </w:rPr>
    </w:pPr>
  </w:p>
  <w:p w:rsidR="00330BA9" w:rsidRPr="00405CFC" w:rsidRDefault="00330BA9" w:rsidP="00330BA9">
    <w:pPr>
      <w:pStyle w:val="Footer"/>
      <w:jc w:val="center"/>
      <w:rPr>
        <w:rFonts w:ascii="Times New Roman" w:hAnsi="Times New Roman"/>
        <w:color w:val="E65900"/>
        <w:sz w:val="16"/>
        <w:szCs w:val="16"/>
        <w:lang w:val="sr-Latn-ME"/>
      </w:rPr>
    </w:pPr>
    <w:r w:rsidRPr="00405CFC">
      <w:rPr>
        <w:rFonts w:ascii="Times New Roman" w:hAnsi="Times New Roman"/>
        <w:color w:val="FA0000"/>
        <w:sz w:val="16"/>
        <w:szCs w:val="16"/>
        <w:lang w:val="sr-Latn-ME"/>
      </w:rPr>
      <w:t>Agencija za ljekove i medicinska sredstva Crne Gore,</w:t>
    </w:r>
    <w:r w:rsidRPr="00405CFC">
      <w:rPr>
        <w:rFonts w:ascii="Times New Roman" w:hAnsi="Times New Roman"/>
        <w:sz w:val="16"/>
        <w:szCs w:val="16"/>
        <w:lang w:val="sr-Latn-ME"/>
      </w:rPr>
      <w:t xml:space="preserve"> </w:t>
    </w:r>
    <w:r w:rsidRPr="00405CFC">
      <w:rPr>
        <w:rFonts w:ascii="Times New Roman" w:hAnsi="Times New Roman"/>
        <w:color w:val="E65900"/>
        <w:sz w:val="16"/>
        <w:szCs w:val="16"/>
        <w:lang w:val="sr-Latn-ME"/>
      </w:rPr>
      <w:t>81000 Podgorica, Bul. Ivana Crnojevića 64a</w:t>
    </w:r>
  </w:p>
  <w:p w:rsidR="00330BA9" w:rsidRPr="00405CFC" w:rsidRDefault="00330BA9" w:rsidP="00330BA9">
    <w:pPr>
      <w:pStyle w:val="Footer"/>
      <w:jc w:val="center"/>
      <w:rPr>
        <w:rFonts w:ascii="Times New Roman" w:hAnsi="Times New Roman"/>
        <w:color w:val="FA0000"/>
        <w:sz w:val="16"/>
        <w:szCs w:val="16"/>
        <w:lang w:val="sr-Latn-ME"/>
      </w:rPr>
    </w:pPr>
    <w:r w:rsidRPr="00405CFC">
      <w:rPr>
        <w:rFonts w:ascii="Times New Roman" w:hAnsi="Times New Roman"/>
        <w:color w:val="E65900"/>
        <w:sz w:val="16"/>
        <w:szCs w:val="16"/>
        <w:lang w:val="sr-Latn-ME"/>
      </w:rPr>
      <w:t xml:space="preserve">tel: +382 (0) 20 310 280  </w:t>
    </w:r>
    <w:r w:rsidRPr="00405CFC">
      <w:rPr>
        <w:rFonts w:ascii="Times New Roman" w:hAnsi="Times New Roman"/>
        <w:color w:val="FA0000"/>
        <w:sz w:val="16"/>
        <w:szCs w:val="16"/>
        <w:lang w:val="sr-Latn-ME"/>
      </w:rPr>
      <w:t>fax: +382 (0) 20 310 581,</w:t>
    </w:r>
    <w:r w:rsidRPr="00405CFC">
      <w:rPr>
        <w:rFonts w:ascii="Times New Roman" w:hAnsi="Times New Roman"/>
        <w:sz w:val="16"/>
        <w:szCs w:val="16"/>
        <w:lang w:val="sr-Latn-ME"/>
      </w:rPr>
      <w:t xml:space="preserve"> </w:t>
    </w:r>
    <w:r w:rsidRPr="00405CFC">
      <w:rPr>
        <w:rFonts w:ascii="Times New Roman" w:hAnsi="Times New Roman"/>
        <w:color w:val="E65900"/>
        <w:sz w:val="16"/>
        <w:szCs w:val="16"/>
        <w:lang w:val="sr-Latn-ME"/>
      </w:rPr>
      <w:t>e-mail: info@calims.me,</w:t>
    </w:r>
    <w:r w:rsidRPr="00405CFC">
      <w:rPr>
        <w:rFonts w:ascii="Times New Roman" w:hAnsi="Times New Roman"/>
        <w:sz w:val="16"/>
        <w:szCs w:val="16"/>
        <w:lang w:val="sr-Latn-ME"/>
      </w:rPr>
      <w:t xml:space="preserve"> </w:t>
    </w:r>
    <w:r w:rsidRPr="00405CFC">
      <w:rPr>
        <w:rFonts w:ascii="Times New Roman" w:hAnsi="Times New Roman"/>
        <w:color w:val="FA0000"/>
        <w:sz w:val="16"/>
        <w:szCs w:val="16"/>
        <w:lang w:val="sr-Latn-ME"/>
      </w:rPr>
      <w:t>www.calims.me</w:t>
    </w:r>
    <w:r w:rsidRPr="00405CFC">
      <w:rPr>
        <w:rFonts w:ascii="Times New Roman" w:hAnsi="Times New Roman"/>
        <w:sz w:val="16"/>
        <w:szCs w:val="16"/>
        <w:lang w:val="sr-Latn-ME"/>
      </w:rPr>
      <w:t xml:space="preserve">, </w:t>
    </w:r>
    <w:r w:rsidRPr="00405CFC">
      <w:rPr>
        <w:rFonts w:ascii="Times New Roman" w:hAnsi="Times New Roman"/>
        <w:color w:val="E65900"/>
        <w:sz w:val="16"/>
        <w:szCs w:val="16"/>
        <w:lang w:val="sr-Latn-ME"/>
      </w:rPr>
      <w:t>PIB: 02739658,</w:t>
    </w:r>
    <w:r w:rsidRPr="00405CFC">
      <w:rPr>
        <w:rFonts w:ascii="Times New Roman" w:hAnsi="Times New Roman"/>
        <w:sz w:val="16"/>
        <w:szCs w:val="16"/>
        <w:lang w:val="sr-Latn-ME"/>
      </w:rPr>
      <w:t xml:space="preserve"> </w:t>
    </w:r>
    <w:r w:rsidRPr="00405CFC">
      <w:rPr>
        <w:rFonts w:ascii="Times New Roman" w:hAnsi="Times New Roman"/>
        <w:color w:val="FA0000"/>
        <w:sz w:val="16"/>
        <w:szCs w:val="16"/>
        <w:lang w:val="sr-Latn-ME"/>
      </w:rPr>
      <w:t>žiro račun: 520-3603-33</w:t>
    </w:r>
  </w:p>
  <w:p w:rsidR="00330BA9" w:rsidRPr="00405CFC" w:rsidRDefault="00330BA9" w:rsidP="00330BA9">
    <w:pPr>
      <w:pStyle w:val="Footer"/>
      <w:jc w:val="center"/>
      <w:rPr>
        <w:rFonts w:ascii="Times New Roman" w:hAnsi="Times New Roman"/>
        <w:sz w:val="16"/>
        <w:szCs w:val="16"/>
        <w:lang w:val="sr-Latn-ME"/>
      </w:rPr>
    </w:pPr>
  </w:p>
  <w:p w:rsidR="00330BA9" w:rsidRPr="00405CFC" w:rsidRDefault="00330BA9" w:rsidP="00330BA9">
    <w:pPr>
      <w:pStyle w:val="Header"/>
      <w:rPr>
        <w:rFonts w:ascii="Times New Roman" w:hAnsi="Times New Roman"/>
        <w:sz w:val="20"/>
        <w:szCs w:val="16"/>
        <w:lang w:val="sr-Latn-ME"/>
      </w:rPr>
    </w:pPr>
  </w:p>
  <w:p w:rsidR="00330BA9" w:rsidRPr="00405CFC" w:rsidRDefault="00330BA9" w:rsidP="00330BA9">
    <w:pPr>
      <w:pStyle w:val="Header"/>
      <w:jc w:val="center"/>
      <w:rPr>
        <w:rFonts w:ascii="Times New Roman" w:hAnsi="Times New Roman"/>
        <w:sz w:val="20"/>
        <w:szCs w:val="16"/>
        <w:lang w:val="sr-Latn-ME"/>
      </w:rPr>
    </w:pPr>
    <w:r w:rsidRPr="00405CFC">
      <w:rPr>
        <w:rStyle w:val="PageNumber"/>
        <w:rFonts w:ascii="Times New Roman" w:hAnsi="Times New Roman"/>
        <w:sz w:val="20"/>
        <w:szCs w:val="16"/>
        <w:lang w:val="sr-Latn-ME"/>
      </w:rPr>
      <w:fldChar w:fldCharType="begin"/>
    </w:r>
    <w:r w:rsidRPr="00405CFC">
      <w:rPr>
        <w:rStyle w:val="PageNumber"/>
        <w:rFonts w:ascii="Times New Roman" w:hAnsi="Times New Roman"/>
        <w:sz w:val="20"/>
        <w:szCs w:val="16"/>
        <w:lang w:val="sr-Latn-ME"/>
      </w:rPr>
      <w:instrText xml:space="preserve"> PAGE </w:instrText>
    </w:r>
    <w:r w:rsidRPr="00405CFC">
      <w:rPr>
        <w:rStyle w:val="PageNumber"/>
        <w:rFonts w:ascii="Times New Roman" w:hAnsi="Times New Roman"/>
        <w:sz w:val="20"/>
        <w:szCs w:val="16"/>
        <w:lang w:val="sr-Latn-ME"/>
      </w:rPr>
      <w:fldChar w:fldCharType="separate"/>
    </w:r>
    <w:r w:rsidR="002C1F0B">
      <w:rPr>
        <w:rStyle w:val="PageNumber"/>
        <w:rFonts w:ascii="Times New Roman" w:hAnsi="Times New Roman"/>
        <w:noProof/>
        <w:sz w:val="20"/>
        <w:szCs w:val="16"/>
        <w:lang w:val="sr-Latn-ME"/>
      </w:rPr>
      <w:t>12</w:t>
    </w:r>
    <w:r w:rsidRPr="00405CFC">
      <w:rPr>
        <w:rStyle w:val="PageNumber"/>
        <w:rFonts w:ascii="Times New Roman" w:hAnsi="Times New Roman"/>
        <w:sz w:val="20"/>
        <w:szCs w:val="16"/>
        <w:lang w:val="sr-Latn-ME"/>
      </w:rPr>
      <w:fldChar w:fldCharType="end"/>
    </w:r>
    <w:r w:rsidRPr="00405CFC">
      <w:rPr>
        <w:rStyle w:val="PageNumber"/>
        <w:rFonts w:ascii="Times New Roman" w:hAnsi="Times New Roman"/>
        <w:sz w:val="20"/>
        <w:szCs w:val="16"/>
        <w:lang w:val="sr-Latn-ME"/>
      </w:rPr>
      <w:t xml:space="preserve"> / </w:t>
    </w:r>
    <w:r w:rsidRPr="00405CFC">
      <w:rPr>
        <w:rStyle w:val="PageNumber"/>
        <w:rFonts w:ascii="Times New Roman" w:hAnsi="Times New Roman"/>
        <w:sz w:val="20"/>
        <w:szCs w:val="16"/>
        <w:lang w:val="sr-Latn-ME"/>
      </w:rPr>
      <w:fldChar w:fldCharType="begin"/>
    </w:r>
    <w:r w:rsidRPr="00405CFC">
      <w:rPr>
        <w:rStyle w:val="PageNumber"/>
        <w:rFonts w:ascii="Times New Roman" w:hAnsi="Times New Roman"/>
        <w:sz w:val="20"/>
        <w:szCs w:val="16"/>
        <w:lang w:val="sr-Latn-ME"/>
      </w:rPr>
      <w:instrText xml:space="preserve"> NUMPAGES </w:instrText>
    </w:r>
    <w:r w:rsidRPr="00405CFC">
      <w:rPr>
        <w:rStyle w:val="PageNumber"/>
        <w:rFonts w:ascii="Times New Roman" w:hAnsi="Times New Roman"/>
        <w:sz w:val="20"/>
        <w:szCs w:val="16"/>
        <w:lang w:val="sr-Latn-ME"/>
      </w:rPr>
      <w:fldChar w:fldCharType="separate"/>
    </w:r>
    <w:r w:rsidR="002C1F0B">
      <w:rPr>
        <w:rStyle w:val="PageNumber"/>
        <w:rFonts w:ascii="Times New Roman" w:hAnsi="Times New Roman"/>
        <w:noProof/>
        <w:sz w:val="20"/>
        <w:szCs w:val="16"/>
        <w:lang w:val="sr-Latn-ME"/>
      </w:rPr>
      <w:t>13</w:t>
    </w:r>
    <w:r w:rsidRPr="00405CFC">
      <w:rPr>
        <w:rStyle w:val="PageNumber"/>
        <w:rFonts w:ascii="Times New Roman" w:hAnsi="Times New Roman"/>
        <w:sz w:val="20"/>
        <w:szCs w:val="16"/>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70A" w:rsidRDefault="0063070A">
      <w:r>
        <w:separator/>
      </w:r>
    </w:p>
  </w:footnote>
  <w:footnote w:type="continuationSeparator" w:id="0">
    <w:p w:rsidR="0063070A" w:rsidRDefault="00630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BA9" w:rsidRDefault="00330BA9" w:rsidP="00330BA9">
    <w:pPr>
      <w:pStyle w:val="Header"/>
      <w:rPr>
        <w:sz w:val="16"/>
        <w:szCs w:val="16"/>
      </w:rPr>
    </w:pPr>
  </w:p>
  <w:p w:rsidR="00330BA9" w:rsidRDefault="00330BA9" w:rsidP="00330BA9">
    <w:pPr>
      <w:pStyle w:val="Header"/>
      <w:rPr>
        <w:sz w:val="16"/>
        <w:szCs w:val="16"/>
      </w:rPr>
    </w:pPr>
  </w:p>
  <w:p w:rsidR="00330BA9" w:rsidRPr="00615ADD" w:rsidRDefault="00330BA9" w:rsidP="00330BA9">
    <w:pPr>
      <w:pStyle w:val="Header"/>
      <w:pBdr>
        <w:top w:val="thinThickSmallGap" w:sz="24" w:space="2" w:color="auto"/>
      </w:pBdr>
    </w:pPr>
    <w:r>
      <w:rPr>
        <w:noProof/>
        <w:sz w:val="16"/>
        <w:szCs w:val="16"/>
        <w:lang w:val="sr-Latn-ME" w:eastAsia="sr-Latn-ME"/>
      </w:rPr>
      <w:drawing>
        <wp:inline distT="0" distB="0" distL="0" distR="0" wp14:anchorId="396584A9" wp14:editId="069F2848">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30839"/>
    <w:multiLevelType w:val="hybridMultilevel"/>
    <w:tmpl w:val="69320298"/>
    <w:lvl w:ilvl="0" w:tplc="FF145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1A322E"/>
    <w:multiLevelType w:val="hybridMultilevel"/>
    <w:tmpl w:val="CA34E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F655AE"/>
    <w:multiLevelType w:val="hybridMultilevel"/>
    <w:tmpl w:val="7CC2ACEC"/>
    <w:lvl w:ilvl="0" w:tplc="FF145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3E0"/>
    <w:rsid w:val="001943E0"/>
    <w:rsid w:val="002C1F0B"/>
    <w:rsid w:val="002D42E5"/>
    <w:rsid w:val="00330BA9"/>
    <w:rsid w:val="00453D49"/>
    <w:rsid w:val="004B7DD5"/>
    <w:rsid w:val="0063070A"/>
    <w:rsid w:val="007F1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3E0"/>
    <w:pPr>
      <w:tabs>
        <w:tab w:val="left" w:pos="284"/>
      </w:tabs>
      <w:spacing w:after="0" w:line="240" w:lineRule="auto"/>
      <w:jc w:val="both"/>
    </w:pPr>
    <w:rPr>
      <w:rFonts w:ascii="Humanist777" w:eastAsia="Times New Roman" w:hAnsi="Humanist777"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1943E0"/>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basedOn w:val="DefaultParagraphFont"/>
    <w:link w:val="Header"/>
    <w:rsid w:val="001943E0"/>
    <w:rPr>
      <w:rFonts w:ascii="Humanist777" w:eastAsia="Times New Roman" w:hAnsi="Humanist777" w:cs="Times New Roman"/>
      <w:sz w:val="24"/>
      <w:szCs w:val="24"/>
    </w:rPr>
  </w:style>
  <w:style w:type="paragraph" w:styleId="Footer">
    <w:name w:val="footer"/>
    <w:basedOn w:val="Normal"/>
    <w:link w:val="FooterChar"/>
    <w:rsid w:val="001943E0"/>
    <w:pPr>
      <w:tabs>
        <w:tab w:val="clear" w:pos="284"/>
        <w:tab w:val="center" w:pos="4536"/>
        <w:tab w:val="right" w:pos="9072"/>
      </w:tabs>
    </w:pPr>
  </w:style>
  <w:style w:type="character" w:customStyle="1" w:styleId="FooterChar">
    <w:name w:val="Footer Char"/>
    <w:basedOn w:val="DefaultParagraphFont"/>
    <w:link w:val="Footer"/>
    <w:uiPriority w:val="99"/>
    <w:rsid w:val="001943E0"/>
    <w:rPr>
      <w:rFonts w:ascii="Humanist777" w:eastAsia="Times New Roman" w:hAnsi="Humanist777" w:cs="Times New Roman"/>
      <w:sz w:val="24"/>
      <w:szCs w:val="24"/>
    </w:rPr>
  </w:style>
  <w:style w:type="character" w:styleId="PageNumber">
    <w:name w:val="page number"/>
    <w:basedOn w:val="DefaultParagraphFont"/>
    <w:rsid w:val="001943E0"/>
  </w:style>
  <w:style w:type="paragraph" w:styleId="BodyTextIndent3">
    <w:name w:val="Body Text Indent 3"/>
    <w:basedOn w:val="Normal"/>
    <w:link w:val="BodyTextIndent3Char"/>
    <w:rsid w:val="001943E0"/>
    <w:pPr>
      <w:spacing w:after="120"/>
      <w:ind w:left="360"/>
    </w:pPr>
    <w:rPr>
      <w:rFonts w:ascii="Times New Roman" w:hAnsi="Times New Roman" w:cs="Arial"/>
      <w:bCs/>
      <w:sz w:val="16"/>
      <w:szCs w:val="16"/>
    </w:rPr>
  </w:style>
  <w:style w:type="character" w:customStyle="1" w:styleId="BodyTextIndent3Char">
    <w:name w:val="Body Text Indent 3 Char"/>
    <w:basedOn w:val="DefaultParagraphFont"/>
    <w:link w:val="BodyTextIndent3"/>
    <w:rsid w:val="001943E0"/>
    <w:rPr>
      <w:rFonts w:ascii="Times New Roman" w:eastAsia="Times New Roman" w:hAnsi="Times New Roman" w:cs="Arial"/>
      <w:bCs/>
      <w:sz w:val="16"/>
      <w:szCs w:val="16"/>
    </w:rPr>
  </w:style>
  <w:style w:type="paragraph" w:styleId="NoSpacing">
    <w:name w:val="No Spacing"/>
    <w:uiPriority w:val="1"/>
    <w:qFormat/>
    <w:rsid w:val="001943E0"/>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43E0"/>
    <w:rPr>
      <w:rFonts w:ascii="Tahoma" w:hAnsi="Tahoma" w:cs="Tahoma"/>
      <w:sz w:val="16"/>
      <w:szCs w:val="16"/>
    </w:rPr>
  </w:style>
  <w:style w:type="character" w:customStyle="1" w:styleId="BalloonTextChar">
    <w:name w:val="Balloon Text Char"/>
    <w:basedOn w:val="DefaultParagraphFont"/>
    <w:link w:val="BalloonText"/>
    <w:uiPriority w:val="99"/>
    <w:semiHidden/>
    <w:rsid w:val="001943E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3E0"/>
    <w:pPr>
      <w:tabs>
        <w:tab w:val="left" w:pos="284"/>
      </w:tabs>
      <w:spacing w:after="0" w:line="240" w:lineRule="auto"/>
      <w:jc w:val="both"/>
    </w:pPr>
    <w:rPr>
      <w:rFonts w:ascii="Humanist777" w:eastAsia="Times New Roman" w:hAnsi="Humanist777"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1943E0"/>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basedOn w:val="DefaultParagraphFont"/>
    <w:link w:val="Header"/>
    <w:rsid w:val="001943E0"/>
    <w:rPr>
      <w:rFonts w:ascii="Humanist777" w:eastAsia="Times New Roman" w:hAnsi="Humanist777" w:cs="Times New Roman"/>
      <w:sz w:val="24"/>
      <w:szCs w:val="24"/>
    </w:rPr>
  </w:style>
  <w:style w:type="paragraph" w:styleId="Footer">
    <w:name w:val="footer"/>
    <w:basedOn w:val="Normal"/>
    <w:link w:val="FooterChar"/>
    <w:rsid w:val="001943E0"/>
    <w:pPr>
      <w:tabs>
        <w:tab w:val="clear" w:pos="284"/>
        <w:tab w:val="center" w:pos="4536"/>
        <w:tab w:val="right" w:pos="9072"/>
      </w:tabs>
    </w:pPr>
  </w:style>
  <w:style w:type="character" w:customStyle="1" w:styleId="FooterChar">
    <w:name w:val="Footer Char"/>
    <w:basedOn w:val="DefaultParagraphFont"/>
    <w:link w:val="Footer"/>
    <w:uiPriority w:val="99"/>
    <w:rsid w:val="001943E0"/>
    <w:rPr>
      <w:rFonts w:ascii="Humanist777" w:eastAsia="Times New Roman" w:hAnsi="Humanist777" w:cs="Times New Roman"/>
      <w:sz w:val="24"/>
      <w:szCs w:val="24"/>
    </w:rPr>
  </w:style>
  <w:style w:type="character" w:styleId="PageNumber">
    <w:name w:val="page number"/>
    <w:basedOn w:val="DefaultParagraphFont"/>
    <w:rsid w:val="001943E0"/>
  </w:style>
  <w:style w:type="paragraph" w:styleId="BodyTextIndent3">
    <w:name w:val="Body Text Indent 3"/>
    <w:basedOn w:val="Normal"/>
    <w:link w:val="BodyTextIndent3Char"/>
    <w:rsid w:val="001943E0"/>
    <w:pPr>
      <w:spacing w:after="120"/>
      <w:ind w:left="360"/>
    </w:pPr>
    <w:rPr>
      <w:rFonts w:ascii="Times New Roman" w:hAnsi="Times New Roman" w:cs="Arial"/>
      <w:bCs/>
      <w:sz w:val="16"/>
      <w:szCs w:val="16"/>
    </w:rPr>
  </w:style>
  <w:style w:type="character" w:customStyle="1" w:styleId="BodyTextIndent3Char">
    <w:name w:val="Body Text Indent 3 Char"/>
    <w:basedOn w:val="DefaultParagraphFont"/>
    <w:link w:val="BodyTextIndent3"/>
    <w:rsid w:val="001943E0"/>
    <w:rPr>
      <w:rFonts w:ascii="Times New Roman" w:eastAsia="Times New Roman" w:hAnsi="Times New Roman" w:cs="Arial"/>
      <w:bCs/>
      <w:sz w:val="16"/>
      <w:szCs w:val="16"/>
    </w:rPr>
  </w:style>
  <w:style w:type="paragraph" w:styleId="NoSpacing">
    <w:name w:val="No Spacing"/>
    <w:uiPriority w:val="1"/>
    <w:qFormat/>
    <w:rsid w:val="001943E0"/>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43E0"/>
    <w:rPr>
      <w:rFonts w:ascii="Tahoma" w:hAnsi="Tahoma" w:cs="Tahoma"/>
      <w:sz w:val="16"/>
      <w:szCs w:val="16"/>
    </w:rPr>
  </w:style>
  <w:style w:type="character" w:customStyle="1" w:styleId="BalloonTextChar">
    <w:name w:val="Balloon Text Char"/>
    <w:basedOn w:val="DefaultParagraphFont"/>
    <w:link w:val="BalloonText"/>
    <w:uiPriority w:val="99"/>
    <w:semiHidden/>
    <w:rsid w:val="001943E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4314</Words>
  <Characters>24596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Novartis</Company>
  <LinksUpToDate>false</LinksUpToDate>
  <CharactersWithSpaces>28853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Cirkovic, Miroslav</dc:creator>
  <cp:lastModifiedBy>Tatjana Bankovic</cp:lastModifiedBy>
  <cp:revision>4</cp:revision>
  <dcterms:created xsi:type="dcterms:W3CDTF">2015-03-11T08:27:00Z</dcterms:created>
  <dcterms:modified xsi:type="dcterms:W3CDTF">2015-03-11T13:23:00Z</dcterms:modified>
</cp:coreProperties>
</file>