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68E" w:rsidRPr="00E82AA9" w:rsidRDefault="002F268E" w:rsidP="002F268E">
      <w:pPr>
        <w:tabs>
          <w:tab w:val="left" w:pos="8222"/>
        </w:tabs>
        <w:spacing w:before="1000"/>
        <w:ind w:right="-8"/>
        <w:rPr>
          <w:color w:val="FF0000"/>
          <w:sz w:val="22"/>
          <w:szCs w:val="22"/>
        </w:rPr>
      </w:pPr>
    </w:p>
    <w:p w:rsidR="002F268E" w:rsidRPr="00E82AA9" w:rsidRDefault="002F268E" w:rsidP="002F268E">
      <w:pPr>
        <w:tabs>
          <w:tab w:val="left" w:pos="8222"/>
        </w:tabs>
        <w:spacing w:before="1000"/>
        <w:ind w:right="-8"/>
        <w:rPr>
          <w:color w:val="FF0000"/>
          <w:sz w:val="22"/>
          <w:szCs w:val="22"/>
        </w:rPr>
      </w:pPr>
    </w:p>
    <w:tbl>
      <w:tblPr>
        <w:tblW w:w="9360" w:type="dxa"/>
        <w:jc w:val="center"/>
        <w:tblLayout w:type="fixed"/>
        <w:tblLook w:val="0000" w:firstRow="0" w:lastRow="0" w:firstColumn="0" w:lastColumn="0" w:noHBand="0" w:noVBand="0"/>
      </w:tblPr>
      <w:tblGrid>
        <w:gridCol w:w="2271"/>
        <w:gridCol w:w="7089"/>
      </w:tblGrid>
      <w:tr w:rsidR="002F268E" w:rsidRPr="00E82AA9" w:rsidTr="00177DE7">
        <w:trPr>
          <w:trHeight w:val="530"/>
          <w:jc w:val="center"/>
        </w:trPr>
        <w:tc>
          <w:tcPr>
            <w:tcW w:w="9360" w:type="dxa"/>
            <w:gridSpan w:val="2"/>
            <w:vAlign w:val="center"/>
          </w:tcPr>
          <w:p w:rsidR="002F268E" w:rsidRPr="00E82AA9" w:rsidRDefault="002F268E" w:rsidP="002F268E">
            <w:pPr>
              <w:tabs>
                <w:tab w:val="left" w:pos="8222"/>
              </w:tabs>
              <w:ind w:right="-8"/>
              <w:jc w:val="center"/>
              <w:rPr>
                <w:b/>
                <w:bCs/>
                <w:iCs/>
                <w:color w:val="FF0000"/>
                <w:sz w:val="22"/>
                <w:szCs w:val="22"/>
                <w:u w:val="single"/>
              </w:rPr>
            </w:pPr>
            <w:r w:rsidRPr="00E82AA9">
              <w:rPr>
                <w:b/>
                <w:bCs/>
                <w:iCs/>
                <w:sz w:val="22"/>
                <w:szCs w:val="22"/>
                <w:u w:val="single"/>
              </w:rPr>
              <w:t>САЖЕТАК КАРАКТЕРИСТИКА Л</w:t>
            </w:r>
            <w:r w:rsidRPr="00E82AA9">
              <w:rPr>
                <w:b/>
                <w:bCs/>
                <w:iCs/>
                <w:sz w:val="22"/>
                <w:szCs w:val="22"/>
                <w:u w:val="single"/>
                <w:lang w:val="mk-MK"/>
              </w:rPr>
              <w:t>ИЈ</w:t>
            </w:r>
            <w:r w:rsidRPr="00E82AA9">
              <w:rPr>
                <w:b/>
                <w:bCs/>
                <w:iCs/>
                <w:sz w:val="22"/>
                <w:szCs w:val="22"/>
                <w:u w:val="single"/>
              </w:rPr>
              <w:t>ЕКА</w:t>
            </w:r>
          </w:p>
        </w:tc>
      </w:tr>
      <w:tr w:rsidR="002F268E" w:rsidRPr="00E82AA9" w:rsidTr="00177DE7">
        <w:trPr>
          <w:trHeight w:val="1969"/>
          <w:jc w:val="center"/>
        </w:trPr>
        <w:tc>
          <w:tcPr>
            <w:tcW w:w="9360" w:type="dxa"/>
            <w:gridSpan w:val="2"/>
            <w:vAlign w:val="bottom"/>
          </w:tcPr>
          <w:p w:rsidR="002F268E" w:rsidRPr="00E82AA9" w:rsidRDefault="002F268E" w:rsidP="002F268E">
            <w:pPr>
              <w:tabs>
                <w:tab w:val="left" w:pos="8222"/>
              </w:tabs>
              <w:ind w:right="-8"/>
              <w:jc w:val="center"/>
              <w:rPr>
                <w:color w:val="FF0000"/>
                <w:sz w:val="22"/>
                <w:szCs w:val="22"/>
                <w:lang w:val="ru-RU"/>
              </w:rPr>
            </w:pPr>
          </w:p>
          <w:p w:rsidR="002F268E" w:rsidRPr="00E82AA9" w:rsidRDefault="002F268E" w:rsidP="002F268E">
            <w:pPr>
              <w:tabs>
                <w:tab w:val="left" w:pos="8222"/>
              </w:tabs>
              <w:ind w:right="-8"/>
              <w:jc w:val="center"/>
              <w:rPr>
                <w:color w:val="FF0000"/>
                <w:sz w:val="22"/>
                <w:szCs w:val="22"/>
              </w:rPr>
            </w:pPr>
          </w:p>
          <w:p w:rsidR="002F268E" w:rsidRPr="00E82AA9" w:rsidRDefault="002F268E" w:rsidP="002F268E">
            <w:pPr>
              <w:tabs>
                <w:tab w:val="left" w:pos="8222"/>
              </w:tabs>
              <w:ind w:right="-8"/>
              <w:jc w:val="center"/>
              <w:rPr>
                <w:color w:val="FF0000"/>
                <w:sz w:val="22"/>
                <w:szCs w:val="22"/>
              </w:rPr>
            </w:pPr>
          </w:p>
          <w:p w:rsidR="002F268E" w:rsidRPr="00E82AA9" w:rsidRDefault="002F268E" w:rsidP="002F268E">
            <w:pPr>
              <w:tabs>
                <w:tab w:val="left" w:pos="8222"/>
              </w:tabs>
              <w:ind w:right="-8"/>
              <w:jc w:val="center"/>
              <w:rPr>
                <w:color w:val="FF0000"/>
                <w:sz w:val="22"/>
                <w:szCs w:val="22"/>
              </w:rPr>
            </w:pPr>
          </w:p>
          <w:p w:rsidR="002F268E" w:rsidRPr="00E82AA9" w:rsidRDefault="002F268E" w:rsidP="002F268E">
            <w:pPr>
              <w:tabs>
                <w:tab w:val="left" w:pos="8222"/>
              </w:tabs>
              <w:autoSpaceDE w:val="0"/>
              <w:autoSpaceDN w:val="0"/>
              <w:adjustRightInd w:val="0"/>
              <w:ind w:right="-8"/>
              <w:jc w:val="center"/>
              <w:rPr>
                <w:b/>
                <w:bCs/>
                <w:sz w:val="22"/>
                <w:szCs w:val="22"/>
              </w:rPr>
            </w:pPr>
            <w:r w:rsidRPr="00E82AA9">
              <w:rPr>
                <w:b/>
                <w:bCs/>
                <w:sz w:val="22"/>
                <w:szCs w:val="22"/>
                <w:lang w:val="en-GB"/>
              </w:rPr>
              <w:sym w:font="Wingdings 3" w:char="F072"/>
            </w:r>
            <w:r w:rsidRPr="00E82AA9">
              <w:rPr>
                <w:b/>
                <w:bCs/>
                <w:sz w:val="22"/>
                <w:szCs w:val="22"/>
                <w:lang w:val="en-GB"/>
              </w:rPr>
              <w:t xml:space="preserve"> YMANA</w:t>
            </w:r>
            <w:r w:rsidRPr="00E82AA9">
              <w:rPr>
                <w:b/>
                <w:bCs/>
                <w:sz w:val="22"/>
                <w:szCs w:val="22"/>
                <w:vertAlign w:val="superscript"/>
                <w:lang w:val="en-GB"/>
              </w:rPr>
              <w:t>®</w:t>
            </w:r>
            <w:r w:rsidRPr="00E82AA9">
              <w:rPr>
                <w:bCs/>
                <w:sz w:val="22"/>
                <w:szCs w:val="22"/>
                <w:lang w:val="en-GB"/>
              </w:rPr>
              <w:t>,</w:t>
            </w:r>
            <w:r w:rsidRPr="00E82AA9">
              <w:rPr>
                <w:bCs/>
                <w:sz w:val="22"/>
                <w:szCs w:val="22"/>
                <w:lang w:val="sr-Cyrl-CS"/>
              </w:rPr>
              <w:t xml:space="preserve"> филм таблет</w:t>
            </w:r>
            <w:r w:rsidRPr="00E82AA9">
              <w:rPr>
                <w:bCs/>
                <w:sz w:val="22"/>
                <w:szCs w:val="22"/>
                <w:lang w:val="mk-MK"/>
              </w:rPr>
              <w:t>а</w:t>
            </w:r>
            <w:r w:rsidRPr="00E82AA9">
              <w:rPr>
                <w:bCs/>
                <w:sz w:val="22"/>
                <w:szCs w:val="22"/>
                <w:lang w:val="sr-Cyrl-CS"/>
              </w:rPr>
              <w:t>,</w:t>
            </w:r>
            <w:r w:rsidRPr="00E82AA9">
              <w:rPr>
                <w:bCs/>
                <w:sz w:val="22"/>
                <w:szCs w:val="22"/>
                <w:lang w:val="en-GB"/>
              </w:rPr>
              <w:t xml:space="preserve"> 5 mg</w:t>
            </w:r>
            <w:r w:rsidRPr="00E82AA9">
              <w:rPr>
                <w:bCs/>
                <w:sz w:val="22"/>
                <w:szCs w:val="22"/>
                <w:lang w:val="sr-Cyrl-CS"/>
              </w:rPr>
              <w:t xml:space="preserve">, блистер, </w:t>
            </w:r>
            <w:r w:rsidRPr="00E82AA9">
              <w:rPr>
                <w:bCs/>
                <w:sz w:val="22"/>
                <w:szCs w:val="22"/>
              </w:rPr>
              <w:t xml:space="preserve">1 x 7 </w:t>
            </w:r>
            <w:r w:rsidRPr="00E82AA9">
              <w:rPr>
                <w:bCs/>
                <w:sz w:val="22"/>
                <w:szCs w:val="22"/>
                <w:lang w:val="mk-MK"/>
              </w:rPr>
              <w:t xml:space="preserve">филм </w:t>
            </w:r>
            <w:r w:rsidRPr="00E82AA9">
              <w:rPr>
                <w:bCs/>
                <w:sz w:val="22"/>
                <w:szCs w:val="22"/>
                <w:lang w:val="sr-Cyrl-CS"/>
              </w:rPr>
              <w:t>таблета</w:t>
            </w:r>
          </w:p>
          <w:p w:rsidR="002F268E" w:rsidRPr="00E82AA9" w:rsidRDefault="002F268E" w:rsidP="002F268E">
            <w:pPr>
              <w:tabs>
                <w:tab w:val="left" w:pos="8222"/>
              </w:tabs>
              <w:autoSpaceDE w:val="0"/>
              <w:autoSpaceDN w:val="0"/>
              <w:adjustRightInd w:val="0"/>
              <w:ind w:right="-8"/>
              <w:jc w:val="center"/>
              <w:rPr>
                <w:b/>
                <w:bCs/>
                <w:sz w:val="22"/>
                <w:szCs w:val="22"/>
                <w:lang w:val="sr-Cyrl-CS"/>
              </w:rPr>
            </w:pPr>
            <w:r w:rsidRPr="00E82AA9">
              <w:rPr>
                <w:b/>
                <w:bCs/>
                <w:sz w:val="22"/>
                <w:szCs w:val="22"/>
                <w:lang w:val="en-GB"/>
              </w:rPr>
              <w:sym w:font="Wingdings 3" w:char="F072"/>
            </w:r>
            <w:r w:rsidRPr="00E82AA9">
              <w:rPr>
                <w:b/>
                <w:bCs/>
                <w:sz w:val="22"/>
                <w:szCs w:val="22"/>
                <w:lang w:val="en-GB"/>
              </w:rPr>
              <w:t>YMANA</w:t>
            </w:r>
            <w:r w:rsidRPr="00E82AA9">
              <w:rPr>
                <w:b/>
                <w:bCs/>
                <w:sz w:val="22"/>
                <w:szCs w:val="22"/>
                <w:vertAlign w:val="superscript"/>
                <w:lang w:val="en-GB"/>
              </w:rPr>
              <w:t>®</w:t>
            </w:r>
            <w:r w:rsidRPr="00E82AA9">
              <w:rPr>
                <w:bCs/>
                <w:sz w:val="22"/>
                <w:szCs w:val="22"/>
                <w:lang w:val="ru-RU"/>
              </w:rPr>
              <w:t xml:space="preserve">, филм таблета, 10 </w:t>
            </w:r>
            <w:r w:rsidRPr="00E82AA9">
              <w:rPr>
                <w:bCs/>
                <w:sz w:val="22"/>
                <w:szCs w:val="22"/>
                <w:lang w:val="en-GB"/>
              </w:rPr>
              <w:t>mg</w:t>
            </w:r>
            <w:r w:rsidRPr="00E82AA9">
              <w:rPr>
                <w:bCs/>
                <w:sz w:val="22"/>
                <w:szCs w:val="22"/>
                <w:lang w:val="sr-Cyrl-CS"/>
              </w:rPr>
              <w:t xml:space="preserve">, блистер, </w:t>
            </w:r>
            <w:r w:rsidRPr="00E82AA9">
              <w:rPr>
                <w:bCs/>
                <w:sz w:val="22"/>
                <w:szCs w:val="22"/>
              </w:rPr>
              <w:t>1 x</w:t>
            </w:r>
            <w:r w:rsidRPr="00E82AA9">
              <w:rPr>
                <w:bCs/>
                <w:sz w:val="22"/>
                <w:szCs w:val="22"/>
                <w:lang w:val="ru-RU"/>
              </w:rPr>
              <w:t xml:space="preserve"> 7</w:t>
            </w:r>
            <w:r w:rsidRPr="00E82AA9">
              <w:rPr>
                <w:bCs/>
                <w:sz w:val="22"/>
                <w:szCs w:val="22"/>
              </w:rPr>
              <w:t xml:space="preserve"> </w:t>
            </w:r>
            <w:r w:rsidRPr="00E82AA9">
              <w:rPr>
                <w:bCs/>
                <w:sz w:val="22"/>
                <w:szCs w:val="22"/>
                <w:lang w:val="mk-MK"/>
              </w:rPr>
              <w:t xml:space="preserve">филм </w:t>
            </w:r>
            <w:r w:rsidRPr="00E82AA9">
              <w:rPr>
                <w:bCs/>
                <w:sz w:val="22"/>
                <w:szCs w:val="22"/>
                <w:lang w:val="sr-Cyrl-CS"/>
              </w:rPr>
              <w:t>таблета</w:t>
            </w:r>
          </w:p>
          <w:p w:rsidR="002F268E" w:rsidRPr="00E82AA9" w:rsidRDefault="002F268E" w:rsidP="002F268E">
            <w:pPr>
              <w:tabs>
                <w:tab w:val="left" w:pos="8222"/>
              </w:tabs>
              <w:autoSpaceDE w:val="0"/>
              <w:autoSpaceDN w:val="0"/>
              <w:adjustRightInd w:val="0"/>
              <w:ind w:right="-8"/>
              <w:jc w:val="center"/>
              <w:rPr>
                <w:b/>
                <w:bCs/>
                <w:sz w:val="22"/>
                <w:szCs w:val="22"/>
                <w:lang w:val="ru-RU"/>
              </w:rPr>
            </w:pPr>
            <w:r w:rsidRPr="00E82AA9">
              <w:rPr>
                <w:b/>
                <w:bCs/>
                <w:sz w:val="22"/>
                <w:szCs w:val="22"/>
                <w:lang w:val="en-GB"/>
              </w:rPr>
              <w:sym w:font="Wingdings 3" w:char="F072"/>
            </w:r>
            <w:r w:rsidRPr="00E82AA9">
              <w:rPr>
                <w:b/>
                <w:bCs/>
                <w:sz w:val="22"/>
                <w:szCs w:val="22"/>
                <w:lang w:val="en-GB"/>
              </w:rPr>
              <w:t>YMANA</w:t>
            </w:r>
            <w:r w:rsidRPr="00E82AA9">
              <w:rPr>
                <w:b/>
                <w:bCs/>
                <w:sz w:val="22"/>
                <w:szCs w:val="22"/>
                <w:vertAlign w:val="superscript"/>
                <w:lang w:val="sr-Cyrl-CS"/>
              </w:rPr>
              <w:t>®</w:t>
            </w:r>
            <w:r w:rsidRPr="00E82AA9">
              <w:rPr>
                <w:bCs/>
                <w:sz w:val="22"/>
                <w:szCs w:val="22"/>
                <w:lang w:val="ru-RU"/>
              </w:rPr>
              <w:t xml:space="preserve">, филм таблета, 10 </w:t>
            </w:r>
            <w:r w:rsidRPr="00E82AA9">
              <w:rPr>
                <w:bCs/>
                <w:sz w:val="22"/>
                <w:szCs w:val="22"/>
                <w:lang w:val="en-GB"/>
              </w:rPr>
              <w:t>mg</w:t>
            </w:r>
            <w:r w:rsidRPr="00E82AA9">
              <w:rPr>
                <w:bCs/>
                <w:sz w:val="22"/>
                <w:szCs w:val="22"/>
                <w:lang w:val="sr-Cyrl-CS"/>
              </w:rPr>
              <w:t xml:space="preserve">, блистер, 4 </w:t>
            </w:r>
            <w:r w:rsidRPr="00E82AA9">
              <w:rPr>
                <w:bCs/>
                <w:sz w:val="22"/>
                <w:szCs w:val="22"/>
              </w:rPr>
              <w:t>x</w:t>
            </w:r>
            <w:r w:rsidRPr="00E82AA9">
              <w:rPr>
                <w:bCs/>
                <w:sz w:val="22"/>
                <w:szCs w:val="22"/>
                <w:lang w:val="ru-RU"/>
              </w:rPr>
              <w:t xml:space="preserve"> 7 </w:t>
            </w:r>
            <w:r w:rsidRPr="00E82AA9">
              <w:rPr>
                <w:bCs/>
                <w:sz w:val="22"/>
                <w:szCs w:val="22"/>
                <w:lang w:val="mk-MK"/>
              </w:rPr>
              <w:t xml:space="preserve">филм </w:t>
            </w:r>
            <w:r w:rsidRPr="00E82AA9">
              <w:rPr>
                <w:bCs/>
                <w:sz w:val="22"/>
                <w:szCs w:val="22"/>
                <w:lang w:val="sr-Cyrl-CS"/>
              </w:rPr>
              <w:t>таблета</w:t>
            </w:r>
          </w:p>
          <w:p w:rsidR="002F268E" w:rsidRPr="00E82AA9" w:rsidRDefault="002F268E" w:rsidP="002F268E">
            <w:pPr>
              <w:tabs>
                <w:tab w:val="left" w:pos="8222"/>
              </w:tabs>
              <w:autoSpaceDE w:val="0"/>
              <w:autoSpaceDN w:val="0"/>
              <w:adjustRightInd w:val="0"/>
              <w:ind w:right="-8"/>
              <w:jc w:val="center"/>
              <w:rPr>
                <w:b/>
                <w:bCs/>
                <w:sz w:val="22"/>
                <w:szCs w:val="22"/>
                <w:lang w:val="ru-RU"/>
              </w:rPr>
            </w:pPr>
            <w:r w:rsidRPr="00E82AA9">
              <w:rPr>
                <w:b/>
                <w:bCs/>
                <w:sz w:val="22"/>
                <w:szCs w:val="22"/>
                <w:lang w:val="en-GB"/>
              </w:rPr>
              <w:sym w:font="Wingdings 3" w:char="F072"/>
            </w:r>
            <w:r w:rsidRPr="00E82AA9">
              <w:rPr>
                <w:b/>
                <w:bCs/>
                <w:sz w:val="22"/>
                <w:szCs w:val="22"/>
                <w:lang w:val="en-GB"/>
              </w:rPr>
              <w:t>YMANA</w:t>
            </w:r>
            <w:r w:rsidRPr="00E82AA9">
              <w:rPr>
                <w:b/>
                <w:bCs/>
                <w:sz w:val="22"/>
                <w:szCs w:val="22"/>
                <w:vertAlign w:val="superscript"/>
                <w:lang w:val="ru-RU"/>
              </w:rPr>
              <w:t>®</w:t>
            </w:r>
            <w:r w:rsidRPr="00E82AA9">
              <w:rPr>
                <w:bCs/>
                <w:sz w:val="22"/>
                <w:szCs w:val="22"/>
                <w:lang w:val="ru-RU"/>
              </w:rPr>
              <w:t xml:space="preserve">, филм таблета, 15 </w:t>
            </w:r>
            <w:r w:rsidRPr="00E82AA9">
              <w:rPr>
                <w:bCs/>
                <w:sz w:val="22"/>
                <w:szCs w:val="22"/>
                <w:lang w:val="en-GB"/>
              </w:rPr>
              <w:t>mg</w:t>
            </w:r>
            <w:r w:rsidRPr="00E82AA9">
              <w:rPr>
                <w:bCs/>
                <w:sz w:val="22"/>
                <w:szCs w:val="22"/>
                <w:lang w:val="sr-Cyrl-CS"/>
              </w:rPr>
              <w:t xml:space="preserve">, блистер, </w:t>
            </w:r>
            <w:r w:rsidRPr="00E82AA9">
              <w:rPr>
                <w:bCs/>
                <w:sz w:val="22"/>
                <w:szCs w:val="22"/>
                <w:lang w:val="ru-RU"/>
              </w:rPr>
              <w:t xml:space="preserve">1 </w:t>
            </w:r>
            <w:r w:rsidRPr="00E82AA9">
              <w:rPr>
                <w:bCs/>
                <w:sz w:val="22"/>
                <w:szCs w:val="22"/>
              </w:rPr>
              <w:t>x</w:t>
            </w:r>
            <w:r w:rsidRPr="00E82AA9">
              <w:rPr>
                <w:bCs/>
                <w:sz w:val="22"/>
                <w:szCs w:val="22"/>
                <w:lang w:val="ru-RU"/>
              </w:rPr>
              <w:t xml:space="preserve"> 7 </w:t>
            </w:r>
            <w:r w:rsidRPr="00E82AA9">
              <w:rPr>
                <w:bCs/>
                <w:sz w:val="22"/>
                <w:szCs w:val="22"/>
                <w:lang w:val="mk-MK"/>
              </w:rPr>
              <w:t xml:space="preserve">филм </w:t>
            </w:r>
            <w:r w:rsidRPr="00E82AA9">
              <w:rPr>
                <w:bCs/>
                <w:sz w:val="22"/>
                <w:szCs w:val="22"/>
                <w:lang w:val="sr-Cyrl-CS"/>
              </w:rPr>
              <w:t>таблета</w:t>
            </w:r>
          </w:p>
          <w:p w:rsidR="002F268E" w:rsidRPr="00E82AA9" w:rsidRDefault="002F268E" w:rsidP="002F268E">
            <w:pPr>
              <w:tabs>
                <w:tab w:val="left" w:pos="8222"/>
              </w:tabs>
              <w:autoSpaceDE w:val="0"/>
              <w:autoSpaceDN w:val="0"/>
              <w:adjustRightInd w:val="0"/>
              <w:ind w:right="-8"/>
              <w:jc w:val="center"/>
              <w:rPr>
                <w:b/>
                <w:bCs/>
                <w:sz w:val="22"/>
                <w:szCs w:val="22"/>
                <w:lang w:val="ru-RU"/>
              </w:rPr>
            </w:pPr>
            <w:r w:rsidRPr="00E82AA9">
              <w:rPr>
                <w:b/>
                <w:bCs/>
                <w:sz w:val="22"/>
                <w:szCs w:val="22"/>
                <w:lang w:val="en-GB"/>
              </w:rPr>
              <w:sym w:font="Wingdings 3" w:char="F072"/>
            </w:r>
            <w:r w:rsidRPr="00E82AA9">
              <w:rPr>
                <w:b/>
                <w:bCs/>
                <w:sz w:val="22"/>
                <w:szCs w:val="22"/>
                <w:lang w:val="en-GB"/>
              </w:rPr>
              <w:t>YMANA</w:t>
            </w:r>
            <w:r w:rsidRPr="00E82AA9">
              <w:rPr>
                <w:b/>
                <w:bCs/>
                <w:sz w:val="22"/>
                <w:szCs w:val="22"/>
                <w:vertAlign w:val="superscript"/>
                <w:lang w:val="ru-RU"/>
              </w:rPr>
              <w:t>®</w:t>
            </w:r>
            <w:r w:rsidRPr="00E82AA9">
              <w:rPr>
                <w:bCs/>
                <w:sz w:val="22"/>
                <w:szCs w:val="22"/>
                <w:lang w:val="ru-RU"/>
              </w:rPr>
              <w:t xml:space="preserve">, филм таблета, 20 </w:t>
            </w:r>
            <w:r w:rsidRPr="00E82AA9">
              <w:rPr>
                <w:bCs/>
                <w:sz w:val="22"/>
                <w:szCs w:val="22"/>
                <w:lang w:val="en-GB"/>
              </w:rPr>
              <w:t>mg</w:t>
            </w:r>
            <w:r w:rsidRPr="00E82AA9">
              <w:rPr>
                <w:bCs/>
                <w:sz w:val="22"/>
                <w:szCs w:val="22"/>
                <w:lang w:val="sr-Cyrl-CS"/>
              </w:rPr>
              <w:t xml:space="preserve">, блистер, </w:t>
            </w:r>
            <w:r w:rsidRPr="00E82AA9">
              <w:rPr>
                <w:bCs/>
                <w:sz w:val="22"/>
                <w:szCs w:val="22"/>
                <w:lang w:val="ru-RU"/>
              </w:rPr>
              <w:t xml:space="preserve">1 </w:t>
            </w:r>
            <w:r w:rsidRPr="00E82AA9">
              <w:rPr>
                <w:bCs/>
                <w:sz w:val="22"/>
                <w:szCs w:val="22"/>
              </w:rPr>
              <w:t>x</w:t>
            </w:r>
            <w:r w:rsidRPr="00E82AA9">
              <w:rPr>
                <w:bCs/>
                <w:sz w:val="22"/>
                <w:szCs w:val="22"/>
                <w:lang w:val="ru-RU"/>
              </w:rPr>
              <w:t xml:space="preserve"> 7 </w:t>
            </w:r>
            <w:r w:rsidRPr="00E82AA9">
              <w:rPr>
                <w:bCs/>
                <w:sz w:val="22"/>
                <w:szCs w:val="22"/>
                <w:lang w:val="mk-MK"/>
              </w:rPr>
              <w:t xml:space="preserve">филм </w:t>
            </w:r>
            <w:r w:rsidRPr="00E82AA9">
              <w:rPr>
                <w:bCs/>
                <w:sz w:val="22"/>
                <w:szCs w:val="22"/>
                <w:lang w:val="sr-Cyrl-CS"/>
              </w:rPr>
              <w:t>таблета</w:t>
            </w:r>
          </w:p>
          <w:p w:rsidR="002F268E" w:rsidRPr="00E82AA9" w:rsidRDefault="002F268E" w:rsidP="002F268E">
            <w:pPr>
              <w:tabs>
                <w:tab w:val="left" w:pos="8222"/>
              </w:tabs>
              <w:ind w:right="-8"/>
              <w:jc w:val="center"/>
              <w:rPr>
                <w:b/>
                <w:color w:val="FF0000"/>
                <w:sz w:val="22"/>
                <w:szCs w:val="22"/>
                <w:lang w:val="mk-MK"/>
              </w:rPr>
            </w:pPr>
          </w:p>
          <w:p w:rsidR="002F268E" w:rsidRPr="00E82AA9" w:rsidRDefault="002F268E" w:rsidP="002F268E">
            <w:pPr>
              <w:tabs>
                <w:tab w:val="left" w:pos="8222"/>
              </w:tabs>
              <w:spacing w:after="40"/>
              <w:ind w:right="-8"/>
              <w:rPr>
                <w:b/>
                <w:bCs/>
                <w:color w:val="FF0000"/>
                <w:sz w:val="22"/>
                <w:szCs w:val="22"/>
                <w:u w:val="single"/>
              </w:rPr>
            </w:pPr>
          </w:p>
        </w:tc>
      </w:tr>
      <w:tr w:rsidR="002F268E" w:rsidRPr="00E82AA9" w:rsidTr="00177DE7">
        <w:trPr>
          <w:trHeight w:val="1225"/>
          <w:jc w:val="center"/>
        </w:trPr>
        <w:tc>
          <w:tcPr>
            <w:tcW w:w="9360" w:type="dxa"/>
            <w:gridSpan w:val="2"/>
          </w:tcPr>
          <w:p w:rsidR="002F268E" w:rsidRPr="00E82AA9" w:rsidRDefault="002F268E" w:rsidP="002F268E">
            <w:pPr>
              <w:pStyle w:val="Heading2"/>
              <w:tabs>
                <w:tab w:val="left" w:pos="8222"/>
              </w:tabs>
              <w:ind w:right="-8"/>
              <w:rPr>
                <w:rFonts w:ascii="Times New Roman" w:hAnsi="Times New Roman" w:cs="Times New Roman"/>
                <w:color w:val="FF0000"/>
                <w:sz w:val="22"/>
                <w:szCs w:val="22"/>
              </w:rPr>
            </w:pPr>
          </w:p>
        </w:tc>
      </w:tr>
      <w:tr w:rsidR="002F268E" w:rsidRPr="00E82AA9" w:rsidTr="00177DE7">
        <w:trPr>
          <w:jc w:val="center"/>
        </w:trPr>
        <w:tc>
          <w:tcPr>
            <w:tcW w:w="2271" w:type="dxa"/>
            <w:vAlign w:val="bottom"/>
          </w:tcPr>
          <w:p w:rsidR="002F268E" w:rsidRPr="00E82AA9" w:rsidRDefault="002F268E" w:rsidP="002F268E">
            <w:pPr>
              <w:tabs>
                <w:tab w:val="left" w:pos="8222"/>
              </w:tabs>
              <w:spacing w:before="200"/>
              <w:ind w:right="-8"/>
              <w:jc w:val="right"/>
              <w:rPr>
                <w:sz w:val="22"/>
                <w:szCs w:val="22"/>
              </w:rPr>
            </w:pPr>
            <w:r w:rsidRPr="00E82AA9">
              <w:rPr>
                <w:sz w:val="22"/>
                <w:szCs w:val="22"/>
              </w:rPr>
              <w:t>Произвођач:</w:t>
            </w:r>
          </w:p>
        </w:tc>
        <w:tc>
          <w:tcPr>
            <w:tcW w:w="7089" w:type="dxa"/>
          </w:tcPr>
          <w:p w:rsidR="002F268E" w:rsidRPr="00E82AA9" w:rsidRDefault="002F268E" w:rsidP="002F268E">
            <w:pPr>
              <w:tabs>
                <w:tab w:val="left" w:pos="8222"/>
              </w:tabs>
              <w:spacing w:before="200"/>
              <w:ind w:right="-8" w:hanging="72"/>
              <w:rPr>
                <w:b/>
                <w:bCs/>
                <w:sz w:val="22"/>
                <w:szCs w:val="22"/>
                <w:lang w:val="ru-RU"/>
              </w:rPr>
            </w:pPr>
            <w:r w:rsidRPr="00E82AA9">
              <w:rPr>
                <w:b/>
                <w:bCs/>
                <w:sz w:val="22"/>
                <w:szCs w:val="22"/>
                <w:lang w:val="sr-Cyrl-CS"/>
              </w:rPr>
              <w:t>АЛКАЛОИД АД Скопје</w:t>
            </w:r>
          </w:p>
        </w:tc>
      </w:tr>
      <w:tr w:rsidR="002F268E" w:rsidRPr="00E82AA9" w:rsidTr="00177DE7">
        <w:trPr>
          <w:jc w:val="center"/>
        </w:trPr>
        <w:tc>
          <w:tcPr>
            <w:tcW w:w="2271" w:type="dxa"/>
            <w:vAlign w:val="bottom"/>
          </w:tcPr>
          <w:p w:rsidR="002F268E" w:rsidRPr="00E82AA9" w:rsidRDefault="002F268E" w:rsidP="002F268E">
            <w:pPr>
              <w:tabs>
                <w:tab w:val="left" w:pos="8222"/>
              </w:tabs>
              <w:spacing w:before="200"/>
              <w:ind w:right="-8"/>
              <w:jc w:val="right"/>
              <w:rPr>
                <w:sz w:val="22"/>
                <w:szCs w:val="22"/>
              </w:rPr>
            </w:pPr>
            <w:r w:rsidRPr="00E82AA9">
              <w:rPr>
                <w:sz w:val="22"/>
                <w:szCs w:val="22"/>
              </w:rPr>
              <w:t>Адреса:</w:t>
            </w:r>
          </w:p>
        </w:tc>
        <w:tc>
          <w:tcPr>
            <w:tcW w:w="7089" w:type="dxa"/>
            <w:vAlign w:val="bottom"/>
          </w:tcPr>
          <w:p w:rsidR="002F268E" w:rsidRPr="00E82AA9" w:rsidRDefault="002F268E" w:rsidP="002F268E">
            <w:pPr>
              <w:tabs>
                <w:tab w:val="left" w:pos="720"/>
                <w:tab w:val="left" w:pos="8222"/>
              </w:tabs>
              <w:spacing w:before="200"/>
              <w:ind w:right="-8" w:hanging="72"/>
              <w:rPr>
                <w:b/>
                <w:bCs/>
                <w:sz w:val="22"/>
                <w:szCs w:val="22"/>
                <w:lang w:val="sr-Cyrl-CS"/>
              </w:rPr>
            </w:pPr>
            <w:r w:rsidRPr="00E82AA9">
              <w:rPr>
                <w:b/>
                <w:bCs/>
                <w:sz w:val="22"/>
                <w:szCs w:val="22"/>
                <w:lang w:val="sr-Cyrl-CS"/>
              </w:rPr>
              <w:t>Бул</w:t>
            </w:r>
            <w:r w:rsidRPr="00E82AA9">
              <w:rPr>
                <w:b/>
                <w:bCs/>
                <w:sz w:val="22"/>
                <w:szCs w:val="22"/>
                <w:lang w:val="sr-Cyrl-RS"/>
              </w:rPr>
              <w:t>евар</w:t>
            </w:r>
            <w:r w:rsidRPr="00E82AA9">
              <w:rPr>
                <w:b/>
                <w:bCs/>
                <w:sz w:val="22"/>
                <w:szCs w:val="22"/>
                <w:lang w:val="sr-Cyrl-CS"/>
              </w:rPr>
              <w:t xml:space="preserve"> Александар Македонски 12, 1000 Скопље</w:t>
            </w:r>
            <w:r w:rsidRPr="00E82AA9">
              <w:rPr>
                <w:b/>
                <w:bCs/>
                <w:sz w:val="22"/>
                <w:szCs w:val="22"/>
              </w:rPr>
              <w:t xml:space="preserve">, </w:t>
            </w:r>
            <w:r w:rsidRPr="00E82AA9">
              <w:rPr>
                <w:b/>
                <w:bCs/>
                <w:sz w:val="22"/>
                <w:szCs w:val="22"/>
                <w:lang w:val="sr-Cyrl-CS"/>
              </w:rPr>
              <w:t>Македонија</w:t>
            </w:r>
          </w:p>
        </w:tc>
      </w:tr>
      <w:tr w:rsidR="002F268E" w:rsidRPr="00E82AA9" w:rsidTr="00177DE7">
        <w:trPr>
          <w:jc w:val="center"/>
        </w:trPr>
        <w:tc>
          <w:tcPr>
            <w:tcW w:w="2271" w:type="dxa"/>
            <w:vAlign w:val="bottom"/>
          </w:tcPr>
          <w:p w:rsidR="002F268E" w:rsidRPr="00E82AA9" w:rsidRDefault="002F268E" w:rsidP="002F268E">
            <w:pPr>
              <w:tabs>
                <w:tab w:val="left" w:pos="8222"/>
              </w:tabs>
              <w:spacing w:before="200"/>
              <w:ind w:right="-8"/>
              <w:jc w:val="right"/>
              <w:rPr>
                <w:sz w:val="22"/>
                <w:szCs w:val="22"/>
              </w:rPr>
            </w:pPr>
            <w:r w:rsidRPr="00E82AA9">
              <w:rPr>
                <w:sz w:val="22"/>
                <w:szCs w:val="22"/>
              </w:rPr>
              <w:t>Подносилац захтjева:</w:t>
            </w:r>
          </w:p>
        </w:tc>
        <w:tc>
          <w:tcPr>
            <w:tcW w:w="7089" w:type="dxa"/>
            <w:vAlign w:val="bottom"/>
          </w:tcPr>
          <w:p w:rsidR="002F268E" w:rsidRPr="00E82AA9" w:rsidRDefault="002F268E" w:rsidP="002F268E">
            <w:pPr>
              <w:tabs>
                <w:tab w:val="left" w:pos="8222"/>
              </w:tabs>
              <w:ind w:right="-8" w:hanging="72"/>
              <w:rPr>
                <w:b/>
                <w:bCs/>
                <w:sz w:val="22"/>
                <w:szCs w:val="22"/>
                <w:lang w:val="ru-RU"/>
              </w:rPr>
            </w:pPr>
            <w:r w:rsidRPr="00E82AA9">
              <w:rPr>
                <w:b/>
                <w:bCs/>
                <w:sz w:val="22"/>
                <w:szCs w:val="22"/>
                <w:lang w:val="sr-Cyrl-CS"/>
              </w:rPr>
              <w:t>АЛКАЛОИД д.о.о. Подгорица</w:t>
            </w:r>
          </w:p>
        </w:tc>
      </w:tr>
      <w:tr w:rsidR="002F268E" w:rsidRPr="00E82AA9" w:rsidTr="00177DE7">
        <w:trPr>
          <w:trHeight w:val="80"/>
          <w:jc w:val="center"/>
        </w:trPr>
        <w:tc>
          <w:tcPr>
            <w:tcW w:w="2271" w:type="dxa"/>
            <w:vAlign w:val="bottom"/>
          </w:tcPr>
          <w:p w:rsidR="002F268E" w:rsidRPr="00E82AA9" w:rsidRDefault="002F268E" w:rsidP="002F268E">
            <w:pPr>
              <w:tabs>
                <w:tab w:val="left" w:pos="8222"/>
              </w:tabs>
              <w:spacing w:before="200"/>
              <w:ind w:right="-8"/>
              <w:jc w:val="right"/>
              <w:rPr>
                <w:sz w:val="22"/>
                <w:szCs w:val="22"/>
              </w:rPr>
            </w:pPr>
            <w:r w:rsidRPr="00E82AA9">
              <w:rPr>
                <w:sz w:val="22"/>
                <w:szCs w:val="22"/>
              </w:rPr>
              <w:t>Адреса:</w:t>
            </w:r>
          </w:p>
        </w:tc>
        <w:tc>
          <w:tcPr>
            <w:tcW w:w="7089" w:type="dxa"/>
          </w:tcPr>
          <w:p w:rsidR="002F268E" w:rsidRPr="00E82AA9" w:rsidRDefault="002F268E" w:rsidP="002F268E">
            <w:pPr>
              <w:tabs>
                <w:tab w:val="left" w:pos="720"/>
                <w:tab w:val="left" w:pos="8222"/>
              </w:tabs>
              <w:spacing w:before="200"/>
              <w:ind w:right="-8"/>
              <w:rPr>
                <w:b/>
                <w:bCs/>
                <w:sz w:val="22"/>
                <w:szCs w:val="22"/>
                <w:lang w:val="sr-Cyrl-CS"/>
              </w:rPr>
            </w:pPr>
            <w:r w:rsidRPr="00E82AA9">
              <w:rPr>
                <w:b/>
                <w:bCs/>
                <w:sz w:val="22"/>
                <w:szCs w:val="22"/>
                <w:lang w:val="sr-Cyrl-CS"/>
              </w:rPr>
              <w:t>ул. Светлане Кане Радевић бр. 3/</w:t>
            </w:r>
            <w:r w:rsidRPr="00E82AA9">
              <w:rPr>
                <w:b/>
                <w:bCs/>
                <w:sz w:val="22"/>
                <w:szCs w:val="22"/>
              </w:rPr>
              <w:t xml:space="preserve">V, </w:t>
            </w:r>
            <w:r w:rsidRPr="00E82AA9">
              <w:rPr>
                <w:b/>
                <w:bCs/>
                <w:sz w:val="22"/>
                <w:szCs w:val="22"/>
                <w:lang w:val="sr-Cyrl-CS"/>
              </w:rPr>
              <w:t>81 000 Подгорица, Црна Гора</w:t>
            </w:r>
          </w:p>
        </w:tc>
      </w:tr>
    </w:tbl>
    <w:p w:rsidR="002F268E" w:rsidRPr="00E82AA9" w:rsidRDefault="002F268E" w:rsidP="002F268E">
      <w:pPr>
        <w:pStyle w:val="Header"/>
        <w:tabs>
          <w:tab w:val="left" w:pos="284"/>
          <w:tab w:val="left" w:pos="8222"/>
        </w:tabs>
        <w:ind w:right="-8"/>
        <w:rPr>
          <w:color w:val="FF0000"/>
          <w:sz w:val="22"/>
          <w:szCs w:val="22"/>
          <w:lang w:val="ru-RU"/>
        </w:rPr>
      </w:pPr>
    </w:p>
    <w:p w:rsidR="002F268E" w:rsidRPr="00E82AA9" w:rsidRDefault="002F268E" w:rsidP="002F268E">
      <w:pPr>
        <w:pStyle w:val="Header"/>
        <w:tabs>
          <w:tab w:val="left" w:pos="284"/>
          <w:tab w:val="left" w:pos="8222"/>
        </w:tabs>
        <w:spacing w:before="400"/>
        <w:ind w:right="-8"/>
        <w:rPr>
          <w:color w:val="FF0000"/>
          <w:sz w:val="22"/>
          <w:szCs w:val="22"/>
          <w:lang w:val="ru-RU"/>
        </w:rPr>
      </w:pPr>
    </w:p>
    <w:p w:rsidR="002F268E" w:rsidRPr="00E82AA9" w:rsidRDefault="002F268E" w:rsidP="002F268E">
      <w:pPr>
        <w:pStyle w:val="Header"/>
        <w:tabs>
          <w:tab w:val="left" w:pos="284"/>
          <w:tab w:val="left" w:pos="8222"/>
        </w:tabs>
        <w:spacing w:before="400"/>
        <w:ind w:right="-8"/>
        <w:rPr>
          <w:color w:val="FF0000"/>
          <w:sz w:val="22"/>
          <w:szCs w:val="22"/>
          <w:lang w:val="ru-RU"/>
        </w:rPr>
      </w:pPr>
    </w:p>
    <w:p w:rsidR="002F268E" w:rsidRPr="00E82AA9" w:rsidRDefault="002F268E" w:rsidP="002F268E">
      <w:pPr>
        <w:pStyle w:val="Header"/>
        <w:tabs>
          <w:tab w:val="left" w:pos="284"/>
          <w:tab w:val="left" w:pos="8222"/>
        </w:tabs>
        <w:spacing w:before="400"/>
        <w:ind w:right="-8"/>
        <w:rPr>
          <w:color w:val="FF0000"/>
          <w:sz w:val="22"/>
          <w:szCs w:val="22"/>
          <w:lang w:val="ru-RU"/>
        </w:rPr>
      </w:pPr>
    </w:p>
    <w:p w:rsidR="002F268E" w:rsidRPr="00E82AA9" w:rsidRDefault="002F268E" w:rsidP="002F268E">
      <w:pPr>
        <w:pStyle w:val="Header"/>
        <w:tabs>
          <w:tab w:val="left" w:pos="284"/>
          <w:tab w:val="left" w:pos="8222"/>
        </w:tabs>
        <w:spacing w:before="400"/>
        <w:ind w:right="-8"/>
        <w:rPr>
          <w:color w:val="FF0000"/>
          <w:sz w:val="22"/>
          <w:szCs w:val="22"/>
          <w:lang w:val="ru-RU"/>
        </w:rPr>
      </w:pPr>
    </w:p>
    <w:tbl>
      <w:tblPr>
        <w:tblW w:w="9747" w:type="dxa"/>
        <w:tblLayout w:type="fixed"/>
        <w:tblLook w:val="0000" w:firstRow="0" w:lastRow="0" w:firstColumn="0" w:lastColumn="0" w:noHBand="0" w:noVBand="0"/>
      </w:tblPr>
      <w:tblGrid>
        <w:gridCol w:w="828"/>
        <w:gridCol w:w="360"/>
        <w:gridCol w:w="2039"/>
        <w:gridCol w:w="6520"/>
      </w:tblGrid>
      <w:tr w:rsidR="002F268E" w:rsidRPr="00E82AA9" w:rsidTr="002F268E">
        <w:trPr>
          <w:trHeight w:val="284"/>
        </w:trPr>
        <w:tc>
          <w:tcPr>
            <w:tcW w:w="9747" w:type="dxa"/>
            <w:gridSpan w:val="4"/>
            <w:shd w:val="clear" w:color="auto" w:fill="auto"/>
            <w:vAlign w:val="center"/>
          </w:tcPr>
          <w:p w:rsidR="002F268E" w:rsidRPr="00E82AA9" w:rsidRDefault="002F268E" w:rsidP="002F268E">
            <w:pPr>
              <w:pStyle w:val="Header"/>
              <w:tabs>
                <w:tab w:val="left" w:pos="284"/>
                <w:tab w:val="left" w:pos="8222"/>
              </w:tabs>
              <w:ind w:right="-108"/>
              <w:rPr>
                <w:b/>
                <w:bCs/>
                <w:color w:val="FF0000"/>
                <w:sz w:val="22"/>
                <w:szCs w:val="22"/>
                <w:lang w:val="sr-Latn-CS"/>
              </w:rPr>
            </w:pPr>
            <w:r w:rsidRPr="00E82AA9">
              <w:rPr>
                <w:b/>
                <w:bCs/>
                <w:sz w:val="22"/>
                <w:szCs w:val="22"/>
                <w:lang w:val="mk-MK"/>
              </w:rPr>
              <w:lastRenderedPageBreak/>
              <w:t xml:space="preserve">1. </w:t>
            </w:r>
            <w:r w:rsidRPr="00E82AA9">
              <w:rPr>
                <w:b/>
                <w:bCs/>
                <w:sz w:val="22"/>
                <w:szCs w:val="22"/>
              </w:rPr>
              <w:t xml:space="preserve">     </w:t>
            </w:r>
            <w:r w:rsidRPr="00E82AA9">
              <w:rPr>
                <w:b/>
                <w:bCs/>
                <w:sz w:val="22"/>
                <w:szCs w:val="22"/>
                <w:lang w:val="mk-MK"/>
              </w:rPr>
              <w:t>НАЗИВ</w:t>
            </w:r>
            <w:r w:rsidRPr="00E82AA9">
              <w:rPr>
                <w:b/>
                <w:bCs/>
                <w:sz w:val="22"/>
                <w:szCs w:val="22"/>
              </w:rPr>
              <w:t xml:space="preserve"> Л</w:t>
            </w:r>
            <w:r w:rsidRPr="00E82AA9">
              <w:rPr>
                <w:b/>
                <w:bCs/>
                <w:sz w:val="22"/>
                <w:szCs w:val="22"/>
                <w:lang w:val="mk-MK"/>
              </w:rPr>
              <w:t>ИЈ</w:t>
            </w:r>
            <w:r w:rsidRPr="00E82AA9">
              <w:rPr>
                <w:b/>
                <w:bCs/>
                <w:sz w:val="22"/>
                <w:szCs w:val="22"/>
              </w:rPr>
              <w:t>ЕКА</w:t>
            </w:r>
          </w:p>
        </w:tc>
      </w:tr>
      <w:tr w:rsidR="002F268E" w:rsidRPr="00E82AA9" w:rsidTr="002F268E">
        <w:trPr>
          <w:trHeight w:val="525"/>
        </w:trPr>
        <w:tc>
          <w:tcPr>
            <w:tcW w:w="9747" w:type="dxa"/>
            <w:gridSpan w:val="4"/>
            <w:vAlign w:val="center"/>
          </w:tcPr>
          <w:p w:rsidR="002F268E" w:rsidRPr="00E82AA9" w:rsidRDefault="002F268E" w:rsidP="00363398">
            <w:pPr>
              <w:tabs>
                <w:tab w:val="left" w:pos="8222"/>
              </w:tabs>
              <w:ind w:right="-108"/>
              <w:jc w:val="both"/>
              <w:rPr>
                <w:color w:val="FF0000"/>
                <w:sz w:val="22"/>
                <w:szCs w:val="22"/>
              </w:rPr>
            </w:pPr>
          </w:p>
          <w:p w:rsidR="002F268E" w:rsidRPr="00E82AA9" w:rsidRDefault="002F268E" w:rsidP="00363398">
            <w:pPr>
              <w:tabs>
                <w:tab w:val="left" w:pos="8222"/>
              </w:tabs>
              <w:autoSpaceDE w:val="0"/>
              <w:autoSpaceDN w:val="0"/>
              <w:adjustRightInd w:val="0"/>
              <w:ind w:right="-108"/>
              <w:jc w:val="both"/>
              <w:rPr>
                <w:sz w:val="22"/>
                <w:szCs w:val="22"/>
                <w:lang w:val="en-GB"/>
              </w:rPr>
            </w:pPr>
            <w:r w:rsidRPr="00E82AA9">
              <w:rPr>
                <w:bCs/>
                <w:sz w:val="22"/>
                <w:szCs w:val="22"/>
                <w:lang w:val="en-GB"/>
              </w:rPr>
              <w:sym w:font="Wingdings 3" w:char="F072"/>
            </w:r>
            <w:r w:rsidRPr="00E82AA9">
              <w:rPr>
                <w:sz w:val="22"/>
                <w:szCs w:val="22"/>
                <w:lang w:val="en-GB"/>
              </w:rPr>
              <w:t>YMANA</w:t>
            </w:r>
            <w:r w:rsidRPr="00E82AA9">
              <w:rPr>
                <w:b/>
                <w:bCs/>
                <w:sz w:val="22"/>
                <w:szCs w:val="22"/>
                <w:vertAlign w:val="superscript"/>
                <w:lang w:val="en-GB"/>
              </w:rPr>
              <w:t>®</w:t>
            </w:r>
            <w:r w:rsidRPr="00E82AA9">
              <w:rPr>
                <w:sz w:val="22"/>
                <w:szCs w:val="22"/>
                <w:lang w:val="en-GB"/>
              </w:rPr>
              <w:t xml:space="preserve"> 5 mg филм таблете</w:t>
            </w:r>
          </w:p>
          <w:p w:rsidR="002F268E" w:rsidRPr="00E82AA9" w:rsidRDefault="002F268E" w:rsidP="00363398">
            <w:pPr>
              <w:tabs>
                <w:tab w:val="left" w:pos="8222"/>
              </w:tabs>
              <w:autoSpaceDE w:val="0"/>
              <w:autoSpaceDN w:val="0"/>
              <w:adjustRightInd w:val="0"/>
              <w:ind w:right="-108"/>
              <w:jc w:val="both"/>
              <w:rPr>
                <w:sz w:val="22"/>
                <w:szCs w:val="22"/>
                <w:lang w:val="en-GB"/>
              </w:rPr>
            </w:pPr>
            <w:r w:rsidRPr="00E82AA9">
              <w:rPr>
                <w:bCs/>
                <w:sz w:val="22"/>
                <w:szCs w:val="22"/>
                <w:lang w:val="en-GB"/>
              </w:rPr>
              <w:sym w:font="Wingdings 3" w:char="F072"/>
            </w:r>
            <w:r w:rsidRPr="00E82AA9">
              <w:rPr>
                <w:sz w:val="22"/>
                <w:szCs w:val="22"/>
                <w:lang w:val="en-GB"/>
              </w:rPr>
              <w:t>YMANA</w:t>
            </w:r>
            <w:r w:rsidRPr="00E82AA9">
              <w:rPr>
                <w:b/>
                <w:bCs/>
                <w:sz w:val="22"/>
                <w:szCs w:val="22"/>
                <w:vertAlign w:val="superscript"/>
                <w:lang w:val="en-GB"/>
              </w:rPr>
              <w:t>®</w:t>
            </w:r>
            <w:r w:rsidRPr="00E82AA9">
              <w:rPr>
                <w:sz w:val="22"/>
                <w:szCs w:val="22"/>
                <w:lang w:val="en-GB"/>
              </w:rPr>
              <w:t xml:space="preserve"> 10 mg филм таблете</w:t>
            </w:r>
          </w:p>
          <w:p w:rsidR="002F268E" w:rsidRPr="00E82AA9" w:rsidRDefault="002F268E" w:rsidP="00363398">
            <w:pPr>
              <w:tabs>
                <w:tab w:val="left" w:pos="8222"/>
              </w:tabs>
              <w:autoSpaceDE w:val="0"/>
              <w:autoSpaceDN w:val="0"/>
              <w:adjustRightInd w:val="0"/>
              <w:ind w:right="-108"/>
              <w:jc w:val="both"/>
              <w:rPr>
                <w:sz w:val="22"/>
                <w:szCs w:val="22"/>
                <w:lang w:val="en-GB"/>
              </w:rPr>
            </w:pPr>
            <w:r w:rsidRPr="00E82AA9">
              <w:rPr>
                <w:bCs/>
                <w:sz w:val="22"/>
                <w:szCs w:val="22"/>
                <w:lang w:val="en-GB"/>
              </w:rPr>
              <w:sym w:font="Wingdings 3" w:char="F072"/>
            </w:r>
            <w:r w:rsidRPr="00E82AA9">
              <w:rPr>
                <w:sz w:val="22"/>
                <w:szCs w:val="22"/>
                <w:lang w:val="en-GB"/>
              </w:rPr>
              <w:t>YMANA</w:t>
            </w:r>
            <w:r w:rsidRPr="00E82AA9">
              <w:rPr>
                <w:b/>
                <w:bCs/>
                <w:sz w:val="22"/>
                <w:szCs w:val="22"/>
                <w:vertAlign w:val="superscript"/>
                <w:lang w:val="en-GB"/>
              </w:rPr>
              <w:t>®</w:t>
            </w:r>
            <w:r w:rsidRPr="00E82AA9">
              <w:rPr>
                <w:sz w:val="22"/>
                <w:szCs w:val="22"/>
                <w:lang w:val="en-GB"/>
              </w:rPr>
              <w:t xml:space="preserve"> 15 mg филм таблете</w:t>
            </w:r>
          </w:p>
          <w:p w:rsidR="002F268E" w:rsidRPr="00E82AA9" w:rsidRDefault="002F268E" w:rsidP="00363398">
            <w:pPr>
              <w:tabs>
                <w:tab w:val="left" w:pos="8222"/>
              </w:tabs>
              <w:autoSpaceDE w:val="0"/>
              <w:autoSpaceDN w:val="0"/>
              <w:adjustRightInd w:val="0"/>
              <w:ind w:right="-108"/>
              <w:jc w:val="both"/>
              <w:rPr>
                <w:sz w:val="22"/>
                <w:szCs w:val="22"/>
                <w:lang w:val="en-GB"/>
              </w:rPr>
            </w:pPr>
            <w:r w:rsidRPr="00E82AA9">
              <w:rPr>
                <w:bCs/>
                <w:sz w:val="22"/>
                <w:szCs w:val="22"/>
                <w:lang w:val="en-GB"/>
              </w:rPr>
              <w:sym w:font="Wingdings 3" w:char="F072"/>
            </w:r>
            <w:r w:rsidRPr="00E82AA9">
              <w:rPr>
                <w:sz w:val="22"/>
                <w:szCs w:val="22"/>
                <w:lang w:val="en-GB"/>
              </w:rPr>
              <w:t>YMANA</w:t>
            </w:r>
            <w:r w:rsidRPr="00E82AA9">
              <w:rPr>
                <w:b/>
                <w:bCs/>
                <w:sz w:val="22"/>
                <w:szCs w:val="22"/>
                <w:vertAlign w:val="superscript"/>
                <w:lang w:val="en-GB"/>
              </w:rPr>
              <w:t>®</w:t>
            </w:r>
            <w:r w:rsidRPr="00E82AA9">
              <w:rPr>
                <w:sz w:val="22"/>
                <w:szCs w:val="22"/>
                <w:lang w:val="en-GB"/>
              </w:rPr>
              <w:t xml:space="preserve"> 20 mg филм таблете</w:t>
            </w:r>
          </w:p>
          <w:p w:rsidR="002F268E" w:rsidRPr="00E82AA9" w:rsidRDefault="002F268E" w:rsidP="00363398">
            <w:pPr>
              <w:tabs>
                <w:tab w:val="left" w:pos="8222"/>
              </w:tabs>
              <w:ind w:right="-108"/>
              <w:jc w:val="both"/>
              <w:rPr>
                <w:color w:val="FF0000"/>
                <w:sz w:val="22"/>
                <w:szCs w:val="22"/>
              </w:rPr>
            </w:pPr>
          </w:p>
        </w:tc>
      </w:tr>
      <w:tr w:rsidR="002F268E" w:rsidRPr="00E82AA9" w:rsidTr="002F268E">
        <w:trPr>
          <w:trHeight w:val="338"/>
        </w:trPr>
        <w:tc>
          <w:tcPr>
            <w:tcW w:w="828" w:type="dxa"/>
            <w:vAlign w:val="center"/>
          </w:tcPr>
          <w:p w:rsidR="002F268E" w:rsidRPr="00E82AA9" w:rsidRDefault="002F268E" w:rsidP="002F268E">
            <w:pPr>
              <w:pStyle w:val="Header"/>
              <w:tabs>
                <w:tab w:val="left" w:pos="284"/>
                <w:tab w:val="left" w:pos="8222"/>
              </w:tabs>
              <w:ind w:right="-108"/>
              <w:rPr>
                <w:sz w:val="22"/>
                <w:szCs w:val="22"/>
              </w:rPr>
            </w:pPr>
            <w:r w:rsidRPr="00E82AA9">
              <w:rPr>
                <w:sz w:val="22"/>
                <w:szCs w:val="22"/>
              </w:rPr>
              <w:t>ИНН:</w:t>
            </w:r>
          </w:p>
        </w:tc>
        <w:tc>
          <w:tcPr>
            <w:tcW w:w="8919" w:type="dxa"/>
            <w:gridSpan w:val="3"/>
            <w:vAlign w:val="center"/>
          </w:tcPr>
          <w:p w:rsidR="002F268E" w:rsidRPr="00E82AA9" w:rsidRDefault="002F268E" w:rsidP="002F268E">
            <w:pPr>
              <w:pStyle w:val="Header"/>
              <w:tabs>
                <w:tab w:val="left" w:pos="284"/>
                <w:tab w:val="left" w:pos="8222"/>
              </w:tabs>
              <w:ind w:right="-108"/>
              <w:rPr>
                <w:color w:val="FF0000"/>
                <w:sz w:val="22"/>
                <w:szCs w:val="22"/>
                <w:lang w:val="mk-MK"/>
              </w:rPr>
            </w:pPr>
            <w:r w:rsidRPr="00E82AA9">
              <w:rPr>
                <w:sz w:val="22"/>
                <w:szCs w:val="22"/>
                <w:lang w:val="mk-MK"/>
              </w:rPr>
              <w:t>мемантин</w:t>
            </w:r>
          </w:p>
        </w:tc>
      </w:tr>
      <w:tr w:rsidR="002F268E" w:rsidRPr="00E82AA9" w:rsidTr="002F268E">
        <w:tc>
          <w:tcPr>
            <w:tcW w:w="9747" w:type="dxa"/>
            <w:gridSpan w:val="4"/>
            <w:shd w:val="clear" w:color="auto" w:fill="auto"/>
            <w:vAlign w:val="center"/>
          </w:tcPr>
          <w:p w:rsidR="002F268E" w:rsidRPr="00E82AA9" w:rsidRDefault="002F268E" w:rsidP="002F268E">
            <w:pPr>
              <w:pStyle w:val="Header"/>
              <w:tabs>
                <w:tab w:val="left" w:pos="284"/>
                <w:tab w:val="left" w:pos="8222"/>
              </w:tabs>
              <w:ind w:right="-108"/>
              <w:rPr>
                <w:b/>
                <w:bCs/>
                <w:color w:val="FF0000"/>
                <w:sz w:val="22"/>
                <w:szCs w:val="22"/>
              </w:rPr>
            </w:pPr>
          </w:p>
          <w:p w:rsidR="00D44513" w:rsidRPr="00E82AA9" w:rsidRDefault="00D44513" w:rsidP="002F268E">
            <w:pPr>
              <w:pStyle w:val="Header"/>
              <w:tabs>
                <w:tab w:val="left" w:pos="284"/>
                <w:tab w:val="left" w:pos="8222"/>
              </w:tabs>
              <w:ind w:right="-108"/>
              <w:rPr>
                <w:b/>
                <w:bCs/>
                <w:color w:val="FF0000"/>
                <w:sz w:val="22"/>
                <w:szCs w:val="22"/>
              </w:rPr>
            </w:pPr>
          </w:p>
        </w:tc>
      </w:tr>
      <w:tr w:rsidR="002F268E" w:rsidRPr="00E82AA9" w:rsidTr="002F268E">
        <w:tc>
          <w:tcPr>
            <w:tcW w:w="9747" w:type="dxa"/>
            <w:gridSpan w:val="4"/>
            <w:shd w:val="clear" w:color="auto" w:fill="auto"/>
            <w:vAlign w:val="center"/>
          </w:tcPr>
          <w:p w:rsidR="002F268E" w:rsidRPr="00E82AA9" w:rsidRDefault="002F268E" w:rsidP="002F268E">
            <w:pPr>
              <w:pStyle w:val="Header"/>
              <w:tabs>
                <w:tab w:val="left" w:pos="284"/>
                <w:tab w:val="left" w:pos="8222"/>
              </w:tabs>
              <w:ind w:right="-108"/>
              <w:rPr>
                <w:b/>
                <w:bCs/>
                <w:color w:val="FF0000"/>
                <w:sz w:val="22"/>
                <w:szCs w:val="22"/>
              </w:rPr>
            </w:pPr>
            <w:r w:rsidRPr="00E82AA9">
              <w:rPr>
                <w:b/>
                <w:bCs/>
                <w:sz w:val="22"/>
                <w:szCs w:val="22"/>
              </w:rPr>
              <w:t>2.</w:t>
            </w:r>
            <w:r w:rsidRPr="00E82AA9">
              <w:rPr>
                <w:b/>
                <w:bCs/>
                <w:sz w:val="22"/>
                <w:szCs w:val="22"/>
                <w:lang w:val="mk-MK"/>
              </w:rPr>
              <w:t xml:space="preserve"> </w:t>
            </w:r>
            <w:r w:rsidRPr="00E82AA9">
              <w:rPr>
                <w:b/>
                <w:bCs/>
                <w:sz w:val="22"/>
                <w:szCs w:val="22"/>
              </w:rPr>
              <w:t xml:space="preserve">     КВАЛИТАТИВНИ И КВАНТИТАТИВНИ САСТАВ</w:t>
            </w:r>
          </w:p>
        </w:tc>
      </w:tr>
      <w:tr w:rsidR="002F268E" w:rsidRPr="00E82AA9" w:rsidTr="002F268E">
        <w:trPr>
          <w:trHeight w:val="1145"/>
        </w:trPr>
        <w:tc>
          <w:tcPr>
            <w:tcW w:w="9747" w:type="dxa"/>
            <w:gridSpan w:val="4"/>
            <w:vAlign w:val="center"/>
          </w:tcPr>
          <w:p w:rsidR="002F268E" w:rsidRPr="00E82AA9" w:rsidRDefault="002F268E" w:rsidP="002F268E">
            <w:pPr>
              <w:tabs>
                <w:tab w:val="left" w:pos="8222"/>
              </w:tabs>
              <w:ind w:right="-108"/>
              <w:rPr>
                <w:color w:val="FF0000"/>
                <w:sz w:val="22"/>
                <w:szCs w:val="22"/>
                <w:u w:val="single"/>
                <w:lang w:val="sr-Cyrl-CS"/>
              </w:rPr>
            </w:pPr>
          </w:p>
          <w:p w:rsidR="002F268E" w:rsidRPr="00E82AA9" w:rsidRDefault="002F268E" w:rsidP="00FA5CC0">
            <w:pPr>
              <w:tabs>
                <w:tab w:val="left" w:pos="8222"/>
              </w:tabs>
              <w:autoSpaceDE w:val="0"/>
              <w:autoSpaceDN w:val="0"/>
              <w:adjustRightInd w:val="0"/>
              <w:ind w:right="-108"/>
              <w:jc w:val="both"/>
              <w:rPr>
                <w:sz w:val="22"/>
                <w:szCs w:val="22"/>
                <w:lang w:val="sr-Cyrl-CS"/>
              </w:rPr>
            </w:pPr>
            <w:r w:rsidRPr="00E82AA9">
              <w:rPr>
                <w:sz w:val="22"/>
                <w:szCs w:val="22"/>
              </w:rPr>
              <w:t>YMANA</w:t>
            </w:r>
            <w:r w:rsidRPr="00E82AA9">
              <w:rPr>
                <w:b/>
                <w:bCs/>
                <w:sz w:val="22"/>
                <w:szCs w:val="22"/>
                <w:vertAlign w:val="superscript"/>
                <w:lang w:val="en-GB"/>
              </w:rPr>
              <w:t>®</w:t>
            </w:r>
            <w:r w:rsidRPr="00E82AA9">
              <w:rPr>
                <w:b/>
                <w:bCs/>
                <w:sz w:val="22"/>
                <w:szCs w:val="22"/>
                <w:vertAlign w:val="superscript"/>
              </w:rPr>
              <w:t xml:space="preserve"> </w:t>
            </w:r>
            <w:r w:rsidRPr="00E82AA9">
              <w:rPr>
                <w:sz w:val="22"/>
                <w:szCs w:val="22"/>
                <w:lang w:val="sr-Cyrl-CS"/>
              </w:rPr>
              <w:t xml:space="preserve">5 </w:t>
            </w:r>
            <w:r w:rsidRPr="00E82AA9">
              <w:rPr>
                <w:sz w:val="22"/>
                <w:szCs w:val="22"/>
              </w:rPr>
              <w:t>mg</w:t>
            </w:r>
            <w:r w:rsidRPr="00E82AA9">
              <w:rPr>
                <w:sz w:val="22"/>
                <w:szCs w:val="22"/>
                <w:lang w:val="sr-Cyrl-CS"/>
              </w:rPr>
              <w:t xml:space="preserve">: </w:t>
            </w:r>
            <w:r w:rsidRPr="00E82AA9">
              <w:rPr>
                <w:sz w:val="22"/>
                <w:szCs w:val="22"/>
                <w:lang w:val="mk-MK"/>
              </w:rPr>
              <w:t xml:space="preserve">Једна </w:t>
            </w:r>
            <w:r w:rsidRPr="00E82AA9">
              <w:rPr>
                <w:sz w:val="22"/>
                <w:szCs w:val="22"/>
              </w:rPr>
              <w:t xml:space="preserve">филм </w:t>
            </w:r>
            <w:r w:rsidRPr="00E82AA9">
              <w:rPr>
                <w:sz w:val="22"/>
                <w:szCs w:val="22"/>
                <w:lang w:val="sr-Cyrl-CS"/>
              </w:rPr>
              <w:t>таблета садржи 5</w:t>
            </w:r>
            <w:r w:rsidRPr="00E82AA9">
              <w:rPr>
                <w:sz w:val="22"/>
                <w:szCs w:val="22"/>
              </w:rPr>
              <w:t xml:space="preserve"> mg </w:t>
            </w:r>
            <w:r w:rsidRPr="00E82AA9">
              <w:rPr>
                <w:sz w:val="22"/>
                <w:szCs w:val="22"/>
                <w:lang w:val="sr-Cyrl-CS"/>
              </w:rPr>
              <w:t>мемантин хидрохлорид</w:t>
            </w:r>
            <w:r w:rsidRPr="00E82AA9">
              <w:rPr>
                <w:sz w:val="22"/>
                <w:szCs w:val="22"/>
              </w:rPr>
              <w:t xml:space="preserve">a </w:t>
            </w:r>
            <w:r w:rsidRPr="00E82AA9">
              <w:rPr>
                <w:sz w:val="22"/>
                <w:szCs w:val="22"/>
                <w:lang w:val="sr-Cyrl-CS"/>
              </w:rPr>
              <w:t>што одговара 4.15 mg мемантина.</w:t>
            </w:r>
          </w:p>
          <w:p w:rsidR="002F268E" w:rsidRPr="00E82AA9" w:rsidRDefault="002F268E" w:rsidP="00FA5CC0">
            <w:pPr>
              <w:tabs>
                <w:tab w:val="left" w:pos="8222"/>
              </w:tabs>
              <w:autoSpaceDE w:val="0"/>
              <w:autoSpaceDN w:val="0"/>
              <w:adjustRightInd w:val="0"/>
              <w:ind w:right="-108"/>
              <w:jc w:val="both"/>
              <w:rPr>
                <w:sz w:val="22"/>
                <w:szCs w:val="22"/>
                <w:lang w:val="sr-Cyrl-CS"/>
              </w:rPr>
            </w:pPr>
            <w:r w:rsidRPr="00E82AA9">
              <w:rPr>
                <w:sz w:val="22"/>
                <w:szCs w:val="22"/>
              </w:rPr>
              <w:t>YMANA</w:t>
            </w:r>
            <w:r w:rsidRPr="00E82AA9">
              <w:rPr>
                <w:b/>
                <w:bCs/>
                <w:sz w:val="22"/>
                <w:szCs w:val="22"/>
                <w:vertAlign w:val="superscript"/>
                <w:lang w:val="sr-Cyrl-CS"/>
              </w:rPr>
              <w:t xml:space="preserve">® </w:t>
            </w:r>
            <w:r w:rsidRPr="00E82AA9">
              <w:rPr>
                <w:sz w:val="22"/>
                <w:szCs w:val="22"/>
                <w:lang w:val="sr-Cyrl-CS"/>
              </w:rPr>
              <w:t xml:space="preserve">10 </w:t>
            </w:r>
            <w:r w:rsidRPr="00E82AA9">
              <w:rPr>
                <w:sz w:val="22"/>
                <w:szCs w:val="22"/>
              </w:rPr>
              <w:t>mg</w:t>
            </w:r>
            <w:r w:rsidRPr="00E82AA9">
              <w:rPr>
                <w:sz w:val="22"/>
                <w:szCs w:val="22"/>
                <w:lang w:val="sr-Cyrl-CS"/>
              </w:rPr>
              <w:t xml:space="preserve">: </w:t>
            </w:r>
            <w:r w:rsidRPr="00E82AA9">
              <w:rPr>
                <w:sz w:val="22"/>
                <w:szCs w:val="22"/>
                <w:lang w:val="mk-MK"/>
              </w:rPr>
              <w:t xml:space="preserve">Једна </w:t>
            </w:r>
            <w:r w:rsidRPr="00E82AA9">
              <w:rPr>
                <w:sz w:val="22"/>
                <w:szCs w:val="22"/>
                <w:lang w:val="sr-Cyrl-CS"/>
              </w:rPr>
              <w:t xml:space="preserve">филм таблета садржи 10 </w:t>
            </w:r>
            <w:r w:rsidRPr="00E82AA9">
              <w:rPr>
                <w:sz w:val="22"/>
                <w:szCs w:val="22"/>
              </w:rPr>
              <w:t>mg</w:t>
            </w:r>
            <w:r w:rsidRPr="00E82AA9">
              <w:rPr>
                <w:sz w:val="22"/>
                <w:szCs w:val="22"/>
                <w:lang w:val="sr-Cyrl-CS"/>
              </w:rPr>
              <w:t xml:space="preserve"> мемантин хидрохлорид</w:t>
            </w:r>
            <w:r w:rsidRPr="00E82AA9">
              <w:rPr>
                <w:sz w:val="22"/>
                <w:szCs w:val="22"/>
              </w:rPr>
              <w:t>a</w:t>
            </w:r>
            <w:r w:rsidRPr="00E82AA9">
              <w:rPr>
                <w:sz w:val="22"/>
                <w:szCs w:val="22"/>
                <w:lang w:val="sr-Cyrl-CS"/>
              </w:rPr>
              <w:t xml:space="preserve"> што одговара 8.31 mg мемантина.</w:t>
            </w:r>
          </w:p>
          <w:p w:rsidR="002F268E" w:rsidRPr="00E82AA9" w:rsidRDefault="002F268E" w:rsidP="00FA5CC0">
            <w:pPr>
              <w:tabs>
                <w:tab w:val="left" w:pos="8222"/>
              </w:tabs>
              <w:autoSpaceDE w:val="0"/>
              <w:autoSpaceDN w:val="0"/>
              <w:adjustRightInd w:val="0"/>
              <w:ind w:right="-108"/>
              <w:jc w:val="both"/>
              <w:rPr>
                <w:sz w:val="22"/>
                <w:szCs w:val="22"/>
                <w:lang w:val="sr-Cyrl-CS"/>
              </w:rPr>
            </w:pPr>
            <w:r w:rsidRPr="00E82AA9">
              <w:rPr>
                <w:sz w:val="22"/>
                <w:szCs w:val="22"/>
              </w:rPr>
              <w:t>YMANA</w:t>
            </w:r>
            <w:r w:rsidRPr="00E82AA9">
              <w:rPr>
                <w:b/>
                <w:bCs/>
                <w:sz w:val="22"/>
                <w:szCs w:val="22"/>
                <w:vertAlign w:val="superscript"/>
                <w:lang w:val="sr-Cyrl-CS"/>
              </w:rPr>
              <w:t xml:space="preserve">® </w:t>
            </w:r>
            <w:r w:rsidRPr="00E82AA9">
              <w:rPr>
                <w:sz w:val="22"/>
                <w:szCs w:val="22"/>
                <w:lang w:val="sr-Cyrl-CS"/>
              </w:rPr>
              <w:t xml:space="preserve">15 </w:t>
            </w:r>
            <w:r w:rsidRPr="00E82AA9">
              <w:rPr>
                <w:sz w:val="22"/>
                <w:szCs w:val="22"/>
              </w:rPr>
              <w:t>mg</w:t>
            </w:r>
            <w:r w:rsidRPr="00E82AA9">
              <w:rPr>
                <w:sz w:val="22"/>
                <w:szCs w:val="22"/>
                <w:lang w:val="sr-Cyrl-CS"/>
              </w:rPr>
              <w:t xml:space="preserve">: </w:t>
            </w:r>
            <w:r w:rsidRPr="00E82AA9">
              <w:rPr>
                <w:sz w:val="22"/>
                <w:szCs w:val="22"/>
                <w:lang w:val="mk-MK"/>
              </w:rPr>
              <w:t xml:space="preserve">Једна </w:t>
            </w:r>
            <w:r w:rsidRPr="00E82AA9">
              <w:rPr>
                <w:sz w:val="22"/>
                <w:szCs w:val="22"/>
                <w:lang w:val="sr-Cyrl-CS"/>
              </w:rPr>
              <w:t xml:space="preserve">филм таблета садржи 15 </w:t>
            </w:r>
            <w:r w:rsidRPr="00E82AA9">
              <w:rPr>
                <w:sz w:val="22"/>
                <w:szCs w:val="22"/>
              </w:rPr>
              <w:t>mg</w:t>
            </w:r>
            <w:r w:rsidRPr="00E82AA9">
              <w:rPr>
                <w:sz w:val="22"/>
                <w:szCs w:val="22"/>
                <w:lang w:val="sr-Cyrl-CS"/>
              </w:rPr>
              <w:t xml:space="preserve"> мемантин хидрохлорид</w:t>
            </w:r>
            <w:r w:rsidRPr="00E82AA9">
              <w:rPr>
                <w:sz w:val="22"/>
                <w:szCs w:val="22"/>
              </w:rPr>
              <w:t xml:space="preserve">a </w:t>
            </w:r>
            <w:r w:rsidRPr="00E82AA9">
              <w:rPr>
                <w:sz w:val="22"/>
                <w:szCs w:val="22"/>
                <w:lang w:val="sr-Cyrl-CS"/>
              </w:rPr>
              <w:t>што одговара 12.46 mg мемантина.</w:t>
            </w:r>
          </w:p>
          <w:p w:rsidR="002F268E" w:rsidRPr="00E82AA9" w:rsidRDefault="002F268E" w:rsidP="00FA5CC0">
            <w:pPr>
              <w:tabs>
                <w:tab w:val="left" w:pos="8222"/>
              </w:tabs>
              <w:autoSpaceDE w:val="0"/>
              <w:autoSpaceDN w:val="0"/>
              <w:adjustRightInd w:val="0"/>
              <w:ind w:right="-108"/>
              <w:jc w:val="both"/>
              <w:rPr>
                <w:sz w:val="22"/>
                <w:szCs w:val="22"/>
                <w:lang w:val="sr-Cyrl-CS"/>
              </w:rPr>
            </w:pPr>
            <w:r w:rsidRPr="00E82AA9">
              <w:rPr>
                <w:sz w:val="22"/>
                <w:szCs w:val="22"/>
              </w:rPr>
              <w:t>YMANA</w:t>
            </w:r>
            <w:r w:rsidRPr="00E82AA9">
              <w:rPr>
                <w:b/>
                <w:bCs/>
                <w:sz w:val="22"/>
                <w:szCs w:val="22"/>
                <w:vertAlign w:val="superscript"/>
                <w:lang w:val="sr-Cyrl-CS"/>
              </w:rPr>
              <w:t xml:space="preserve">® </w:t>
            </w:r>
            <w:r w:rsidRPr="00E82AA9">
              <w:rPr>
                <w:sz w:val="22"/>
                <w:szCs w:val="22"/>
                <w:lang w:val="sr-Cyrl-CS"/>
              </w:rPr>
              <w:t xml:space="preserve">20 </w:t>
            </w:r>
            <w:r w:rsidRPr="00E82AA9">
              <w:rPr>
                <w:sz w:val="22"/>
                <w:szCs w:val="22"/>
              </w:rPr>
              <w:t>mg</w:t>
            </w:r>
            <w:r w:rsidRPr="00E82AA9">
              <w:rPr>
                <w:sz w:val="22"/>
                <w:szCs w:val="22"/>
                <w:lang w:val="sr-Cyrl-CS"/>
              </w:rPr>
              <w:t xml:space="preserve">: </w:t>
            </w:r>
            <w:r w:rsidRPr="00E82AA9">
              <w:rPr>
                <w:sz w:val="22"/>
                <w:szCs w:val="22"/>
                <w:lang w:val="mk-MK"/>
              </w:rPr>
              <w:t xml:space="preserve">Једна </w:t>
            </w:r>
            <w:r w:rsidRPr="00E82AA9">
              <w:rPr>
                <w:sz w:val="22"/>
                <w:szCs w:val="22"/>
                <w:lang w:val="sr-Cyrl-CS"/>
              </w:rPr>
              <w:t xml:space="preserve">филм таблета садржи 20 </w:t>
            </w:r>
            <w:r w:rsidRPr="00E82AA9">
              <w:rPr>
                <w:sz w:val="22"/>
                <w:szCs w:val="22"/>
              </w:rPr>
              <w:t>mg</w:t>
            </w:r>
            <w:r w:rsidRPr="00E82AA9">
              <w:rPr>
                <w:sz w:val="22"/>
                <w:szCs w:val="22"/>
                <w:lang w:val="sr-Cyrl-CS"/>
              </w:rPr>
              <w:t xml:space="preserve"> мемантин хидрохлорид</w:t>
            </w:r>
            <w:r w:rsidRPr="00E82AA9">
              <w:rPr>
                <w:sz w:val="22"/>
                <w:szCs w:val="22"/>
              </w:rPr>
              <w:t>a</w:t>
            </w:r>
            <w:r w:rsidRPr="00E82AA9">
              <w:rPr>
                <w:sz w:val="22"/>
                <w:szCs w:val="22"/>
                <w:lang w:val="sr-Cyrl-RS"/>
              </w:rPr>
              <w:t xml:space="preserve"> што одговара 16.62 </w:t>
            </w:r>
            <w:r w:rsidRPr="00E82AA9">
              <w:rPr>
                <w:sz w:val="22"/>
                <w:szCs w:val="22"/>
              </w:rPr>
              <w:t>mg</w:t>
            </w:r>
            <w:r w:rsidRPr="00E82AA9">
              <w:rPr>
                <w:sz w:val="22"/>
                <w:szCs w:val="22"/>
                <w:lang w:val="sr-Cyrl-RS"/>
              </w:rPr>
              <w:t xml:space="preserve"> мемантина</w:t>
            </w:r>
            <w:r w:rsidRPr="00E82AA9">
              <w:rPr>
                <w:sz w:val="22"/>
                <w:szCs w:val="22"/>
                <w:lang w:val="sr-Cyrl-CS"/>
              </w:rPr>
              <w:t>.</w:t>
            </w:r>
          </w:p>
          <w:p w:rsidR="002F268E" w:rsidRPr="00E82AA9" w:rsidRDefault="002F268E" w:rsidP="00FA5CC0">
            <w:pPr>
              <w:tabs>
                <w:tab w:val="left" w:pos="8222"/>
              </w:tabs>
              <w:ind w:right="-108"/>
              <w:jc w:val="both"/>
              <w:rPr>
                <w:b/>
                <w:bCs/>
                <w:sz w:val="22"/>
                <w:szCs w:val="22"/>
                <w:lang w:val="sr-Cyrl-CS" w:eastAsia="en-GB"/>
              </w:rPr>
            </w:pPr>
          </w:p>
          <w:p w:rsidR="002F268E" w:rsidRPr="00E82AA9" w:rsidRDefault="002F268E" w:rsidP="00FA5CC0">
            <w:pPr>
              <w:tabs>
                <w:tab w:val="left" w:pos="8222"/>
              </w:tabs>
              <w:ind w:right="-108"/>
              <w:jc w:val="both"/>
              <w:rPr>
                <w:sz w:val="22"/>
                <w:szCs w:val="22"/>
                <w:lang w:val="sr-Cyrl-CS"/>
              </w:rPr>
            </w:pPr>
            <w:r w:rsidRPr="00E82AA9">
              <w:rPr>
                <w:sz w:val="22"/>
                <w:szCs w:val="22"/>
                <w:lang w:val="sr-Cyrl-CS"/>
              </w:rPr>
              <w:t xml:space="preserve">За листу свих помоћних супстанци, видјети одјељак 6.1. </w:t>
            </w:r>
          </w:p>
          <w:p w:rsidR="002F268E" w:rsidRPr="00E82AA9" w:rsidRDefault="002F268E" w:rsidP="00FA5CC0">
            <w:pPr>
              <w:pStyle w:val="Header"/>
              <w:tabs>
                <w:tab w:val="left" w:pos="284"/>
                <w:tab w:val="left" w:pos="8222"/>
              </w:tabs>
              <w:ind w:right="-108"/>
              <w:jc w:val="both"/>
              <w:rPr>
                <w:color w:val="FF0000"/>
                <w:sz w:val="22"/>
                <w:szCs w:val="22"/>
              </w:rPr>
            </w:pPr>
          </w:p>
          <w:p w:rsidR="00D44513" w:rsidRPr="00E82AA9" w:rsidRDefault="00D44513" w:rsidP="002F268E">
            <w:pPr>
              <w:pStyle w:val="Header"/>
              <w:tabs>
                <w:tab w:val="left" w:pos="284"/>
                <w:tab w:val="left" w:pos="8222"/>
              </w:tabs>
              <w:ind w:right="-108"/>
              <w:rPr>
                <w:color w:val="FF0000"/>
                <w:sz w:val="22"/>
                <w:szCs w:val="22"/>
              </w:rPr>
            </w:pPr>
          </w:p>
        </w:tc>
      </w:tr>
      <w:tr w:rsidR="002F268E" w:rsidRPr="00E82AA9" w:rsidTr="002F268E">
        <w:tc>
          <w:tcPr>
            <w:tcW w:w="9747" w:type="dxa"/>
            <w:gridSpan w:val="4"/>
            <w:shd w:val="clear" w:color="auto" w:fill="auto"/>
            <w:vAlign w:val="center"/>
          </w:tcPr>
          <w:p w:rsidR="002F268E" w:rsidRPr="00E82AA9" w:rsidRDefault="002F268E" w:rsidP="002F268E">
            <w:pPr>
              <w:pStyle w:val="Header"/>
              <w:tabs>
                <w:tab w:val="left" w:pos="284"/>
                <w:tab w:val="left" w:pos="8222"/>
              </w:tabs>
              <w:ind w:right="-108"/>
              <w:rPr>
                <w:b/>
                <w:bCs/>
                <w:color w:val="FF0000"/>
                <w:sz w:val="22"/>
                <w:szCs w:val="22"/>
              </w:rPr>
            </w:pPr>
            <w:r w:rsidRPr="00E82AA9">
              <w:rPr>
                <w:b/>
                <w:bCs/>
                <w:sz w:val="22"/>
                <w:szCs w:val="22"/>
              </w:rPr>
              <w:t>3.</w:t>
            </w:r>
            <w:r w:rsidRPr="00E82AA9">
              <w:rPr>
                <w:b/>
                <w:bCs/>
                <w:sz w:val="22"/>
                <w:szCs w:val="22"/>
                <w:lang w:val="mk-MK"/>
              </w:rPr>
              <w:t xml:space="preserve"> </w:t>
            </w:r>
            <w:r w:rsidRPr="00E82AA9">
              <w:rPr>
                <w:b/>
                <w:bCs/>
                <w:sz w:val="22"/>
                <w:szCs w:val="22"/>
              </w:rPr>
              <w:t xml:space="preserve">     ФАРМАЦЕУТСКИ ОБЛИК</w:t>
            </w:r>
          </w:p>
        </w:tc>
      </w:tr>
      <w:tr w:rsidR="002F268E" w:rsidRPr="00E82AA9" w:rsidTr="002F268E">
        <w:trPr>
          <w:trHeight w:val="1145"/>
        </w:trPr>
        <w:tc>
          <w:tcPr>
            <w:tcW w:w="9747" w:type="dxa"/>
            <w:gridSpan w:val="4"/>
            <w:vAlign w:val="center"/>
          </w:tcPr>
          <w:p w:rsidR="002F268E" w:rsidRPr="00E82AA9" w:rsidRDefault="002F268E" w:rsidP="002F268E">
            <w:pPr>
              <w:tabs>
                <w:tab w:val="left" w:pos="8222"/>
              </w:tabs>
              <w:ind w:right="-108"/>
              <w:rPr>
                <w:color w:val="FF0000"/>
                <w:sz w:val="22"/>
                <w:szCs w:val="22"/>
                <w:lang w:val="sr-Cyrl-CS"/>
              </w:rPr>
            </w:pPr>
          </w:p>
          <w:p w:rsidR="002F268E" w:rsidRPr="00E82AA9" w:rsidRDefault="002F268E" w:rsidP="00363398">
            <w:pPr>
              <w:pStyle w:val="ListParagraph"/>
              <w:tabs>
                <w:tab w:val="left" w:pos="8222"/>
                <w:tab w:val="left" w:pos="9972"/>
              </w:tabs>
              <w:autoSpaceDE w:val="0"/>
              <w:autoSpaceDN w:val="0"/>
              <w:adjustRightInd w:val="0"/>
              <w:ind w:left="0" w:right="-108"/>
              <w:rPr>
                <w:rFonts w:ascii="Times New Roman" w:hAnsi="Times New Roman"/>
                <w:sz w:val="22"/>
                <w:szCs w:val="22"/>
                <w:lang w:val="sr-Cyrl-CS"/>
              </w:rPr>
            </w:pPr>
            <w:r w:rsidRPr="00E82AA9">
              <w:rPr>
                <w:rFonts w:ascii="Times New Roman" w:hAnsi="Times New Roman"/>
                <w:sz w:val="22"/>
                <w:szCs w:val="22"/>
                <w:lang w:val="sr-Cyrl-CS"/>
              </w:rPr>
              <w:t>Филм таблете.</w:t>
            </w:r>
          </w:p>
          <w:p w:rsidR="002F268E" w:rsidRPr="00E82AA9" w:rsidRDefault="002F268E" w:rsidP="00363398">
            <w:pPr>
              <w:pStyle w:val="ListParagraph"/>
              <w:tabs>
                <w:tab w:val="left" w:pos="8222"/>
                <w:tab w:val="left" w:pos="9972"/>
              </w:tabs>
              <w:autoSpaceDE w:val="0"/>
              <w:autoSpaceDN w:val="0"/>
              <w:adjustRightInd w:val="0"/>
              <w:ind w:left="0" w:right="-108"/>
              <w:rPr>
                <w:rFonts w:ascii="Times New Roman" w:hAnsi="Times New Roman"/>
                <w:b/>
                <w:bCs/>
                <w:sz w:val="22"/>
                <w:szCs w:val="22"/>
                <w:lang w:val="sr-Cyrl-CS" w:eastAsia="en-GB"/>
              </w:rPr>
            </w:pPr>
          </w:p>
          <w:p w:rsidR="002F268E" w:rsidRPr="00E82AA9" w:rsidRDefault="002F268E" w:rsidP="00363398">
            <w:pPr>
              <w:tabs>
                <w:tab w:val="left" w:pos="8222"/>
                <w:tab w:val="left" w:pos="9972"/>
              </w:tabs>
              <w:ind w:right="-108"/>
              <w:jc w:val="both"/>
              <w:rPr>
                <w:sz w:val="22"/>
                <w:szCs w:val="22"/>
                <w:lang w:val="mk-MK"/>
              </w:rPr>
            </w:pPr>
            <w:r w:rsidRPr="00E82AA9">
              <w:rPr>
                <w:sz w:val="22"/>
                <w:szCs w:val="22"/>
              </w:rPr>
              <w:t>YMANA</w:t>
            </w:r>
            <w:r w:rsidRPr="00E82AA9">
              <w:rPr>
                <w:b/>
                <w:bCs/>
                <w:sz w:val="22"/>
                <w:szCs w:val="22"/>
                <w:vertAlign w:val="superscript"/>
                <w:lang w:val="en-GB"/>
              </w:rPr>
              <w:t>®</w:t>
            </w:r>
            <w:r w:rsidRPr="00E82AA9">
              <w:rPr>
                <w:sz w:val="22"/>
                <w:szCs w:val="22"/>
                <w:lang w:val="sr-Cyrl-CS"/>
              </w:rPr>
              <w:t xml:space="preserve"> 5 </w:t>
            </w:r>
            <w:r w:rsidRPr="00E82AA9">
              <w:rPr>
                <w:sz w:val="22"/>
                <w:szCs w:val="22"/>
              </w:rPr>
              <w:t>mg су б</w:t>
            </w:r>
            <w:r w:rsidRPr="00E82AA9">
              <w:rPr>
                <w:sz w:val="22"/>
                <w:szCs w:val="22"/>
                <w:lang w:val="sr-Cyrl-CS"/>
              </w:rPr>
              <w:t>иј</w:t>
            </w:r>
            <w:r w:rsidRPr="00E82AA9">
              <w:rPr>
                <w:sz w:val="22"/>
                <w:szCs w:val="22"/>
              </w:rPr>
              <w:t>еле до скоро б</w:t>
            </w:r>
            <w:r w:rsidRPr="00E82AA9">
              <w:rPr>
                <w:sz w:val="22"/>
                <w:szCs w:val="22"/>
                <w:lang w:val="sr-Cyrl-CS"/>
              </w:rPr>
              <w:t>иј</w:t>
            </w:r>
            <w:r w:rsidRPr="00E82AA9">
              <w:rPr>
                <w:sz w:val="22"/>
                <w:szCs w:val="22"/>
              </w:rPr>
              <w:t>еле, облика капсуле, биконвексне, филм таблете, са утиснутим бројем „5</w:t>
            </w:r>
            <w:r w:rsidRPr="00E82AA9">
              <w:rPr>
                <w:sz w:val="22"/>
                <w:szCs w:val="22"/>
                <w:lang w:val="sr-Cyrl-CS"/>
              </w:rPr>
              <w:t xml:space="preserve">“ </w:t>
            </w:r>
            <w:r w:rsidRPr="00E82AA9">
              <w:rPr>
                <w:sz w:val="22"/>
                <w:szCs w:val="22"/>
              </w:rPr>
              <w:t>са једне стране и равне са друге стране.</w:t>
            </w:r>
            <w:r w:rsidRPr="00E82AA9">
              <w:rPr>
                <w:sz w:val="22"/>
                <w:szCs w:val="22"/>
                <w:lang w:val="mk-MK"/>
              </w:rPr>
              <w:t xml:space="preserve"> Димензије једне таблете су приближно 10 </w:t>
            </w:r>
            <w:r w:rsidRPr="00E82AA9">
              <w:rPr>
                <w:sz w:val="22"/>
                <w:szCs w:val="22"/>
              </w:rPr>
              <w:t>mm</w:t>
            </w:r>
            <w:r w:rsidRPr="00E82AA9">
              <w:rPr>
                <w:sz w:val="22"/>
                <w:szCs w:val="22"/>
                <w:lang w:val="mk-MK"/>
              </w:rPr>
              <w:t xml:space="preserve"> х 4</w:t>
            </w:r>
            <w:r w:rsidRPr="00E82AA9">
              <w:rPr>
                <w:sz w:val="22"/>
                <w:szCs w:val="22"/>
              </w:rPr>
              <w:t xml:space="preserve"> mm.</w:t>
            </w:r>
          </w:p>
          <w:p w:rsidR="002F268E" w:rsidRPr="00E82AA9" w:rsidRDefault="002F268E" w:rsidP="00363398">
            <w:pPr>
              <w:tabs>
                <w:tab w:val="left" w:pos="8222"/>
                <w:tab w:val="left" w:pos="9972"/>
              </w:tabs>
              <w:ind w:right="-108"/>
              <w:jc w:val="both"/>
              <w:rPr>
                <w:sz w:val="22"/>
                <w:szCs w:val="22"/>
                <w:lang w:val="mk-MK"/>
              </w:rPr>
            </w:pPr>
          </w:p>
          <w:p w:rsidR="002F268E" w:rsidRPr="00E82AA9" w:rsidRDefault="002F268E" w:rsidP="00363398">
            <w:pPr>
              <w:tabs>
                <w:tab w:val="left" w:pos="8222"/>
                <w:tab w:val="left" w:pos="9972"/>
              </w:tabs>
              <w:ind w:right="-108"/>
              <w:jc w:val="both"/>
              <w:rPr>
                <w:sz w:val="22"/>
                <w:szCs w:val="22"/>
                <w:lang w:val="mk-MK"/>
              </w:rPr>
            </w:pPr>
            <w:r w:rsidRPr="00E82AA9">
              <w:rPr>
                <w:sz w:val="22"/>
                <w:szCs w:val="22"/>
                <w:lang w:val="mk-MK"/>
              </w:rPr>
              <w:t>YMANA</w:t>
            </w:r>
            <w:r w:rsidRPr="00E82AA9">
              <w:rPr>
                <w:b/>
                <w:bCs/>
                <w:sz w:val="22"/>
                <w:szCs w:val="22"/>
                <w:vertAlign w:val="superscript"/>
                <w:lang w:val="mk-MK"/>
              </w:rPr>
              <w:t>®</w:t>
            </w:r>
            <w:r w:rsidRPr="00E82AA9">
              <w:rPr>
                <w:sz w:val="22"/>
                <w:szCs w:val="22"/>
                <w:lang w:val="mk-MK"/>
              </w:rPr>
              <w:t xml:space="preserve"> 10 mg су б</w:t>
            </w:r>
            <w:r w:rsidRPr="00E82AA9">
              <w:rPr>
                <w:sz w:val="22"/>
                <w:szCs w:val="22"/>
                <w:lang w:val="sr-Cyrl-CS"/>
              </w:rPr>
              <w:t>иј</w:t>
            </w:r>
            <w:r w:rsidRPr="00E82AA9">
              <w:rPr>
                <w:sz w:val="22"/>
                <w:szCs w:val="22"/>
                <w:lang w:val="mk-MK"/>
              </w:rPr>
              <w:t>еле до скоро б</w:t>
            </w:r>
            <w:r w:rsidRPr="00E82AA9">
              <w:rPr>
                <w:sz w:val="22"/>
                <w:szCs w:val="22"/>
                <w:lang w:val="sr-Cyrl-CS"/>
              </w:rPr>
              <w:t>иј</w:t>
            </w:r>
            <w:r w:rsidRPr="00E82AA9">
              <w:rPr>
                <w:sz w:val="22"/>
                <w:szCs w:val="22"/>
                <w:lang w:val="mk-MK"/>
              </w:rPr>
              <w:t>еле, овалнe, филм таблете, са утиснутим бројем „10” са једне стране и под</w:t>
            </w:r>
            <w:r w:rsidRPr="00E82AA9">
              <w:rPr>
                <w:sz w:val="22"/>
                <w:szCs w:val="22"/>
                <w:lang w:val="sr-Cyrl-CS"/>
              </w:rPr>
              <w:t>и</w:t>
            </w:r>
            <w:r w:rsidRPr="00E82AA9">
              <w:rPr>
                <w:sz w:val="22"/>
                <w:szCs w:val="22"/>
                <w:lang w:val="mk-MK"/>
              </w:rPr>
              <w:t xml:space="preserve">оном цртом са друге стране. Димензије једне таблете су приближно 11 </w:t>
            </w:r>
            <w:r w:rsidRPr="00E82AA9">
              <w:rPr>
                <w:sz w:val="22"/>
                <w:szCs w:val="22"/>
              </w:rPr>
              <w:t>mm</w:t>
            </w:r>
            <w:r w:rsidRPr="00E82AA9">
              <w:rPr>
                <w:sz w:val="22"/>
                <w:szCs w:val="22"/>
                <w:lang w:val="mk-MK"/>
              </w:rPr>
              <w:t xml:space="preserve"> х 6</w:t>
            </w:r>
            <w:r w:rsidRPr="00E82AA9">
              <w:rPr>
                <w:sz w:val="22"/>
                <w:szCs w:val="22"/>
              </w:rPr>
              <w:t xml:space="preserve"> mm.</w:t>
            </w:r>
          </w:p>
          <w:p w:rsidR="002F268E" w:rsidRPr="00E82AA9" w:rsidRDefault="002F268E" w:rsidP="00363398">
            <w:pPr>
              <w:tabs>
                <w:tab w:val="left" w:pos="8222"/>
                <w:tab w:val="left" w:pos="9972"/>
              </w:tabs>
              <w:ind w:right="-108"/>
              <w:jc w:val="both"/>
              <w:rPr>
                <w:sz w:val="22"/>
                <w:szCs w:val="22"/>
                <w:lang w:val="mk-MK"/>
              </w:rPr>
            </w:pPr>
          </w:p>
          <w:p w:rsidR="002F268E" w:rsidRPr="00E82AA9" w:rsidRDefault="002F268E" w:rsidP="00363398">
            <w:pPr>
              <w:tabs>
                <w:tab w:val="left" w:pos="8222"/>
                <w:tab w:val="left" w:pos="9972"/>
              </w:tabs>
              <w:ind w:right="-108"/>
              <w:jc w:val="both"/>
              <w:rPr>
                <w:sz w:val="22"/>
                <w:szCs w:val="22"/>
                <w:lang w:val="mk-MK"/>
              </w:rPr>
            </w:pPr>
            <w:r w:rsidRPr="00E82AA9">
              <w:rPr>
                <w:sz w:val="22"/>
                <w:szCs w:val="22"/>
                <w:lang w:val="mk-MK"/>
              </w:rPr>
              <w:t>YMANA</w:t>
            </w:r>
            <w:r w:rsidRPr="00E82AA9">
              <w:rPr>
                <w:b/>
                <w:bCs/>
                <w:sz w:val="22"/>
                <w:szCs w:val="22"/>
                <w:vertAlign w:val="superscript"/>
                <w:lang w:val="mk-MK"/>
              </w:rPr>
              <w:t>®</w:t>
            </w:r>
            <w:r w:rsidRPr="00E82AA9">
              <w:rPr>
                <w:sz w:val="22"/>
                <w:szCs w:val="22"/>
                <w:lang w:val="mk-MK"/>
              </w:rPr>
              <w:t xml:space="preserve"> 15 mg су боје сенфа, овалнe, филм таблете, са утиснутим бројем „15” са једне стране и равне са друге стране. Димензије једне таблете су приближно 14 </w:t>
            </w:r>
            <w:r w:rsidRPr="00E82AA9">
              <w:rPr>
                <w:sz w:val="22"/>
                <w:szCs w:val="22"/>
              </w:rPr>
              <w:t>mm</w:t>
            </w:r>
            <w:r w:rsidRPr="00E82AA9">
              <w:rPr>
                <w:sz w:val="22"/>
                <w:szCs w:val="22"/>
                <w:lang w:val="mk-MK"/>
              </w:rPr>
              <w:t xml:space="preserve"> х 7</w:t>
            </w:r>
            <w:r w:rsidRPr="00E82AA9">
              <w:rPr>
                <w:sz w:val="22"/>
                <w:szCs w:val="22"/>
              </w:rPr>
              <w:t xml:space="preserve"> mm.</w:t>
            </w:r>
          </w:p>
          <w:p w:rsidR="002F268E" w:rsidRPr="00E82AA9" w:rsidRDefault="002F268E" w:rsidP="00363398">
            <w:pPr>
              <w:tabs>
                <w:tab w:val="left" w:pos="8222"/>
                <w:tab w:val="left" w:pos="9972"/>
              </w:tabs>
              <w:ind w:right="-108"/>
              <w:jc w:val="both"/>
              <w:rPr>
                <w:sz w:val="22"/>
                <w:szCs w:val="22"/>
                <w:lang w:val="mk-MK"/>
              </w:rPr>
            </w:pPr>
          </w:p>
          <w:p w:rsidR="002F268E" w:rsidRPr="00E82AA9" w:rsidRDefault="002F268E" w:rsidP="00363398">
            <w:pPr>
              <w:tabs>
                <w:tab w:val="left" w:pos="8222"/>
                <w:tab w:val="left" w:pos="9972"/>
              </w:tabs>
              <w:ind w:right="-108"/>
              <w:jc w:val="both"/>
              <w:rPr>
                <w:sz w:val="22"/>
                <w:szCs w:val="22"/>
                <w:lang w:val="mk-MK"/>
              </w:rPr>
            </w:pPr>
            <w:r w:rsidRPr="00E82AA9">
              <w:rPr>
                <w:sz w:val="22"/>
                <w:szCs w:val="22"/>
                <w:lang w:val="mk-MK"/>
              </w:rPr>
              <w:t>YMANA</w:t>
            </w:r>
            <w:r w:rsidRPr="00E82AA9">
              <w:rPr>
                <w:b/>
                <w:bCs/>
                <w:sz w:val="22"/>
                <w:szCs w:val="22"/>
                <w:vertAlign w:val="superscript"/>
                <w:lang w:val="mk-MK"/>
              </w:rPr>
              <w:t>®</w:t>
            </w:r>
            <w:r w:rsidRPr="00E82AA9">
              <w:rPr>
                <w:sz w:val="22"/>
                <w:szCs w:val="22"/>
                <w:lang w:val="mk-MK"/>
              </w:rPr>
              <w:t xml:space="preserve"> 20 mg су браонкасто розе, овалнe, филм таблете, са утиснутим бројем „20” са једне стране и под</w:t>
            </w:r>
            <w:r w:rsidRPr="00E82AA9">
              <w:rPr>
                <w:sz w:val="22"/>
                <w:szCs w:val="22"/>
                <w:lang w:val="sr-Cyrl-CS"/>
              </w:rPr>
              <w:t>и</w:t>
            </w:r>
            <w:r w:rsidRPr="00E82AA9">
              <w:rPr>
                <w:sz w:val="22"/>
                <w:szCs w:val="22"/>
                <w:lang w:val="mk-MK"/>
              </w:rPr>
              <w:t xml:space="preserve">оном цртом са друге стране. Димензије једне таблете су приближно 14 </w:t>
            </w:r>
            <w:r w:rsidRPr="00E82AA9">
              <w:rPr>
                <w:sz w:val="22"/>
                <w:szCs w:val="22"/>
              </w:rPr>
              <w:t>mm</w:t>
            </w:r>
            <w:r w:rsidRPr="00E82AA9">
              <w:rPr>
                <w:sz w:val="22"/>
                <w:szCs w:val="22"/>
                <w:lang w:val="mk-MK"/>
              </w:rPr>
              <w:t xml:space="preserve"> х 7</w:t>
            </w:r>
            <w:r w:rsidRPr="00E82AA9">
              <w:rPr>
                <w:sz w:val="22"/>
                <w:szCs w:val="22"/>
              </w:rPr>
              <w:t xml:space="preserve"> mm.</w:t>
            </w:r>
          </w:p>
          <w:p w:rsidR="002F268E" w:rsidRPr="00E82AA9" w:rsidRDefault="002F268E" w:rsidP="00363398">
            <w:pPr>
              <w:pStyle w:val="NoSpacing"/>
              <w:tabs>
                <w:tab w:val="left" w:pos="8222"/>
                <w:tab w:val="left" w:pos="9972"/>
              </w:tabs>
              <w:ind w:right="-108"/>
              <w:jc w:val="both"/>
              <w:rPr>
                <w:rFonts w:ascii="Times New Roman" w:hAnsi="Times New Roman"/>
                <w:lang w:val="mk-MK"/>
              </w:rPr>
            </w:pPr>
          </w:p>
          <w:p w:rsidR="002F268E" w:rsidRPr="00E82AA9" w:rsidRDefault="002F268E" w:rsidP="00363398">
            <w:pPr>
              <w:pStyle w:val="NoSpacing"/>
              <w:tabs>
                <w:tab w:val="left" w:pos="8222"/>
                <w:tab w:val="left" w:pos="9972"/>
              </w:tabs>
              <w:ind w:right="-108"/>
              <w:jc w:val="both"/>
              <w:rPr>
                <w:rFonts w:ascii="Times New Roman" w:hAnsi="Times New Roman"/>
                <w:lang w:val="mk-MK"/>
              </w:rPr>
            </w:pPr>
            <w:r w:rsidRPr="00E82AA9">
              <w:rPr>
                <w:rFonts w:ascii="Times New Roman" w:hAnsi="Times New Roman"/>
                <w:lang w:val="mk-MK"/>
              </w:rPr>
              <w:t>YMANA</w:t>
            </w:r>
            <w:r w:rsidRPr="00E82AA9">
              <w:rPr>
                <w:rFonts w:ascii="Times New Roman" w:hAnsi="Times New Roman"/>
                <w:b/>
                <w:bCs/>
                <w:vertAlign w:val="superscript"/>
                <w:lang w:val="mk-MK"/>
              </w:rPr>
              <w:t>®</w:t>
            </w:r>
            <w:r w:rsidRPr="00E82AA9">
              <w:rPr>
                <w:rFonts w:ascii="Times New Roman" w:hAnsi="Times New Roman"/>
                <w:lang w:val="mk-MK"/>
              </w:rPr>
              <w:t xml:space="preserve"> 10 mg и 20 mg филм таблете се могу под</w:t>
            </w:r>
            <w:r w:rsidRPr="00E82AA9">
              <w:rPr>
                <w:rFonts w:ascii="Times New Roman" w:hAnsi="Times New Roman"/>
                <w:lang w:val="sr-Cyrl-CS"/>
              </w:rPr>
              <w:t>иј</w:t>
            </w:r>
            <w:r w:rsidRPr="00E82AA9">
              <w:rPr>
                <w:rFonts w:ascii="Times New Roman" w:hAnsi="Times New Roman"/>
                <w:lang w:val="mk-MK"/>
              </w:rPr>
              <w:t>елити на једнаке половине.</w:t>
            </w:r>
          </w:p>
          <w:p w:rsidR="002F268E" w:rsidRPr="00E82AA9" w:rsidRDefault="002F268E" w:rsidP="002F268E">
            <w:pPr>
              <w:tabs>
                <w:tab w:val="left" w:pos="8222"/>
              </w:tabs>
              <w:ind w:right="-108"/>
              <w:rPr>
                <w:color w:val="FF0000"/>
                <w:sz w:val="22"/>
                <w:szCs w:val="22"/>
                <w:lang w:val="sr-Cyrl-CS"/>
              </w:rPr>
            </w:pPr>
          </w:p>
          <w:p w:rsidR="00D44513" w:rsidRPr="00E82AA9" w:rsidRDefault="00D44513" w:rsidP="002F268E">
            <w:pPr>
              <w:tabs>
                <w:tab w:val="left" w:pos="8222"/>
              </w:tabs>
              <w:ind w:right="-108"/>
              <w:rPr>
                <w:color w:val="FF0000"/>
                <w:sz w:val="22"/>
                <w:szCs w:val="22"/>
                <w:lang w:val="sr-Cyrl-CS"/>
              </w:rPr>
            </w:pPr>
          </w:p>
          <w:p w:rsidR="00D44513" w:rsidRPr="00E82AA9" w:rsidRDefault="00D44513" w:rsidP="002F268E">
            <w:pPr>
              <w:tabs>
                <w:tab w:val="left" w:pos="8222"/>
              </w:tabs>
              <w:ind w:right="-108"/>
              <w:rPr>
                <w:color w:val="FF0000"/>
                <w:sz w:val="22"/>
                <w:szCs w:val="22"/>
                <w:lang w:val="sr-Cyrl-CS"/>
              </w:rPr>
            </w:pPr>
          </w:p>
          <w:p w:rsidR="00D44513" w:rsidRPr="00E82AA9" w:rsidRDefault="00D44513" w:rsidP="002F268E">
            <w:pPr>
              <w:tabs>
                <w:tab w:val="left" w:pos="8222"/>
              </w:tabs>
              <w:ind w:right="-108"/>
              <w:rPr>
                <w:color w:val="FF0000"/>
                <w:sz w:val="22"/>
                <w:szCs w:val="22"/>
                <w:lang w:val="sr-Cyrl-CS"/>
              </w:rPr>
            </w:pPr>
          </w:p>
        </w:tc>
      </w:tr>
      <w:tr w:rsidR="002F268E" w:rsidRPr="00E82AA9" w:rsidTr="002F268E">
        <w:tc>
          <w:tcPr>
            <w:tcW w:w="9747" w:type="dxa"/>
            <w:gridSpan w:val="4"/>
            <w:shd w:val="clear" w:color="auto" w:fill="auto"/>
            <w:vAlign w:val="center"/>
          </w:tcPr>
          <w:p w:rsidR="002F268E" w:rsidRPr="00E82AA9" w:rsidRDefault="002F268E" w:rsidP="00D44513">
            <w:pPr>
              <w:pStyle w:val="Header"/>
              <w:tabs>
                <w:tab w:val="left" w:pos="284"/>
                <w:tab w:val="left" w:pos="8222"/>
              </w:tabs>
              <w:ind w:right="-108"/>
              <w:rPr>
                <w:b/>
                <w:bCs/>
                <w:color w:val="FF0000"/>
                <w:sz w:val="22"/>
                <w:szCs w:val="22"/>
                <w:lang w:val="mk-MK"/>
              </w:rPr>
            </w:pPr>
            <w:r w:rsidRPr="00E82AA9">
              <w:rPr>
                <w:b/>
                <w:bCs/>
                <w:sz w:val="22"/>
                <w:szCs w:val="22"/>
              </w:rPr>
              <w:lastRenderedPageBreak/>
              <w:t>4.</w:t>
            </w:r>
            <w:r w:rsidRPr="00E82AA9">
              <w:rPr>
                <w:b/>
                <w:bCs/>
                <w:sz w:val="22"/>
                <w:szCs w:val="22"/>
                <w:lang w:val="mk-MK"/>
              </w:rPr>
              <w:t xml:space="preserve"> </w:t>
            </w:r>
            <w:r w:rsidRPr="00E82AA9">
              <w:rPr>
                <w:b/>
                <w:bCs/>
                <w:sz w:val="22"/>
                <w:szCs w:val="22"/>
              </w:rPr>
              <w:t xml:space="preserve">     КЛИНИЧКИ ПОДАЦИ</w:t>
            </w:r>
          </w:p>
        </w:tc>
      </w:tr>
      <w:tr w:rsidR="002F268E" w:rsidRPr="00E82AA9" w:rsidTr="002F268E">
        <w:trPr>
          <w:trHeight w:val="448"/>
        </w:trPr>
        <w:tc>
          <w:tcPr>
            <w:tcW w:w="9747" w:type="dxa"/>
            <w:gridSpan w:val="4"/>
            <w:vAlign w:val="center"/>
          </w:tcPr>
          <w:p w:rsidR="00D44513" w:rsidRPr="00E82AA9" w:rsidRDefault="00D44513" w:rsidP="00D44513">
            <w:pPr>
              <w:pStyle w:val="Header"/>
              <w:tabs>
                <w:tab w:val="left" w:pos="284"/>
                <w:tab w:val="left" w:pos="8222"/>
              </w:tabs>
              <w:ind w:right="-108"/>
              <w:rPr>
                <w:b/>
                <w:bCs/>
                <w:sz w:val="22"/>
                <w:szCs w:val="22"/>
              </w:rPr>
            </w:pPr>
          </w:p>
          <w:p w:rsidR="002F268E" w:rsidRPr="00E82AA9" w:rsidRDefault="002F268E" w:rsidP="00D44513">
            <w:pPr>
              <w:pStyle w:val="Header"/>
              <w:tabs>
                <w:tab w:val="left" w:pos="284"/>
                <w:tab w:val="left" w:pos="8222"/>
              </w:tabs>
              <w:ind w:right="-108"/>
              <w:rPr>
                <w:b/>
                <w:bCs/>
                <w:color w:val="FF0000"/>
                <w:sz w:val="22"/>
                <w:szCs w:val="22"/>
                <w:lang w:val="mk-MK"/>
              </w:rPr>
            </w:pPr>
            <w:r w:rsidRPr="00E82AA9">
              <w:rPr>
                <w:b/>
                <w:bCs/>
                <w:sz w:val="22"/>
                <w:szCs w:val="22"/>
              </w:rPr>
              <w:t>4.1.   Терапијске индикације</w:t>
            </w:r>
          </w:p>
        </w:tc>
      </w:tr>
      <w:tr w:rsidR="002F268E" w:rsidRPr="00E82AA9" w:rsidTr="002F268E">
        <w:trPr>
          <w:trHeight w:val="566"/>
        </w:trPr>
        <w:tc>
          <w:tcPr>
            <w:tcW w:w="9747" w:type="dxa"/>
            <w:gridSpan w:val="4"/>
            <w:vAlign w:val="center"/>
          </w:tcPr>
          <w:p w:rsidR="00D44513" w:rsidRPr="00E82AA9" w:rsidRDefault="00D44513" w:rsidP="00D44513">
            <w:pPr>
              <w:pStyle w:val="NoSpacing"/>
              <w:tabs>
                <w:tab w:val="left" w:pos="8222"/>
              </w:tabs>
              <w:ind w:right="-108"/>
              <w:jc w:val="both"/>
              <w:rPr>
                <w:rFonts w:ascii="Times New Roman" w:hAnsi="Times New Roman"/>
              </w:rPr>
            </w:pPr>
          </w:p>
          <w:p w:rsidR="002F268E" w:rsidRPr="00E82AA9" w:rsidRDefault="002F268E" w:rsidP="002F268E">
            <w:pPr>
              <w:pStyle w:val="NoSpacing"/>
              <w:tabs>
                <w:tab w:val="left" w:pos="8222"/>
              </w:tabs>
              <w:ind w:right="-108"/>
              <w:jc w:val="both"/>
              <w:rPr>
                <w:rFonts w:ascii="Times New Roman" w:hAnsi="Times New Roman"/>
                <w:lang w:val="mk-MK"/>
              </w:rPr>
            </w:pPr>
            <w:r w:rsidRPr="00E82AA9">
              <w:rPr>
                <w:rFonts w:ascii="Times New Roman" w:hAnsi="Times New Roman"/>
              </w:rPr>
              <w:t>Л</w:t>
            </w:r>
            <w:r w:rsidRPr="00E82AA9">
              <w:rPr>
                <w:rFonts w:ascii="Times New Roman" w:hAnsi="Times New Roman"/>
                <w:lang w:val="sr-Cyrl-CS"/>
              </w:rPr>
              <w:t>иј</w:t>
            </w:r>
            <w:r w:rsidRPr="00E82AA9">
              <w:rPr>
                <w:rFonts w:ascii="Times New Roman" w:hAnsi="Times New Roman"/>
              </w:rPr>
              <w:t xml:space="preserve">ечење </w:t>
            </w:r>
            <w:r w:rsidRPr="00E82AA9">
              <w:rPr>
                <w:rFonts w:ascii="Times New Roman" w:hAnsi="Times New Roman"/>
                <w:lang w:val="mk-MK"/>
              </w:rPr>
              <w:t xml:space="preserve">одраслих </w:t>
            </w:r>
            <w:r w:rsidRPr="00E82AA9">
              <w:rPr>
                <w:rFonts w:ascii="Times New Roman" w:hAnsi="Times New Roman"/>
                <w:lang w:val="sr-Cyrl-CS"/>
              </w:rPr>
              <w:t>пацијената</w:t>
            </w:r>
            <w:r w:rsidRPr="00E82AA9">
              <w:rPr>
                <w:rFonts w:ascii="Times New Roman" w:hAnsi="Times New Roman"/>
              </w:rPr>
              <w:t xml:space="preserve"> са ум</w:t>
            </w:r>
            <w:r w:rsidRPr="00E82AA9">
              <w:rPr>
                <w:rFonts w:ascii="Times New Roman" w:hAnsi="Times New Roman"/>
                <w:lang w:val="sr-Cyrl-CS"/>
              </w:rPr>
              <w:t>ј</w:t>
            </w:r>
            <w:r w:rsidRPr="00E82AA9">
              <w:rPr>
                <w:rFonts w:ascii="Times New Roman" w:hAnsi="Times New Roman"/>
              </w:rPr>
              <w:t>ереном до тешком Алцхајмеровом болешћу.</w:t>
            </w:r>
          </w:p>
          <w:p w:rsidR="002F268E" w:rsidRPr="00E82AA9" w:rsidRDefault="002F268E" w:rsidP="002F268E">
            <w:pPr>
              <w:pStyle w:val="NormalWeb"/>
              <w:tabs>
                <w:tab w:val="left" w:pos="8222"/>
              </w:tabs>
              <w:spacing w:before="0" w:beforeAutospacing="0" w:after="0"/>
              <w:ind w:right="-108"/>
              <w:jc w:val="both"/>
              <w:rPr>
                <w:color w:val="FF0000"/>
                <w:lang w:val="mk-MK"/>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108"/>
              <w:rPr>
                <w:b/>
                <w:bCs/>
                <w:color w:val="FF0000"/>
                <w:sz w:val="22"/>
                <w:szCs w:val="22"/>
              </w:rPr>
            </w:pPr>
            <w:r w:rsidRPr="00E82AA9">
              <w:rPr>
                <w:b/>
                <w:bCs/>
                <w:sz w:val="22"/>
                <w:szCs w:val="22"/>
              </w:rPr>
              <w:t>4.2.   Дозирање и начин прим</w:t>
            </w:r>
            <w:r w:rsidRPr="00E82AA9">
              <w:rPr>
                <w:b/>
                <w:bCs/>
                <w:sz w:val="22"/>
                <w:szCs w:val="22"/>
                <w:lang w:val="sr-Cyrl-CS"/>
              </w:rPr>
              <w:t>ј</w:t>
            </w:r>
            <w:r w:rsidRPr="00E82AA9">
              <w:rPr>
                <w:b/>
                <w:bCs/>
                <w:sz w:val="22"/>
                <w:szCs w:val="22"/>
              </w:rPr>
              <w:t>ене</w:t>
            </w:r>
          </w:p>
        </w:tc>
      </w:tr>
      <w:tr w:rsidR="002F268E" w:rsidRPr="00E82AA9" w:rsidTr="002F268E">
        <w:trPr>
          <w:trHeight w:val="1145"/>
        </w:trPr>
        <w:tc>
          <w:tcPr>
            <w:tcW w:w="9747" w:type="dxa"/>
            <w:gridSpan w:val="4"/>
            <w:vAlign w:val="center"/>
          </w:tcPr>
          <w:p w:rsidR="002F268E" w:rsidRPr="00E82AA9" w:rsidRDefault="002F268E" w:rsidP="00FA5CC0">
            <w:pPr>
              <w:tabs>
                <w:tab w:val="left" w:pos="8222"/>
              </w:tabs>
              <w:ind w:right="-108"/>
              <w:jc w:val="both"/>
              <w:rPr>
                <w:i/>
                <w:color w:val="FF0000"/>
                <w:sz w:val="22"/>
                <w:szCs w:val="22"/>
                <w:lang w:val="sr-Cyrl-CS"/>
              </w:rPr>
            </w:pPr>
          </w:p>
          <w:p w:rsidR="002F268E" w:rsidRPr="00E82AA9" w:rsidRDefault="002F268E" w:rsidP="00FA5CC0">
            <w:pPr>
              <w:tabs>
                <w:tab w:val="left" w:pos="8222"/>
              </w:tabs>
              <w:ind w:right="-108"/>
              <w:jc w:val="both"/>
              <w:rPr>
                <w:sz w:val="22"/>
                <w:szCs w:val="22"/>
                <w:lang w:val="mk-MK"/>
              </w:rPr>
            </w:pPr>
            <w:r w:rsidRPr="00E82AA9">
              <w:rPr>
                <w:sz w:val="22"/>
                <w:szCs w:val="22"/>
              </w:rPr>
              <w:t>Л</w:t>
            </w:r>
            <w:r w:rsidRPr="00E82AA9">
              <w:rPr>
                <w:sz w:val="22"/>
                <w:szCs w:val="22"/>
                <w:lang w:val="sr-Cyrl-CS"/>
              </w:rPr>
              <w:t>иј</w:t>
            </w:r>
            <w:r w:rsidRPr="00E82AA9">
              <w:rPr>
                <w:sz w:val="22"/>
                <w:szCs w:val="22"/>
              </w:rPr>
              <w:t xml:space="preserve">ечење треба да започне и надгледа </w:t>
            </w:r>
            <w:r w:rsidRPr="00E82AA9">
              <w:rPr>
                <w:sz w:val="22"/>
                <w:szCs w:val="22"/>
                <w:lang w:val="sr-Cyrl-CS"/>
              </w:rPr>
              <w:t>љ</w:t>
            </w:r>
            <w:r w:rsidRPr="00E82AA9">
              <w:rPr>
                <w:sz w:val="22"/>
                <w:szCs w:val="22"/>
              </w:rPr>
              <w:t>екар који има искуства у дијагностиковању и л</w:t>
            </w:r>
            <w:r w:rsidRPr="00E82AA9">
              <w:rPr>
                <w:sz w:val="22"/>
                <w:szCs w:val="22"/>
                <w:lang w:val="sr-Cyrl-CS"/>
              </w:rPr>
              <w:t>иј</w:t>
            </w:r>
            <w:r w:rsidRPr="00E82AA9">
              <w:rPr>
                <w:sz w:val="22"/>
                <w:szCs w:val="22"/>
              </w:rPr>
              <w:t xml:space="preserve">ечењу Алцхајмерове деменције. </w:t>
            </w:r>
          </w:p>
          <w:p w:rsidR="002F268E" w:rsidRPr="00E82AA9" w:rsidRDefault="002F268E" w:rsidP="00FA5CC0">
            <w:pPr>
              <w:tabs>
                <w:tab w:val="left" w:pos="8222"/>
              </w:tabs>
              <w:ind w:right="-108"/>
              <w:jc w:val="both"/>
              <w:rPr>
                <w:b/>
                <w:bCs/>
                <w:sz w:val="22"/>
                <w:szCs w:val="22"/>
                <w:lang w:val="mk-MK" w:eastAsia="en-GB"/>
              </w:rPr>
            </w:pPr>
          </w:p>
          <w:p w:rsidR="002F268E" w:rsidRPr="00E82AA9" w:rsidRDefault="002F268E" w:rsidP="00FA5CC0">
            <w:pPr>
              <w:tabs>
                <w:tab w:val="left" w:pos="8222"/>
              </w:tabs>
              <w:ind w:right="-108"/>
              <w:jc w:val="both"/>
              <w:rPr>
                <w:sz w:val="22"/>
                <w:szCs w:val="22"/>
                <w:lang w:val="mk-MK"/>
              </w:rPr>
            </w:pPr>
            <w:r w:rsidRPr="00E82AA9">
              <w:rPr>
                <w:sz w:val="22"/>
                <w:szCs w:val="22"/>
                <w:u w:val="single"/>
                <w:lang w:val="mk-MK"/>
              </w:rPr>
              <w:t>Дозирање</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Л</w:t>
            </w:r>
            <w:r w:rsidRPr="00E82AA9">
              <w:rPr>
                <w:rFonts w:ascii="Times New Roman" w:hAnsi="Times New Roman"/>
                <w:lang w:val="sr-Cyrl-CS"/>
              </w:rPr>
              <w:t>иј</w:t>
            </w:r>
            <w:r w:rsidRPr="00E82AA9">
              <w:rPr>
                <w:rFonts w:ascii="Times New Roman" w:hAnsi="Times New Roman"/>
                <w:lang w:val="mk-MK"/>
              </w:rPr>
              <w:t>ечење треба започети само ако постоји особа која ће се старати  о пацијенту (</w:t>
            </w:r>
            <w:r w:rsidRPr="00E82AA9">
              <w:rPr>
                <w:rFonts w:ascii="Times New Roman" w:hAnsi="Times New Roman"/>
                <w:lang w:val="sr-Cyrl-CS"/>
              </w:rPr>
              <w:t>њ</w:t>
            </w:r>
            <w:r w:rsidRPr="00E82AA9">
              <w:rPr>
                <w:rFonts w:ascii="Times New Roman" w:hAnsi="Times New Roman"/>
                <w:lang w:val="mk-MK"/>
              </w:rPr>
              <w:t xml:space="preserve">еговатељ) и која ће редовно пратити узимање лијека од стране </w:t>
            </w:r>
            <w:r w:rsidRPr="00E82AA9">
              <w:rPr>
                <w:rFonts w:ascii="Times New Roman" w:hAnsi="Times New Roman"/>
                <w:lang w:val="sr-Cyrl-CS"/>
              </w:rPr>
              <w:t>пацијента</w:t>
            </w:r>
            <w:r w:rsidRPr="00E82AA9">
              <w:rPr>
                <w:rFonts w:ascii="Times New Roman" w:hAnsi="Times New Roman"/>
                <w:lang w:val="mk-MK"/>
              </w:rPr>
              <w:t>. Дијагнозу треба поставити у складу са важећим см</w:t>
            </w:r>
            <w:r w:rsidRPr="00E82AA9">
              <w:rPr>
                <w:rFonts w:ascii="Times New Roman" w:hAnsi="Times New Roman"/>
                <w:lang w:val="sr-Cyrl-CS"/>
              </w:rPr>
              <w:t>ј</w:t>
            </w:r>
            <w:r w:rsidRPr="00E82AA9">
              <w:rPr>
                <w:rFonts w:ascii="Times New Roman" w:hAnsi="Times New Roman"/>
                <w:lang w:val="mk-MK"/>
              </w:rPr>
              <w:t>ерницама.</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Толеранцију и дозирање мемантина би требало периодично процјењивати, по могућности у року од 3 м</w:t>
            </w:r>
            <w:r w:rsidRPr="00E82AA9">
              <w:rPr>
                <w:rFonts w:ascii="Times New Roman" w:hAnsi="Times New Roman"/>
                <w:lang w:val="sr-Cyrl-CS"/>
              </w:rPr>
              <w:t>ј</w:t>
            </w:r>
            <w:r w:rsidRPr="00E82AA9">
              <w:rPr>
                <w:rFonts w:ascii="Times New Roman" w:hAnsi="Times New Roman"/>
                <w:lang w:val="mk-MK"/>
              </w:rPr>
              <w:t>есеца након започињања терапије. Након тога, клиничк</w:t>
            </w:r>
            <w:r w:rsidRPr="00E82AA9">
              <w:rPr>
                <w:rFonts w:ascii="Times New Roman" w:hAnsi="Times New Roman"/>
                <w:lang w:val="sr-Cyrl-CS"/>
              </w:rPr>
              <w:t>а</w:t>
            </w:r>
            <w:r w:rsidRPr="00E82AA9">
              <w:rPr>
                <w:rFonts w:ascii="Times New Roman" w:hAnsi="Times New Roman"/>
                <w:lang w:val="mk-MK"/>
              </w:rPr>
              <w:t xml:space="preserve"> корист мемантина и </w:t>
            </w:r>
            <w:r w:rsidRPr="00E82AA9">
              <w:rPr>
                <w:rFonts w:ascii="Times New Roman" w:hAnsi="Times New Roman"/>
                <w:lang w:val="sr-Cyrl-CS"/>
              </w:rPr>
              <w:t>подношљивост терапије од стране</w:t>
            </w:r>
            <w:r w:rsidRPr="00E82AA9">
              <w:rPr>
                <w:rFonts w:ascii="Times New Roman" w:hAnsi="Times New Roman"/>
                <w:lang w:val="mk-MK"/>
              </w:rPr>
              <w:t xml:space="preserve"> пацијената треба периодично процјењивати у складу са важећим см</w:t>
            </w:r>
            <w:r w:rsidRPr="00E82AA9">
              <w:rPr>
                <w:rFonts w:ascii="Times New Roman" w:hAnsi="Times New Roman"/>
                <w:lang w:val="sr-Cyrl-CS"/>
              </w:rPr>
              <w:t>ј</w:t>
            </w:r>
            <w:r w:rsidRPr="00E82AA9">
              <w:rPr>
                <w:rFonts w:ascii="Times New Roman" w:hAnsi="Times New Roman"/>
                <w:lang w:val="mk-MK"/>
              </w:rPr>
              <w:t>ерницама.</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Терапија</w:t>
            </w:r>
            <w:r w:rsidRPr="00E82AA9">
              <w:rPr>
                <w:rFonts w:ascii="Times New Roman" w:hAnsi="Times New Roman"/>
                <w:lang w:val="sr-Latn-ME"/>
              </w:rPr>
              <w:t xml:space="preserve"> </w:t>
            </w:r>
            <w:r w:rsidRPr="00E82AA9">
              <w:rPr>
                <w:rFonts w:ascii="Times New Roman" w:hAnsi="Times New Roman"/>
                <w:lang w:val="mk-MK"/>
              </w:rPr>
              <w:t>одржавањеа се може наставити све док постоји терапијска корист за пацијента и ако пацијент добро подноси л</w:t>
            </w:r>
            <w:r w:rsidRPr="00E82AA9">
              <w:rPr>
                <w:rFonts w:ascii="Times New Roman" w:hAnsi="Times New Roman"/>
                <w:lang w:val="sr-Cyrl-CS"/>
              </w:rPr>
              <w:t>иј</w:t>
            </w:r>
            <w:r w:rsidRPr="00E82AA9">
              <w:rPr>
                <w:rFonts w:ascii="Times New Roman" w:hAnsi="Times New Roman"/>
                <w:lang w:val="mk-MK"/>
              </w:rPr>
              <w:t>ечење мемантином. Прекид терапије мемантином треба узети у обзир онда када више нема доказа о терапијском дејству, или када пацијент више не подноси добро терапију.</w:t>
            </w:r>
          </w:p>
          <w:p w:rsidR="002F268E" w:rsidRPr="00E82AA9" w:rsidRDefault="002F268E" w:rsidP="00FA5CC0">
            <w:pPr>
              <w:pStyle w:val="NoSpacing"/>
              <w:tabs>
                <w:tab w:val="left" w:pos="8222"/>
              </w:tabs>
              <w:ind w:right="-108"/>
              <w:jc w:val="both"/>
              <w:rPr>
                <w:rFonts w:ascii="Times New Roman" w:hAnsi="Times New Roman"/>
                <w:i/>
                <w:lang w:val="mk-MK"/>
              </w:rPr>
            </w:pP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i/>
                <w:lang w:val="mk-MK"/>
              </w:rPr>
              <w:t>Одрасли</w:t>
            </w:r>
            <w:r w:rsidRPr="00E82AA9">
              <w:rPr>
                <w:rFonts w:ascii="Times New Roman" w:hAnsi="Times New Roman"/>
                <w:lang w:val="mk-MK"/>
              </w:rPr>
              <w:t>:</w:t>
            </w:r>
          </w:p>
          <w:p w:rsidR="002F268E" w:rsidRPr="00E82AA9" w:rsidRDefault="002F268E" w:rsidP="00FA5CC0">
            <w:pPr>
              <w:pStyle w:val="NoSpacing"/>
              <w:tabs>
                <w:tab w:val="left" w:pos="8222"/>
              </w:tabs>
              <w:ind w:right="-108"/>
              <w:jc w:val="both"/>
              <w:rPr>
                <w:rFonts w:ascii="Times New Roman" w:hAnsi="Times New Roman"/>
                <w:u w:val="single"/>
                <w:lang w:val="mk-MK"/>
              </w:rPr>
            </w:pPr>
            <w:r w:rsidRPr="00E82AA9">
              <w:rPr>
                <w:rFonts w:ascii="Times New Roman" w:hAnsi="Times New Roman"/>
                <w:u w:val="single"/>
                <w:lang w:val="mk-MK"/>
              </w:rPr>
              <w:t>Титрација дозе</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Максимална дневна доза износи 20 mg. У циљу смањивања ризика од нежељених дејстава, доза одржавања се постиже постепеном титрацијом од 5 mg нед</w:t>
            </w:r>
            <w:r w:rsidRPr="00E82AA9">
              <w:rPr>
                <w:rFonts w:ascii="Times New Roman" w:hAnsi="Times New Roman"/>
              </w:rPr>
              <w:t>j</w:t>
            </w:r>
            <w:r w:rsidRPr="00E82AA9">
              <w:rPr>
                <w:rFonts w:ascii="Times New Roman" w:hAnsi="Times New Roman"/>
                <w:lang w:val="mk-MK"/>
              </w:rPr>
              <w:t>ељно током прве 3 нед</w:t>
            </w:r>
            <w:r w:rsidRPr="00E82AA9">
              <w:rPr>
                <w:rFonts w:ascii="Times New Roman" w:hAnsi="Times New Roman"/>
              </w:rPr>
              <w:t>j</w:t>
            </w:r>
            <w:r w:rsidRPr="00E82AA9">
              <w:rPr>
                <w:rFonts w:ascii="Times New Roman" w:hAnsi="Times New Roman"/>
                <w:lang w:val="mk-MK"/>
              </w:rPr>
              <w:t xml:space="preserve">еље, на сљедећи начин: </w:t>
            </w:r>
          </w:p>
          <w:p w:rsidR="002F268E" w:rsidRPr="00E82AA9" w:rsidRDefault="002F268E" w:rsidP="00FA5CC0">
            <w:pPr>
              <w:pStyle w:val="NoSpacing"/>
              <w:tabs>
                <w:tab w:val="left" w:pos="8222"/>
              </w:tabs>
              <w:ind w:right="-108"/>
              <w:jc w:val="both"/>
              <w:rPr>
                <w:rFonts w:ascii="Times New Roman" w:hAnsi="Times New Roman"/>
                <w:lang w:val="mk-MK"/>
              </w:rPr>
            </w:pP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Прва нед</w:t>
            </w:r>
            <w:r w:rsidRPr="00E82AA9">
              <w:rPr>
                <w:rFonts w:ascii="Times New Roman" w:hAnsi="Times New Roman"/>
                <w:lang w:val="sr-Cyrl-CS"/>
              </w:rPr>
              <w:t>ј</w:t>
            </w:r>
            <w:r w:rsidRPr="00E82AA9">
              <w:rPr>
                <w:rFonts w:ascii="Times New Roman" w:hAnsi="Times New Roman"/>
                <w:lang w:val="mk-MK"/>
              </w:rPr>
              <w:t>еља (дан 1-7):</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Пацијент треба да узима дозу од 5 mg дневно током 7 дана.</w:t>
            </w:r>
          </w:p>
          <w:p w:rsidR="002F268E" w:rsidRPr="00E82AA9" w:rsidRDefault="002F268E" w:rsidP="00FA5CC0">
            <w:pPr>
              <w:pStyle w:val="NoSpacing"/>
              <w:tabs>
                <w:tab w:val="left" w:pos="8222"/>
              </w:tabs>
              <w:ind w:right="-108"/>
              <w:jc w:val="both"/>
              <w:rPr>
                <w:rFonts w:ascii="Times New Roman" w:hAnsi="Times New Roman"/>
                <w:b/>
                <w:bCs/>
                <w:lang w:val="mk-MK" w:eastAsia="en-GB"/>
              </w:rPr>
            </w:pP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Друга нед</w:t>
            </w:r>
            <w:r w:rsidRPr="00E82AA9">
              <w:rPr>
                <w:rFonts w:ascii="Times New Roman" w:hAnsi="Times New Roman"/>
                <w:lang w:val="sr-Cyrl-CS"/>
              </w:rPr>
              <w:t>ј</w:t>
            </w:r>
            <w:r w:rsidRPr="00E82AA9">
              <w:rPr>
                <w:rFonts w:ascii="Times New Roman" w:hAnsi="Times New Roman"/>
                <w:lang w:val="mk-MK"/>
              </w:rPr>
              <w:t>еља (дан 8-14):</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Пацијент треба да узима дозу од  10 mg дневно током 7 дана.</w:t>
            </w:r>
          </w:p>
          <w:p w:rsidR="002F268E" w:rsidRPr="00E82AA9" w:rsidRDefault="002F268E" w:rsidP="00FA5CC0">
            <w:pPr>
              <w:pStyle w:val="NoSpacing"/>
              <w:tabs>
                <w:tab w:val="left" w:pos="8222"/>
              </w:tabs>
              <w:ind w:right="-108"/>
              <w:jc w:val="both"/>
              <w:rPr>
                <w:rFonts w:ascii="Times New Roman" w:hAnsi="Times New Roman"/>
                <w:b/>
                <w:bCs/>
                <w:lang w:val="mk-MK" w:eastAsia="en-GB"/>
              </w:rPr>
            </w:pP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Трећа нед</w:t>
            </w:r>
            <w:r w:rsidRPr="00E82AA9">
              <w:rPr>
                <w:rFonts w:ascii="Times New Roman" w:hAnsi="Times New Roman"/>
                <w:lang w:val="sr-Cyrl-CS"/>
              </w:rPr>
              <w:t>ј</w:t>
            </w:r>
            <w:r w:rsidRPr="00E82AA9">
              <w:rPr>
                <w:rFonts w:ascii="Times New Roman" w:hAnsi="Times New Roman"/>
                <w:lang w:val="mk-MK"/>
              </w:rPr>
              <w:t>еља (дан 15-21):</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Пацијент треба да узима дозу од 15 mg дневно током 7 дана.</w:t>
            </w:r>
          </w:p>
          <w:p w:rsidR="002F268E" w:rsidRPr="00E82AA9" w:rsidRDefault="002F268E" w:rsidP="00FA5CC0">
            <w:pPr>
              <w:pStyle w:val="NoSpacing"/>
              <w:tabs>
                <w:tab w:val="left" w:pos="8222"/>
              </w:tabs>
              <w:ind w:right="-108"/>
              <w:jc w:val="both"/>
              <w:rPr>
                <w:rFonts w:ascii="Times New Roman" w:hAnsi="Times New Roman"/>
                <w:b/>
                <w:bCs/>
                <w:lang w:val="mk-MK" w:eastAsia="en-GB"/>
              </w:rPr>
            </w:pP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Од четврте нед</w:t>
            </w:r>
            <w:r w:rsidRPr="00E82AA9">
              <w:rPr>
                <w:rFonts w:ascii="Times New Roman" w:hAnsi="Times New Roman"/>
                <w:lang w:val="sr-Cyrl-CS"/>
              </w:rPr>
              <w:t>ј</w:t>
            </w:r>
            <w:r w:rsidRPr="00E82AA9">
              <w:rPr>
                <w:rFonts w:ascii="Times New Roman" w:hAnsi="Times New Roman"/>
                <w:lang w:val="mk-MK"/>
              </w:rPr>
              <w:t>еље:</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Пацијент треба да узима дозу од 20 mg дневно током 7 дана.</w:t>
            </w:r>
          </w:p>
          <w:p w:rsidR="002F268E" w:rsidRPr="00E82AA9" w:rsidRDefault="002F268E" w:rsidP="00FA5CC0">
            <w:pPr>
              <w:pStyle w:val="NoSpacing"/>
              <w:tabs>
                <w:tab w:val="left" w:pos="8222"/>
              </w:tabs>
              <w:ind w:right="-108"/>
              <w:jc w:val="both"/>
              <w:rPr>
                <w:rFonts w:ascii="Times New Roman" w:hAnsi="Times New Roman"/>
                <w:u w:val="single"/>
                <w:lang w:val="mk-MK"/>
              </w:rPr>
            </w:pPr>
          </w:p>
          <w:p w:rsidR="002F268E" w:rsidRPr="00E82AA9" w:rsidRDefault="002F268E" w:rsidP="00FA5CC0">
            <w:pPr>
              <w:pStyle w:val="NoSpacing"/>
              <w:tabs>
                <w:tab w:val="left" w:pos="8222"/>
              </w:tabs>
              <w:ind w:right="-108"/>
              <w:jc w:val="both"/>
              <w:rPr>
                <w:rFonts w:ascii="Times New Roman" w:hAnsi="Times New Roman"/>
                <w:u w:val="single"/>
                <w:lang w:val="mk-MK"/>
              </w:rPr>
            </w:pPr>
            <w:r w:rsidRPr="00E82AA9">
              <w:rPr>
                <w:rFonts w:ascii="Times New Roman" w:hAnsi="Times New Roman"/>
                <w:u w:val="single"/>
                <w:lang w:val="mk-MK"/>
              </w:rPr>
              <w:t>Доза одржавања:</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Препоручена доза одржавања је 20 mg на дан.</w:t>
            </w:r>
          </w:p>
          <w:p w:rsidR="002F268E" w:rsidRPr="00E82AA9" w:rsidRDefault="002F268E" w:rsidP="00FA5CC0">
            <w:pPr>
              <w:pStyle w:val="NoSpacing"/>
              <w:tabs>
                <w:tab w:val="left" w:pos="8222"/>
              </w:tabs>
              <w:ind w:right="-108"/>
              <w:jc w:val="both"/>
              <w:rPr>
                <w:rFonts w:ascii="Times New Roman" w:hAnsi="Times New Roman"/>
                <w:b/>
                <w:bCs/>
                <w:lang w:val="mk-MK" w:eastAsia="en-GB"/>
              </w:rPr>
            </w:pPr>
          </w:p>
          <w:p w:rsidR="002F268E" w:rsidRPr="00E82AA9" w:rsidRDefault="002F268E" w:rsidP="00FA5CC0">
            <w:pPr>
              <w:pStyle w:val="NoSpacing"/>
              <w:tabs>
                <w:tab w:val="left" w:pos="8222"/>
              </w:tabs>
              <w:ind w:right="-108"/>
              <w:jc w:val="both"/>
              <w:rPr>
                <w:rFonts w:ascii="Times New Roman" w:hAnsi="Times New Roman"/>
                <w:i/>
                <w:lang w:val="mk-MK"/>
              </w:rPr>
            </w:pPr>
            <w:r w:rsidRPr="00E82AA9">
              <w:rPr>
                <w:rFonts w:ascii="Times New Roman" w:hAnsi="Times New Roman"/>
                <w:i/>
                <w:lang w:val="mk-MK"/>
              </w:rPr>
              <w:t>Старије особе:</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На основу резултата клиничких испитивања, препоручена доза за пацијенте старије од 65 година је 20 mg на дан (20 mg једном дневно), као што је горе описано.</w:t>
            </w:r>
          </w:p>
          <w:p w:rsidR="002F268E" w:rsidRPr="00E82AA9" w:rsidRDefault="002F268E" w:rsidP="00FA5CC0">
            <w:pPr>
              <w:pStyle w:val="NoSpacing"/>
              <w:tabs>
                <w:tab w:val="left" w:pos="8222"/>
              </w:tabs>
              <w:ind w:right="-108"/>
              <w:jc w:val="both"/>
              <w:rPr>
                <w:rFonts w:ascii="Times New Roman" w:hAnsi="Times New Roman"/>
                <w:i/>
                <w:lang w:val="mk-MK"/>
              </w:rPr>
            </w:pPr>
            <w:r w:rsidRPr="00E82AA9">
              <w:rPr>
                <w:rFonts w:ascii="Times New Roman" w:hAnsi="Times New Roman"/>
                <w:i/>
                <w:lang w:val="mk-MK"/>
              </w:rPr>
              <w:lastRenderedPageBreak/>
              <w:t>Оштећење бубрега:</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Код пацијената са благо оштећеном функцијом бубрега (клиренс креатинина 50 – 80 ml/мин) није потребно прилагођавање дозе. Код пацијената са ум</w:t>
            </w:r>
            <w:r w:rsidRPr="00E82AA9">
              <w:rPr>
                <w:rFonts w:ascii="Times New Roman" w:hAnsi="Times New Roman"/>
                <w:lang w:val="sr-Cyrl-CS"/>
              </w:rPr>
              <w:t>ј</w:t>
            </w:r>
            <w:r w:rsidRPr="00E82AA9">
              <w:rPr>
                <w:rFonts w:ascii="Times New Roman" w:hAnsi="Times New Roman"/>
                <w:lang w:val="mk-MK"/>
              </w:rPr>
              <w:t>ерено оштећеном функцијом бубрега (клиренс креатинина 30 – 49 ml/мин) дневна доза треба да износи 10 mg на дан. Уколико се терапија добро подноси посл</w:t>
            </w:r>
            <w:r w:rsidRPr="00E82AA9">
              <w:rPr>
                <w:rFonts w:ascii="Times New Roman" w:hAnsi="Times New Roman"/>
                <w:lang w:val="sr-Cyrl-CS"/>
              </w:rPr>
              <w:t>иј</w:t>
            </w:r>
            <w:r w:rsidRPr="00E82AA9">
              <w:rPr>
                <w:rFonts w:ascii="Times New Roman" w:hAnsi="Times New Roman"/>
                <w:lang w:val="mk-MK"/>
              </w:rPr>
              <w:t>е најмање 7 дана л</w:t>
            </w:r>
            <w:r w:rsidRPr="00E82AA9">
              <w:rPr>
                <w:rFonts w:ascii="Times New Roman" w:hAnsi="Times New Roman"/>
                <w:lang w:val="sr-Cyrl-CS"/>
              </w:rPr>
              <w:t>иј</w:t>
            </w:r>
            <w:r w:rsidRPr="00E82AA9">
              <w:rPr>
                <w:rFonts w:ascii="Times New Roman" w:hAnsi="Times New Roman"/>
                <w:lang w:val="mk-MK"/>
              </w:rPr>
              <w:t>ечења, доза се може повећати до 20 mg на дан, према стандардној шеми титрирања. Код пацијената са тешким оштећењ</w:t>
            </w:r>
            <w:r w:rsidRPr="00E82AA9">
              <w:rPr>
                <w:rFonts w:ascii="Times New Roman" w:hAnsi="Times New Roman"/>
                <w:lang w:val="sr-Cyrl-CS"/>
              </w:rPr>
              <w:t>е</w:t>
            </w:r>
            <w:r w:rsidRPr="00E82AA9">
              <w:rPr>
                <w:rFonts w:ascii="Times New Roman" w:hAnsi="Times New Roman"/>
                <w:lang w:val="mk-MK"/>
              </w:rPr>
              <w:t>м бубрежне функције (клиренс креатинина 5 – 29 ml/мин) дневна доза треба да износи 10 mg.</w:t>
            </w:r>
          </w:p>
          <w:p w:rsidR="002F268E" w:rsidRPr="00E82AA9" w:rsidRDefault="002F268E" w:rsidP="00FA5CC0">
            <w:pPr>
              <w:pStyle w:val="NoSpacing"/>
              <w:tabs>
                <w:tab w:val="left" w:pos="8222"/>
              </w:tabs>
              <w:ind w:right="-108"/>
              <w:jc w:val="both"/>
              <w:rPr>
                <w:rFonts w:ascii="Times New Roman" w:hAnsi="Times New Roman"/>
                <w:b/>
                <w:bCs/>
                <w:lang w:val="mk-MK" w:eastAsia="en-GB"/>
              </w:rPr>
            </w:pPr>
          </w:p>
          <w:p w:rsidR="002F268E" w:rsidRPr="00E82AA9" w:rsidRDefault="002F268E" w:rsidP="00FA5CC0">
            <w:pPr>
              <w:pStyle w:val="NoSpacing"/>
              <w:tabs>
                <w:tab w:val="left" w:pos="8222"/>
              </w:tabs>
              <w:ind w:right="-108"/>
              <w:jc w:val="both"/>
              <w:rPr>
                <w:rFonts w:ascii="Times New Roman" w:hAnsi="Times New Roman"/>
                <w:i/>
                <w:lang w:val="mk-MK"/>
              </w:rPr>
            </w:pPr>
            <w:r w:rsidRPr="00E82AA9">
              <w:rPr>
                <w:rFonts w:ascii="Times New Roman" w:hAnsi="Times New Roman"/>
                <w:i/>
                <w:lang w:val="mk-MK"/>
              </w:rPr>
              <w:t>Оштећење јетре:</w:t>
            </w:r>
          </w:p>
          <w:p w:rsidR="002F268E" w:rsidRPr="00E82AA9" w:rsidRDefault="002F268E" w:rsidP="00FA5CC0">
            <w:pPr>
              <w:pStyle w:val="NoSpacing"/>
              <w:tabs>
                <w:tab w:val="left" w:pos="8222"/>
              </w:tabs>
              <w:ind w:right="-108"/>
              <w:jc w:val="both"/>
              <w:rPr>
                <w:rFonts w:ascii="Times New Roman" w:hAnsi="Times New Roman"/>
                <w:lang w:val="sr-Cyrl-CS"/>
              </w:rPr>
            </w:pPr>
            <w:r w:rsidRPr="00E82AA9">
              <w:rPr>
                <w:rFonts w:ascii="Times New Roman" w:hAnsi="Times New Roman"/>
                <w:lang w:val="mk-MK"/>
              </w:rPr>
              <w:t>Код пацијената са благим или ум</w:t>
            </w:r>
            <w:r w:rsidRPr="00E82AA9">
              <w:rPr>
                <w:rFonts w:ascii="Times New Roman" w:hAnsi="Times New Roman"/>
                <w:lang w:val="sr-Cyrl-CS"/>
              </w:rPr>
              <w:t>ј</w:t>
            </w:r>
            <w:r w:rsidRPr="00E82AA9">
              <w:rPr>
                <w:rFonts w:ascii="Times New Roman" w:hAnsi="Times New Roman"/>
                <w:lang w:val="mk-MK"/>
              </w:rPr>
              <w:t>ереним оштећењем функције јетре (Child-Pugh A и Child-Pugh B) није потребно прилагођавање дозе. Нијесу доступн</w:t>
            </w:r>
            <w:r w:rsidRPr="00E82AA9">
              <w:rPr>
                <w:rFonts w:ascii="Times New Roman" w:hAnsi="Times New Roman"/>
              </w:rPr>
              <w:t>и</w:t>
            </w:r>
            <w:r w:rsidRPr="00E82AA9">
              <w:rPr>
                <w:rFonts w:ascii="Times New Roman" w:hAnsi="Times New Roman"/>
                <w:lang w:val="mk-MK"/>
              </w:rPr>
              <w:t xml:space="preserve"> подаци о прим</w:t>
            </w:r>
            <w:r w:rsidRPr="00E82AA9">
              <w:rPr>
                <w:rFonts w:ascii="Times New Roman" w:hAnsi="Times New Roman"/>
                <w:lang w:val="sr-Cyrl-CS"/>
              </w:rPr>
              <w:t>иј</w:t>
            </w:r>
            <w:r w:rsidRPr="00E82AA9">
              <w:rPr>
                <w:rFonts w:ascii="Times New Roman" w:hAnsi="Times New Roman"/>
                <w:lang w:val="mk-MK"/>
              </w:rPr>
              <w:t xml:space="preserve">ени мемантина код </w:t>
            </w:r>
            <w:r w:rsidRPr="00E82AA9">
              <w:rPr>
                <w:rFonts w:ascii="Times New Roman" w:hAnsi="Times New Roman"/>
                <w:lang w:val="sr-Cyrl-CS"/>
              </w:rPr>
              <w:t>пацијената</w:t>
            </w:r>
            <w:r w:rsidRPr="00E82AA9">
              <w:rPr>
                <w:rFonts w:ascii="Times New Roman" w:hAnsi="Times New Roman"/>
                <w:lang w:val="mk-MK"/>
              </w:rPr>
              <w:t xml:space="preserve"> са тешким оштећењем јетре, па се употреба мемантина не препоручује код ових пацијената</w:t>
            </w:r>
            <w:r w:rsidRPr="00E82AA9">
              <w:rPr>
                <w:rFonts w:ascii="Times New Roman" w:hAnsi="Times New Roman"/>
                <w:lang w:val="sr-Cyrl-CS"/>
              </w:rPr>
              <w:t>.</w:t>
            </w:r>
          </w:p>
          <w:p w:rsidR="002F268E" w:rsidRPr="00E82AA9" w:rsidRDefault="002F268E" w:rsidP="00FA5CC0">
            <w:pPr>
              <w:tabs>
                <w:tab w:val="left" w:pos="8222"/>
              </w:tabs>
              <w:autoSpaceDE w:val="0"/>
              <w:autoSpaceDN w:val="0"/>
              <w:adjustRightInd w:val="0"/>
              <w:ind w:right="-108"/>
              <w:jc w:val="both"/>
              <w:rPr>
                <w:b/>
                <w:bCs/>
                <w:sz w:val="22"/>
                <w:szCs w:val="22"/>
                <w:lang w:val="mk-MK" w:eastAsia="en-GB"/>
              </w:rPr>
            </w:pPr>
          </w:p>
          <w:p w:rsidR="002F268E" w:rsidRPr="00E82AA9" w:rsidRDefault="002F268E" w:rsidP="00FA5CC0">
            <w:pPr>
              <w:tabs>
                <w:tab w:val="left" w:pos="8222"/>
              </w:tabs>
              <w:ind w:right="-108"/>
              <w:jc w:val="both"/>
              <w:rPr>
                <w:sz w:val="22"/>
                <w:szCs w:val="22"/>
                <w:lang w:val="mk-MK"/>
              </w:rPr>
            </w:pPr>
            <w:r w:rsidRPr="00E82AA9">
              <w:rPr>
                <w:i/>
                <w:iCs/>
                <w:sz w:val="22"/>
                <w:szCs w:val="22"/>
                <w:lang w:val="mk-MK"/>
              </w:rPr>
              <w:t>Педијатријска популација</w:t>
            </w:r>
          </w:p>
          <w:p w:rsidR="002F268E" w:rsidRPr="00E82AA9" w:rsidRDefault="002F268E" w:rsidP="00FA5CC0">
            <w:pPr>
              <w:tabs>
                <w:tab w:val="left" w:pos="8222"/>
              </w:tabs>
              <w:ind w:right="-108"/>
              <w:jc w:val="both"/>
              <w:rPr>
                <w:sz w:val="22"/>
                <w:szCs w:val="22"/>
                <w:lang w:val="mk-MK"/>
              </w:rPr>
            </w:pPr>
            <w:r w:rsidRPr="00E82AA9">
              <w:rPr>
                <w:sz w:val="22"/>
                <w:szCs w:val="22"/>
                <w:lang w:val="mk-MK"/>
              </w:rPr>
              <w:t xml:space="preserve">Нема доступних података. </w:t>
            </w:r>
          </w:p>
          <w:p w:rsidR="002F268E" w:rsidRPr="00E82AA9" w:rsidRDefault="002F268E" w:rsidP="00FA5CC0">
            <w:pPr>
              <w:tabs>
                <w:tab w:val="left" w:pos="8222"/>
              </w:tabs>
              <w:ind w:right="-108"/>
              <w:jc w:val="both"/>
              <w:rPr>
                <w:sz w:val="22"/>
                <w:szCs w:val="22"/>
                <w:u w:val="single"/>
                <w:lang w:val="mk-MK"/>
              </w:rPr>
            </w:pPr>
          </w:p>
          <w:p w:rsidR="002F268E" w:rsidRPr="00E82AA9" w:rsidRDefault="002F268E" w:rsidP="00FA5CC0">
            <w:pPr>
              <w:tabs>
                <w:tab w:val="left" w:pos="8222"/>
              </w:tabs>
              <w:ind w:right="-108"/>
              <w:jc w:val="both"/>
              <w:rPr>
                <w:sz w:val="22"/>
                <w:szCs w:val="22"/>
                <w:lang w:val="mk-MK"/>
              </w:rPr>
            </w:pPr>
            <w:r w:rsidRPr="00E82AA9">
              <w:rPr>
                <w:sz w:val="22"/>
                <w:szCs w:val="22"/>
                <w:u w:val="single"/>
                <w:lang w:val="mk-MK"/>
              </w:rPr>
              <w:t>Начин примјене</w:t>
            </w:r>
          </w:p>
          <w:p w:rsidR="002F268E" w:rsidRPr="00E82AA9" w:rsidRDefault="002F268E" w:rsidP="00FA5CC0">
            <w:pPr>
              <w:pStyle w:val="NoSpacing"/>
              <w:tabs>
                <w:tab w:val="left" w:pos="8222"/>
              </w:tabs>
              <w:ind w:right="-108"/>
              <w:jc w:val="both"/>
              <w:rPr>
                <w:rFonts w:ascii="Times New Roman" w:hAnsi="Times New Roman"/>
                <w:lang w:val="mk-MK"/>
              </w:rPr>
            </w:pPr>
            <w:r w:rsidRPr="00E82AA9">
              <w:rPr>
                <w:rFonts w:ascii="Times New Roman" w:hAnsi="Times New Roman"/>
                <w:lang w:val="mk-MK"/>
              </w:rPr>
              <w:t xml:space="preserve">Мемантин </w:t>
            </w:r>
            <w:r w:rsidRPr="00E82AA9">
              <w:rPr>
                <w:rFonts w:ascii="Times New Roman" w:hAnsi="Times New Roman"/>
                <w:lang w:val="sr-Cyrl-CS"/>
              </w:rPr>
              <w:t xml:space="preserve">таблете </w:t>
            </w:r>
            <w:r w:rsidRPr="00E82AA9">
              <w:rPr>
                <w:rFonts w:ascii="Times New Roman" w:hAnsi="Times New Roman"/>
                <w:lang w:val="mk-MK"/>
              </w:rPr>
              <w:t>је потребно прописати пацијенту једном дневно. Таблете треба узимати сваки дан у исто вр</w:t>
            </w:r>
            <w:r w:rsidRPr="00E82AA9">
              <w:rPr>
                <w:rFonts w:ascii="Times New Roman" w:hAnsi="Times New Roman"/>
                <w:lang w:val="sr-Cyrl-CS"/>
              </w:rPr>
              <w:t>иј</w:t>
            </w:r>
            <w:r w:rsidRPr="00E82AA9">
              <w:rPr>
                <w:rFonts w:ascii="Times New Roman" w:hAnsi="Times New Roman"/>
                <w:lang w:val="mk-MK"/>
              </w:rPr>
              <w:t>еме. Л</w:t>
            </w:r>
            <w:r w:rsidRPr="00E82AA9">
              <w:rPr>
                <w:rFonts w:ascii="Times New Roman" w:hAnsi="Times New Roman"/>
                <w:lang w:val="sr-Cyrl-CS"/>
              </w:rPr>
              <w:t>иј</w:t>
            </w:r>
            <w:r w:rsidRPr="00E82AA9">
              <w:rPr>
                <w:rFonts w:ascii="Times New Roman" w:hAnsi="Times New Roman"/>
                <w:lang w:val="mk-MK"/>
              </w:rPr>
              <w:t>ек се може узимати независно од хране.</w:t>
            </w:r>
          </w:p>
          <w:p w:rsidR="002F268E" w:rsidRPr="00E82AA9" w:rsidRDefault="002F268E" w:rsidP="00FA5CC0">
            <w:pPr>
              <w:tabs>
                <w:tab w:val="left" w:pos="8222"/>
              </w:tabs>
              <w:ind w:right="-108"/>
              <w:jc w:val="both"/>
              <w:rPr>
                <w:color w:val="FF0000"/>
                <w:sz w:val="22"/>
                <w:szCs w:val="22"/>
                <w:lang w:val="sr-Latn-CS"/>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rPr>
            </w:pPr>
            <w:r w:rsidRPr="00E82AA9">
              <w:rPr>
                <w:b/>
                <w:bCs/>
                <w:sz w:val="22"/>
                <w:szCs w:val="22"/>
              </w:rPr>
              <w:lastRenderedPageBreak/>
              <w:t>4.3.   Контраиндикације</w:t>
            </w:r>
          </w:p>
        </w:tc>
      </w:tr>
      <w:tr w:rsidR="002F268E" w:rsidRPr="00E82AA9" w:rsidTr="002F268E">
        <w:trPr>
          <w:trHeight w:val="862"/>
        </w:trPr>
        <w:tc>
          <w:tcPr>
            <w:tcW w:w="9747" w:type="dxa"/>
            <w:gridSpan w:val="4"/>
            <w:vAlign w:val="center"/>
          </w:tcPr>
          <w:p w:rsidR="002F268E" w:rsidRPr="00E82AA9" w:rsidRDefault="002F268E" w:rsidP="00FA5CC0">
            <w:pPr>
              <w:tabs>
                <w:tab w:val="left" w:pos="945"/>
                <w:tab w:val="left" w:pos="8222"/>
              </w:tabs>
              <w:ind w:right="-6"/>
              <w:jc w:val="both"/>
              <w:rPr>
                <w:color w:val="FF0000"/>
                <w:sz w:val="22"/>
                <w:szCs w:val="22"/>
              </w:rPr>
            </w:pPr>
          </w:p>
          <w:p w:rsidR="002F268E" w:rsidRPr="00E82AA9" w:rsidRDefault="002F268E" w:rsidP="00FA5CC0">
            <w:pPr>
              <w:tabs>
                <w:tab w:val="left" w:pos="8222"/>
              </w:tabs>
              <w:ind w:right="-8"/>
              <w:jc w:val="both"/>
              <w:rPr>
                <w:sz w:val="22"/>
                <w:szCs w:val="22"/>
                <w:lang w:val="mk-MK"/>
              </w:rPr>
            </w:pPr>
            <w:r w:rsidRPr="00E82AA9">
              <w:rPr>
                <w:sz w:val="22"/>
                <w:szCs w:val="22"/>
              </w:rPr>
              <w:t>Преос</w:t>
            </w:r>
            <w:r w:rsidRPr="00E82AA9">
              <w:rPr>
                <w:sz w:val="22"/>
                <w:szCs w:val="22"/>
                <w:lang w:val="sr-Cyrl-CS"/>
              </w:rPr>
              <w:t>ј</w:t>
            </w:r>
            <w:r w:rsidRPr="00E82AA9">
              <w:rPr>
                <w:sz w:val="22"/>
                <w:szCs w:val="22"/>
              </w:rPr>
              <w:t>етљивост на активну супстанцу или на било коју компоненту л</w:t>
            </w:r>
            <w:r w:rsidRPr="00E82AA9">
              <w:rPr>
                <w:sz w:val="22"/>
                <w:szCs w:val="22"/>
                <w:lang w:val="sr-Cyrl-CS"/>
              </w:rPr>
              <w:t>иј</w:t>
            </w:r>
            <w:r w:rsidRPr="00E82AA9">
              <w:rPr>
                <w:sz w:val="22"/>
                <w:szCs w:val="22"/>
              </w:rPr>
              <w:t>ека наведену у дијелу 6.1.</w:t>
            </w:r>
          </w:p>
          <w:p w:rsidR="002F268E" w:rsidRPr="00E82AA9" w:rsidRDefault="002F268E" w:rsidP="00FA5CC0">
            <w:pPr>
              <w:tabs>
                <w:tab w:val="left" w:pos="945"/>
                <w:tab w:val="left" w:pos="8222"/>
              </w:tabs>
              <w:ind w:right="-8"/>
              <w:jc w:val="both"/>
              <w:rPr>
                <w:color w:val="FF0000"/>
                <w:sz w:val="22"/>
                <w:szCs w:val="22"/>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lang w:val="ru-RU"/>
              </w:rPr>
            </w:pPr>
            <w:r w:rsidRPr="00E82AA9">
              <w:rPr>
                <w:b/>
                <w:bCs/>
                <w:sz w:val="22"/>
                <w:szCs w:val="22"/>
                <w:lang w:val="ru-RU"/>
              </w:rPr>
              <w:t xml:space="preserve">4.4. </w:t>
            </w:r>
            <w:r w:rsidRPr="00E82AA9">
              <w:rPr>
                <w:b/>
                <w:bCs/>
                <w:sz w:val="22"/>
                <w:szCs w:val="22"/>
              </w:rPr>
              <w:t xml:space="preserve">  </w:t>
            </w:r>
            <w:r w:rsidRPr="00E82AA9">
              <w:rPr>
                <w:b/>
                <w:bCs/>
                <w:sz w:val="22"/>
                <w:szCs w:val="22"/>
                <w:lang w:val="ru-RU"/>
              </w:rPr>
              <w:t>Посебна упозорења и мјере опреза при употреби лијека</w:t>
            </w:r>
          </w:p>
        </w:tc>
      </w:tr>
      <w:tr w:rsidR="002F268E" w:rsidRPr="00E82AA9" w:rsidTr="002F268E">
        <w:trPr>
          <w:trHeight w:val="849"/>
        </w:trPr>
        <w:tc>
          <w:tcPr>
            <w:tcW w:w="9747" w:type="dxa"/>
            <w:gridSpan w:val="4"/>
            <w:vAlign w:val="center"/>
          </w:tcPr>
          <w:p w:rsidR="002F268E" w:rsidRPr="00E82AA9" w:rsidRDefault="002F268E" w:rsidP="002F268E">
            <w:pPr>
              <w:tabs>
                <w:tab w:val="left" w:pos="945"/>
                <w:tab w:val="left" w:pos="8222"/>
              </w:tabs>
              <w:ind w:right="-8"/>
              <w:rPr>
                <w:color w:val="FF0000"/>
                <w:sz w:val="22"/>
                <w:szCs w:val="22"/>
                <w:u w:val="single"/>
              </w:rPr>
            </w:pPr>
          </w:p>
          <w:p w:rsidR="002F268E" w:rsidRPr="00E82AA9" w:rsidRDefault="002F268E" w:rsidP="002F268E">
            <w:pPr>
              <w:pStyle w:val="NoSpacing"/>
              <w:tabs>
                <w:tab w:val="left" w:pos="8222"/>
                <w:tab w:val="left" w:pos="9957"/>
              </w:tabs>
              <w:ind w:right="-8"/>
              <w:jc w:val="both"/>
              <w:rPr>
                <w:rFonts w:ascii="Times New Roman" w:hAnsi="Times New Roman"/>
                <w:lang w:val="mk-MK"/>
              </w:rPr>
            </w:pPr>
            <w:r w:rsidRPr="00E82AA9">
              <w:rPr>
                <w:rFonts w:ascii="Times New Roman" w:hAnsi="Times New Roman"/>
                <w:lang w:val="mk-MK"/>
              </w:rPr>
              <w:t xml:space="preserve">Препоручује се опрез код </w:t>
            </w:r>
            <w:r w:rsidRPr="00E82AA9">
              <w:rPr>
                <w:rFonts w:ascii="Times New Roman" w:hAnsi="Times New Roman"/>
                <w:lang w:val="sr-Cyrl-CS"/>
              </w:rPr>
              <w:t>пацијената</w:t>
            </w:r>
            <w:r w:rsidRPr="00E82AA9">
              <w:rPr>
                <w:rFonts w:ascii="Times New Roman" w:hAnsi="Times New Roman"/>
                <w:lang w:val="mk-MK"/>
              </w:rPr>
              <w:t xml:space="preserve"> са епилепсијом, конвулзијама у анамнези или код </w:t>
            </w:r>
            <w:r w:rsidRPr="00E82AA9">
              <w:rPr>
                <w:rFonts w:ascii="Times New Roman" w:hAnsi="Times New Roman"/>
                <w:lang w:val="sr-Cyrl-CS"/>
              </w:rPr>
              <w:t>пацијената</w:t>
            </w:r>
            <w:r w:rsidRPr="00E82AA9">
              <w:rPr>
                <w:rFonts w:ascii="Times New Roman" w:hAnsi="Times New Roman"/>
                <w:lang w:val="mk-MK"/>
              </w:rPr>
              <w:t xml:space="preserve"> са предиспонирајућим факторима за појаву епилепсије.</w:t>
            </w:r>
          </w:p>
          <w:p w:rsidR="002F268E" w:rsidRPr="00E82AA9" w:rsidRDefault="002F268E" w:rsidP="002F268E">
            <w:pPr>
              <w:pStyle w:val="NoSpacing"/>
              <w:tabs>
                <w:tab w:val="left" w:pos="8222"/>
                <w:tab w:val="left" w:pos="9957"/>
              </w:tabs>
              <w:ind w:right="-8"/>
              <w:jc w:val="both"/>
              <w:rPr>
                <w:rFonts w:ascii="Times New Roman" w:hAnsi="Times New Roman"/>
                <w:b/>
                <w:bCs/>
                <w:lang w:val="mk-MK" w:eastAsia="en-GB"/>
              </w:rPr>
            </w:pPr>
          </w:p>
          <w:p w:rsidR="002F268E" w:rsidRPr="00E82AA9" w:rsidRDefault="002F268E" w:rsidP="002F268E">
            <w:pPr>
              <w:pStyle w:val="NoSpacing"/>
              <w:tabs>
                <w:tab w:val="left" w:pos="8222"/>
                <w:tab w:val="left" w:pos="9957"/>
              </w:tabs>
              <w:ind w:right="-8"/>
              <w:jc w:val="both"/>
              <w:rPr>
                <w:rFonts w:ascii="Times New Roman" w:hAnsi="Times New Roman"/>
                <w:lang w:val="mk-MK"/>
              </w:rPr>
            </w:pPr>
            <w:r w:rsidRPr="00E82AA9">
              <w:rPr>
                <w:rFonts w:ascii="Times New Roman" w:hAnsi="Times New Roman"/>
                <w:lang w:val="mk-MK"/>
              </w:rPr>
              <w:t>Треба изб</w:t>
            </w:r>
            <w:r w:rsidRPr="00E82AA9">
              <w:rPr>
                <w:rFonts w:ascii="Times New Roman" w:hAnsi="Times New Roman"/>
                <w:lang w:val="sr-Cyrl-CS"/>
              </w:rPr>
              <w:t>ј</w:t>
            </w:r>
            <w:r w:rsidRPr="00E82AA9">
              <w:rPr>
                <w:rFonts w:ascii="Times New Roman" w:hAnsi="Times New Roman"/>
                <w:lang w:val="mk-MK"/>
              </w:rPr>
              <w:t>егавати истовремену употребу са антагонистима N-метил-D-аспартата (NMDA-антагонистима), као што су амантадин, кетамин или декстрометорфан. Ова једињења д</w:t>
            </w:r>
            <w:r w:rsidRPr="00E82AA9">
              <w:rPr>
                <w:rFonts w:ascii="Times New Roman" w:hAnsi="Times New Roman"/>
                <w:lang w:val="sr-Cyrl-CS"/>
              </w:rPr>
              <w:t>ј</w:t>
            </w:r>
            <w:r w:rsidRPr="00E82AA9">
              <w:rPr>
                <w:rFonts w:ascii="Times New Roman" w:hAnsi="Times New Roman"/>
                <w:lang w:val="mk-MK"/>
              </w:rPr>
              <w:t>елују на исти систем рецептора као и мемантин и самим тим нежељена дејства (углавном у вези са ЦНС-ом), могу бити учесталија или израженија (такође вид</w:t>
            </w:r>
            <w:r w:rsidRPr="00E82AA9">
              <w:rPr>
                <w:rFonts w:ascii="Times New Roman" w:hAnsi="Times New Roman"/>
                <w:lang w:val="sr-Cyrl-CS"/>
              </w:rPr>
              <w:t>ј</w:t>
            </w:r>
            <w:r w:rsidRPr="00E82AA9">
              <w:rPr>
                <w:rFonts w:ascii="Times New Roman" w:hAnsi="Times New Roman"/>
                <w:lang w:val="mk-MK"/>
              </w:rPr>
              <w:t>ети од</w:t>
            </w:r>
            <w:r w:rsidRPr="00E82AA9">
              <w:rPr>
                <w:rFonts w:ascii="Times New Roman" w:hAnsi="Times New Roman"/>
                <w:lang w:val="sr-Cyrl-CS"/>
              </w:rPr>
              <w:t>ј</w:t>
            </w:r>
            <w:r w:rsidRPr="00E82AA9">
              <w:rPr>
                <w:rFonts w:ascii="Times New Roman" w:hAnsi="Times New Roman"/>
                <w:lang w:val="mk-MK"/>
              </w:rPr>
              <w:t>ељак 4.5).</w:t>
            </w:r>
          </w:p>
          <w:p w:rsidR="002F268E" w:rsidRPr="00E82AA9" w:rsidRDefault="002F268E" w:rsidP="002F268E">
            <w:pPr>
              <w:pStyle w:val="NoSpacing"/>
              <w:tabs>
                <w:tab w:val="left" w:pos="8222"/>
                <w:tab w:val="left" w:pos="9957"/>
              </w:tabs>
              <w:ind w:right="-8"/>
              <w:jc w:val="both"/>
              <w:rPr>
                <w:rFonts w:ascii="Times New Roman" w:hAnsi="Times New Roman"/>
                <w:lang w:val="mk-MK"/>
              </w:rPr>
            </w:pPr>
            <w:r w:rsidRPr="00E82AA9">
              <w:rPr>
                <w:rFonts w:ascii="Times New Roman" w:hAnsi="Times New Roman"/>
                <w:lang w:val="mk-MK"/>
              </w:rPr>
              <w:t>Неки фактори који могу повећати  pH  урина (вид</w:t>
            </w:r>
            <w:r w:rsidRPr="00E82AA9">
              <w:rPr>
                <w:rFonts w:ascii="Times New Roman" w:hAnsi="Times New Roman"/>
                <w:lang w:val="sr-Cyrl-CS"/>
              </w:rPr>
              <w:t>ј</w:t>
            </w:r>
            <w:r w:rsidRPr="00E82AA9">
              <w:rPr>
                <w:rFonts w:ascii="Times New Roman" w:hAnsi="Times New Roman"/>
                <w:lang w:val="mk-MK"/>
              </w:rPr>
              <w:t>ети од</w:t>
            </w:r>
            <w:r w:rsidRPr="00E82AA9">
              <w:rPr>
                <w:rFonts w:ascii="Times New Roman" w:hAnsi="Times New Roman"/>
                <w:lang w:val="sr-Cyrl-CS"/>
              </w:rPr>
              <w:t>ј</w:t>
            </w:r>
            <w:r w:rsidRPr="00E82AA9">
              <w:rPr>
                <w:rFonts w:ascii="Times New Roman" w:hAnsi="Times New Roman"/>
                <w:lang w:val="mk-MK"/>
              </w:rPr>
              <w:t>ељак 5.2 „Елиминација“) могу захтјевати пажљиво праћење пацијента. Ови фактори укључују драстичне пром</w:t>
            </w:r>
            <w:r w:rsidRPr="00E82AA9">
              <w:rPr>
                <w:rFonts w:ascii="Times New Roman" w:hAnsi="Times New Roman"/>
                <w:lang w:val="sr-Cyrl-CS"/>
              </w:rPr>
              <w:t>ј</w:t>
            </w:r>
            <w:r w:rsidRPr="00E82AA9">
              <w:rPr>
                <w:rFonts w:ascii="Times New Roman" w:hAnsi="Times New Roman"/>
                <w:lang w:val="mk-MK"/>
              </w:rPr>
              <w:t xml:space="preserve">ене у исхрани нпр. прелаз са исхране која садржи месо на вегетаријанску исхрану, или унос великих количина желудачних пуфера за алкалинизацију. Поред тога, pH урина може бити повећан због реналне тубуларне ацидозе (RТА), или озбиљне инфекције уринарног тракта бактеријама рода </w:t>
            </w:r>
            <w:r w:rsidRPr="00E82AA9">
              <w:rPr>
                <w:rFonts w:ascii="Times New Roman" w:hAnsi="Times New Roman"/>
                <w:i/>
                <w:lang w:val="mk-MK"/>
              </w:rPr>
              <w:t>Proteus</w:t>
            </w:r>
            <w:r w:rsidRPr="00E82AA9">
              <w:rPr>
                <w:rFonts w:ascii="Times New Roman" w:hAnsi="Times New Roman"/>
                <w:lang w:val="mk-MK"/>
              </w:rPr>
              <w:t>.</w:t>
            </w:r>
          </w:p>
          <w:p w:rsidR="002F268E" w:rsidRPr="00E82AA9" w:rsidRDefault="002F268E" w:rsidP="002F268E">
            <w:pPr>
              <w:pStyle w:val="NoSpacing"/>
              <w:tabs>
                <w:tab w:val="left" w:pos="8222"/>
                <w:tab w:val="left" w:pos="9957"/>
              </w:tabs>
              <w:ind w:right="-8"/>
              <w:jc w:val="both"/>
              <w:rPr>
                <w:rFonts w:ascii="Times New Roman" w:hAnsi="Times New Roman"/>
                <w:b/>
                <w:bCs/>
                <w:lang w:val="mk-MK" w:eastAsia="en-GB"/>
              </w:rPr>
            </w:pPr>
          </w:p>
          <w:p w:rsidR="002F268E" w:rsidRPr="00E82AA9" w:rsidRDefault="002F268E" w:rsidP="002F268E">
            <w:pPr>
              <w:pStyle w:val="NoSpacing"/>
              <w:tabs>
                <w:tab w:val="left" w:pos="8222"/>
                <w:tab w:val="left" w:pos="9957"/>
              </w:tabs>
              <w:ind w:right="-8"/>
              <w:jc w:val="both"/>
              <w:rPr>
                <w:rFonts w:ascii="Times New Roman" w:hAnsi="Times New Roman"/>
                <w:lang w:val="mk-MK"/>
              </w:rPr>
            </w:pPr>
            <w:r w:rsidRPr="00E82AA9">
              <w:rPr>
                <w:rFonts w:ascii="Times New Roman" w:hAnsi="Times New Roman"/>
                <w:lang w:val="mk-MK"/>
              </w:rPr>
              <w:t>У већини клиничких испитивања ни</w:t>
            </w:r>
            <w:r w:rsidRPr="00E82AA9">
              <w:rPr>
                <w:rFonts w:ascii="Times New Roman" w:hAnsi="Times New Roman"/>
                <w:lang w:val="sr-Cyrl-CS"/>
              </w:rPr>
              <w:t>је</w:t>
            </w:r>
            <w:r w:rsidRPr="00E82AA9">
              <w:rPr>
                <w:rFonts w:ascii="Times New Roman" w:hAnsi="Times New Roman"/>
                <w:lang w:val="mk-MK"/>
              </w:rPr>
              <w:t xml:space="preserve">су били укључени пацијенти са недавним инфарктом миокарда, некомпензованом конгестивном срчаном инсуфицијенцијом (NYHA III-IV) или неконтролисаном хипертензијом. Усљед тога, доступни су само ограничени подаци, и ове пацијенте треба пажљиво пратити. </w:t>
            </w:r>
          </w:p>
          <w:p w:rsidR="002F268E" w:rsidRPr="00E82AA9" w:rsidRDefault="002F268E" w:rsidP="002F268E">
            <w:pPr>
              <w:tabs>
                <w:tab w:val="left" w:pos="8222"/>
              </w:tabs>
              <w:ind w:right="-8"/>
              <w:rPr>
                <w:color w:val="FF0000"/>
                <w:sz w:val="22"/>
                <w:szCs w:val="22"/>
                <w:lang w:val="mk-MK"/>
              </w:rPr>
            </w:pPr>
          </w:p>
          <w:p w:rsidR="00D44513" w:rsidRPr="00E82AA9" w:rsidRDefault="00D44513" w:rsidP="002F268E">
            <w:pPr>
              <w:tabs>
                <w:tab w:val="left" w:pos="8222"/>
              </w:tabs>
              <w:ind w:right="-8"/>
              <w:rPr>
                <w:color w:val="FF0000"/>
                <w:sz w:val="22"/>
                <w:szCs w:val="22"/>
                <w:lang w:val="mk-MK"/>
              </w:rPr>
            </w:pPr>
          </w:p>
          <w:p w:rsidR="00D44513" w:rsidRPr="00E82AA9" w:rsidRDefault="00D44513" w:rsidP="002F268E">
            <w:pPr>
              <w:tabs>
                <w:tab w:val="left" w:pos="8222"/>
              </w:tabs>
              <w:ind w:right="-8"/>
              <w:rPr>
                <w:color w:val="FF0000"/>
                <w:sz w:val="22"/>
                <w:szCs w:val="22"/>
                <w:lang w:val="mk-MK"/>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lang w:val="ru-RU"/>
              </w:rPr>
            </w:pPr>
            <w:r w:rsidRPr="00E82AA9">
              <w:rPr>
                <w:b/>
                <w:bCs/>
                <w:sz w:val="22"/>
                <w:szCs w:val="22"/>
                <w:lang w:val="ru-RU"/>
              </w:rPr>
              <w:lastRenderedPageBreak/>
              <w:t xml:space="preserve">4.5. </w:t>
            </w:r>
            <w:r w:rsidRPr="00E82AA9">
              <w:rPr>
                <w:b/>
                <w:bCs/>
                <w:sz w:val="22"/>
                <w:szCs w:val="22"/>
              </w:rPr>
              <w:t xml:space="preserve">  </w:t>
            </w:r>
            <w:r w:rsidRPr="00E82AA9">
              <w:rPr>
                <w:b/>
                <w:bCs/>
                <w:sz w:val="22"/>
                <w:szCs w:val="22"/>
                <w:lang w:val="ru-RU"/>
              </w:rPr>
              <w:t>Интеракције са другим љековима и друге врсте интеракција</w:t>
            </w:r>
          </w:p>
        </w:tc>
      </w:tr>
      <w:tr w:rsidR="002F268E" w:rsidRPr="00E82AA9" w:rsidTr="002F268E">
        <w:trPr>
          <w:trHeight w:val="1145"/>
        </w:trPr>
        <w:tc>
          <w:tcPr>
            <w:tcW w:w="9747" w:type="dxa"/>
            <w:gridSpan w:val="4"/>
            <w:vAlign w:val="center"/>
          </w:tcPr>
          <w:p w:rsidR="00D44513" w:rsidRPr="00E82AA9" w:rsidRDefault="00D44513" w:rsidP="002F268E">
            <w:pPr>
              <w:pStyle w:val="NoSpacing"/>
              <w:tabs>
                <w:tab w:val="left" w:pos="9781"/>
              </w:tabs>
              <w:ind w:right="-8"/>
              <w:jc w:val="both"/>
              <w:rPr>
                <w:rFonts w:ascii="Times New Roman" w:hAnsi="Times New Roman"/>
                <w:lang w:val="sr-Cyrl-CS"/>
              </w:rPr>
            </w:pPr>
          </w:p>
          <w:p w:rsidR="002F268E" w:rsidRPr="00E82AA9" w:rsidRDefault="002F268E" w:rsidP="002F268E">
            <w:pPr>
              <w:pStyle w:val="NoSpacing"/>
              <w:tabs>
                <w:tab w:val="left" w:pos="9781"/>
              </w:tabs>
              <w:ind w:right="-8"/>
              <w:jc w:val="both"/>
              <w:rPr>
                <w:rFonts w:ascii="Times New Roman" w:hAnsi="Times New Roman"/>
                <w:lang w:val="sr-Cyrl-CS"/>
              </w:rPr>
            </w:pPr>
            <w:r w:rsidRPr="00E82AA9">
              <w:rPr>
                <w:rFonts w:ascii="Times New Roman" w:hAnsi="Times New Roman"/>
                <w:lang w:val="sr-Cyrl-CS"/>
              </w:rPr>
              <w:t>Због фармаколошких ефеката и механизма дјеловања мемантина, могу се јавити сљедеће интеракције:</w:t>
            </w:r>
          </w:p>
          <w:p w:rsidR="002F268E" w:rsidRPr="00E82AA9" w:rsidRDefault="002F268E" w:rsidP="002F268E">
            <w:pPr>
              <w:pStyle w:val="NoSpacing"/>
              <w:tabs>
                <w:tab w:val="left" w:pos="9781"/>
              </w:tabs>
              <w:ind w:right="-8"/>
              <w:jc w:val="both"/>
              <w:rPr>
                <w:rFonts w:ascii="Times New Roman" w:hAnsi="Times New Roman"/>
                <w:b/>
                <w:bCs/>
                <w:lang w:val="sr-Cyrl-CS" w:eastAsia="en-GB"/>
              </w:rPr>
            </w:pPr>
          </w:p>
          <w:p w:rsidR="002F268E" w:rsidRPr="00E82AA9" w:rsidRDefault="002F268E" w:rsidP="002F268E">
            <w:pPr>
              <w:pStyle w:val="NoSpacing"/>
              <w:tabs>
                <w:tab w:val="left" w:pos="9781"/>
              </w:tabs>
              <w:ind w:right="-8"/>
              <w:jc w:val="both"/>
              <w:rPr>
                <w:rFonts w:ascii="Times New Roman" w:hAnsi="Times New Roman"/>
                <w:lang w:val="sr-Cyrl-CS"/>
              </w:rPr>
            </w:pPr>
            <w:r w:rsidRPr="00E82AA9">
              <w:rPr>
                <w:rFonts w:ascii="Times New Roman" w:hAnsi="Times New Roman"/>
                <w:lang w:val="sr-Cyrl-CS"/>
              </w:rPr>
              <w:t xml:space="preserve">- Начин дјеловања указује на то да ефекти </w:t>
            </w:r>
            <w:r w:rsidRPr="00E82AA9">
              <w:rPr>
                <w:rFonts w:ascii="Times New Roman" w:hAnsi="Times New Roman"/>
              </w:rPr>
              <w:t>L</w:t>
            </w:r>
            <w:r w:rsidRPr="00E82AA9">
              <w:rPr>
                <w:rFonts w:ascii="Times New Roman" w:hAnsi="Times New Roman"/>
                <w:lang w:val="sr-Cyrl-CS"/>
              </w:rPr>
              <w:t xml:space="preserve">-допе, допаминергичких антагониста и антихолинергика могу бити појачани приликом истовремене употребе са </w:t>
            </w:r>
            <w:r w:rsidRPr="00E82AA9">
              <w:rPr>
                <w:rFonts w:ascii="Times New Roman" w:hAnsi="Times New Roman"/>
              </w:rPr>
              <w:t>NMDA</w:t>
            </w:r>
            <w:r w:rsidRPr="00E82AA9">
              <w:rPr>
                <w:rFonts w:ascii="Times New Roman" w:hAnsi="Times New Roman"/>
                <w:lang w:val="sr-Cyrl-CS"/>
              </w:rPr>
              <w:t xml:space="preserve"> -антагонистима као што је мемантин. Ефекти</w:t>
            </w:r>
            <w:r w:rsidRPr="00E82AA9">
              <w:rPr>
                <w:rFonts w:ascii="Times New Roman" w:hAnsi="Times New Roman"/>
              </w:rPr>
              <w:t xml:space="preserve"> </w:t>
            </w:r>
            <w:r w:rsidRPr="00E82AA9">
              <w:rPr>
                <w:rFonts w:ascii="Times New Roman" w:hAnsi="Times New Roman"/>
                <w:lang w:val="sr-Cyrl-CS"/>
              </w:rPr>
              <w:t>барбитурата и неуролептика могу бити ослабљени. Истовремена примјена мемантина са антиспазмодицима, дантроленом или баклофеном, може модификовати њихове ефекте, па прилагођавање дозе може бити неопходно.</w:t>
            </w:r>
          </w:p>
          <w:p w:rsidR="002F268E" w:rsidRPr="00E82AA9" w:rsidRDefault="002F268E" w:rsidP="002F268E">
            <w:pPr>
              <w:pStyle w:val="NoSpacing"/>
              <w:tabs>
                <w:tab w:val="left" w:pos="9781"/>
              </w:tabs>
              <w:ind w:right="-8"/>
              <w:jc w:val="both"/>
              <w:rPr>
                <w:rFonts w:ascii="Times New Roman" w:hAnsi="Times New Roman"/>
                <w:b/>
                <w:bCs/>
                <w:lang w:val="sr-Cyrl-CS" w:eastAsia="en-GB"/>
              </w:rPr>
            </w:pPr>
          </w:p>
          <w:p w:rsidR="002F268E" w:rsidRPr="00E82AA9" w:rsidRDefault="002F268E" w:rsidP="002F268E">
            <w:pPr>
              <w:pStyle w:val="NoSpacing"/>
              <w:tabs>
                <w:tab w:val="left" w:pos="9781"/>
              </w:tabs>
              <w:ind w:right="-8"/>
              <w:jc w:val="both"/>
              <w:rPr>
                <w:rFonts w:ascii="Times New Roman" w:hAnsi="Times New Roman"/>
                <w:lang w:val="sr-Cyrl-CS"/>
              </w:rPr>
            </w:pPr>
            <w:r w:rsidRPr="00E82AA9">
              <w:rPr>
                <w:rFonts w:ascii="Times New Roman" w:hAnsi="Times New Roman"/>
                <w:lang w:val="sr-Cyrl-CS"/>
              </w:rPr>
              <w:t>- Због ризика од фармакотоксичних психоза, треба избјегавати истовремену примјену мемантина и</w:t>
            </w:r>
            <w:r w:rsidRPr="00E82AA9">
              <w:rPr>
                <w:rFonts w:ascii="Times New Roman" w:hAnsi="Times New Roman"/>
                <w:lang w:val="sr-Latn-ME"/>
              </w:rPr>
              <w:t xml:space="preserve"> </w:t>
            </w:r>
            <w:r w:rsidRPr="00E82AA9">
              <w:rPr>
                <w:rFonts w:ascii="Times New Roman" w:hAnsi="Times New Roman"/>
                <w:lang w:val="sr-Cyrl-CS"/>
              </w:rPr>
              <w:t xml:space="preserve">амантадина. Оба једињења припадају </w:t>
            </w:r>
            <w:r w:rsidRPr="00E82AA9">
              <w:rPr>
                <w:rFonts w:ascii="Times New Roman" w:hAnsi="Times New Roman"/>
              </w:rPr>
              <w:t>NMDA</w:t>
            </w:r>
            <w:r w:rsidRPr="00E82AA9">
              <w:rPr>
                <w:rFonts w:ascii="Times New Roman" w:hAnsi="Times New Roman"/>
                <w:lang w:val="sr-Cyrl-CS"/>
              </w:rPr>
              <w:t xml:space="preserve"> антагонистима. Исто би могло важити за кетамин и</w:t>
            </w:r>
            <w:r w:rsidRPr="00E82AA9">
              <w:rPr>
                <w:rFonts w:ascii="Times New Roman" w:hAnsi="Times New Roman"/>
              </w:rPr>
              <w:t xml:space="preserve"> </w:t>
            </w:r>
            <w:r w:rsidRPr="00E82AA9">
              <w:rPr>
                <w:rFonts w:ascii="Times New Roman" w:hAnsi="Times New Roman"/>
                <w:lang w:val="sr-Cyrl-CS"/>
              </w:rPr>
              <w:t>декстрометорфан (такође видјети одјељак 4.4). Објављен је и један приказ случаја о могућем ризику од</w:t>
            </w:r>
            <w:r w:rsidRPr="00E82AA9">
              <w:rPr>
                <w:rFonts w:ascii="Times New Roman" w:hAnsi="Times New Roman"/>
              </w:rPr>
              <w:t xml:space="preserve"> </w:t>
            </w:r>
            <w:r w:rsidRPr="00E82AA9">
              <w:rPr>
                <w:rFonts w:ascii="Times New Roman" w:hAnsi="Times New Roman"/>
                <w:lang w:val="sr-Cyrl-CS"/>
              </w:rPr>
              <w:t>комбинације мемантина и фенитоина.</w:t>
            </w:r>
          </w:p>
          <w:p w:rsidR="002F268E" w:rsidRPr="00E82AA9" w:rsidRDefault="002F268E" w:rsidP="002F268E">
            <w:pPr>
              <w:pStyle w:val="NoSpacing"/>
              <w:tabs>
                <w:tab w:val="left" w:pos="9781"/>
              </w:tabs>
              <w:ind w:right="-8"/>
              <w:jc w:val="both"/>
              <w:rPr>
                <w:rFonts w:ascii="Times New Roman" w:hAnsi="Times New Roman"/>
                <w:b/>
                <w:bCs/>
                <w:lang w:val="sr-Cyrl-CS" w:eastAsia="en-GB"/>
              </w:rPr>
            </w:pPr>
          </w:p>
          <w:p w:rsidR="002F268E" w:rsidRPr="00E82AA9" w:rsidRDefault="002F268E" w:rsidP="002F268E">
            <w:pPr>
              <w:pStyle w:val="NoSpacing"/>
              <w:tabs>
                <w:tab w:val="left" w:pos="9781"/>
              </w:tabs>
              <w:ind w:right="-8"/>
              <w:jc w:val="both"/>
              <w:rPr>
                <w:rFonts w:ascii="Times New Roman" w:hAnsi="Times New Roman"/>
                <w:lang w:val="sr-Cyrl-CS"/>
              </w:rPr>
            </w:pPr>
            <w:r w:rsidRPr="00E82AA9">
              <w:rPr>
                <w:rFonts w:ascii="Times New Roman" w:hAnsi="Times New Roman"/>
                <w:lang w:val="sr-Cyrl-CS"/>
              </w:rPr>
              <w:t>- Други љекови као што су циметидин, ранитидин, прокаинамид, хинидин, хинин и никотин, који користе исти катјонски транспортни систем у бубрегу као и амантадин, такође би могли да ступе у интеракцију са мемантином, са потенцијалним ризиком од повећања концентрација лијека у плазми.</w:t>
            </w:r>
          </w:p>
          <w:p w:rsidR="002F268E" w:rsidRPr="00E82AA9" w:rsidRDefault="002F268E" w:rsidP="002F268E">
            <w:pPr>
              <w:pStyle w:val="NoSpacing"/>
              <w:tabs>
                <w:tab w:val="left" w:pos="9781"/>
              </w:tabs>
              <w:ind w:right="-8"/>
              <w:jc w:val="both"/>
              <w:rPr>
                <w:rFonts w:ascii="Times New Roman" w:hAnsi="Times New Roman"/>
                <w:lang w:val="sr-Cyrl-CS"/>
              </w:rPr>
            </w:pPr>
          </w:p>
          <w:p w:rsidR="002F268E" w:rsidRPr="00E82AA9" w:rsidRDefault="002F268E" w:rsidP="002F268E">
            <w:pPr>
              <w:pStyle w:val="NoSpacing"/>
              <w:tabs>
                <w:tab w:val="left" w:pos="9781"/>
              </w:tabs>
              <w:ind w:right="-8"/>
              <w:jc w:val="both"/>
              <w:rPr>
                <w:rFonts w:ascii="Times New Roman" w:hAnsi="Times New Roman"/>
                <w:lang w:val="sr-Cyrl-CS"/>
              </w:rPr>
            </w:pPr>
            <w:r w:rsidRPr="00E82AA9">
              <w:rPr>
                <w:rFonts w:ascii="Times New Roman" w:hAnsi="Times New Roman"/>
                <w:lang w:val="sr-Cyrl-CS"/>
              </w:rPr>
              <w:t>- Када се мемантин даје истовремено са хидрохлортиазидом (НСТ) или било којом комбинацијом која</w:t>
            </w:r>
            <w:r w:rsidR="00D44513" w:rsidRPr="00E82AA9">
              <w:rPr>
                <w:rFonts w:ascii="Times New Roman" w:hAnsi="Times New Roman"/>
                <w:lang w:val="sr-Latn-ME"/>
              </w:rPr>
              <w:t xml:space="preserve"> </w:t>
            </w:r>
            <w:r w:rsidRPr="00E82AA9">
              <w:rPr>
                <w:rFonts w:ascii="Times New Roman" w:hAnsi="Times New Roman"/>
                <w:lang w:val="sr-Cyrl-CS"/>
              </w:rPr>
              <w:t>укључује НСТ, постоји могућност смањивања серумског нивоа НСТ-а.</w:t>
            </w:r>
          </w:p>
          <w:p w:rsidR="002F268E" w:rsidRPr="00E82AA9" w:rsidRDefault="002F268E" w:rsidP="002F268E">
            <w:pPr>
              <w:pStyle w:val="NoSpacing"/>
              <w:tabs>
                <w:tab w:val="left" w:pos="9781"/>
              </w:tabs>
              <w:ind w:right="-8"/>
              <w:jc w:val="both"/>
              <w:rPr>
                <w:rFonts w:ascii="Times New Roman" w:hAnsi="Times New Roman"/>
                <w:b/>
                <w:bCs/>
                <w:lang w:val="sr-Cyrl-CS" w:eastAsia="en-GB"/>
              </w:rPr>
            </w:pPr>
          </w:p>
          <w:p w:rsidR="002F268E" w:rsidRPr="00E82AA9" w:rsidRDefault="002F268E" w:rsidP="002F268E">
            <w:pPr>
              <w:pStyle w:val="NoSpacing"/>
              <w:tabs>
                <w:tab w:val="left" w:pos="9781"/>
              </w:tabs>
              <w:ind w:right="-8"/>
              <w:jc w:val="both"/>
              <w:rPr>
                <w:rFonts w:ascii="Times New Roman" w:hAnsi="Times New Roman"/>
                <w:lang w:val="sr-Cyrl-CS"/>
              </w:rPr>
            </w:pPr>
            <w:r w:rsidRPr="00E82AA9">
              <w:rPr>
                <w:rFonts w:ascii="Times New Roman" w:hAnsi="Times New Roman"/>
                <w:lang w:val="sr-Cyrl-CS"/>
              </w:rPr>
              <w:t xml:space="preserve">- У постмаркетиншком периоду запажени су изоловани случајеви пораста </w:t>
            </w:r>
            <w:r w:rsidRPr="00E82AA9">
              <w:rPr>
                <w:rFonts w:ascii="Times New Roman" w:hAnsi="Times New Roman"/>
              </w:rPr>
              <w:t>INR</w:t>
            </w:r>
            <w:r w:rsidRPr="00E82AA9">
              <w:rPr>
                <w:rFonts w:ascii="Times New Roman" w:hAnsi="Times New Roman"/>
                <w:lang w:val="sr-Cyrl-CS"/>
              </w:rPr>
              <w:t xml:space="preserve">-а код пацијената који су истовремено узимали варфарин. Иако није доказана узрочна повезаност, препоручује се пажљиво праћење протромбинског времена или </w:t>
            </w:r>
            <w:r w:rsidRPr="00E82AA9">
              <w:rPr>
                <w:rFonts w:ascii="Times New Roman" w:hAnsi="Times New Roman"/>
              </w:rPr>
              <w:t>INR</w:t>
            </w:r>
            <w:r w:rsidRPr="00E82AA9">
              <w:rPr>
                <w:rFonts w:ascii="Times New Roman" w:hAnsi="Times New Roman"/>
                <w:lang w:val="sr-Cyrl-CS"/>
              </w:rPr>
              <w:t>-а код пацијената који истовремено узимају оралне антикоагулансе.</w:t>
            </w:r>
          </w:p>
          <w:p w:rsidR="002F268E" w:rsidRPr="00E82AA9" w:rsidRDefault="002F268E" w:rsidP="002F268E">
            <w:pPr>
              <w:pStyle w:val="NoSpacing"/>
              <w:tabs>
                <w:tab w:val="left" w:pos="9781"/>
              </w:tabs>
              <w:ind w:right="-8"/>
              <w:jc w:val="both"/>
              <w:rPr>
                <w:rFonts w:ascii="Times New Roman" w:hAnsi="Times New Roman"/>
                <w:b/>
                <w:bCs/>
                <w:lang w:val="sr-Cyrl-CS" w:eastAsia="en-GB"/>
              </w:rPr>
            </w:pPr>
          </w:p>
          <w:p w:rsidR="002F268E" w:rsidRPr="00E82AA9" w:rsidRDefault="002F268E" w:rsidP="002F268E">
            <w:pPr>
              <w:pStyle w:val="NoSpacing"/>
              <w:tabs>
                <w:tab w:val="left" w:pos="9781"/>
              </w:tabs>
              <w:ind w:right="-8"/>
              <w:jc w:val="both"/>
              <w:rPr>
                <w:rFonts w:ascii="Times New Roman" w:hAnsi="Times New Roman"/>
                <w:lang w:val="sr-Cyrl-CS"/>
              </w:rPr>
            </w:pPr>
            <w:r w:rsidRPr="00E82AA9">
              <w:rPr>
                <w:rFonts w:ascii="Times New Roman" w:hAnsi="Times New Roman"/>
                <w:lang w:val="sr-Cyrl-CS"/>
              </w:rPr>
              <w:t>У фармакокинетичким испитивањима једнократних доза код младих, здравих испитаника, није примијећена релевантна интеракција мемантина са глибуридом/метформином или са донепезилом.</w:t>
            </w:r>
          </w:p>
          <w:p w:rsidR="002F268E" w:rsidRPr="00E82AA9" w:rsidRDefault="002F268E" w:rsidP="002F268E">
            <w:pPr>
              <w:pStyle w:val="NoSpacing"/>
              <w:tabs>
                <w:tab w:val="left" w:pos="9781"/>
              </w:tabs>
              <w:ind w:right="-8"/>
              <w:jc w:val="both"/>
              <w:rPr>
                <w:rFonts w:ascii="Times New Roman" w:hAnsi="Times New Roman"/>
                <w:b/>
                <w:bCs/>
                <w:lang w:val="sr-Cyrl-CS" w:eastAsia="en-GB"/>
              </w:rPr>
            </w:pPr>
          </w:p>
          <w:p w:rsidR="002F268E" w:rsidRPr="00E82AA9" w:rsidRDefault="002F268E" w:rsidP="002F268E">
            <w:pPr>
              <w:pStyle w:val="NoSpacing"/>
              <w:tabs>
                <w:tab w:val="left" w:pos="9781"/>
              </w:tabs>
              <w:ind w:right="-8"/>
              <w:jc w:val="both"/>
              <w:rPr>
                <w:rFonts w:ascii="Times New Roman" w:hAnsi="Times New Roman"/>
                <w:lang w:val="sr-Cyrl-CS"/>
              </w:rPr>
            </w:pPr>
            <w:r w:rsidRPr="00E82AA9">
              <w:rPr>
                <w:rFonts w:ascii="Times New Roman" w:hAnsi="Times New Roman"/>
                <w:lang w:val="sr-Cyrl-CS"/>
              </w:rPr>
              <w:t>У клиничком испитивању код младих, здравих испитаника није уочен релевантан утицај мемантина на фармакокинетику галантамина.</w:t>
            </w:r>
          </w:p>
          <w:p w:rsidR="002F268E" w:rsidRPr="00E82AA9" w:rsidRDefault="002F268E" w:rsidP="002F268E">
            <w:pPr>
              <w:pStyle w:val="NoSpacing"/>
              <w:tabs>
                <w:tab w:val="left" w:pos="9781"/>
              </w:tabs>
              <w:ind w:right="-8"/>
              <w:jc w:val="both"/>
              <w:rPr>
                <w:rFonts w:ascii="Times New Roman" w:hAnsi="Times New Roman"/>
                <w:b/>
                <w:bCs/>
                <w:lang w:val="sr-Cyrl-CS" w:eastAsia="en-GB"/>
              </w:rPr>
            </w:pPr>
          </w:p>
          <w:p w:rsidR="002F268E" w:rsidRPr="00E82AA9" w:rsidRDefault="002F268E" w:rsidP="002F268E">
            <w:pPr>
              <w:pStyle w:val="NoSpacing"/>
              <w:tabs>
                <w:tab w:val="left" w:pos="9781"/>
              </w:tabs>
              <w:ind w:right="-8"/>
              <w:jc w:val="both"/>
              <w:rPr>
                <w:rFonts w:ascii="Times New Roman" w:hAnsi="Times New Roman"/>
                <w:lang w:val="sr-Cyrl-CS"/>
              </w:rPr>
            </w:pPr>
            <w:r w:rsidRPr="00E82AA9">
              <w:rPr>
                <w:rFonts w:ascii="Times New Roman" w:hAnsi="Times New Roman"/>
                <w:lang w:val="sr-Cyrl-CS"/>
              </w:rPr>
              <w:t xml:space="preserve">Мемантин не инхибира ензиме </w:t>
            </w:r>
            <w:r w:rsidRPr="00E82AA9">
              <w:rPr>
                <w:rFonts w:ascii="Times New Roman" w:hAnsi="Times New Roman"/>
                <w:lang w:val="fr-FR"/>
              </w:rPr>
              <w:t>CYP</w:t>
            </w:r>
            <w:r w:rsidRPr="00E82AA9">
              <w:rPr>
                <w:rFonts w:ascii="Times New Roman" w:hAnsi="Times New Roman"/>
                <w:lang w:val="sr-Cyrl-CS"/>
              </w:rPr>
              <w:t xml:space="preserve"> 1А2, 2А6, 2</w:t>
            </w:r>
            <w:r w:rsidRPr="00E82AA9">
              <w:rPr>
                <w:rFonts w:ascii="Times New Roman" w:hAnsi="Times New Roman"/>
                <w:lang w:val="fr-FR"/>
              </w:rPr>
              <w:t>C</w:t>
            </w:r>
            <w:r w:rsidRPr="00E82AA9">
              <w:rPr>
                <w:rFonts w:ascii="Times New Roman" w:hAnsi="Times New Roman"/>
                <w:lang w:val="sr-Cyrl-CS"/>
              </w:rPr>
              <w:t>9, 2</w:t>
            </w:r>
            <w:r w:rsidRPr="00E82AA9">
              <w:rPr>
                <w:rFonts w:ascii="Times New Roman" w:hAnsi="Times New Roman"/>
                <w:lang w:val="fr-FR"/>
              </w:rPr>
              <w:t>D</w:t>
            </w:r>
            <w:r w:rsidRPr="00E82AA9">
              <w:rPr>
                <w:rFonts w:ascii="Times New Roman" w:hAnsi="Times New Roman"/>
                <w:lang w:val="sr-Cyrl-CS"/>
              </w:rPr>
              <w:t xml:space="preserve">6, 2Е1, 3А, флавин монооксигеназе, епоксид хидролазу или сулфатацију </w:t>
            </w:r>
            <w:r w:rsidRPr="00E82AA9">
              <w:rPr>
                <w:rFonts w:ascii="Times New Roman" w:hAnsi="Times New Roman"/>
                <w:i/>
                <w:lang w:val="fr-FR"/>
              </w:rPr>
              <w:t>in</w:t>
            </w:r>
            <w:r w:rsidRPr="00E82AA9">
              <w:rPr>
                <w:rFonts w:ascii="Times New Roman" w:hAnsi="Times New Roman"/>
                <w:i/>
                <w:lang w:val="sr-Cyrl-CS"/>
              </w:rPr>
              <w:t xml:space="preserve"> </w:t>
            </w:r>
            <w:r w:rsidRPr="00E82AA9">
              <w:rPr>
                <w:rFonts w:ascii="Times New Roman" w:hAnsi="Times New Roman"/>
                <w:i/>
                <w:lang w:val="fr-FR"/>
              </w:rPr>
              <w:t>vitro</w:t>
            </w:r>
            <w:r w:rsidRPr="00E82AA9">
              <w:rPr>
                <w:rFonts w:ascii="Times New Roman" w:hAnsi="Times New Roman"/>
                <w:lang w:val="sr-Cyrl-CS"/>
              </w:rPr>
              <w:t>.</w:t>
            </w:r>
          </w:p>
          <w:p w:rsidR="002F268E" w:rsidRPr="00E82AA9" w:rsidRDefault="002F268E" w:rsidP="002F268E">
            <w:pPr>
              <w:tabs>
                <w:tab w:val="left" w:pos="945"/>
                <w:tab w:val="left" w:pos="8222"/>
              </w:tabs>
              <w:ind w:right="-8"/>
              <w:rPr>
                <w:color w:val="FF0000"/>
                <w:sz w:val="22"/>
                <w:szCs w:val="22"/>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sz w:val="22"/>
                <w:szCs w:val="22"/>
                <w:lang w:val="ru-RU"/>
              </w:rPr>
            </w:pPr>
            <w:r w:rsidRPr="00E82AA9">
              <w:rPr>
                <w:b/>
                <w:bCs/>
                <w:sz w:val="22"/>
                <w:szCs w:val="22"/>
                <w:lang w:val="ru-RU"/>
              </w:rPr>
              <w:t>4.6.   Примјена у периоду трудноће и дојења</w:t>
            </w:r>
          </w:p>
        </w:tc>
      </w:tr>
      <w:tr w:rsidR="002F268E" w:rsidRPr="00E82AA9" w:rsidTr="002F268E">
        <w:trPr>
          <w:trHeight w:val="1145"/>
        </w:trPr>
        <w:tc>
          <w:tcPr>
            <w:tcW w:w="9747" w:type="dxa"/>
            <w:gridSpan w:val="4"/>
            <w:vAlign w:val="center"/>
          </w:tcPr>
          <w:p w:rsidR="002F268E" w:rsidRPr="00E82AA9" w:rsidRDefault="002F268E" w:rsidP="002F268E">
            <w:pPr>
              <w:tabs>
                <w:tab w:val="left" w:pos="945"/>
                <w:tab w:val="left" w:pos="8222"/>
              </w:tabs>
              <w:ind w:right="-8"/>
              <w:rPr>
                <w:color w:val="FF0000"/>
                <w:sz w:val="22"/>
                <w:szCs w:val="22"/>
                <w:u w:val="single"/>
                <w:lang w:val="ru-RU"/>
              </w:rPr>
            </w:pPr>
          </w:p>
          <w:p w:rsidR="002F268E" w:rsidRPr="00E82AA9" w:rsidRDefault="002F268E" w:rsidP="002F268E">
            <w:pPr>
              <w:pStyle w:val="NoSpacing"/>
              <w:tabs>
                <w:tab w:val="left" w:pos="8222"/>
              </w:tabs>
              <w:ind w:right="-8"/>
              <w:jc w:val="both"/>
              <w:rPr>
                <w:rFonts w:ascii="Times New Roman" w:hAnsi="Times New Roman"/>
                <w:i/>
                <w:lang w:val="mk-MK"/>
              </w:rPr>
            </w:pPr>
            <w:r w:rsidRPr="00E82AA9">
              <w:rPr>
                <w:rFonts w:ascii="Times New Roman" w:hAnsi="Times New Roman"/>
                <w:i/>
                <w:lang w:val="mk-MK"/>
              </w:rPr>
              <w:t>Трудноћа</w:t>
            </w:r>
          </w:p>
          <w:p w:rsidR="002F268E" w:rsidRPr="00E82AA9" w:rsidRDefault="002F268E" w:rsidP="002F268E">
            <w:pPr>
              <w:pStyle w:val="NoSpacing"/>
              <w:tabs>
                <w:tab w:val="left" w:pos="8222"/>
              </w:tabs>
              <w:ind w:right="-8"/>
              <w:jc w:val="both"/>
              <w:rPr>
                <w:rFonts w:ascii="Times New Roman" w:hAnsi="Times New Roman"/>
                <w:lang w:val="sr-Cyrl-CS"/>
              </w:rPr>
            </w:pPr>
            <w:r w:rsidRPr="00E82AA9">
              <w:rPr>
                <w:rFonts w:ascii="Times New Roman" w:hAnsi="Times New Roman"/>
                <w:lang w:val="sr-Cyrl-CS"/>
              </w:rPr>
              <w:t>Нема клиничких података о изложености мемантину у трудноћи. Испитивања на животињама указују на потенцијал за успоравање интраутериног раста, при нивоима изложености који су исти или незнатно већи од изложености код људи (видјети одјељак 5.3). Потенцијални ризик за људе није познат. Мемантин не би требало давати у трудноћи, осим уколико је то неопходно.</w:t>
            </w:r>
          </w:p>
          <w:p w:rsidR="00D44513" w:rsidRPr="00E82AA9" w:rsidRDefault="00D44513" w:rsidP="002F268E">
            <w:pPr>
              <w:pStyle w:val="NoSpacing"/>
              <w:tabs>
                <w:tab w:val="left" w:pos="8222"/>
              </w:tabs>
              <w:ind w:right="-8"/>
              <w:jc w:val="both"/>
              <w:rPr>
                <w:rFonts w:ascii="Times New Roman" w:hAnsi="Times New Roman"/>
                <w:lang w:val="sr-Cyrl-CS"/>
              </w:rPr>
            </w:pPr>
          </w:p>
          <w:p w:rsidR="00D44513" w:rsidRPr="00E82AA9" w:rsidRDefault="00D44513" w:rsidP="002F268E">
            <w:pPr>
              <w:pStyle w:val="NoSpacing"/>
              <w:tabs>
                <w:tab w:val="left" w:pos="8222"/>
              </w:tabs>
              <w:ind w:right="-8"/>
              <w:jc w:val="both"/>
              <w:rPr>
                <w:rFonts w:ascii="Times New Roman" w:hAnsi="Times New Roman"/>
                <w:lang w:val="sr-Cyrl-CS"/>
              </w:rPr>
            </w:pPr>
          </w:p>
          <w:p w:rsidR="00D44513" w:rsidRPr="00E82AA9" w:rsidRDefault="00D44513" w:rsidP="002F268E">
            <w:pPr>
              <w:pStyle w:val="NoSpacing"/>
              <w:tabs>
                <w:tab w:val="left" w:pos="8222"/>
              </w:tabs>
              <w:ind w:right="-8"/>
              <w:jc w:val="both"/>
              <w:rPr>
                <w:rFonts w:ascii="Times New Roman" w:hAnsi="Times New Roman"/>
                <w:lang w:val="sr-Cyrl-CS"/>
              </w:rPr>
            </w:pPr>
          </w:p>
          <w:p w:rsidR="002F268E" w:rsidRPr="00E82AA9" w:rsidRDefault="002F268E" w:rsidP="00D44513">
            <w:pPr>
              <w:pStyle w:val="NoSpacing"/>
              <w:tabs>
                <w:tab w:val="left" w:pos="8222"/>
              </w:tabs>
              <w:ind w:right="-8"/>
              <w:jc w:val="both"/>
              <w:rPr>
                <w:rFonts w:ascii="Times New Roman" w:hAnsi="Times New Roman"/>
                <w:i/>
                <w:lang w:val="sr-Cyrl-CS"/>
              </w:rPr>
            </w:pPr>
            <w:r w:rsidRPr="00E82AA9">
              <w:rPr>
                <w:rFonts w:ascii="Times New Roman" w:hAnsi="Times New Roman"/>
                <w:i/>
                <w:lang w:val="sr-Cyrl-CS"/>
              </w:rPr>
              <w:lastRenderedPageBreak/>
              <w:t>Дојење</w:t>
            </w:r>
          </w:p>
          <w:p w:rsidR="002F268E" w:rsidRPr="00E82AA9" w:rsidRDefault="002F268E" w:rsidP="00D44513">
            <w:pPr>
              <w:pStyle w:val="NoSpacing"/>
              <w:tabs>
                <w:tab w:val="left" w:pos="8222"/>
              </w:tabs>
              <w:ind w:right="-8"/>
              <w:jc w:val="both"/>
              <w:rPr>
                <w:rFonts w:ascii="Times New Roman" w:hAnsi="Times New Roman"/>
                <w:b/>
                <w:lang w:val="sr-Cyrl-CS"/>
              </w:rPr>
            </w:pPr>
            <w:r w:rsidRPr="00E82AA9">
              <w:rPr>
                <w:rFonts w:ascii="Times New Roman" w:hAnsi="Times New Roman"/>
                <w:lang w:val="sr-Cyrl-CS"/>
              </w:rPr>
              <w:t>Није познато да ли се мемантин излучује у мајчино млијеко, али имајући у виду његову липофилност, вјероватно се излучује. Жене које узимају мемантин не смију дојити</w:t>
            </w:r>
            <w:r w:rsidRPr="00E82AA9">
              <w:rPr>
                <w:rFonts w:ascii="Times New Roman" w:hAnsi="Times New Roman"/>
                <w:b/>
                <w:lang w:val="sr-Cyrl-CS"/>
              </w:rPr>
              <w:t xml:space="preserve">. </w:t>
            </w:r>
          </w:p>
          <w:p w:rsidR="00D44513" w:rsidRPr="00E82AA9" w:rsidRDefault="00D44513" w:rsidP="00D44513">
            <w:pPr>
              <w:pStyle w:val="NoSpacing"/>
              <w:tabs>
                <w:tab w:val="left" w:pos="8222"/>
              </w:tabs>
              <w:ind w:right="-8"/>
              <w:jc w:val="both"/>
              <w:rPr>
                <w:rFonts w:ascii="Times New Roman" w:hAnsi="Times New Roman"/>
                <w:lang w:val="sr-Cyrl-CS"/>
              </w:rPr>
            </w:pPr>
          </w:p>
          <w:p w:rsidR="002F268E" w:rsidRPr="00E82AA9" w:rsidRDefault="002F268E" w:rsidP="00D44513">
            <w:pPr>
              <w:tabs>
                <w:tab w:val="left" w:pos="8222"/>
              </w:tabs>
              <w:ind w:right="-8"/>
              <w:jc w:val="both"/>
              <w:rPr>
                <w:sz w:val="22"/>
                <w:szCs w:val="22"/>
                <w:lang w:val="sr-Cyrl-CS"/>
              </w:rPr>
            </w:pPr>
            <w:r w:rsidRPr="00E82AA9">
              <w:rPr>
                <w:i/>
                <w:iCs/>
                <w:sz w:val="22"/>
                <w:szCs w:val="22"/>
                <w:lang w:val="sr-Cyrl-CS"/>
              </w:rPr>
              <w:t>Фертилност</w:t>
            </w:r>
          </w:p>
          <w:p w:rsidR="002F268E" w:rsidRPr="00E82AA9" w:rsidRDefault="002F268E" w:rsidP="00D44513">
            <w:pPr>
              <w:tabs>
                <w:tab w:val="left" w:pos="8222"/>
              </w:tabs>
              <w:ind w:right="-8"/>
              <w:jc w:val="both"/>
              <w:rPr>
                <w:sz w:val="22"/>
                <w:szCs w:val="22"/>
              </w:rPr>
            </w:pPr>
            <w:r w:rsidRPr="00E82AA9">
              <w:rPr>
                <w:sz w:val="22"/>
                <w:szCs w:val="22"/>
                <w:lang w:val="sr-Cyrl-CS"/>
              </w:rPr>
              <w:t xml:space="preserve">Нијесу забиљежена нежељена дејства мемантина на женску и мушку фертилност. </w:t>
            </w:r>
          </w:p>
          <w:p w:rsidR="002F268E" w:rsidRPr="00E82AA9" w:rsidRDefault="002F268E" w:rsidP="002F268E">
            <w:pPr>
              <w:tabs>
                <w:tab w:val="left" w:pos="8222"/>
              </w:tabs>
              <w:ind w:right="-8"/>
              <w:rPr>
                <w:sz w:val="22"/>
                <w:szCs w:val="22"/>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pacing w:val="-8"/>
                <w:sz w:val="22"/>
                <w:szCs w:val="22"/>
                <w:lang w:val="ru-RU"/>
              </w:rPr>
            </w:pPr>
            <w:r w:rsidRPr="00E82AA9">
              <w:rPr>
                <w:b/>
                <w:bCs/>
                <w:sz w:val="22"/>
                <w:szCs w:val="22"/>
                <w:lang w:val="ru-RU"/>
              </w:rPr>
              <w:lastRenderedPageBreak/>
              <w:t>4.7.   Утицај на психофизичке способности приликом управљања моторним возилима и руковања машинама</w:t>
            </w:r>
          </w:p>
        </w:tc>
      </w:tr>
      <w:tr w:rsidR="002F268E" w:rsidRPr="00E82AA9" w:rsidTr="002F268E">
        <w:trPr>
          <w:trHeight w:val="768"/>
        </w:trPr>
        <w:tc>
          <w:tcPr>
            <w:tcW w:w="9747" w:type="dxa"/>
            <w:gridSpan w:val="4"/>
            <w:vAlign w:val="center"/>
          </w:tcPr>
          <w:p w:rsidR="002F268E" w:rsidRPr="00E82AA9" w:rsidRDefault="002F268E" w:rsidP="00D44513">
            <w:pPr>
              <w:tabs>
                <w:tab w:val="left" w:pos="945"/>
                <w:tab w:val="left" w:pos="8222"/>
              </w:tabs>
              <w:ind w:right="-8"/>
              <w:jc w:val="both"/>
              <w:rPr>
                <w:color w:val="FF0000"/>
                <w:sz w:val="22"/>
                <w:szCs w:val="22"/>
                <w:lang w:val="mk-MK"/>
              </w:rPr>
            </w:pPr>
          </w:p>
          <w:p w:rsidR="002F268E" w:rsidRPr="00E82AA9" w:rsidRDefault="002F268E" w:rsidP="00D44513">
            <w:pPr>
              <w:tabs>
                <w:tab w:val="left" w:pos="8222"/>
              </w:tabs>
              <w:ind w:right="-8"/>
              <w:jc w:val="both"/>
              <w:rPr>
                <w:sz w:val="22"/>
                <w:szCs w:val="22"/>
                <w:lang w:val="mk-MK"/>
              </w:rPr>
            </w:pPr>
            <w:r w:rsidRPr="00E82AA9">
              <w:rPr>
                <w:sz w:val="22"/>
                <w:szCs w:val="22"/>
                <w:lang w:val="mk-MK"/>
              </w:rPr>
              <w:t>Ум</w:t>
            </w:r>
            <w:r w:rsidRPr="00E82AA9">
              <w:rPr>
                <w:sz w:val="22"/>
                <w:szCs w:val="22"/>
                <w:lang w:val="sr-Cyrl-CS"/>
              </w:rPr>
              <w:t>ј</w:t>
            </w:r>
            <w:r w:rsidRPr="00E82AA9">
              <w:rPr>
                <w:sz w:val="22"/>
                <w:szCs w:val="22"/>
                <w:lang w:val="mk-MK"/>
              </w:rPr>
              <w:t>ерена до тешка Алцхеимерова болест обично умањује способност приликом управљања моторним возилима и руковања машинама. Осим тога, мемантин може пром</w:t>
            </w:r>
            <w:r w:rsidRPr="00E82AA9">
              <w:rPr>
                <w:sz w:val="22"/>
                <w:szCs w:val="22"/>
                <w:lang w:val="sr-Cyrl-CS"/>
              </w:rPr>
              <w:t>иј</w:t>
            </w:r>
            <w:r w:rsidRPr="00E82AA9">
              <w:rPr>
                <w:sz w:val="22"/>
                <w:szCs w:val="22"/>
                <w:lang w:val="mk-MK"/>
              </w:rPr>
              <w:t>енити способност реаговања, тако да се препоручује повећан опрез приликом управљања моторним возилима и руковања машинама.</w:t>
            </w:r>
          </w:p>
          <w:p w:rsidR="002F268E" w:rsidRPr="00E82AA9" w:rsidRDefault="002F268E" w:rsidP="00D44513">
            <w:pPr>
              <w:tabs>
                <w:tab w:val="left" w:pos="945"/>
                <w:tab w:val="left" w:pos="8222"/>
              </w:tabs>
              <w:ind w:right="-8"/>
              <w:jc w:val="both"/>
              <w:rPr>
                <w:color w:val="FF0000"/>
                <w:sz w:val="22"/>
                <w:szCs w:val="22"/>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rPr>
            </w:pPr>
            <w:r w:rsidRPr="00E82AA9">
              <w:rPr>
                <w:b/>
                <w:bCs/>
                <w:sz w:val="22"/>
                <w:szCs w:val="22"/>
                <w:lang w:val="ru-RU"/>
              </w:rPr>
              <w:t>4.8.   Нежељена дејства</w:t>
            </w:r>
          </w:p>
        </w:tc>
      </w:tr>
      <w:tr w:rsidR="002F268E" w:rsidRPr="00E82AA9" w:rsidTr="002F268E">
        <w:trPr>
          <w:trHeight w:val="567"/>
        </w:trPr>
        <w:tc>
          <w:tcPr>
            <w:tcW w:w="9747" w:type="dxa"/>
            <w:gridSpan w:val="4"/>
            <w:vAlign w:val="center"/>
          </w:tcPr>
          <w:p w:rsidR="002F268E" w:rsidRPr="00E82AA9" w:rsidRDefault="002F268E" w:rsidP="002F268E">
            <w:pPr>
              <w:tabs>
                <w:tab w:val="left" w:pos="945"/>
                <w:tab w:val="left" w:pos="8222"/>
              </w:tabs>
              <w:ind w:right="-8"/>
              <w:rPr>
                <w:color w:val="FF0000"/>
                <w:sz w:val="22"/>
                <w:szCs w:val="22"/>
              </w:rPr>
            </w:pPr>
          </w:p>
          <w:p w:rsidR="002F268E" w:rsidRPr="00E82AA9" w:rsidRDefault="002F268E" w:rsidP="002F268E">
            <w:pPr>
              <w:tabs>
                <w:tab w:val="left" w:pos="8222"/>
              </w:tabs>
              <w:ind w:right="-8"/>
              <w:rPr>
                <w:i/>
                <w:iCs/>
                <w:sz w:val="22"/>
                <w:szCs w:val="22"/>
              </w:rPr>
            </w:pPr>
            <w:r w:rsidRPr="00E82AA9">
              <w:rPr>
                <w:i/>
                <w:iCs/>
                <w:sz w:val="22"/>
                <w:szCs w:val="22"/>
              </w:rPr>
              <w:t>Сажетак безбједносног профила</w:t>
            </w:r>
          </w:p>
          <w:p w:rsidR="00AA2181" w:rsidRPr="00E82AA9" w:rsidRDefault="00AA2181" w:rsidP="002F268E">
            <w:pPr>
              <w:tabs>
                <w:tab w:val="left" w:pos="8222"/>
              </w:tabs>
              <w:ind w:right="-8"/>
              <w:rPr>
                <w:sz w:val="22"/>
                <w:szCs w:val="22"/>
              </w:rPr>
            </w:pP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rPr>
              <w:t>У клиничким испитивањима благе до тешке деменције, која су обухватила 1784 пацијента л</w:t>
            </w:r>
            <w:r w:rsidRPr="00E82AA9">
              <w:rPr>
                <w:rFonts w:ascii="Times New Roman" w:hAnsi="Times New Roman"/>
                <w:lang w:val="sr-Cyrl-CS"/>
              </w:rPr>
              <w:t>иј</w:t>
            </w:r>
            <w:r w:rsidRPr="00E82AA9">
              <w:rPr>
                <w:rFonts w:ascii="Times New Roman" w:hAnsi="Times New Roman"/>
              </w:rPr>
              <w:t>ечених мемантином и 1595 пацијената који су узимали плацебо, укупна инциденца нежељених дејстава при узимању мемантина није се разликовала од оне при узимању плацеба; нежељена дејства су обично била благог до ум</w:t>
            </w:r>
            <w:r w:rsidRPr="00E82AA9">
              <w:rPr>
                <w:rFonts w:ascii="Times New Roman" w:hAnsi="Times New Roman"/>
                <w:lang w:val="sr-Cyrl-CS"/>
              </w:rPr>
              <w:t>ј</w:t>
            </w:r>
            <w:r w:rsidRPr="00E82AA9">
              <w:rPr>
                <w:rFonts w:ascii="Times New Roman" w:hAnsi="Times New Roman"/>
              </w:rPr>
              <w:t>ереног интензитета. Најчешћа нежељена дејства, чија је инциденца у групи која је узимала мемантин била већа од инциденце у групи која је узимала плацебо, била су</w:t>
            </w:r>
            <w:r w:rsidRPr="00E82AA9">
              <w:rPr>
                <w:rFonts w:ascii="Times New Roman" w:hAnsi="Times New Roman"/>
                <w:lang w:val="sr-Cyrl-CS"/>
              </w:rPr>
              <w:t>:</w:t>
            </w:r>
            <w:r w:rsidRPr="00E82AA9">
              <w:rPr>
                <w:rFonts w:ascii="Times New Roman" w:hAnsi="Times New Roman"/>
              </w:rPr>
              <w:t xml:space="preserve"> вртоглавица (6,3% према 5,6%), главобоља (5,2% према 3,9%), констипација (4,6% према 2,6%), поспаност (3,4% према 2,2%) и хипертензија (4,1% према 2,8%).</w:t>
            </w:r>
          </w:p>
          <w:p w:rsidR="002F268E" w:rsidRPr="00E82AA9" w:rsidRDefault="002F268E" w:rsidP="002F268E">
            <w:pPr>
              <w:pStyle w:val="NoSpacing"/>
              <w:tabs>
                <w:tab w:val="left" w:pos="8222"/>
              </w:tabs>
              <w:ind w:right="-8"/>
              <w:jc w:val="both"/>
              <w:rPr>
                <w:rFonts w:ascii="Times New Roman" w:hAnsi="Times New Roman"/>
                <w:b/>
                <w:bCs/>
                <w:lang w:val="mk-MK" w:eastAsia="en-GB"/>
              </w:rPr>
            </w:pPr>
          </w:p>
          <w:p w:rsidR="002F268E" w:rsidRPr="00E82AA9" w:rsidRDefault="002F268E" w:rsidP="002F268E">
            <w:pPr>
              <w:tabs>
                <w:tab w:val="left" w:pos="8222"/>
              </w:tabs>
              <w:ind w:right="-8"/>
              <w:rPr>
                <w:i/>
                <w:iCs/>
                <w:sz w:val="22"/>
                <w:szCs w:val="22"/>
              </w:rPr>
            </w:pPr>
            <w:r w:rsidRPr="00E82AA9">
              <w:rPr>
                <w:i/>
                <w:iCs/>
                <w:sz w:val="22"/>
                <w:szCs w:val="22"/>
              </w:rPr>
              <w:t xml:space="preserve">Табеларни приказ нежељених дејстава </w:t>
            </w:r>
          </w:p>
          <w:p w:rsidR="00AA2181" w:rsidRPr="00E82AA9" w:rsidRDefault="00AA2181" w:rsidP="002F268E">
            <w:pPr>
              <w:tabs>
                <w:tab w:val="left" w:pos="8222"/>
              </w:tabs>
              <w:ind w:right="-8"/>
              <w:rPr>
                <w:sz w:val="22"/>
                <w:szCs w:val="22"/>
              </w:rPr>
            </w:pP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rPr>
              <w:t>Нежељена дејства, наведена у табели испод, прикупљена су у клиничким испитивањима са мемантин</w:t>
            </w:r>
            <w:r w:rsidRPr="00E82AA9">
              <w:rPr>
                <w:rFonts w:ascii="Times New Roman" w:hAnsi="Times New Roman"/>
                <w:lang w:val="sr-Cyrl-RS"/>
              </w:rPr>
              <w:t>ом</w:t>
            </w:r>
            <w:r w:rsidRPr="00E82AA9">
              <w:rPr>
                <w:rFonts w:ascii="Times New Roman" w:hAnsi="Times New Roman"/>
              </w:rPr>
              <w:t xml:space="preserve"> и посл</w:t>
            </w:r>
            <w:r w:rsidRPr="00E82AA9">
              <w:rPr>
                <w:rFonts w:ascii="Times New Roman" w:hAnsi="Times New Roman"/>
                <w:lang w:val="sr-Cyrl-CS"/>
              </w:rPr>
              <w:t>иј</w:t>
            </w:r>
            <w:r w:rsidRPr="00E82AA9">
              <w:rPr>
                <w:rFonts w:ascii="Times New Roman" w:hAnsi="Times New Roman"/>
              </w:rPr>
              <w:t>е стављања л</w:t>
            </w:r>
            <w:r w:rsidRPr="00E82AA9">
              <w:rPr>
                <w:rFonts w:ascii="Times New Roman" w:hAnsi="Times New Roman"/>
                <w:lang w:val="sr-Cyrl-CS"/>
              </w:rPr>
              <w:t>иј</w:t>
            </w:r>
            <w:r w:rsidRPr="00E82AA9">
              <w:rPr>
                <w:rFonts w:ascii="Times New Roman" w:hAnsi="Times New Roman"/>
              </w:rPr>
              <w:t xml:space="preserve">ека у промет. </w:t>
            </w:r>
          </w:p>
          <w:p w:rsidR="002F268E" w:rsidRPr="00E82AA9" w:rsidRDefault="002F268E" w:rsidP="002F268E">
            <w:pPr>
              <w:pStyle w:val="NoSpacing"/>
              <w:tabs>
                <w:tab w:val="left" w:pos="8222"/>
              </w:tabs>
              <w:ind w:right="-8"/>
              <w:rPr>
                <w:rFonts w:ascii="Times New Roman" w:hAnsi="Times New Roman"/>
                <w:b/>
                <w:bCs/>
                <w:lang w:val="mk-MK" w:eastAsia="en-GB"/>
              </w:rPr>
            </w:pP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Нежељена дејства су класификована према органским системима и према учесталости користећи с</w:t>
            </w:r>
            <w:r w:rsidRPr="00E82AA9">
              <w:rPr>
                <w:rFonts w:ascii="Times New Roman" w:hAnsi="Times New Roman"/>
                <w:lang w:val="sr-Cyrl-CS"/>
              </w:rPr>
              <w:t>љ</w:t>
            </w:r>
            <w:r w:rsidRPr="00E82AA9">
              <w:rPr>
                <w:rFonts w:ascii="Times New Roman" w:hAnsi="Times New Roman"/>
                <w:lang w:val="mk-MK"/>
              </w:rPr>
              <w:t>едећу конвенцију: веома често (≥1/10), често (≥1/100 до ≤/10), повремено (≥1/1000 до ≤/100), р</w:t>
            </w:r>
            <w:r w:rsidRPr="00E82AA9">
              <w:rPr>
                <w:rFonts w:ascii="Times New Roman" w:hAnsi="Times New Roman"/>
                <w:lang w:val="sr-Cyrl-CS"/>
              </w:rPr>
              <w:t>иј</w:t>
            </w:r>
            <w:r w:rsidRPr="00E82AA9">
              <w:rPr>
                <w:rFonts w:ascii="Times New Roman" w:hAnsi="Times New Roman"/>
                <w:lang w:val="mk-MK"/>
              </w:rPr>
              <w:t>етко (≥1/10000 до ≤/1000), веома р</w:t>
            </w:r>
            <w:r w:rsidRPr="00E82AA9">
              <w:rPr>
                <w:rFonts w:ascii="Times New Roman" w:hAnsi="Times New Roman"/>
                <w:lang w:val="sr-Cyrl-CS"/>
              </w:rPr>
              <w:t>иј</w:t>
            </w:r>
            <w:r w:rsidRPr="00E82AA9">
              <w:rPr>
                <w:rFonts w:ascii="Times New Roman" w:hAnsi="Times New Roman"/>
                <w:lang w:val="mk-MK"/>
              </w:rPr>
              <w:t>етко (≤1/10000), непозната учесталост (учесталост се не може проц</w:t>
            </w:r>
            <w:r w:rsidRPr="00E82AA9">
              <w:rPr>
                <w:rFonts w:ascii="Times New Roman" w:hAnsi="Times New Roman"/>
                <w:lang w:val="sr-Cyrl-CS"/>
              </w:rPr>
              <w:t>иј</w:t>
            </w:r>
            <w:r w:rsidRPr="00E82AA9">
              <w:rPr>
                <w:rFonts w:ascii="Times New Roman" w:hAnsi="Times New Roman"/>
                <w:lang w:val="mk-MK"/>
              </w:rPr>
              <w:t>енити на основу доступних података). У оквиру сваке групе нежељена дејства су класификована према опадајућој озбиљности.</w:t>
            </w:r>
          </w:p>
          <w:p w:rsidR="00AA2181" w:rsidRPr="00E82AA9" w:rsidRDefault="00AA2181" w:rsidP="002F268E">
            <w:pPr>
              <w:pStyle w:val="NoSpacing"/>
              <w:tabs>
                <w:tab w:val="left" w:pos="8222"/>
              </w:tabs>
              <w:ind w:right="-8"/>
              <w:jc w:val="both"/>
              <w:rPr>
                <w:rFonts w:ascii="Times New Roman" w:hAnsi="Times New Roman"/>
                <w:lang w:val="mk-MK"/>
              </w:rPr>
            </w:pPr>
          </w:p>
          <w:tbl>
            <w:tblPr>
              <w:tblpPr w:leftFromText="180" w:rightFromText="180" w:vertAnchor="text" w:horzAnchor="margin" w:tblpY="14"/>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843"/>
              <w:gridCol w:w="2126"/>
              <w:gridCol w:w="1701"/>
              <w:gridCol w:w="1701"/>
            </w:tblGrid>
            <w:tr w:rsidR="002F268E" w:rsidRPr="00E82AA9" w:rsidTr="00FA5CC0">
              <w:tc>
                <w:tcPr>
                  <w:tcW w:w="2263" w:type="dxa"/>
                  <w:shd w:val="clear" w:color="auto" w:fill="auto"/>
                </w:tcPr>
                <w:p w:rsidR="002F268E" w:rsidRPr="00E82AA9" w:rsidRDefault="002F268E" w:rsidP="002F268E">
                  <w:pPr>
                    <w:tabs>
                      <w:tab w:val="left" w:pos="8222"/>
                    </w:tabs>
                    <w:ind w:right="-8"/>
                    <w:rPr>
                      <w:i/>
                      <w:caps/>
                      <w:sz w:val="22"/>
                      <w:szCs w:val="22"/>
                      <w:lang w:val="mk-MK"/>
                    </w:rPr>
                  </w:pPr>
                  <w:r w:rsidRPr="00E82AA9">
                    <w:rPr>
                      <w:i/>
                      <w:sz w:val="22"/>
                      <w:szCs w:val="22"/>
                      <w:lang w:val="mk-MK"/>
                    </w:rPr>
                    <w:t>Органски систем</w:t>
                  </w:r>
                </w:p>
              </w:tc>
              <w:tc>
                <w:tcPr>
                  <w:tcW w:w="1843" w:type="dxa"/>
                  <w:shd w:val="clear" w:color="auto" w:fill="auto"/>
                </w:tcPr>
                <w:p w:rsidR="002F268E" w:rsidRPr="00E82AA9" w:rsidRDefault="002F268E" w:rsidP="002F268E">
                  <w:pPr>
                    <w:tabs>
                      <w:tab w:val="left" w:pos="8222"/>
                    </w:tabs>
                    <w:ind w:right="-8"/>
                    <w:rPr>
                      <w:i/>
                      <w:caps/>
                      <w:sz w:val="22"/>
                      <w:szCs w:val="22"/>
                      <w:lang w:val="mk-MK"/>
                    </w:rPr>
                  </w:pPr>
                  <w:r w:rsidRPr="00E82AA9">
                    <w:rPr>
                      <w:i/>
                      <w:sz w:val="22"/>
                      <w:szCs w:val="22"/>
                      <w:lang w:val="mk-MK"/>
                    </w:rPr>
                    <w:t>Често</w:t>
                  </w:r>
                </w:p>
              </w:tc>
              <w:tc>
                <w:tcPr>
                  <w:tcW w:w="2126" w:type="dxa"/>
                  <w:shd w:val="clear" w:color="auto" w:fill="auto"/>
                </w:tcPr>
                <w:p w:rsidR="002F268E" w:rsidRPr="00E82AA9" w:rsidRDefault="002F268E" w:rsidP="002F268E">
                  <w:pPr>
                    <w:tabs>
                      <w:tab w:val="left" w:pos="8222"/>
                    </w:tabs>
                    <w:ind w:right="-8"/>
                    <w:rPr>
                      <w:i/>
                      <w:caps/>
                      <w:sz w:val="22"/>
                      <w:szCs w:val="22"/>
                      <w:lang w:val="mk-MK"/>
                    </w:rPr>
                  </w:pPr>
                  <w:r w:rsidRPr="00E82AA9">
                    <w:rPr>
                      <w:i/>
                      <w:sz w:val="22"/>
                      <w:szCs w:val="22"/>
                      <w:lang w:val="mk-MK"/>
                    </w:rPr>
                    <w:t>Повремено</w:t>
                  </w:r>
                </w:p>
              </w:tc>
              <w:tc>
                <w:tcPr>
                  <w:tcW w:w="1701" w:type="dxa"/>
                  <w:shd w:val="clear" w:color="auto" w:fill="auto"/>
                </w:tcPr>
                <w:p w:rsidR="002F268E" w:rsidRPr="00E82AA9" w:rsidRDefault="002F268E" w:rsidP="002F268E">
                  <w:pPr>
                    <w:tabs>
                      <w:tab w:val="left" w:pos="8222"/>
                    </w:tabs>
                    <w:ind w:right="-8"/>
                    <w:rPr>
                      <w:i/>
                      <w:caps/>
                      <w:sz w:val="22"/>
                      <w:szCs w:val="22"/>
                      <w:lang w:val="mk-MK"/>
                    </w:rPr>
                  </w:pPr>
                  <w:r w:rsidRPr="00E82AA9">
                    <w:rPr>
                      <w:i/>
                      <w:sz w:val="22"/>
                      <w:szCs w:val="22"/>
                      <w:lang w:val="mk-MK"/>
                    </w:rPr>
                    <w:t>Веома ријетко</w:t>
                  </w:r>
                </w:p>
              </w:tc>
              <w:tc>
                <w:tcPr>
                  <w:tcW w:w="1701" w:type="dxa"/>
                  <w:shd w:val="clear" w:color="auto" w:fill="auto"/>
                </w:tcPr>
                <w:p w:rsidR="002F268E" w:rsidRPr="00E82AA9" w:rsidRDefault="002F268E" w:rsidP="002F268E">
                  <w:pPr>
                    <w:tabs>
                      <w:tab w:val="left" w:pos="8222"/>
                    </w:tabs>
                    <w:ind w:right="-8"/>
                    <w:rPr>
                      <w:i/>
                      <w:caps/>
                      <w:sz w:val="22"/>
                      <w:szCs w:val="22"/>
                      <w:lang w:val="mk-MK"/>
                    </w:rPr>
                  </w:pPr>
                  <w:r w:rsidRPr="00E82AA9">
                    <w:rPr>
                      <w:i/>
                      <w:sz w:val="22"/>
                      <w:szCs w:val="22"/>
                      <w:lang w:val="mk-MK"/>
                    </w:rPr>
                    <w:t>Непозната учесталост</w:t>
                  </w:r>
                </w:p>
              </w:tc>
            </w:tr>
            <w:tr w:rsidR="002F268E" w:rsidRPr="00E82AA9" w:rsidTr="00FA5CC0">
              <w:tc>
                <w:tcPr>
                  <w:tcW w:w="2263"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Инфекције и инфестације</w:t>
                  </w:r>
                </w:p>
              </w:tc>
              <w:tc>
                <w:tcPr>
                  <w:tcW w:w="1843" w:type="dxa"/>
                  <w:shd w:val="clear" w:color="auto" w:fill="auto"/>
                </w:tcPr>
                <w:p w:rsidR="002F268E" w:rsidRPr="00E82AA9" w:rsidRDefault="002F268E" w:rsidP="002F268E">
                  <w:pPr>
                    <w:tabs>
                      <w:tab w:val="left" w:pos="8222"/>
                    </w:tabs>
                    <w:ind w:right="-8"/>
                    <w:rPr>
                      <w:sz w:val="22"/>
                      <w:szCs w:val="22"/>
                      <w:u w:val="single"/>
                      <w:lang w:val="bs-Latn-BA"/>
                    </w:rPr>
                  </w:pPr>
                </w:p>
              </w:tc>
              <w:tc>
                <w:tcPr>
                  <w:tcW w:w="2126"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Гљивичне инфекције</w:t>
                  </w:r>
                </w:p>
              </w:tc>
              <w:tc>
                <w:tcPr>
                  <w:tcW w:w="1701"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c>
                <w:tcPr>
                  <w:tcW w:w="1701"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r>
            <w:tr w:rsidR="002F268E" w:rsidRPr="00E82AA9" w:rsidTr="00FA5CC0">
              <w:tc>
                <w:tcPr>
                  <w:tcW w:w="2263" w:type="dxa"/>
                  <w:shd w:val="clear" w:color="auto" w:fill="auto"/>
                </w:tcPr>
                <w:p w:rsidR="002F268E" w:rsidRPr="00E82AA9" w:rsidRDefault="002F268E" w:rsidP="002F268E">
                  <w:pPr>
                    <w:pStyle w:val="Title"/>
                    <w:tabs>
                      <w:tab w:val="left" w:pos="8222"/>
                    </w:tabs>
                    <w:ind w:right="-8"/>
                    <w:jc w:val="left"/>
                    <w:rPr>
                      <w:b w:val="0"/>
                      <w:noProof/>
                      <w:color w:val="0000FF"/>
                      <w:sz w:val="22"/>
                      <w:szCs w:val="22"/>
                      <w:u w:val="single"/>
                      <w:lang w:val="da-DK"/>
                    </w:rPr>
                  </w:pPr>
                  <w:r w:rsidRPr="00E82AA9">
                    <w:rPr>
                      <w:b w:val="0"/>
                      <w:sz w:val="22"/>
                      <w:szCs w:val="22"/>
                    </w:rPr>
                    <w:t>Поремећаји имуног система</w:t>
                  </w:r>
                </w:p>
              </w:tc>
              <w:tc>
                <w:tcPr>
                  <w:tcW w:w="1843" w:type="dxa"/>
                  <w:shd w:val="clear" w:color="auto" w:fill="auto"/>
                </w:tcPr>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Преос</w:t>
                  </w:r>
                  <w:r w:rsidRPr="00E82AA9">
                    <w:rPr>
                      <w:rFonts w:ascii="Times New Roman" w:hAnsi="Times New Roman"/>
                      <w:lang w:val="sr-Cyrl-CS"/>
                    </w:rPr>
                    <w:t>ј</w:t>
                  </w:r>
                  <w:r w:rsidRPr="00E82AA9">
                    <w:rPr>
                      <w:rFonts w:ascii="Times New Roman" w:hAnsi="Times New Roman"/>
                    </w:rPr>
                    <w:t>етљивост на л</w:t>
                  </w:r>
                  <w:r w:rsidRPr="00E82AA9">
                    <w:rPr>
                      <w:rFonts w:ascii="Times New Roman" w:hAnsi="Times New Roman"/>
                      <w:lang w:val="sr-Cyrl-CS"/>
                    </w:rPr>
                    <w:t>иј</w:t>
                  </w:r>
                  <w:r w:rsidRPr="00E82AA9">
                    <w:rPr>
                      <w:rFonts w:ascii="Times New Roman" w:hAnsi="Times New Roman"/>
                    </w:rPr>
                    <w:t>ек</w:t>
                  </w:r>
                </w:p>
              </w:tc>
              <w:tc>
                <w:tcPr>
                  <w:tcW w:w="2126" w:type="dxa"/>
                  <w:shd w:val="clear" w:color="auto" w:fill="auto"/>
                </w:tcPr>
                <w:p w:rsidR="002F268E" w:rsidRPr="00E82AA9" w:rsidRDefault="002F268E" w:rsidP="002F268E">
                  <w:pPr>
                    <w:pStyle w:val="NoSpacing"/>
                    <w:tabs>
                      <w:tab w:val="left" w:pos="8222"/>
                    </w:tabs>
                    <w:ind w:right="-8"/>
                    <w:rPr>
                      <w:rFonts w:ascii="Times New Roman" w:hAnsi="Times New Roman"/>
                    </w:rPr>
                  </w:pPr>
                </w:p>
              </w:tc>
              <w:tc>
                <w:tcPr>
                  <w:tcW w:w="1701" w:type="dxa"/>
                  <w:shd w:val="clear" w:color="auto" w:fill="auto"/>
                </w:tcPr>
                <w:p w:rsidR="002F268E" w:rsidRPr="00E82AA9" w:rsidRDefault="002F268E" w:rsidP="002F268E">
                  <w:pPr>
                    <w:tabs>
                      <w:tab w:val="left" w:pos="8222"/>
                    </w:tabs>
                    <w:ind w:right="-8"/>
                    <w:rPr>
                      <w:sz w:val="22"/>
                      <w:szCs w:val="22"/>
                      <w:u w:val="single"/>
                      <w:lang w:val="bs-Latn-BA"/>
                    </w:rPr>
                  </w:pPr>
                </w:p>
              </w:tc>
              <w:tc>
                <w:tcPr>
                  <w:tcW w:w="1701" w:type="dxa"/>
                  <w:shd w:val="clear" w:color="auto" w:fill="auto"/>
                </w:tcPr>
                <w:p w:rsidR="002F268E" w:rsidRPr="00E82AA9" w:rsidRDefault="002F268E" w:rsidP="002F268E">
                  <w:pPr>
                    <w:tabs>
                      <w:tab w:val="left" w:pos="8222"/>
                    </w:tabs>
                    <w:ind w:right="-8"/>
                    <w:rPr>
                      <w:sz w:val="22"/>
                      <w:szCs w:val="22"/>
                    </w:rPr>
                  </w:pPr>
                </w:p>
              </w:tc>
            </w:tr>
            <w:tr w:rsidR="002F268E" w:rsidRPr="00E82AA9" w:rsidTr="00FA5CC0">
              <w:tc>
                <w:tcPr>
                  <w:tcW w:w="2263"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 xml:space="preserve">Психијатријски поремећаји </w:t>
                  </w:r>
                </w:p>
              </w:tc>
              <w:tc>
                <w:tcPr>
                  <w:tcW w:w="1843" w:type="dxa"/>
                  <w:shd w:val="clear" w:color="auto" w:fill="auto"/>
                </w:tcPr>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Сомноленција</w:t>
                  </w:r>
                </w:p>
                <w:p w:rsidR="002F268E" w:rsidRPr="00E82AA9" w:rsidRDefault="002F268E" w:rsidP="002F268E">
                  <w:pPr>
                    <w:tabs>
                      <w:tab w:val="left" w:pos="8222"/>
                    </w:tabs>
                    <w:ind w:right="-8"/>
                    <w:rPr>
                      <w:sz w:val="22"/>
                      <w:szCs w:val="22"/>
                      <w:u w:val="single"/>
                      <w:lang w:val="bs-Latn-BA"/>
                    </w:rPr>
                  </w:pPr>
                </w:p>
              </w:tc>
              <w:tc>
                <w:tcPr>
                  <w:tcW w:w="2126" w:type="dxa"/>
                  <w:shd w:val="clear" w:color="auto" w:fill="auto"/>
                </w:tcPr>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 xml:space="preserve">Конфузија </w:t>
                  </w:r>
                </w:p>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Халуцинације¹</w:t>
                  </w:r>
                </w:p>
                <w:p w:rsidR="002F268E" w:rsidRPr="00E82AA9" w:rsidRDefault="002F268E" w:rsidP="002F268E">
                  <w:pPr>
                    <w:tabs>
                      <w:tab w:val="left" w:pos="8222"/>
                    </w:tabs>
                    <w:ind w:right="-8"/>
                    <w:rPr>
                      <w:sz w:val="22"/>
                      <w:szCs w:val="22"/>
                      <w:u w:val="single"/>
                      <w:lang w:val="bs-Latn-BA"/>
                    </w:rPr>
                  </w:pPr>
                </w:p>
              </w:tc>
              <w:tc>
                <w:tcPr>
                  <w:tcW w:w="1701" w:type="dxa"/>
                  <w:shd w:val="clear" w:color="auto" w:fill="auto"/>
                </w:tcPr>
                <w:p w:rsidR="002F268E" w:rsidRPr="00E82AA9" w:rsidRDefault="002F268E" w:rsidP="002F268E">
                  <w:pPr>
                    <w:tabs>
                      <w:tab w:val="left" w:pos="8222"/>
                    </w:tabs>
                    <w:ind w:right="-8"/>
                    <w:rPr>
                      <w:sz w:val="22"/>
                      <w:szCs w:val="22"/>
                      <w:u w:val="single"/>
                      <w:lang w:val="bs-Latn-BA"/>
                    </w:rPr>
                  </w:pPr>
                </w:p>
              </w:tc>
              <w:tc>
                <w:tcPr>
                  <w:tcW w:w="1701"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Психотичне реакције²</w:t>
                  </w:r>
                </w:p>
              </w:tc>
            </w:tr>
            <w:tr w:rsidR="002F268E" w:rsidRPr="00E82AA9" w:rsidTr="00FA5CC0">
              <w:tc>
                <w:tcPr>
                  <w:tcW w:w="2263"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lastRenderedPageBreak/>
                    <w:t>Поремећаји нервног система</w:t>
                  </w:r>
                </w:p>
              </w:tc>
              <w:tc>
                <w:tcPr>
                  <w:tcW w:w="1843" w:type="dxa"/>
                  <w:shd w:val="clear" w:color="auto" w:fill="auto"/>
                </w:tcPr>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Вртоглавица</w:t>
                  </w:r>
                </w:p>
                <w:p w:rsidR="002F268E" w:rsidRPr="00E82AA9" w:rsidRDefault="002F268E" w:rsidP="00AA2181">
                  <w:pPr>
                    <w:pStyle w:val="NoSpacing"/>
                    <w:tabs>
                      <w:tab w:val="left" w:pos="8222"/>
                    </w:tabs>
                    <w:ind w:right="-8"/>
                    <w:rPr>
                      <w:rFonts w:ascii="Times New Roman" w:hAnsi="Times New Roman"/>
                      <w:u w:val="single"/>
                      <w:lang w:val="bs-Latn-BA"/>
                    </w:rPr>
                  </w:pPr>
                  <w:r w:rsidRPr="00E82AA9">
                    <w:rPr>
                      <w:rFonts w:ascii="Times New Roman" w:hAnsi="Times New Roman"/>
                    </w:rPr>
                    <w:t>Поремећај равнотеже</w:t>
                  </w:r>
                </w:p>
              </w:tc>
              <w:tc>
                <w:tcPr>
                  <w:tcW w:w="2126" w:type="dxa"/>
                  <w:shd w:val="clear" w:color="auto" w:fill="auto"/>
                </w:tcPr>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Абнормалан ход</w:t>
                  </w:r>
                </w:p>
                <w:p w:rsidR="002F268E" w:rsidRPr="00E82AA9" w:rsidRDefault="002F268E" w:rsidP="002F268E">
                  <w:pPr>
                    <w:tabs>
                      <w:tab w:val="left" w:pos="8222"/>
                    </w:tabs>
                    <w:ind w:right="-8"/>
                    <w:rPr>
                      <w:sz w:val="22"/>
                      <w:szCs w:val="22"/>
                      <w:u w:val="single"/>
                      <w:lang w:val="bs-Latn-BA"/>
                    </w:rPr>
                  </w:pPr>
                </w:p>
              </w:tc>
              <w:tc>
                <w:tcPr>
                  <w:tcW w:w="1701" w:type="dxa"/>
                  <w:shd w:val="clear" w:color="auto" w:fill="auto"/>
                </w:tcPr>
                <w:p w:rsidR="002F268E" w:rsidRPr="00E82AA9" w:rsidRDefault="002F268E" w:rsidP="002F268E">
                  <w:pPr>
                    <w:tabs>
                      <w:tab w:val="left" w:pos="8222"/>
                    </w:tabs>
                    <w:ind w:right="-8"/>
                    <w:rPr>
                      <w:sz w:val="22"/>
                      <w:szCs w:val="22"/>
                      <w:u w:val="single"/>
                    </w:rPr>
                  </w:pPr>
                  <w:r w:rsidRPr="00E82AA9">
                    <w:rPr>
                      <w:sz w:val="22"/>
                      <w:szCs w:val="22"/>
                    </w:rPr>
                    <w:t>Конвулзије</w:t>
                  </w:r>
                </w:p>
              </w:tc>
              <w:tc>
                <w:tcPr>
                  <w:tcW w:w="1701"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r>
            <w:tr w:rsidR="002F268E" w:rsidRPr="00E82AA9" w:rsidTr="00FA5CC0">
              <w:tc>
                <w:tcPr>
                  <w:tcW w:w="2263"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 xml:space="preserve">Кардиолошки поремећаји </w:t>
                  </w:r>
                </w:p>
              </w:tc>
              <w:tc>
                <w:tcPr>
                  <w:tcW w:w="1843"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c>
                <w:tcPr>
                  <w:tcW w:w="2126"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Срчана инсуфицијенцја</w:t>
                  </w:r>
                </w:p>
              </w:tc>
              <w:tc>
                <w:tcPr>
                  <w:tcW w:w="1701"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c>
                <w:tcPr>
                  <w:tcW w:w="1701"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r>
            <w:tr w:rsidR="002F268E" w:rsidRPr="00E82AA9" w:rsidTr="00FA5CC0">
              <w:tc>
                <w:tcPr>
                  <w:tcW w:w="2263"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Васкуларни поремећаји</w:t>
                  </w:r>
                </w:p>
              </w:tc>
              <w:tc>
                <w:tcPr>
                  <w:tcW w:w="1843" w:type="dxa"/>
                  <w:shd w:val="clear" w:color="auto" w:fill="auto"/>
                </w:tcPr>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Хип</w:t>
                  </w:r>
                  <w:r w:rsidRPr="00E82AA9">
                    <w:rPr>
                      <w:rFonts w:ascii="Times New Roman" w:hAnsi="Times New Roman"/>
                      <w:lang w:val="mk-MK"/>
                    </w:rPr>
                    <w:t>ер</w:t>
                  </w:r>
                  <w:r w:rsidRPr="00E82AA9">
                    <w:rPr>
                      <w:rFonts w:ascii="Times New Roman" w:hAnsi="Times New Roman"/>
                    </w:rPr>
                    <w:t xml:space="preserve">тензија </w:t>
                  </w:r>
                </w:p>
                <w:p w:rsidR="002F268E" w:rsidRPr="00E82AA9" w:rsidRDefault="002F268E" w:rsidP="002F268E">
                  <w:pPr>
                    <w:tabs>
                      <w:tab w:val="left" w:pos="8222"/>
                    </w:tabs>
                    <w:ind w:right="-8"/>
                    <w:rPr>
                      <w:sz w:val="22"/>
                      <w:szCs w:val="22"/>
                      <w:u w:val="single"/>
                      <w:lang w:val="bs-Latn-BA"/>
                    </w:rPr>
                  </w:pPr>
                </w:p>
              </w:tc>
              <w:tc>
                <w:tcPr>
                  <w:tcW w:w="2126"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Венска тромбоза/тромбоемболизам</w:t>
                  </w:r>
                </w:p>
              </w:tc>
              <w:tc>
                <w:tcPr>
                  <w:tcW w:w="1701"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c>
                <w:tcPr>
                  <w:tcW w:w="1701"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r>
            <w:tr w:rsidR="002F268E" w:rsidRPr="00E82AA9" w:rsidTr="00FA5CC0">
              <w:tc>
                <w:tcPr>
                  <w:tcW w:w="2263" w:type="dxa"/>
                  <w:shd w:val="clear" w:color="auto" w:fill="auto"/>
                </w:tcPr>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Респираторни, торакални и</w:t>
                  </w:r>
                </w:p>
                <w:p w:rsidR="002F268E" w:rsidRPr="00E82AA9" w:rsidRDefault="002F268E" w:rsidP="002F268E">
                  <w:pPr>
                    <w:tabs>
                      <w:tab w:val="left" w:pos="8222"/>
                    </w:tabs>
                    <w:ind w:right="-8"/>
                    <w:rPr>
                      <w:sz w:val="22"/>
                      <w:szCs w:val="22"/>
                      <w:u w:val="single"/>
                      <w:lang w:val="bs-Latn-BA"/>
                    </w:rPr>
                  </w:pPr>
                  <w:r w:rsidRPr="00E82AA9">
                    <w:rPr>
                      <w:sz w:val="22"/>
                      <w:szCs w:val="22"/>
                    </w:rPr>
                    <w:t>медијастинални поремећаји</w:t>
                  </w:r>
                </w:p>
              </w:tc>
              <w:tc>
                <w:tcPr>
                  <w:tcW w:w="1843"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Диспнеја</w:t>
                  </w:r>
                </w:p>
              </w:tc>
              <w:tc>
                <w:tcPr>
                  <w:tcW w:w="2126"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c>
                <w:tcPr>
                  <w:tcW w:w="1701"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c>
                <w:tcPr>
                  <w:tcW w:w="1701"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r>
            <w:tr w:rsidR="002F268E" w:rsidRPr="00E82AA9" w:rsidTr="00FA5CC0">
              <w:tc>
                <w:tcPr>
                  <w:tcW w:w="2263"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Гастроинтестинални поремећаји</w:t>
                  </w:r>
                </w:p>
              </w:tc>
              <w:tc>
                <w:tcPr>
                  <w:tcW w:w="1843" w:type="dxa"/>
                  <w:shd w:val="clear" w:color="auto" w:fill="auto"/>
                </w:tcPr>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Констипација</w:t>
                  </w:r>
                </w:p>
                <w:p w:rsidR="002F268E" w:rsidRPr="00E82AA9" w:rsidRDefault="002F268E" w:rsidP="002F268E">
                  <w:pPr>
                    <w:tabs>
                      <w:tab w:val="left" w:pos="8222"/>
                    </w:tabs>
                    <w:ind w:right="-8"/>
                    <w:rPr>
                      <w:sz w:val="22"/>
                      <w:szCs w:val="22"/>
                      <w:u w:val="single"/>
                      <w:lang w:val="bs-Latn-BA"/>
                    </w:rPr>
                  </w:pPr>
                </w:p>
              </w:tc>
              <w:tc>
                <w:tcPr>
                  <w:tcW w:w="2126" w:type="dxa"/>
                  <w:shd w:val="clear" w:color="auto" w:fill="auto"/>
                </w:tcPr>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Повраћање</w:t>
                  </w:r>
                </w:p>
                <w:p w:rsidR="002F268E" w:rsidRPr="00E82AA9" w:rsidRDefault="002F268E" w:rsidP="002F268E">
                  <w:pPr>
                    <w:tabs>
                      <w:tab w:val="left" w:pos="8222"/>
                    </w:tabs>
                    <w:ind w:right="-8"/>
                    <w:rPr>
                      <w:sz w:val="22"/>
                      <w:szCs w:val="22"/>
                      <w:u w:val="single"/>
                      <w:lang w:val="bs-Latn-BA"/>
                    </w:rPr>
                  </w:pPr>
                </w:p>
              </w:tc>
              <w:tc>
                <w:tcPr>
                  <w:tcW w:w="1701" w:type="dxa"/>
                  <w:shd w:val="clear" w:color="auto" w:fill="auto"/>
                </w:tcPr>
                <w:p w:rsidR="002F268E" w:rsidRPr="00E82AA9" w:rsidRDefault="002F268E" w:rsidP="002F268E">
                  <w:pPr>
                    <w:tabs>
                      <w:tab w:val="left" w:pos="8222"/>
                    </w:tabs>
                    <w:ind w:right="-8"/>
                    <w:rPr>
                      <w:sz w:val="22"/>
                      <w:szCs w:val="22"/>
                      <w:u w:val="single"/>
                      <w:lang w:val="bs-Latn-BA"/>
                    </w:rPr>
                  </w:pPr>
                </w:p>
              </w:tc>
              <w:tc>
                <w:tcPr>
                  <w:tcW w:w="1701"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Панкреатитис²</w:t>
                  </w:r>
                </w:p>
              </w:tc>
            </w:tr>
            <w:tr w:rsidR="002F268E" w:rsidRPr="00E82AA9" w:rsidTr="00FA5CC0">
              <w:tc>
                <w:tcPr>
                  <w:tcW w:w="2263"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Хепатобилијарни поремећаји</w:t>
                  </w:r>
                </w:p>
              </w:tc>
              <w:tc>
                <w:tcPr>
                  <w:tcW w:w="1843" w:type="dxa"/>
                  <w:shd w:val="clear" w:color="auto" w:fill="auto"/>
                </w:tcPr>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Пов</w:t>
                  </w:r>
                  <w:r w:rsidRPr="00E82AA9">
                    <w:rPr>
                      <w:rFonts w:ascii="Times New Roman" w:hAnsi="Times New Roman"/>
                      <w:lang w:val="sr-Cyrl-RS"/>
                    </w:rPr>
                    <w:t>ишене</w:t>
                  </w:r>
                  <w:r w:rsidR="00FA5CC0" w:rsidRPr="00E82AA9">
                    <w:rPr>
                      <w:rFonts w:ascii="Times New Roman" w:hAnsi="Times New Roman"/>
                      <w:lang w:val="sr-Latn-ME"/>
                    </w:rPr>
                    <w:t xml:space="preserve"> </w:t>
                  </w:r>
                  <w:r w:rsidRPr="00E82AA9">
                    <w:rPr>
                      <w:rFonts w:ascii="Times New Roman" w:hAnsi="Times New Roman"/>
                    </w:rPr>
                    <w:t>вриједности функцијоналних тестова јетре</w:t>
                  </w:r>
                </w:p>
                <w:p w:rsidR="002F268E" w:rsidRPr="00E82AA9" w:rsidRDefault="002F268E" w:rsidP="002F268E">
                  <w:pPr>
                    <w:tabs>
                      <w:tab w:val="left" w:pos="8222"/>
                    </w:tabs>
                    <w:ind w:right="-8"/>
                    <w:rPr>
                      <w:sz w:val="22"/>
                      <w:szCs w:val="22"/>
                      <w:u w:val="single"/>
                      <w:lang w:val="bs-Latn-BA"/>
                    </w:rPr>
                  </w:pPr>
                </w:p>
              </w:tc>
              <w:tc>
                <w:tcPr>
                  <w:tcW w:w="2126" w:type="dxa"/>
                  <w:shd w:val="clear" w:color="auto" w:fill="auto"/>
                </w:tcPr>
                <w:p w:rsidR="002F268E" w:rsidRPr="00E82AA9" w:rsidRDefault="002F268E" w:rsidP="002F268E">
                  <w:pPr>
                    <w:tabs>
                      <w:tab w:val="left" w:pos="8222"/>
                    </w:tabs>
                    <w:ind w:right="-8"/>
                    <w:rPr>
                      <w:sz w:val="22"/>
                      <w:szCs w:val="22"/>
                      <w:u w:val="single"/>
                      <w:lang w:val="bs-Latn-BA"/>
                    </w:rPr>
                  </w:pPr>
                </w:p>
              </w:tc>
              <w:tc>
                <w:tcPr>
                  <w:tcW w:w="1701" w:type="dxa"/>
                  <w:shd w:val="clear" w:color="auto" w:fill="auto"/>
                </w:tcPr>
                <w:p w:rsidR="002F268E" w:rsidRPr="00E82AA9" w:rsidRDefault="002F268E" w:rsidP="002F268E">
                  <w:pPr>
                    <w:tabs>
                      <w:tab w:val="left" w:pos="8222"/>
                    </w:tabs>
                    <w:ind w:right="-8"/>
                    <w:rPr>
                      <w:sz w:val="22"/>
                      <w:szCs w:val="22"/>
                      <w:u w:val="single"/>
                      <w:lang w:val="bs-Latn-BA"/>
                    </w:rPr>
                  </w:pPr>
                </w:p>
              </w:tc>
              <w:tc>
                <w:tcPr>
                  <w:tcW w:w="1701"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rPr>
                    <w:t>Хепатитис</w:t>
                  </w:r>
                </w:p>
              </w:tc>
            </w:tr>
            <w:tr w:rsidR="002F268E" w:rsidRPr="00E82AA9" w:rsidTr="00FA5CC0">
              <w:tc>
                <w:tcPr>
                  <w:tcW w:w="2263" w:type="dxa"/>
                  <w:shd w:val="clear" w:color="auto" w:fill="auto"/>
                </w:tcPr>
                <w:p w:rsidR="002F268E" w:rsidRPr="00E82AA9" w:rsidRDefault="002F268E" w:rsidP="002F268E">
                  <w:pPr>
                    <w:pStyle w:val="NoSpacing"/>
                    <w:tabs>
                      <w:tab w:val="left" w:pos="8222"/>
                    </w:tabs>
                    <w:ind w:right="-8"/>
                    <w:rPr>
                      <w:rFonts w:ascii="Times New Roman" w:hAnsi="Times New Roman"/>
                    </w:rPr>
                  </w:pPr>
                  <w:r w:rsidRPr="00E82AA9">
                    <w:rPr>
                      <w:rFonts w:ascii="Times New Roman" w:hAnsi="Times New Roman"/>
                    </w:rPr>
                    <w:t xml:space="preserve">Општи поремећаји и реакције на </w:t>
                  </w:r>
                </w:p>
                <w:p w:rsidR="002F268E" w:rsidRPr="00E82AA9" w:rsidRDefault="002F268E" w:rsidP="002F268E">
                  <w:pPr>
                    <w:tabs>
                      <w:tab w:val="left" w:pos="8222"/>
                    </w:tabs>
                    <w:ind w:right="-8"/>
                    <w:rPr>
                      <w:sz w:val="22"/>
                      <w:szCs w:val="22"/>
                      <w:u w:val="single"/>
                      <w:lang w:val="bs-Latn-BA"/>
                    </w:rPr>
                  </w:pPr>
                  <w:r w:rsidRPr="00E82AA9">
                    <w:rPr>
                      <w:sz w:val="22"/>
                      <w:szCs w:val="22"/>
                    </w:rPr>
                    <w:t>м</w:t>
                  </w:r>
                  <w:r w:rsidRPr="00E82AA9">
                    <w:rPr>
                      <w:sz w:val="22"/>
                      <w:szCs w:val="22"/>
                      <w:lang w:val="sr-Cyrl-CS"/>
                    </w:rPr>
                    <w:t>ј</w:t>
                  </w:r>
                  <w:r w:rsidRPr="00E82AA9">
                    <w:rPr>
                      <w:sz w:val="22"/>
                      <w:szCs w:val="22"/>
                    </w:rPr>
                    <w:t>есту прим</w:t>
                  </w:r>
                  <w:r w:rsidRPr="00E82AA9">
                    <w:rPr>
                      <w:sz w:val="22"/>
                      <w:szCs w:val="22"/>
                      <w:lang w:val="sr-Cyrl-CS"/>
                    </w:rPr>
                    <w:t>ј</w:t>
                  </w:r>
                  <w:r w:rsidRPr="00E82AA9">
                    <w:rPr>
                      <w:sz w:val="22"/>
                      <w:szCs w:val="22"/>
                    </w:rPr>
                    <w:t>ене</w:t>
                  </w:r>
                </w:p>
              </w:tc>
              <w:tc>
                <w:tcPr>
                  <w:tcW w:w="1843" w:type="dxa"/>
                  <w:shd w:val="clear" w:color="auto" w:fill="auto"/>
                </w:tcPr>
                <w:p w:rsidR="002F268E" w:rsidRPr="00E82AA9" w:rsidRDefault="002F268E" w:rsidP="002F268E">
                  <w:pPr>
                    <w:pStyle w:val="NoSpacing"/>
                    <w:tabs>
                      <w:tab w:val="left" w:pos="8222"/>
                    </w:tabs>
                    <w:ind w:right="-8"/>
                    <w:rPr>
                      <w:rFonts w:ascii="Times New Roman" w:hAnsi="Times New Roman"/>
                      <w:lang w:val="bs-Latn-BA"/>
                    </w:rPr>
                  </w:pPr>
                  <w:r w:rsidRPr="00E82AA9">
                    <w:rPr>
                      <w:rFonts w:ascii="Times New Roman" w:hAnsi="Times New Roman"/>
                      <w:lang w:val="bs-Latn-BA"/>
                    </w:rPr>
                    <w:t>Главобоља</w:t>
                  </w:r>
                </w:p>
                <w:p w:rsidR="002F268E" w:rsidRPr="00E82AA9" w:rsidRDefault="002F268E" w:rsidP="002F268E">
                  <w:pPr>
                    <w:tabs>
                      <w:tab w:val="left" w:pos="8222"/>
                    </w:tabs>
                    <w:ind w:right="-8"/>
                    <w:rPr>
                      <w:sz w:val="22"/>
                      <w:szCs w:val="22"/>
                      <w:u w:val="single"/>
                      <w:lang w:val="bs-Latn-BA"/>
                    </w:rPr>
                  </w:pPr>
                </w:p>
              </w:tc>
              <w:tc>
                <w:tcPr>
                  <w:tcW w:w="2126" w:type="dxa"/>
                  <w:shd w:val="clear" w:color="auto" w:fill="auto"/>
                </w:tcPr>
                <w:p w:rsidR="002F268E" w:rsidRPr="00E82AA9" w:rsidRDefault="002F268E" w:rsidP="002F268E">
                  <w:pPr>
                    <w:tabs>
                      <w:tab w:val="left" w:pos="8222"/>
                    </w:tabs>
                    <w:ind w:right="-8"/>
                    <w:rPr>
                      <w:sz w:val="22"/>
                      <w:szCs w:val="22"/>
                      <w:u w:val="single"/>
                      <w:lang w:val="bs-Latn-BA"/>
                    </w:rPr>
                  </w:pPr>
                  <w:r w:rsidRPr="00E82AA9">
                    <w:rPr>
                      <w:sz w:val="22"/>
                      <w:szCs w:val="22"/>
                      <w:lang w:val="bs-Latn-BA"/>
                    </w:rPr>
                    <w:t>Умор</w:t>
                  </w:r>
                </w:p>
              </w:tc>
              <w:tc>
                <w:tcPr>
                  <w:tcW w:w="1701"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c>
                <w:tcPr>
                  <w:tcW w:w="1701" w:type="dxa"/>
                  <w:shd w:val="clear" w:color="auto" w:fill="auto"/>
                </w:tcPr>
                <w:p w:rsidR="002F268E" w:rsidRPr="00E82AA9" w:rsidRDefault="002F268E" w:rsidP="002F268E">
                  <w:pPr>
                    <w:tabs>
                      <w:tab w:val="left" w:pos="8222"/>
                    </w:tabs>
                    <w:ind w:right="-8"/>
                    <w:rPr>
                      <w:b/>
                      <w:bCs/>
                      <w:sz w:val="22"/>
                      <w:szCs w:val="22"/>
                      <w:u w:val="single"/>
                      <w:lang w:val="bs-Latn-BA" w:eastAsia="en-GB"/>
                    </w:rPr>
                  </w:pPr>
                </w:p>
              </w:tc>
            </w:tr>
          </w:tbl>
          <w:p w:rsidR="002F268E" w:rsidRPr="00E82AA9" w:rsidRDefault="002F268E" w:rsidP="002F268E">
            <w:pPr>
              <w:pStyle w:val="NoSpacing"/>
              <w:tabs>
                <w:tab w:val="left" w:pos="8222"/>
              </w:tabs>
              <w:ind w:right="-8"/>
              <w:rPr>
                <w:rFonts w:ascii="Times New Roman" w:hAnsi="Times New Roman"/>
                <w:b/>
                <w:bCs/>
                <w:lang w:val="mk-MK" w:eastAsia="en-GB"/>
              </w:rPr>
            </w:pPr>
          </w:p>
          <w:p w:rsidR="002F268E" w:rsidRPr="00E82AA9" w:rsidRDefault="002F268E" w:rsidP="002F268E">
            <w:pPr>
              <w:pStyle w:val="NoSpacing"/>
              <w:tabs>
                <w:tab w:val="left" w:pos="8222"/>
              </w:tabs>
              <w:ind w:right="-8"/>
              <w:jc w:val="both"/>
              <w:rPr>
                <w:rFonts w:ascii="Times New Roman" w:hAnsi="Times New Roman"/>
                <w:lang w:val="bs-Latn-BA"/>
              </w:rPr>
            </w:pPr>
            <w:r w:rsidRPr="00E82AA9">
              <w:rPr>
                <w:rFonts w:ascii="Times New Roman" w:hAnsi="Times New Roman"/>
                <w:lang w:val="bs-Latn-BA"/>
              </w:rPr>
              <w:t xml:space="preserve">¹ Халуцинације су углавном забиљежене код </w:t>
            </w:r>
            <w:r w:rsidRPr="00E82AA9">
              <w:rPr>
                <w:rFonts w:ascii="Times New Roman" w:hAnsi="Times New Roman"/>
                <w:lang w:val="sr-Cyrl-CS"/>
              </w:rPr>
              <w:t>пацијената</w:t>
            </w:r>
            <w:r w:rsidRPr="00E82AA9">
              <w:rPr>
                <w:rFonts w:ascii="Times New Roman" w:hAnsi="Times New Roman"/>
                <w:lang w:val="bs-Latn-BA"/>
              </w:rPr>
              <w:t xml:space="preserve"> са тешком Алцх</w:t>
            </w:r>
            <w:r w:rsidRPr="00E82AA9">
              <w:rPr>
                <w:rFonts w:ascii="Times New Roman" w:hAnsi="Times New Roman"/>
                <w:lang w:val="sr-Cyrl-CS"/>
              </w:rPr>
              <w:t>ај</w:t>
            </w:r>
            <w:r w:rsidRPr="00E82AA9">
              <w:rPr>
                <w:rFonts w:ascii="Times New Roman" w:hAnsi="Times New Roman"/>
                <w:lang w:val="bs-Latn-BA"/>
              </w:rPr>
              <w:t>меровом болешћу.</w:t>
            </w:r>
          </w:p>
          <w:p w:rsidR="002F268E" w:rsidRPr="00E82AA9" w:rsidRDefault="002F268E" w:rsidP="002F268E">
            <w:pPr>
              <w:pStyle w:val="NoSpacing"/>
              <w:tabs>
                <w:tab w:val="left" w:pos="8222"/>
              </w:tabs>
              <w:ind w:right="-8"/>
              <w:jc w:val="both"/>
              <w:rPr>
                <w:rFonts w:ascii="Times New Roman" w:hAnsi="Times New Roman"/>
                <w:lang w:val="bs-Latn-BA"/>
              </w:rPr>
            </w:pPr>
            <w:r w:rsidRPr="00E82AA9">
              <w:rPr>
                <w:rFonts w:ascii="Times New Roman" w:hAnsi="Times New Roman"/>
                <w:lang w:val="bs-Latn-BA"/>
              </w:rPr>
              <w:t>² Изоловани случајеви, пријављени у постмаркетиншком периоду.</w:t>
            </w:r>
          </w:p>
          <w:p w:rsidR="002F268E" w:rsidRPr="00E82AA9" w:rsidRDefault="002F268E" w:rsidP="002F268E">
            <w:pPr>
              <w:pStyle w:val="NoSpacing"/>
              <w:tabs>
                <w:tab w:val="left" w:pos="8222"/>
              </w:tabs>
              <w:ind w:right="-8"/>
              <w:jc w:val="both"/>
              <w:rPr>
                <w:rFonts w:ascii="Times New Roman" w:hAnsi="Times New Roman"/>
                <w:lang w:val="bs-Latn-BA"/>
              </w:rPr>
            </w:pPr>
          </w:p>
          <w:p w:rsidR="002F268E" w:rsidRPr="00E82AA9" w:rsidRDefault="002F268E" w:rsidP="002F268E">
            <w:pPr>
              <w:pStyle w:val="NoSpacing"/>
              <w:tabs>
                <w:tab w:val="left" w:pos="9923"/>
              </w:tabs>
              <w:ind w:right="-8"/>
              <w:jc w:val="both"/>
              <w:rPr>
                <w:rFonts w:ascii="Times New Roman" w:hAnsi="Times New Roman"/>
                <w:lang w:val="mk-MK"/>
              </w:rPr>
            </w:pPr>
            <w:r w:rsidRPr="00E82AA9">
              <w:rPr>
                <w:rFonts w:ascii="Times New Roman" w:hAnsi="Times New Roman"/>
                <w:lang w:val="bs-Latn-BA"/>
              </w:rPr>
              <w:t xml:space="preserve">Алцхајмерова болест је повезана са депресијом, суицидалним мислима и суицидом. У постмаркетиншком периоду, ови догађаји су били </w:t>
            </w:r>
            <w:r w:rsidRPr="00E82AA9">
              <w:rPr>
                <w:rFonts w:ascii="Times New Roman" w:hAnsi="Times New Roman"/>
                <w:lang w:val="sr-Cyrl-RS"/>
              </w:rPr>
              <w:t>пријављ</w:t>
            </w:r>
            <w:r w:rsidRPr="00E82AA9">
              <w:rPr>
                <w:rFonts w:ascii="Times New Roman" w:hAnsi="Times New Roman"/>
              </w:rPr>
              <w:t>ени</w:t>
            </w:r>
            <w:r w:rsidRPr="00E82AA9">
              <w:rPr>
                <w:rFonts w:ascii="Times New Roman" w:hAnsi="Times New Roman"/>
                <w:lang w:val="bs-Latn-BA"/>
              </w:rPr>
              <w:t xml:space="preserve"> код пацијената л</w:t>
            </w:r>
            <w:r w:rsidRPr="00E82AA9">
              <w:rPr>
                <w:rFonts w:ascii="Times New Roman" w:hAnsi="Times New Roman"/>
                <w:lang w:val="sr-Cyrl-CS"/>
              </w:rPr>
              <w:t>иј</w:t>
            </w:r>
            <w:r w:rsidRPr="00E82AA9">
              <w:rPr>
                <w:rFonts w:ascii="Times New Roman" w:hAnsi="Times New Roman"/>
                <w:lang w:val="bs-Latn-BA"/>
              </w:rPr>
              <w:t>ечених мемантином.</w:t>
            </w:r>
          </w:p>
          <w:p w:rsidR="002F268E" w:rsidRPr="00E82AA9" w:rsidRDefault="002F268E" w:rsidP="002F268E">
            <w:pPr>
              <w:pStyle w:val="NoSpacing"/>
              <w:tabs>
                <w:tab w:val="left" w:pos="9923"/>
              </w:tabs>
              <w:ind w:right="-8"/>
              <w:rPr>
                <w:rFonts w:ascii="Times New Roman" w:hAnsi="Times New Roman"/>
                <w:b/>
                <w:lang w:val="bs-Latn-BA"/>
              </w:rPr>
            </w:pPr>
          </w:p>
          <w:p w:rsidR="002F268E" w:rsidRPr="00E82AA9" w:rsidRDefault="002F268E" w:rsidP="00D44513">
            <w:pPr>
              <w:pStyle w:val="Header"/>
              <w:tabs>
                <w:tab w:val="left" w:pos="284"/>
                <w:tab w:val="left" w:pos="8222"/>
              </w:tabs>
              <w:ind w:right="-6"/>
              <w:rPr>
                <w:b/>
                <w:bCs/>
                <w:sz w:val="22"/>
                <w:szCs w:val="22"/>
                <w:u w:val="single"/>
                <w:lang w:val="bs-Latn-BA"/>
              </w:rPr>
            </w:pPr>
            <w:r w:rsidRPr="00E82AA9">
              <w:rPr>
                <w:b/>
                <w:bCs/>
                <w:sz w:val="22"/>
                <w:szCs w:val="22"/>
                <w:u w:val="single"/>
                <w:lang w:val="bs-Latn-BA"/>
              </w:rPr>
              <w:t>Пријављивање сумњи на нежељена дејства</w:t>
            </w:r>
          </w:p>
          <w:p w:rsidR="002F268E" w:rsidRPr="00E82AA9" w:rsidRDefault="002F268E" w:rsidP="002F268E">
            <w:pPr>
              <w:pStyle w:val="Header"/>
              <w:tabs>
                <w:tab w:val="left" w:pos="8222"/>
                <w:tab w:val="right" w:pos="9957"/>
              </w:tabs>
              <w:ind w:right="-8"/>
              <w:rPr>
                <w:b/>
                <w:bCs/>
                <w:sz w:val="22"/>
                <w:szCs w:val="22"/>
                <w:lang w:val="bs-Latn-BA"/>
              </w:rPr>
            </w:pPr>
          </w:p>
          <w:p w:rsidR="002F268E" w:rsidRPr="00E82AA9" w:rsidRDefault="002F268E" w:rsidP="00AA2181">
            <w:pPr>
              <w:pStyle w:val="Header"/>
              <w:tabs>
                <w:tab w:val="left" w:pos="8222"/>
                <w:tab w:val="right" w:pos="9957"/>
              </w:tabs>
              <w:ind w:right="-8"/>
              <w:jc w:val="both"/>
              <w:rPr>
                <w:bCs/>
                <w:sz w:val="22"/>
                <w:szCs w:val="22"/>
                <w:lang w:val="bs-Latn-BA"/>
              </w:rPr>
            </w:pPr>
            <w:r w:rsidRPr="00E82AA9">
              <w:rPr>
                <w:bCs/>
                <w:sz w:val="22"/>
                <w:szCs w:val="22"/>
                <w:lang w:val="bs-Latn-BA"/>
              </w:rPr>
              <w:t>Пријавивање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w:t>
            </w:r>
            <w:r w:rsidRPr="00E82AA9">
              <w:rPr>
                <w:bCs/>
                <w:sz w:val="22"/>
                <w:szCs w:val="22"/>
              </w:rPr>
              <w:t xml:space="preserve"> </w:t>
            </w:r>
            <w:r w:rsidRPr="00E82AA9">
              <w:rPr>
                <w:bCs/>
                <w:sz w:val="22"/>
                <w:szCs w:val="22"/>
                <w:lang w:val="bs-Latn-BA"/>
              </w:rPr>
              <w:t>пријаве сваку сумњу  на нежељено дејство овог лијека Агенцији за љекове и медицинска средства Црне Горе (</w:t>
            </w:r>
            <w:r w:rsidRPr="00E82AA9">
              <w:rPr>
                <w:sz w:val="22"/>
                <w:szCs w:val="22"/>
              </w:rPr>
              <w:t>CALIMS</w:t>
            </w:r>
            <w:r w:rsidRPr="00E82AA9">
              <w:rPr>
                <w:bCs/>
                <w:sz w:val="22"/>
                <w:szCs w:val="22"/>
                <w:lang w:val="bs-Latn-BA"/>
              </w:rPr>
              <w:t>):</w:t>
            </w:r>
          </w:p>
          <w:p w:rsidR="002F268E" w:rsidRPr="00E82AA9" w:rsidRDefault="002F268E" w:rsidP="00AA2181">
            <w:pPr>
              <w:pStyle w:val="Header"/>
              <w:tabs>
                <w:tab w:val="left" w:pos="8222"/>
                <w:tab w:val="right" w:pos="9957"/>
              </w:tabs>
              <w:ind w:right="-8"/>
              <w:jc w:val="both"/>
              <w:rPr>
                <w:bCs/>
                <w:sz w:val="22"/>
                <w:szCs w:val="22"/>
                <w:lang w:val="bs-Latn-BA"/>
              </w:rPr>
            </w:pPr>
          </w:p>
          <w:p w:rsidR="002F268E" w:rsidRPr="00E82AA9" w:rsidRDefault="002F268E" w:rsidP="00AA2181">
            <w:pPr>
              <w:pStyle w:val="Header"/>
              <w:tabs>
                <w:tab w:val="left" w:pos="8222"/>
                <w:tab w:val="right" w:pos="9957"/>
              </w:tabs>
              <w:ind w:right="-8"/>
              <w:jc w:val="both"/>
              <w:rPr>
                <w:bCs/>
                <w:sz w:val="22"/>
                <w:szCs w:val="22"/>
                <w:lang w:val="bs-Latn-BA"/>
              </w:rPr>
            </w:pPr>
            <w:r w:rsidRPr="00E82AA9">
              <w:rPr>
                <w:bCs/>
                <w:sz w:val="22"/>
                <w:szCs w:val="22"/>
                <w:lang w:val="bs-Latn-BA"/>
              </w:rPr>
              <w:t>Агенција за љекове и медицинска средства Црне Горе</w:t>
            </w:r>
          </w:p>
          <w:p w:rsidR="002F268E" w:rsidRPr="00E82AA9" w:rsidRDefault="002F268E" w:rsidP="00AA2181">
            <w:pPr>
              <w:pStyle w:val="Header"/>
              <w:tabs>
                <w:tab w:val="left" w:pos="8222"/>
                <w:tab w:val="right" w:pos="9957"/>
              </w:tabs>
              <w:ind w:right="-8"/>
              <w:jc w:val="both"/>
              <w:rPr>
                <w:bCs/>
                <w:sz w:val="22"/>
                <w:szCs w:val="22"/>
                <w:lang w:val="bs-Latn-BA"/>
              </w:rPr>
            </w:pPr>
            <w:r w:rsidRPr="00E82AA9">
              <w:rPr>
                <w:bCs/>
                <w:sz w:val="22"/>
                <w:szCs w:val="22"/>
                <w:lang w:val="bs-Latn-BA"/>
              </w:rPr>
              <w:t>Одјељење за фармаковигиланцу</w:t>
            </w:r>
          </w:p>
          <w:p w:rsidR="002F268E" w:rsidRPr="00E82AA9" w:rsidRDefault="002F268E" w:rsidP="00AA2181">
            <w:pPr>
              <w:pStyle w:val="Header"/>
              <w:tabs>
                <w:tab w:val="left" w:pos="8222"/>
                <w:tab w:val="right" w:pos="9957"/>
              </w:tabs>
              <w:ind w:right="-8"/>
              <w:jc w:val="both"/>
              <w:rPr>
                <w:bCs/>
                <w:sz w:val="22"/>
                <w:szCs w:val="22"/>
                <w:lang w:val="bs-Latn-BA"/>
              </w:rPr>
            </w:pPr>
            <w:r w:rsidRPr="00E82AA9">
              <w:rPr>
                <w:bCs/>
                <w:sz w:val="22"/>
                <w:szCs w:val="22"/>
                <w:lang w:val="bs-Latn-BA"/>
              </w:rPr>
              <w:t>Булевар Ивана Црнојевића 64а, 81000 Подгорица</w:t>
            </w:r>
          </w:p>
          <w:p w:rsidR="002F268E" w:rsidRPr="00E82AA9" w:rsidRDefault="002F268E" w:rsidP="00AA2181">
            <w:pPr>
              <w:pStyle w:val="Header"/>
              <w:tabs>
                <w:tab w:val="left" w:pos="8222"/>
                <w:tab w:val="right" w:pos="9957"/>
              </w:tabs>
              <w:ind w:right="-8"/>
              <w:jc w:val="both"/>
              <w:rPr>
                <w:bCs/>
                <w:sz w:val="22"/>
                <w:szCs w:val="22"/>
                <w:lang w:val="bs-Latn-BA"/>
              </w:rPr>
            </w:pPr>
          </w:p>
          <w:p w:rsidR="002F268E" w:rsidRPr="00E82AA9" w:rsidRDefault="002F268E" w:rsidP="00AA2181">
            <w:pPr>
              <w:pStyle w:val="Header"/>
              <w:tabs>
                <w:tab w:val="left" w:pos="8222"/>
                <w:tab w:val="right" w:pos="9957"/>
              </w:tabs>
              <w:ind w:right="-8"/>
              <w:jc w:val="both"/>
              <w:rPr>
                <w:bCs/>
                <w:sz w:val="22"/>
                <w:szCs w:val="22"/>
                <w:lang w:val="bs-Latn-BA"/>
              </w:rPr>
            </w:pPr>
            <w:r w:rsidRPr="00E82AA9">
              <w:rPr>
                <w:bCs/>
                <w:sz w:val="22"/>
                <w:szCs w:val="22"/>
                <w:lang w:val="bs-Latn-BA"/>
              </w:rPr>
              <w:t>тел: +382 (0) 20 310 280</w:t>
            </w:r>
          </w:p>
          <w:p w:rsidR="002F268E" w:rsidRPr="00E82AA9" w:rsidRDefault="002F268E" w:rsidP="00AA2181">
            <w:pPr>
              <w:pStyle w:val="Header"/>
              <w:tabs>
                <w:tab w:val="left" w:pos="284"/>
                <w:tab w:val="left" w:pos="8222"/>
                <w:tab w:val="right" w:pos="9957"/>
              </w:tabs>
              <w:ind w:right="-8"/>
              <w:jc w:val="both"/>
              <w:rPr>
                <w:bCs/>
                <w:sz w:val="22"/>
                <w:szCs w:val="22"/>
                <w:lang w:val="bs-Latn-BA"/>
              </w:rPr>
            </w:pPr>
            <w:r w:rsidRPr="00E82AA9">
              <w:rPr>
                <w:bCs/>
                <w:sz w:val="22"/>
                <w:szCs w:val="22"/>
                <w:lang w:val="bs-Latn-BA"/>
              </w:rPr>
              <w:t>факс:+382 (0) 20 310 581</w:t>
            </w:r>
          </w:p>
          <w:p w:rsidR="002F268E" w:rsidRPr="00E82AA9" w:rsidRDefault="006F3075" w:rsidP="00AA2181">
            <w:pPr>
              <w:pStyle w:val="Header"/>
              <w:tabs>
                <w:tab w:val="left" w:pos="8222"/>
                <w:tab w:val="right" w:pos="9957"/>
              </w:tabs>
              <w:ind w:right="-8"/>
              <w:jc w:val="both"/>
              <w:rPr>
                <w:bCs/>
                <w:sz w:val="22"/>
                <w:szCs w:val="22"/>
                <w:lang w:val="bs-Latn-BA"/>
              </w:rPr>
            </w:pPr>
            <w:hyperlink r:id="rId7" w:history="1">
              <w:r w:rsidR="002F268E" w:rsidRPr="00E82AA9">
                <w:rPr>
                  <w:rStyle w:val="Hyperlink"/>
                  <w:bCs/>
                  <w:sz w:val="22"/>
                  <w:szCs w:val="22"/>
                </w:rPr>
                <w:t>www</w:t>
              </w:r>
              <w:r w:rsidR="002F268E" w:rsidRPr="00E82AA9">
                <w:rPr>
                  <w:rStyle w:val="Hyperlink"/>
                  <w:bCs/>
                  <w:sz w:val="22"/>
                  <w:szCs w:val="22"/>
                  <w:lang w:val="bs-Latn-BA"/>
                </w:rPr>
                <w:t>.</w:t>
              </w:r>
              <w:r w:rsidR="002F268E" w:rsidRPr="00E82AA9">
                <w:rPr>
                  <w:rStyle w:val="Hyperlink"/>
                  <w:bCs/>
                  <w:sz w:val="22"/>
                  <w:szCs w:val="22"/>
                </w:rPr>
                <w:t>calims</w:t>
              </w:r>
              <w:r w:rsidR="002F268E" w:rsidRPr="00E82AA9">
                <w:rPr>
                  <w:rStyle w:val="Hyperlink"/>
                  <w:bCs/>
                  <w:sz w:val="22"/>
                  <w:szCs w:val="22"/>
                  <w:lang w:val="bs-Latn-BA"/>
                </w:rPr>
                <w:t>.</w:t>
              </w:r>
              <w:r w:rsidR="002F268E" w:rsidRPr="00E82AA9">
                <w:rPr>
                  <w:rStyle w:val="Hyperlink"/>
                  <w:bCs/>
                  <w:sz w:val="22"/>
                  <w:szCs w:val="22"/>
                </w:rPr>
                <w:t>me</w:t>
              </w:r>
            </w:hyperlink>
          </w:p>
          <w:p w:rsidR="002F268E" w:rsidRPr="00E82AA9" w:rsidRDefault="006F3075" w:rsidP="00AA2181">
            <w:pPr>
              <w:pStyle w:val="Header"/>
              <w:tabs>
                <w:tab w:val="left" w:pos="284"/>
                <w:tab w:val="left" w:pos="8222"/>
                <w:tab w:val="right" w:pos="9957"/>
              </w:tabs>
              <w:ind w:right="-8"/>
              <w:jc w:val="both"/>
              <w:rPr>
                <w:bCs/>
                <w:sz w:val="22"/>
                <w:szCs w:val="22"/>
                <w:lang w:val="bs-Latn-BA"/>
              </w:rPr>
            </w:pPr>
            <w:hyperlink r:id="rId8" w:history="1">
              <w:r w:rsidR="002F268E" w:rsidRPr="00E82AA9">
                <w:rPr>
                  <w:rStyle w:val="Hyperlink"/>
                  <w:bCs/>
                  <w:sz w:val="22"/>
                  <w:szCs w:val="22"/>
                </w:rPr>
                <w:t>nezeljenadejstva</w:t>
              </w:r>
              <w:r w:rsidR="002F268E" w:rsidRPr="00E82AA9">
                <w:rPr>
                  <w:rStyle w:val="Hyperlink"/>
                  <w:bCs/>
                  <w:sz w:val="22"/>
                  <w:szCs w:val="22"/>
                  <w:lang w:val="bs-Latn-BA"/>
                </w:rPr>
                <w:t>@</w:t>
              </w:r>
              <w:r w:rsidR="002F268E" w:rsidRPr="00E82AA9">
                <w:rPr>
                  <w:rStyle w:val="Hyperlink"/>
                  <w:bCs/>
                  <w:sz w:val="22"/>
                  <w:szCs w:val="22"/>
                </w:rPr>
                <w:t>calims</w:t>
              </w:r>
              <w:r w:rsidR="002F268E" w:rsidRPr="00E82AA9">
                <w:rPr>
                  <w:rStyle w:val="Hyperlink"/>
                  <w:bCs/>
                  <w:sz w:val="22"/>
                  <w:szCs w:val="22"/>
                  <w:lang w:val="bs-Latn-BA"/>
                </w:rPr>
                <w:t>.</w:t>
              </w:r>
              <w:r w:rsidR="002F268E" w:rsidRPr="00E82AA9">
                <w:rPr>
                  <w:rStyle w:val="Hyperlink"/>
                  <w:bCs/>
                  <w:sz w:val="22"/>
                  <w:szCs w:val="22"/>
                </w:rPr>
                <w:t>me</w:t>
              </w:r>
            </w:hyperlink>
          </w:p>
          <w:p w:rsidR="002F268E" w:rsidRPr="00E82AA9" w:rsidRDefault="002F268E" w:rsidP="00AA2181">
            <w:pPr>
              <w:pStyle w:val="Header"/>
              <w:tabs>
                <w:tab w:val="left" w:pos="284"/>
                <w:tab w:val="left" w:pos="8222"/>
                <w:tab w:val="right" w:pos="9957"/>
              </w:tabs>
              <w:ind w:right="-8"/>
              <w:jc w:val="both"/>
              <w:rPr>
                <w:bCs/>
                <w:sz w:val="22"/>
                <w:szCs w:val="22"/>
              </w:rPr>
            </w:pPr>
            <w:r w:rsidRPr="00E82AA9">
              <w:rPr>
                <w:bCs/>
                <w:sz w:val="22"/>
                <w:szCs w:val="22"/>
              </w:rPr>
              <w:t>путем ИС здравствене заштите</w:t>
            </w:r>
          </w:p>
          <w:p w:rsidR="002F268E" w:rsidRPr="00E82AA9" w:rsidRDefault="002F268E" w:rsidP="002F268E">
            <w:pPr>
              <w:tabs>
                <w:tab w:val="left" w:pos="8222"/>
              </w:tabs>
              <w:ind w:right="-8"/>
              <w:rPr>
                <w:color w:val="FF0000"/>
                <w:sz w:val="22"/>
                <w:szCs w:val="22"/>
                <w:lang w:val="ru-RU"/>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lang w:val="mk-MK"/>
              </w:rPr>
            </w:pPr>
            <w:r w:rsidRPr="00E82AA9">
              <w:rPr>
                <w:b/>
                <w:bCs/>
                <w:sz w:val="22"/>
                <w:szCs w:val="22"/>
                <w:lang w:val="ru-RU"/>
              </w:rPr>
              <w:lastRenderedPageBreak/>
              <w:t>4.9.   Предозирање и мјере које је потребно предузети</w:t>
            </w:r>
          </w:p>
        </w:tc>
      </w:tr>
      <w:tr w:rsidR="002F268E" w:rsidRPr="00E82AA9" w:rsidTr="002F268E">
        <w:trPr>
          <w:trHeight w:val="565"/>
        </w:trPr>
        <w:tc>
          <w:tcPr>
            <w:tcW w:w="9747" w:type="dxa"/>
            <w:gridSpan w:val="4"/>
            <w:vAlign w:val="center"/>
          </w:tcPr>
          <w:p w:rsidR="002F268E" w:rsidRPr="00E82AA9" w:rsidRDefault="002F268E" w:rsidP="002F268E">
            <w:pPr>
              <w:tabs>
                <w:tab w:val="left" w:pos="945"/>
                <w:tab w:val="left" w:pos="8222"/>
              </w:tabs>
              <w:ind w:right="-8"/>
              <w:rPr>
                <w:color w:val="FF0000"/>
                <w:sz w:val="22"/>
                <w:szCs w:val="22"/>
                <w:lang w:val="sr-Cyrl-CS"/>
              </w:rPr>
            </w:pP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Доступни су само ограничени подаци о предозирању из клиничких испитивања и постмаркетингшког искуства.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u w:val="single"/>
                <w:lang w:val="mk-MK"/>
              </w:rPr>
              <w:t xml:space="preserve">Симптоми: </w:t>
            </w:r>
            <w:r w:rsidRPr="00E82AA9">
              <w:rPr>
                <w:rFonts w:ascii="Times New Roman" w:hAnsi="Times New Roman"/>
                <w:lang w:val="mk-MK"/>
              </w:rPr>
              <w:t>Релативно велико предозирање (200 mg, односно 105 mg/дан током 3 дана), било је повезано или само са симптомима умора, слабости и/или дијарејом, или симптома уопште није било. У случајевима предозирања дозом мањом од 140 mg или непознатом дозом, код пацијената су уочени симптоми повезани са централним нервним системом (конфузија, мамурлук, поспаност, вртоглавица, агитација, агресија, халуцинације и поремећај хода) и/или симптоми</w:t>
            </w:r>
            <w:r w:rsidRPr="00E82AA9">
              <w:rPr>
                <w:rFonts w:ascii="Times New Roman" w:hAnsi="Times New Roman"/>
                <w:lang w:val="sr-Latn-ME"/>
              </w:rPr>
              <w:t xml:space="preserve"> </w:t>
            </w:r>
            <w:r w:rsidRPr="00E82AA9">
              <w:rPr>
                <w:rFonts w:ascii="Times New Roman" w:hAnsi="Times New Roman"/>
                <w:lang w:val="mk-MK"/>
              </w:rPr>
              <w:t>гастроинтестиналног</w:t>
            </w:r>
            <w:r w:rsidRPr="00E82AA9">
              <w:rPr>
                <w:rFonts w:ascii="Times New Roman" w:hAnsi="Times New Roman"/>
                <w:lang w:val="sr-Latn-ME"/>
              </w:rPr>
              <w:t xml:space="preserve"> </w:t>
            </w:r>
            <w:r w:rsidRPr="00E82AA9">
              <w:rPr>
                <w:rFonts w:ascii="Times New Roman" w:hAnsi="Times New Roman"/>
                <w:lang w:val="mk-MK"/>
              </w:rPr>
              <w:t>пор</w:t>
            </w:r>
            <w:r w:rsidRPr="00E82AA9">
              <w:rPr>
                <w:rFonts w:ascii="Times New Roman" w:hAnsi="Times New Roman"/>
                <w:lang w:val="sr-Latn-ME"/>
              </w:rPr>
              <w:t>ij</w:t>
            </w:r>
            <w:r w:rsidRPr="00E82AA9">
              <w:rPr>
                <w:rFonts w:ascii="Times New Roman" w:hAnsi="Times New Roman"/>
                <w:lang w:val="mk-MK"/>
              </w:rPr>
              <w:t>екла (повраћање и дијареја).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У најекстремнијем случају предозирања, пацијент је преживио орални унос укупно 2000 mg мемантина, са ефектима на централни нервни систем (кома током 10 дана, касније диплопија и агитација). Пацијент је примао симптоматско л</w:t>
            </w:r>
            <w:r w:rsidRPr="00E82AA9">
              <w:rPr>
                <w:rFonts w:ascii="Times New Roman" w:hAnsi="Times New Roman"/>
                <w:lang w:val="sr-Cyrl-CS"/>
              </w:rPr>
              <w:t>иј</w:t>
            </w:r>
            <w:r w:rsidRPr="00E82AA9">
              <w:rPr>
                <w:rFonts w:ascii="Times New Roman" w:hAnsi="Times New Roman"/>
                <w:lang w:val="mk-MK"/>
              </w:rPr>
              <w:t>ечење и плазмаферезу. Пацијент се опоравио без трајних посљедица.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У другом случају тешког предозирања, пацијент је такође преживио и опоравио се, послије узимања 400 mg мемантина орално. Јавили су се симптоми повезани са централним нервним системом, као што су немир, психоза, визуалне халуцинације, проконвулзивно стање, поспаност, ступор и несв</w:t>
            </w:r>
            <w:r w:rsidRPr="00E82AA9">
              <w:rPr>
                <w:rFonts w:ascii="Times New Roman" w:hAnsi="Times New Roman"/>
                <w:lang w:val="sr-Cyrl-CS"/>
              </w:rPr>
              <w:t>ј</w:t>
            </w:r>
            <w:r w:rsidRPr="00E82AA9">
              <w:rPr>
                <w:rFonts w:ascii="Times New Roman" w:hAnsi="Times New Roman"/>
                <w:lang w:val="mk-MK"/>
              </w:rPr>
              <w:t>естица.</w:t>
            </w:r>
          </w:p>
          <w:p w:rsidR="002F268E" w:rsidRPr="00E82AA9" w:rsidRDefault="002F268E" w:rsidP="002F268E">
            <w:pPr>
              <w:pStyle w:val="NoSpacing"/>
              <w:tabs>
                <w:tab w:val="left" w:pos="8222"/>
              </w:tabs>
              <w:ind w:right="-8"/>
              <w:jc w:val="both"/>
              <w:rPr>
                <w:rFonts w:ascii="Times New Roman" w:hAnsi="Times New Roman"/>
                <w:b/>
                <w:bCs/>
                <w:lang w:val="mk-MK" w:eastAsia="en-GB"/>
              </w:rPr>
            </w:pP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u w:val="single"/>
                <w:lang w:val="mk-MK"/>
              </w:rPr>
              <w:t>Л</w:t>
            </w:r>
            <w:r w:rsidRPr="00E82AA9">
              <w:rPr>
                <w:rFonts w:ascii="Times New Roman" w:hAnsi="Times New Roman"/>
                <w:u w:val="single"/>
                <w:lang w:val="sr-Cyrl-CS"/>
              </w:rPr>
              <w:t>иј</w:t>
            </w:r>
            <w:r w:rsidRPr="00E82AA9">
              <w:rPr>
                <w:rFonts w:ascii="Times New Roman" w:hAnsi="Times New Roman"/>
                <w:u w:val="single"/>
                <w:lang w:val="mk-MK"/>
              </w:rPr>
              <w:t>ечење:</w:t>
            </w:r>
            <w:r w:rsidRPr="00E82AA9">
              <w:rPr>
                <w:rFonts w:ascii="Times New Roman" w:hAnsi="Times New Roman"/>
                <w:lang w:val="mk-MK"/>
              </w:rPr>
              <w:t xml:space="preserve"> У случају предозирања, л</w:t>
            </w:r>
            <w:r w:rsidRPr="00E82AA9">
              <w:rPr>
                <w:rFonts w:ascii="Times New Roman" w:hAnsi="Times New Roman"/>
                <w:lang w:val="sr-Cyrl-CS"/>
              </w:rPr>
              <w:t>иј</w:t>
            </w:r>
            <w:r w:rsidRPr="00E82AA9">
              <w:rPr>
                <w:rFonts w:ascii="Times New Roman" w:hAnsi="Times New Roman"/>
                <w:lang w:val="mk-MK"/>
              </w:rPr>
              <w:t>ечење треба да буде симптоматско. Нема специфичног антидота за случај интоксикације или за предозирања. Треба прим</w:t>
            </w:r>
            <w:r w:rsidRPr="00E82AA9">
              <w:rPr>
                <w:rFonts w:ascii="Times New Roman" w:hAnsi="Times New Roman"/>
                <w:lang w:val="sr-Cyrl-CS"/>
              </w:rPr>
              <w:t>иј</w:t>
            </w:r>
            <w:r w:rsidRPr="00E82AA9">
              <w:rPr>
                <w:rFonts w:ascii="Times New Roman" w:hAnsi="Times New Roman"/>
                <w:lang w:val="mk-MK"/>
              </w:rPr>
              <w:t>енити стандардне клиничке поступке за уклањање л</w:t>
            </w:r>
            <w:r w:rsidRPr="00E82AA9">
              <w:rPr>
                <w:rFonts w:ascii="Times New Roman" w:hAnsi="Times New Roman"/>
                <w:lang w:val="sr-Cyrl-CS"/>
              </w:rPr>
              <w:t>иј</w:t>
            </w:r>
            <w:r w:rsidRPr="00E82AA9">
              <w:rPr>
                <w:rFonts w:ascii="Times New Roman" w:hAnsi="Times New Roman"/>
                <w:lang w:val="mk-MK"/>
              </w:rPr>
              <w:t>ека, као што су, на примјер, испирање желуца, активни угаљ (прекид могуће ентерохепатичке рециркулације),  ацидификација урина и форсирана диуреза у складу са околностима.</w:t>
            </w:r>
          </w:p>
          <w:p w:rsidR="002F268E" w:rsidRPr="00E82AA9" w:rsidRDefault="002F268E" w:rsidP="002F268E">
            <w:pPr>
              <w:pStyle w:val="NoSpacing"/>
              <w:tabs>
                <w:tab w:val="left" w:pos="8222"/>
              </w:tabs>
              <w:ind w:right="-8"/>
              <w:jc w:val="both"/>
              <w:rPr>
                <w:rFonts w:ascii="Times New Roman" w:hAnsi="Times New Roman"/>
                <w:b/>
                <w:bCs/>
                <w:lang w:val="mk-MK" w:eastAsia="en-GB"/>
              </w:rPr>
            </w:pP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У случају појаве знакова и симптома опште прекомјерне стимулације ЦНС-а, треба размотрити пажљиво симптоматско клиничко л</w:t>
            </w:r>
            <w:r w:rsidRPr="00E82AA9">
              <w:rPr>
                <w:rFonts w:ascii="Times New Roman" w:hAnsi="Times New Roman"/>
                <w:lang w:val="sr-Cyrl-CS"/>
              </w:rPr>
              <w:t>иј</w:t>
            </w:r>
            <w:r w:rsidRPr="00E82AA9">
              <w:rPr>
                <w:rFonts w:ascii="Times New Roman" w:hAnsi="Times New Roman"/>
                <w:lang w:val="mk-MK"/>
              </w:rPr>
              <w:t>ечење.</w:t>
            </w:r>
          </w:p>
          <w:p w:rsidR="002F268E" w:rsidRPr="00E82AA9" w:rsidRDefault="002F268E" w:rsidP="002F268E">
            <w:pPr>
              <w:pStyle w:val="Header"/>
              <w:tabs>
                <w:tab w:val="left" w:pos="284"/>
                <w:tab w:val="left" w:pos="8222"/>
              </w:tabs>
              <w:ind w:right="-8"/>
              <w:rPr>
                <w:color w:val="FF0000"/>
                <w:sz w:val="22"/>
                <w:szCs w:val="22"/>
                <w:lang w:val="ru-RU"/>
              </w:rPr>
            </w:pPr>
          </w:p>
          <w:p w:rsidR="007372A0" w:rsidRPr="00E82AA9" w:rsidRDefault="007372A0" w:rsidP="002F268E">
            <w:pPr>
              <w:pStyle w:val="Header"/>
              <w:tabs>
                <w:tab w:val="left" w:pos="284"/>
                <w:tab w:val="left" w:pos="8222"/>
              </w:tabs>
              <w:ind w:right="-8"/>
              <w:rPr>
                <w:color w:val="FF0000"/>
                <w:sz w:val="22"/>
                <w:szCs w:val="22"/>
                <w:lang w:val="ru-RU"/>
              </w:rPr>
            </w:pPr>
          </w:p>
        </w:tc>
      </w:tr>
      <w:tr w:rsidR="002F268E" w:rsidRPr="00E82AA9" w:rsidTr="002F268E">
        <w:tc>
          <w:tcPr>
            <w:tcW w:w="9747" w:type="dxa"/>
            <w:gridSpan w:val="4"/>
            <w:shd w:val="clear" w:color="auto" w:fill="auto"/>
            <w:vAlign w:val="center"/>
          </w:tcPr>
          <w:p w:rsidR="002F268E" w:rsidRPr="00E82AA9" w:rsidRDefault="002F268E" w:rsidP="002F268E">
            <w:pPr>
              <w:pStyle w:val="Header"/>
              <w:tabs>
                <w:tab w:val="left" w:pos="284"/>
                <w:tab w:val="left" w:pos="8222"/>
              </w:tabs>
              <w:ind w:right="-8"/>
              <w:rPr>
                <w:b/>
                <w:bCs/>
                <w:sz w:val="22"/>
                <w:szCs w:val="22"/>
              </w:rPr>
            </w:pPr>
            <w:r w:rsidRPr="00E82AA9">
              <w:rPr>
                <w:b/>
                <w:bCs/>
                <w:sz w:val="22"/>
                <w:szCs w:val="22"/>
              </w:rPr>
              <w:t>5.</w:t>
            </w:r>
            <w:r w:rsidRPr="00E82AA9">
              <w:rPr>
                <w:b/>
                <w:bCs/>
                <w:sz w:val="22"/>
                <w:szCs w:val="22"/>
                <w:lang w:val="mk-MK"/>
              </w:rPr>
              <w:t xml:space="preserve"> </w:t>
            </w:r>
            <w:r w:rsidRPr="00E82AA9">
              <w:rPr>
                <w:b/>
                <w:bCs/>
                <w:sz w:val="22"/>
                <w:szCs w:val="22"/>
              </w:rPr>
              <w:t xml:space="preserve">     ФАРМАКОЛОШКИ ПОДАЦИ</w:t>
            </w:r>
          </w:p>
          <w:p w:rsidR="007372A0" w:rsidRPr="00E82AA9" w:rsidRDefault="007372A0" w:rsidP="002F268E">
            <w:pPr>
              <w:pStyle w:val="Header"/>
              <w:tabs>
                <w:tab w:val="left" w:pos="284"/>
                <w:tab w:val="left" w:pos="8222"/>
              </w:tabs>
              <w:ind w:right="-8"/>
              <w:rPr>
                <w:b/>
                <w:bCs/>
                <w:color w:val="FF0000"/>
                <w:sz w:val="22"/>
                <w:szCs w:val="22"/>
              </w:rPr>
            </w:pPr>
          </w:p>
        </w:tc>
      </w:tr>
      <w:tr w:rsidR="002F268E" w:rsidRPr="00E82AA9" w:rsidTr="007372A0">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rPr>
            </w:pPr>
            <w:r w:rsidRPr="00E82AA9">
              <w:rPr>
                <w:b/>
                <w:bCs/>
                <w:sz w:val="22"/>
                <w:szCs w:val="22"/>
                <w:lang w:val="ru-RU"/>
              </w:rPr>
              <w:t>5.1.   Фармакодинамски подаци</w:t>
            </w:r>
          </w:p>
        </w:tc>
      </w:tr>
      <w:tr w:rsidR="002F268E" w:rsidRPr="00E82AA9" w:rsidTr="007372A0">
        <w:trPr>
          <w:trHeight w:val="454"/>
        </w:trPr>
        <w:tc>
          <w:tcPr>
            <w:tcW w:w="3227" w:type="dxa"/>
            <w:gridSpan w:val="3"/>
            <w:vAlign w:val="bottom"/>
          </w:tcPr>
          <w:p w:rsidR="002F268E" w:rsidRPr="00E82AA9" w:rsidRDefault="002F268E" w:rsidP="007372A0">
            <w:pPr>
              <w:pStyle w:val="Header"/>
              <w:tabs>
                <w:tab w:val="left" w:pos="284"/>
                <w:tab w:val="left" w:pos="8222"/>
              </w:tabs>
              <w:ind w:right="-8"/>
              <w:rPr>
                <w:b/>
                <w:bCs/>
                <w:color w:val="FF0000"/>
                <w:sz w:val="22"/>
                <w:szCs w:val="22"/>
              </w:rPr>
            </w:pPr>
            <w:r w:rsidRPr="00E82AA9">
              <w:rPr>
                <w:b/>
                <w:bCs/>
                <w:sz w:val="22"/>
                <w:szCs w:val="22"/>
              </w:rPr>
              <w:t>Фармакотерапијска група:</w:t>
            </w:r>
          </w:p>
        </w:tc>
        <w:tc>
          <w:tcPr>
            <w:tcW w:w="6520" w:type="dxa"/>
            <w:vAlign w:val="bottom"/>
          </w:tcPr>
          <w:p w:rsidR="002F268E" w:rsidRPr="00E82AA9" w:rsidRDefault="002F268E" w:rsidP="007372A0">
            <w:pPr>
              <w:pStyle w:val="Header"/>
              <w:tabs>
                <w:tab w:val="left" w:pos="284"/>
                <w:tab w:val="left" w:pos="8222"/>
              </w:tabs>
              <w:ind w:right="-8"/>
              <w:rPr>
                <w:color w:val="FF0000"/>
                <w:sz w:val="22"/>
                <w:szCs w:val="22"/>
              </w:rPr>
            </w:pPr>
            <w:r w:rsidRPr="00E82AA9">
              <w:rPr>
                <w:sz w:val="22"/>
                <w:szCs w:val="22"/>
                <w:lang w:val="mk-MK"/>
              </w:rPr>
              <w:t>Психоаналептици,</w:t>
            </w:r>
            <w:r w:rsidRPr="00E82AA9">
              <w:rPr>
                <w:sz w:val="22"/>
                <w:szCs w:val="22"/>
              </w:rPr>
              <w:t xml:space="preserve"> </w:t>
            </w:r>
            <w:r w:rsidRPr="00E82AA9">
              <w:rPr>
                <w:sz w:val="22"/>
                <w:szCs w:val="22"/>
                <w:lang w:val="mk-MK"/>
              </w:rPr>
              <w:t>о</w:t>
            </w:r>
            <w:r w:rsidRPr="00E82AA9">
              <w:rPr>
                <w:sz w:val="22"/>
                <w:szCs w:val="22"/>
              </w:rPr>
              <w:t xml:space="preserve">стали </w:t>
            </w:r>
            <w:r w:rsidRPr="00E82AA9">
              <w:rPr>
                <w:sz w:val="22"/>
                <w:szCs w:val="22"/>
                <w:lang w:val="sr-Cyrl-CS"/>
              </w:rPr>
              <w:t>љ</w:t>
            </w:r>
            <w:r w:rsidRPr="00E82AA9">
              <w:rPr>
                <w:sz w:val="22"/>
                <w:szCs w:val="22"/>
              </w:rPr>
              <w:t>екови против деменције</w:t>
            </w:r>
          </w:p>
        </w:tc>
      </w:tr>
      <w:tr w:rsidR="002F268E" w:rsidRPr="00E82AA9" w:rsidTr="007372A0">
        <w:trPr>
          <w:trHeight w:val="542"/>
        </w:trPr>
        <w:tc>
          <w:tcPr>
            <w:tcW w:w="1188" w:type="dxa"/>
            <w:gridSpan w:val="2"/>
            <w:vAlign w:val="bottom"/>
          </w:tcPr>
          <w:p w:rsidR="002F268E" w:rsidRPr="00E82AA9" w:rsidRDefault="002F268E" w:rsidP="007372A0">
            <w:pPr>
              <w:pStyle w:val="Header"/>
              <w:tabs>
                <w:tab w:val="left" w:pos="284"/>
                <w:tab w:val="left" w:pos="8222"/>
              </w:tabs>
              <w:ind w:right="-8"/>
              <w:rPr>
                <w:b/>
                <w:bCs/>
                <w:color w:val="FF0000"/>
                <w:sz w:val="22"/>
                <w:szCs w:val="22"/>
              </w:rPr>
            </w:pPr>
            <w:r w:rsidRPr="00E82AA9">
              <w:rPr>
                <w:b/>
                <w:bCs/>
                <w:sz w:val="22"/>
                <w:szCs w:val="22"/>
              </w:rPr>
              <w:t>АТЦ код:</w:t>
            </w:r>
          </w:p>
        </w:tc>
        <w:tc>
          <w:tcPr>
            <w:tcW w:w="8559" w:type="dxa"/>
            <w:gridSpan w:val="2"/>
            <w:vAlign w:val="bottom"/>
          </w:tcPr>
          <w:p w:rsidR="002F268E" w:rsidRPr="00E82AA9" w:rsidRDefault="002F268E" w:rsidP="007372A0">
            <w:pPr>
              <w:pStyle w:val="Header"/>
              <w:tabs>
                <w:tab w:val="left" w:pos="284"/>
                <w:tab w:val="left" w:pos="8222"/>
              </w:tabs>
              <w:ind w:right="-8"/>
              <w:rPr>
                <w:color w:val="FF0000"/>
                <w:sz w:val="22"/>
                <w:szCs w:val="22"/>
              </w:rPr>
            </w:pPr>
            <w:r w:rsidRPr="00E82AA9">
              <w:rPr>
                <w:sz w:val="22"/>
                <w:szCs w:val="22"/>
              </w:rPr>
              <w:t>N06DX01</w:t>
            </w:r>
          </w:p>
        </w:tc>
      </w:tr>
      <w:tr w:rsidR="002F268E" w:rsidRPr="00E82AA9" w:rsidTr="007372A0">
        <w:trPr>
          <w:trHeight w:val="1702"/>
        </w:trPr>
        <w:tc>
          <w:tcPr>
            <w:tcW w:w="9747" w:type="dxa"/>
            <w:gridSpan w:val="4"/>
            <w:vAlign w:val="center"/>
          </w:tcPr>
          <w:p w:rsidR="007372A0" w:rsidRPr="00E82AA9" w:rsidRDefault="007372A0" w:rsidP="002F268E">
            <w:pPr>
              <w:pStyle w:val="NoSpacing"/>
              <w:tabs>
                <w:tab w:val="left" w:pos="8222"/>
              </w:tabs>
              <w:ind w:right="-8"/>
              <w:jc w:val="both"/>
              <w:rPr>
                <w:rFonts w:ascii="Times New Roman" w:hAnsi="Times New Roman"/>
              </w:rPr>
            </w:pPr>
          </w:p>
          <w:p w:rsidR="002F268E" w:rsidRPr="00E82AA9" w:rsidRDefault="002F268E" w:rsidP="002F268E">
            <w:pPr>
              <w:pStyle w:val="NoSpacing"/>
              <w:tabs>
                <w:tab w:val="left" w:pos="8222"/>
              </w:tabs>
              <w:ind w:right="-8"/>
              <w:jc w:val="both"/>
              <w:rPr>
                <w:rFonts w:ascii="Times New Roman" w:hAnsi="Times New Roman"/>
              </w:rPr>
            </w:pPr>
            <w:r w:rsidRPr="00E82AA9">
              <w:rPr>
                <w:rFonts w:ascii="Times New Roman" w:hAnsi="Times New Roman"/>
              </w:rPr>
              <w:t>Све је више доказа да слабљење функције глаутаматергичке неуротрансмисије, пр</w:t>
            </w:r>
            <w:r w:rsidRPr="00E82AA9">
              <w:rPr>
                <w:rFonts w:ascii="Times New Roman" w:hAnsi="Times New Roman"/>
                <w:lang w:val="sr-Cyrl-CS"/>
              </w:rPr>
              <w:t>иј</w:t>
            </w:r>
            <w:r w:rsidRPr="00E82AA9">
              <w:rPr>
                <w:rFonts w:ascii="Times New Roman" w:hAnsi="Times New Roman"/>
              </w:rPr>
              <w:t>е свега оне посредоване NMDA рецепторима, доприноси испољавању симптома и прогресији болести код неуродегенеративне деменције.</w:t>
            </w:r>
          </w:p>
          <w:p w:rsidR="002F268E" w:rsidRPr="00E82AA9" w:rsidRDefault="002F268E" w:rsidP="002F268E">
            <w:pPr>
              <w:pStyle w:val="NoSpacing"/>
              <w:tabs>
                <w:tab w:val="left" w:pos="8222"/>
              </w:tabs>
              <w:ind w:right="-8"/>
              <w:jc w:val="both"/>
              <w:rPr>
                <w:rFonts w:ascii="Times New Roman" w:hAnsi="Times New Roman"/>
              </w:rPr>
            </w:pPr>
            <w:r w:rsidRPr="00E82AA9">
              <w:rPr>
                <w:rFonts w:ascii="Times New Roman" w:hAnsi="Times New Roman"/>
              </w:rPr>
              <w:t>Мемантин је волтажно завистан, некомпетитивни инхибитор NMDА рецептора, ум</w:t>
            </w:r>
            <w:r w:rsidRPr="00E82AA9">
              <w:rPr>
                <w:rFonts w:ascii="Times New Roman" w:hAnsi="Times New Roman"/>
                <w:lang w:val="sr-Cyrl-CS"/>
              </w:rPr>
              <w:t>ј</w:t>
            </w:r>
            <w:r w:rsidRPr="00E82AA9">
              <w:rPr>
                <w:rFonts w:ascii="Times New Roman" w:hAnsi="Times New Roman"/>
              </w:rPr>
              <w:t>ереног афинитета. Он модулише ефекте патолошки повишених тоничких нивоа глутамата, који могу изазвати дисфункцију неурона.</w:t>
            </w:r>
          </w:p>
          <w:p w:rsidR="002F268E" w:rsidRPr="00E82AA9" w:rsidRDefault="002F268E" w:rsidP="002F268E">
            <w:pPr>
              <w:pStyle w:val="NoSpacing"/>
              <w:tabs>
                <w:tab w:val="left" w:pos="8222"/>
              </w:tabs>
              <w:ind w:right="-8"/>
              <w:jc w:val="both"/>
              <w:rPr>
                <w:rFonts w:ascii="Times New Roman" w:hAnsi="Times New Roman"/>
                <w:b/>
                <w:bCs/>
                <w:lang w:val="mk-MK" w:eastAsia="en-GB"/>
              </w:rPr>
            </w:pPr>
          </w:p>
          <w:p w:rsidR="002F268E" w:rsidRPr="00E82AA9" w:rsidRDefault="002F268E" w:rsidP="002F268E">
            <w:pPr>
              <w:pStyle w:val="NoSpacing"/>
              <w:tabs>
                <w:tab w:val="left" w:pos="8222"/>
              </w:tabs>
              <w:ind w:right="-8"/>
              <w:jc w:val="both"/>
              <w:rPr>
                <w:rFonts w:ascii="Times New Roman" w:hAnsi="Times New Roman"/>
              </w:rPr>
            </w:pPr>
            <w:r w:rsidRPr="00E82AA9">
              <w:rPr>
                <w:rFonts w:ascii="Times New Roman" w:hAnsi="Times New Roman"/>
                <w:i/>
                <w:lang w:val="mk-MK"/>
              </w:rPr>
              <w:t>Клиничке студије:</w:t>
            </w:r>
            <w:r w:rsidRPr="00E82AA9">
              <w:rPr>
                <w:rFonts w:ascii="Times New Roman" w:hAnsi="Times New Roman"/>
                <w:lang w:val="mk-MK"/>
              </w:rPr>
              <w:t xml:space="preserve"> Основна студија примјене мемантина у монотерапији у популацији пацијената са ум</w:t>
            </w:r>
            <w:r w:rsidRPr="00E82AA9">
              <w:rPr>
                <w:rFonts w:ascii="Times New Roman" w:hAnsi="Times New Roman"/>
                <w:lang w:val="sr-Cyrl-CS"/>
              </w:rPr>
              <w:t>ј</w:t>
            </w:r>
            <w:r w:rsidRPr="00E82AA9">
              <w:rPr>
                <w:rFonts w:ascii="Times New Roman" w:hAnsi="Times New Roman"/>
                <w:lang w:val="mk-MK"/>
              </w:rPr>
              <w:t>ереном до тешком Алцх</w:t>
            </w:r>
            <w:r w:rsidRPr="00E82AA9">
              <w:rPr>
                <w:rFonts w:ascii="Times New Roman" w:hAnsi="Times New Roman"/>
                <w:lang w:val="sr-Cyrl-CS"/>
              </w:rPr>
              <w:t>ај</w:t>
            </w:r>
            <w:r w:rsidRPr="00E82AA9">
              <w:rPr>
                <w:rFonts w:ascii="Times New Roman" w:hAnsi="Times New Roman"/>
                <w:lang w:val="mk-MK"/>
              </w:rPr>
              <w:t>меровом болешћу (укупни MMSE скор 3-14 на почетку л</w:t>
            </w:r>
            <w:r w:rsidRPr="00E82AA9">
              <w:rPr>
                <w:rFonts w:ascii="Times New Roman" w:hAnsi="Times New Roman"/>
                <w:lang w:val="sr-Cyrl-CS"/>
              </w:rPr>
              <w:t>иј</w:t>
            </w:r>
            <w:r w:rsidRPr="00E82AA9">
              <w:rPr>
                <w:rFonts w:ascii="Times New Roman" w:hAnsi="Times New Roman"/>
                <w:lang w:val="mk-MK"/>
              </w:rPr>
              <w:t xml:space="preserve">ечења) обухватила је укупно 252 амбулантна </w:t>
            </w:r>
            <w:r w:rsidRPr="00E82AA9">
              <w:rPr>
                <w:rFonts w:ascii="Times New Roman" w:hAnsi="Times New Roman"/>
                <w:lang w:val="sr-Cyrl-CS"/>
              </w:rPr>
              <w:t>пацијента</w:t>
            </w:r>
            <w:r w:rsidRPr="00E82AA9">
              <w:rPr>
                <w:rFonts w:ascii="Times New Roman" w:hAnsi="Times New Roman"/>
                <w:lang w:val="mk-MK"/>
              </w:rPr>
              <w:t>. Испитивање је показало повољне ефекте л</w:t>
            </w:r>
            <w:r w:rsidRPr="00E82AA9">
              <w:rPr>
                <w:rFonts w:ascii="Times New Roman" w:hAnsi="Times New Roman"/>
                <w:lang w:val="sr-Cyrl-CS"/>
              </w:rPr>
              <w:t>иј</w:t>
            </w:r>
            <w:r w:rsidRPr="00E82AA9">
              <w:rPr>
                <w:rFonts w:ascii="Times New Roman" w:hAnsi="Times New Roman"/>
                <w:lang w:val="mk-MK"/>
              </w:rPr>
              <w:t xml:space="preserve">ечења </w:t>
            </w:r>
            <w:r w:rsidRPr="00E82AA9">
              <w:rPr>
                <w:rFonts w:ascii="Times New Roman" w:hAnsi="Times New Roman"/>
                <w:lang w:val="mk-MK"/>
              </w:rPr>
              <w:lastRenderedPageBreak/>
              <w:t>мемантином у поређењу са плацебом након 6 м</w:t>
            </w:r>
            <w:r w:rsidRPr="00E82AA9">
              <w:rPr>
                <w:rFonts w:ascii="Times New Roman" w:hAnsi="Times New Roman"/>
                <w:lang w:val="sr-Cyrl-CS"/>
              </w:rPr>
              <w:t>ј</w:t>
            </w:r>
            <w:r w:rsidRPr="00E82AA9">
              <w:rPr>
                <w:rFonts w:ascii="Times New Roman" w:hAnsi="Times New Roman"/>
                <w:lang w:val="mk-MK"/>
              </w:rPr>
              <w:t xml:space="preserve">есеци (забиљежено у анализама  случајева о промјени на основу разговора са љекаром (CIBIC-плус): р=0.025; кооперативна студија Алцхајмерове болести – активности у свакодневном животу (ADCS-ADLsev): р=0.003; и скуп знакова озбиљног оштећења (SIB): p =0.002). </w:t>
            </w:r>
          </w:p>
          <w:p w:rsidR="002F268E" w:rsidRPr="00E82AA9" w:rsidRDefault="002F268E" w:rsidP="002F268E">
            <w:pPr>
              <w:pStyle w:val="NoSpacing"/>
              <w:tabs>
                <w:tab w:val="left" w:pos="8222"/>
              </w:tabs>
              <w:ind w:right="-8"/>
              <w:jc w:val="both"/>
              <w:rPr>
                <w:rFonts w:ascii="Times New Roman" w:hAnsi="Times New Roman"/>
              </w:rPr>
            </w:pPr>
            <w:r w:rsidRPr="00E82AA9">
              <w:rPr>
                <w:rFonts w:ascii="Times New Roman" w:hAnsi="Times New Roman"/>
              </w:rPr>
              <w:t>Основна студија примјене мемантина у монотерапији у популацији пацијената са благом до ум</w:t>
            </w:r>
            <w:r w:rsidRPr="00E82AA9">
              <w:rPr>
                <w:rFonts w:ascii="Times New Roman" w:hAnsi="Times New Roman"/>
                <w:lang w:val="sr-Cyrl-CS"/>
              </w:rPr>
              <w:t>ј</w:t>
            </w:r>
            <w:r w:rsidRPr="00E82AA9">
              <w:rPr>
                <w:rFonts w:ascii="Times New Roman" w:hAnsi="Times New Roman"/>
              </w:rPr>
              <w:t>ереном Алцх</w:t>
            </w:r>
            <w:r w:rsidRPr="00E82AA9">
              <w:rPr>
                <w:rFonts w:ascii="Times New Roman" w:hAnsi="Times New Roman"/>
                <w:lang w:val="sr-Cyrl-CS"/>
              </w:rPr>
              <w:t>ај</w:t>
            </w:r>
            <w:r w:rsidRPr="00E82AA9">
              <w:rPr>
                <w:rFonts w:ascii="Times New Roman" w:hAnsi="Times New Roman"/>
              </w:rPr>
              <w:t>меровом болешћу (укупни MMSE скор 10-22 на почетку л</w:t>
            </w:r>
            <w:r w:rsidRPr="00E82AA9">
              <w:rPr>
                <w:rFonts w:ascii="Times New Roman" w:hAnsi="Times New Roman"/>
                <w:lang w:val="sr-Cyrl-CS"/>
              </w:rPr>
              <w:t>иј</w:t>
            </w:r>
            <w:r w:rsidRPr="00E82AA9">
              <w:rPr>
                <w:rFonts w:ascii="Times New Roman" w:hAnsi="Times New Roman"/>
              </w:rPr>
              <w:t xml:space="preserve">ечења) обухватила је 403 </w:t>
            </w:r>
            <w:r w:rsidRPr="00E82AA9">
              <w:rPr>
                <w:rFonts w:ascii="Times New Roman" w:hAnsi="Times New Roman"/>
                <w:lang w:val="sr-Cyrl-CS"/>
              </w:rPr>
              <w:t>пацијената</w:t>
            </w:r>
            <w:r w:rsidRPr="00E82AA9">
              <w:rPr>
                <w:rFonts w:ascii="Times New Roman" w:hAnsi="Times New Roman"/>
              </w:rPr>
              <w:t xml:space="preserve">. Код </w:t>
            </w:r>
            <w:r w:rsidRPr="00E82AA9">
              <w:rPr>
                <w:rFonts w:ascii="Times New Roman" w:hAnsi="Times New Roman"/>
                <w:lang w:val="sr-Cyrl-CS"/>
              </w:rPr>
              <w:t>пацијената</w:t>
            </w:r>
            <w:r w:rsidRPr="00E82AA9">
              <w:rPr>
                <w:rFonts w:ascii="Times New Roman" w:hAnsi="Times New Roman"/>
              </w:rPr>
              <w:t xml:space="preserve"> који су примали мемантин уочен је статистички значајно бољи ефекат у праћењу примарних исхода, него код оних који су примали плацебо: (скала процјене Алцхајмерове болести</w:t>
            </w:r>
            <w:r w:rsidRPr="00E82AA9">
              <w:rPr>
                <w:rFonts w:ascii="Times New Roman" w:hAnsi="Times New Roman"/>
                <w:lang w:val="mk-MK"/>
              </w:rPr>
              <w:t xml:space="preserve"> - </w:t>
            </w:r>
            <w:r w:rsidRPr="00E82AA9">
              <w:rPr>
                <w:rFonts w:ascii="Times New Roman" w:hAnsi="Times New Roman"/>
              </w:rPr>
              <w:t>ADAS-cog) (p=0.003) и CIBIC-plus (p=0.004) и посл</w:t>
            </w:r>
            <w:r w:rsidRPr="00E82AA9">
              <w:rPr>
                <w:rFonts w:ascii="Times New Roman" w:hAnsi="Times New Roman"/>
                <w:lang w:val="sr-Cyrl-CS"/>
              </w:rPr>
              <w:t>иј</w:t>
            </w:r>
            <w:r w:rsidRPr="00E82AA9">
              <w:rPr>
                <w:rFonts w:ascii="Times New Roman" w:hAnsi="Times New Roman"/>
              </w:rPr>
              <w:t>е 24 нед</w:t>
            </w:r>
            <w:r w:rsidRPr="00E82AA9">
              <w:rPr>
                <w:rFonts w:ascii="Times New Roman" w:hAnsi="Times New Roman"/>
                <w:lang w:val="sr-Cyrl-CS"/>
              </w:rPr>
              <w:t>ј</w:t>
            </w:r>
            <w:r w:rsidRPr="00E82AA9">
              <w:rPr>
                <w:rFonts w:ascii="Times New Roman" w:hAnsi="Times New Roman"/>
              </w:rPr>
              <w:t>еље (пренијето посљедње запажање</w:t>
            </w:r>
            <w:r w:rsidRPr="00E82AA9">
              <w:rPr>
                <w:rFonts w:ascii="Times New Roman" w:hAnsi="Times New Roman"/>
                <w:lang w:val="mk-MK"/>
              </w:rPr>
              <w:t xml:space="preserve"> - </w:t>
            </w:r>
            <w:r w:rsidRPr="00E82AA9">
              <w:rPr>
                <w:rFonts w:ascii="Times New Roman" w:hAnsi="Times New Roman"/>
              </w:rPr>
              <w:t xml:space="preserve">LOCF). У другој студији монотерапије код </w:t>
            </w:r>
            <w:r w:rsidRPr="00E82AA9">
              <w:rPr>
                <w:rFonts w:ascii="Times New Roman" w:hAnsi="Times New Roman"/>
                <w:lang w:val="sr-Cyrl-CS"/>
              </w:rPr>
              <w:t>пацијената</w:t>
            </w:r>
            <w:r w:rsidRPr="00E82AA9">
              <w:rPr>
                <w:rFonts w:ascii="Times New Roman" w:hAnsi="Times New Roman"/>
              </w:rPr>
              <w:t xml:space="preserve"> са благом до ум</w:t>
            </w:r>
            <w:r w:rsidRPr="00E82AA9">
              <w:rPr>
                <w:rFonts w:ascii="Times New Roman" w:hAnsi="Times New Roman"/>
                <w:lang w:val="sr-Cyrl-CS"/>
              </w:rPr>
              <w:t>ј</w:t>
            </w:r>
            <w:r w:rsidRPr="00E82AA9">
              <w:rPr>
                <w:rFonts w:ascii="Times New Roman" w:hAnsi="Times New Roman"/>
              </w:rPr>
              <w:t>ереном Алцх</w:t>
            </w:r>
            <w:r w:rsidRPr="00E82AA9">
              <w:rPr>
                <w:rFonts w:ascii="Times New Roman" w:hAnsi="Times New Roman"/>
                <w:lang w:val="sr-Cyrl-CS"/>
              </w:rPr>
              <w:t>ај</w:t>
            </w:r>
            <w:r w:rsidRPr="00E82AA9">
              <w:rPr>
                <w:rFonts w:ascii="Times New Roman" w:hAnsi="Times New Roman"/>
              </w:rPr>
              <w:t xml:space="preserve">меровом болешћу, рандомизовано је укупно 470 </w:t>
            </w:r>
            <w:r w:rsidRPr="00E82AA9">
              <w:rPr>
                <w:rFonts w:ascii="Times New Roman" w:hAnsi="Times New Roman"/>
                <w:lang w:val="sr-Cyrl-CS"/>
              </w:rPr>
              <w:t>пацијената</w:t>
            </w:r>
            <w:r w:rsidRPr="00E82AA9">
              <w:rPr>
                <w:rFonts w:ascii="Times New Roman" w:hAnsi="Times New Roman"/>
              </w:rPr>
              <w:t xml:space="preserve"> (укупни MMSE скор 11-23 на почетку л</w:t>
            </w:r>
            <w:r w:rsidRPr="00E82AA9">
              <w:rPr>
                <w:rFonts w:ascii="Times New Roman" w:hAnsi="Times New Roman"/>
                <w:lang w:val="sr-Cyrl-CS"/>
              </w:rPr>
              <w:t>иј</w:t>
            </w:r>
            <w:r w:rsidRPr="00E82AA9">
              <w:rPr>
                <w:rFonts w:ascii="Times New Roman" w:hAnsi="Times New Roman"/>
              </w:rPr>
              <w:t>ечења). У проспективно дефинисаној примарној анализи није уочена статистички значајна разлика код праћеног примарног исхода ефикасности посл</w:t>
            </w:r>
            <w:r w:rsidRPr="00E82AA9">
              <w:rPr>
                <w:rFonts w:ascii="Times New Roman" w:hAnsi="Times New Roman"/>
                <w:lang w:val="sr-Cyrl-CS"/>
              </w:rPr>
              <w:t>иј</w:t>
            </w:r>
            <w:r w:rsidRPr="00E82AA9">
              <w:rPr>
                <w:rFonts w:ascii="Times New Roman" w:hAnsi="Times New Roman"/>
              </w:rPr>
              <w:t>е 24 нед</w:t>
            </w:r>
            <w:r w:rsidRPr="00E82AA9">
              <w:rPr>
                <w:rFonts w:ascii="Times New Roman" w:hAnsi="Times New Roman"/>
                <w:lang w:val="sr-Cyrl-CS"/>
              </w:rPr>
              <w:t>ј</w:t>
            </w:r>
            <w:r w:rsidRPr="00E82AA9">
              <w:rPr>
                <w:rFonts w:ascii="Times New Roman" w:hAnsi="Times New Roman"/>
              </w:rPr>
              <w:t>еље.</w:t>
            </w:r>
          </w:p>
          <w:p w:rsidR="002F268E" w:rsidRPr="00E82AA9" w:rsidRDefault="002F268E" w:rsidP="002F268E">
            <w:pPr>
              <w:pStyle w:val="NoSpacing"/>
              <w:tabs>
                <w:tab w:val="left" w:pos="8222"/>
              </w:tabs>
              <w:ind w:right="-8"/>
              <w:jc w:val="both"/>
              <w:rPr>
                <w:rFonts w:ascii="Times New Roman" w:hAnsi="Times New Roman"/>
              </w:rPr>
            </w:pPr>
            <w:r w:rsidRPr="00E82AA9">
              <w:rPr>
                <w:rFonts w:ascii="Times New Roman" w:hAnsi="Times New Roman"/>
              </w:rPr>
              <w:t xml:space="preserve">Мета-анализа код </w:t>
            </w:r>
            <w:r w:rsidRPr="00E82AA9">
              <w:rPr>
                <w:rFonts w:ascii="Times New Roman" w:hAnsi="Times New Roman"/>
                <w:lang w:val="sr-Cyrl-CS"/>
              </w:rPr>
              <w:t>пацијената</w:t>
            </w:r>
            <w:r w:rsidRPr="00E82AA9">
              <w:rPr>
                <w:rFonts w:ascii="Times New Roman" w:hAnsi="Times New Roman"/>
              </w:rPr>
              <w:t xml:space="preserve"> са ум</w:t>
            </w:r>
            <w:r w:rsidRPr="00E82AA9">
              <w:rPr>
                <w:rFonts w:ascii="Times New Roman" w:hAnsi="Times New Roman"/>
                <w:lang w:val="sr-Cyrl-CS"/>
              </w:rPr>
              <w:t>ј</w:t>
            </w:r>
            <w:r w:rsidRPr="00E82AA9">
              <w:rPr>
                <w:rFonts w:ascii="Times New Roman" w:hAnsi="Times New Roman"/>
              </w:rPr>
              <w:t>ереном до тешком Алцх</w:t>
            </w:r>
            <w:r w:rsidRPr="00E82AA9">
              <w:rPr>
                <w:rFonts w:ascii="Times New Roman" w:hAnsi="Times New Roman"/>
                <w:lang w:val="sr-Cyrl-CS"/>
              </w:rPr>
              <w:t>ај</w:t>
            </w:r>
            <w:r w:rsidRPr="00E82AA9">
              <w:rPr>
                <w:rFonts w:ascii="Times New Roman" w:hAnsi="Times New Roman"/>
              </w:rPr>
              <w:t xml:space="preserve">меровом болешћу (укупни MMSE скор &lt; 20) укључених у шест плацебо контролисаних, шестомјесечних испитивања III фазе (укључујући студију монотерапије и студије код пацијената на стабилној дози инхибитора ацетилхолинестеразе), показала је статистички значајан ефекат мемантина на праћене когнитивне, глобалне и функционалне домене. Када су идентификовани </w:t>
            </w:r>
            <w:r w:rsidRPr="00E82AA9">
              <w:rPr>
                <w:rFonts w:ascii="Times New Roman" w:hAnsi="Times New Roman"/>
                <w:lang w:val="sr-Cyrl-CS"/>
              </w:rPr>
              <w:t>пацијенти</w:t>
            </w:r>
            <w:r w:rsidRPr="00E82AA9">
              <w:rPr>
                <w:rFonts w:ascii="Times New Roman" w:hAnsi="Times New Roman"/>
              </w:rPr>
              <w:t xml:space="preserve"> са истовременим погоршањем у сва три домена, резултати су показали статистички значајан ефекат мемантина у превенцији погоршања, будући да је двоструко више </w:t>
            </w:r>
            <w:r w:rsidRPr="00E82AA9">
              <w:rPr>
                <w:rFonts w:ascii="Times New Roman" w:hAnsi="Times New Roman"/>
                <w:lang w:val="sr-Cyrl-CS"/>
              </w:rPr>
              <w:t>пацијената</w:t>
            </w:r>
            <w:r w:rsidRPr="00E82AA9">
              <w:rPr>
                <w:rFonts w:ascii="Times New Roman" w:hAnsi="Times New Roman"/>
              </w:rPr>
              <w:t xml:space="preserve"> који су узимали плацебо показало погоршање у сва три домена у односу на пацијенте који су били на терапији мемантином (21% према 11%, р&lt;0</w:t>
            </w:r>
            <w:r w:rsidRPr="00E82AA9">
              <w:rPr>
                <w:rFonts w:ascii="Times New Roman" w:hAnsi="Times New Roman"/>
                <w:lang w:val="mk-MK"/>
              </w:rPr>
              <w:t>.</w:t>
            </w:r>
            <w:r w:rsidRPr="00E82AA9">
              <w:rPr>
                <w:rFonts w:ascii="Times New Roman" w:hAnsi="Times New Roman"/>
              </w:rPr>
              <w:t>0001).</w:t>
            </w:r>
          </w:p>
          <w:p w:rsidR="002F268E" w:rsidRPr="00E82AA9" w:rsidRDefault="002F268E" w:rsidP="002F268E">
            <w:pPr>
              <w:tabs>
                <w:tab w:val="left" w:pos="945"/>
                <w:tab w:val="left" w:pos="8222"/>
              </w:tabs>
              <w:ind w:right="-8"/>
              <w:rPr>
                <w:color w:val="FF0000"/>
                <w:sz w:val="22"/>
                <w:szCs w:val="22"/>
                <w:lang w:val="bs-Latn-BA"/>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rPr>
            </w:pPr>
            <w:r w:rsidRPr="00E82AA9">
              <w:rPr>
                <w:b/>
                <w:bCs/>
                <w:sz w:val="22"/>
                <w:szCs w:val="22"/>
                <w:lang w:val="ru-RU"/>
              </w:rPr>
              <w:lastRenderedPageBreak/>
              <w:t>5.2.   Фармакокинетички подаци</w:t>
            </w:r>
          </w:p>
        </w:tc>
      </w:tr>
      <w:tr w:rsidR="002F268E" w:rsidRPr="00E82AA9" w:rsidTr="002F268E">
        <w:trPr>
          <w:trHeight w:val="424"/>
        </w:trPr>
        <w:tc>
          <w:tcPr>
            <w:tcW w:w="9747" w:type="dxa"/>
            <w:gridSpan w:val="4"/>
            <w:vAlign w:val="center"/>
          </w:tcPr>
          <w:p w:rsidR="002F268E" w:rsidRPr="00E82AA9" w:rsidRDefault="002F268E" w:rsidP="002F268E">
            <w:pPr>
              <w:tabs>
                <w:tab w:val="left" w:pos="945"/>
                <w:tab w:val="left" w:pos="8222"/>
              </w:tabs>
              <w:ind w:right="-8"/>
              <w:rPr>
                <w:color w:val="FF0000"/>
                <w:sz w:val="22"/>
                <w:szCs w:val="22"/>
                <w:lang w:val="bs-Latn-BA"/>
              </w:rPr>
            </w:pPr>
          </w:p>
          <w:p w:rsidR="002F268E" w:rsidRPr="00E82AA9" w:rsidRDefault="002F268E" w:rsidP="002F268E">
            <w:pPr>
              <w:pStyle w:val="NoSpacing"/>
              <w:tabs>
                <w:tab w:val="left" w:pos="8222"/>
              </w:tabs>
              <w:ind w:right="-8"/>
              <w:jc w:val="both"/>
              <w:rPr>
                <w:rFonts w:ascii="Times New Roman" w:hAnsi="Times New Roman"/>
                <w:i/>
                <w:lang w:val="mk-MK"/>
              </w:rPr>
            </w:pPr>
            <w:r w:rsidRPr="00E82AA9">
              <w:rPr>
                <w:rFonts w:ascii="Times New Roman" w:hAnsi="Times New Roman"/>
                <w:i/>
              </w:rPr>
              <w:t>Peсорпција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rPr>
              <w:t>Апсолутна биорасположивост мемантина је око 100%. Тmax износи 3 – 8 сати. Нема података да храна утиче на peсорпцију мемантина.</w:t>
            </w:r>
          </w:p>
          <w:p w:rsidR="002F268E" w:rsidRPr="00E82AA9" w:rsidRDefault="002F268E" w:rsidP="002F268E">
            <w:pPr>
              <w:pStyle w:val="NoSpacing"/>
              <w:tabs>
                <w:tab w:val="left" w:pos="8222"/>
              </w:tabs>
              <w:ind w:right="-8"/>
              <w:jc w:val="both"/>
              <w:rPr>
                <w:rFonts w:ascii="Times New Roman" w:hAnsi="Times New Roman"/>
                <w:b/>
                <w:bCs/>
                <w:lang w:val="mk-MK" w:eastAsia="en-GB"/>
              </w:rPr>
            </w:pPr>
          </w:p>
          <w:p w:rsidR="002F268E" w:rsidRPr="00E82AA9" w:rsidRDefault="002F268E" w:rsidP="002F268E">
            <w:pPr>
              <w:pStyle w:val="NoSpacing"/>
              <w:tabs>
                <w:tab w:val="left" w:pos="8222"/>
              </w:tabs>
              <w:ind w:right="-8"/>
              <w:jc w:val="both"/>
              <w:rPr>
                <w:rFonts w:ascii="Times New Roman" w:hAnsi="Times New Roman"/>
                <w:i/>
                <w:lang w:val="mk-MK"/>
              </w:rPr>
            </w:pPr>
            <w:r w:rsidRPr="00E82AA9">
              <w:rPr>
                <w:rFonts w:ascii="Times New Roman" w:hAnsi="Times New Roman"/>
                <w:i/>
                <w:lang w:val="mk-MK"/>
              </w:rPr>
              <w:t>Дистрибуција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 xml:space="preserve">При дневним дозама од 20 mg, концентрације мемантина у плазми у стању равнотеже износе од 70 до 150 ng/ml (0.5 – 1 </w:t>
            </w:r>
            <w:r w:rsidRPr="00E82AA9">
              <w:rPr>
                <w:rFonts w:ascii="Times New Roman" w:hAnsi="Times New Roman"/>
              </w:rPr>
              <w:t>μ</w:t>
            </w:r>
            <w:r w:rsidRPr="00E82AA9">
              <w:rPr>
                <w:rFonts w:ascii="Times New Roman" w:hAnsi="Times New Roman"/>
                <w:lang w:val="mk-MK"/>
              </w:rPr>
              <w:t xml:space="preserve">mol), са великим интериндивидуалним варијацијама. При дозама од 5 до 30 mg израчунат је просјечан однос концентрација цереброспиналне течнсти (CSF)/серум од 0.52. Волумен дистрибуције износи око 10 l/kg. Око 45% мемантина везује се за протеине плазме. </w:t>
            </w:r>
          </w:p>
          <w:p w:rsidR="007372A0" w:rsidRPr="00E82AA9" w:rsidRDefault="007372A0" w:rsidP="002F268E">
            <w:pPr>
              <w:pStyle w:val="NoSpacing"/>
              <w:tabs>
                <w:tab w:val="left" w:pos="8222"/>
              </w:tabs>
              <w:ind w:right="-8"/>
              <w:jc w:val="both"/>
              <w:rPr>
                <w:rFonts w:ascii="Times New Roman" w:hAnsi="Times New Roman"/>
                <w:lang w:val="mk-MK"/>
              </w:rPr>
            </w:pPr>
          </w:p>
          <w:p w:rsidR="002F268E" w:rsidRPr="00E82AA9" w:rsidRDefault="002F268E" w:rsidP="002F268E">
            <w:pPr>
              <w:pStyle w:val="NoSpacing"/>
              <w:tabs>
                <w:tab w:val="left" w:pos="8222"/>
              </w:tabs>
              <w:ind w:right="-8"/>
              <w:jc w:val="both"/>
              <w:rPr>
                <w:rFonts w:ascii="Times New Roman" w:hAnsi="Times New Roman"/>
                <w:i/>
                <w:lang w:val="mk-MK"/>
              </w:rPr>
            </w:pPr>
            <w:r w:rsidRPr="00E82AA9">
              <w:rPr>
                <w:rFonts w:ascii="Times New Roman" w:hAnsi="Times New Roman"/>
                <w:i/>
                <w:lang w:val="mk-MK"/>
              </w:rPr>
              <w:t>Биотрансформација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Код човјека, око 80% циркулишућег мемантина налази се у основном облику. Главни метаболити код човјека су N-3,5 диметил-глудантан, см</w:t>
            </w:r>
            <w:r w:rsidRPr="00E82AA9">
              <w:rPr>
                <w:rFonts w:ascii="Times New Roman" w:hAnsi="Times New Roman"/>
                <w:lang w:val="sr-Cyrl-CS"/>
              </w:rPr>
              <w:t>ј</w:t>
            </w:r>
            <w:r w:rsidRPr="00E82AA9">
              <w:rPr>
                <w:rFonts w:ascii="Times New Roman" w:hAnsi="Times New Roman"/>
                <w:lang w:val="mk-MK"/>
              </w:rPr>
              <w:t xml:space="preserve">еша изомера 4- и 6-хидрокси-мемантина и 1-нитрозо-3,5-диметил адамантанa. Ниједан од ових метаболита не показује NMDA-антагонистичку активност. </w:t>
            </w:r>
            <w:r w:rsidRPr="00E82AA9">
              <w:rPr>
                <w:rFonts w:ascii="Times New Roman" w:hAnsi="Times New Roman"/>
                <w:i/>
                <w:lang w:val="mk-MK"/>
              </w:rPr>
              <w:t>In vitro</w:t>
            </w:r>
            <w:r w:rsidRPr="00E82AA9">
              <w:rPr>
                <w:rFonts w:ascii="Times New Roman" w:hAnsi="Times New Roman"/>
                <w:lang w:val="mk-MK"/>
              </w:rPr>
              <w:t xml:space="preserve"> није уочен метаболизам који катализују ензими цитохрома P 450. </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 xml:space="preserve">У студији у којој је кориштен орално примјењени </w:t>
            </w:r>
            <w:r w:rsidRPr="00E82AA9">
              <w:rPr>
                <w:rFonts w:ascii="Times New Roman" w:hAnsi="Times New Roman"/>
                <w:vertAlign w:val="superscript"/>
                <w:lang w:val="mk-MK"/>
              </w:rPr>
              <w:t>14</w:t>
            </w:r>
            <w:r w:rsidRPr="00E82AA9">
              <w:rPr>
                <w:rFonts w:ascii="Times New Roman" w:hAnsi="Times New Roman"/>
                <w:lang w:val="mk-MK"/>
              </w:rPr>
              <w:t>C-мемантин, у просјеку се 84% прим</w:t>
            </w:r>
            <w:r w:rsidRPr="00E82AA9">
              <w:rPr>
                <w:rFonts w:ascii="Times New Roman" w:hAnsi="Times New Roman"/>
                <w:lang w:val="sr-Cyrl-CS"/>
              </w:rPr>
              <w:t>иј</w:t>
            </w:r>
            <w:r w:rsidRPr="00E82AA9">
              <w:rPr>
                <w:rFonts w:ascii="Times New Roman" w:hAnsi="Times New Roman"/>
                <w:lang w:val="mk-MK"/>
              </w:rPr>
              <w:t>ењене дозе излучило у току 20 дана, а више од 99% је излучено путем бубрега.</w:t>
            </w:r>
          </w:p>
          <w:p w:rsidR="002F268E" w:rsidRPr="00E82AA9" w:rsidRDefault="002F268E" w:rsidP="002F268E">
            <w:pPr>
              <w:pStyle w:val="NoSpacing"/>
              <w:tabs>
                <w:tab w:val="left" w:pos="8222"/>
              </w:tabs>
              <w:ind w:right="-8"/>
              <w:jc w:val="both"/>
              <w:rPr>
                <w:rFonts w:ascii="Times New Roman" w:hAnsi="Times New Roman"/>
                <w:b/>
                <w:bCs/>
                <w:lang w:val="mk-MK" w:eastAsia="en-GB"/>
              </w:rPr>
            </w:pPr>
          </w:p>
          <w:p w:rsidR="002F268E" w:rsidRPr="00E82AA9" w:rsidRDefault="002F268E" w:rsidP="002F268E">
            <w:pPr>
              <w:pStyle w:val="NoSpacing"/>
              <w:tabs>
                <w:tab w:val="left" w:pos="8222"/>
              </w:tabs>
              <w:ind w:right="-8"/>
              <w:jc w:val="both"/>
              <w:rPr>
                <w:rFonts w:ascii="Times New Roman" w:hAnsi="Times New Roman"/>
                <w:i/>
                <w:lang w:val="mk-MK"/>
              </w:rPr>
            </w:pPr>
            <w:r w:rsidRPr="00E82AA9">
              <w:rPr>
                <w:rFonts w:ascii="Times New Roman" w:hAnsi="Times New Roman"/>
                <w:i/>
                <w:lang w:val="mk-MK"/>
              </w:rPr>
              <w:t>Елиминација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Мемантин се елиминише на моноекспоненцијални начин, са терминалним полувременом елиминације (t½) од 60 до 100 сати. Код добровољаца са нормалном функцијом бубрега, укупни клиренс (Cltot) износи 170 ml/min/1,73 m², а дио укупног бубрежног клиренса се постиже тубуларном секрецијом.</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lastRenderedPageBreak/>
              <w:t>Процеси којима мемантин подлеже у бубрезима обухватају и тубуларну реапсорпцију, коју в</w:t>
            </w:r>
            <w:r w:rsidRPr="00E82AA9">
              <w:rPr>
                <w:rFonts w:ascii="Times New Roman" w:hAnsi="Times New Roman"/>
                <w:lang w:val="sr-Cyrl-CS"/>
              </w:rPr>
              <w:t>ј</w:t>
            </w:r>
            <w:r w:rsidRPr="00E82AA9">
              <w:rPr>
                <w:rFonts w:ascii="Times New Roman" w:hAnsi="Times New Roman"/>
                <w:lang w:val="mk-MK"/>
              </w:rPr>
              <w:t>ероватно посредују катјонски транспортни протеини. Брзина елиминације мемантина преко бубрега у условима алкалног урина, може бити смањена за фактор 7 до 9 (вид</w:t>
            </w:r>
            <w:r w:rsidRPr="00E82AA9">
              <w:rPr>
                <w:rFonts w:ascii="Times New Roman" w:hAnsi="Times New Roman"/>
                <w:lang w:val="sr-Cyrl-CS"/>
              </w:rPr>
              <w:t>ј</w:t>
            </w:r>
            <w:r w:rsidRPr="00E82AA9">
              <w:rPr>
                <w:rFonts w:ascii="Times New Roman" w:hAnsi="Times New Roman"/>
                <w:lang w:val="mk-MK"/>
              </w:rPr>
              <w:t>ети од</w:t>
            </w:r>
            <w:r w:rsidRPr="00E82AA9">
              <w:rPr>
                <w:rFonts w:ascii="Times New Roman" w:hAnsi="Times New Roman"/>
                <w:lang w:val="sr-Cyrl-CS"/>
              </w:rPr>
              <w:t>ј</w:t>
            </w:r>
            <w:r w:rsidRPr="00E82AA9">
              <w:rPr>
                <w:rFonts w:ascii="Times New Roman" w:hAnsi="Times New Roman"/>
                <w:lang w:val="mk-MK"/>
              </w:rPr>
              <w:t>ељак 4.4). Алкализација урина може да буде посљедица драстичних пром</w:t>
            </w:r>
            <w:r w:rsidRPr="00E82AA9">
              <w:rPr>
                <w:rFonts w:ascii="Times New Roman" w:hAnsi="Times New Roman"/>
                <w:lang w:val="sr-Cyrl-CS"/>
              </w:rPr>
              <w:t>ј</w:t>
            </w:r>
            <w:r w:rsidRPr="00E82AA9">
              <w:rPr>
                <w:rFonts w:ascii="Times New Roman" w:hAnsi="Times New Roman"/>
                <w:lang w:val="mk-MK"/>
              </w:rPr>
              <w:t>ена у исхрани нпр. прелаз са исхране која садржи месо на вегетаријанску исхрану, или унос великих количина желудачних пуфера за алкалинизацију.</w:t>
            </w:r>
          </w:p>
          <w:p w:rsidR="002F268E" w:rsidRPr="00E82AA9" w:rsidRDefault="002F268E" w:rsidP="002F268E">
            <w:pPr>
              <w:pStyle w:val="NoSpacing"/>
              <w:tabs>
                <w:tab w:val="left" w:pos="8222"/>
              </w:tabs>
              <w:ind w:right="-8"/>
              <w:jc w:val="both"/>
              <w:rPr>
                <w:rFonts w:ascii="Times New Roman" w:hAnsi="Times New Roman"/>
                <w:b/>
                <w:bCs/>
                <w:lang w:val="mk-MK" w:eastAsia="en-GB"/>
              </w:rPr>
            </w:pPr>
          </w:p>
          <w:p w:rsidR="002F268E" w:rsidRPr="00E82AA9" w:rsidRDefault="002F268E" w:rsidP="002F268E">
            <w:pPr>
              <w:pStyle w:val="NoSpacing"/>
              <w:tabs>
                <w:tab w:val="left" w:pos="8222"/>
              </w:tabs>
              <w:ind w:right="-8"/>
              <w:jc w:val="both"/>
              <w:rPr>
                <w:rFonts w:ascii="Times New Roman" w:hAnsi="Times New Roman"/>
                <w:i/>
                <w:lang w:val="mk-MK"/>
              </w:rPr>
            </w:pPr>
            <w:r w:rsidRPr="00E82AA9">
              <w:rPr>
                <w:rFonts w:ascii="Times New Roman" w:hAnsi="Times New Roman"/>
                <w:i/>
                <w:lang w:val="mk-MK"/>
              </w:rPr>
              <w:t>Линеарност</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Студије на добровољцима су показале линеарну фармакокинетику у распону доза од 10 до 40 mg.</w:t>
            </w:r>
          </w:p>
          <w:p w:rsidR="002F268E" w:rsidRPr="00E82AA9" w:rsidRDefault="002F268E" w:rsidP="002F268E">
            <w:pPr>
              <w:pStyle w:val="NoSpacing"/>
              <w:tabs>
                <w:tab w:val="left" w:pos="8222"/>
              </w:tabs>
              <w:ind w:right="-8"/>
              <w:jc w:val="both"/>
              <w:rPr>
                <w:rFonts w:ascii="Times New Roman" w:hAnsi="Times New Roman"/>
                <w:lang w:val="mk-MK"/>
              </w:rPr>
            </w:pPr>
          </w:p>
          <w:p w:rsidR="002F268E" w:rsidRPr="00E82AA9" w:rsidRDefault="002F268E" w:rsidP="002F268E">
            <w:pPr>
              <w:pStyle w:val="NoSpacing"/>
              <w:tabs>
                <w:tab w:val="left" w:pos="8222"/>
              </w:tabs>
              <w:ind w:right="-8"/>
              <w:jc w:val="both"/>
              <w:rPr>
                <w:rFonts w:ascii="Times New Roman" w:hAnsi="Times New Roman"/>
                <w:i/>
                <w:lang w:val="mk-MK"/>
              </w:rPr>
            </w:pPr>
            <w:r w:rsidRPr="00E82AA9">
              <w:rPr>
                <w:rFonts w:ascii="Times New Roman" w:hAnsi="Times New Roman"/>
                <w:i/>
                <w:lang w:val="mk-MK"/>
              </w:rPr>
              <w:t>Однос фармакокинетика/фармакодинамика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При дози од 20 mg мемантина на дан, концентрација у цереброспиналној течности (CSF) достиже ki вр</w:t>
            </w:r>
            <w:r w:rsidR="007372A0" w:rsidRPr="00E82AA9">
              <w:rPr>
                <w:rFonts w:ascii="Times New Roman" w:hAnsi="Times New Roman"/>
                <w:lang w:val="sr-Cyrl-ME"/>
              </w:rPr>
              <w:t>иј</w:t>
            </w:r>
            <w:r w:rsidRPr="00E82AA9">
              <w:rPr>
                <w:rFonts w:ascii="Times New Roman" w:hAnsi="Times New Roman"/>
                <w:lang w:val="mk-MK"/>
              </w:rPr>
              <w:t xml:space="preserve">едност (ki = константа инхибиције) за мемантин, који износи 0.5 </w:t>
            </w:r>
            <w:r w:rsidRPr="00E82AA9">
              <w:rPr>
                <w:rFonts w:ascii="Times New Roman" w:hAnsi="Times New Roman"/>
              </w:rPr>
              <w:t>μ</w:t>
            </w:r>
            <w:r w:rsidRPr="00E82AA9">
              <w:rPr>
                <w:rFonts w:ascii="Times New Roman" w:hAnsi="Times New Roman"/>
                <w:lang w:val="mk-MK"/>
              </w:rPr>
              <w:t>mol у хуманом фронталном кортексу.</w:t>
            </w:r>
          </w:p>
          <w:p w:rsidR="002F268E" w:rsidRPr="00E82AA9" w:rsidRDefault="002F268E" w:rsidP="002F268E">
            <w:pPr>
              <w:tabs>
                <w:tab w:val="left" w:pos="8222"/>
              </w:tabs>
              <w:ind w:right="-8"/>
              <w:rPr>
                <w:color w:val="FF0000"/>
                <w:sz w:val="22"/>
                <w:szCs w:val="22"/>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lang w:val="ru-RU"/>
              </w:rPr>
            </w:pPr>
            <w:r w:rsidRPr="00E82AA9">
              <w:rPr>
                <w:b/>
                <w:bCs/>
                <w:sz w:val="22"/>
                <w:szCs w:val="22"/>
                <w:lang w:val="ru-RU"/>
              </w:rPr>
              <w:lastRenderedPageBreak/>
              <w:t>5.3.   Претклинички подаци о безбједности</w:t>
            </w:r>
          </w:p>
        </w:tc>
      </w:tr>
      <w:tr w:rsidR="002F268E" w:rsidRPr="00E82AA9" w:rsidTr="002F268E">
        <w:trPr>
          <w:trHeight w:val="1079"/>
        </w:trPr>
        <w:tc>
          <w:tcPr>
            <w:tcW w:w="9747" w:type="dxa"/>
            <w:gridSpan w:val="4"/>
            <w:vAlign w:val="center"/>
          </w:tcPr>
          <w:p w:rsidR="002F268E" w:rsidRPr="00E82AA9" w:rsidRDefault="002F268E" w:rsidP="002F268E">
            <w:pPr>
              <w:tabs>
                <w:tab w:val="left" w:pos="8222"/>
              </w:tabs>
              <w:ind w:right="-8"/>
              <w:rPr>
                <w:color w:val="FF0000"/>
                <w:sz w:val="22"/>
                <w:szCs w:val="22"/>
                <w:lang w:val="ru-RU"/>
              </w:rPr>
            </w:pP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rPr>
              <w:t>У краткотрајним студијама на пацовима, мемантин, попут других NMDA-антагониста, изазива неуронску вакуолизацију и некрозу (Olney-ева жаришта), само при дозама које воде до веома високих максималних  концентрација у серуму. Атаксија и други претклинички знаци претходили су вакуолизацији и некрози. Како ови ефекти ни</w:t>
            </w:r>
            <w:r w:rsidRPr="00E82AA9">
              <w:rPr>
                <w:rFonts w:ascii="Times New Roman" w:hAnsi="Times New Roman"/>
                <w:lang w:val="sr-Cyrl-CS"/>
              </w:rPr>
              <w:t>је</w:t>
            </w:r>
            <w:r w:rsidRPr="00E82AA9">
              <w:rPr>
                <w:rFonts w:ascii="Times New Roman" w:hAnsi="Times New Roman"/>
              </w:rPr>
              <w:t>су уочени у дуготрајним студијама на глодарима, нити код осталих експерименталним животињама, клинички значај ових налаза није познат.</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У студијама токсичности при поновљеним дозама код глодара и паса, али не и код мајмуна, недосљедно су забиљежене пром</w:t>
            </w:r>
            <w:r w:rsidRPr="00E82AA9">
              <w:rPr>
                <w:rFonts w:ascii="Times New Roman" w:hAnsi="Times New Roman"/>
                <w:lang w:val="sr-Cyrl-CS"/>
              </w:rPr>
              <w:t>ј</w:t>
            </w:r>
            <w:r w:rsidRPr="00E82AA9">
              <w:rPr>
                <w:rFonts w:ascii="Times New Roman" w:hAnsi="Times New Roman"/>
                <w:lang w:val="mk-MK"/>
              </w:rPr>
              <w:t>ене на оку. Специфична офталмоскопска испитивања у клиничким студијама са мемантином, ни</w:t>
            </w:r>
            <w:r w:rsidRPr="00E82AA9">
              <w:rPr>
                <w:rFonts w:ascii="Times New Roman" w:hAnsi="Times New Roman"/>
                <w:lang w:val="sr-Cyrl-CS"/>
              </w:rPr>
              <w:t>је</w:t>
            </w:r>
            <w:r w:rsidRPr="00E82AA9">
              <w:rPr>
                <w:rFonts w:ascii="Times New Roman" w:hAnsi="Times New Roman"/>
                <w:lang w:val="mk-MK"/>
              </w:rPr>
              <w:t>су открила било какве пром</w:t>
            </w:r>
            <w:r w:rsidRPr="00E82AA9">
              <w:rPr>
                <w:rFonts w:ascii="Times New Roman" w:hAnsi="Times New Roman"/>
                <w:lang w:val="sr-Cyrl-CS"/>
              </w:rPr>
              <w:t>ј</w:t>
            </w:r>
            <w:r w:rsidRPr="00E82AA9">
              <w:rPr>
                <w:rFonts w:ascii="Times New Roman" w:hAnsi="Times New Roman"/>
                <w:lang w:val="mk-MK"/>
              </w:rPr>
              <w:t>ене на очима.</w:t>
            </w:r>
          </w:p>
          <w:p w:rsidR="002F268E" w:rsidRPr="00E82AA9" w:rsidRDefault="002F268E" w:rsidP="002F268E">
            <w:pPr>
              <w:pStyle w:val="NoSpacing"/>
              <w:tabs>
                <w:tab w:val="left" w:pos="8222"/>
              </w:tabs>
              <w:ind w:right="-8"/>
              <w:jc w:val="both"/>
              <w:rPr>
                <w:rFonts w:ascii="Times New Roman" w:hAnsi="Times New Roman"/>
                <w:b/>
                <w:bCs/>
                <w:lang w:val="mk-MK" w:eastAsia="en-GB"/>
              </w:rPr>
            </w:pPr>
            <w:r w:rsidRPr="00E82AA9">
              <w:rPr>
                <w:rFonts w:ascii="Times New Roman" w:hAnsi="Times New Roman"/>
                <w:lang w:val="mk-MK"/>
              </w:rPr>
              <w:t xml:space="preserve">Код глодара је забиљежена фосфолипидоза у плућним макрофагима због акумулације мемантина у лизозомима. Овај ефекат је примијећен и код других </w:t>
            </w:r>
            <w:r w:rsidRPr="00E82AA9">
              <w:rPr>
                <w:rFonts w:ascii="Times New Roman" w:hAnsi="Times New Roman"/>
                <w:lang w:val="sr-Cyrl-CS"/>
              </w:rPr>
              <w:t>љ</w:t>
            </w:r>
            <w:r w:rsidRPr="00E82AA9">
              <w:rPr>
                <w:rFonts w:ascii="Times New Roman" w:hAnsi="Times New Roman"/>
                <w:lang w:val="mk-MK"/>
              </w:rPr>
              <w:t>екова са катјонским амфифилним особинама. Могуће је да постоји повезаност између ове акумулације и вакуолизације уочене у плућима. Овај ефекат забиљежен је само при високим дозама код глодара. Клинички значај ових налаза није познат.</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Током тестирања мемантина стандардни</w:t>
            </w:r>
            <w:r w:rsidRPr="00E82AA9">
              <w:rPr>
                <w:rFonts w:ascii="Times New Roman" w:hAnsi="Times New Roman"/>
                <w:lang w:val="sr-Cyrl-CS"/>
              </w:rPr>
              <w:t>м</w:t>
            </w:r>
            <w:r w:rsidRPr="00E82AA9">
              <w:rPr>
                <w:rFonts w:ascii="Times New Roman" w:hAnsi="Times New Roman"/>
                <w:lang w:val="mk-MK"/>
              </w:rPr>
              <w:t xml:space="preserve"> методама, није уочена генотоксичност. Нијесу пронађени докази о карциногеном потенцијалу у испитивањима током цијелог живота мишева и пацова. Мемантин није показао тератогени ефекат код пацова и зечева, чак ни при дозама које су токсичне за женку, а ни</w:t>
            </w:r>
            <w:r w:rsidRPr="00E82AA9">
              <w:rPr>
                <w:rFonts w:ascii="Times New Roman" w:hAnsi="Times New Roman"/>
                <w:lang w:val="sr-Cyrl-CS"/>
              </w:rPr>
              <w:t>је</w:t>
            </w:r>
            <w:r w:rsidRPr="00E82AA9">
              <w:rPr>
                <w:rFonts w:ascii="Times New Roman" w:hAnsi="Times New Roman"/>
                <w:lang w:val="mk-MK"/>
              </w:rPr>
              <w:t>су уочена ни нежељена дејства мемантина на фертилност. Код пацова је забиљежен успорен раст фетуса, при нивоу изложености који је идентичан или незнатно већи од експозиције код човека.</w:t>
            </w:r>
          </w:p>
          <w:p w:rsidR="002F268E" w:rsidRPr="00E82AA9" w:rsidRDefault="002F268E" w:rsidP="002F268E">
            <w:pPr>
              <w:pStyle w:val="Header"/>
              <w:tabs>
                <w:tab w:val="left" w:pos="284"/>
                <w:tab w:val="left" w:pos="8222"/>
              </w:tabs>
              <w:ind w:right="-8"/>
              <w:rPr>
                <w:color w:val="FF0000"/>
                <w:sz w:val="22"/>
                <w:szCs w:val="22"/>
                <w:lang w:val="ru-RU"/>
              </w:rPr>
            </w:pPr>
          </w:p>
          <w:p w:rsidR="007372A0" w:rsidRPr="00E82AA9" w:rsidRDefault="007372A0" w:rsidP="002F268E">
            <w:pPr>
              <w:pStyle w:val="Header"/>
              <w:tabs>
                <w:tab w:val="left" w:pos="284"/>
                <w:tab w:val="left" w:pos="8222"/>
              </w:tabs>
              <w:ind w:right="-8"/>
              <w:rPr>
                <w:color w:val="FF0000"/>
                <w:sz w:val="22"/>
                <w:szCs w:val="22"/>
                <w:lang w:val="ru-RU"/>
              </w:rPr>
            </w:pPr>
          </w:p>
        </w:tc>
      </w:tr>
      <w:tr w:rsidR="002F268E" w:rsidRPr="00E82AA9" w:rsidTr="002F268E">
        <w:tc>
          <w:tcPr>
            <w:tcW w:w="9747" w:type="dxa"/>
            <w:gridSpan w:val="4"/>
            <w:shd w:val="clear" w:color="auto" w:fill="auto"/>
            <w:vAlign w:val="center"/>
          </w:tcPr>
          <w:p w:rsidR="007372A0" w:rsidRPr="00E82AA9" w:rsidRDefault="002F268E" w:rsidP="007372A0">
            <w:pPr>
              <w:pStyle w:val="Header"/>
              <w:tabs>
                <w:tab w:val="left" w:pos="284"/>
                <w:tab w:val="left" w:pos="8222"/>
              </w:tabs>
              <w:ind w:right="-6"/>
              <w:rPr>
                <w:b/>
                <w:bCs/>
                <w:sz w:val="22"/>
                <w:szCs w:val="22"/>
              </w:rPr>
            </w:pPr>
            <w:r w:rsidRPr="00E82AA9">
              <w:rPr>
                <w:b/>
                <w:bCs/>
                <w:sz w:val="22"/>
                <w:szCs w:val="22"/>
              </w:rPr>
              <w:t>6.</w:t>
            </w:r>
            <w:r w:rsidRPr="00E82AA9">
              <w:rPr>
                <w:b/>
                <w:bCs/>
                <w:sz w:val="22"/>
                <w:szCs w:val="22"/>
                <w:lang w:val="mk-MK"/>
              </w:rPr>
              <w:t xml:space="preserve"> </w:t>
            </w:r>
            <w:r w:rsidRPr="00E82AA9">
              <w:rPr>
                <w:b/>
                <w:bCs/>
                <w:sz w:val="22"/>
                <w:szCs w:val="22"/>
              </w:rPr>
              <w:t xml:space="preserve">     ФАРМАЦЕУТСКИ ПОДАЦИ</w:t>
            </w:r>
          </w:p>
        </w:tc>
      </w:tr>
      <w:tr w:rsidR="002F268E" w:rsidRPr="00E82AA9" w:rsidTr="002F268E">
        <w:tc>
          <w:tcPr>
            <w:tcW w:w="9747" w:type="dxa"/>
            <w:gridSpan w:val="4"/>
            <w:vAlign w:val="center"/>
          </w:tcPr>
          <w:p w:rsidR="007372A0" w:rsidRPr="00E82AA9" w:rsidRDefault="007372A0" w:rsidP="007372A0">
            <w:pPr>
              <w:pStyle w:val="Header"/>
              <w:tabs>
                <w:tab w:val="left" w:pos="284"/>
                <w:tab w:val="left" w:pos="8222"/>
              </w:tabs>
              <w:ind w:right="-6"/>
              <w:rPr>
                <w:b/>
                <w:bCs/>
                <w:sz w:val="22"/>
                <w:szCs w:val="22"/>
                <w:lang w:val="ru-RU"/>
              </w:rPr>
            </w:pPr>
          </w:p>
          <w:p w:rsidR="002F268E" w:rsidRPr="00E82AA9" w:rsidRDefault="002F268E" w:rsidP="007372A0">
            <w:pPr>
              <w:pStyle w:val="Header"/>
              <w:tabs>
                <w:tab w:val="left" w:pos="284"/>
                <w:tab w:val="left" w:pos="8222"/>
              </w:tabs>
              <w:ind w:right="-6"/>
              <w:rPr>
                <w:b/>
                <w:bCs/>
                <w:color w:val="FF0000"/>
                <w:sz w:val="22"/>
                <w:szCs w:val="22"/>
                <w:lang w:val="sr-Latn-CS"/>
              </w:rPr>
            </w:pPr>
            <w:r w:rsidRPr="00E82AA9">
              <w:rPr>
                <w:b/>
                <w:bCs/>
                <w:sz w:val="22"/>
                <w:szCs w:val="22"/>
                <w:lang w:val="ru-RU"/>
              </w:rPr>
              <w:t>6.1.   Листа помоћних супстанци</w:t>
            </w:r>
          </w:p>
        </w:tc>
      </w:tr>
      <w:tr w:rsidR="002F268E" w:rsidRPr="00E82AA9" w:rsidTr="002F268E">
        <w:trPr>
          <w:trHeight w:val="779"/>
        </w:trPr>
        <w:tc>
          <w:tcPr>
            <w:tcW w:w="9747" w:type="dxa"/>
            <w:gridSpan w:val="4"/>
            <w:vAlign w:val="center"/>
          </w:tcPr>
          <w:p w:rsidR="002F268E" w:rsidRPr="00E82AA9" w:rsidRDefault="002F268E" w:rsidP="002F268E">
            <w:pPr>
              <w:tabs>
                <w:tab w:val="left" w:pos="8222"/>
              </w:tabs>
              <w:ind w:right="-8"/>
              <w:rPr>
                <w:color w:val="FF0000"/>
                <w:sz w:val="22"/>
                <w:szCs w:val="22"/>
                <w:lang w:val="sr-Cyrl-CS"/>
              </w:rPr>
            </w:pPr>
          </w:p>
          <w:p w:rsidR="002F268E" w:rsidRPr="00E82AA9" w:rsidRDefault="002F268E" w:rsidP="002F268E">
            <w:pPr>
              <w:pStyle w:val="NoSpacing"/>
              <w:tabs>
                <w:tab w:val="left" w:pos="8222"/>
              </w:tabs>
              <w:ind w:right="-8"/>
              <w:jc w:val="both"/>
              <w:rPr>
                <w:rFonts w:ascii="Times New Roman" w:hAnsi="Times New Roman"/>
                <w:i/>
              </w:rPr>
            </w:pPr>
            <w:r w:rsidRPr="00E82AA9">
              <w:rPr>
                <w:rFonts w:ascii="Times New Roman" w:hAnsi="Times New Roman"/>
                <w:i/>
              </w:rPr>
              <w:t>Таблетно језгро:</w:t>
            </w:r>
          </w:p>
          <w:p w:rsidR="002F268E" w:rsidRPr="00E82AA9" w:rsidRDefault="002F268E" w:rsidP="002F268E">
            <w:pPr>
              <w:pStyle w:val="NoSpacing"/>
              <w:tabs>
                <w:tab w:val="left" w:pos="8222"/>
              </w:tabs>
              <w:ind w:right="-8"/>
              <w:jc w:val="both"/>
              <w:rPr>
                <w:rFonts w:ascii="Times New Roman" w:hAnsi="Times New Roman"/>
                <w:lang w:val="sr-Cyrl-RS"/>
              </w:rPr>
            </w:pPr>
            <w:r w:rsidRPr="00E82AA9">
              <w:rPr>
                <w:rFonts w:ascii="Times New Roman" w:hAnsi="Times New Roman"/>
                <w:lang w:val="mk-MK"/>
              </w:rPr>
              <w:t>Целулоза, м</w:t>
            </w:r>
            <w:r w:rsidRPr="00E82AA9">
              <w:rPr>
                <w:rFonts w:ascii="Times New Roman" w:hAnsi="Times New Roman"/>
              </w:rPr>
              <w:t>икрокристална, сили</w:t>
            </w:r>
            <w:r w:rsidRPr="00E82AA9">
              <w:rPr>
                <w:rFonts w:ascii="Times New Roman" w:hAnsi="Times New Roman"/>
                <w:lang w:val="sr-Cyrl-RS"/>
              </w:rPr>
              <w:t>конизована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rPr>
              <w:t>Кроскармелоза натријум</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Талк</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Магнезијум стеарат</w:t>
            </w:r>
          </w:p>
          <w:p w:rsidR="002F268E" w:rsidRPr="00E82AA9" w:rsidRDefault="002F268E" w:rsidP="002F268E">
            <w:pPr>
              <w:pStyle w:val="NoSpacing"/>
              <w:tabs>
                <w:tab w:val="left" w:pos="8222"/>
              </w:tabs>
              <w:ind w:right="-8"/>
              <w:jc w:val="both"/>
              <w:rPr>
                <w:rFonts w:ascii="Times New Roman" w:hAnsi="Times New Roman"/>
                <w:i/>
                <w:lang w:val="mk-MK"/>
              </w:rPr>
            </w:pPr>
            <w:r w:rsidRPr="00E82AA9">
              <w:rPr>
                <w:rFonts w:ascii="Times New Roman" w:hAnsi="Times New Roman"/>
                <w:i/>
                <w:lang w:val="mk-MK"/>
              </w:rPr>
              <w:lastRenderedPageBreak/>
              <w:t>Филм облога:</w:t>
            </w:r>
          </w:p>
          <w:p w:rsidR="002F268E" w:rsidRPr="00E82AA9" w:rsidRDefault="002F268E" w:rsidP="002F268E">
            <w:pPr>
              <w:pStyle w:val="NoSpacing"/>
              <w:tabs>
                <w:tab w:val="left" w:pos="8222"/>
              </w:tabs>
              <w:ind w:right="-8"/>
              <w:jc w:val="both"/>
              <w:rPr>
                <w:rFonts w:ascii="Times New Roman" w:hAnsi="Times New Roman"/>
                <w:u w:val="single"/>
                <w:lang w:val="mk-MK"/>
              </w:rPr>
            </w:pPr>
            <w:r w:rsidRPr="00E82AA9">
              <w:rPr>
                <w:rFonts w:ascii="Times New Roman" w:hAnsi="Times New Roman"/>
                <w:u w:val="single"/>
                <w:lang w:val="mk-MK"/>
              </w:rPr>
              <w:t>YMANA</w:t>
            </w:r>
            <w:r w:rsidRPr="00E82AA9">
              <w:rPr>
                <w:rFonts w:ascii="Times New Roman" w:hAnsi="Times New Roman"/>
                <w:b/>
                <w:bCs/>
                <w:u w:val="single"/>
                <w:vertAlign w:val="superscript"/>
                <w:lang w:val="mk-MK"/>
              </w:rPr>
              <w:t xml:space="preserve">® </w:t>
            </w:r>
            <w:r w:rsidRPr="00E82AA9">
              <w:rPr>
                <w:rFonts w:ascii="Times New Roman" w:hAnsi="Times New Roman"/>
                <w:u w:val="single"/>
                <w:lang w:val="mk-MK"/>
              </w:rPr>
              <w:t>5 mg филм таблете</w:t>
            </w:r>
          </w:p>
          <w:p w:rsidR="002F268E" w:rsidRPr="00E82AA9" w:rsidRDefault="002F268E" w:rsidP="002F268E">
            <w:pPr>
              <w:pStyle w:val="NoSpacing"/>
              <w:tabs>
                <w:tab w:val="left" w:pos="284"/>
                <w:tab w:val="left" w:pos="8222"/>
              </w:tabs>
              <w:ind w:right="-8"/>
              <w:jc w:val="both"/>
              <w:rPr>
                <w:rFonts w:ascii="Times New Roman" w:hAnsi="Times New Roman"/>
                <w:lang w:val="mk-MK"/>
              </w:rPr>
            </w:pPr>
            <w:r w:rsidRPr="00E82AA9">
              <w:rPr>
                <w:rFonts w:ascii="Times New Roman" w:hAnsi="Times New Roman"/>
                <w:lang w:val="mk-MK"/>
              </w:rPr>
              <w:t>Opadry 03B28796 White садржи:</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Хипромелоза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Макрогол 400</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Титан диоксид (E171)</w:t>
            </w:r>
          </w:p>
          <w:p w:rsidR="002F268E" w:rsidRPr="00E82AA9" w:rsidRDefault="002F268E" w:rsidP="002F268E">
            <w:pPr>
              <w:pStyle w:val="NoSpacing"/>
              <w:tabs>
                <w:tab w:val="left" w:pos="8222"/>
              </w:tabs>
              <w:ind w:right="-8"/>
              <w:jc w:val="both"/>
              <w:rPr>
                <w:rFonts w:ascii="Times New Roman" w:hAnsi="Times New Roman"/>
                <w:lang w:val="mk-MK"/>
              </w:rPr>
            </w:pPr>
          </w:p>
          <w:p w:rsidR="002F268E" w:rsidRPr="00E82AA9" w:rsidRDefault="002F268E" w:rsidP="002F268E">
            <w:pPr>
              <w:pStyle w:val="NoSpacing"/>
              <w:tabs>
                <w:tab w:val="left" w:pos="8222"/>
              </w:tabs>
              <w:ind w:right="-8"/>
              <w:jc w:val="both"/>
              <w:rPr>
                <w:rFonts w:ascii="Times New Roman" w:hAnsi="Times New Roman"/>
                <w:u w:val="single"/>
                <w:lang w:val="mk-MK"/>
              </w:rPr>
            </w:pPr>
            <w:r w:rsidRPr="00E82AA9">
              <w:rPr>
                <w:rFonts w:ascii="Times New Roman" w:hAnsi="Times New Roman"/>
                <w:u w:val="single"/>
                <w:lang w:val="mk-MK"/>
              </w:rPr>
              <w:t>YMANA</w:t>
            </w:r>
            <w:r w:rsidRPr="00E82AA9">
              <w:rPr>
                <w:rFonts w:ascii="Times New Roman" w:hAnsi="Times New Roman"/>
                <w:b/>
                <w:bCs/>
                <w:u w:val="single"/>
                <w:vertAlign w:val="superscript"/>
                <w:lang w:val="mk-MK"/>
              </w:rPr>
              <w:t xml:space="preserve">® </w:t>
            </w:r>
            <w:r w:rsidRPr="00E82AA9">
              <w:rPr>
                <w:rFonts w:ascii="Times New Roman" w:hAnsi="Times New Roman"/>
                <w:u w:val="single"/>
                <w:lang w:val="mk-MK"/>
              </w:rPr>
              <w:t>10 mg филм таблете</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Opadry 03B28796 White садржи:</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Хипромелоза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Макрогол 400</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Титан диоксид (E171)</w:t>
            </w:r>
          </w:p>
          <w:p w:rsidR="002F268E" w:rsidRPr="00E82AA9" w:rsidRDefault="002F268E" w:rsidP="002F268E">
            <w:pPr>
              <w:pStyle w:val="NoSpacing"/>
              <w:tabs>
                <w:tab w:val="left" w:pos="8222"/>
              </w:tabs>
              <w:ind w:right="-8"/>
              <w:jc w:val="both"/>
              <w:rPr>
                <w:rFonts w:ascii="Times New Roman" w:hAnsi="Times New Roman"/>
                <w:u w:val="single"/>
                <w:lang w:val="mk-MK"/>
              </w:rPr>
            </w:pPr>
          </w:p>
          <w:p w:rsidR="002F268E" w:rsidRPr="00E82AA9" w:rsidRDefault="002F268E" w:rsidP="002F268E">
            <w:pPr>
              <w:pStyle w:val="NoSpacing"/>
              <w:tabs>
                <w:tab w:val="left" w:pos="8222"/>
              </w:tabs>
              <w:ind w:right="-8"/>
              <w:jc w:val="both"/>
              <w:rPr>
                <w:rFonts w:ascii="Times New Roman" w:hAnsi="Times New Roman"/>
                <w:u w:val="single"/>
                <w:lang w:val="mk-MK"/>
              </w:rPr>
            </w:pPr>
            <w:r w:rsidRPr="00E82AA9">
              <w:rPr>
                <w:rFonts w:ascii="Times New Roman" w:hAnsi="Times New Roman"/>
                <w:u w:val="single"/>
                <w:lang w:val="mk-MK"/>
              </w:rPr>
              <w:t>YMANA</w:t>
            </w:r>
            <w:r w:rsidRPr="00E82AA9">
              <w:rPr>
                <w:rFonts w:ascii="Times New Roman" w:hAnsi="Times New Roman"/>
                <w:b/>
                <w:bCs/>
                <w:u w:val="single"/>
                <w:vertAlign w:val="superscript"/>
                <w:lang w:val="mk-MK"/>
              </w:rPr>
              <w:t xml:space="preserve">® </w:t>
            </w:r>
            <w:r w:rsidRPr="00E82AA9">
              <w:rPr>
                <w:rFonts w:ascii="Times New Roman" w:hAnsi="Times New Roman"/>
                <w:u w:val="single"/>
                <w:lang w:val="mk-MK"/>
              </w:rPr>
              <w:t>15 mg филм таблете</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Opadry 03B82943 Yellow садржи:</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Хипромелоза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Макрогол 400</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Титан диоксид (E171)</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Гвожђе оксид, жути (E172)</w:t>
            </w:r>
          </w:p>
          <w:p w:rsidR="002F268E" w:rsidRPr="00E82AA9" w:rsidRDefault="002F268E" w:rsidP="002F268E">
            <w:pPr>
              <w:pStyle w:val="NoSpacing"/>
              <w:tabs>
                <w:tab w:val="left" w:pos="8222"/>
              </w:tabs>
              <w:ind w:right="-8"/>
              <w:jc w:val="both"/>
              <w:rPr>
                <w:rFonts w:ascii="Times New Roman" w:hAnsi="Times New Roman"/>
                <w:lang w:val="mk-MK"/>
              </w:rPr>
            </w:pPr>
          </w:p>
          <w:p w:rsidR="002F268E" w:rsidRPr="00E82AA9" w:rsidRDefault="002F268E" w:rsidP="002F268E">
            <w:pPr>
              <w:pStyle w:val="NoSpacing"/>
              <w:tabs>
                <w:tab w:val="left" w:pos="8222"/>
              </w:tabs>
              <w:ind w:right="-8"/>
              <w:jc w:val="both"/>
              <w:rPr>
                <w:rFonts w:ascii="Times New Roman" w:hAnsi="Times New Roman"/>
                <w:u w:val="single"/>
                <w:lang w:val="mk-MK"/>
              </w:rPr>
            </w:pPr>
            <w:r w:rsidRPr="00E82AA9">
              <w:rPr>
                <w:rFonts w:ascii="Times New Roman" w:hAnsi="Times New Roman"/>
                <w:u w:val="single"/>
                <w:lang w:val="mk-MK"/>
              </w:rPr>
              <w:t>YMANA</w:t>
            </w:r>
            <w:r w:rsidRPr="00E82AA9">
              <w:rPr>
                <w:rFonts w:ascii="Times New Roman" w:hAnsi="Times New Roman"/>
                <w:b/>
                <w:bCs/>
                <w:u w:val="single"/>
                <w:vertAlign w:val="superscript"/>
                <w:lang w:val="mk-MK"/>
              </w:rPr>
              <w:t xml:space="preserve">® </w:t>
            </w:r>
            <w:r w:rsidRPr="00E82AA9">
              <w:rPr>
                <w:rFonts w:ascii="Times New Roman" w:hAnsi="Times New Roman"/>
                <w:u w:val="single"/>
                <w:lang w:val="mk-MK"/>
              </w:rPr>
              <w:t>20 mg филм таблете</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Opadry 03B84713 Pink садржи:</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Хипромелоза</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Макрогол 400</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Титан диоксид (E171)</w:t>
            </w:r>
          </w:p>
          <w:p w:rsidR="002F268E" w:rsidRPr="00E82AA9" w:rsidRDefault="002F268E" w:rsidP="002F268E">
            <w:pPr>
              <w:pStyle w:val="NoSpacing"/>
              <w:tabs>
                <w:tab w:val="left" w:pos="8222"/>
              </w:tabs>
              <w:ind w:right="-8"/>
              <w:jc w:val="both"/>
              <w:rPr>
                <w:rFonts w:ascii="Times New Roman" w:hAnsi="Times New Roman"/>
                <w:lang w:val="mk-MK"/>
              </w:rPr>
            </w:pPr>
            <w:r w:rsidRPr="00E82AA9">
              <w:rPr>
                <w:rFonts w:ascii="Times New Roman" w:hAnsi="Times New Roman"/>
                <w:lang w:val="mk-MK"/>
              </w:rPr>
              <w:t>Гвожђе оксид, црвени (E172)</w:t>
            </w:r>
          </w:p>
          <w:p w:rsidR="002F268E" w:rsidRPr="00E82AA9" w:rsidRDefault="002F268E" w:rsidP="002F268E">
            <w:pPr>
              <w:tabs>
                <w:tab w:val="left" w:pos="8222"/>
              </w:tabs>
              <w:ind w:right="-8"/>
              <w:rPr>
                <w:color w:val="FF0000"/>
                <w:sz w:val="22"/>
                <w:szCs w:val="22"/>
                <w:lang w:val="sr-Cyrl-CS"/>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lang w:val="mk-MK"/>
              </w:rPr>
            </w:pPr>
            <w:r w:rsidRPr="00E82AA9">
              <w:rPr>
                <w:b/>
                <w:bCs/>
                <w:sz w:val="22"/>
                <w:szCs w:val="22"/>
                <w:lang w:val="ru-RU"/>
              </w:rPr>
              <w:lastRenderedPageBreak/>
              <w:t>6.2.   Инкомпатибилности</w:t>
            </w:r>
          </w:p>
        </w:tc>
      </w:tr>
      <w:tr w:rsidR="002F268E" w:rsidRPr="00E82AA9" w:rsidTr="002F268E">
        <w:trPr>
          <w:trHeight w:val="833"/>
        </w:trPr>
        <w:tc>
          <w:tcPr>
            <w:tcW w:w="9747" w:type="dxa"/>
            <w:gridSpan w:val="4"/>
            <w:vAlign w:val="center"/>
          </w:tcPr>
          <w:p w:rsidR="002F268E" w:rsidRPr="00E82AA9" w:rsidRDefault="002F268E" w:rsidP="007372A0">
            <w:pPr>
              <w:pStyle w:val="NormalIndent"/>
              <w:tabs>
                <w:tab w:val="left" w:pos="8222"/>
              </w:tabs>
              <w:ind w:right="-6"/>
              <w:jc w:val="both"/>
              <w:rPr>
                <w:sz w:val="22"/>
                <w:szCs w:val="22"/>
                <w:lang w:val="en-US"/>
              </w:rPr>
            </w:pPr>
            <w:r w:rsidRPr="00E82AA9">
              <w:rPr>
                <w:sz w:val="22"/>
                <w:szCs w:val="22"/>
                <w:lang w:val="sr-Cyrl-CS"/>
              </w:rPr>
              <w:t>Није примјењиво</w:t>
            </w:r>
            <w:r w:rsidRPr="00E82AA9">
              <w:rPr>
                <w:sz w:val="22"/>
                <w:szCs w:val="22"/>
                <w:lang w:val="en-US"/>
              </w:rPr>
              <w:t>.</w:t>
            </w: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rPr>
            </w:pPr>
            <w:r w:rsidRPr="00E82AA9">
              <w:rPr>
                <w:b/>
                <w:bCs/>
                <w:sz w:val="22"/>
                <w:szCs w:val="22"/>
                <w:lang w:val="ru-RU"/>
              </w:rPr>
              <w:t>6.3.   Рок употребе</w:t>
            </w:r>
          </w:p>
        </w:tc>
      </w:tr>
      <w:tr w:rsidR="002F268E" w:rsidRPr="00E82AA9" w:rsidTr="002F268E">
        <w:trPr>
          <w:trHeight w:val="851"/>
        </w:trPr>
        <w:tc>
          <w:tcPr>
            <w:tcW w:w="9747" w:type="dxa"/>
            <w:gridSpan w:val="4"/>
            <w:vAlign w:val="center"/>
          </w:tcPr>
          <w:p w:rsidR="002F268E" w:rsidRPr="00E82AA9" w:rsidRDefault="002F268E" w:rsidP="002F268E">
            <w:pPr>
              <w:tabs>
                <w:tab w:val="left" w:pos="945"/>
                <w:tab w:val="left" w:pos="8222"/>
              </w:tabs>
              <w:ind w:right="-8"/>
              <w:rPr>
                <w:color w:val="FF0000"/>
                <w:sz w:val="22"/>
                <w:szCs w:val="22"/>
                <w:lang w:val="sr-Cyrl-CS"/>
              </w:rPr>
            </w:pPr>
          </w:p>
          <w:p w:rsidR="002F268E" w:rsidRPr="00E82AA9" w:rsidRDefault="002F268E" w:rsidP="007372A0">
            <w:pPr>
              <w:pStyle w:val="Header"/>
              <w:tabs>
                <w:tab w:val="left" w:pos="284"/>
                <w:tab w:val="left" w:pos="8222"/>
              </w:tabs>
              <w:spacing w:before="60" w:after="60"/>
              <w:ind w:right="-8"/>
              <w:jc w:val="both"/>
              <w:rPr>
                <w:sz w:val="22"/>
                <w:szCs w:val="22"/>
                <w:lang w:val="sr-Cyrl-CS"/>
              </w:rPr>
            </w:pPr>
            <w:r w:rsidRPr="00E82AA9">
              <w:rPr>
                <w:sz w:val="22"/>
                <w:szCs w:val="22"/>
                <w:lang w:val="mk-MK"/>
              </w:rPr>
              <w:t>Двије</w:t>
            </w:r>
            <w:r w:rsidRPr="00E82AA9">
              <w:rPr>
                <w:sz w:val="22"/>
                <w:szCs w:val="22"/>
                <w:lang w:val="sr-Cyrl-CS"/>
              </w:rPr>
              <w:t xml:space="preserve"> (2) године.</w:t>
            </w:r>
          </w:p>
          <w:p w:rsidR="002F268E" w:rsidRPr="00E82AA9" w:rsidRDefault="002F268E" w:rsidP="002F268E">
            <w:pPr>
              <w:tabs>
                <w:tab w:val="left" w:pos="945"/>
                <w:tab w:val="left" w:pos="8222"/>
              </w:tabs>
              <w:ind w:right="-8"/>
              <w:rPr>
                <w:color w:val="FF0000"/>
                <w:sz w:val="22"/>
                <w:szCs w:val="22"/>
                <w:lang w:val="ru-RU"/>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lang w:val="ru-RU"/>
              </w:rPr>
            </w:pPr>
            <w:r w:rsidRPr="00E82AA9">
              <w:rPr>
                <w:b/>
                <w:bCs/>
                <w:sz w:val="22"/>
                <w:szCs w:val="22"/>
                <w:lang w:val="ru-RU"/>
              </w:rPr>
              <w:t>6.4.   Посебне мјере упозорења при чувању лијека</w:t>
            </w:r>
          </w:p>
        </w:tc>
      </w:tr>
      <w:tr w:rsidR="002F268E" w:rsidRPr="00E82AA9" w:rsidTr="002F268E">
        <w:trPr>
          <w:trHeight w:val="671"/>
        </w:trPr>
        <w:tc>
          <w:tcPr>
            <w:tcW w:w="9747" w:type="dxa"/>
            <w:gridSpan w:val="4"/>
            <w:vAlign w:val="center"/>
          </w:tcPr>
          <w:p w:rsidR="002F268E" w:rsidRPr="00E82AA9" w:rsidRDefault="002F268E" w:rsidP="007372A0">
            <w:pPr>
              <w:tabs>
                <w:tab w:val="left" w:pos="8222"/>
              </w:tabs>
              <w:ind w:right="-8"/>
              <w:jc w:val="both"/>
              <w:rPr>
                <w:color w:val="FF0000"/>
                <w:sz w:val="22"/>
                <w:szCs w:val="22"/>
                <w:lang w:val="sr-Cyrl-CS"/>
              </w:rPr>
            </w:pPr>
          </w:p>
          <w:p w:rsidR="002F268E" w:rsidRPr="00E82AA9" w:rsidRDefault="002F268E" w:rsidP="007372A0">
            <w:pPr>
              <w:tabs>
                <w:tab w:val="left" w:pos="8222"/>
              </w:tabs>
              <w:autoSpaceDE w:val="0"/>
              <w:autoSpaceDN w:val="0"/>
              <w:adjustRightInd w:val="0"/>
              <w:ind w:right="-8"/>
              <w:jc w:val="both"/>
              <w:rPr>
                <w:sz w:val="22"/>
                <w:szCs w:val="22"/>
                <w:lang w:val="mk-MK"/>
              </w:rPr>
            </w:pPr>
            <w:r w:rsidRPr="00E82AA9">
              <w:rPr>
                <w:sz w:val="22"/>
                <w:szCs w:val="22"/>
                <w:lang w:val="mk-MK"/>
              </w:rPr>
              <w:t>Л</w:t>
            </w:r>
            <w:r w:rsidRPr="00E82AA9">
              <w:rPr>
                <w:sz w:val="22"/>
                <w:szCs w:val="22"/>
                <w:lang w:val="sr-Cyrl-CS"/>
              </w:rPr>
              <w:t>иј</w:t>
            </w:r>
            <w:r w:rsidRPr="00E82AA9">
              <w:rPr>
                <w:sz w:val="22"/>
                <w:szCs w:val="22"/>
                <w:lang w:val="mk-MK"/>
              </w:rPr>
              <w:t>ек треба чувати на температури до 25°C. Блистер чувати у кутији ради заштите од свјетлости.</w:t>
            </w:r>
          </w:p>
          <w:p w:rsidR="002F268E" w:rsidRPr="00E82AA9" w:rsidRDefault="002F268E" w:rsidP="007372A0">
            <w:pPr>
              <w:tabs>
                <w:tab w:val="left" w:pos="945"/>
                <w:tab w:val="left" w:pos="8222"/>
              </w:tabs>
              <w:ind w:right="-8"/>
              <w:jc w:val="both"/>
              <w:rPr>
                <w:color w:val="FF0000"/>
                <w:sz w:val="22"/>
                <w:szCs w:val="22"/>
                <w:lang w:val="ru-RU"/>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color w:val="FF0000"/>
                <w:sz w:val="22"/>
                <w:szCs w:val="22"/>
                <w:lang w:val="ru-RU"/>
              </w:rPr>
            </w:pPr>
            <w:r w:rsidRPr="00E82AA9">
              <w:rPr>
                <w:b/>
                <w:bCs/>
                <w:sz w:val="22"/>
                <w:szCs w:val="22"/>
                <w:lang w:val="ru-RU"/>
              </w:rPr>
              <w:t>6.5.   Врста и садржај паковања</w:t>
            </w:r>
          </w:p>
        </w:tc>
      </w:tr>
      <w:tr w:rsidR="002F268E" w:rsidRPr="00E82AA9" w:rsidTr="002F268E">
        <w:trPr>
          <w:trHeight w:val="671"/>
        </w:trPr>
        <w:tc>
          <w:tcPr>
            <w:tcW w:w="9747" w:type="dxa"/>
            <w:gridSpan w:val="4"/>
            <w:vAlign w:val="center"/>
          </w:tcPr>
          <w:p w:rsidR="002F268E" w:rsidRPr="00E82AA9" w:rsidRDefault="002F268E" w:rsidP="002F268E">
            <w:pPr>
              <w:tabs>
                <w:tab w:val="left" w:pos="945"/>
                <w:tab w:val="left" w:pos="8222"/>
              </w:tabs>
              <w:ind w:right="-8"/>
              <w:rPr>
                <w:color w:val="FF0000"/>
                <w:sz w:val="22"/>
                <w:szCs w:val="22"/>
                <w:lang w:val="sr-Cyrl-CS"/>
              </w:rPr>
            </w:pPr>
          </w:p>
          <w:p w:rsidR="002F268E" w:rsidRPr="00E82AA9" w:rsidRDefault="002F268E" w:rsidP="007372A0">
            <w:pPr>
              <w:tabs>
                <w:tab w:val="left" w:pos="8222"/>
              </w:tabs>
              <w:autoSpaceDE w:val="0"/>
              <w:autoSpaceDN w:val="0"/>
              <w:adjustRightInd w:val="0"/>
              <w:ind w:right="-8"/>
              <w:jc w:val="both"/>
              <w:rPr>
                <w:sz w:val="22"/>
                <w:szCs w:val="22"/>
              </w:rPr>
            </w:pPr>
            <w:r w:rsidRPr="00E82AA9">
              <w:rPr>
                <w:sz w:val="22"/>
                <w:szCs w:val="22"/>
                <w:lang w:val="sr-Cyrl-CS"/>
              </w:rPr>
              <w:t xml:space="preserve">Филм таблете су паковане у </w:t>
            </w:r>
            <w:r w:rsidRPr="00E82AA9">
              <w:rPr>
                <w:sz w:val="22"/>
                <w:szCs w:val="22"/>
              </w:rPr>
              <w:t>Al/PVC блистер, сваки садржи 7 таблета.</w:t>
            </w:r>
          </w:p>
          <w:p w:rsidR="002F268E" w:rsidRPr="00E82AA9" w:rsidRDefault="002F268E" w:rsidP="007372A0">
            <w:pPr>
              <w:tabs>
                <w:tab w:val="left" w:pos="8222"/>
              </w:tabs>
              <w:ind w:right="-8"/>
              <w:jc w:val="both"/>
              <w:rPr>
                <w:sz w:val="22"/>
                <w:szCs w:val="22"/>
              </w:rPr>
            </w:pPr>
            <w:r w:rsidRPr="00E82AA9">
              <w:rPr>
                <w:sz w:val="22"/>
                <w:szCs w:val="22"/>
              </w:rPr>
              <w:t xml:space="preserve">Картонска кутија садржи </w:t>
            </w:r>
            <w:r w:rsidRPr="00E82AA9">
              <w:rPr>
                <w:sz w:val="22"/>
                <w:szCs w:val="22"/>
                <w:lang w:val="mk-MK"/>
              </w:rPr>
              <w:t>7</w:t>
            </w:r>
            <w:r w:rsidRPr="00E82AA9">
              <w:rPr>
                <w:sz w:val="22"/>
                <w:szCs w:val="22"/>
              </w:rPr>
              <w:t xml:space="preserve"> таблета (</w:t>
            </w:r>
            <w:r w:rsidRPr="00E82AA9">
              <w:rPr>
                <w:sz w:val="22"/>
                <w:szCs w:val="22"/>
                <w:lang w:val="mk-MK"/>
              </w:rPr>
              <w:t>1</w:t>
            </w:r>
            <w:r w:rsidRPr="00E82AA9">
              <w:rPr>
                <w:sz w:val="22"/>
                <w:szCs w:val="22"/>
              </w:rPr>
              <w:t xml:space="preserve"> блистер по 7 таблета) </w:t>
            </w:r>
            <w:r w:rsidRPr="00E82AA9">
              <w:rPr>
                <w:sz w:val="22"/>
                <w:szCs w:val="22"/>
                <w:lang w:val="mk-MK"/>
              </w:rPr>
              <w:t>или 28</w:t>
            </w:r>
            <w:r w:rsidRPr="00E82AA9">
              <w:rPr>
                <w:sz w:val="22"/>
                <w:szCs w:val="22"/>
              </w:rPr>
              <w:t xml:space="preserve"> таблета (</w:t>
            </w:r>
            <w:r w:rsidRPr="00E82AA9">
              <w:rPr>
                <w:sz w:val="22"/>
                <w:szCs w:val="22"/>
                <w:lang w:val="mk-MK"/>
              </w:rPr>
              <w:t>4</w:t>
            </w:r>
            <w:r w:rsidRPr="00E82AA9">
              <w:rPr>
                <w:sz w:val="22"/>
                <w:szCs w:val="22"/>
              </w:rPr>
              <w:t xml:space="preserve"> блистера по </w:t>
            </w:r>
            <w:r w:rsidRPr="00E82AA9">
              <w:rPr>
                <w:sz w:val="22"/>
                <w:szCs w:val="22"/>
                <w:lang w:val="mk-MK"/>
              </w:rPr>
              <w:t>7</w:t>
            </w:r>
            <w:r w:rsidRPr="00E82AA9">
              <w:rPr>
                <w:sz w:val="22"/>
                <w:szCs w:val="22"/>
              </w:rPr>
              <w:t xml:space="preserve"> таблета) и упутство за л</w:t>
            </w:r>
            <w:r w:rsidRPr="00E82AA9">
              <w:rPr>
                <w:sz w:val="22"/>
                <w:szCs w:val="22"/>
                <w:lang w:val="sr-Cyrl-CS"/>
              </w:rPr>
              <w:t>иј</w:t>
            </w:r>
            <w:r w:rsidRPr="00E82AA9">
              <w:rPr>
                <w:sz w:val="22"/>
                <w:szCs w:val="22"/>
              </w:rPr>
              <w:t>ек.</w:t>
            </w:r>
          </w:p>
          <w:p w:rsidR="00FA5CC0" w:rsidRPr="00E82AA9" w:rsidRDefault="00FA5CC0" w:rsidP="007372A0">
            <w:pPr>
              <w:tabs>
                <w:tab w:val="left" w:pos="8222"/>
              </w:tabs>
              <w:ind w:right="-8"/>
              <w:jc w:val="both"/>
              <w:rPr>
                <w:sz w:val="22"/>
                <w:szCs w:val="22"/>
                <w:lang w:val="mk-MK"/>
              </w:rPr>
            </w:pPr>
          </w:p>
          <w:p w:rsidR="002F268E" w:rsidRPr="00E82AA9" w:rsidRDefault="002F268E" w:rsidP="002F268E">
            <w:pPr>
              <w:pStyle w:val="Header"/>
              <w:tabs>
                <w:tab w:val="left" w:pos="284"/>
                <w:tab w:val="left" w:pos="8222"/>
              </w:tabs>
              <w:ind w:right="-8"/>
              <w:rPr>
                <w:color w:val="FF0000"/>
                <w:sz w:val="22"/>
                <w:szCs w:val="22"/>
                <w:lang w:val="sr-Cyrl-CS"/>
              </w:rPr>
            </w:pPr>
          </w:p>
        </w:tc>
      </w:tr>
      <w:tr w:rsidR="002F268E" w:rsidRPr="00E82AA9" w:rsidTr="002F268E">
        <w:tc>
          <w:tcPr>
            <w:tcW w:w="9747" w:type="dxa"/>
            <w:gridSpan w:val="4"/>
            <w:vAlign w:val="center"/>
          </w:tcPr>
          <w:p w:rsidR="002F268E" w:rsidRPr="00E82AA9" w:rsidRDefault="002F268E" w:rsidP="00D44513">
            <w:pPr>
              <w:pStyle w:val="Header"/>
              <w:tabs>
                <w:tab w:val="left" w:pos="284"/>
                <w:tab w:val="left" w:pos="8222"/>
              </w:tabs>
              <w:ind w:right="-6"/>
              <w:rPr>
                <w:b/>
                <w:bCs/>
                <w:sz w:val="22"/>
                <w:szCs w:val="22"/>
                <w:lang w:val="ru-RU"/>
              </w:rPr>
            </w:pPr>
            <w:r w:rsidRPr="00E82AA9">
              <w:rPr>
                <w:b/>
                <w:bCs/>
                <w:sz w:val="22"/>
                <w:szCs w:val="22"/>
                <w:lang w:val="ru-RU"/>
              </w:rPr>
              <w:lastRenderedPageBreak/>
              <w:t>6.6.   Посебне мјере опреза при одлагању материјала који треба одбацити након примјене лијека</w:t>
            </w:r>
          </w:p>
        </w:tc>
      </w:tr>
      <w:tr w:rsidR="002F268E" w:rsidRPr="00E82AA9" w:rsidTr="002F268E">
        <w:trPr>
          <w:trHeight w:val="1031"/>
        </w:trPr>
        <w:tc>
          <w:tcPr>
            <w:tcW w:w="9747" w:type="dxa"/>
            <w:gridSpan w:val="4"/>
            <w:vAlign w:val="center"/>
          </w:tcPr>
          <w:p w:rsidR="002F268E" w:rsidRPr="00E82AA9" w:rsidRDefault="002F268E" w:rsidP="002F268E">
            <w:pPr>
              <w:tabs>
                <w:tab w:val="left" w:pos="8222"/>
              </w:tabs>
              <w:ind w:right="-8"/>
              <w:rPr>
                <w:color w:val="FF0000"/>
                <w:sz w:val="22"/>
                <w:szCs w:val="22"/>
                <w:lang w:val="ru-RU"/>
              </w:rPr>
            </w:pPr>
          </w:p>
          <w:p w:rsidR="002F268E" w:rsidRPr="00E82AA9" w:rsidRDefault="002F268E" w:rsidP="007372A0">
            <w:pPr>
              <w:tabs>
                <w:tab w:val="left" w:pos="8222"/>
              </w:tabs>
              <w:ind w:right="-8"/>
              <w:jc w:val="both"/>
              <w:rPr>
                <w:sz w:val="22"/>
                <w:szCs w:val="22"/>
                <w:lang w:val="ru-RU"/>
              </w:rPr>
            </w:pPr>
            <w:r w:rsidRPr="00E82AA9">
              <w:rPr>
                <w:sz w:val="22"/>
                <w:szCs w:val="22"/>
                <w:lang w:val="ru-RU"/>
              </w:rPr>
              <w:t>Нема посебних захтјева.</w:t>
            </w:r>
          </w:p>
          <w:p w:rsidR="002F268E" w:rsidRPr="00E82AA9" w:rsidRDefault="002F268E" w:rsidP="007372A0">
            <w:pPr>
              <w:tabs>
                <w:tab w:val="left" w:pos="8222"/>
              </w:tabs>
              <w:ind w:right="-8"/>
              <w:jc w:val="both"/>
              <w:rPr>
                <w:sz w:val="22"/>
                <w:szCs w:val="22"/>
                <w:lang w:val="sr-Cyrl-CS"/>
              </w:rPr>
            </w:pPr>
            <w:r w:rsidRPr="00E82AA9">
              <w:rPr>
                <w:sz w:val="22"/>
                <w:szCs w:val="22"/>
                <w:lang w:val="sr-Cyrl-CS"/>
              </w:rPr>
              <w:t>Сву неискоришћену кол</w:t>
            </w:r>
            <w:bookmarkStart w:id="0" w:name="_GoBack"/>
            <w:bookmarkEnd w:id="0"/>
            <w:r w:rsidRPr="00E82AA9">
              <w:rPr>
                <w:sz w:val="22"/>
                <w:szCs w:val="22"/>
                <w:lang w:val="sr-Cyrl-CS"/>
              </w:rPr>
              <w:t>ичину лијека или отпадног материјала након његове употребе треба уклонити у складу са важећим прописима.</w:t>
            </w:r>
          </w:p>
          <w:p w:rsidR="002F268E" w:rsidRPr="00E82AA9" w:rsidRDefault="002F268E" w:rsidP="002F268E">
            <w:pPr>
              <w:tabs>
                <w:tab w:val="left" w:pos="945"/>
                <w:tab w:val="left" w:pos="8222"/>
              </w:tabs>
              <w:ind w:right="-8"/>
              <w:rPr>
                <w:color w:val="FF0000"/>
                <w:sz w:val="22"/>
                <w:szCs w:val="22"/>
                <w:lang w:val="sr-Cyrl-CS"/>
              </w:rPr>
            </w:pPr>
          </w:p>
        </w:tc>
      </w:tr>
      <w:tr w:rsidR="002F268E" w:rsidRPr="00E82AA9" w:rsidTr="002F268E">
        <w:trPr>
          <w:trHeight w:val="356"/>
        </w:trPr>
        <w:tc>
          <w:tcPr>
            <w:tcW w:w="9747" w:type="dxa"/>
            <w:gridSpan w:val="4"/>
            <w:shd w:val="clear" w:color="auto" w:fill="auto"/>
            <w:vAlign w:val="center"/>
          </w:tcPr>
          <w:p w:rsidR="002F268E" w:rsidRPr="00E82AA9" w:rsidRDefault="002F268E" w:rsidP="002F268E">
            <w:pPr>
              <w:pStyle w:val="Header"/>
              <w:tabs>
                <w:tab w:val="left" w:pos="284"/>
                <w:tab w:val="left" w:pos="8222"/>
              </w:tabs>
              <w:ind w:right="-8"/>
              <w:rPr>
                <w:b/>
                <w:bCs/>
                <w:color w:val="FF0000"/>
                <w:sz w:val="22"/>
                <w:szCs w:val="22"/>
                <w:lang w:val="mk-MK"/>
              </w:rPr>
            </w:pPr>
            <w:r w:rsidRPr="00E82AA9">
              <w:rPr>
                <w:b/>
                <w:bCs/>
                <w:sz w:val="22"/>
                <w:szCs w:val="22"/>
                <w:lang w:val="ru-RU"/>
              </w:rPr>
              <w:t>6.7.   Режим издавања лијека</w:t>
            </w:r>
          </w:p>
        </w:tc>
      </w:tr>
      <w:tr w:rsidR="002F268E" w:rsidRPr="00E82AA9" w:rsidTr="002F268E">
        <w:trPr>
          <w:trHeight w:val="356"/>
        </w:trPr>
        <w:tc>
          <w:tcPr>
            <w:tcW w:w="9747" w:type="dxa"/>
            <w:gridSpan w:val="4"/>
            <w:shd w:val="clear" w:color="auto" w:fill="auto"/>
            <w:vAlign w:val="center"/>
          </w:tcPr>
          <w:p w:rsidR="002F268E" w:rsidRPr="00E82AA9" w:rsidRDefault="002F268E" w:rsidP="002F268E">
            <w:pPr>
              <w:pStyle w:val="Header"/>
              <w:tabs>
                <w:tab w:val="left" w:pos="284"/>
                <w:tab w:val="left" w:pos="8222"/>
              </w:tabs>
              <w:ind w:right="-8"/>
              <w:rPr>
                <w:b/>
                <w:bCs/>
                <w:color w:val="FF0000"/>
                <w:sz w:val="22"/>
                <w:szCs w:val="22"/>
                <w:lang w:val="mk-MK"/>
              </w:rPr>
            </w:pPr>
          </w:p>
          <w:p w:rsidR="002F268E" w:rsidRPr="00E82AA9" w:rsidRDefault="000B780D" w:rsidP="007372A0">
            <w:pPr>
              <w:widowControl w:val="0"/>
              <w:tabs>
                <w:tab w:val="left" w:pos="8222"/>
              </w:tabs>
              <w:autoSpaceDE w:val="0"/>
              <w:autoSpaceDN w:val="0"/>
              <w:ind w:right="-8"/>
              <w:jc w:val="both"/>
              <w:rPr>
                <w:sz w:val="22"/>
                <w:szCs w:val="22"/>
                <w:lang w:val="sr-Cyrl-CS"/>
              </w:rPr>
            </w:pPr>
            <w:r>
              <w:rPr>
                <w:sz w:val="22"/>
                <w:szCs w:val="22"/>
                <w:lang w:val="sr-Cyrl-CS"/>
              </w:rPr>
              <w:t>Обновљив (вишекратни) рецепт</w:t>
            </w:r>
          </w:p>
          <w:p w:rsidR="002F268E" w:rsidRPr="00E82AA9" w:rsidRDefault="002F268E" w:rsidP="002F268E">
            <w:pPr>
              <w:pStyle w:val="Header"/>
              <w:tabs>
                <w:tab w:val="left" w:pos="284"/>
                <w:tab w:val="left" w:pos="8222"/>
              </w:tabs>
              <w:ind w:right="-8"/>
              <w:rPr>
                <w:b/>
                <w:bCs/>
                <w:color w:val="FF0000"/>
                <w:sz w:val="22"/>
                <w:szCs w:val="22"/>
              </w:rPr>
            </w:pPr>
          </w:p>
          <w:p w:rsidR="00363398" w:rsidRPr="00E82AA9" w:rsidRDefault="00363398" w:rsidP="002F268E">
            <w:pPr>
              <w:pStyle w:val="Header"/>
              <w:tabs>
                <w:tab w:val="left" w:pos="284"/>
                <w:tab w:val="left" w:pos="8222"/>
              </w:tabs>
              <w:ind w:right="-8"/>
              <w:rPr>
                <w:b/>
                <w:bCs/>
                <w:color w:val="FF0000"/>
                <w:sz w:val="22"/>
                <w:szCs w:val="22"/>
              </w:rPr>
            </w:pPr>
          </w:p>
        </w:tc>
      </w:tr>
      <w:tr w:rsidR="002F268E" w:rsidRPr="00E82AA9" w:rsidTr="002F268E">
        <w:trPr>
          <w:trHeight w:val="356"/>
        </w:trPr>
        <w:tc>
          <w:tcPr>
            <w:tcW w:w="9747" w:type="dxa"/>
            <w:gridSpan w:val="4"/>
            <w:shd w:val="clear" w:color="auto" w:fill="auto"/>
            <w:vAlign w:val="center"/>
          </w:tcPr>
          <w:p w:rsidR="002F268E" w:rsidRPr="00E82AA9" w:rsidRDefault="002F268E" w:rsidP="002F268E">
            <w:pPr>
              <w:pStyle w:val="Header"/>
              <w:tabs>
                <w:tab w:val="left" w:pos="284"/>
                <w:tab w:val="left" w:pos="8222"/>
              </w:tabs>
              <w:ind w:right="-8"/>
              <w:rPr>
                <w:b/>
                <w:bCs/>
                <w:color w:val="FF0000"/>
                <w:sz w:val="22"/>
                <w:szCs w:val="22"/>
              </w:rPr>
            </w:pPr>
            <w:r w:rsidRPr="00E82AA9">
              <w:rPr>
                <w:b/>
                <w:bCs/>
                <w:sz w:val="22"/>
                <w:szCs w:val="22"/>
              </w:rPr>
              <w:t>7.</w:t>
            </w:r>
            <w:r w:rsidRPr="00E82AA9">
              <w:rPr>
                <w:b/>
                <w:bCs/>
                <w:sz w:val="22"/>
                <w:szCs w:val="22"/>
                <w:lang w:val="mk-MK"/>
              </w:rPr>
              <w:t xml:space="preserve"> </w:t>
            </w:r>
            <w:r w:rsidRPr="00E82AA9">
              <w:rPr>
                <w:b/>
                <w:bCs/>
                <w:sz w:val="22"/>
                <w:szCs w:val="22"/>
              </w:rPr>
              <w:t xml:space="preserve">     НОСИЛАЦ ДОЗВОЛЕ</w:t>
            </w:r>
          </w:p>
        </w:tc>
      </w:tr>
      <w:tr w:rsidR="002F268E" w:rsidRPr="00E82AA9" w:rsidTr="002F268E">
        <w:trPr>
          <w:trHeight w:val="896"/>
        </w:trPr>
        <w:tc>
          <w:tcPr>
            <w:tcW w:w="9747" w:type="dxa"/>
            <w:gridSpan w:val="4"/>
            <w:vAlign w:val="center"/>
          </w:tcPr>
          <w:p w:rsidR="002F268E" w:rsidRPr="00E82AA9" w:rsidRDefault="002F268E" w:rsidP="007372A0">
            <w:pPr>
              <w:tabs>
                <w:tab w:val="left" w:pos="8222"/>
              </w:tabs>
              <w:ind w:right="-8"/>
              <w:jc w:val="both"/>
              <w:rPr>
                <w:color w:val="FF0000"/>
                <w:sz w:val="22"/>
                <w:szCs w:val="22"/>
              </w:rPr>
            </w:pPr>
          </w:p>
          <w:p w:rsidR="002F268E" w:rsidRPr="00E82AA9" w:rsidRDefault="002F268E" w:rsidP="007372A0">
            <w:pPr>
              <w:tabs>
                <w:tab w:val="left" w:pos="8222"/>
              </w:tabs>
              <w:ind w:right="-8"/>
              <w:jc w:val="both"/>
              <w:rPr>
                <w:sz w:val="22"/>
                <w:szCs w:val="22"/>
                <w:lang w:val="mk-MK"/>
              </w:rPr>
            </w:pPr>
            <w:r w:rsidRPr="00E82AA9">
              <w:rPr>
                <w:sz w:val="22"/>
                <w:szCs w:val="22"/>
                <w:lang w:val="mk-MK"/>
              </w:rPr>
              <w:t xml:space="preserve">АЛКАЛОИД д.о.о. Подгорица, </w:t>
            </w:r>
            <w:r w:rsidRPr="00E82AA9">
              <w:rPr>
                <w:bCs/>
                <w:sz w:val="22"/>
                <w:szCs w:val="22"/>
                <w:lang w:val="sr-Cyrl-CS"/>
              </w:rPr>
              <w:t>ул. Светлане Кане Радевића бр. 3/</w:t>
            </w:r>
            <w:r w:rsidRPr="00E82AA9">
              <w:rPr>
                <w:bCs/>
                <w:sz w:val="22"/>
                <w:szCs w:val="22"/>
              </w:rPr>
              <w:t>V</w:t>
            </w:r>
            <w:r w:rsidRPr="00E82AA9">
              <w:rPr>
                <w:bCs/>
                <w:sz w:val="22"/>
                <w:szCs w:val="22"/>
                <w:lang w:val="sr-Cyrl-RS"/>
              </w:rPr>
              <w:t xml:space="preserve">, </w:t>
            </w:r>
            <w:r w:rsidRPr="00E82AA9">
              <w:rPr>
                <w:sz w:val="22"/>
                <w:szCs w:val="22"/>
                <w:lang w:val="mk-MK"/>
              </w:rPr>
              <w:t>81000 Подгорица, Црна Гора</w:t>
            </w:r>
          </w:p>
          <w:p w:rsidR="002F268E" w:rsidRPr="00E82AA9" w:rsidRDefault="002F268E" w:rsidP="007372A0">
            <w:pPr>
              <w:tabs>
                <w:tab w:val="left" w:pos="945"/>
                <w:tab w:val="left" w:pos="8222"/>
              </w:tabs>
              <w:ind w:right="-8"/>
              <w:jc w:val="both"/>
              <w:rPr>
                <w:color w:val="FF0000"/>
                <w:sz w:val="22"/>
                <w:szCs w:val="22"/>
                <w:lang w:val="mk-MK"/>
              </w:rPr>
            </w:pPr>
          </w:p>
          <w:p w:rsidR="00363398" w:rsidRPr="00E82AA9" w:rsidRDefault="00363398" w:rsidP="007372A0">
            <w:pPr>
              <w:tabs>
                <w:tab w:val="left" w:pos="945"/>
                <w:tab w:val="left" w:pos="8222"/>
              </w:tabs>
              <w:ind w:right="-8"/>
              <w:jc w:val="both"/>
              <w:rPr>
                <w:color w:val="FF0000"/>
                <w:sz w:val="22"/>
                <w:szCs w:val="22"/>
                <w:lang w:val="mk-MK"/>
              </w:rPr>
            </w:pPr>
          </w:p>
        </w:tc>
      </w:tr>
      <w:tr w:rsidR="002F268E" w:rsidRPr="00E82AA9" w:rsidTr="002F268E">
        <w:tc>
          <w:tcPr>
            <w:tcW w:w="9747" w:type="dxa"/>
            <w:gridSpan w:val="4"/>
            <w:shd w:val="clear" w:color="auto" w:fill="auto"/>
            <w:vAlign w:val="center"/>
          </w:tcPr>
          <w:p w:rsidR="002F268E" w:rsidRPr="00E82AA9" w:rsidRDefault="002F268E" w:rsidP="002F268E">
            <w:pPr>
              <w:pStyle w:val="Header"/>
              <w:tabs>
                <w:tab w:val="left" w:pos="284"/>
                <w:tab w:val="left" w:pos="8222"/>
              </w:tabs>
              <w:ind w:right="-8"/>
              <w:rPr>
                <w:b/>
                <w:bCs/>
                <w:sz w:val="22"/>
                <w:szCs w:val="22"/>
                <w:lang w:val="ru-RU"/>
              </w:rPr>
            </w:pPr>
            <w:r w:rsidRPr="00E82AA9">
              <w:rPr>
                <w:b/>
                <w:bCs/>
                <w:sz w:val="22"/>
                <w:szCs w:val="22"/>
                <w:lang w:val="ru-RU"/>
              </w:rPr>
              <w:t>8.</w:t>
            </w:r>
            <w:r w:rsidRPr="00E82AA9">
              <w:rPr>
                <w:b/>
                <w:bCs/>
                <w:sz w:val="22"/>
                <w:szCs w:val="22"/>
                <w:lang w:val="mk-MK"/>
              </w:rPr>
              <w:t xml:space="preserve"> </w:t>
            </w:r>
            <w:r w:rsidRPr="00E82AA9">
              <w:rPr>
                <w:b/>
                <w:bCs/>
                <w:sz w:val="22"/>
                <w:szCs w:val="22"/>
              </w:rPr>
              <w:t xml:space="preserve">     </w:t>
            </w:r>
            <w:r w:rsidRPr="00E82AA9">
              <w:rPr>
                <w:b/>
                <w:bCs/>
                <w:sz w:val="22"/>
                <w:szCs w:val="22"/>
                <w:lang w:val="ru-RU"/>
              </w:rPr>
              <w:t>БРОЈ ПРВЕ ДОЗВОЛЕ / ОБНОВЕ ДОЗВОЛЕ</w:t>
            </w:r>
          </w:p>
          <w:p w:rsidR="004F2A63" w:rsidRPr="00E82AA9" w:rsidRDefault="004F2A63" w:rsidP="002F268E">
            <w:pPr>
              <w:pStyle w:val="Header"/>
              <w:tabs>
                <w:tab w:val="left" w:pos="284"/>
                <w:tab w:val="left" w:pos="8222"/>
              </w:tabs>
              <w:ind w:right="-8"/>
              <w:rPr>
                <w:b/>
                <w:bCs/>
                <w:color w:val="FF0000"/>
                <w:sz w:val="22"/>
                <w:szCs w:val="22"/>
                <w:lang w:val="ru-RU"/>
              </w:rPr>
            </w:pPr>
          </w:p>
        </w:tc>
      </w:tr>
      <w:tr w:rsidR="002F268E" w:rsidRPr="00E82AA9" w:rsidTr="002F268E">
        <w:trPr>
          <w:trHeight w:val="674"/>
        </w:trPr>
        <w:tc>
          <w:tcPr>
            <w:tcW w:w="9747" w:type="dxa"/>
            <w:gridSpan w:val="4"/>
            <w:vAlign w:val="center"/>
          </w:tcPr>
          <w:p w:rsidR="004F2A63" w:rsidRPr="00E82AA9" w:rsidRDefault="00117D40" w:rsidP="004F2A63">
            <w:pPr>
              <w:pStyle w:val="Header"/>
              <w:tabs>
                <w:tab w:val="left" w:pos="284"/>
                <w:tab w:val="left" w:pos="8222"/>
              </w:tabs>
              <w:ind w:right="-8"/>
              <w:rPr>
                <w:sz w:val="22"/>
                <w:szCs w:val="22"/>
                <w:lang w:val="sr-Cyrl-ME"/>
              </w:rPr>
            </w:pPr>
            <w:r w:rsidRPr="00117D40">
              <w:rPr>
                <w:bCs/>
                <w:sz w:val="22"/>
                <w:szCs w:val="22"/>
                <w:lang w:val="en-GB"/>
              </w:rPr>
              <w:sym w:font="Wingdings 3" w:char="F072"/>
            </w:r>
            <w:r>
              <w:rPr>
                <w:b/>
                <w:bCs/>
                <w:sz w:val="22"/>
                <w:szCs w:val="22"/>
                <w:lang w:val="sr-Cyrl-ME"/>
              </w:rPr>
              <w:t xml:space="preserve"> </w:t>
            </w:r>
            <w:r w:rsidR="004F2A63" w:rsidRPr="00E82AA9">
              <w:rPr>
                <w:sz w:val="22"/>
                <w:szCs w:val="22"/>
                <w:lang w:val="ru-RU"/>
              </w:rPr>
              <w:t>YMANA®, филм таблета, 5 mg, блистер, 1 x 7 филм таблета</w:t>
            </w:r>
            <w:r w:rsidR="004F2A63" w:rsidRPr="00E82AA9">
              <w:rPr>
                <w:sz w:val="22"/>
                <w:szCs w:val="22"/>
              </w:rPr>
              <w:t>:</w:t>
            </w:r>
            <w:r w:rsidR="005811AB" w:rsidRPr="00E82AA9">
              <w:rPr>
                <w:sz w:val="22"/>
                <w:szCs w:val="22"/>
                <w:lang w:val="sr-Cyrl-ME"/>
              </w:rPr>
              <w:t xml:space="preserve"> 2030/16/42 - 6381</w:t>
            </w:r>
          </w:p>
          <w:p w:rsidR="004F2A63" w:rsidRPr="00E82AA9" w:rsidRDefault="00117D40" w:rsidP="004F2A63">
            <w:pPr>
              <w:pStyle w:val="Header"/>
              <w:tabs>
                <w:tab w:val="left" w:pos="284"/>
                <w:tab w:val="left" w:pos="8222"/>
              </w:tabs>
              <w:ind w:right="-8"/>
              <w:rPr>
                <w:sz w:val="22"/>
                <w:szCs w:val="22"/>
                <w:lang w:val="sr-Cyrl-ME"/>
              </w:rPr>
            </w:pPr>
            <w:r w:rsidRPr="00117D40">
              <w:rPr>
                <w:bCs/>
                <w:sz w:val="22"/>
                <w:szCs w:val="22"/>
                <w:lang w:val="en-GB"/>
              </w:rPr>
              <w:sym w:font="Wingdings 3" w:char="F072"/>
            </w:r>
            <w:r>
              <w:rPr>
                <w:b/>
                <w:bCs/>
                <w:sz w:val="22"/>
                <w:szCs w:val="22"/>
                <w:lang w:val="sr-Cyrl-ME"/>
              </w:rPr>
              <w:t xml:space="preserve"> </w:t>
            </w:r>
            <w:r w:rsidR="004F2A63" w:rsidRPr="00E82AA9">
              <w:rPr>
                <w:sz w:val="22"/>
                <w:szCs w:val="22"/>
                <w:lang w:val="ru-RU"/>
              </w:rPr>
              <w:t>YMANA®, филм таблета, 10 mg, блистер, 1 x 7 филм таблета</w:t>
            </w:r>
            <w:r w:rsidR="004F2A63" w:rsidRPr="00E82AA9">
              <w:rPr>
                <w:sz w:val="22"/>
                <w:szCs w:val="22"/>
              </w:rPr>
              <w:t>:</w:t>
            </w:r>
            <w:r w:rsidR="005811AB" w:rsidRPr="00E82AA9">
              <w:rPr>
                <w:sz w:val="22"/>
                <w:szCs w:val="22"/>
                <w:lang w:val="sr-Cyrl-ME"/>
              </w:rPr>
              <w:t xml:space="preserve"> 2030/16/43 - 6382</w:t>
            </w:r>
          </w:p>
          <w:p w:rsidR="004F2A63" w:rsidRPr="00E82AA9" w:rsidRDefault="00117D40" w:rsidP="004F2A63">
            <w:pPr>
              <w:pStyle w:val="Header"/>
              <w:tabs>
                <w:tab w:val="left" w:pos="284"/>
                <w:tab w:val="left" w:pos="8222"/>
              </w:tabs>
              <w:ind w:right="-8"/>
              <w:rPr>
                <w:sz w:val="22"/>
                <w:szCs w:val="22"/>
                <w:lang w:val="sr-Cyrl-ME"/>
              </w:rPr>
            </w:pPr>
            <w:r w:rsidRPr="00117D40">
              <w:rPr>
                <w:bCs/>
                <w:sz w:val="22"/>
                <w:szCs w:val="22"/>
                <w:lang w:val="en-GB"/>
              </w:rPr>
              <w:sym w:font="Wingdings 3" w:char="F072"/>
            </w:r>
            <w:r>
              <w:rPr>
                <w:b/>
                <w:bCs/>
                <w:sz w:val="22"/>
                <w:szCs w:val="22"/>
                <w:lang w:val="sr-Cyrl-ME"/>
              </w:rPr>
              <w:t xml:space="preserve"> </w:t>
            </w:r>
            <w:r w:rsidR="004F2A63" w:rsidRPr="00E82AA9">
              <w:rPr>
                <w:sz w:val="22"/>
                <w:szCs w:val="22"/>
                <w:lang w:val="ru-RU"/>
              </w:rPr>
              <w:t>YMANA®, филм таблета, 10 mg, блистер, 4 x 7 филм таблета</w:t>
            </w:r>
            <w:r w:rsidR="004F2A63" w:rsidRPr="00E82AA9">
              <w:rPr>
                <w:sz w:val="22"/>
                <w:szCs w:val="22"/>
              </w:rPr>
              <w:t>:</w:t>
            </w:r>
            <w:r w:rsidR="005811AB" w:rsidRPr="00E82AA9">
              <w:rPr>
                <w:sz w:val="22"/>
                <w:szCs w:val="22"/>
                <w:lang w:val="sr-Cyrl-ME"/>
              </w:rPr>
              <w:t xml:space="preserve"> 2030/16/44 - 6383</w:t>
            </w:r>
          </w:p>
          <w:p w:rsidR="004F2A63" w:rsidRPr="00E82AA9" w:rsidRDefault="00117D40" w:rsidP="004F2A63">
            <w:pPr>
              <w:pStyle w:val="Header"/>
              <w:tabs>
                <w:tab w:val="left" w:pos="284"/>
                <w:tab w:val="left" w:pos="8222"/>
              </w:tabs>
              <w:ind w:right="-8"/>
              <w:rPr>
                <w:sz w:val="22"/>
                <w:szCs w:val="22"/>
                <w:lang w:val="sr-Cyrl-ME"/>
              </w:rPr>
            </w:pPr>
            <w:r w:rsidRPr="00117D40">
              <w:rPr>
                <w:bCs/>
                <w:sz w:val="22"/>
                <w:szCs w:val="22"/>
                <w:lang w:val="en-GB"/>
              </w:rPr>
              <w:sym w:font="Wingdings 3" w:char="F072"/>
            </w:r>
            <w:r>
              <w:rPr>
                <w:b/>
                <w:bCs/>
                <w:sz w:val="22"/>
                <w:szCs w:val="22"/>
                <w:lang w:val="sr-Cyrl-ME"/>
              </w:rPr>
              <w:t xml:space="preserve"> </w:t>
            </w:r>
            <w:r w:rsidR="004F2A63" w:rsidRPr="00E82AA9">
              <w:rPr>
                <w:sz w:val="22"/>
                <w:szCs w:val="22"/>
                <w:lang w:val="ru-RU"/>
              </w:rPr>
              <w:t>YMANA®, филм таблета, 15 mg, блистер, 1 x 7 филм таблета</w:t>
            </w:r>
            <w:r w:rsidR="004F2A63" w:rsidRPr="00E82AA9">
              <w:rPr>
                <w:sz w:val="22"/>
                <w:szCs w:val="22"/>
              </w:rPr>
              <w:t>:</w:t>
            </w:r>
            <w:r w:rsidR="005811AB" w:rsidRPr="00E82AA9">
              <w:rPr>
                <w:sz w:val="22"/>
                <w:szCs w:val="22"/>
                <w:lang w:val="sr-Cyrl-ME"/>
              </w:rPr>
              <w:t xml:space="preserve"> 2030/16/45 - 6384</w:t>
            </w:r>
          </w:p>
          <w:p w:rsidR="002F268E" w:rsidRPr="00E82AA9" w:rsidRDefault="00117D40" w:rsidP="004F2A63">
            <w:pPr>
              <w:pStyle w:val="Header"/>
              <w:tabs>
                <w:tab w:val="left" w:pos="284"/>
                <w:tab w:val="left" w:pos="8222"/>
              </w:tabs>
              <w:ind w:right="-8"/>
              <w:rPr>
                <w:color w:val="FF0000"/>
                <w:sz w:val="22"/>
                <w:szCs w:val="22"/>
                <w:lang w:val="sr-Cyrl-ME"/>
              </w:rPr>
            </w:pPr>
            <w:r w:rsidRPr="00117D40">
              <w:rPr>
                <w:bCs/>
                <w:sz w:val="22"/>
                <w:szCs w:val="22"/>
                <w:lang w:val="en-GB"/>
              </w:rPr>
              <w:sym w:font="Wingdings 3" w:char="F072"/>
            </w:r>
            <w:r>
              <w:rPr>
                <w:b/>
                <w:bCs/>
                <w:sz w:val="22"/>
                <w:szCs w:val="22"/>
                <w:lang w:val="sr-Cyrl-ME"/>
              </w:rPr>
              <w:t xml:space="preserve"> </w:t>
            </w:r>
            <w:r w:rsidR="004F2A63" w:rsidRPr="00E82AA9">
              <w:rPr>
                <w:sz w:val="22"/>
                <w:szCs w:val="22"/>
                <w:lang w:val="ru-RU"/>
              </w:rPr>
              <w:t>YMANA®, филм таблета, 20 mg, блистер, 1 x 7 филм таблета</w:t>
            </w:r>
            <w:r w:rsidR="004F2A63" w:rsidRPr="00E82AA9">
              <w:rPr>
                <w:sz w:val="22"/>
                <w:szCs w:val="22"/>
              </w:rPr>
              <w:t>:</w:t>
            </w:r>
            <w:r w:rsidR="005811AB" w:rsidRPr="00E82AA9">
              <w:rPr>
                <w:sz w:val="22"/>
                <w:szCs w:val="22"/>
                <w:lang w:val="sr-Cyrl-ME"/>
              </w:rPr>
              <w:t xml:space="preserve"> 2030/16/46 - 6385</w:t>
            </w:r>
          </w:p>
          <w:p w:rsidR="004F2A63" w:rsidRPr="00E82AA9" w:rsidRDefault="004F2A63" w:rsidP="004F2A63">
            <w:pPr>
              <w:pStyle w:val="Header"/>
              <w:tabs>
                <w:tab w:val="left" w:pos="284"/>
                <w:tab w:val="left" w:pos="8222"/>
              </w:tabs>
              <w:ind w:right="-8"/>
              <w:rPr>
                <w:color w:val="FF0000"/>
                <w:sz w:val="22"/>
                <w:szCs w:val="22"/>
                <w:lang w:val="ru-RU"/>
              </w:rPr>
            </w:pPr>
          </w:p>
          <w:p w:rsidR="004F2A63" w:rsidRPr="00E82AA9" w:rsidRDefault="004F2A63" w:rsidP="004F2A63">
            <w:pPr>
              <w:pStyle w:val="Header"/>
              <w:tabs>
                <w:tab w:val="left" w:pos="284"/>
                <w:tab w:val="left" w:pos="8222"/>
              </w:tabs>
              <w:ind w:right="-8"/>
              <w:rPr>
                <w:color w:val="FF0000"/>
                <w:sz w:val="22"/>
                <w:szCs w:val="22"/>
                <w:lang w:val="ru-RU"/>
              </w:rPr>
            </w:pPr>
          </w:p>
        </w:tc>
      </w:tr>
      <w:tr w:rsidR="002F268E" w:rsidRPr="00E82AA9" w:rsidTr="002F268E">
        <w:tc>
          <w:tcPr>
            <w:tcW w:w="9747" w:type="dxa"/>
            <w:gridSpan w:val="4"/>
            <w:shd w:val="clear" w:color="auto" w:fill="auto"/>
            <w:vAlign w:val="center"/>
          </w:tcPr>
          <w:p w:rsidR="002F268E" w:rsidRPr="00E82AA9" w:rsidRDefault="002F268E" w:rsidP="002F268E">
            <w:pPr>
              <w:pStyle w:val="Header"/>
              <w:tabs>
                <w:tab w:val="left" w:pos="284"/>
                <w:tab w:val="left" w:pos="8222"/>
              </w:tabs>
              <w:ind w:right="-8"/>
              <w:rPr>
                <w:b/>
                <w:bCs/>
                <w:color w:val="FF0000"/>
                <w:sz w:val="22"/>
                <w:szCs w:val="22"/>
                <w:lang w:val="ru-RU"/>
              </w:rPr>
            </w:pPr>
            <w:r w:rsidRPr="00E82AA9">
              <w:rPr>
                <w:b/>
                <w:bCs/>
                <w:sz w:val="22"/>
                <w:szCs w:val="22"/>
                <w:lang w:val="ru-RU"/>
              </w:rPr>
              <w:t>9.</w:t>
            </w:r>
            <w:r w:rsidRPr="00E82AA9">
              <w:rPr>
                <w:b/>
                <w:bCs/>
                <w:sz w:val="22"/>
                <w:szCs w:val="22"/>
                <w:lang w:val="mk-MK"/>
              </w:rPr>
              <w:t xml:space="preserve"> </w:t>
            </w:r>
            <w:r w:rsidRPr="00E82AA9">
              <w:rPr>
                <w:b/>
                <w:bCs/>
                <w:sz w:val="22"/>
                <w:szCs w:val="22"/>
              </w:rPr>
              <w:t xml:space="preserve">     </w:t>
            </w:r>
            <w:r w:rsidRPr="00E82AA9">
              <w:rPr>
                <w:b/>
                <w:bCs/>
                <w:sz w:val="22"/>
                <w:szCs w:val="22"/>
                <w:lang w:val="ru-RU"/>
              </w:rPr>
              <w:t>ДАТУМ ПРВЕ ДОЗВОЛЕ / ДАТУМ ОБНОВЕ ДОЗВОЛЕ</w:t>
            </w:r>
          </w:p>
        </w:tc>
      </w:tr>
      <w:tr w:rsidR="002F268E" w:rsidRPr="00E82AA9" w:rsidTr="002F268E">
        <w:trPr>
          <w:trHeight w:val="602"/>
        </w:trPr>
        <w:tc>
          <w:tcPr>
            <w:tcW w:w="9747" w:type="dxa"/>
            <w:gridSpan w:val="4"/>
            <w:vAlign w:val="center"/>
          </w:tcPr>
          <w:p w:rsidR="0093605F" w:rsidRPr="00E82AA9" w:rsidRDefault="0093605F" w:rsidP="0093605F">
            <w:pPr>
              <w:pStyle w:val="Header"/>
              <w:tabs>
                <w:tab w:val="left" w:pos="284"/>
                <w:tab w:val="left" w:pos="8222"/>
              </w:tabs>
              <w:ind w:right="-8"/>
              <w:rPr>
                <w:sz w:val="22"/>
                <w:szCs w:val="22"/>
                <w:lang w:val="ru-RU"/>
              </w:rPr>
            </w:pPr>
          </w:p>
          <w:p w:rsidR="0093605F" w:rsidRPr="00E82AA9" w:rsidRDefault="00117D40" w:rsidP="0093605F">
            <w:pPr>
              <w:pStyle w:val="Header"/>
              <w:tabs>
                <w:tab w:val="left" w:pos="284"/>
                <w:tab w:val="left" w:pos="8222"/>
              </w:tabs>
              <w:ind w:right="-8"/>
              <w:rPr>
                <w:sz w:val="22"/>
                <w:szCs w:val="22"/>
                <w:lang w:val="sr-Cyrl-ME"/>
              </w:rPr>
            </w:pPr>
            <w:r w:rsidRPr="00117D40">
              <w:rPr>
                <w:bCs/>
                <w:sz w:val="22"/>
                <w:szCs w:val="22"/>
                <w:lang w:val="en-GB"/>
              </w:rPr>
              <w:sym w:font="Wingdings 3" w:char="F072"/>
            </w:r>
            <w:r>
              <w:rPr>
                <w:b/>
                <w:bCs/>
                <w:sz w:val="22"/>
                <w:szCs w:val="22"/>
                <w:lang w:val="sr-Cyrl-ME"/>
              </w:rPr>
              <w:t xml:space="preserve"> </w:t>
            </w:r>
            <w:r w:rsidR="0093605F" w:rsidRPr="00E82AA9">
              <w:rPr>
                <w:sz w:val="22"/>
                <w:szCs w:val="22"/>
                <w:lang w:val="ru-RU"/>
              </w:rPr>
              <w:t>YMANA®, филм таблета, 5 mg, блистер, 1 x 7 филм таблета</w:t>
            </w:r>
            <w:r w:rsidR="0093605F" w:rsidRPr="00E82AA9">
              <w:rPr>
                <w:sz w:val="22"/>
                <w:szCs w:val="22"/>
              </w:rPr>
              <w:t xml:space="preserve">: 11.01.2016. </w:t>
            </w:r>
            <w:r w:rsidR="0093605F" w:rsidRPr="00E82AA9">
              <w:rPr>
                <w:sz w:val="22"/>
                <w:szCs w:val="22"/>
                <w:lang w:val="sr-Cyrl-ME"/>
              </w:rPr>
              <w:t>године</w:t>
            </w:r>
          </w:p>
          <w:p w:rsidR="0093605F" w:rsidRPr="00E82AA9" w:rsidRDefault="00117D40" w:rsidP="0093605F">
            <w:pPr>
              <w:pStyle w:val="Header"/>
              <w:tabs>
                <w:tab w:val="left" w:pos="284"/>
                <w:tab w:val="left" w:pos="8222"/>
              </w:tabs>
              <w:ind w:right="-8"/>
              <w:rPr>
                <w:sz w:val="22"/>
                <w:szCs w:val="22"/>
                <w:lang w:val="sr-Cyrl-ME"/>
              </w:rPr>
            </w:pPr>
            <w:r w:rsidRPr="00117D40">
              <w:rPr>
                <w:bCs/>
                <w:sz w:val="22"/>
                <w:szCs w:val="22"/>
                <w:lang w:val="en-GB"/>
              </w:rPr>
              <w:sym w:font="Wingdings 3" w:char="F072"/>
            </w:r>
            <w:r>
              <w:rPr>
                <w:b/>
                <w:bCs/>
                <w:sz w:val="22"/>
                <w:szCs w:val="22"/>
                <w:lang w:val="sr-Cyrl-ME"/>
              </w:rPr>
              <w:t xml:space="preserve"> </w:t>
            </w:r>
            <w:r w:rsidR="0093605F" w:rsidRPr="00E82AA9">
              <w:rPr>
                <w:sz w:val="22"/>
                <w:szCs w:val="22"/>
                <w:lang w:val="ru-RU"/>
              </w:rPr>
              <w:t>YMANA®, филм таблета, 10 mg, блистер, 1 x 7 филм таблета</w:t>
            </w:r>
            <w:r w:rsidR="0093605F" w:rsidRPr="00E82AA9">
              <w:rPr>
                <w:sz w:val="22"/>
                <w:szCs w:val="22"/>
              </w:rPr>
              <w:t>:</w:t>
            </w:r>
            <w:r w:rsidR="0093605F" w:rsidRPr="00E82AA9">
              <w:rPr>
                <w:sz w:val="22"/>
                <w:szCs w:val="22"/>
                <w:lang w:val="sr-Cyrl-ME"/>
              </w:rPr>
              <w:t xml:space="preserve"> </w:t>
            </w:r>
            <w:r w:rsidR="0093605F" w:rsidRPr="00E82AA9">
              <w:rPr>
                <w:sz w:val="22"/>
                <w:szCs w:val="22"/>
              </w:rPr>
              <w:t xml:space="preserve">11.01.2016. </w:t>
            </w:r>
            <w:r w:rsidR="0093605F" w:rsidRPr="00E82AA9">
              <w:rPr>
                <w:sz w:val="22"/>
                <w:szCs w:val="22"/>
                <w:lang w:val="sr-Cyrl-ME"/>
              </w:rPr>
              <w:t>године</w:t>
            </w:r>
          </w:p>
          <w:p w:rsidR="0093605F" w:rsidRPr="00E82AA9" w:rsidRDefault="00117D40" w:rsidP="0093605F">
            <w:pPr>
              <w:pStyle w:val="Header"/>
              <w:tabs>
                <w:tab w:val="left" w:pos="284"/>
                <w:tab w:val="left" w:pos="8222"/>
              </w:tabs>
              <w:ind w:right="-8"/>
              <w:rPr>
                <w:sz w:val="22"/>
                <w:szCs w:val="22"/>
                <w:lang w:val="sr-Cyrl-ME"/>
              </w:rPr>
            </w:pPr>
            <w:r w:rsidRPr="00117D40">
              <w:rPr>
                <w:bCs/>
                <w:sz w:val="22"/>
                <w:szCs w:val="22"/>
                <w:lang w:val="en-GB"/>
              </w:rPr>
              <w:sym w:font="Wingdings 3" w:char="F072"/>
            </w:r>
            <w:r>
              <w:rPr>
                <w:b/>
                <w:bCs/>
                <w:sz w:val="22"/>
                <w:szCs w:val="22"/>
                <w:lang w:val="sr-Cyrl-ME"/>
              </w:rPr>
              <w:t xml:space="preserve"> </w:t>
            </w:r>
            <w:r w:rsidR="0093605F" w:rsidRPr="00E82AA9">
              <w:rPr>
                <w:sz w:val="22"/>
                <w:szCs w:val="22"/>
                <w:lang w:val="ru-RU"/>
              </w:rPr>
              <w:t>YMANA®, филм таблета, 10 mg, блистер, 4 x 7 филм таблета</w:t>
            </w:r>
            <w:r w:rsidR="0093605F" w:rsidRPr="00E82AA9">
              <w:rPr>
                <w:sz w:val="22"/>
                <w:szCs w:val="22"/>
              </w:rPr>
              <w:t>:</w:t>
            </w:r>
            <w:r w:rsidR="0093605F" w:rsidRPr="00E82AA9">
              <w:rPr>
                <w:sz w:val="22"/>
                <w:szCs w:val="22"/>
                <w:lang w:val="sr-Cyrl-ME"/>
              </w:rPr>
              <w:t xml:space="preserve"> </w:t>
            </w:r>
            <w:r w:rsidR="0093605F" w:rsidRPr="00E82AA9">
              <w:rPr>
                <w:sz w:val="22"/>
                <w:szCs w:val="22"/>
              </w:rPr>
              <w:t xml:space="preserve">11.01.2016. </w:t>
            </w:r>
            <w:r w:rsidR="0093605F" w:rsidRPr="00E82AA9">
              <w:rPr>
                <w:sz w:val="22"/>
                <w:szCs w:val="22"/>
                <w:lang w:val="sr-Cyrl-ME"/>
              </w:rPr>
              <w:t>године</w:t>
            </w:r>
          </w:p>
          <w:p w:rsidR="0093605F" w:rsidRPr="00E82AA9" w:rsidRDefault="00117D40" w:rsidP="0093605F">
            <w:pPr>
              <w:pStyle w:val="Header"/>
              <w:tabs>
                <w:tab w:val="left" w:pos="284"/>
                <w:tab w:val="left" w:pos="8222"/>
              </w:tabs>
              <w:ind w:right="-8"/>
              <w:rPr>
                <w:sz w:val="22"/>
                <w:szCs w:val="22"/>
                <w:lang w:val="sr-Cyrl-ME"/>
              </w:rPr>
            </w:pPr>
            <w:r w:rsidRPr="00117D40">
              <w:rPr>
                <w:bCs/>
                <w:sz w:val="22"/>
                <w:szCs w:val="22"/>
                <w:lang w:val="en-GB"/>
              </w:rPr>
              <w:sym w:font="Wingdings 3" w:char="F072"/>
            </w:r>
            <w:r>
              <w:rPr>
                <w:b/>
                <w:bCs/>
                <w:sz w:val="22"/>
                <w:szCs w:val="22"/>
                <w:lang w:val="sr-Cyrl-ME"/>
              </w:rPr>
              <w:t xml:space="preserve"> </w:t>
            </w:r>
            <w:r w:rsidR="0093605F" w:rsidRPr="00E82AA9">
              <w:rPr>
                <w:sz w:val="22"/>
                <w:szCs w:val="22"/>
                <w:lang w:val="ru-RU"/>
              </w:rPr>
              <w:t>YMANA®, филм таблета, 15 mg, блистер, 1 x 7 филм таблета</w:t>
            </w:r>
            <w:r w:rsidR="0093605F" w:rsidRPr="00E82AA9">
              <w:rPr>
                <w:sz w:val="22"/>
                <w:szCs w:val="22"/>
              </w:rPr>
              <w:t>:</w:t>
            </w:r>
            <w:r w:rsidR="0093605F" w:rsidRPr="00E82AA9">
              <w:rPr>
                <w:sz w:val="22"/>
                <w:szCs w:val="22"/>
                <w:lang w:val="sr-Cyrl-ME"/>
              </w:rPr>
              <w:t xml:space="preserve"> </w:t>
            </w:r>
            <w:r w:rsidR="0093605F" w:rsidRPr="00E82AA9">
              <w:rPr>
                <w:sz w:val="22"/>
                <w:szCs w:val="22"/>
              </w:rPr>
              <w:t xml:space="preserve">11.01.2016. </w:t>
            </w:r>
            <w:r w:rsidR="0093605F" w:rsidRPr="00E82AA9">
              <w:rPr>
                <w:sz w:val="22"/>
                <w:szCs w:val="22"/>
                <w:lang w:val="sr-Cyrl-ME"/>
              </w:rPr>
              <w:t>године</w:t>
            </w:r>
          </w:p>
          <w:p w:rsidR="0093605F" w:rsidRPr="00E82AA9" w:rsidRDefault="00117D40" w:rsidP="0093605F">
            <w:pPr>
              <w:pStyle w:val="Header"/>
              <w:tabs>
                <w:tab w:val="left" w:pos="284"/>
                <w:tab w:val="left" w:pos="8222"/>
              </w:tabs>
              <w:ind w:right="-8"/>
              <w:rPr>
                <w:sz w:val="22"/>
                <w:szCs w:val="22"/>
                <w:lang w:val="sr-Cyrl-ME"/>
              </w:rPr>
            </w:pPr>
            <w:r w:rsidRPr="00117D40">
              <w:rPr>
                <w:bCs/>
                <w:sz w:val="22"/>
                <w:szCs w:val="22"/>
                <w:lang w:val="en-GB"/>
              </w:rPr>
              <w:sym w:font="Wingdings 3" w:char="F072"/>
            </w:r>
            <w:r>
              <w:rPr>
                <w:b/>
                <w:bCs/>
                <w:sz w:val="22"/>
                <w:szCs w:val="22"/>
                <w:lang w:val="sr-Cyrl-ME"/>
              </w:rPr>
              <w:t xml:space="preserve"> </w:t>
            </w:r>
            <w:r w:rsidR="0093605F" w:rsidRPr="00E82AA9">
              <w:rPr>
                <w:sz w:val="22"/>
                <w:szCs w:val="22"/>
                <w:lang w:val="ru-RU"/>
              </w:rPr>
              <w:t>YMANA®, филм таблета, 20 mg, блистер, 1 x 7 филм таблета</w:t>
            </w:r>
            <w:r w:rsidR="0093605F" w:rsidRPr="00E82AA9">
              <w:rPr>
                <w:sz w:val="22"/>
                <w:szCs w:val="22"/>
              </w:rPr>
              <w:t>:</w:t>
            </w:r>
            <w:r w:rsidR="0093605F" w:rsidRPr="00E82AA9">
              <w:rPr>
                <w:sz w:val="22"/>
                <w:szCs w:val="22"/>
                <w:lang w:val="sr-Cyrl-ME"/>
              </w:rPr>
              <w:t xml:space="preserve"> </w:t>
            </w:r>
            <w:r w:rsidR="0093605F" w:rsidRPr="00E82AA9">
              <w:rPr>
                <w:sz w:val="22"/>
                <w:szCs w:val="22"/>
              </w:rPr>
              <w:t xml:space="preserve">11.01.2016. </w:t>
            </w:r>
            <w:r w:rsidR="0093605F" w:rsidRPr="00E82AA9">
              <w:rPr>
                <w:sz w:val="22"/>
                <w:szCs w:val="22"/>
                <w:lang w:val="sr-Cyrl-ME"/>
              </w:rPr>
              <w:t>године</w:t>
            </w:r>
          </w:p>
          <w:p w:rsidR="0093605F" w:rsidRPr="00E82AA9" w:rsidRDefault="0093605F" w:rsidP="0093605F">
            <w:pPr>
              <w:pStyle w:val="Header"/>
              <w:tabs>
                <w:tab w:val="left" w:pos="284"/>
                <w:tab w:val="left" w:pos="8222"/>
              </w:tabs>
              <w:ind w:right="-8"/>
              <w:rPr>
                <w:color w:val="FF0000"/>
                <w:sz w:val="22"/>
                <w:szCs w:val="22"/>
              </w:rPr>
            </w:pPr>
          </w:p>
          <w:p w:rsidR="002F268E" w:rsidRPr="00E82AA9" w:rsidRDefault="002F268E" w:rsidP="002F268E">
            <w:pPr>
              <w:pStyle w:val="Header"/>
              <w:tabs>
                <w:tab w:val="left" w:pos="284"/>
                <w:tab w:val="left" w:pos="8222"/>
              </w:tabs>
              <w:ind w:right="-8"/>
              <w:rPr>
                <w:color w:val="FF0000"/>
                <w:sz w:val="22"/>
                <w:szCs w:val="22"/>
                <w:lang w:val="ru-RU"/>
              </w:rPr>
            </w:pPr>
          </w:p>
        </w:tc>
      </w:tr>
      <w:tr w:rsidR="002F268E" w:rsidRPr="00E82AA9" w:rsidTr="002F268E">
        <w:tc>
          <w:tcPr>
            <w:tcW w:w="9747" w:type="dxa"/>
            <w:gridSpan w:val="4"/>
            <w:shd w:val="clear" w:color="auto" w:fill="auto"/>
            <w:vAlign w:val="center"/>
          </w:tcPr>
          <w:p w:rsidR="00FA5CC0" w:rsidRPr="00E82AA9" w:rsidRDefault="002F268E" w:rsidP="00FA5CC0">
            <w:pPr>
              <w:pStyle w:val="Header"/>
              <w:tabs>
                <w:tab w:val="left" w:pos="284"/>
                <w:tab w:val="left" w:pos="8222"/>
              </w:tabs>
              <w:ind w:right="-8"/>
              <w:rPr>
                <w:b/>
                <w:bCs/>
                <w:sz w:val="22"/>
                <w:szCs w:val="22"/>
              </w:rPr>
            </w:pPr>
            <w:r w:rsidRPr="00E82AA9">
              <w:rPr>
                <w:b/>
                <w:bCs/>
                <w:sz w:val="22"/>
                <w:szCs w:val="22"/>
              </w:rPr>
              <w:t>10.</w:t>
            </w:r>
            <w:r w:rsidRPr="00E82AA9">
              <w:rPr>
                <w:b/>
                <w:bCs/>
                <w:sz w:val="22"/>
                <w:szCs w:val="22"/>
                <w:lang w:val="mk-MK"/>
              </w:rPr>
              <w:t xml:space="preserve"> </w:t>
            </w:r>
            <w:r w:rsidR="00363398" w:rsidRPr="00E82AA9">
              <w:rPr>
                <w:b/>
                <w:bCs/>
                <w:sz w:val="22"/>
                <w:szCs w:val="22"/>
              </w:rPr>
              <w:t xml:space="preserve">   </w:t>
            </w:r>
            <w:r w:rsidRPr="00E82AA9">
              <w:rPr>
                <w:b/>
                <w:bCs/>
                <w:sz w:val="22"/>
                <w:szCs w:val="22"/>
              </w:rPr>
              <w:t xml:space="preserve">ДАТУМ </w:t>
            </w:r>
            <w:r w:rsidRPr="00E82AA9">
              <w:rPr>
                <w:b/>
                <w:bCs/>
                <w:sz w:val="22"/>
                <w:szCs w:val="22"/>
                <w:lang w:val="mk-MK"/>
              </w:rPr>
              <w:t xml:space="preserve">ПОСЉЕДЊЕ </w:t>
            </w:r>
            <w:r w:rsidRPr="00E82AA9">
              <w:rPr>
                <w:b/>
                <w:bCs/>
                <w:sz w:val="22"/>
                <w:szCs w:val="22"/>
              </w:rPr>
              <w:t>РЕВИЗИЈЕ ТЕКСТА</w:t>
            </w:r>
            <w:r w:rsidRPr="00E82AA9">
              <w:rPr>
                <w:b/>
                <w:bCs/>
                <w:sz w:val="22"/>
                <w:szCs w:val="22"/>
                <w:lang w:val="mk-MK"/>
              </w:rPr>
              <w:t xml:space="preserve"> САЖЕТКА ОСНОВНИХ</w:t>
            </w:r>
            <w:r w:rsidR="00FA5CC0" w:rsidRPr="00E82AA9">
              <w:rPr>
                <w:b/>
                <w:bCs/>
                <w:sz w:val="22"/>
                <w:szCs w:val="22"/>
              </w:rPr>
              <w:t xml:space="preserve">   </w:t>
            </w:r>
          </w:p>
          <w:p w:rsidR="002F268E" w:rsidRPr="00E82AA9" w:rsidRDefault="00FA5CC0" w:rsidP="00FA5CC0">
            <w:pPr>
              <w:pStyle w:val="Header"/>
              <w:tabs>
                <w:tab w:val="left" w:pos="284"/>
                <w:tab w:val="left" w:pos="8222"/>
              </w:tabs>
              <w:ind w:right="-8"/>
              <w:rPr>
                <w:b/>
                <w:bCs/>
                <w:color w:val="FF0000"/>
                <w:sz w:val="22"/>
                <w:szCs w:val="22"/>
                <w:lang w:val="ru-RU"/>
              </w:rPr>
            </w:pPr>
            <w:r w:rsidRPr="00E82AA9">
              <w:rPr>
                <w:b/>
                <w:bCs/>
                <w:sz w:val="22"/>
                <w:szCs w:val="22"/>
              </w:rPr>
              <w:t xml:space="preserve">         </w:t>
            </w:r>
            <w:r w:rsidR="002F268E" w:rsidRPr="00E82AA9">
              <w:rPr>
                <w:b/>
                <w:bCs/>
                <w:sz w:val="22"/>
                <w:szCs w:val="22"/>
                <w:lang w:val="mk-MK"/>
              </w:rPr>
              <w:t>КАРАКТЕРИСТИКА ЛИЈЕКА</w:t>
            </w:r>
          </w:p>
        </w:tc>
      </w:tr>
      <w:tr w:rsidR="002F268E" w:rsidRPr="00E82AA9" w:rsidTr="002F268E">
        <w:trPr>
          <w:trHeight w:val="824"/>
        </w:trPr>
        <w:tc>
          <w:tcPr>
            <w:tcW w:w="9747" w:type="dxa"/>
            <w:gridSpan w:val="4"/>
            <w:vAlign w:val="center"/>
          </w:tcPr>
          <w:p w:rsidR="002F268E" w:rsidRPr="00E82AA9" w:rsidRDefault="002F268E" w:rsidP="00363398">
            <w:pPr>
              <w:pStyle w:val="Header"/>
              <w:tabs>
                <w:tab w:val="left" w:pos="284"/>
                <w:tab w:val="left" w:pos="8222"/>
              </w:tabs>
              <w:ind w:right="-8"/>
              <w:jc w:val="both"/>
              <w:rPr>
                <w:color w:val="FF0000"/>
                <w:sz w:val="22"/>
                <w:szCs w:val="22"/>
                <w:lang w:val="sr-Cyrl-RS"/>
              </w:rPr>
            </w:pPr>
            <w:r w:rsidRPr="00E82AA9">
              <w:rPr>
                <w:sz w:val="22"/>
                <w:szCs w:val="22"/>
                <w:lang w:val="mk-MK"/>
              </w:rPr>
              <w:t>Јануар, 2016</w:t>
            </w:r>
            <w:r w:rsidR="007372A0" w:rsidRPr="00E82AA9">
              <w:rPr>
                <w:sz w:val="22"/>
                <w:szCs w:val="22"/>
                <w:lang w:val="mk-MK"/>
              </w:rPr>
              <w:t>.</w:t>
            </w:r>
            <w:r w:rsidRPr="00E82AA9">
              <w:rPr>
                <w:sz w:val="22"/>
                <w:szCs w:val="22"/>
                <w:lang w:val="mk-MK"/>
              </w:rPr>
              <w:t xml:space="preserve"> године</w:t>
            </w:r>
          </w:p>
        </w:tc>
      </w:tr>
    </w:tbl>
    <w:p w:rsidR="002F268E" w:rsidRPr="00E82AA9" w:rsidRDefault="002F268E" w:rsidP="002F268E">
      <w:pPr>
        <w:tabs>
          <w:tab w:val="left" w:pos="8222"/>
        </w:tabs>
        <w:ind w:right="-8"/>
        <w:rPr>
          <w:color w:val="FF0000"/>
          <w:sz w:val="22"/>
          <w:szCs w:val="22"/>
        </w:rPr>
      </w:pPr>
    </w:p>
    <w:p w:rsidR="002F268E" w:rsidRPr="00E82AA9" w:rsidRDefault="002F268E" w:rsidP="002F268E">
      <w:pPr>
        <w:tabs>
          <w:tab w:val="left" w:pos="8222"/>
        </w:tabs>
        <w:ind w:right="-8"/>
        <w:rPr>
          <w:color w:val="FF0000"/>
          <w:sz w:val="22"/>
          <w:szCs w:val="22"/>
        </w:rPr>
      </w:pPr>
    </w:p>
    <w:p w:rsidR="006768CB" w:rsidRPr="00E82AA9" w:rsidRDefault="006768CB" w:rsidP="002F268E">
      <w:pPr>
        <w:ind w:right="-8"/>
        <w:rPr>
          <w:sz w:val="22"/>
          <w:szCs w:val="22"/>
        </w:rPr>
      </w:pPr>
    </w:p>
    <w:sectPr w:rsidR="006768CB" w:rsidRPr="00E82AA9" w:rsidSect="00B86396">
      <w:headerReference w:type="default" r:id="rId9"/>
      <w:footerReference w:type="even" r:id="rId10"/>
      <w:footerReference w:type="default" r:id="rId11"/>
      <w:headerReference w:type="first" r:id="rId12"/>
      <w:footerReference w:type="first" r:id="rId13"/>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075" w:rsidRDefault="006F3075">
      <w:r>
        <w:separator/>
      </w:r>
    </w:p>
  </w:endnote>
  <w:endnote w:type="continuationSeparator" w:id="0">
    <w:p w:rsidR="006F3075" w:rsidRDefault="006F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charset w:val="00"/>
    <w:family w:val="swiss"/>
    <w:pitch w:val="variable"/>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117D40">
      <w:rPr>
        <w:rStyle w:val="PageNumber"/>
        <w:noProof/>
      </w:rPr>
      <w:t>12</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117D40">
      <w:rPr>
        <w:rStyle w:val="PageNumber"/>
        <w:noProof/>
      </w:rPr>
      <w:t>12</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075" w:rsidRDefault="006F3075">
      <w:r>
        <w:separator/>
      </w:r>
    </w:p>
  </w:footnote>
  <w:footnote w:type="continuationSeparator" w:id="0">
    <w:p w:rsidR="006F3075" w:rsidRDefault="006F3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63F50C9"/>
    <w:multiLevelType w:val="hybridMultilevel"/>
    <w:tmpl w:val="4C223B4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10"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1"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1"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5"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6"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0"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2"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3"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4"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38"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7"/>
    <w:lvlOverride w:ilvl="0">
      <w:startOverride w:val="1"/>
    </w:lvlOverride>
  </w:num>
  <w:num w:numId="4">
    <w:abstractNumId w:val="23"/>
  </w:num>
  <w:num w:numId="5">
    <w:abstractNumId w:val="30"/>
  </w:num>
  <w:num w:numId="6">
    <w:abstractNumId w:val="22"/>
  </w:num>
  <w:num w:numId="7">
    <w:abstractNumId w:val="16"/>
  </w:num>
  <w:num w:numId="8">
    <w:abstractNumId w:val="39"/>
  </w:num>
  <w:num w:numId="9">
    <w:abstractNumId w:val="36"/>
  </w:num>
  <w:num w:numId="10">
    <w:abstractNumId w:val="14"/>
  </w:num>
  <w:num w:numId="11">
    <w:abstractNumId w:val="11"/>
  </w:num>
  <w:num w:numId="12">
    <w:abstractNumId w:val="28"/>
  </w:num>
  <w:num w:numId="13">
    <w:abstractNumId w:val="26"/>
  </w:num>
  <w:num w:numId="14">
    <w:abstractNumId w:val="21"/>
  </w:num>
  <w:num w:numId="15">
    <w:abstractNumId w:val="19"/>
  </w:num>
  <w:num w:numId="16">
    <w:abstractNumId w:val="31"/>
  </w:num>
  <w:num w:numId="17">
    <w:abstractNumId w:val="15"/>
  </w:num>
  <w:num w:numId="18">
    <w:abstractNumId w:val="24"/>
  </w:num>
  <w:num w:numId="19">
    <w:abstractNumId w:val="6"/>
  </w:num>
  <w:num w:numId="20">
    <w:abstractNumId w:val="9"/>
  </w:num>
  <w:num w:numId="21">
    <w:abstractNumId w:val="12"/>
  </w:num>
  <w:num w:numId="22">
    <w:abstractNumId w:val="37"/>
  </w:num>
  <w:num w:numId="23">
    <w:abstractNumId w:val="25"/>
  </w:num>
  <w:num w:numId="24">
    <w:abstractNumId w:val="32"/>
  </w:num>
  <w:num w:numId="25">
    <w:abstractNumId w:val="29"/>
  </w:num>
  <w:num w:numId="26">
    <w:abstractNumId w:val="20"/>
  </w:num>
  <w:num w:numId="27">
    <w:abstractNumId w:val="18"/>
  </w:num>
  <w:num w:numId="28">
    <w:abstractNumId w:val="33"/>
  </w:num>
  <w:num w:numId="29">
    <w:abstractNumId w:val="38"/>
  </w:num>
  <w:num w:numId="30">
    <w:abstractNumId w:val="34"/>
  </w:num>
  <w:num w:numId="31">
    <w:abstractNumId w:val="10"/>
  </w:num>
  <w:num w:numId="32">
    <w:abstractNumId w:val="35"/>
  </w:num>
  <w:num w:numId="33">
    <w:abstractNumId w:val="27"/>
  </w:num>
  <w:num w:numId="3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B780D"/>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17D40"/>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268E"/>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3398"/>
    <w:rsid w:val="00366527"/>
    <w:rsid w:val="0036721E"/>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A63"/>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1AB"/>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3075"/>
    <w:rsid w:val="006F5777"/>
    <w:rsid w:val="006F6894"/>
    <w:rsid w:val="007024CD"/>
    <w:rsid w:val="00705316"/>
    <w:rsid w:val="007100BC"/>
    <w:rsid w:val="007123AD"/>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372A0"/>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848"/>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E726F"/>
    <w:rsid w:val="008E7535"/>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05F"/>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2181"/>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13"/>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82AA9"/>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A5CC0"/>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48DB8-223A-461B-9248-758F1ABB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uiPriority w:val="99"/>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99"/>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99"/>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paragraph" w:styleId="NormalIndent">
    <w:name w:val="Normal Indent"/>
    <w:basedOn w:val="Normal"/>
    <w:next w:val="Normal"/>
    <w:uiPriority w:val="99"/>
    <w:rsid w:val="002F268E"/>
    <w:pPr>
      <w:autoSpaceDE w:val="0"/>
      <w:autoSpaceDN w:val="0"/>
      <w:adjustRightInd w:val="0"/>
    </w:pPr>
    <w:rPr>
      <w:sz w:val="24"/>
      <w:szCs w:val="24"/>
      <w:lang w:val="en-GB" w:eastAsia="en-GB"/>
    </w:rPr>
  </w:style>
  <w:style w:type="character" w:customStyle="1" w:styleId="hps">
    <w:name w:val="hps"/>
    <w:basedOn w:val="DefaultParagraphFont"/>
    <w:rsid w:val="002F268E"/>
  </w:style>
  <w:style w:type="character" w:customStyle="1" w:styleId="TitleChar1">
    <w:name w:val="Title Char1"/>
    <w:uiPriority w:val="99"/>
    <w:locked/>
    <w:rsid w:val="002F268E"/>
    <w:rPr>
      <w:b/>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12</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Nemanja Turkovic</cp:lastModifiedBy>
  <cp:revision>34</cp:revision>
  <cp:lastPrinted>2012-05-18T12:57:00Z</cp:lastPrinted>
  <dcterms:created xsi:type="dcterms:W3CDTF">2015-07-08T14:53:00Z</dcterms:created>
  <dcterms:modified xsi:type="dcterms:W3CDTF">2016-02-12T07:49:00Z</dcterms:modified>
</cp:coreProperties>
</file>