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41C" w:rsidRDefault="0068141C" w:rsidP="0068141C">
      <w:pPr>
        <w:spacing w:before="1000"/>
        <w:rPr>
          <w:sz w:val="22"/>
          <w:szCs w:val="22"/>
        </w:rPr>
      </w:pPr>
    </w:p>
    <w:p w:rsidR="0068141C" w:rsidRDefault="0068141C" w:rsidP="0068141C">
      <w:pPr>
        <w:spacing w:before="1000"/>
        <w:rPr>
          <w:sz w:val="22"/>
          <w:szCs w:val="22"/>
        </w:rPr>
      </w:pPr>
    </w:p>
    <w:tbl>
      <w:tblPr>
        <w:tblW w:w="9360" w:type="dxa"/>
        <w:jc w:val="center"/>
        <w:tblLayout w:type="fixed"/>
        <w:tblLook w:val="0000" w:firstRow="0" w:lastRow="0" w:firstColumn="0" w:lastColumn="0" w:noHBand="0" w:noVBand="0"/>
      </w:tblPr>
      <w:tblGrid>
        <w:gridCol w:w="2160"/>
        <w:gridCol w:w="7200"/>
      </w:tblGrid>
      <w:tr w:rsidR="0068141C" w:rsidRPr="009F4449">
        <w:trPr>
          <w:trHeight w:val="530"/>
          <w:jc w:val="center"/>
        </w:trPr>
        <w:tc>
          <w:tcPr>
            <w:tcW w:w="9360" w:type="dxa"/>
            <w:gridSpan w:val="2"/>
            <w:vAlign w:val="center"/>
          </w:tcPr>
          <w:p w:rsidR="0068141C" w:rsidRPr="009F4449" w:rsidRDefault="0068141C" w:rsidP="0068141C">
            <w:pPr>
              <w:jc w:val="center"/>
              <w:rPr>
                <w:b/>
                <w:bCs/>
                <w:i/>
                <w:iCs/>
                <w:u w:val="single"/>
              </w:rPr>
            </w:pPr>
            <w:r w:rsidRPr="009F4449">
              <w:rPr>
                <w:b/>
                <w:bCs/>
                <w:i/>
                <w:iCs/>
                <w:sz w:val="22"/>
                <w:szCs w:val="22"/>
                <w:u w:val="single"/>
              </w:rPr>
              <w:t>SAŽE</w:t>
            </w:r>
            <w:smartTag w:uri="schemas-GSKSiteLocations-com/fourthcoffee" w:element="flavor">
              <w:r w:rsidRPr="009F4449">
                <w:rPr>
                  <w:b/>
                  <w:bCs/>
                  <w:i/>
                  <w:iCs/>
                  <w:sz w:val="22"/>
                  <w:szCs w:val="22"/>
                  <w:u w:val="single"/>
                </w:rPr>
                <w:t>TAK</w:t>
              </w:r>
            </w:smartTag>
            <w:r w:rsidRPr="009F4449">
              <w:rPr>
                <w:b/>
                <w:bCs/>
                <w:i/>
                <w:iCs/>
                <w:sz w:val="22"/>
                <w:szCs w:val="22"/>
                <w:u w:val="single"/>
              </w:rPr>
              <w:t xml:space="preserve"> KARAKTERISTIKA L</w:t>
            </w:r>
            <w:r>
              <w:rPr>
                <w:b/>
                <w:bCs/>
                <w:i/>
                <w:iCs/>
                <w:sz w:val="22"/>
                <w:szCs w:val="22"/>
                <w:u w:val="single"/>
              </w:rPr>
              <w:t>IJ</w:t>
            </w:r>
            <w:r w:rsidRPr="009F4449">
              <w:rPr>
                <w:b/>
                <w:bCs/>
                <w:i/>
                <w:iCs/>
                <w:sz w:val="22"/>
                <w:szCs w:val="22"/>
                <w:u w:val="single"/>
              </w:rPr>
              <w:t>EKA</w:t>
            </w:r>
          </w:p>
        </w:tc>
      </w:tr>
      <w:tr w:rsidR="0068141C" w:rsidRPr="00CA322A">
        <w:trPr>
          <w:trHeight w:val="1969"/>
          <w:jc w:val="center"/>
        </w:trPr>
        <w:tc>
          <w:tcPr>
            <w:tcW w:w="9360" w:type="dxa"/>
            <w:gridSpan w:val="2"/>
            <w:vAlign w:val="bottom"/>
          </w:tcPr>
          <w:p w:rsidR="0068141C" w:rsidRPr="001268A1" w:rsidRDefault="0068141C" w:rsidP="0068141C">
            <w:pPr>
              <w:spacing w:after="40"/>
              <w:jc w:val="center"/>
              <w:rPr>
                <w:b/>
                <w:bCs/>
                <w:lang w:val="sv-SE"/>
              </w:rPr>
            </w:pPr>
            <w:r w:rsidRPr="001268A1">
              <w:rPr>
                <w:b/>
                <w:bCs/>
                <w:sz w:val="22"/>
                <w:szCs w:val="22"/>
                <w:lang w:val="sv-SE"/>
              </w:rPr>
              <w:t>Tyverb</w:t>
            </w:r>
            <w:r w:rsidRPr="001268A1">
              <w:rPr>
                <w:rFonts w:ascii="Times New Roman Bold" w:hAnsi="Times New Roman Bold" w:cs="Times New Roman Bold"/>
                <w:b/>
                <w:bCs/>
                <w:sz w:val="22"/>
                <w:szCs w:val="22"/>
                <w:vertAlign w:val="superscript"/>
                <w:lang w:val="sv-SE"/>
              </w:rPr>
              <w:t>®</w:t>
            </w:r>
            <w:r w:rsidRPr="001268A1">
              <w:rPr>
                <w:b/>
                <w:bCs/>
                <w:sz w:val="22"/>
                <w:szCs w:val="22"/>
                <w:lang w:val="sv-SE"/>
              </w:rPr>
              <w:t>,</w:t>
            </w:r>
          </w:p>
          <w:p w:rsidR="0068141C" w:rsidRDefault="0068141C" w:rsidP="0068141C">
            <w:pPr>
              <w:spacing w:after="40"/>
              <w:jc w:val="center"/>
              <w:rPr>
                <w:b/>
                <w:bCs/>
                <w:sz w:val="22"/>
                <w:szCs w:val="22"/>
                <w:lang w:val="sv-SE"/>
              </w:rPr>
            </w:pPr>
            <w:r w:rsidRPr="001268A1">
              <w:rPr>
                <w:b/>
                <w:bCs/>
                <w:sz w:val="22"/>
                <w:szCs w:val="22"/>
                <w:lang w:val="sv-SE"/>
              </w:rPr>
              <w:t xml:space="preserve">film tableta, </w:t>
            </w:r>
            <w:r>
              <w:rPr>
                <w:b/>
                <w:bCs/>
                <w:sz w:val="22"/>
                <w:szCs w:val="22"/>
                <w:lang w:val="sv-SE"/>
              </w:rPr>
              <w:t>250mg</w:t>
            </w:r>
          </w:p>
          <w:p w:rsidR="0068141C" w:rsidRPr="001268A1" w:rsidRDefault="0068141C" w:rsidP="0068141C">
            <w:pPr>
              <w:spacing w:after="40"/>
              <w:jc w:val="center"/>
              <w:rPr>
                <w:b/>
                <w:bCs/>
                <w:u w:val="single"/>
                <w:lang w:val="sv-SE"/>
              </w:rPr>
            </w:pPr>
            <w:r w:rsidRPr="001268A1">
              <w:rPr>
                <w:b/>
                <w:bCs/>
                <w:sz w:val="22"/>
                <w:szCs w:val="22"/>
                <w:lang w:val="sv-SE"/>
              </w:rPr>
              <w:t>70</w:t>
            </w:r>
            <w:r>
              <w:rPr>
                <w:b/>
                <w:bCs/>
                <w:sz w:val="22"/>
                <w:szCs w:val="22"/>
                <w:lang w:val="sv-SE"/>
              </w:rPr>
              <w:t xml:space="preserve"> </w:t>
            </w:r>
            <w:r w:rsidRPr="001268A1">
              <w:rPr>
                <w:b/>
                <w:bCs/>
                <w:sz w:val="22"/>
                <w:szCs w:val="22"/>
                <w:lang w:val="sv-SE"/>
              </w:rPr>
              <w:t>x</w:t>
            </w:r>
            <w:r>
              <w:rPr>
                <w:b/>
                <w:bCs/>
                <w:sz w:val="22"/>
                <w:szCs w:val="22"/>
                <w:lang w:val="sv-SE"/>
              </w:rPr>
              <w:t xml:space="preserve"> </w:t>
            </w:r>
            <w:r w:rsidRPr="00AE3FDF">
              <w:rPr>
                <w:b/>
                <w:bCs/>
                <w:sz w:val="22"/>
                <w:szCs w:val="22"/>
                <w:lang w:val="sv-SE"/>
              </w:rPr>
              <w:t>250mg i 84 x 250mg</w:t>
            </w:r>
            <w:r w:rsidRPr="001268A1">
              <w:rPr>
                <w:b/>
                <w:bCs/>
                <w:sz w:val="22"/>
                <w:szCs w:val="22"/>
                <w:u w:val="single"/>
                <w:lang w:val="sv-SE"/>
              </w:rPr>
              <w:t xml:space="preserve"> </w:t>
            </w:r>
          </w:p>
        </w:tc>
      </w:tr>
      <w:tr w:rsidR="0068141C" w:rsidRPr="00CA322A">
        <w:trPr>
          <w:trHeight w:val="1225"/>
          <w:jc w:val="center"/>
        </w:trPr>
        <w:tc>
          <w:tcPr>
            <w:tcW w:w="9360" w:type="dxa"/>
            <w:gridSpan w:val="2"/>
          </w:tcPr>
          <w:p w:rsidR="0068141C" w:rsidRPr="001268A1" w:rsidRDefault="0068141C" w:rsidP="0068141C">
            <w:pPr>
              <w:pStyle w:val="Heading2"/>
              <w:rPr>
                <w:rFonts w:ascii="Times New Roman" w:hAnsi="Times New Roman" w:cs="Times New Roman"/>
                <w:color w:val="808080"/>
                <w:sz w:val="22"/>
                <w:szCs w:val="22"/>
                <w:lang w:val="sv-SE"/>
              </w:rPr>
            </w:pPr>
          </w:p>
        </w:tc>
      </w:tr>
      <w:tr w:rsidR="0068141C" w:rsidRPr="009F4449">
        <w:trPr>
          <w:jc w:val="center"/>
        </w:trPr>
        <w:tc>
          <w:tcPr>
            <w:tcW w:w="2160" w:type="dxa"/>
            <w:vAlign w:val="bottom"/>
          </w:tcPr>
          <w:p w:rsidR="0068141C" w:rsidRPr="009F4449" w:rsidRDefault="0068141C" w:rsidP="0068141C">
            <w:pPr>
              <w:spacing w:before="200"/>
              <w:jc w:val="right"/>
            </w:pPr>
            <w:r w:rsidRPr="009F4449">
              <w:rPr>
                <w:sz w:val="22"/>
                <w:szCs w:val="22"/>
              </w:rPr>
              <w:t>Proizvođač:</w:t>
            </w:r>
          </w:p>
        </w:tc>
        <w:tc>
          <w:tcPr>
            <w:tcW w:w="7200" w:type="dxa"/>
            <w:vAlign w:val="bottom"/>
          </w:tcPr>
          <w:p w:rsidR="0068141C" w:rsidRPr="00EA0D47" w:rsidRDefault="0068141C" w:rsidP="0068141C">
            <w:pPr>
              <w:spacing w:before="200"/>
              <w:ind w:left="72" w:hanging="72"/>
              <w:rPr>
                <w:b/>
                <w:bCs/>
                <w:color w:val="FF0000"/>
              </w:rPr>
            </w:pPr>
            <w:r>
              <w:rPr>
                <w:b/>
                <w:bCs/>
                <w:sz w:val="22"/>
                <w:szCs w:val="22"/>
              </w:rPr>
              <w:t>Glaxo Wellcome Operations</w:t>
            </w:r>
          </w:p>
        </w:tc>
      </w:tr>
      <w:tr w:rsidR="0068141C" w:rsidRPr="009F4449">
        <w:trPr>
          <w:jc w:val="center"/>
        </w:trPr>
        <w:tc>
          <w:tcPr>
            <w:tcW w:w="2160" w:type="dxa"/>
            <w:vAlign w:val="bottom"/>
          </w:tcPr>
          <w:p w:rsidR="0068141C" w:rsidRPr="009F4449" w:rsidRDefault="0068141C" w:rsidP="0068141C">
            <w:pPr>
              <w:spacing w:before="200"/>
              <w:jc w:val="right"/>
            </w:pPr>
            <w:r w:rsidRPr="009F4449">
              <w:rPr>
                <w:sz w:val="22"/>
                <w:szCs w:val="22"/>
              </w:rPr>
              <w:t>Adresa:</w:t>
            </w:r>
          </w:p>
        </w:tc>
        <w:tc>
          <w:tcPr>
            <w:tcW w:w="7200" w:type="dxa"/>
            <w:vAlign w:val="bottom"/>
          </w:tcPr>
          <w:p w:rsidR="0068141C" w:rsidRPr="0004204F" w:rsidRDefault="0068141C" w:rsidP="0068141C">
            <w:pPr>
              <w:spacing w:before="200"/>
              <w:ind w:left="72" w:hanging="72"/>
              <w:rPr>
                <w:b/>
                <w:bCs/>
              </w:rPr>
            </w:pPr>
            <w:r w:rsidRPr="0004204F">
              <w:rPr>
                <w:b/>
                <w:bCs/>
                <w:sz w:val="22"/>
                <w:szCs w:val="22"/>
              </w:rPr>
              <w:t>Priory Street, Ware, Herfordshire, SG</w:t>
            </w:r>
            <w:r>
              <w:rPr>
                <w:b/>
                <w:bCs/>
                <w:sz w:val="22"/>
                <w:szCs w:val="22"/>
              </w:rPr>
              <w:t xml:space="preserve"> </w:t>
            </w:r>
            <w:r w:rsidRPr="0004204F">
              <w:rPr>
                <w:b/>
                <w:bCs/>
                <w:sz w:val="22"/>
                <w:szCs w:val="22"/>
              </w:rPr>
              <w:t>12</w:t>
            </w:r>
            <w:r>
              <w:rPr>
                <w:b/>
                <w:bCs/>
                <w:sz w:val="22"/>
                <w:szCs w:val="22"/>
              </w:rPr>
              <w:t xml:space="preserve"> </w:t>
            </w:r>
            <w:r w:rsidRPr="0004204F">
              <w:rPr>
                <w:b/>
                <w:bCs/>
                <w:sz w:val="22"/>
                <w:szCs w:val="22"/>
              </w:rPr>
              <w:t>ODG, Velika Britanija</w:t>
            </w:r>
          </w:p>
        </w:tc>
      </w:tr>
      <w:tr w:rsidR="0068141C" w:rsidRPr="009F4449">
        <w:trPr>
          <w:jc w:val="center"/>
        </w:trPr>
        <w:tc>
          <w:tcPr>
            <w:tcW w:w="2160" w:type="dxa"/>
            <w:vAlign w:val="bottom"/>
          </w:tcPr>
          <w:p w:rsidR="0068141C" w:rsidRPr="009F4449" w:rsidRDefault="0068141C" w:rsidP="0068141C">
            <w:pPr>
              <w:spacing w:before="200"/>
              <w:jc w:val="right"/>
            </w:pPr>
            <w:r w:rsidRPr="009F4449">
              <w:rPr>
                <w:sz w:val="22"/>
                <w:szCs w:val="22"/>
              </w:rPr>
              <w:t>Podnosilac zahteva:</w:t>
            </w:r>
          </w:p>
        </w:tc>
        <w:tc>
          <w:tcPr>
            <w:tcW w:w="7200" w:type="dxa"/>
            <w:vAlign w:val="bottom"/>
          </w:tcPr>
          <w:p w:rsidR="0068141C" w:rsidRPr="009F4449" w:rsidRDefault="001B5567" w:rsidP="0068141C">
            <w:pPr>
              <w:spacing w:before="200"/>
              <w:ind w:left="72" w:hanging="72"/>
              <w:rPr>
                <w:b/>
                <w:bCs/>
              </w:rPr>
            </w:pPr>
            <w:r w:rsidRPr="001B5567">
              <w:rPr>
                <w:b/>
                <w:bCs/>
                <w:sz w:val="22"/>
                <w:szCs w:val="22"/>
              </w:rPr>
              <w:t>“Novartis Pharma  Services AG” dio stranog društva, Podgorica</w:t>
            </w:r>
          </w:p>
        </w:tc>
      </w:tr>
      <w:tr w:rsidR="0068141C" w:rsidRPr="00537E06">
        <w:trPr>
          <w:jc w:val="center"/>
        </w:trPr>
        <w:tc>
          <w:tcPr>
            <w:tcW w:w="2160" w:type="dxa"/>
            <w:vAlign w:val="bottom"/>
          </w:tcPr>
          <w:p w:rsidR="0068141C" w:rsidRPr="009F4449" w:rsidRDefault="0068141C" w:rsidP="0068141C">
            <w:pPr>
              <w:spacing w:before="200"/>
              <w:jc w:val="right"/>
            </w:pPr>
            <w:r w:rsidRPr="009F4449">
              <w:rPr>
                <w:sz w:val="22"/>
                <w:szCs w:val="22"/>
              </w:rPr>
              <w:t>Adresa:</w:t>
            </w:r>
          </w:p>
        </w:tc>
        <w:tc>
          <w:tcPr>
            <w:tcW w:w="7200" w:type="dxa"/>
            <w:vAlign w:val="bottom"/>
          </w:tcPr>
          <w:p w:rsidR="0068141C" w:rsidRPr="001268A1" w:rsidRDefault="001B5567" w:rsidP="0068141C">
            <w:pPr>
              <w:spacing w:before="200"/>
              <w:ind w:left="72" w:hanging="72"/>
              <w:rPr>
                <w:b/>
                <w:bCs/>
                <w:lang w:val="sv-SE"/>
              </w:rPr>
            </w:pPr>
            <w:r w:rsidRPr="001B5567">
              <w:rPr>
                <w:b/>
                <w:bCs/>
                <w:sz w:val="22"/>
                <w:szCs w:val="22"/>
                <w:lang w:val="sr-Latn-CS"/>
              </w:rPr>
              <w:t>Ul. Svetlane Kane Radević br 3, Podgorica</w:t>
            </w:r>
          </w:p>
        </w:tc>
      </w:tr>
    </w:tbl>
    <w:p w:rsidR="0068141C" w:rsidRPr="001268A1" w:rsidRDefault="0068141C" w:rsidP="0068141C">
      <w:pPr>
        <w:pStyle w:val="Header"/>
        <w:tabs>
          <w:tab w:val="left" w:pos="284"/>
        </w:tabs>
        <w:rPr>
          <w:sz w:val="22"/>
          <w:szCs w:val="22"/>
          <w:lang w:val="sv-SE"/>
        </w:rPr>
      </w:pPr>
    </w:p>
    <w:p w:rsidR="0068141C" w:rsidRPr="001268A1" w:rsidRDefault="0068141C" w:rsidP="0068141C">
      <w:pPr>
        <w:pStyle w:val="Header"/>
        <w:tabs>
          <w:tab w:val="left" w:pos="284"/>
        </w:tabs>
        <w:spacing w:before="400"/>
        <w:rPr>
          <w:b/>
          <w:bCs/>
          <w:sz w:val="22"/>
          <w:szCs w:val="22"/>
          <w:lang w:val="sv-SE"/>
        </w:rPr>
      </w:pPr>
      <w:r w:rsidRPr="001268A1">
        <w:rPr>
          <w:sz w:val="22"/>
          <w:szCs w:val="22"/>
          <w:lang w:val="sv-SE"/>
        </w:rPr>
        <w:br w:type="page"/>
      </w:r>
    </w:p>
    <w:tbl>
      <w:tblPr>
        <w:tblW w:w="10188" w:type="dxa"/>
        <w:tblInd w:w="108" w:type="dxa"/>
        <w:tblLayout w:type="fixed"/>
        <w:tblLook w:val="0000" w:firstRow="0" w:lastRow="0" w:firstColumn="0" w:lastColumn="0" w:noHBand="0" w:noVBand="0"/>
      </w:tblPr>
      <w:tblGrid>
        <w:gridCol w:w="828"/>
        <w:gridCol w:w="360"/>
        <w:gridCol w:w="1620"/>
        <w:gridCol w:w="7380"/>
      </w:tblGrid>
      <w:tr w:rsidR="0068141C" w:rsidRPr="009F4449">
        <w:trPr>
          <w:trHeight w:val="284"/>
        </w:trPr>
        <w:tc>
          <w:tcPr>
            <w:tcW w:w="10188" w:type="dxa"/>
            <w:gridSpan w:val="4"/>
            <w:shd w:val="clear" w:color="auto" w:fill="E0E0E0"/>
            <w:vAlign w:val="center"/>
          </w:tcPr>
          <w:p w:rsidR="0068141C" w:rsidRPr="009F4449" w:rsidRDefault="0068141C" w:rsidP="0068141C">
            <w:pPr>
              <w:pStyle w:val="Header"/>
              <w:tabs>
                <w:tab w:val="left" w:pos="284"/>
              </w:tabs>
              <w:rPr>
                <w:b/>
                <w:bCs/>
                <w:lang w:val="sr-Latn-CS"/>
              </w:rPr>
            </w:pPr>
            <w:r w:rsidRPr="009F4449">
              <w:rPr>
                <w:b/>
                <w:bCs/>
                <w:sz w:val="22"/>
                <w:szCs w:val="22"/>
              </w:rPr>
              <w:lastRenderedPageBreak/>
              <w:t>1. IME L</w:t>
            </w:r>
            <w:r>
              <w:rPr>
                <w:b/>
                <w:bCs/>
                <w:sz w:val="22"/>
                <w:szCs w:val="22"/>
              </w:rPr>
              <w:t>IJ</w:t>
            </w:r>
            <w:r w:rsidRPr="009F4449">
              <w:rPr>
                <w:b/>
                <w:bCs/>
                <w:sz w:val="22"/>
                <w:szCs w:val="22"/>
              </w:rPr>
              <w:t>EKA</w:t>
            </w:r>
          </w:p>
        </w:tc>
      </w:tr>
      <w:tr w:rsidR="0068141C" w:rsidRPr="009F4449">
        <w:trPr>
          <w:trHeight w:val="525"/>
        </w:trPr>
        <w:tc>
          <w:tcPr>
            <w:tcW w:w="10188" w:type="dxa"/>
            <w:gridSpan w:val="4"/>
            <w:vAlign w:val="center"/>
          </w:tcPr>
          <w:p w:rsidR="0068141C" w:rsidRPr="00CA322A" w:rsidRDefault="0068141C" w:rsidP="0068141C">
            <w:pPr>
              <w:pStyle w:val="Header"/>
              <w:tabs>
                <w:tab w:val="left" w:pos="284"/>
              </w:tabs>
            </w:pPr>
            <w:r>
              <w:rPr>
                <w:sz w:val="22"/>
                <w:szCs w:val="22"/>
              </w:rPr>
              <w:t>Tyverb</w:t>
            </w:r>
            <w:r w:rsidRPr="00FE01CC">
              <w:rPr>
                <w:sz w:val="22"/>
                <w:szCs w:val="22"/>
                <w:vertAlign w:val="superscript"/>
              </w:rPr>
              <w:t>®</w:t>
            </w:r>
            <w:r>
              <w:rPr>
                <w:sz w:val="22"/>
                <w:szCs w:val="22"/>
                <w:vertAlign w:val="superscript"/>
              </w:rPr>
              <w:t xml:space="preserve"> </w:t>
            </w:r>
            <w:r>
              <w:rPr>
                <w:sz w:val="22"/>
                <w:szCs w:val="22"/>
              </w:rPr>
              <w:t>250mg film tablet</w:t>
            </w:r>
          </w:p>
        </w:tc>
      </w:tr>
      <w:tr w:rsidR="0068141C" w:rsidRPr="009F4449">
        <w:trPr>
          <w:trHeight w:val="338"/>
        </w:trPr>
        <w:tc>
          <w:tcPr>
            <w:tcW w:w="828" w:type="dxa"/>
          </w:tcPr>
          <w:p w:rsidR="0068141C" w:rsidRPr="009F4449" w:rsidRDefault="0068141C" w:rsidP="0068141C">
            <w:pPr>
              <w:pStyle w:val="Header"/>
              <w:tabs>
                <w:tab w:val="left" w:pos="284"/>
              </w:tabs>
            </w:pPr>
            <w:smartTag w:uri="urn:schemas-microsoft-com:office:smarttags" w:element="place">
              <w:r w:rsidRPr="009F4449">
                <w:rPr>
                  <w:sz w:val="22"/>
                  <w:szCs w:val="22"/>
                </w:rPr>
                <w:t>INN</w:t>
              </w:r>
            </w:smartTag>
            <w:r w:rsidRPr="009F4449">
              <w:rPr>
                <w:sz w:val="22"/>
                <w:szCs w:val="22"/>
              </w:rPr>
              <w:t>:</w:t>
            </w:r>
          </w:p>
        </w:tc>
        <w:tc>
          <w:tcPr>
            <w:tcW w:w="9360" w:type="dxa"/>
            <w:gridSpan w:val="3"/>
            <w:vAlign w:val="center"/>
          </w:tcPr>
          <w:p w:rsidR="0068141C" w:rsidRPr="009F4449" w:rsidRDefault="0068141C" w:rsidP="0068141C">
            <w:pPr>
              <w:pStyle w:val="Header"/>
              <w:tabs>
                <w:tab w:val="left" w:pos="284"/>
              </w:tabs>
            </w:pPr>
            <w:r>
              <w:rPr>
                <w:sz w:val="22"/>
                <w:szCs w:val="22"/>
              </w:rPr>
              <w:t>Lapatinib</w:t>
            </w:r>
          </w:p>
        </w:tc>
      </w:tr>
      <w:tr w:rsidR="0068141C" w:rsidRPr="009F4449">
        <w:tc>
          <w:tcPr>
            <w:tcW w:w="10188" w:type="dxa"/>
            <w:gridSpan w:val="4"/>
            <w:shd w:val="clear" w:color="auto" w:fill="E0E0E0"/>
            <w:vAlign w:val="center"/>
          </w:tcPr>
          <w:p w:rsidR="0068141C" w:rsidRPr="009F4449" w:rsidRDefault="0068141C" w:rsidP="0068141C">
            <w:pPr>
              <w:pStyle w:val="Header"/>
              <w:tabs>
                <w:tab w:val="left" w:pos="284"/>
              </w:tabs>
              <w:rPr>
                <w:b/>
                <w:bCs/>
              </w:rPr>
            </w:pPr>
            <w:r w:rsidRPr="009F4449">
              <w:rPr>
                <w:b/>
                <w:bCs/>
                <w:sz w:val="22"/>
                <w:szCs w:val="22"/>
              </w:rPr>
              <w:t>2. KVALITATIVNI I KVANTITATIVNI SASTAV</w:t>
            </w:r>
          </w:p>
        </w:tc>
      </w:tr>
      <w:tr w:rsidR="0068141C" w:rsidRPr="00537E06">
        <w:trPr>
          <w:trHeight w:val="1145"/>
        </w:trPr>
        <w:tc>
          <w:tcPr>
            <w:tcW w:w="10188" w:type="dxa"/>
            <w:gridSpan w:val="4"/>
            <w:vAlign w:val="center"/>
          </w:tcPr>
          <w:p w:rsidR="0068141C" w:rsidRDefault="0068141C" w:rsidP="0068141C">
            <w:pPr>
              <w:pStyle w:val="Header"/>
              <w:tabs>
                <w:tab w:val="left" w:pos="284"/>
              </w:tabs>
            </w:pPr>
            <w:r>
              <w:rPr>
                <w:sz w:val="22"/>
                <w:szCs w:val="22"/>
              </w:rPr>
              <w:t>Svaka film tableta sadrži 405mg lapatinib-ditosilat, monohidrata što odgovara 250mg lapatiniba.</w:t>
            </w:r>
          </w:p>
          <w:p w:rsidR="0068141C" w:rsidRPr="001268A1" w:rsidRDefault="0068141C" w:rsidP="0068141C">
            <w:pPr>
              <w:pStyle w:val="Header"/>
              <w:tabs>
                <w:tab w:val="left" w:pos="284"/>
              </w:tabs>
              <w:rPr>
                <w:lang w:val="pl-PL"/>
              </w:rPr>
            </w:pPr>
            <w:r w:rsidRPr="001268A1">
              <w:rPr>
                <w:sz w:val="22"/>
                <w:szCs w:val="22"/>
                <w:lang w:val="pl-PL"/>
              </w:rPr>
              <w:t>Za listu pomoćnih supstanci vid</w:t>
            </w:r>
            <w:r>
              <w:rPr>
                <w:sz w:val="22"/>
                <w:szCs w:val="22"/>
                <w:lang w:val="pl-PL"/>
              </w:rPr>
              <w:t>j</w:t>
            </w:r>
            <w:r w:rsidRPr="001268A1">
              <w:rPr>
                <w:sz w:val="22"/>
                <w:szCs w:val="22"/>
                <w:lang w:val="pl-PL"/>
              </w:rPr>
              <w:t>eti Odeljak 6.1.</w:t>
            </w:r>
          </w:p>
        </w:tc>
      </w:tr>
      <w:tr w:rsidR="0068141C" w:rsidRPr="009F4449">
        <w:tc>
          <w:tcPr>
            <w:tcW w:w="10188" w:type="dxa"/>
            <w:gridSpan w:val="4"/>
            <w:shd w:val="clear" w:color="auto" w:fill="E0E0E0"/>
            <w:vAlign w:val="center"/>
          </w:tcPr>
          <w:p w:rsidR="0068141C" w:rsidRPr="009F4449" w:rsidRDefault="0068141C" w:rsidP="0068141C">
            <w:pPr>
              <w:pStyle w:val="Header"/>
              <w:tabs>
                <w:tab w:val="left" w:pos="284"/>
              </w:tabs>
              <w:rPr>
                <w:b/>
                <w:bCs/>
              </w:rPr>
            </w:pPr>
            <w:r w:rsidRPr="009F4449">
              <w:rPr>
                <w:b/>
                <w:bCs/>
                <w:sz w:val="22"/>
                <w:szCs w:val="22"/>
              </w:rPr>
              <w:t>3. FARMACEUTSKI OBLIK</w:t>
            </w:r>
          </w:p>
        </w:tc>
      </w:tr>
      <w:tr w:rsidR="0068141C" w:rsidRPr="00C60A19">
        <w:trPr>
          <w:trHeight w:val="858"/>
        </w:trPr>
        <w:tc>
          <w:tcPr>
            <w:tcW w:w="10188" w:type="dxa"/>
            <w:gridSpan w:val="4"/>
            <w:vAlign w:val="center"/>
          </w:tcPr>
          <w:p w:rsidR="0068141C" w:rsidRDefault="0068141C" w:rsidP="0068141C">
            <w:pPr>
              <w:pStyle w:val="Header"/>
              <w:tabs>
                <w:tab w:val="left" w:pos="284"/>
              </w:tabs>
            </w:pPr>
          </w:p>
          <w:p w:rsidR="0068141C" w:rsidRDefault="0068141C" w:rsidP="0068141C">
            <w:pPr>
              <w:pStyle w:val="Header"/>
              <w:tabs>
                <w:tab w:val="left" w:pos="284"/>
              </w:tabs>
            </w:pPr>
            <w:r>
              <w:rPr>
                <w:sz w:val="22"/>
                <w:szCs w:val="22"/>
              </w:rPr>
              <w:t>Film tableta.</w:t>
            </w:r>
          </w:p>
          <w:p w:rsidR="0068141C" w:rsidRDefault="0068141C" w:rsidP="0068141C">
            <w:pPr>
              <w:pStyle w:val="Header"/>
              <w:tabs>
                <w:tab w:val="left" w:pos="284"/>
              </w:tabs>
            </w:pPr>
          </w:p>
          <w:p w:rsidR="0068141C" w:rsidRPr="00C60A19" w:rsidRDefault="0068141C" w:rsidP="0068141C">
            <w:pPr>
              <w:pStyle w:val="Header"/>
              <w:tabs>
                <w:tab w:val="left" w:pos="284"/>
              </w:tabs>
              <w:rPr>
                <w:lang w:val="sv-SE"/>
              </w:rPr>
            </w:pPr>
            <w:r w:rsidRPr="00C60A19">
              <w:rPr>
                <w:sz w:val="22"/>
                <w:szCs w:val="22"/>
                <w:lang w:val="sv-SE"/>
              </w:rPr>
              <w:t>Ovaln</w:t>
            </w:r>
            <w:r>
              <w:rPr>
                <w:sz w:val="22"/>
                <w:szCs w:val="22"/>
                <w:lang w:val="sv-SE"/>
              </w:rPr>
              <w:t xml:space="preserve">e, bikonveksne film tablete žute </w:t>
            </w:r>
            <w:r w:rsidRPr="00C60A19">
              <w:rPr>
                <w:sz w:val="22"/>
                <w:szCs w:val="22"/>
                <w:lang w:val="sv-SE"/>
              </w:rPr>
              <w:t>boje sa oznakom 'GS XJG' sa jedne strane.</w:t>
            </w:r>
          </w:p>
          <w:p w:rsidR="0068141C" w:rsidRPr="00C60A19" w:rsidRDefault="0068141C" w:rsidP="0068141C">
            <w:pPr>
              <w:pStyle w:val="Header"/>
              <w:tabs>
                <w:tab w:val="left" w:pos="284"/>
              </w:tabs>
              <w:rPr>
                <w:lang w:val="sv-SE"/>
              </w:rPr>
            </w:pPr>
          </w:p>
        </w:tc>
      </w:tr>
      <w:tr w:rsidR="0068141C" w:rsidRPr="009F4449">
        <w:tc>
          <w:tcPr>
            <w:tcW w:w="10188" w:type="dxa"/>
            <w:gridSpan w:val="4"/>
            <w:shd w:val="clear" w:color="auto" w:fill="E0E0E0"/>
            <w:vAlign w:val="center"/>
          </w:tcPr>
          <w:p w:rsidR="0068141C" w:rsidRPr="009F4449" w:rsidRDefault="0068141C" w:rsidP="0068141C">
            <w:pPr>
              <w:pStyle w:val="Header"/>
              <w:tabs>
                <w:tab w:val="left" w:pos="284"/>
              </w:tabs>
              <w:rPr>
                <w:b/>
                <w:bCs/>
              </w:rPr>
            </w:pPr>
            <w:r w:rsidRPr="009F4449">
              <w:rPr>
                <w:b/>
                <w:bCs/>
                <w:sz w:val="22"/>
                <w:szCs w:val="22"/>
              </w:rPr>
              <w:t>4. KLINIČKI PODACI</w:t>
            </w:r>
          </w:p>
        </w:tc>
      </w:tr>
      <w:tr w:rsidR="0068141C" w:rsidRPr="009F4449">
        <w:tc>
          <w:tcPr>
            <w:tcW w:w="10188" w:type="dxa"/>
            <w:gridSpan w:val="4"/>
            <w:vAlign w:val="center"/>
          </w:tcPr>
          <w:p w:rsidR="0068141C" w:rsidRDefault="0068141C" w:rsidP="0068141C">
            <w:pPr>
              <w:pStyle w:val="Header"/>
              <w:tabs>
                <w:tab w:val="left" w:pos="284"/>
              </w:tabs>
              <w:spacing w:before="80" w:after="80"/>
              <w:rPr>
                <w:b/>
                <w:bCs/>
                <w:sz w:val="22"/>
                <w:szCs w:val="22"/>
              </w:rPr>
            </w:pPr>
            <w:r w:rsidRPr="009F4449">
              <w:rPr>
                <w:b/>
                <w:bCs/>
                <w:sz w:val="22"/>
                <w:szCs w:val="22"/>
              </w:rPr>
              <w:t>4.1. Terapijske indikacije</w:t>
            </w:r>
          </w:p>
          <w:p w:rsidR="0068141C" w:rsidRPr="009F4449" w:rsidRDefault="0068141C" w:rsidP="0068141C">
            <w:pPr>
              <w:pStyle w:val="Header"/>
              <w:tabs>
                <w:tab w:val="left" w:pos="284"/>
              </w:tabs>
              <w:spacing w:before="80" w:after="80"/>
              <w:rPr>
                <w:b/>
                <w:bCs/>
              </w:rPr>
            </w:pPr>
          </w:p>
        </w:tc>
      </w:tr>
      <w:tr w:rsidR="0068141C" w:rsidRPr="009F4449">
        <w:trPr>
          <w:trHeight w:val="1145"/>
        </w:trPr>
        <w:tc>
          <w:tcPr>
            <w:tcW w:w="10188" w:type="dxa"/>
            <w:gridSpan w:val="4"/>
            <w:vAlign w:val="center"/>
          </w:tcPr>
          <w:p w:rsidR="0068141C" w:rsidRPr="00FA3AA5" w:rsidRDefault="0068141C" w:rsidP="0068141C">
            <w:pPr>
              <w:pStyle w:val="Header"/>
              <w:tabs>
                <w:tab w:val="left" w:pos="284"/>
              </w:tabs>
              <w:rPr>
                <w:bCs/>
                <w:sz w:val="22"/>
                <w:szCs w:val="22"/>
              </w:rPr>
            </w:pPr>
            <w:r w:rsidRPr="00FA3AA5">
              <w:rPr>
                <w:sz w:val="22"/>
                <w:szCs w:val="22"/>
              </w:rPr>
              <w:t>Lijek Tyverb</w:t>
            </w:r>
            <w:r w:rsidRPr="00FA3AA5">
              <w:rPr>
                <w:bCs/>
                <w:sz w:val="22"/>
                <w:szCs w:val="22"/>
                <w:vertAlign w:val="superscript"/>
              </w:rPr>
              <w:t>®</w:t>
            </w:r>
            <w:r w:rsidRPr="00FA3AA5">
              <w:rPr>
                <w:bCs/>
                <w:sz w:val="22"/>
                <w:szCs w:val="22"/>
              </w:rPr>
              <w:t xml:space="preserve"> je indikovan za </w:t>
            </w:r>
            <w:r>
              <w:rPr>
                <w:bCs/>
                <w:sz w:val="22"/>
                <w:szCs w:val="22"/>
              </w:rPr>
              <w:t>liječ</w:t>
            </w:r>
            <w:r w:rsidRPr="00FA3AA5">
              <w:rPr>
                <w:bCs/>
                <w:sz w:val="22"/>
                <w:szCs w:val="22"/>
              </w:rPr>
              <w:t>enje pacijenata sa karcinomom dojke, čiji tumori pokazuju ErbB2 (HER2) ekspresiju:</w:t>
            </w:r>
          </w:p>
          <w:p w:rsidR="0068141C" w:rsidRPr="00927842" w:rsidRDefault="0068141C" w:rsidP="0068141C">
            <w:pPr>
              <w:pStyle w:val="Header"/>
              <w:tabs>
                <w:tab w:val="left" w:pos="284"/>
              </w:tabs>
              <w:rPr>
                <w:b/>
                <w:strike/>
                <w:sz w:val="22"/>
                <w:szCs w:val="22"/>
                <w:u w:val="single"/>
              </w:rPr>
            </w:pPr>
          </w:p>
          <w:p w:rsidR="0068141C" w:rsidRDefault="0068141C" w:rsidP="0068141C">
            <w:pPr>
              <w:pStyle w:val="Header"/>
              <w:numPr>
                <w:ilvl w:val="0"/>
                <w:numId w:val="32"/>
              </w:numPr>
              <w:tabs>
                <w:tab w:val="clear" w:pos="4320"/>
                <w:tab w:val="clear" w:pos="8640"/>
                <w:tab w:val="left" w:pos="284"/>
              </w:tabs>
              <w:rPr>
                <w:sz w:val="22"/>
                <w:szCs w:val="22"/>
              </w:rPr>
            </w:pPr>
            <w:r>
              <w:rPr>
                <w:sz w:val="22"/>
                <w:szCs w:val="22"/>
              </w:rPr>
              <w:t xml:space="preserve">u kombinaciji sa kapecitabinom </w:t>
            </w:r>
            <w:r w:rsidRPr="00FA3AA5">
              <w:rPr>
                <w:color w:val="000000"/>
                <w:sz w:val="22"/>
                <w:szCs w:val="22"/>
              </w:rPr>
              <w:t xml:space="preserve">kod </w:t>
            </w:r>
            <w:r w:rsidRPr="00B2793A">
              <w:rPr>
                <w:color w:val="000000"/>
                <w:sz w:val="22"/>
                <w:szCs w:val="22"/>
              </w:rPr>
              <w:t>pacijenata</w:t>
            </w:r>
            <w:r>
              <w:rPr>
                <w:sz w:val="22"/>
                <w:szCs w:val="22"/>
              </w:rPr>
              <w:t xml:space="preserve"> sa uznapredoval</w:t>
            </w:r>
            <w:r>
              <w:rPr>
                <w:color w:val="000000"/>
                <w:sz w:val="22"/>
                <w:szCs w:val="22"/>
              </w:rPr>
              <w:t>o</w:t>
            </w:r>
            <w:r w:rsidRPr="00B2793A">
              <w:rPr>
                <w:color w:val="000000"/>
                <w:sz w:val="22"/>
                <w:szCs w:val="22"/>
              </w:rPr>
              <w:t>m</w:t>
            </w:r>
            <w:r>
              <w:rPr>
                <w:sz w:val="22"/>
                <w:szCs w:val="22"/>
              </w:rPr>
              <w:t xml:space="preserve"> ili metastatsk</w:t>
            </w:r>
            <w:r>
              <w:rPr>
                <w:color w:val="000000"/>
                <w:sz w:val="22"/>
                <w:szCs w:val="22"/>
              </w:rPr>
              <w:t>o</w:t>
            </w:r>
            <w:r w:rsidRPr="00B2793A">
              <w:rPr>
                <w:color w:val="000000"/>
                <w:sz w:val="22"/>
                <w:szCs w:val="22"/>
              </w:rPr>
              <w:t>m</w:t>
            </w:r>
            <w:r>
              <w:rPr>
                <w:color w:val="000000"/>
                <w:sz w:val="22"/>
                <w:szCs w:val="22"/>
              </w:rPr>
              <w:t xml:space="preserve"> </w:t>
            </w:r>
            <w:r w:rsidRPr="00B21112">
              <w:rPr>
                <w:color w:val="000000"/>
                <w:sz w:val="22"/>
                <w:szCs w:val="22"/>
              </w:rPr>
              <w:t>bolesti</w:t>
            </w:r>
            <w:r w:rsidRPr="00B21112">
              <w:rPr>
                <w:sz w:val="22"/>
                <w:szCs w:val="22"/>
              </w:rPr>
              <w:t xml:space="preserve"> </w:t>
            </w:r>
            <w:r>
              <w:rPr>
                <w:sz w:val="22"/>
                <w:szCs w:val="22"/>
              </w:rPr>
              <w:t xml:space="preserve">, a njegovoj primjeni treba da prethodi terapija antraciklinima i taksanima, kao i terapija trastuzumabom u </w:t>
            </w:r>
            <w:r w:rsidRPr="00B83BB3">
              <w:rPr>
                <w:color w:val="000000"/>
                <w:sz w:val="22"/>
                <w:szCs w:val="22"/>
              </w:rPr>
              <w:t>metastatskoj bolesti</w:t>
            </w:r>
            <w:r>
              <w:rPr>
                <w:sz w:val="22"/>
                <w:szCs w:val="22"/>
              </w:rPr>
              <w:t xml:space="preserve"> (vidjeti Odjeljak 5.1). </w:t>
            </w:r>
          </w:p>
          <w:p w:rsidR="0068141C" w:rsidRPr="00FA3AA5" w:rsidRDefault="0068141C" w:rsidP="0068141C">
            <w:pPr>
              <w:pStyle w:val="Header"/>
              <w:numPr>
                <w:ilvl w:val="0"/>
                <w:numId w:val="32"/>
              </w:numPr>
              <w:tabs>
                <w:tab w:val="clear" w:pos="4320"/>
                <w:tab w:val="clear" w:pos="8640"/>
                <w:tab w:val="left" w:pos="284"/>
              </w:tabs>
              <w:rPr>
                <w:sz w:val="22"/>
                <w:szCs w:val="22"/>
              </w:rPr>
            </w:pPr>
            <w:r w:rsidRPr="00FA3AA5">
              <w:rPr>
                <w:bCs/>
                <w:sz w:val="22"/>
                <w:szCs w:val="22"/>
              </w:rPr>
              <w:t>u kombinaciji sa aromataza inhibitorom, kod postmenopauzalnih žena sa hormon receptor-pozitivnom metastatskom bolesti, kojima trenutno nije planirana hemoterapija. Pacijenti u registracionom kliničkom ispitivanju nisu prethodno bili na terapiji trastuzumabom ili aromataza inhibitorom (vid</w:t>
            </w:r>
            <w:r>
              <w:rPr>
                <w:bCs/>
                <w:sz w:val="22"/>
                <w:szCs w:val="22"/>
              </w:rPr>
              <w:t>j</w:t>
            </w:r>
            <w:r w:rsidRPr="00FA3AA5">
              <w:rPr>
                <w:bCs/>
                <w:sz w:val="22"/>
                <w:szCs w:val="22"/>
              </w:rPr>
              <w:t>eti Od</w:t>
            </w:r>
            <w:r>
              <w:rPr>
                <w:bCs/>
                <w:sz w:val="22"/>
                <w:szCs w:val="22"/>
              </w:rPr>
              <w:t>j</w:t>
            </w:r>
            <w:r w:rsidRPr="00FA3AA5">
              <w:rPr>
                <w:bCs/>
                <w:sz w:val="22"/>
                <w:szCs w:val="22"/>
              </w:rPr>
              <w:t>eljak 5.1)</w:t>
            </w:r>
          </w:p>
          <w:p w:rsidR="0068141C" w:rsidRPr="009F4449" w:rsidRDefault="0068141C" w:rsidP="0068141C">
            <w:pPr>
              <w:pStyle w:val="Header"/>
              <w:tabs>
                <w:tab w:val="left" w:pos="284"/>
              </w:tabs>
            </w:pPr>
          </w:p>
        </w:tc>
      </w:tr>
      <w:tr w:rsidR="0068141C" w:rsidRPr="009F4449">
        <w:tc>
          <w:tcPr>
            <w:tcW w:w="10188" w:type="dxa"/>
            <w:gridSpan w:val="4"/>
            <w:vAlign w:val="center"/>
          </w:tcPr>
          <w:p w:rsidR="0068141C" w:rsidRPr="009F4449" w:rsidRDefault="0068141C" w:rsidP="0068141C">
            <w:pPr>
              <w:pStyle w:val="Header"/>
              <w:tabs>
                <w:tab w:val="left" w:pos="284"/>
              </w:tabs>
              <w:spacing w:before="80" w:after="80"/>
              <w:rPr>
                <w:b/>
                <w:bCs/>
              </w:rPr>
            </w:pPr>
            <w:r w:rsidRPr="009F4449">
              <w:rPr>
                <w:b/>
                <w:bCs/>
                <w:sz w:val="22"/>
                <w:szCs w:val="22"/>
              </w:rPr>
              <w:t>4.2. Doziranje i način prim</w:t>
            </w:r>
            <w:r>
              <w:rPr>
                <w:b/>
                <w:bCs/>
                <w:sz w:val="22"/>
                <w:szCs w:val="22"/>
              </w:rPr>
              <w:t>j</w:t>
            </w:r>
            <w:r w:rsidRPr="009F4449">
              <w:rPr>
                <w:b/>
                <w:bCs/>
                <w:sz w:val="22"/>
                <w:szCs w:val="22"/>
              </w:rPr>
              <w:t>ene</w:t>
            </w:r>
          </w:p>
        </w:tc>
      </w:tr>
      <w:tr w:rsidR="0068141C" w:rsidRPr="00537E06">
        <w:trPr>
          <w:trHeight w:val="358"/>
        </w:trPr>
        <w:tc>
          <w:tcPr>
            <w:tcW w:w="10188" w:type="dxa"/>
            <w:gridSpan w:val="4"/>
            <w:vAlign w:val="center"/>
          </w:tcPr>
          <w:p w:rsidR="0068141C" w:rsidRDefault="0068141C" w:rsidP="0068141C">
            <w:pPr>
              <w:pStyle w:val="Header"/>
              <w:tabs>
                <w:tab w:val="left" w:pos="284"/>
              </w:tabs>
            </w:pPr>
          </w:p>
          <w:p w:rsidR="0068141C" w:rsidRDefault="0068141C" w:rsidP="0068141C">
            <w:pPr>
              <w:pStyle w:val="Header"/>
              <w:tabs>
                <w:tab w:val="left" w:pos="284"/>
              </w:tabs>
            </w:pPr>
            <w:r w:rsidRPr="00FA3AA5">
              <w:rPr>
                <w:sz w:val="22"/>
                <w:szCs w:val="22"/>
              </w:rPr>
              <w:t>Terapiju l</w:t>
            </w:r>
            <w:r>
              <w:rPr>
                <w:sz w:val="22"/>
                <w:szCs w:val="22"/>
              </w:rPr>
              <w:t>ij</w:t>
            </w:r>
            <w:r w:rsidRPr="00FA3AA5">
              <w:rPr>
                <w:sz w:val="22"/>
                <w:szCs w:val="22"/>
              </w:rPr>
              <w:t>ekom Tyverb</w:t>
            </w:r>
            <w:r w:rsidRPr="00FA3AA5">
              <w:rPr>
                <w:bCs/>
                <w:sz w:val="22"/>
                <w:szCs w:val="22"/>
                <w:vertAlign w:val="superscript"/>
              </w:rPr>
              <w:t>®</w:t>
            </w:r>
            <w:r>
              <w:rPr>
                <w:bCs/>
                <w:sz w:val="22"/>
                <w:szCs w:val="22"/>
                <w:vertAlign w:val="superscript"/>
              </w:rPr>
              <w:t xml:space="preserve"> </w:t>
            </w:r>
            <w:r w:rsidRPr="00AF79DE">
              <w:rPr>
                <w:sz w:val="22"/>
                <w:szCs w:val="22"/>
              </w:rPr>
              <w:t>treba</w:t>
            </w:r>
            <w:r>
              <w:rPr>
                <w:sz w:val="22"/>
                <w:szCs w:val="22"/>
              </w:rPr>
              <w:t xml:space="preserve"> da uvede isključivo ljekar sa iskustvom u oblasti primjene antikancerogenih preparata.</w:t>
            </w:r>
          </w:p>
          <w:p w:rsidR="0068141C" w:rsidRDefault="0068141C" w:rsidP="0068141C">
            <w:pPr>
              <w:pStyle w:val="Header"/>
              <w:tabs>
                <w:tab w:val="left" w:pos="284"/>
              </w:tabs>
            </w:pPr>
          </w:p>
          <w:p w:rsidR="0068141C" w:rsidRPr="001268A1" w:rsidRDefault="0068141C" w:rsidP="0068141C">
            <w:pPr>
              <w:pStyle w:val="Header"/>
              <w:tabs>
                <w:tab w:val="left" w:pos="284"/>
              </w:tabs>
              <w:rPr>
                <w:lang w:val="sv-SE"/>
              </w:rPr>
            </w:pPr>
            <w:r>
              <w:rPr>
                <w:sz w:val="22"/>
                <w:szCs w:val="22"/>
              </w:rPr>
              <w:t>Tumori sa</w:t>
            </w:r>
            <w:r w:rsidRPr="00B83BB3">
              <w:rPr>
                <w:color w:val="000000"/>
                <w:sz w:val="22"/>
                <w:szCs w:val="22"/>
              </w:rPr>
              <w:t xml:space="preserve"> prekom</w:t>
            </w:r>
            <w:r>
              <w:rPr>
                <w:color w:val="000000"/>
                <w:sz w:val="22"/>
                <w:szCs w:val="22"/>
              </w:rPr>
              <w:t>j</w:t>
            </w:r>
            <w:r w:rsidRPr="00B83BB3">
              <w:rPr>
                <w:color w:val="000000"/>
                <w:sz w:val="22"/>
                <w:szCs w:val="22"/>
              </w:rPr>
              <w:t>ernom</w:t>
            </w:r>
            <w:r>
              <w:rPr>
                <w:color w:val="000000"/>
                <w:sz w:val="22"/>
                <w:szCs w:val="22"/>
              </w:rPr>
              <w:t xml:space="preserve"> </w:t>
            </w:r>
            <w:r w:rsidRPr="00FA3AA5">
              <w:rPr>
                <w:color w:val="000000"/>
                <w:sz w:val="22"/>
                <w:szCs w:val="22"/>
              </w:rPr>
              <w:t>HER2</w:t>
            </w:r>
            <w:r w:rsidRPr="00B83BB3">
              <w:rPr>
                <w:color w:val="000000"/>
                <w:sz w:val="22"/>
                <w:szCs w:val="22"/>
              </w:rPr>
              <w:t xml:space="preserve"> </w:t>
            </w:r>
            <w:r>
              <w:rPr>
                <w:color w:val="000000"/>
                <w:sz w:val="22"/>
                <w:szCs w:val="22"/>
              </w:rPr>
              <w:t>(</w:t>
            </w:r>
            <w:r w:rsidRPr="00B83BB3">
              <w:rPr>
                <w:color w:val="000000"/>
                <w:sz w:val="22"/>
                <w:szCs w:val="22"/>
              </w:rPr>
              <w:t>ErbB2</w:t>
            </w:r>
            <w:r>
              <w:rPr>
                <w:color w:val="000000"/>
                <w:sz w:val="22"/>
                <w:szCs w:val="22"/>
              </w:rPr>
              <w:t>)</w:t>
            </w:r>
            <w:r w:rsidRPr="00B83BB3">
              <w:rPr>
                <w:color w:val="000000"/>
                <w:sz w:val="22"/>
                <w:szCs w:val="22"/>
              </w:rPr>
              <w:t xml:space="preserve"> ekspresijom </w:t>
            </w:r>
            <w:r>
              <w:rPr>
                <w:sz w:val="22"/>
                <w:szCs w:val="22"/>
              </w:rPr>
              <w:t xml:space="preserve">su definisani pomoću IHC3+, ili IHC2+ i genske amplifikacije ili isključivo putem genske amplifikacije. </w:t>
            </w:r>
            <w:r w:rsidRPr="00FA3AA5">
              <w:rPr>
                <w:sz w:val="22"/>
                <w:szCs w:val="22"/>
                <w:lang w:val="sv-SE"/>
              </w:rPr>
              <w:t>HER2 status</w:t>
            </w:r>
            <w:r>
              <w:rPr>
                <w:sz w:val="22"/>
                <w:szCs w:val="22"/>
                <w:lang w:val="sv-SE"/>
              </w:rPr>
              <w:t xml:space="preserve"> </w:t>
            </w:r>
            <w:r w:rsidRPr="001268A1">
              <w:rPr>
                <w:sz w:val="22"/>
                <w:szCs w:val="22"/>
                <w:lang w:val="sv-SE"/>
              </w:rPr>
              <w:t xml:space="preserve">mora biti </w:t>
            </w:r>
            <w:r w:rsidRPr="00FA3AA5">
              <w:rPr>
                <w:sz w:val="22"/>
                <w:szCs w:val="22"/>
                <w:lang w:val="sv-SE"/>
              </w:rPr>
              <w:t xml:space="preserve"> određen</w:t>
            </w:r>
            <w:r>
              <w:rPr>
                <w:sz w:val="22"/>
                <w:szCs w:val="22"/>
                <w:lang w:val="sv-SE"/>
              </w:rPr>
              <w:t xml:space="preserve"> primjenom preciznih</w:t>
            </w:r>
            <w:r w:rsidRPr="001268A1">
              <w:rPr>
                <w:sz w:val="22"/>
                <w:szCs w:val="22"/>
                <w:lang w:val="sv-SE"/>
              </w:rPr>
              <w:t xml:space="preserve"> i valid</w:t>
            </w:r>
            <w:r>
              <w:rPr>
                <w:sz w:val="22"/>
                <w:szCs w:val="22"/>
                <w:lang w:val="sv-SE"/>
              </w:rPr>
              <w:t>iranih</w:t>
            </w:r>
            <w:r w:rsidRPr="001268A1">
              <w:rPr>
                <w:sz w:val="22"/>
                <w:szCs w:val="22"/>
                <w:lang w:val="sv-SE"/>
              </w:rPr>
              <w:t xml:space="preserve"> </w:t>
            </w:r>
            <w:r w:rsidRPr="00FA3AA5">
              <w:rPr>
                <w:sz w:val="22"/>
                <w:szCs w:val="22"/>
                <w:lang w:val="sv-SE"/>
              </w:rPr>
              <w:t>metoda.</w:t>
            </w:r>
          </w:p>
          <w:p w:rsidR="0068141C" w:rsidRDefault="0068141C" w:rsidP="0068141C">
            <w:pPr>
              <w:pStyle w:val="Header"/>
              <w:tabs>
                <w:tab w:val="left" w:pos="284"/>
              </w:tabs>
              <w:rPr>
                <w:b/>
                <w:sz w:val="22"/>
                <w:szCs w:val="22"/>
                <w:lang w:val="sv-SE"/>
              </w:rPr>
            </w:pPr>
          </w:p>
          <w:p w:rsidR="0068141C" w:rsidRPr="00FA3AA5" w:rsidRDefault="0068141C" w:rsidP="0068141C">
            <w:pPr>
              <w:pStyle w:val="Header"/>
              <w:tabs>
                <w:tab w:val="left" w:pos="284"/>
              </w:tabs>
              <w:rPr>
                <w:bCs/>
                <w:sz w:val="22"/>
                <w:szCs w:val="22"/>
              </w:rPr>
            </w:pPr>
            <w:r w:rsidRPr="00FA3AA5">
              <w:rPr>
                <w:sz w:val="22"/>
                <w:szCs w:val="22"/>
                <w:lang w:val="sv-SE"/>
              </w:rPr>
              <w:t>Dnevnu dozu l</w:t>
            </w:r>
            <w:r>
              <w:rPr>
                <w:sz w:val="22"/>
                <w:szCs w:val="22"/>
                <w:lang w:val="sv-SE"/>
              </w:rPr>
              <w:t>ij</w:t>
            </w:r>
            <w:r w:rsidRPr="00FA3AA5">
              <w:rPr>
                <w:sz w:val="22"/>
                <w:szCs w:val="22"/>
                <w:lang w:val="sv-SE"/>
              </w:rPr>
              <w:t xml:space="preserve">eka </w:t>
            </w:r>
            <w:r w:rsidRPr="00FA3AA5">
              <w:rPr>
                <w:sz w:val="22"/>
                <w:szCs w:val="22"/>
              </w:rPr>
              <w:t>Tyverb</w:t>
            </w:r>
            <w:r w:rsidRPr="00FA3AA5">
              <w:rPr>
                <w:bCs/>
                <w:sz w:val="22"/>
                <w:szCs w:val="22"/>
                <w:vertAlign w:val="superscript"/>
              </w:rPr>
              <w:t>®</w:t>
            </w:r>
            <w:r w:rsidRPr="00FA3AA5">
              <w:rPr>
                <w:bCs/>
                <w:sz w:val="22"/>
                <w:szCs w:val="22"/>
              </w:rPr>
              <w:t xml:space="preserve"> ne treba </w:t>
            </w:r>
            <w:r>
              <w:rPr>
                <w:bCs/>
                <w:sz w:val="22"/>
                <w:szCs w:val="22"/>
              </w:rPr>
              <w:t>dijeliti</w:t>
            </w:r>
            <w:r w:rsidRPr="00FA3AA5">
              <w:rPr>
                <w:bCs/>
                <w:sz w:val="22"/>
                <w:szCs w:val="22"/>
              </w:rPr>
              <w:t>. L</w:t>
            </w:r>
            <w:r>
              <w:rPr>
                <w:bCs/>
                <w:sz w:val="22"/>
                <w:szCs w:val="22"/>
              </w:rPr>
              <w:t>ij</w:t>
            </w:r>
            <w:r w:rsidRPr="00FA3AA5">
              <w:rPr>
                <w:sz w:val="22"/>
                <w:szCs w:val="22"/>
                <w:lang w:val="sv-SE"/>
              </w:rPr>
              <w:t xml:space="preserve">ek </w:t>
            </w:r>
            <w:r w:rsidRPr="00FA3AA5">
              <w:rPr>
                <w:sz w:val="22"/>
                <w:szCs w:val="22"/>
              </w:rPr>
              <w:t>Tyverb</w:t>
            </w:r>
            <w:r w:rsidRPr="00FA3AA5">
              <w:rPr>
                <w:bCs/>
                <w:sz w:val="22"/>
                <w:szCs w:val="22"/>
                <w:vertAlign w:val="superscript"/>
              </w:rPr>
              <w:t>®</w:t>
            </w:r>
            <w:r w:rsidRPr="00FA3AA5">
              <w:rPr>
                <w:bCs/>
                <w:sz w:val="22"/>
                <w:szCs w:val="22"/>
              </w:rPr>
              <w:t xml:space="preserve"> treba prim</w:t>
            </w:r>
            <w:r>
              <w:rPr>
                <w:bCs/>
                <w:sz w:val="22"/>
                <w:szCs w:val="22"/>
              </w:rPr>
              <w:t>ij</w:t>
            </w:r>
            <w:r w:rsidRPr="00FA3AA5">
              <w:rPr>
                <w:bCs/>
                <w:sz w:val="22"/>
                <w:szCs w:val="22"/>
              </w:rPr>
              <w:t>eniti najmanje jedan sat pr</w:t>
            </w:r>
            <w:r>
              <w:rPr>
                <w:bCs/>
                <w:sz w:val="22"/>
                <w:szCs w:val="22"/>
              </w:rPr>
              <w:t>ij</w:t>
            </w:r>
            <w:r w:rsidRPr="00FA3AA5">
              <w:rPr>
                <w:bCs/>
                <w:sz w:val="22"/>
                <w:szCs w:val="22"/>
              </w:rPr>
              <w:t>e ili najmanje jedan sat posl</w:t>
            </w:r>
            <w:r>
              <w:rPr>
                <w:bCs/>
                <w:sz w:val="22"/>
                <w:szCs w:val="22"/>
              </w:rPr>
              <w:t>ij</w:t>
            </w:r>
            <w:r w:rsidRPr="00FA3AA5">
              <w:rPr>
                <w:bCs/>
                <w:sz w:val="22"/>
                <w:szCs w:val="22"/>
              </w:rPr>
              <w:t>e obroka. Kako bi se umanjila varijabilnost u individualnom odgovoru svakog pacijenta, prim</w:t>
            </w:r>
            <w:r>
              <w:rPr>
                <w:bCs/>
                <w:sz w:val="22"/>
                <w:szCs w:val="22"/>
              </w:rPr>
              <w:t>j</w:t>
            </w:r>
            <w:r w:rsidRPr="00FA3AA5">
              <w:rPr>
                <w:bCs/>
                <w:sz w:val="22"/>
                <w:szCs w:val="22"/>
              </w:rPr>
              <w:t>ena l</w:t>
            </w:r>
            <w:r>
              <w:rPr>
                <w:bCs/>
                <w:sz w:val="22"/>
                <w:szCs w:val="22"/>
              </w:rPr>
              <w:t>ij</w:t>
            </w:r>
            <w:r w:rsidRPr="00FA3AA5">
              <w:rPr>
                <w:bCs/>
                <w:sz w:val="22"/>
                <w:szCs w:val="22"/>
              </w:rPr>
              <w:t xml:space="preserve">eka </w:t>
            </w:r>
            <w:r w:rsidRPr="00FA3AA5">
              <w:rPr>
                <w:sz w:val="22"/>
                <w:szCs w:val="22"/>
              </w:rPr>
              <w:t>Tyverb</w:t>
            </w:r>
            <w:r w:rsidRPr="00FA3AA5">
              <w:rPr>
                <w:bCs/>
                <w:sz w:val="22"/>
                <w:szCs w:val="22"/>
                <w:vertAlign w:val="superscript"/>
              </w:rPr>
              <w:t>®</w:t>
            </w:r>
            <w:r w:rsidRPr="00FA3AA5">
              <w:rPr>
                <w:bCs/>
                <w:sz w:val="22"/>
                <w:szCs w:val="22"/>
              </w:rPr>
              <w:t xml:space="preserve"> treba da bude standardizovana zavisno od uzimanja obroka, na prim</w:t>
            </w:r>
            <w:r>
              <w:rPr>
                <w:bCs/>
                <w:sz w:val="22"/>
                <w:szCs w:val="22"/>
              </w:rPr>
              <w:t>j</w:t>
            </w:r>
            <w:r w:rsidRPr="00FA3AA5">
              <w:rPr>
                <w:bCs/>
                <w:sz w:val="22"/>
                <w:szCs w:val="22"/>
              </w:rPr>
              <w:t>er, l</w:t>
            </w:r>
            <w:r>
              <w:rPr>
                <w:bCs/>
                <w:sz w:val="22"/>
                <w:szCs w:val="22"/>
              </w:rPr>
              <w:t>ij</w:t>
            </w:r>
            <w:r w:rsidRPr="00FA3AA5">
              <w:rPr>
                <w:bCs/>
                <w:sz w:val="22"/>
                <w:szCs w:val="22"/>
              </w:rPr>
              <w:t>ek uzimati uv</w:t>
            </w:r>
            <w:r>
              <w:rPr>
                <w:bCs/>
                <w:sz w:val="22"/>
                <w:szCs w:val="22"/>
              </w:rPr>
              <w:t>j</w:t>
            </w:r>
            <w:r w:rsidRPr="00FA3AA5">
              <w:rPr>
                <w:bCs/>
                <w:sz w:val="22"/>
                <w:szCs w:val="22"/>
              </w:rPr>
              <w:t>ek jedan sat pr</w:t>
            </w:r>
            <w:r>
              <w:rPr>
                <w:bCs/>
                <w:sz w:val="22"/>
                <w:szCs w:val="22"/>
              </w:rPr>
              <w:t>ij</w:t>
            </w:r>
            <w:r w:rsidRPr="00FA3AA5">
              <w:rPr>
                <w:bCs/>
                <w:sz w:val="22"/>
                <w:szCs w:val="22"/>
              </w:rPr>
              <w:t>e obroka (za informacije o resorpciji vid</w:t>
            </w:r>
            <w:r>
              <w:rPr>
                <w:bCs/>
                <w:sz w:val="22"/>
                <w:szCs w:val="22"/>
              </w:rPr>
              <w:t>j</w:t>
            </w:r>
            <w:r w:rsidRPr="00FA3AA5">
              <w:rPr>
                <w:bCs/>
                <w:sz w:val="22"/>
                <w:szCs w:val="22"/>
              </w:rPr>
              <w:t>eti Od</w:t>
            </w:r>
            <w:r>
              <w:rPr>
                <w:bCs/>
                <w:sz w:val="22"/>
                <w:szCs w:val="22"/>
              </w:rPr>
              <w:t>j</w:t>
            </w:r>
            <w:r w:rsidRPr="00FA3AA5">
              <w:rPr>
                <w:bCs/>
                <w:sz w:val="22"/>
                <w:szCs w:val="22"/>
              </w:rPr>
              <w:t>eljak 4.5 i 5.2).</w:t>
            </w:r>
          </w:p>
          <w:p w:rsidR="0068141C" w:rsidRPr="00FA3AA5" w:rsidRDefault="0068141C" w:rsidP="0068141C">
            <w:pPr>
              <w:pStyle w:val="Header"/>
              <w:tabs>
                <w:tab w:val="left" w:pos="284"/>
              </w:tabs>
              <w:rPr>
                <w:bCs/>
                <w:sz w:val="22"/>
                <w:szCs w:val="22"/>
              </w:rPr>
            </w:pPr>
          </w:p>
          <w:p w:rsidR="0068141C" w:rsidRPr="00FA3AA5" w:rsidRDefault="0068141C" w:rsidP="0068141C">
            <w:pPr>
              <w:pStyle w:val="Header"/>
              <w:tabs>
                <w:tab w:val="left" w:pos="284"/>
              </w:tabs>
              <w:rPr>
                <w:bCs/>
                <w:sz w:val="22"/>
                <w:szCs w:val="22"/>
              </w:rPr>
            </w:pPr>
            <w:r w:rsidRPr="00FA3AA5">
              <w:rPr>
                <w:bCs/>
                <w:sz w:val="22"/>
                <w:szCs w:val="22"/>
              </w:rPr>
              <w:t>Propuštene doze ne treba nadoknaditi, a doziranje l</w:t>
            </w:r>
            <w:r>
              <w:rPr>
                <w:bCs/>
                <w:sz w:val="22"/>
                <w:szCs w:val="22"/>
              </w:rPr>
              <w:t>ij</w:t>
            </w:r>
            <w:r w:rsidRPr="00FA3AA5">
              <w:rPr>
                <w:bCs/>
                <w:sz w:val="22"/>
                <w:szCs w:val="22"/>
              </w:rPr>
              <w:t>eka treba nastaviti prim</w:t>
            </w:r>
            <w:r>
              <w:rPr>
                <w:bCs/>
                <w:sz w:val="22"/>
                <w:szCs w:val="22"/>
              </w:rPr>
              <w:t>j</w:t>
            </w:r>
            <w:r w:rsidRPr="00FA3AA5">
              <w:rPr>
                <w:bCs/>
                <w:sz w:val="22"/>
                <w:szCs w:val="22"/>
              </w:rPr>
              <w:t>enom sledeće dnevne doze u skladu sa protokolom (vid</w:t>
            </w:r>
            <w:r>
              <w:rPr>
                <w:bCs/>
                <w:sz w:val="22"/>
                <w:szCs w:val="22"/>
              </w:rPr>
              <w:t>j</w:t>
            </w:r>
            <w:r w:rsidRPr="00FA3AA5">
              <w:rPr>
                <w:bCs/>
                <w:sz w:val="22"/>
                <w:szCs w:val="22"/>
              </w:rPr>
              <w:t>eti Od</w:t>
            </w:r>
            <w:r>
              <w:rPr>
                <w:bCs/>
                <w:sz w:val="22"/>
                <w:szCs w:val="22"/>
              </w:rPr>
              <w:t>j</w:t>
            </w:r>
            <w:r w:rsidRPr="00FA3AA5">
              <w:rPr>
                <w:bCs/>
                <w:sz w:val="22"/>
                <w:szCs w:val="22"/>
              </w:rPr>
              <w:t>eljak 4.9).</w:t>
            </w:r>
          </w:p>
          <w:p w:rsidR="0068141C" w:rsidRPr="00824AE0" w:rsidRDefault="0068141C" w:rsidP="0068141C">
            <w:pPr>
              <w:pStyle w:val="Header"/>
              <w:tabs>
                <w:tab w:val="left" w:pos="284"/>
              </w:tabs>
              <w:rPr>
                <w:b/>
                <w:sz w:val="22"/>
                <w:szCs w:val="22"/>
                <w:lang w:val="sv-SE"/>
              </w:rPr>
            </w:pPr>
          </w:p>
          <w:p w:rsidR="0068141C" w:rsidRPr="00FA3AA5" w:rsidRDefault="0068141C" w:rsidP="0068141C">
            <w:pPr>
              <w:pStyle w:val="Header"/>
              <w:tabs>
                <w:tab w:val="left" w:pos="284"/>
              </w:tabs>
              <w:rPr>
                <w:sz w:val="22"/>
                <w:szCs w:val="22"/>
                <w:lang w:val="sv-SE"/>
              </w:rPr>
            </w:pPr>
            <w:r w:rsidRPr="00FA3AA5">
              <w:rPr>
                <w:sz w:val="22"/>
                <w:szCs w:val="22"/>
                <w:lang w:val="sv-SE"/>
              </w:rPr>
              <w:t>Pogledati kompletan Sažetak karakteristika l</w:t>
            </w:r>
            <w:r>
              <w:rPr>
                <w:sz w:val="22"/>
                <w:szCs w:val="22"/>
                <w:lang w:val="sv-SE"/>
              </w:rPr>
              <w:t>ij</w:t>
            </w:r>
            <w:r w:rsidRPr="00FA3AA5">
              <w:rPr>
                <w:sz w:val="22"/>
                <w:szCs w:val="22"/>
                <w:lang w:val="sv-SE"/>
              </w:rPr>
              <w:t>eka za kombinovanu prim</w:t>
            </w:r>
            <w:r>
              <w:rPr>
                <w:sz w:val="22"/>
                <w:szCs w:val="22"/>
                <w:lang w:val="sv-SE"/>
              </w:rPr>
              <w:t>j</w:t>
            </w:r>
            <w:r w:rsidRPr="00FA3AA5">
              <w:rPr>
                <w:sz w:val="22"/>
                <w:szCs w:val="22"/>
                <w:lang w:val="sv-SE"/>
              </w:rPr>
              <w:t>enu l</w:t>
            </w:r>
            <w:r>
              <w:rPr>
                <w:sz w:val="22"/>
                <w:szCs w:val="22"/>
                <w:lang w:val="sv-SE"/>
              </w:rPr>
              <w:t>ij</w:t>
            </w:r>
            <w:r w:rsidRPr="00FA3AA5">
              <w:rPr>
                <w:sz w:val="22"/>
                <w:szCs w:val="22"/>
                <w:lang w:val="sv-SE"/>
              </w:rPr>
              <w:t>eka, za odgovarajuće podatke o njihovom doziranju, uključujući bilo koja smanjivanja doze, kontraindikacije i informacije o bezb</w:t>
            </w:r>
            <w:r>
              <w:rPr>
                <w:sz w:val="22"/>
                <w:szCs w:val="22"/>
                <w:lang w:val="sv-SE"/>
              </w:rPr>
              <w:t>j</w:t>
            </w:r>
            <w:r w:rsidRPr="00FA3AA5">
              <w:rPr>
                <w:sz w:val="22"/>
                <w:szCs w:val="22"/>
                <w:lang w:val="sv-SE"/>
              </w:rPr>
              <w:t>ednosti.</w:t>
            </w:r>
          </w:p>
          <w:p w:rsidR="0068141C" w:rsidRPr="00FA3AA5" w:rsidRDefault="0068141C" w:rsidP="0068141C">
            <w:pPr>
              <w:pStyle w:val="Header"/>
              <w:tabs>
                <w:tab w:val="left" w:pos="284"/>
              </w:tabs>
              <w:rPr>
                <w:i/>
                <w:sz w:val="22"/>
                <w:szCs w:val="22"/>
                <w:lang w:val="sv-SE"/>
              </w:rPr>
            </w:pPr>
          </w:p>
          <w:p w:rsidR="0068141C" w:rsidRPr="00FA3AA5" w:rsidRDefault="0068141C" w:rsidP="0068141C">
            <w:pPr>
              <w:pStyle w:val="Header"/>
              <w:tabs>
                <w:tab w:val="left" w:pos="284"/>
              </w:tabs>
              <w:rPr>
                <w:i/>
                <w:sz w:val="22"/>
                <w:szCs w:val="22"/>
                <w:lang w:val="sv-SE"/>
              </w:rPr>
            </w:pPr>
            <w:r w:rsidRPr="00FA3AA5">
              <w:rPr>
                <w:i/>
                <w:sz w:val="22"/>
                <w:szCs w:val="22"/>
                <w:lang w:val="sv-SE"/>
              </w:rPr>
              <w:t>Kombinacija l</w:t>
            </w:r>
            <w:r>
              <w:rPr>
                <w:i/>
                <w:sz w:val="22"/>
                <w:szCs w:val="22"/>
                <w:lang w:val="sv-SE"/>
              </w:rPr>
              <w:t>ij</w:t>
            </w:r>
            <w:r w:rsidRPr="00FA3AA5">
              <w:rPr>
                <w:i/>
                <w:sz w:val="22"/>
                <w:szCs w:val="22"/>
                <w:lang w:val="sv-SE"/>
              </w:rPr>
              <w:t>eka Tyverb</w:t>
            </w:r>
            <w:r w:rsidRPr="00537E06">
              <w:rPr>
                <w:bCs/>
                <w:sz w:val="22"/>
                <w:szCs w:val="22"/>
                <w:vertAlign w:val="superscript"/>
                <w:lang w:val="sv-SE"/>
              </w:rPr>
              <w:t>®</w:t>
            </w:r>
            <w:r w:rsidRPr="00FA3AA5">
              <w:rPr>
                <w:i/>
                <w:sz w:val="22"/>
                <w:szCs w:val="22"/>
                <w:lang w:val="sv-SE"/>
              </w:rPr>
              <w:t>/kapecitabin</w:t>
            </w:r>
          </w:p>
          <w:p w:rsidR="0068141C" w:rsidRPr="00586C60" w:rsidRDefault="0068141C" w:rsidP="0068141C">
            <w:pPr>
              <w:pStyle w:val="Header"/>
              <w:tabs>
                <w:tab w:val="left" w:pos="284"/>
              </w:tabs>
              <w:rPr>
                <w:b/>
                <w:sz w:val="22"/>
                <w:szCs w:val="22"/>
                <w:lang w:val="sv-SE"/>
              </w:rPr>
            </w:pPr>
          </w:p>
          <w:p w:rsidR="0068141C" w:rsidRPr="001268A1" w:rsidRDefault="0068141C" w:rsidP="0068141C">
            <w:pPr>
              <w:pStyle w:val="Header"/>
              <w:tabs>
                <w:tab w:val="left" w:pos="284"/>
              </w:tabs>
              <w:rPr>
                <w:lang w:val="sv-SE"/>
              </w:rPr>
            </w:pPr>
            <w:r w:rsidRPr="001268A1">
              <w:rPr>
                <w:sz w:val="22"/>
                <w:szCs w:val="22"/>
                <w:lang w:val="sv-SE"/>
              </w:rPr>
              <w:t>Prep</w:t>
            </w:r>
            <w:r>
              <w:rPr>
                <w:sz w:val="22"/>
                <w:szCs w:val="22"/>
                <w:lang w:val="sv-SE"/>
              </w:rPr>
              <w:t xml:space="preserve">oručena doza </w:t>
            </w:r>
            <w:r w:rsidRPr="00537E06">
              <w:rPr>
                <w:bCs/>
                <w:sz w:val="22"/>
                <w:szCs w:val="22"/>
                <w:lang w:val="sv-SE"/>
              </w:rPr>
              <w:t>lijeka</w:t>
            </w:r>
            <w:r w:rsidRPr="00537E06">
              <w:rPr>
                <w:bCs/>
                <w:sz w:val="22"/>
                <w:szCs w:val="22"/>
                <w:vertAlign w:val="superscript"/>
                <w:lang w:val="sv-SE"/>
              </w:rPr>
              <w:t xml:space="preserve"> </w:t>
            </w:r>
            <w:r w:rsidRPr="00FA3AA5">
              <w:rPr>
                <w:sz w:val="22"/>
                <w:szCs w:val="22"/>
                <w:lang w:val="sv-SE"/>
              </w:rPr>
              <w:t>Tyverb</w:t>
            </w:r>
            <w:r w:rsidRPr="00537E06">
              <w:rPr>
                <w:bCs/>
                <w:sz w:val="22"/>
                <w:szCs w:val="22"/>
                <w:vertAlign w:val="superscript"/>
                <w:lang w:val="sv-SE"/>
              </w:rPr>
              <w:t>®</w:t>
            </w:r>
            <w:r>
              <w:rPr>
                <w:sz w:val="22"/>
                <w:szCs w:val="22"/>
                <w:lang w:val="sv-SE"/>
              </w:rPr>
              <w:t xml:space="preserve"> je 1250</w:t>
            </w:r>
            <w:r w:rsidRPr="001268A1">
              <w:rPr>
                <w:sz w:val="22"/>
                <w:szCs w:val="22"/>
                <w:lang w:val="sv-SE"/>
              </w:rPr>
              <w:t>mg (odnosno 5 tableta), prim</w:t>
            </w:r>
            <w:r>
              <w:rPr>
                <w:sz w:val="22"/>
                <w:szCs w:val="22"/>
                <w:lang w:val="sv-SE"/>
              </w:rPr>
              <w:t>ij</w:t>
            </w:r>
            <w:r w:rsidRPr="001268A1">
              <w:rPr>
                <w:sz w:val="22"/>
                <w:szCs w:val="22"/>
                <w:lang w:val="sv-SE"/>
              </w:rPr>
              <w:t xml:space="preserve">enjena jednom dnevno u kontinuitetu. </w:t>
            </w:r>
          </w:p>
          <w:p w:rsidR="0068141C" w:rsidRPr="001268A1" w:rsidRDefault="0068141C" w:rsidP="0068141C">
            <w:pPr>
              <w:rPr>
                <w:lang w:val="sv-SE"/>
              </w:rPr>
            </w:pPr>
          </w:p>
          <w:p w:rsidR="0068141C" w:rsidRPr="00CA322A" w:rsidRDefault="0068141C" w:rsidP="0068141C">
            <w:pPr>
              <w:rPr>
                <w:lang w:val="sv-SE"/>
              </w:rPr>
            </w:pPr>
            <w:r w:rsidRPr="00CA322A">
              <w:rPr>
                <w:sz w:val="22"/>
                <w:szCs w:val="22"/>
                <w:lang w:val="sv-SE"/>
              </w:rPr>
              <w:t>Prepor</w:t>
            </w:r>
            <w:r>
              <w:rPr>
                <w:sz w:val="22"/>
                <w:szCs w:val="22"/>
                <w:lang w:val="sv-SE"/>
              </w:rPr>
              <w:t>učena doza kapecitabina je 2000</w:t>
            </w:r>
            <w:r w:rsidRPr="00CA322A">
              <w:rPr>
                <w:sz w:val="22"/>
                <w:szCs w:val="22"/>
                <w:lang w:val="sv-SE"/>
              </w:rPr>
              <w:t>mg/m</w:t>
            </w:r>
            <w:r w:rsidRPr="00CA322A">
              <w:rPr>
                <w:sz w:val="22"/>
                <w:szCs w:val="22"/>
                <w:vertAlign w:val="superscript"/>
                <w:lang w:val="sv-SE"/>
              </w:rPr>
              <w:t>2</w:t>
            </w:r>
            <w:r w:rsidRPr="00CA322A">
              <w:rPr>
                <w:sz w:val="22"/>
                <w:szCs w:val="22"/>
                <w:lang w:val="sv-SE"/>
              </w:rPr>
              <w:t>/dnevno prim</w:t>
            </w:r>
            <w:r>
              <w:rPr>
                <w:sz w:val="22"/>
                <w:szCs w:val="22"/>
                <w:lang w:val="sv-SE"/>
              </w:rPr>
              <w:t>ij</w:t>
            </w:r>
            <w:r w:rsidRPr="00CA322A">
              <w:rPr>
                <w:sz w:val="22"/>
                <w:szCs w:val="22"/>
                <w:lang w:val="sv-SE"/>
              </w:rPr>
              <w:t>enjena u 2 doze, u intervalu od 12 časova, od 1. do 14. dana, tokom terapijskog ciklusa koji traje 21 dan (videti Odeljak 5.1). Kapecitabin se prim</w:t>
            </w:r>
            <w:r>
              <w:rPr>
                <w:sz w:val="22"/>
                <w:szCs w:val="22"/>
                <w:lang w:val="sv-SE"/>
              </w:rPr>
              <w:t>j</w:t>
            </w:r>
            <w:r w:rsidRPr="00CA322A">
              <w:rPr>
                <w:sz w:val="22"/>
                <w:szCs w:val="22"/>
                <w:lang w:val="sv-SE"/>
              </w:rPr>
              <w:t>enjuje uz obrok i</w:t>
            </w:r>
            <w:r>
              <w:rPr>
                <w:sz w:val="22"/>
                <w:szCs w:val="22"/>
                <w:lang w:val="sv-SE"/>
              </w:rPr>
              <w:t xml:space="preserve">li tokom 30 minuta nakon obroka. </w:t>
            </w:r>
            <w:r w:rsidRPr="00FA3AA5">
              <w:rPr>
                <w:sz w:val="22"/>
                <w:szCs w:val="22"/>
                <w:lang w:val="sv-SE"/>
              </w:rPr>
              <w:t>Pogledati kompletan Sažetak karakteristika l</w:t>
            </w:r>
            <w:r>
              <w:rPr>
                <w:sz w:val="22"/>
                <w:szCs w:val="22"/>
                <w:lang w:val="sv-SE"/>
              </w:rPr>
              <w:t>ij</w:t>
            </w:r>
            <w:r w:rsidRPr="00FA3AA5">
              <w:rPr>
                <w:sz w:val="22"/>
                <w:szCs w:val="22"/>
                <w:lang w:val="sv-SE"/>
              </w:rPr>
              <w:t>eka za informacije o kapecitabinu.</w:t>
            </w:r>
          </w:p>
          <w:p w:rsidR="0068141C" w:rsidRPr="00CA322A" w:rsidRDefault="0068141C" w:rsidP="0068141C">
            <w:pPr>
              <w:rPr>
                <w:lang w:val="sv-SE"/>
              </w:rPr>
            </w:pPr>
          </w:p>
          <w:p w:rsidR="0068141C" w:rsidRPr="00FA3AA5" w:rsidRDefault="0068141C" w:rsidP="0068141C">
            <w:pPr>
              <w:rPr>
                <w:i/>
                <w:sz w:val="22"/>
                <w:szCs w:val="22"/>
                <w:lang w:val="sv-SE"/>
              </w:rPr>
            </w:pPr>
            <w:r w:rsidRPr="00FA3AA5">
              <w:rPr>
                <w:i/>
                <w:sz w:val="22"/>
                <w:szCs w:val="22"/>
                <w:lang w:val="sv-SE"/>
              </w:rPr>
              <w:t>Doziranje kombinacije l</w:t>
            </w:r>
            <w:r>
              <w:rPr>
                <w:i/>
                <w:sz w:val="22"/>
                <w:szCs w:val="22"/>
                <w:lang w:val="sv-SE"/>
              </w:rPr>
              <w:t>ij</w:t>
            </w:r>
            <w:r w:rsidRPr="00FA3AA5">
              <w:rPr>
                <w:i/>
                <w:sz w:val="22"/>
                <w:szCs w:val="22"/>
                <w:lang w:val="sv-SE"/>
              </w:rPr>
              <w:t>eka Tyverb</w:t>
            </w:r>
            <w:r w:rsidRPr="00537E06">
              <w:rPr>
                <w:bCs/>
                <w:i/>
                <w:sz w:val="22"/>
                <w:szCs w:val="22"/>
                <w:vertAlign w:val="superscript"/>
                <w:lang w:val="sv-SE"/>
              </w:rPr>
              <w:t>®</w:t>
            </w:r>
            <w:r w:rsidRPr="00FA3AA5">
              <w:rPr>
                <w:i/>
                <w:sz w:val="22"/>
                <w:szCs w:val="22"/>
                <w:lang w:val="sv-SE"/>
              </w:rPr>
              <w:t>/aromataza inhibitor</w:t>
            </w:r>
          </w:p>
          <w:p w:rsidR="0068141C" w:rsidRDefault="0068141C" w:rsidP="0068141C">
            <w:pPr>
              <w:rPr>
                <w:b/>
                <w:sz w:val="22"/>
                <w:szCs w:val="22"/>
                <w:u w:val="single"/>
                <w:lang w:val="sv-SE"/>
              </w:rPr>
            </w:pPr>
          </w:p>
          <w:p w:rsidR="0068141C" w:rsidRPr="00FA3AA5" w:rsidRDefault="0068141C" w:rsidP="0068141C">
            <w:pPr>
              <w:rPr>
                <w:sz w:val="22"/>
                <w:szCs w:val="22"/>
                <w:lang w:val="sv-SE"/>
              </w:rPr>
            </w:pPr>
            <w:r w:rsidRPr="00FA3AA5">
              <w:rPr>
                <w:sz w:val="22"/>
                <w:szCs w:val="22"/>
                <w:lang w:val="sv-SE"/>
              </w:rPr>
              <w:t>Preporučena doza l</w:t>
            </w:r>
            <w:r>
              <w:rPr>
                <w:sz w:val="22"/>
                <w:szCs w:val="22"/>
                <w:lang w:val="sv-SE"/>
              </w:rPr>
              <w:t>ij</w:t>
            </w:r>
            <w:r w:rsidRPr="00FA3AA5">
              <w:rPr>
                <w:sz w:val="22"/>
                <w:szCs w:val="22"/>
                <w:lang w:val="sv-SE"/>
              </w:rPr>
              <w:t>eka Tyverb</w:t>
            </w:r>
            <w:r w:rsidRPr="00537E06">
              <w:rPr>
                <w:bCs/>
                <w:sz w:val="22"/>
                <w:szCs w:val="22"/>
                <w:vertAlign w:val="superscript"/>
                <w:lang w:val="pl-PL"/>
              </w:rPr>
              <w:t>®</w:t>
            </w:r>
            <w:r w:rsidRPr="00FA3AA5">
              <w:rPr>
                <w:sz w:val="22"/>
                <w:szCs w:val="22"/>
                <w:lang w:val="sv-SE"/>
              </w:rPr>
              <w:t xml:space="preserve"> je 1500mg (6 tableta) kontinuirano jednom dnevno.</w:t>
            </w:r>
          </w:p>
          <w:p w:rsidR="0068141C" w:rsidRPr="00FA3AA5" w:rsidRDefault="0068141C" w:rsidP="0068141C">
            <w:pPr>
              <w:rPr>
                <w:sz w:val="22"/>
                <w:szCs w:val="22"/>
                <w:lang w:val="sv-SE"/>
              </w:rPr>
            </w:pPr>
            <w:r w:rsidRPr="00FA3AA5">
              <w:rPr>
                <w:sz w:val="22"/>
                <w:szCs w:val="22"/>
                <w:lang w:val="sv-SE"/>
              </w:rPr>
              <w:t>Pogledati kompletan Sažetak karakteristika l</w:t>
            </w:r>
            <w:r>
              <w:rPr>
                <w:sz w:val="22"/>
                <w:szCs w:val="22"/>
                <w:lang w:val="sv-SE"/>
              </w:rPr>
              <w:t>ij</w:t>
            </w:r>
            <w:r w:rsidRPr="00FA3AA5">
              <w:rPr>
                <w:sz w:val="22"/>
                <w:szCs w:val="22"/>
                <w:lang w:val="sv-SE"/>
              </w:rPr>
              <w:t>eka za informacije za kombinovanu prim</w:t>
            </w:r>
            <w:r>
              <w:rPr>
                <w:sz w:val="22"/>
                <w:szCs w:val="22"/>
                <w:lang w:val="sv-SE"/>
              </w:rPr>
              <w:t>j</w:t>
            </w:r>
            <w:r w:rsidRPr="00FA3AA5">
              <w:rPr>
                <w:sz w:val="22"/>
                <w:szCs w:val="22"/>
                <w:lang w:val="sv-SE"/>
              </w:rPr>
              <w:t>enu sa aromataza inhibitorom.</w:t>
            </w:r>
          </w:p>
          <w:p w:rsidR="0068141C" w:rsidRDefault="0068141C" w:rsidP="0068141C">
            <w:pPr>
              <w:rPr>
                <w:b/>
                <w:sz w:val="22"/>
                <w:szCs w:val="22"/>
                <w:u w:val="single"/>
                <w:lang w:val="sv-SE"/>
              </w:rPr>
            </w:pPr>
          </w:p>
          <w:p w:rsidR="0068141C" w:rsidRPr="006573C2" w:rsidRDefault="0068141C" w:rsidP="0068141C">
            <w:pPr>
              <w:rPr>
                <w:b/>
                <w:sz w:val="22"/>
                <w:szCs w:val="22"/>
                <w:u w:val="single"/>
                <w:lang w:val="sv-SE"/>
              </w:rPr>
            </w:pPr>
          </w:p>
          <w:p w:rsidR="0068141C" w:rsidRPr="00CA322A" w:rsidRDefault="0068141C" w:rsidP="0068141C">
            <w:pPr>
              <w:rPr>
                <w:i/>
                <w:iCs/>
                <w:u w:val="single"/>
                <w:lang w:val="sv-SE"/>
              </w:rPr>
            </w:pPr>
            <w:r w:rsidRPr="00CA322A">
              <w:rPr>
                <w:i/>
                <w:iCs/>
                <w:sz w:val="22"/>
                <w:szCs w:val="22"/>
                <w:u w:val="single"/>
                <w:lang w:val="sv-SE"/>
              </w:rPr>
              <w:t>Odlaganje prim</w:t>
            </w:r>
            <w:r>
              <w:rPr>
                <w:i/>
                <w:iCs/>
                <w:sz w:val="22"/>
                <w:szCs w:val="22"/>
                <w:u w:val="single"/>
                <w:lang w:val="sv-SE"/>
              </w:rPr>
              <w:t>j</w:t>
            </w:r>
            <w:r w:rsidRPr="00CA322A">
              <w:rPr>
                <w:i/>
                <w:iCs/>
                <w:sz w:val="22"/>
                <w:szCs w:val="22"/>
                <w:u w:val="single"/>
                <w:lang w:val="sv-SE"/>
              </w:rPr>
              <w:t xml:space="preserve">ene doze ili smanjivanje doze  </w:t>
            </w:r>
          </w:p>
          <w:p w:rsidR="0068141C" w:rsidRPr="00CA322A" w:rsidRDefault="0068141C" w:rsidP="0068141C">
            <w:pPr>
              <w:pStyle w:val="Header"/>
              <w:tabs>
                <w:tab w:val="left" w:pos="284"/>
              </w:tabs>
              <w:rPr>
                <w:lang w:val="sv-SE"/>
              </w:rPr>
            </w:pPr>
          </w:p>
          <w:p w:rsidR="0068141C" w:rsidRPr="00CA322A" w:rsidRDefault="0068141C" w:rsidP="0068141C">
            <w:pPr>
              <w:pStyle w:val="Header"/>
              <w:tabs>
                <w:tab w:val="left" w:pos="284"/>
              </w:tabs>
              <w:rPr>
                <w:i/>
                <w:iCs/>
                <w:lang w:val="sv-SE"/>
              </w:rPr>
            </w:pPr>
            <w:r w:rsidRPr="00CA322A">
              <w:rPr>
                <w:i/>
                <w:iCs/>
                <w:sz w:val="22"/>
                <w:szCs w:val="22"/>
                <w:lang w:val="sv-SE"/>
              </w:rPr>
              <w:t>Kardiološka stanja</w:t>
            </w:r>
          </w:p>
          <w:p w:rsidR="0068141C" w:rsidRPr="00CA322A" w:rsidRDefault="0068141C" w:rsidP="0068141C">
            <w:pPr>
              <w:pStyle w:val="Header"/>
              <w:tabs>
                <w:tab w:val="left" w:pos="284"/>
              </w:tabs>
              <w:rPr>
                <w:i/>
                <w:iCs/>
                <w:lang w:val="sv-SE"/>
              </w:rPr>
            </w:pPr>
          </w:p>
          <w:p w:rsidR="0068141C" w:rsidRPr="00CA322A" w:rsidRDefault="0068141C" w:rsidP="0068141C">
            <w:pPr>
              <w:pStyle w:val="Header"/>
              <w:tabs>
                <w:tab w:val="left" w:pos="284"/>
              </w:tabs>
              <w:rPr>
                <w:lang w:val="sv-SE"/>
              </w:rPr>
            </w:pPr>
            <w:r w:rsidRPr="00CA322A">
              <w:rPr>
                <w:sz w:val="22"/>
                <w:szCs w:val="22"/>
                <w:lang w:val="sv-SE"/>
              </w:rPr>
              <w:t>Potrebno je prekinuti prim</w:t>
            </w:r>
            <w:r>
              <w:rPr>
                <w:sz w:val="22"/>
                <w:szCs w:val="22"/>
                <w:lang w:val="sv-SE"/>
              </w:rPr>
              <w:t>j</w:t>
            </w:r>
            <w:r w:rsidRPr="00CA322A">
              <w:rPr>
                <w:sz w:val="22"/>
                <w:szCs w:val="22"/>
                <w:lang w:val="sv-SE"/>
              </w:rPr>
              <w:t xml:space="preserve">enu </w:t>
            </w:r>
            <w:r w:rsidRPr="004476B3">
              <w:rPr>
                <w:sz w:val="22"/>
                <w:szCs w:val="22"/>
                <w:lang w:val="sv-SE"/>
              </w:rPr>
              <w:t>l</w:t>
            </w:r>
            <w:r>
              <w:rPr>
                <w:sz w:val="22"/>
                <w:szCs w:val="22"/>
                <w:lang w:val="sv-SE"/>
              </w:rPr>
              <w:t>ij</w:t>
            </w:r>
            <w:r w:rsidRPr="004476B3">
              <w:rPr>
                <w:sz w:val="22"/>
                <w:szCs w:val="22"/>
                <w:lang w:val="sv-SE"/>
              </w:rPr>
              <w:t>eka Tyverb</w:t>
            </w:r>
            <w:r w:rsidRPr="004476B3">
              <w:rPr>
                <w:sz w:val="22"/>
                <w:szCs w:val="22"/>
                <w:vertAlign w:val="superscript"/>
                <w:lang w:val="sv-SE"/>
              </w:rPr>
              <w:t>®</w:t>
            </w:r>
            <w:r>
              <w:rPr>
                <w:sz w:val="22"/>
                <w:szCs w:val="22"/>
                <w:lang w:val="sv-SE"/>
              </w:rPr>
              <w:t xml:space="preserve"> </w:t>
            </w:r>
            <w:r w:rsidRPr="00CA322A">
              <w:rPr>
                <w:sz w:val="22"/>
                <w:szCs w:val="22"/>
                <w:lang w:val="sv-SE"/>
              </w:rPr>
              <w:t>kod pacijenata sa simptomima koji su povezani sa sniženjem l</w:t>
            </w:r>
            <w:r>
              <w:rPr>
                <w:sz w:val="22"/>
                <w:szCs w:val="22"/>
                <w:lang w:val="sv-SE"/>
              </w:rPr>
              <w:t>ij</w:t>
            </w:r>
            <w:r w:rsidRPr="00CA322A">
              <w:rPr>
                <w:sz w:val="22"/>
                <w:szCs w:val="22"/>
                <w:lang w:val="sv-SE"/>
              </w:rPr>
              <w:t xml:space="preserve">eve ventrikularne ejekcione frakcije (LVEF) </w:t>
            </w:r>
            <w:r>
              <w:rPr>
                <w:sz w:val="22"/>
                <w:szCs w:val="22"/>
                <w:lang w:val="sv-SE"/>
              </w:rPr>
              <w:t>stepen</w:t>
            </w:r>
            <w:r w:rsidRPr="00CA322A">
              <w:rPr>
                <w:sz w:val="22"/>
                <w:szCs w:val="22"/>
                <w:lang w:val="sv-SE"/>
              </w:rPr>
              <w:t>a 3 ili višeg, prema Uobičajenom terminološkom kriterijumu za neželjena dejstva Nacionalnog Instituta za karcinom (National Cancer Institute Common Terminology Criteria for Adverse Events, NCI CTCAE) ili ukoliko njihov LVEF padne ispod ustanovljene donje granice normalnih vr</w:t>
            </w:r>
            <w:r>
              <w:rPr>
                <w:sz w:val="22"/>
                <w:szCs w:val="22"/>
                <w:lang w:val="sv-SE"/>
              </w:rPr>
              <w:t>ij</w:t>
            </w:r>
            <w:r w:rsidRPr="00CA322A">
              <w:rPr>
                <w:sz w:val="22"/>
                <w:szCs w:val="22"/>
                <w:lang w:val="sv-SE"/>
              </w:rPr>
              <w:t>ednosti (vid</w:t>
            </w:r>
            <w:r>
              <w:rPr>
                <w:sz w:val="22"/>
                <w:szCs w:val="22"/>
                <w:lang w:val="sv-SE"/>
              </w:rPr>
              <w:t>j</w:t>
            </w:r>
            <w:r w:rsidRPr="00CA322A">
              <w:rPr>
                <w:sz w:val="22"/>
                <w:szCs w:val="22"/>
                <w:lang w:val="sv-SE"/>
              </w:rPr>
              <w:t>eti Od</w:t>
            </w:r>
            <w:r>
              <w:rPr>
                <w:sz w:val="22"/>
                <w:szCs w:val="22"/>
                <w:lang w:val="sv-SE"/>
              </w:rPr>
              <w:t>j</w:t>
            </w:r>
            <w:r w:rsidRPr="00CA322A">
              <w:rPr>
                <w:sz w:val="22"/>
                <w:szCs w:val="22"/>
                <w:lang w:val="sv-SE"/>
              </w:rPr>
              <w:t>eljak 4.4). Nakon najmanje dv</w:t>
            </w:r>
            <w:r>
              <w:rPr>
                <w:sz w:val="22"/>
                <w:szCs w:val="22"/>
                <w:lang w:val="sv-SE"/>
              </w:rPr>
              <w:t>ij</w:t>
            </w:r>
            <w:r w:rsidRPr="00CA322A">
              <w:rPr>
                <w:sz w:val="22"/>
                <w:szCs w:val="22"/>
                <w:lang w:val="sv-SE"/>
              </w:rPr>
              <w:t>e ned</w:t>
            </w:r>
            <w:r>
              <w:rPr>
                <w:sz w:val="22"/>
                <w:szCs w:val="22"/>
                <w:lang w:val="sv-SE"/>
              </w:rPr>
              <w:t>j</w:t>
            </w:r>
            <w:r w:rsidRPr="00CA322A">
              <w:rPr>
                <w:sz w:val="22"/>
                <w:szCs w:val="22"/>
                <w:lang w:val="sv-SE"/>
              </w:rPr>
              <w:t>elje može se ponovo otpočeti sa prim</w:t>
            </w:r>
            <w:r>
              <w:rPr>
                <w:sz w:val="22"/>
                <w:szCs w:val="22"/>
                <w:lang w:val="sv-SE"/>
              </w:rPr>
              <w:t>j</w:t>
            </w:r>
            <w:r w:rsidRPr="00CA322A">
              <w:rPr>
                <w:sz w:val="22"/>
                <w:szCs w:val="22"/>
                <w:lang w:val="sv-SE"/>
              </w:rPr>
              <w:t xml:space="preserve">enom </w:t>
            </w:r>
            <w:r w:rsidRPr="004476B3">
              <w:rPr>
                <w:sz w:val="22"/>
                <w:szCs w:val="22"/>
                <w:lang w:val="sv-SE"/>
              </w:rPr>
              <w:t>l</w:t>
            </w:r>
            <w:r>
              <w:rPr>
                <w:sz w:val="22"/>
                <w:szCs w:val="22"/>
                <w:lang w:val="sv-SE"/>
              </w:rPr>
              <w:t>ij</w:t>
            </w:r>
            <w:r w:rsidRPr="004476B3">
              <w:rPr>
                <w:sz w:val="22"/>
                <w:szCs w:val="22"/>
                <w:lang w:val="sv-SE"/>
              </w:rPr>
              <w:t>eka Tyverb</w:t>
            </w:r>
            <w:r w:rsidRPr="004476B3">
              <w:rPr>
                <w:sz w:val="22"/>
                <w:szCs w:val="22"/>
                <w:vertAlign w:val="superscript"/>
                <w:lang w:val="sv-SE"/>
              </w:rPr>
              <w:t>®</w:t>
            </w:r>
            <w:r>
              <w:rPr>
                <w:sz w:val="22"/>
                <w:szCs w:val="22"/>
                <w:lang w:val="sv-SE"/>
              </w:rPr>
              <w:t xml:space="preserve"> </w:t>
            </w:r>
            <w:r w:rsidRPr="00CA322A">
              <w:rPr>
                <w:sz w:val="22"/>
                <w:szCs w:val="22"/>
                <w:lang w:val="sv-SE"/>
              </w:rPr>
              <w:t>u redukovanoj dozi (1000mg/dnevno</w:t>
            </w:r>
            <w:r w:rsidRPr="006573C2">
              <w:rPr>
                <w:b/>
                <w:sz w:val="22"/>
                <w:szCs w:val="22"/>
                <w:u w:val="single"/>
                <w:lang w:val="sv-SE"/>
              </w:rPr>
              <w:t xml:space="preserve"> </w:t>
            </w:r>
            <w:r w:rsidRPr="004476B3">
              <w:rPr>
                <w:sz w:val="22"/>
                <w:szCs w:val="22"/>
                <w:lang w:val="sv-SE"/>
              </w:rPr>
              <w:t>kada se primjenjuje sa kapecitabinom ili 1250mg/dnevno kada se primjenjuje sa aromataza inhibitorom</w:t>
            </w:r>
            <w:r w:rsidRPr="00CA322A">
              <w:rPr>
                <w:sz w:val="22"/>
                <w:szCs w:val="22"/>
                <w:lang w:val="sv-SE"/>
              </w:rPr>
              <w:t>) ukoliko se vr</w:t>
            </w:r>
            <w:r>
              <w:rPr>
                <w:sz w:val="22"/>
                <w:szCs w:val="22"/>
                <w:lang w:val="sv-SE"/>
              </w:rPr>
              <w:t>ij</w:t>
            </w:r>
            <w:r w:rsidRPr="00CA322A">
              <w:rPr>
                <w:sz w:val="22"/>
                <w:szCs w:val="22"/>
                <w:lang w:val="sv-SE"/>
              </w:rPr>
              <w:t>ednost LVEF vrati u okvire referentnih vr</w:t>
            </w:r>
            <w:r>
              <w:rPr>
                <w:sz w:val="22"/>
                <w:szCs w:val="22"/>
                <w:lang w:val="sv-SE"/>
              </w:rPr>
              <w:t>ij</w:t>
            </w:r>
            <w:r w:rsidRPr="00CA322A">
              <w:rPr>
                <w:sz w:val="22"/>
                <w:szCs w:val="22"/>
                <w:lang w:val="sv-SE"/>
              </w:rPr>
              <w:t>ednosti, uz asimptomatsko stanje pacijenta.</w:t>
            </w:r>
          </w:p>
          <w:p w:rsidR="0068141C" w:rsidRPr="00CA322A" w:rsidRDefault="0068141C" w:rsidP="0068141C">
            <w:pPr>
              <w:pStyle w:val="Header"/>
              <w:tabs>
                <w:tab w:val="left" w:pos="284"/>
              </w:tabs>
              <w:rPr>
                <w:lang w:val="sv-SE"/>
              </w:rPr>
            </w:pPr>
          </w:p>
          <w:p w:rsidR="0068141C" w:rsidRPr="00CA322A" w:rsidRDefault="0068141C" w:rsidP="0068141C">
            <w:pPr>
              <w:pStyle w:val="Header"/>
              <w:tabs>
                <w:tab w:val="left" w:pos="284"/>
              </w:tabs>
              <w:rPr>
                <w:i/>
                <w:iCs/>
                <w:lang w:val="sv-SE"/>
              </w:rPr>
            </w:pPr>
            <w:r w:rsidRPr="00CA322A">
              <w:rPr>
                <w:i/>
                <w:iCs/>
                <w:sz w:val="22"/>
                <w:szCs w:val="22"/>
                <w:lang w:val="sv-SE"/>
              </w:rPr>
              <w:t>Intersticijalna plućna bolest / pneumonitis</w:t>
            </w:r>
          </w:p>
          <w:p w:rsidR="0068141C" w:rsidRPr="00CA322A" w:rsidRDefault="0068141C" w:rsidP="0068141C">
            <w:pPr>
              <w:pStyle w:val="Header"/>
              <w:tabs>
                <w:tab w:val="left" w:pos="284"/>
              </w:tabs>
              <w:rPr>
                <w:i/>
                <w:iCs/>
                <w:lang w:val="sv-SE"/>
              </w:rPr>
            </w:pPr>
          </w:p>
          <w:p w:rsidR="0068141C" w:rsidRPr="00CA322A" w:rsidRDefault="0068141C" w:rsidP="0068141C">
            <w:pPr>
              <w:pStyle w:val="Header"/>
              <w:tabs>
                <w:tab w:val="left" w:pos="284"/>
              </w:tabs>
              <w:rPr>
                <w:lang w:val="sv-SE"/>
              </w:rPr>
            </w:pPr>
            <w:r w:rsidRPr="00CA322A">
              <w:rPr>
                <w:sz w:val="22"/>
                <w:szCs w:val="22"/>
                <w:lang w:val="sv-SE"/>
              </w:rPr>
              <w:t>Potrebno je prekinuti prim</w:t>
            </w:r>
            <w:r>
              <w:rPr>
                <w:sz w:val="22"/>
                <w:szCs w:val="22"/>
                <w:lang w:val="sv-SE"/>
              </w:rPr>
              <w:t>j</w:t>
            </w:r>
            <w:r w:rsidRPr="00CA322A">
              <w:rPr>
                <w:sz w:val="22"/>
                <w:szCs w:val="22"/>
                <w:lang w:val="sv-SE"/>
              </w:rPr>
              <w:t xml:space="preserve">enu </w:t>
            </w:r>
            <w:r w:rsidRPr="004476B3">
              <w:rPr>
                <w:sz w:val="22"/>
                <w:szCs w:val="22"/>
                <w:lang w:val="sv-SE"/>
              </w:rPr>
              <w:t>lijeka Tyverb</w:t>
            </w:r>
            <w:r w:rsidRPr="004476B3">
              <w:rPr>
                <w:b/>
                <w:sz w:val="22"/>
                <w:szCs w:val="22"/>
                <w:vertAlign w:val="superscript"/>
                <w:lang w:val="sv-SE"/>
              </w:rPr>
              <w:t>®</w:t>
            </w:r>
            <w:r>
              <w:rPr>
                <w:sz w:val="22"/>
                <w:szCs w:val="22"/>
                <w:vertAlign w:val="superscript"/>
                <w:lang w:val="sv-SE"/>
              </w:rPr>
              <w:t xml:space="preserve"> </w:t>
            </w:r>
            <w:r w:rsidRPr="00CA322A">
              <w:rPr>
                <w:sz w:val="22"/>
                <w:szCs w:val="22"/>
                <w:lang w:val="sv-SE"/>
              </w:rPr>
              <w:t xml:space="preserve">kod pacijenata kod kojih postoje pulmonalni simptomi </w:t>
            </w:r>
            <w:r>
              <w:rPr>
                <w:sz w:val="22"/>
                <w:szCs w:val="22"/>
                <w:lang w:val="sv-SE"/>
              </w:rPr>
              <w:t>stepen</w:t>
            </w:r>
            <w:r w:rsidRPr="00CA322A">
              <w:rPr>
                <w:sz w:val="22"/>
                <w:szCs w:val="22"/>
                <w:lang w:val="sv-SE"/>
              </w:rPr>
              <w:t>a 3 ili višeg prema NCI CTCAE (vid</w:t>
            </w:r>
            <w:r>
              <w:rPr>
                <w:sz w:val="22"/>
                <w:szCs w:val="22"/>
                <w:lang w:val="sv-SE"/>
              </w:rPr>
              <w:t>j</w:t>
            </w:r>
            <w:r w:rsidRPr="00CA322A">
              <w:rPr>
                <w:sz w:val="22"/>
                <w:szCs w:val="22"/>
                <w:lang w:val="sv-SE"/>
              </w:rPr>
              <w:t>eti Od</w:t>
            </w:r>
            <w:r>
              <w:rPr>
                <w:sz w:val="22"/>
                <w:szCs w:val="22"/>
                <w:lang w:val="sv-SE"/>
              </w:rPr>
              <w:t>j</w:t>
            </w:r>
            <w:r w:rsidRPr="00CA322A">
              <w:rPr>
                <w:sz w:val="22"/>
                <w:szCs w:val="22"/>
                <w:lang w:val="sv-SE"/>
              </w:rPr>
              <w:t>eljak 4.4).</w:t>
            </w:r>
          </w:p>
          <w:p w:rsidR="0068141C" w:rsidRPr="00CA322A" w:rsidRDefault="0068141C" w:rsidP="0068141C">
            <w:pPr>
              <w:pStyle w:val="Header"/>
              <w:tabs>
                <w:tab w:val="left" w:pos="284"/>
              </w:tabs>
              <w:rPr>
                <w:lang w:val="sv-SE"/>
              </w:rPr>
            </w:pPr>
          </w:p>
          <w:p w:rsidR="0068141C" w:rsidRPr="00CA322A" w:rsidRDefault="0068141C" w:rsidP="0068141C">
            <w:pPr>
              <w:pStyle w:val="Header"/>
              <w:tabs>
                <w:tab w:val="left" w:pos="284"/>
              </w:tabs>
              <w:rPr>
                <w:i/>
                <w:iCs/>
                <w:lang w:val="sv-SE"/>
              </w:rPr>
            </w:pPr>
            <w:r w:rsidRPr="00CA322A">
              <w:rPr>
                <w:i/>
                <w:iCs/>
                <w:sz w:val="22"/>
                <w:szCs w:val="22"/>
                <w:lang w:val="sv-SE"/>
              </w:rPr>
              <w:t>Druge toksičnosti</w:t>
            </w:r>
          </w:p>
          <w:p w:rsidR="0068141C" w:rsidRPr="00CA322A" w:rsidRDefault="0068141C" w:rsidP="0068141C">
            <w:pPr>
              <w:pStyle w:val="Header"/>
              <w:tabs>
                <w:tab w:val="left" w:pos="284"/>
              </w:tabs>
              <w:rPr>
                <w:i/>
                <w:iCs/>
                <w:lang w:val="sv-SE"/>
              </w:rPr>
            </w:pPr>
          </w:p>
          <w:p w:rsidR="0068141C" w:rsidRPr="00CA322A" w:rsidRDefault="0068141C" w:rsidP="0068141C">
            <w:pPr>
              <w:pStyle w:val="Header"/>
              <w:tabs>
                <w:tab w:val="left" w:pos="284"/>
              </w:tabs>
              <w:rPr>
                <w:lang w:val="sv-SE"/>
              </w:rPr>
            </w:pPr>
            <w:r w:rsidRPr="00CA322A">
              <w:rPr>
                <w:sz w:val="22"/>
                <w:szCs w:val="22"/>
                <w:lang w:val="sv-SE"/>
              </w:rPr>
              <w:t>Potrebno je razmotriti obustavu ili prekid doziranja</w:t>
            </w:r>
            <w:r>
              <w:rPr>
                <w:sz w:val="22"/>
                <w:szCs w:val="22"/>
                <w:lang w:val="sv-SE"/>
              </w:rPr>
              <w:t xml:space="preserve"> </w:t>
            </w:r>
            <w:r w:rsidRPr="004476B3">
              <w:rPr>
                <w:sz w:val="22"/>
                <w:szCs w:val="22"/>
                <w:lang w:val="sv-SE"/>
              </w:rPr>
              <w:t>lijeka Tyverb</w:t>
            </w:r>
            <w:r w:rsidRPr="004476B3">
              <w:rPr>
                <w:sz w:val="22"/>
                <w:szCs w:val="22"/>
                <w:vertAlign w:val="superscript"/>
                <w:lang w:val="sv-SE"/>
              </w:rPr>
              <w:t>®</w:t>
            </w:r>
            <w:r w:rsidRPr="00CA322A">
              <w:rPr>
                <w:sz w:val="22"/>
                <w:szCs w:val="22"/>
                <w:lang w:val="sv-SE"/>
              </w:rPr>
              <w:t xml:space="preserve"> u slučaju da se kod pacijenta razvije toksičnost viša ili jednaka </w:t>
            </w:r>
            <w:r>
              <w:rPr>
                <w:sz w:val="22"/>
                <w:szCs w:val="22"/>
                <w:lang w:val="sv-SE"/>
              </w:rPr>
              <w:t>stepen</w:t>
            </w:r>
            <w:r w:rsidRPr="00CA322A">
              <w:rPr>
                <w:sz w:val="22"/>
                <w:szCs w:val="22"/>
                <w:lang w:val="sv-SE"/>
              </w:rPr>
              <w:t>u 2 NCI CTCAE. Može se ponovo otpočeti sa prim</w:t>
            </w:r>
            <w:r>
              <w:rPr>
                <w:sz w:val="22"/>
                <w:szCs w:val="22"/>
                <w:lang w:val="sv-SE"/>
              </w:rPr>
              <w:t>j</w:t>
            </w:r>
            <w:r w:rsidRPr="00CA322A">
              <w:rPr>
                <w:sz w:val="22"/>
                <w:szCs w:val="22"/>
                <w:lang w:val="sv-SE"/>
              </w:rPr>
              <w:t>enom 1250mg/dnevno</w:t>
            </w:r>
            <w:r>
              <w:rPr>
                <w:sz w:val="22"/>
                <w:szCs w:val="22"/>
                <w:lang w:val="sv-SE"/>
              </w:rPr>
              <w:t xml:space="preserve"> </w:t>
            </w:r>
            <w:r w:rsidRPr="004476B3">
              <w:rPr>
                <w:sz w:val="22"/>
                <w:szCs w:val="22"/>
                <w:lang w:val="sv-SE"/>
              </w:rPr>
              <w:t>kada se primjenjuje u kombinaciji sa kapecitabinom ili 1500mg/dnevno kada se prim</w:t>
            </w:r>
            <w:r>
              <w:rPr>
                <w:sz w:val="22"/>
                <w:szCs w:val="22"/>
                <w:lang w:val="sv-SE"/>
              </w:rPr>
              <w:t>j</w:t>
            </w:r>
            <w:r w:rsidRPr="004476B3">
              <w:rPr>
                <w:sz w:val="22"/>
                <w:szCs w:val="22"/>
                <w:lang w:val="sv-SE"/>
              </w:rPr>
              <w:t xml:space="preserve">enjuje sa aromataza inhibitorom, </w:t>
            </w:r>
            <w:r w:rsidRPr="00CA322A">
              <w:rPr>
                <w:sz w:val="22"/>
                <w:szCs w:val="22"/>
                <w:lang w:val="sv-SE"/>
              </w:rPr>
              <w:t xml:space="preserve">kada se toksičnost smanji do </w:t>
            </w:r>
            <w:r>
              <w:rPr>
                <w:sz w:val="22"/>
                <w:szCs w:val="22"/>
                <w:lang w:val="sv-SE"/>
              </w:rPr>
              <w:t>stepen</w:t>
            </w:r>
            <w:r w:rsidRPr="00CA322A">
              <w:rPr>
                <w:sz w:val="22"/>
                <w:szCs w:val="22"/>
                <w:lang w:val="sv-SE"/>
              </w:rPr>
              <w:t>a 1 ili manje. Ukoliko se toksičnost ponovo javi, potrebno je ponovo otpočeti sa prim</w:t>
            </w:r>
            <w:r>
              <w:rPr>
                <w:sz w:val="22"/>
                <w:szCs w:val="22"/>
                <w:lang w:val="sv-SE"/>
              </w:rPr>
              <w:t>j</w:t>
            </w:r>
            <w:r w:rsidRPr="00CA322A">
              <w:rPr>
                <w:sz w:val="22"/>
                <w:szCs w:val="22"/>
                <w:lang w:val="sv-SE"/>
              </w:rPr>
              <w:t>eno</w:t>
            </w:r>
            <w:r>
              <w:rPr>
                <w:sz w:val="22"/>
                <w:szCs w:val="22"/>
                <w:lang w:val="sv-SE"/>
              </w:rPr>
              <w:t xml:space="preserve">m </w:t>
            </w:r>
            <w:r w:rsidRPr="004476B3">
              <w:rPr>
                <w:sz w:val="22"/>
                <w:szCs w:val="22"/>
                <w:lang w:val="sv-SE"/>
              </w:rPr>
              <w:t>lijeka Tyverb</w:t>
            </w:r>
            <w:r w:rsidRPr="004476B3">
              <w:rPr>
                <w:sz w:val="22"/>
                <w:szCs w:val="22"/>
                <w:vertAlign w:val="superscript"/>
                <w:lang w:val="sv-SE"/>
              </w:rPr>
              <w:t>®</w:t>
            </w:r>
            <w:r>
              <w:rPr>
                <w:sz w:val="22"/>
                <w:szCs w:val="22"/>
                <w:lang w:val="sv-SE"/>
              </w:rPr>
              <w:t xml:space="preserve"> u nižoj dozi (1000</w:t>
            </w:r>
            <w:r w:rsidRPr="00CA322A">
              <w:rPr>
                <w:sz w:val="22"/>
                <w:szCs w:val="22"/>
                <w:lang w:val="sv-SE"/>
              </w:rPr>
              <w:t>mg/dnevno</w:t>
            </w:r>
            <w:r>
              <w:rPr>
                <w:sz w:val="22"/>
                <w:szCs w:val="22"/>
                <w:lang w:val="sv-SE"/>
              </w:rPr>
              <w:t xml:space="preserve"> </w:t>
            </w:r>
            <w:r w:rsidRPr="004476B3">
              <w:rPr>
                <w:sz w:val="22"/>
                <w:szCs w:val="22"/>
                <w:lang w:val="sv-SE"/>
              </w:rPr>
              <w:t>kada se prim</w:t>
            </w:r>
            <w:r>
              <w:rPr>
                <w:sz w:val="22"/>
                <w:szCs w:val="22"/>
                <w:lang w:val="sv-SE"/>
              </w:rPr>
              <w:t>j</w:t>
            </w:r>
            <w:r w:rsidRPr="004476B3">
              <w:rPr>
                <w:sz w:val="22"/>
                <w:szCs w:val="22"/>
                <w:lang w:val="sv-SE"/>
              </w:rPr>
              <w:t>enjuje u kombinaciji sa kapecitabinom ili 1250mg/dnevno kada se prim</w:t>
            </w:r>
            <w:r>
              <w:rPr>
                <w:sz w:val="22"/>
                <w:szCs w:val="22"/>
                <w:lang w:val="sv-SE"/>
              </w:rPr>
              <w:t>j</w:t>
            </w:r>
            <w:r w:rsidRPr="004476B3">
              <w:rPr>
                <w:sz w:val="22"/>
                <w:szCs w:val="22"/>
                <w:lang w:val="sv-SE"/>
              </w:rPr>
              <w:t>enjuje sa aromataza inhibitorom</w:t>
            </w:r>
            <w:r w:rsidRPr="00CA322A">
              <w:rPr>
                <w:sz w:val="22"/>
                <w:szCs w:val="22"/>
                <w:lang w:val="sv-SE"/>
              </w:rPr>
              <w:t>).</w:t>
            </w:r>
          </w:p>
          <w:p w:rsidR="0068141C" w:rsidRPr="00CA322A" w:rsidRDefault="0068141C" w:rsidP="0068141C">
            <w:pPr>
              <w:pStyle w:val="Header"/>
              <w:tabs>
                <w:tab w:val="left" w:pos="284"/>
              </w:tabs>
              <w:rPr>
                <w:lang w:val="sv-SE"/>
              </w:rPr>
            </w:pPr>
          </w:p>
          <w:p w:rsidR="0068141C" w:rsidRPr="00CA322A" w:rsidRDefault="0068141C" w:rsidP="0068141C">
            <w:pPr>
              <w:pStyle w:val="Header"/>
              <w:tabs>
                <w:tab w:val="left" w:pos="284"/>
              </w:tabs>
              <w:rPr>
                <w:i/>
                <w:iCs/>
                <w:u w:val="single"/>
                <w:lang w:val="sv-SE"/>
              </w:rPr>
            </w:pPr>
            <w:r w:rsidRPr="00CA322A">
              <w:rPr>
                <w:i/>
                <w:iCs/>
                <w:sz w:val="22"/>
                <w:szCs w:val="22"/>
                <w:u w:val="single"/>
                <w:lang w:val="sv-SE"/>
              </w:rPr>
              <w:t>Oštećenje bubrega</w:t>
            </w:r>
          </w:p>
          <w:p w:rsidR="0068141C" w:rsidRPr="00CA322A" w:rsidRDefault="0068141C" w:rsidP="0068141C">
            <w:pPr>
              <w:pStyle w:val="Header"/>
              <w:tabs>
                <w:tab w:val="left" w:pos="284"/>
              </w:tabs>
              <w:rPr>
                <w:i/>
                <w:iCs/>
                <w:lang w:val="sv-SE"/>
              </w:rPr>
            </w:pPr>
          </w:p>
          <w:p w:rsidR="0068141C" w:rsidRDefault="0068141C" w:rsidP="0068141C">
            <w:pPr>
              <w:rPr>
                <w:lang w:val="sr-Latn-CS"/>
              </w:rPr>
            </w:pPr>
            <w:r w:rsidRPr="00CA322A">
              <w:rPr>
                <w:sz w:val="22"/>
                <w:szCs w:val="22"/>
                <w:lang w:val="sv-SE"/>
              </w:rPr>
              <w:t>Nije</w:t>
            </w:r>
            <w:r>
              <w:rPr>
                <w:sz w:val="22"/>
                <w:szCs w:val="22"/>
                <w:lang w:val="sr-Latn-CS"/>
              </w:rPr>
              <w:t xml:space="preserve"> </w:t>
            </w:r>
            <w:r w:rsidRPr="00CA322A">
              <w:rPr>
                <w:sz w:val="22"/>
                <w:szCs w:val="22"/>
                <w:lang w:val="sv-SE"/>
              </w:rPr>
              <w:t>neophodno prilagođavanje doze kod pacijenata sa blagim do um</w:t>
            </w:r>
            <w:r>
              <w:rPr>
                <w:sz w:val="22"/>
                <w:szCs w:val="22"/>
                <w:lang w:val="sv-SE"/>
              </w:rPr>
              <w:t>j</w:t>
            </w:r>
            <w:r w:rsidRPr="00CA322A">
              <w:rPr>
                <w:sz w:val="22"/>
                <w:szCs w:val="22"/>
                <w:lang w:val="sv-SE"/>
              </w:rPr>
              <w:t>erenim oštećenjem bubrega. Sav</w:t>
            </w:r>
            <w:r>
              <w:rPr>
                <w:sz w:val="22"/>
                <w:szCs w:val="22"/>
                <w:lang w:val="sv-SE"/>
              </w:rPr>
              <w:t>j</w:t>
            </w:r>
            <w:r w:rsidRPr="00CA322A">
              <w:rPr>
                <w:sz w:val="22"/>
                <w:szCs w:val="22"/>
                <w:lang w:val="sv-SE"/>
              </w:rPr>
              <w:t>etuje se oprez kod pacijenata sa teškim oštećenjem bubrega, jer nema iskustava sa prim</w:t>
            </w:r>
            <w:r>
              <w:rPr>
                <w:sz w:val="22"/>
                <w:szCs w:val="22"/>
                <w:lang w:val="sv-SE"/>
              </w:rPr>
              <w:t>j</w:t>
            </w:r>
            <w:r w:rsidRPr="00CA322A">
              <w:rPr>
                <w:sz w:val="22"/>
                <w:szCs w:val="22"/>
                <w:lang w:val="sv-SE"/>
              </w:rPr>
              <w:t>enom</w:t>
            </w:r>
            <w:r w:rsidRPr="004476B3">
              <w:rPr>
                <w:sz w:val="22"/>
                <w:szCs w:val="22"/>
                <w:lang w:val="sv-SE"/>
              </w:rPr>
              <w:t xml:space="preserve"> lijeka Tyverb</w:t>
            </w:r>
            <w:r w:rsidRPr="004476B3">
              <w:rPr>
                <w:sz w:val="22"/>
                <w:szCs w:val="22"/>
                <w:vertAlign w:val="superscript"/>
                <w:lang w:val="sv-SE"/>
              </w:rPr>
              <w:t>®</w:t>
            </w:r>
            <w:r w:rsidRPr="00CA322A">
              <w:rPr>
                <w:sz w:val="22"/>
                <w:szCs w:val="22"/>
                <w:lang w:val="sv-SE"/>
              </w:rPr>
              <w:t xml:space="preserve"> u ovo</w:t>
            </w:r>
            <w:r>
              <w:rPr>
                <w:sz w:val="22"/>
                <w:szCs w:val="22"/>
                <w:lang w:val="sv-SE"/>
              </w:rPr>
              <w:t>j populaciji (vidjeti Odjeljak 5.</w:t>
            </w:r>
            <w:r w:rsidRPr="00CA322A">
              <w:rPr>
                <w:sz w:val="22"/>
                <w:szCs w:val="22"/>
                <w:lang w:val="sv-SE"/>
              </w:rPr>
              <w:t>2).</w:t>
            </w:r>
            <w:r>
              <w:rPr>
                <w:sz w:val="22"/>
                <w:szCs w:val="22"/>
                <w:lang w:val="sr-Latn-CS"/>
              </w:rPr>
              <w:t xml:space="preserve"> </w:t>
            </w:r>
          </w:p>
          <w:p w:rsidR="0068141C" w:rsidRDefault="0068141C" w:rsidP="0068141C">
            <w:pPr>
              <w:rPr>
                <w:lang w:val="sr-Latn-CS"/>
              </w:rPr>
            </w:pPr>
          </w:p>
          <w:p w:rsidR="0068141C" w:rsidRPr="00CA322A" w:rsidRDefault="0068141C" w:rsidP="0068141C">
            <w:pPr>
              <w:rPr>
                <w:i/>
                <w:iCs/>
                <w:u w:val="single"/>
                <w:lang w:val="sv-SE"/>
              </w:rPr>
            </w:pPr>
            <w:r w:rsidRPr="00CA322A">
              <w:rPr>
                <w:i/>
                <w:iCs/>
                <w:sz w:val="22"/>
                <w:szCs w:val="22"/>
                <w:u w:val="single"/>
                <w:lang w:val="sv-SE"/>
              </w:rPr>
              <w:t>Oštećenje jetre</w:t>
            </w:r>
          </w:p>
          <w:p w:rsidR="0068141C" w:rsidRPr="00CA322A" w:rsidRDefault="0068141C" w:rsidP="0068141C">
            <w:pPr>
              <w:rPr>
                <w:i/>
                <w:iCs/>
                <w:lang w:val="sv-SE"/>
              </w:rPr>
            </w:pPr>
          </w:p>
          <w:p w:rsidR="0068141C" w:rsidRPr="00CA322A" w:rsidRDefault="0068141C" w:rsidP="0068141C">
            <w:pPr>
              <w:rPr>
                <w:lang w:val="sv-SE"/>
              </w:rPr>
            </w:pPr>
            <w:r w:rsidRPr="00CA322A">
              <w:rPr>
                <w:sz w:val="22"/>
                <w:szCs w:val="22"/>
                <w:lang w:val="sv-SE"/>
              </w:rPr>
              <w:t>Ukoliko postoje teške prom</w:t>
            </w:r>
            <w:r>
              <w:rPr>
                <w:sz w:val="22"/>
                <w:szCs w:val="22"/>
                <w:lang w:val="sv-SE"/>
              </w:rPr>
              <w:t>j</w:t>
            </w:r>
            <w:r w:rsidRPr="00CA322A">
              <w:rPr>
                <w:sz w:val="22"/>
                <w:szCs w:val="22"/>
                <w:lang w:val="sv-SE"/>
              </w:rPr>
              <w:t>ene funkcije jetre potrebno je obustaviti prim</w:t>
            </w:r>
            <w:r>
              <w:rPr>
                <w:sz w:val="22"/>
                <w:szCs w:val="22"/>
                <w:lang w:val="sv-SE"/>
              </w:rPr>
              <w:t>j</w:t>
            </w:r>
            <w:r w:rsidRPr="00CA322A">
              <w:rPr>
                <w:sz w:val="22"/>
                <w:szCs w:val="22"/>
                <w:lang w:val="sv-SE"/>
              </w:rPr>
              <w:t xml:space="preserve">enu </w:t>
            </w:r>
            <w:r w:rsidRPr="004476B3">
              <w:rPr>
                <w:sz w:val="22"/>
                <w:szCs w:val="22"/>
                <w:lang w:val="sv-SE"/>
              </w:rPr>
              <w:t>lijeka Tyverb</w:t>
            </w:r>
            <w:r w:rsidRPr="004476B3">
              <w:rPr>
                <w:sz w:val="22"/>
                <w:szCs w:val="22"/>
                <w:vertAlign w:val="superscript"/>
                <w:lang w:val="sv-SE"/>
              </w:rPr>
              <w:t>®</w:t>
            </w:r>
            <w:r w:rsidRPr="00CA322A">
              <w:rPr>
                <w:sz w:val="22"/>
                <w:szCs w:val="22"/>
                <w:lang w:val="sv-SE"/>
              </w:rPr>
              <w:t xml:space="preserve"> i l</w:t>
            </w:r>
            <w:r>
              <w:rPr>
                <w:sz w:val="22"/>
                <w:szCs w:val="22"/>
                <w:lang w:val="sv-SE"/>
              </w:rPr>
              <w:t>ij</w:t>
            </w:r>
            <w:r w:rsidRPr="00CA322A">
              <w:rPr>
                <w:sz w:val="22"/>
                <w:szCs w:val="22"/>
                <w:lang w:val="sv-SE"/>
              </w:rPr>
              <w:t>ek ne treba ponovo uvoditi u terapiju (vid</w:t>
            </w:r>
            <w:r>
              <w:rPr>
                <w:sz w:val="22"/>
                <w:szCs w:val="22"/>
                <w:lang w:val="sv-SE"/>
              </w:rPr>
              <w:t>j</w:t>
            </w:r>
            <w:r w:rsidRPr="00CA322A">
              <w:rPr>
                <w:sz w:val="22"/>
                <w:szCs w:val="22"/>
                <w:lang w:val="sv-SE"/>
              </w:rPr>
              <w:t>eti Od</w:t>
            </w:r>
            <w:r>
              <w:rPr>
                <w:sz w:val="22"/>
                <w:szCs w:val="22"/>
                <w:lang w:val="sv-SE"/>
              </w:rPr>
              <w:t>j</w:t>
            </w:r>
            <w:r w:rsidRPr="00CA322A">
              <w:rPr>
                <w:sz w:val="22"/>
                <w:szCs w:val="22"/>
                <w:lang w:val="sv-SE"/>
              </w:rPr>
              <w:t xml:space="preserve">eljak </w:t>
            </w:r>
            <w:r>
              <w:rPr>
                <w:sz w:val="22"/>
                <w:szCs w:val="22"/>
                <w:lang w:val="sv-SE"/>
              </w:rPr>
              <w:t>4.4</w:t>
            </w:r>
            <w:r w:rsidRPr="00CA322A">
              <w:rPr>
                <w:sz w:val="22"/>
                <w:szCs w:val="22"/>
                <w:lang w:val="sv-SE"/>
              </w:rPr>
              <w:t>).</w:t>
            </w:r>
          </w:p>
          <w:p w:rsidR="0068141C" w:rsidRPr="00CA322A" w:rsidRDefault="0068141C" w:rsidP="0068141C">
            <w:pPr>
              <w:rPr>
                <w:lang w:val="sv-SE"/>
              </w:rPr>
            </w:pPr>
          </w:p>
          <w:p w:rsidR="0068141C" w:rsidRPr="00CA322A" w:rsidRDefault="0068141C" w:rsidP="0068141C">
            <w:pPr>
              <w:rPr>
                <w:lang w:val="sv-SE"/>
              </w:rPr>
            </w:pPr>
            <w:r w:rsidRPr="00CA322A">
              <w:rPr>
                <w:sz w:val="22"/>
                <w:szCs w:val="22"/>
                <w:lang w:val="sv-SE"/>
              </w:rPr>
              <w:t>Prim</w:t>
            </w:r>
            <w:r>
              <w:rPr>
                <w:sz w:val="22"/>
                <w:szCs w:val="22"/>
                <w:lang w:val="sv-SE"/>
              </w:rPr>
              <w:t>j</w:t>
            </w:r>
            <w:r w:rsidRPr="00CA322A">
              <w:rPr>
                <w:sz w:val="22"/>
                <w:szCs w:val="22"/>
                <w:lang w:val="sv-SE"/>
              </w:rPr>
              <w:t>enu</w:t>
            </w:r>
            <w:r>
              <w:rPr>
                <w:sz w:val="22"/>
                <w:szCs w:val="22"/>
                <w:lang w:val="sv-SE"/>
              </w:rPr>
              <w:t xml:space="preserve"> </w:t>
            </w:r>
            <w:r w:rsidRPr="004476B3">
              <w:rPr>
                <w:sz w:val="22"/>
                <w:szCs w:val="22"/>
                <w:lang w:val="sv-SE"/>
              </w:rPr>
              <w:t>lijeka Tyverb</w:t>
            </w:r>
            <w:r w:rsidRPr="004476B3">
              <w:rPr>
                <w:sz w:val="22"/>
                <w:szCs w:val="22"/>
                <w:vertAlign w:val="superscript"/>
                <w:lang w:val="sv-SE"/>
              </w:rPr>
              <w:t>®</w:t>
            </w:r>
            <w:r>
              <w:rPr>
                <w:sz w:val="22"/>
                <w:szCs w:val="22"/>
                <w:vertAlign w:val="superscript"/>
                <w:lang w:val="sv-SE"/>
              </w:rPr>
              <w:t xml:space="preserve"> </w:t>
            </w:r>
            <w:r w:rsidRPr="00CA322A">
              <w:rPr>
                <w:sz w:val="22"/>
                <w:szCs w:val="22"/>
                <w:lang w:val="sv-SE"/>
              </w:rPr>
              <w:t>kod pacijenata sa um</w:t>
            </w:r>
            <w:r>
              <w:rPr>
                <w:sz w:val="22"/>
                <w:szCs w:val="22"/>
                <w:lang w:val="sv-SE"/>
              </w:rPr>
              <w:t>j</w:t>
            </w:r>
            <w:r w:rsidRPr="00CA322A">
              <w:rPr>
                <w:sz w:val="22"/>
                <w:szCs w:val="22"/>
                <w:lang w:val="sv-SE"/>
              </w:rPr>
              <w:t>erenim do teškim oštećenjem jetre treba sprovoditi uz oprez, s obzirom na produženo vr</w:t>
            </w:r>
            <w:r>
              <w:rPr>
                <w:sz w:val="22"/>
                <w:szCs w:val="22"/>
                <w:lang w:val="sv-SE"/>
              </w:rPr>
              <w:t>ij</w:t>
            </w:r>
            <w:r w:rsidRPr="00CA322A">
              <w:rPr>
                <w:sz w:val="22"/>
                <w:szCs w:val="22"/>
                <w:lang w:val="sv-SE"/>
              </w:rPr>
              <w:t>eme izloženosti dejstvu l</w:t>
            </w:r>
            <w:r>
              <w:rPr>
                <w:sz w:val="22"/>
                <w:szCs w:val="22"/>
                <w:lang w:val="sv-SE"/>
              </w:rPr>
              <w:t>ij</w:t>
            </w:r>
            <w:r w:rsidRPr="00CA322A">
              <w:rPr>
                <w:sz w:val="22"/>
                <w:szCs w:val="22"/>
                <w:lang w:val="sv-SE"/>
              </w:rPr>
              <w:t>eka. Dostupni podaci su nedovoljni za davanje preporuka o prilagođavanju doza kod pacijenata sa oštećenjem jetre (vid</w:t>
            </w:r>
            <w:r>
              <w:rPr>
                <w:sz w:val="22"/>
                <w:szCs w:val="22"/>
                <w:lang w:val="sv-SE"/>
              </w:rPr>
              <w:t>j</w:t>
            </w:r>
            <w:r w:rsidRPr="00CA322A">
              <w:rPr>
                <w:sz w:val="22"/>
                <w:szCs w:val="22"/>
                <w:lang w:val="sv-SE"/>
              </w:rPr>
              <w:t>eti Od</w:t>
            </w:r>
            <w:r>
              <w:rPr>
                <w:sz w:val="22"/>
                <w:szCs w:val="22"/>
                <w:lang w:val="sv-SE"/>
              </w:rPr>
              <w:t>j</w:t>
            </w:r>
            <w:r w:rsidRPr="00CA322A">
              <w:rPr>
                <w:sz w:val="22"/>
                <w:szCs w:val="22"/>
                <w:lang w:val="sv-SE"/>
              </w:rPr>
              <w:t>eljak 5.2).</w:t>
            </w:r>
          </w:p>
          <w:p w:rsidR="0068141C" w:rsidRPr="00CA322A" w:rsidRDefault="0068141C" w:rsidP="0068141C">
            <w:pPr>
              <w:rPr>
                <w:lang w:val="sv-SE"/>
              </w:rPr>
            </w:pPr>
          </w:p>
          <w:p w:rsidR="0068141C" w:rsidRPr="00980BAD" w:rsidRDefault="0068141C" w:rsidP="0068141C">
            <w:pPr>
              <w:rPr>
                <w:i/>
                <w:iCs/>
                <w:u w:val="single"/>
                <w:lang w:val="sr-Latn-CS"/>
              </w:rPr>
            </w:pPr>
            <w:r w:rsidRPr="00CA322A">
              <w:rPr>
                <w:i/>
                <w:iCs/>
                <w:sz w:val="22"/>
                <w:szCs w:val="22"/>
                <w:u w:val="single"/>
                <w:lang w:val="sv-SE"/>
              </w:rPr>
              <w:t>Pedijatrijski pacijenti</w:t>
            </w:r>
          </w:p>
          <w:p w:rsidR="0068141C" w:rsidRPr="00CA322A" w:rsidRDefault="0068141C" w:rsidP="0068141C">
            <w:pPr>
              <w:rPr>
                <w:lang w:val="sv-SE"/>
              </w:rPr>
            </w:pPr>
          </w:p>
          <w:p w:rsidR="0068141C" w:rsidRPr="00CA322A" w:rsidRDefault="0068141C" w:rsidP="0068141C">
            <w:pPr>
              <w:rPr>
                <w:lang w:val="sv-SE"/>
              </w:rPr>
            </w:pPr>
            <w:r w:rsidRPr="00CA322A">
              <w:rPr>
                <w:sz w:val="22"/>
                <w:szCs w:val="22"/>
                <w:lang w:val="sv-SE"/>
              </w:rPr>
              <w:t>Ne preporučuje se prim</w:t>
            </w:r>
            <w:r>
              <w:rPr>
                <w:sz w:val="22"/>
                <w:szCs w:val="22"/>
                <w:lang w:val="sv-SE"/>
              </w:rPr>
              <w:t>j</w:t>
            </w:r>
            <w:r w:rsidRPr="00CA322A">
              <w:rPr>
                <w:sz w:val="22"/>
                <w:szCs w:val="22"/>
                <w:lang w:val="sv-SE"/>
              </w:rPr>
              <w:t>ena l</w:t>
            </w:r>
            <w:r>
              <w:rPr>
                <w:sz w:val="22"/>
                <w:szCs w:val="22"/>
                <w:lang w:val="sv-SE"/>
              </w:rPr>
              <w:t>ij</w:t>
            </w:r>
            <w:r w:rsidRPr="00CA322A">
              <w:rPr>
                <w:sz w:val="22"/>
                <w:szCs w:val="22"/>
                <w:lang w:val="sv-SE"/>
              </w:rPr>
              <w:t>eka Tyverb</w:t>
            </w:r>
            <w:r w:rsidRPr="00CA322A">
              <w:rPr>
                <w:sz w:val="22"/>
                <w:szCs w:val="22"/>
                <w:vertAlign w:val="superscript"/>
                <w:lang w:val="sv-SE"/>
              </w:rPr>
              <w:t>®</w:t>
            </w:r>
            <w:r w:rsidRPr="00CA322A">
              <w:rPr>
                <w:sz w:val="22"/>
                <w:szCs w:val="22"/>
                <w:lang w:val="sv-SE"/>
              </w:rPr>
              <w:t xml:space="preserve"> kod pedijatrijskih pacijenata, obzirom da nema dovoljno podataka o bezb</w:t>
            </w:r>
            <w:r>
              <w:rPr>
                <w:sz w:val="22"/>
                <w:szCs w:val="22"/>
                <w:lang w:val="sv-SE"/>
              </w:rPr>
              <w:t>j</w:t>
            </w:r>
            <w:r w:rsidRPr="00CA322A">
              <w:rPr>
                <w:sz w:val="22"/>
                <w:szCs w:val="22"/>
                <w:lang w:val="sv-SE"/>
              </w:rPr>
              <w:t>ednosti i efikasnosti prim</w:t>
            </w:r>
            <w:r>
              <w:rPr>
                <w:sz w:val="22"/>
                <w:szCs w:val="22"/>
                <w:lang w:val="sv-SE"/>
              </w:rPr>
              <w:t>j</w:t>
            </w:r>
            <w:r w:rsidRPr="00CA322A">
              <w:rPr>
                <w:sz w:val="22"/>
                <w:szCs w:val="22"/>
                <w:lang w:val="sv-SE"/>
              </w:rPr>
              <w:t>ene l</w:t>
            </w:r>
            <w:r>
              <w:rPr>
                <w:sz w:val="22"/>
                <w:szCs w:val="22"/>
                <w:lang w:val="sv-SE"/>
              </w:rPr>
              <w:t>ij</w:t>
            </w:r>
            <w:r w:rsidRPr="00CA322A">
              <w:rPr>
                <w:sz w:val="22"/>
                <w:szCs w:val="22"/>
                <w:lang w:val="sv-SE"/>
              </w:rPr>
              <w:t>eka u ovoj populacijskoj grupi.</w:t>
            </w:r>
          </w:p>
          <w:p w:rsidR="0068141C" w:rsidRPr="00CA322A" w:rsidRDefault="0068141C" w:rsidP="0068141C">
            <w:pPr>
              <w:rPr>
                <w:lang w:val="sv-SE"/>
              </w:rPr>
            </w:pPr>
          </w:p>
          <w:p w:rsidR="0068141C" w:rsidRPr="00537E06" w:rsidRDefault="0068141C" w:rsidP="0068141C">
            <w:pPr>
              <w:rPr>
                <w:i/>
                <w:iCs/>
                <w:u w:val="single"/>
                <w:lang w:val="pl-PL"/>
              </w:rPr>
            </w:pPr>
            <w:r w:rsidRPr="00537E06">
              <w:rPr>
                <w:i/>
                <w:iCs/>
                <w:sz w:val="22"/>
                <w:szCs w:val="22"/>
                <w:u w:val="single"/>
                <w:lang w:val="pl-PL"/>
              </w:rPr>
              <w:t>Starije osobe</w:t>
            </w:r>
          </w:p>
          <w:p w:rsidR="0068141C" w:rsidRDefault="0068141C" w:rsidP="0068141C">
            <w:pPr>
              <w:rPr>
                <w:i/>
                <w:iCs/>
                <w:u w:val="single"/>
                <w:lang w:val="sr-Latn-CS"/>
              </w:rPr>
            </w:pPr>
          </w:p>
          <w:p w:rsidR="0068141C" w:rsidRPr="00537E06" w:rsidRDefault="0068141C" w:rsidP="0068141C">
            <w:pPr>
              <w:rPr>
                <w:lang w:val="pl-PL"/>
              </w:rPr>
            </w:pPr>
            <w:r w:rsidRPr="00537E06">
              <w:rPr>
                <w:sz w:val="22"/>
                <w:szCs w:val="22"/>
                <w:lang w:val="pl-PL"/>
              </w:rPr>
              <w:t>Postoje ograničeni podaci o primjeni lijeka Tyverb</w:t>
            </w:r>
            <w:r w:rsidRPr="00562FBA">
              <w:rPr>
                <w:sz w:val="22"/>
                <w:szCs w:val="22"/>
                <w:vertAlign w:val="superscript"/>
                <w:lang w:val="sv-SE"/>
              </w:rPr>
              <w:t>®</w:t>
            </w:r>
            <w:r w:rsidRPr="00562FBA">
              <w:rPr>
                <w:sz w:val="22"/>
                <w:szCs w:val="22"/>
                <w:lang w:val="sv-SE"/>
              </w:rPr>
              <w:t xml:space="preserve"> i kapecitabina</w:t>
            </w:r>
            <w:r>
              <w:rPr>
                <w:sz w:val="22"/>
                <w:szCs w:val="22"/>
                <w:vertAlign w:val="superscript"/>
                <w:lang w:val="sv-SE"/>
              </w:rPr>
              <w:t xml:space="preserve"> </w:t>
            </w:r>
            <w:r w:rsidRPr="00537E06">
              <w:rPr>
                <w:sz w:val="22"/>
                <w:szCs w:val="22"/>
                <w:lang w:val="pl-PL"/>
              </w:rPr>
              <w:t xml:space="preserve">kod pacijenata starosti </w:t>
            </w:r>
            <w:r w:rsidRPr="00537E06">
              <w:rPr>
                <w:b/>
                <w:sz w:val="22"/>
                <w:szCs w:val="22"/>
                <w:lang w:val="pl-PL"/>
              </w:rPr>
              <w:t>≥</w:t>
            </w:r>
            <w:r w:rsidRPr="00537E06">
              <w:rPr>
                <w:sz w:val="22"/>
                <w:szCs w:val="22"/>
                <w:lang w:val="pl-PL"/>
              </w:rPr>
              <w:t>65 godina.</w:t>
            </w:r>
          </w:p>
          <w:p w:rsidR="0068141C" w:rsidRPr="00537E06" w:rsidRDefault="0068141C" w:rsidP="0068141C">
            <w:pPr>
              <w:pStyle w:val="Header"/>
              <w:tabs>
                <w:tab w:val="left" w:pos="284"/>
              </w:tabs>
              <w:rPr>
                <w:sz w:val="22"/>
                <w:szCs w:val="22"/>
                <w:lang w:val="pl-PL"/>
              </w:rPr>
            </w:pPr>
          </w:p>
          <w:p w:rsidR="0068141C" w:rsidRPr="00562FBA" w:rsidRDefault="0068141C" w:rsidP="0068141C">
            <w:pPr>
              <w:pStyle w:val="Header"/>
              <w:tabs>
                <w:tab w:val="left" w:pos="284"/>
              </w:tabs>
              <w:rPr>
                <w:sz w:val="22"/>
                <w:szCs w:val="22"/>
                <w:lang w:val="sv-SE"/>
              </w:rPr>
            </w:pPr>
            <w:r w:rsidRPr="00537E06">
              <w:rPr>
                <w:sz w:val="22"/>
                <w:szCs w:val="22"/>
                <w:lang w:val="pl-PL"/>
              </w:rPr>
              <w:t>U Fazi 3 kliničkog ispitivanja sa lijekom Tyverb</w:t>
            </w:r>
            <w:r w:rsidRPr="00562FBA">
              <w:rPr>
                <w:sz w:val="22"/>
                <w:szCs w:val="22"/>
                <w:vertAlign w:val="superscript"/>
                <w:lang w:val="sv-SE"/>
              </w:rPr>
              <w:t xml:space="preserve">® </w:t>
            </w:r>
            <w:r w:rsidRPr="00562FBA">
              <w:rPr>
                <w:sz w:val="22"/>
                <w:szCs w:val="22"/>
                <w:lang w:val="sv-SE"/>
              </w:rPr>
              <w:t xml:space="preserve">u kombinaciji sa letrozolom, od ukupnog broja pacijenkinja sa hormon receptor- pozitivnim metastatskim karcinomom dojke (populacija svih pacijenata koji su uključeni u kliničko ispitivanje N=642), 44% pacijentkinja je bilo </w:t>
            </w:r>
            <w:r w:rsidRPr="00537E06">
              <w:rPr>
                <w:sz w:val="22"/>
                <w:szCs w:val="22"/>
                <w:lang w:val="pl-PL"/>
              </w:rPr>
              <w:t>≥65 godina starosti. Sveukupno nijesu zapažene razlike u efikasnosti i bezbjednosti kombinovane primjene lijeka Tyverb</w:t>
            </w:r>
            <w:r w:rsidRPr="00562FBA">
              <w:rPr>
                <w:sz w:val="22"/>
                <w:szCs w:val="22"/>
                <w:vertAlign w:val="superscript"/>
                <w:lang w:val="sv-SE"/>
              </w:rPr>
              <w:t xml:space="preserve">® </w:t>
            </w:r>
            <w:r w:rsidRPr="00562FBA">
              <w:rPr>
                <w:sz w:val="22"/>
                <w:szCs w:val="22"/>
                <w:lang w:val="sv-SE"/>
              </w:rPr>
              <w:t xml:space="preserve">i letrozola između ovih ispitanika i ispitanika ispod 65 godina starosti. </w:t>
            </w:r>
          </w:p>
          <w:p w:rsidR="0068141C" w:rsidRPr="00537E06" w:rsidRDefault="0068141C" w:rsidP="0068141C">
            <w:pPr>
              <w:pStyle w:val="Header"/>
              <w:tabs>
                <w:tab w:val="left" w:pos="284"/>
              </w:tabs>
              <w:rPr>
                <w:b/>
                <w:sz w:val="22"/>
                <w:szCs w:val="22"/>
                <w:u w:val="single"/>
                <w:lang w:val="pl-PL"/>
              </w:rPr>
            </w:pPr>
          </w:p>
        </w:tc>
      </w:tr>
      <w:tr w:rsidR="0068141C" w:rsidRPr="009F4449">
        <w:tc>
          <w:tcPr>
            <w:tcW w:w="10188" w:type="dxa"/>
            <w:gridSpan w:val="4"/>
            <w:vAlign w:val="center"/>
          </w:tcPr>
          <w:p w:rsidR="0068141C" w:rsidRPr="009F4449" w:rsidRDefault="0068141C" w:rsidP="0068141C">
            <w:pPr>
              <w:pStyle w:val="Header"/>
              <w:tabs>
                <w:tab w:val="left" w:pos="284"/>
              </w:tabs>
              <w:spacing w:before="80" w:after="80"/>
              <w:rPr>
                <w:b/>
                <w:bCs/>
              </w:rPr>
            </w:pPr>
            <w:r w:rsidRPr="009F4449">
              <w:rPr>
                <w:b/>
                <w:bCs/>
                <w:sz w:val="22"/>
                <w:szCs w:val="22"/>
              </w:rPr>
              <w:lastRenderedPageBreak/>
              <w:t>4.3. Kontraindikacije</w:t>
            </w:r>
          </w:p>
        </w:tc>
      </w:tr>
      <w:tr w:rsidR="0068141C" w:rsidRPr="00537E06">
        <w:trPr>
          <w:trHeight w:val="1145"/>
        </w:trPr>
        <w:tc>
          <w:tcPr>
            <w:tcW w:w="10188" w:type="dxa"/>
            <w:gridSpan w:val="4"/>
            <w:vAlign w:val="center"/>
          </w:tcPr>
          <w:p w:rsidR="0068141C" w:rsidRPr="001268A1" w:rsidRDefault="0068141C" w:rsidP="0068141C">
            <w:pPr>
              <w:rPr>
                <w:lang w:val="pl-PL"/>
              </w:rPr>
            </w:pPr>
            <w:r w:rsidRPr="001268A1">
              <w:rPr>
                <w:sz w:val="22"/>
                <w:szCs w:val="22"/>
                <w:lang w:val="pl-PL"/>
              </w:rPr>
              <w:t>Preos</w:t>
            </w:r>
            <w:r>
              <w:rPr>
                <w:sz w:val="22"/>
                <w:szCs w:val="22"/>
                <w:lang w:val="pl-PL"/>
              </w:rPr>
              <w:t>j</w:t>
            </w:r>
            <w:r w:rsidRPr="001268A1">
              <w:rPr>
                <w:sz w:val="22"/>
                <w:szCs w:val="22"/>
                <w:lang w:val="pl-PL"/>
              </w:rPr>
              <w:t>etlj</w:t>
            </w:r>
            <w:r>
              <w:rPr>
                <w:sz w:val="22"/>
                <w:szCs w:val="22"/>
                <w:lang w:val="pl-PL"/>
              </w:rPr>
              <w:t>ivost na aktivnu supstancu lijeka</w:t>
            </w:r>
            <w:r w:rsidRPr="001268A1">
              <w:rPr>
                <w:sz w:val="22"/>
                <w:szCs w:val="22"/>
                <w:lang w:val="pl-PL"/>
              </w:rPr>
              <w:t xml:space="preserve"> ili na neku od pomoćnih supstanci.</w:t>
            </w:r>
          </w:p>
        </w:tc>
      </w:tr>
      <w:tr w:rsidR="0068141C" w:rsidRPr="00537E06">
        <w:tc>
          <w:tcPr>
            <w:tcW w:w="10188" w:type="dxa"/>
            <w:gridSpan w:val="4"/>
            <w:vAlign w:val="center"/>
          </w:tcPr>
          <w:p w:rsidR="0068141C" w:rsidRPr="00537E06" w:rsidRDefault="0068141C" w:rsidP="0068141C">
            <w:pPr>
              <w:pStyle w:val="Header"/>
              <w:tabs>
                <w:tab w:val="left" w:pos="284"/>
              </w:tabs>
              <w:spacing w:before="80" w:after="80"/>
              <w:rPr>
                <w:b/>
                <w:bCs/>
                <w:lang w:val="pl-PL"/>
              </w:rPr>
            </w:pPr>
            <w:r w:rsidRPr="00537E06">
              <w:rPr>
                <w:b/>
                <w:bCs/>
                <w:sz w:val="22"/>
                <w:szCs w:val="22"/>
                <w:lang w:val="pl-PL"/>
              </w:rPr>
              <w:t>4.4. Posebna upozorenja i mjere opreza pri upotrebi lijeka</w:t>
            </w:r>
          </w:p>
        </w:tc>
      </w:tr>
      <w:tr w:rsidR="0068141C" w:rsidRPr="00537E06">
        <w:trPr>
          <w:trHeight w:val="60"/>
        </w:trPr>
        <w:tc>
          <w:tcPr>
            <w:tcW w:w="10188" w:type="dxa"/>
            <w:gridSpan w:val="4"/>
            <w:vAlign w:val="center"/>
          </w:tcPr>
          <w:p w:rsidR="0068141C" w:rsidRPr="00537E06" w:rsidRDefault="0068141C" w:rsidP="0068141C">
            <w:pPr>
              <w:rPr>
                <w:lang w:val="pl-PL"/>
              </w:rPr>
            </w:pPr>
          </w:p>
          <w:p w:rsidR="0068141C" w:rsidRPr="00537E06" w:rsidRDefault="0068141C" w:rsidP="0068141C">
            <w:pPr>
              <w:rPr>
                <w:sz w:val="22"/>
                <w:szCs w:val="22"/>
                <w:lang w:val="pl-PL"/>
              </w:rPr>
            </w:pPr>
            <w:r w:rsidRPr="00537E06">
              <w:rPr>
                <w:sz w:val="22"/>
                <w:szCs w:val="22"/>
                <w:lang w:val="pl-PL"/>
              </w:rPr>
              <w:t>Navedeno je da je primjena lapatiniba bila udružena sa sniženjem lijeve ventrikularne ejekcione frakcije (LVEF) (vidjeti Odjeljak 4.8). Lapatinib nije procjenjivan kod pacijenata sa simptomatskom insuficijencijom srca. Savjetuje se oprez pri primjeni lijeka Tyverb</w:t>
            </w:r>
            <w:r w:rsidRPr="00B141D9">
              <w:rPr>
                <w:sz w:val="22"/>
                <w:szCs w:val="22"/>
                <w:vertAlign w:val="superscript"/>
                <w:lang w:val="sv-SE"/>
              </w:rPr>
              <w:t>®</w:t>
            </w:r>
            <w:r w:rsidRPr="00537E06">
              <w:rPr>
                <w:sz w:val="22"/>
                <w:szCs w:val="22"/>
                <w:lang w:val="pl-PL"/>
              </w:rPr>
              <w:t xml:space="preserve"> kod pacijenata sa stanjima koja mogu dovesti do oštećenja funkcije lijeve komore (uključujući istovremenu primjenu sa potencijalno kardiotoksičnim agensima). Prije početka liječenja lijekom Tyverb</w:t>
            </w:r>
            <w:r w:rsidRPr="00B141D9">
              <w:rPr>
                <w:sz w:val="22"/>
                <w:szCs w:val="22"/>
                <w:vertAlign w:val="superscript"/>
                <w:lang w:val="sv-SE"/>
              </w:rPr>
              <w:t>®</w:t>
            </w:r>
            <w:r w:rsidRPr="00537E06">
              <w:rPr>
                <w:sz w:val="22"/>
                <w:szCs w:val="22"/>
                <w:lang w:val="pl-PL"/>
              </w:rPr>
              <w:t>, potrebno je ispitati srčanu funkciju, uključujući LVEF kod svih pacijenata, kako bi se utvrdilo da li se osnovna vrijednost LVEF kod pacijenta nalazi unutar utvrđenog opsega normalnih vrijednosti. Tokom liječenja lijekom Tyverb</w:t>
            </w:r>
            <w:r w:rsidRPr="00B141D9">
              <w:rPr>
                <w:sz w:val="22"/>
                <w:szCs w:val="22"/>
                <w:vertAlign w:val="superscript"/>
                <w:lang w:val="sv-SE"/>
              </w:rPr>
              <w:t>®</w:t>
            </w:r>
            <w:r w:rsidRPr="00537E06">
              <w:rPr>
                <w:sz w:val="22"/>
                <w:szCs w:val="22"/>
                <w:lang w:val="pl-PL"/>
              </w:rPr>
              <w:t>, potrebno je nastaviti sa praćenjem vrijednosti LVEF, kako bi se obezbijedilo da vrijednost LVEF ne padne ispod neprihvatljivog nivoa (vidjeti Odjeljak 4.2). U nekim slučajevima, sniženje vrijednosti LVEF može biti ozbiljno i može voditi u srčanu insuficijenciju. Zabilježeni su slučajevi fatalnog ishoda, uzrok smrti je nepoznat.</w:t>
            </w:r>
          </w:p>
          <w:p w:rsidR="0068141C" w:rsidRPr="00537E06" w:rsidRDefault="0068141C" w:rsidP="0068141C">
            <w:pPr>
              <w:rPr>
                <w:b/>
                <w:sz w:val="22"/>
                <w:szCs w:val="22"/>
                <w:u w:val="single"/>
                <w:lang w:val="pl-PL"/>
              </w:rPr>
            </w:pPr>
          </w:p>
          <w:p w:rsidR="0068141C" w:rsidRPr="00537E06" w:rsidRDefault="0068141C" w:rsidP="0068141C">
            <w:pPr>
              <w:rPr>
                <w:sz w:val="22"/>
                <w:szCs w:val="22"/>
                <w:lang w:val="pl-PL"/>
              </w:rPr>
            </w:pPr>
            <w:r w:rsidRPr="00537E06">
              <w:rPr>
                <w:sz w:val="22"/>
                <w:szCs w:val="22"/>
                <w:lang w:val="pl-PL"/>
              </w:rPr>
              <w:t>Nije bilo kliničkih ispitivanja koja su namijenjena procjeni potencijala lapatiniba za produženje QT intervala. U nekontrolisanom, otvorenom kliničkom ispitivanju u kom je praćeno povećanje doze sa lapatinibom kod pacijenata sa uznapredovalim karcinomom, uočeno je malo povećanje QT intervala u zavisnosti od koncentracije lijeka, te stoga efekat na QT interval ne može biti isključen. Lijek Tyverb</w:t>
            </w:r>
            <w:r w:rsidRPr="00B141D9">
              <w:rPr>
                <w:sz w:val="22"/>
                <w:szCs w:val="22"/>
                <w:vertAlign w:val="superscript"/>
                <w:lang w:val="sv-SE"/>
              </w:rPr>
              <w:t>®</w:t>
            </w:r>
            <w:r w:rsidRPr="00537E06">
              <w:rPr>
                <w:sz w:val="22"/>
                <w:szCs w:val="22"/>
                <w:lang w:val="pl-PL"/>
              </w:rPr>
              <w:t xml:space="preserve"> treba primijeniti sa oprezom kod pacijenata sa stanjima koja mogu dovesti do produžetka QT intervala (uključujući hipokalemiju, hipomagnezijemiju, kongenitalni sindrom produženog QT interval ili istovremena primjena drugih lijekova koji </w:t>
            </w:r>
            <w:r w:rsidRPr="00537E06">
              <w:rPr>
                <w:sz w:val="22"/>
                <w:szCs w:val="22"/>
                <w:lang w:val="pl-PL"/>
              </w:rPr>
              <w:lastRenderedPageBreak/>
              <w:t>mogu dovesti do produženja QT intervala). Hipokalemiju ili hipomagnezijemiju treba korigovati prije početka terapije. Elektrokardiogram sa određivanjem QT inervala treba razmotriti prije uvođenja terapije lijekom Tyverb</w:t>
            </w:r>
            <w:r w:rsidRPr="00B141D9">
              <w:rPr>
                <w:sz w:val="22"/>
                <w:szCs w:val="22"/>
                <w:vertAlign w:val="superscript"/>
                <w:lang w:val="sv-SE"/>
              </w:rPr>
              <w:t>®</w:t>
            </w:r>
            <w:r w:rsidRPr="00537E06">
              <w:rPr>
                <w:sz w:val="22"/>
                <w:szCs w:val="22"/>
                <w:lang w:val="pl-PL"/>
              </w:rPr>
              <w:t xml:space="preserve"> i tokom trajanja terapije.</w:t>
            </w:r>
          </w:p>
          <w:p w:rsidR="0068141C" w:rsidRPr="00537E06" w:rsidRDefault="0068141C" w:rsidP="0068141C">
            <w:pPr>
              <w:rPr>
                <w:lang w:val="pl-PL"/>
              </w:rPr>
            </w:pPr>
          </w:p>
          <w:p w:rsidR="0068141C" w:rsidRPr="00537E06" w:rsidRDefault="0068141C" w:rsidP="0068141C">
            <w:pPr>
              <w:rPr>
                <w:lang w:val="pl-PL"/>
              </w:rPr>
            </w:pPr>
            <w:r w:rsidRPr="00537E06">
              <w:rPr>
                <w:sz w:val="22"/>
                <w:szCs w:val="22"/>
                <w:lang w:val="pl-PL"/>
              </w:rPr>
              <w:t>Primjena lapatiniba bila je udružena sa prijavama pulmonarne toksičnosti i pneumonitisa (vidjeti Odjeljak 4.8). Potrebno je pratiti pacijente zbog moguće pojave simptoma pulmonarne toksičnosti (dispneja, kašalj, groznica) i prekinuti terapiju kod pacijenata kod kojih se jave simptomi koji su NCI CTCAE stepena 3 ili više. Pulmonarna toksičnost može biti ozbiljna i voditi u respiratornu insuficijenciju. Zabilježeni su slučajevi fatalnog ishoda, uzrok smrti je nepoznat.</w:t>
            </w:r>
          </w:p>
          <w:p w:rsidR="0068141C" w:rsidRPr="00537E06" w:rsidRDefault="0068141C" w:rsidP="0068141C">
            <w:pPr>
              <w:rPr>
                <w:lang w:val="pl-PL"/>
              </w:rPr>
            </w:pPr>
          </w:p>
          <w:p w:rsidR="0068141C" w:rsidRPr="00537E06" w:rsidRDefault="0068141C" w:rsidP="0068141C">
            <w:pPr>
              <w:rPr>
                <w:lang w:val="pl-PL"/>
              </w:rPr>
            </w:pPr>
            <w:r w:rsidRPr="00537E06">
              <w:rPr>
                <w:sz w:val="22"/>
                <w:szCs w:val="22"/>
                <w:lang w:val="pl-PL"/>
              </w:rPr>
              <w:t>Pri primjeni lijeka Tyverb</w:t>
            </w:r>
            <w:r w:rsidRPr="00B141D9">
              <w:rPr>
                <w:sz w:val="22"/>
                <w:szCs w:val="22"/>
                <w:vertAlign w:val="superscript"/>
                <w:lang w:val="sv-SE"/>
              </w:rPr>
              <w:t>®</w:t>
            </w:r>
            <w:r w:rsidRPr="00537E06">
              <w:rPr>
                <w:sz w:val="22"/>
                <w:szCs w:val="22"/>
                <w:lang w:val="pl-PL"/>
              </w:rPr>
              <w:t xml:space="preserve"> javljala se hepatotoksičnost, koja u rijetkim slučajevima može biti fatalna. Prije početka terapije potrebno je obavijestiti pacijenta o mogućoj hepatotoksičnosti. Potrebno je pratiti funkciju jetre (vrijednosti transaminaza, bilirubina i alkalne fosfataze) prije početka liječenja, nakon toga na mjesečnom nivou, ili u zavisnosti od kliničkih indikacija. Neophodno je prekinuti primjenu lijeka Tyverb</w:t>
            </w:r>
            <w:r w:rsidRPr="00B141D9">
              <w:rPr>
                <w:sz w:val="22"/>
                <w:szCs w:val="22"/>
                <w:vertAlign w:val="superscript"/>
                <w:lang w:val="sv-SE"/>
              </w:rPr>
              <w:t>®</w:t>
            </w:r>
            <w:r w:rsidRPr="00537E06">
              <w:rPr>
                <w:sz w:val="22"/>
                <w:szCs w:val="22"/>
                <w:lang w:val="pl-PL"/>
              </w:rPr>
              <w:t xml:space="preserve"> ukoliko postoje teške promjene u funkciji jetre i liječenje pacijenta ovim lijekom ne treba ponovo otpočeti.</w:t>
            </w:r>
          </w:p>
          <w:p w:rsidR="0068141C" w:rsidRPr="00537E06" w:rsidRDefault="0068141C" w:rsidP="0068141C">
            <w:pPr>
              <w:rPr>
                <w:lang w:val="pl-PL"/>
              </w:rPr>
            </w:pPr>
          </w:p>
          <w:p w:rsidR="0068141C" w:rsidRPr="00537E06" w:rsidRDefault="0068141C" w:rsidP="0068141C">
            <w:pPr>
              <w:rPr>
                <w:lang w:val="pl-PL"/>
              </w:rPr>
            </w:pPr>
            <w:r w:rsidRPr="00537E06">
              <w:rPr>
                <w:sz w:val="22"/>
                <w:szCs w:val="22"/>
                <w:lang w:val="pl-PL"/>
              </w:rPr>
              <w:t>Neophodan je oprez pri propisivanju lijeka Tyverb</w:t>
            </w:r>
            <w:r w:rsidRPr="00B141D9">
              <w:rPr>
                <w:sz w:val="22"/>
                <w:szCs w:val="22"/>
                <w:vertAlign w:val="superscript"/>
                <w:lang w:val="sv-SE"/>
              </w:rPr>
              <w:t>®</w:t>
            </w:r>
            <w:r w:rsidRPr="00537E06">
              <w:rPr>
                <w:sz w:val="22"/>
                <w:szCs w:val="22"/>
                <w:lang w:val="pl-PL"/>
              </w:rPr>
              <w:t xml:space="preserve"> pacijentima sa umjerenim do teškim oštećenjem jetre (vidjeti Odjeljak 4.2 i Odjeljak 5.2).</w:t>
            </w:r>
          </w:p>
          <w:p w:rsidR="0068141C" w:rsidRPr="00537E06" w:rsidRDefault="0068141C" w:rsidP="0068141C">
            <w:pPr>
              <w:rPr>
                <w:lang w:val="pl-PL"/>
              </w:rPr>
            </w:pPr>
          </w:p>
          <w:p w:rsidR="0068141C" w:rsidRPr="00537E06" w:rsidRDefault="0068141C" w:rsidP="0068141C">
            <w:pPr>
              <w:rPr>
                <w:lang w:val="pl-PL"/>
              </w:rPr>
            </w:pPr>
            <w:r w:rsidRPr="00537E06">
              <w:rPr>
                <w:sz w:val="22"/>
                <w:szCs w:val="22"/>
                <w:lang w:val="pl-PL"/>
              </w:rPr>
              <w:t>Savjetuje se oprez pri propisivanju lijeka Tyverb</w:t>
            </w:r>
            <w:r w:rsidRPr="00B141D9">
              <w:rPr>
                <w:sz w:val="22"/>
                <w:szCs w:val="22"/>
                <w:vertAlign w:val="superscript"/>
                <w:lang w:val="sv-SE"/>
              </w:rPr>
              <w:t>®</w:t>
            </w:r>
            <w:r w:rsidRPr="00537E06">
              <w:rPr>
                <w:sz w:val="22"/>
                <w:szCs w:val="22"/>
                <w:lang w:val="pl-PL"/>
              </w:rPr>
              <w:t xml:space="preserve"> pacijentima sa teškim oštećenjem bubrega (vidjeti Odjeljak 4.2 i Odjeljak 5.2).</w:t>
            </w:r>
          </w:p>
          <w:p w:rsidR="0068141C" w:rsidRPr="00537E06" w:rsidRDefault="0068141C" w:rsidP="0068141C">
            <w:pPr>
              <w:rPr>
                <w:lang w:val="pl-PL"/>
              </w:rPr>
            </w:pPr>
          </w:p>
          <w:p w:rsidR="0068141C" w:rsidRPr="00537E06" w:rsidRDefault="0068141C" w:rsidP="0068141C">
            <w:pPr>
              <w:rPr>
                <w:lang w:val="pl-PL"/>
              </w:rPr>
            </w:pPr>
            <w:r w:rsidRPr="00537E06">
              <w:rPr>
                <w:sz w:val="22"/>
                <w:szCs w:val="22"/>
                <w:lang w:val="pl-PL"/>
              </w:rPr>
              <w:t>Tokom terapije lijekom Tyverb</w:t>
            </w:r>
            <w:r w:rsidRPr="00B141D9">
              <w:rPr>
                <w:sz w:val="22"/>
                <w:szCs w:val="22"/>
                <w:vertAlign w:val="superscript"/>
                <w:lang w:val="sv-SE"/>
              </w:rPr>
              <w:t>®</w:t>
            </w:r>
            <w:r w:rsidRPr="00537E06">
              <w:rPr>
                <w:sz w:val="22"/>
                <w:szCs w:val="22"/>
                <w:lang w:val="pl-PL"/>
              </w:rPr>
              <w:t xml:space="preserve"> prijavljena je pojava dijareje, uključujući tešku dijareju (vidjeti Odjeljak 4.8). Na početku terapije, treba ispitati stanje crijeva i bilo koje druge simptome (na primjer groznica, bolni grčevi, mučnina, povraćanje, vrtoglavica i žeđ) kako bi se omogućilo otkrivanje promjena tokom terapije i kako bi se otkrili pacijenti koji su pod povećanim rizikom od nastanka dijareje. Važna je proaktivna terapija dijareje antidijaroičnim preparatima. Teški slučajevi dijareje mogu zahtijevati primjenu elektrolita i tečnosti oralnim ili intravenskim putem, kao i prekid ili obustavljanje terapije</w:t>
            </w:r>
            <w:r w:rsidRPr="00537E06">
              <w:rPr>
                <w:b/>
                <w:sz w:val="22"/>
                <w:szCs w:val="22"/>
                <w:lang w:val="pl-PL"/>
              </w:rPr>
              <w:t xml:space="preserve"> </w:t>
            </w:r>
            <w:r w:rsidRPr="00537E06">
              <w:rPr>
                <w:sz w:val="22"/>
                <w:szCs w:val="22"/>
                <w:lang w:val="pl-PL"/>
              </w:rPr>
              <w:t>lijekom Tyverb</w:t>
            </w:r>
            <w:r w:rsidRPr="00B141D9">
              <w:rPr>
                <w:sz w:val="22"/>
                <w:szCs w:val="22"/>
                <w:vertAlign w:val="superscript"/>
                <w:lang w:val="sv-SE"/>
              </w:rPr>
              <w:t>®</w:t>
            </w:r>
            <w:r w:rsidRPr="00537E06">
              <w:rPr>
                <w:sz w:val="22"/>
                <w:szCs w:val="22"/>
                <w:lang w:val="pl-PL"/>
              </w:rPr>
              <w:t xml:space="preserve"> (vidjeti Odjeljak 4.2 - odlaganje primjene doze i smanjenje doze - druge toksičnosti).</w:t>
            </w:r>
          </w:p>
          <w:p w:rsidR="0068141C" w:rsidRPr="00537E06" w:rsidRDefault="0068141C" w:rsidP="0068141C">
            <w:pPr>
              <w:rPr>
                <w:lang w:val="pl-PL"/>
              </w:rPr>
            </w:pPr>
          </w:p>
          <w:p w:rsidR="0068141C" w:rsidRPr="00537E06" w:rsidRDefault="0068141C" w:rsidP="0068141C">
            <w:pPr>
              <w:rPr>
                <w:lang w:val="pl-PL"/>
              </w:rPr>
            </w:pPr>
            <w:r w:rsidRPr="00537E06">
              <w:rPr>
                <w:sz w:val="22"/>
                <w:szCs w:val="22"/>
                <w:lang w:val="pl-PL"/>
              </w:rPr>
              <w:t>Potrebno je izbjegavati istovremenu terapiju induktorima CYP3A4 zbog mogućeg rizika od smanjene izloženosti lapatinibu (vidjeti Odjeljak 4.5).</w:t>
            </w:r>
          </w:p>
          <w:p w:rsidR="0068141C" w:rsidRPr="00537E06" w:rsidRDefault="0068141C" w:rsidP="0068141C">
            <w:pPr>
              <w:rPr>
                <w:lang w:val="pl-PL"/>
              </w:rPr>
            </w:pPr>
          </w:p>
          <w:p w:rsidR="0068141C" w:rsidRPr="00537E06" w:rsidRDefault="0068141C" w:rsidP="0068141C">
            <w:pPr>
              <w:rPr>
                <w:lang w:val="pl-PL"/>
              </w:rPr>
            </w:pPr>
            <w:r w:rsidRPr="00537E06">
              <w:rPr>
                <w:sz w:val="22"/>
                <w:szCs w:val="22"/>
                <w:lang w:val="pl-PL"/>
              </w:rPr>
              <w:t>Potrebno je izbjegavati istovremenu terapiju snažnim inhibitorima CYP3A4 zbog mogućeg rizika od povećane izloženosti lapatinibu (vidjeti Odjeljak 4.5).</w:t>
            </w:r>
          </w:p>
          <w:p w:rsidR="0068141C" w:rsidRPr="00537E06" w:rsidRDefault="0068141C" w:rsidP="0068141C">
            <w:pPr>
              <w:rPr>
                <w:lang w:val="pl-PL"/>
              </w:rPr>
            </w:pPr>
          </w:p>
          <w:p w:rsidR="0068141C" w:rsidRPr="00537E06" w:rsidRDefault="0068141C" w:rsidP="0068141C">
            <w:pPr>
              <w:rPr>
                <w:lang w:val="pl-PL"/>
              </w:rPr>
            </w:pPr>
            <w:r w:rsidRPr="00537E06">
              <w:rPr>
                <w:sz w:val="22"/>
                <w:szCs w:val="22"/>
                <w:lang w:val="pl-PL"/>
              </w:rPr>
              <w:t>Tokom liječenja lijekom Tyverb</w:t>
            </w:r>
            <w:r>
              <w:rPr>
                <w:sz w:val="22"/>
                <w:szCs w:val="22"/>
                <w:vertAlign w:val="superscript"/>
                <w:lang w:val="sv-SE"/>
              </w:rPr>
              <w:t xml:space="preserve">® </w:t>
            </w:r>
            <w:r w:rsidRPr="00537E06">
              <w:rPr>
                <w:sz w:val="22"/>
                <w:szCs w:val="22"/>
                <w:lang w:val="pl-PL"/>
              </w:rPr>
              <w:t>treba izbjegavati konzumiranje soka od grejpfruta (vidjeti Odjeljak 4.5).</w:t>
            </w:r>
          </w:p>
          <w:p w:rsidR="0068141C" w:rsidRPr="00537E06" w:rsidRDefault="0068141C" w:rsidP="0068141C">
            <w:pPr>
              <w:rPr>
                <w:lang w:val="pl-PL"/>
              </w:rPr>
            </w:pPr>
          </w:p>
          <w:p w:rsidR="0068141C" w:rsidRPr="00537E06" w:rsidRDefault="0068141C" w:rsidP="0068141C">
            <w:pPr>
              <w:rPr>
                <w:color w:val="000000"/>
                <w:lang w:val="pl-PL"/>
              </w:rPr>
            </w:pPr>
            <w:r w:rsidRPr="00537E06">
              <w:rPr>
                <w:sz w:val="22"/>
                <w:szCs w:val="22"/>
                <w:lang w:val="pl-PL"/>
              </w:rPr>
              <w:t>Potrebno je izbjegavati primjenu lijeka Tyverb</w:t>
            </w:r>
            <w:r w:rsidRPr="002B30D6">
              <w:rPr>
                <w:sz w:val="22"/>
                <w:szCs w:val="22"/>
                <w:vertAlign w:val="superscript"/>
                <w:lang w:val="sv-SE"/>
              </w:rPr>
              <w:t>®</w:t>
            </w:r>
            <w:r w:rsidRPr="00537E06">
              <w:rPr>
                <w:sz w:val="22"/>
                <w:szCs w:val="22"/>
                <w:lang w:val="pl-PL"/>
              </w:rPr>
              <w:t xml:space="preserve"> istovremeno sa medicinskim proizvodima koji imaju </w:t>
            </w:r>
            <w:r w:rsidRPr="00537E06">
              <w:rPr>
                <w:color w:val="000000"/>
                <w:sz w:val="22"/>
                <w:szCs w:val="22"/>
                <w:lang w:val="pl-PL"/>
              </w:rPr>
              <w:t>malu terapijsku širinu i supstrati su za CYP3A4 (vidjeti Odjeljak 4.5).</w:t>
            </w:r>
          </w:p>
          <w:p w:rsidR="0068141C" w:rsidRPr="00537E06" w:rsidRDefault="0068141C" w:rsidP="0068141C">
            <w:pPr>
              <w:rPr>
                <w:color w:val="000000"/>
                <w:lang w:val="pl-PL"/>
              </w:rPr>
            </w:pPr>
          </w:p>
          <w:p w:rsidR="0068141C" w:rsidRPr="00537E06" w:rsidRDefault="0068141C" w:rsidP="0068141C">
            <w:pPr>
              <w:rPr>
                <w:color w:val="000000"/>
                <w:lang w:val="pl-PL"/>
              </w:rPr>
            </w:pPr>
            <w:r w:rsidRPr="00537E06">
              <w:rPr>
                <w:sz w:val="22"/>
                <w:szCs w:val="22"/>
                <w:lang w:val="pl-PL"/>
              </w:rPr>
              <w:t>Potrebno je izbjegavati primjenu lijeka Tyverb</w:t>
            </w:r>
            <w:r w:rsidRPr="002B30D6">
              <w:rPr>
                <w:sz w:val="22"/>
                <w:szCs w:val="22"/>
                <w:vertAlign w:val="superscript"/>
                <w:lang w:val="sv-SE"/>
              </w:rPr>
              <w:t>®</w:t>
            </w:r>
            <w:r w:rsidRPr="00537E06">
              <w:rPr>
                <w:sz w:val="22"/>
                <w:szCs w:val="22"/>
                <w:lang w:val="pl-PL"/>
              </w:rPr>
              <w:t xml:space="preserve"> istovremeno sa medicinskim proizvodima koji imaju </w:t>
            </w:r>
            <w:r w:rsidRPr="00537E06">
              <w:rPr>
                <w:color w:val="000000"/>
                <w:sz w:val="22"/>
                <w:szCs w:val="22"/>
                <w:lang w:val="pl-PL"/>
              </w:rPr>
              <w:t>malu terapijsku širinu i supstrati su za CYP2C8 (vidjeti Odjeljak 4.5).</w:t>
            </w:r>
          </w:p>
          <w:p w:rsidR="0068141C" w:rsidRPr="00537E06" w:rsidRDefault="0068141C" w:rsidP="0068141C">
            <w:pPr>
              <w:rPr>
                <w:sz w:val="22"/>
                <w:szCs w:val="22"/>
                <w:lang w:val="pl-PL"/>
              </w:rPr>
            </w:pPr>
          </w:p>
          <w:p w:rsidR="0068141C" w:rsidRPr="00537E06" w:rsidRDefault="0068141C" w:rsidP="0068141C">
            <w:pPr>
              <w:rPr>
                <w:lang w:val="pl-PL"/>
              </w:rPr>
            </w:pPr>
            <w:r w:rsidRPr="00537E06">
              <w:rPr>
                <w:sz w:val="22"/>
                <w:szCs w:val="22"/>
                <w:lang w:val="pl-PL"/>
              </w:rPr>
              <w:t>Potrebno je izbjegavati istovremeno liječenje pomoću supstanci koje povećavaju pH želuca, s obzirom na to da se rastvorljivost i resorpcija lapatiniba mogu umanjiti (vidjeti Odjeljak 4.5).</w:t>
            </w:r>
          </w:p>
          <w:p w:rsidR="0068141C" w:rsidRPr="00537E06" w:rsidRDefault="0068141C" w:rsidP="0068141C">
            <w:pPr>
              <w:pStyle w:val="Header"/>
              <w:tabs>
                <w:tab w:val="left" w:pos="284"/>
              </w:tabs>
              <w:rPr>
                <w:lang w:val="pl-PL"/>
              </w:rPr>
            </w:pPr>
          </w:p>
        </w:tc>
      </w:tr>
      <w:tr w:rsidR="0068141C" w:rsidRPr="00537E06">
        <w:tc>
          <w:tcPr>
            <w:tcW w:w="10188" w:type="dxa"/>
            <w:gridSpan w:val="4"/>
            <w:vAlign w:val="center"/>
          </w:tcPr>
          <w:p w:rsidR="0068141C" w:rsidRPr="001268A1" w:rsidRDefault="0068141C" w:rsidP="0068141C">
            <w:pPr>
              <w:pStyle w:val="Header"/>
              <w:tabs>
                <w:tab w:val="left" w:pos="284"/>
              </w:tabs>
              <w:spacing w:before="80" w:after="80"/>
              <w:rPr>
                <w:b/>
                <w:bCs/>
                <w:lang w:val="pl-PL"/>
              </w:rPr>
            </w:pPr>
            <w:r w:rsidRPr="001268A1">
              <w:rPr>
                <w:b/>
                <w:bCs/>
                <w:sz w:val="22"/>
                <w:szCs w:val="22"/>
                <w:lang w:val="pl-PL"/>
              </w:rPr>
              <w:lastRenderedPageBreak/>
              <w:t>4.5. Interakcije sa drugim l</w:t>
            </w:r>
            <w:r>
              <w:rPr>
                <w:b/>
                <w:bCs/>
                <w:sz w:val="22"/>
                <w:szCs w:val="22"/>
                <w:lang w:val="pl-PL"/>
              </w:rPr>
              <w:t>ij</w:t>
            </w:r>
            <w:r w:rsidRPr="001268A1">
              <w:rPr>
                <w:b/>
                <w:bCs/>
                <w:sz w:val="22"/>
                <w:szCs w:val="22"/>
                <w:lang w:val="pl-PL"/>
              </w:rPr>
              <w:t>ekovima i druge vrste interakcija</w:t>
            </w:r>
          </w:p>
        </w:tc>
      </w:tr>
      <w:tr w:rsidR="0068141C" w:rsidRPr="00CA322A">
        <w:trPr>
          <w:trHeight w:val="538"/>
        </w:trPr>
        <w:tc>
          <w:tcPr>
            <w:tcW w:w="10188" w:type="dxa"/>
            <w:gridSpan w:val="4"/>
            <w:vAlign w:val="center"/>
          </w:tcPr>
          <w:p w:rsidR="0068141C" w:rsidRPr="001268A1" w:rsidRDefault="0068141C" w:rsidP="0068141C">
            <w:pPr>
              <w:rPr>
                <w:lang w:val="pl-PL"/>
              </w:rPr>
            </w:pPr>
          </w:p>
          <w:p w:rsidR="0068141C" w:rsidRPr="00075821" w:rsidRDefault="0068141C" w:rsidP="0068141C">
            <w:pPr>
              <w:rPr>
                <w:u w:val="single"/>
                <w:lang w:val="pl-PL"/>
              </w:rPr>
            </w:pPr>
            <w:r w:rsidRPr="00075821">
              <w:rPr>
                <w:sz w:val="22"/>
                <w:szCs w:val="22"/>
                <w:u w:val="single"/>
                <w:lang w:val="pl-PL"/>
              </w:rPr>
              <w:t>Dejstva drugih medicinskih proizvoda na lapatinib</w:t>
            </w:r>
          </w:p>
          <w:p w:rsidR="0068141C" w:rsidRPr="00CA322A" w:rsidRDefault="0068141C" w:rsidP="0068141C">
            <w:pPr>
              <w:rPr>
                <w:lang w:val="pl-PL"/>
              </w:rPr>
            </w:pPr>
          </w:p>
          <w:p w:rsidR="0068141C" w:rsidRPr="00CA322A" w:rsidRDefault="0068141C" w:rsidP="0068141C">
            <w:pPr>
              <w:rPr>
                <w:lang w:val="pl-PL"/>
              </w:rPr>
            </w:pPr>
            <w:r w:rsidRPr="00CA322A">
              <w:rPr>
                <w:sz w:val="22"/>
                <w:szCs w:val="22"/>
                <w:lang w:val="pl-PL"/>
              </w:rPr>
              <w:t>Lapatinib se pretežno metaboliše pomoću CYP3A (vid</w:t>
            </w:r>
            <w:r>
              <w:rPr>
                <w:sz w:val="22"/>
                <w:szCs w:val="22"/>
                <w:lang w:val="pl-PL"/>
              </w:rPr>
              <w:t>j</w:t>
            </w:r>
            <w:r w:rsidRPr="00CA322A">
              <w:rPr>
                <w:sz w:val="22"/>
                <w:szCs w:val="22"/>
                <w:lang w:val="pl-PL"/>
              </w:rPr>
              <w:t>eti Od</w:t>
            </w:r>
            <w:r>
              <w:rPr>
                <w:sz w:val="22"/>
                <w:szCs w:val="22"/>
                <w:lang w:val="pl-PL"/>
              </w:rPr>
              <w:t>j</w:t>
            </w:r>
            <w:r w:rsidRPr="00CA322A">
              <w:rPr>
                <w:sz w:val="22"/>
                <w:szCs w:val="22"/>
                <w:lang w:val="pl-PL"/>
              </w:rPr>
              <w:t>eljak 5.2).</w:t>
            </w:r>
          </w:p>
          <w:p w:rsidR="0068141C" w:rsidRPr="00CA322A" w:rsidRDefault="0068141C" w:rsidP="0068141C">
            <w:pPr>
              <w:rPr>
                <w:lang w:val="pl-PL"/>
              </w:rPr>
            </w:pPr>
          </w:p>
          <w:p w:rsidR="0068141C" w:rsidRPr="00CA322A" w:rsidRDefault="0068141C" w:rsidP="0068141C">
            <w:pPr>
              <w:rPr>
                <w:lang w:val="pl-PL"/>
              </w:rPr>
            </w:pPr>
            <w:r w:rsidRPr="00CA322A">
              <w:rPr>
                <w:sz w:val="22"/>
                <w:szCs w:val="22"/>
                <w:lang w:val="pl-PL"/>
              </w:rPr>
              <w:t xml:space="preserve">Kod zdravih dobrovoljaca koji su koristili ketokonazol, snažan </w:t>
            </w:r>
            <w:r>
              <w:rPr>
                <w:sz w:val="22"/>
                <w:szCs w:val="22"/>
                <w:lang w:val="pl-PL"/>
              </w:rPr>
              <w:t>CYP3A4 inhibitor, u dozi od 200</w:t>
            </w:r>
            <w:r w:rsidRPr="00CA322A">
              <w:rPr>
                <w:sz w:val="22"/>
                <w:szCs w:val="22"/>
                <w:lang w:val="pl-PL"/>
              </w:rPr>
              <w:t>mg dva puta dnevno tokom 7 dana, sistem</w:t>
            </w:r>
            <w:r>
              <w:rPr>
                <w:sz w:val="22"/>
                <w:szCs w:val="22"/>
                <w:lang w:val="pl-PL"/>
              </w:rPr>
              <w:t>ska izloženost lapatinibu (100</w:t>
            </w:r>
            <w:r w:rsidRPr="00CA322A">
              <w:rPr>
                <w:sz w:val="22"/>
                <w:szCs w:val="22"/>
                <w:lang w:val="pl-PL"/>
              </w:rPr>
              <w:t xml:space="preserve">mg dnevno) porasla je približno 3,6 puta, a </w:t>
            </w:r>
            <w:r>
              <w:rPr>
                <w:sz w:val="22"/>
                <w:szCs w:val="22"/>
                <w:lang w:val="pl-PL"/>
              </w:rPr>
              <w:t>poluvrijeme eliminacije</w:t>
            </w:r>
            <w:r w:rsidRPr="00CA322A">
              <w:rPr>
                <w:sz w:val="22"/>
                <w:szCs w:val="22"/>
                <w:lang w:val="pl-PL"/>
              </w:rPr>
              <w:t xml:space="preserve"> je produžen 1,7 puta. Ne sav</w:t>
            </w:r>
            <w:r>
              <w:rPr>
                <w:sz w:val="22"/>
                <w:szCs w:val="22"/>
                <w:lang w:val="pl-PL"/>
              </w:rPr>
              <w:t>j</w:t>
            </w:r>
            <w:r w:rsidRPr="00CA322A">
              <w:rPr>
                <w:sz w:val="22"/>
                <w:szCs w:val="22"/>
                <w:lang w:val="pl-PL"/>
              </w:rPr>
              <w:t>etuje se istovremena prim</w:t>
            </w:r>
            <w:r>
              <w:rPr>
                <w:sz w:val="22"/>
                <w:szCs w:val="22"/>
                <w:lang w:val="pl-PL"/>
              </w:rPr>
              <w:t>j</w:t>
            </w:r>
            <w:r w:rsidRPr="00CA322A">
              <w:rPr>
                <w:sz w:val="22"/>
                <w:szCs w:val="22"/>
                <w:lang w:val="pl-PL"/>
              </w:rPr>
              <w:t xml:space="preserve">ena </w:t>
            </w:r>
            <w:r w:rsidRPr="00537E06">
              <w:rPr>
                <w:sz w:val="22"/>
                <w:szCs w:val="22"/>
                <w:lang w:val="pl-PL"/>
              </w:rPr>
              <w:t>lijeka Tyverb</w:t>
            </w:r>
            <w:r w:rsidRPr="00542490">
              <w:rPr>
                <w:sz w:val="22"/>
                <w:szCs w:val="22"/>
                <w:vertAlign w:val="superscript"/>
                <w:lang w:val="sv-SE"/>
              </w:rPr>
              <w:t>®</w:t>
            </w:r>
            <w:r w:rsidRPr="00537E06">
              <w:rPr>
                <w:sz w:val="22"/>
                <w:szCs w:val="22"/>
                <w:lang w:val="pl-PL"/>
              </w:rPr>
              <w:t xml:space="preserve"> </w:t>
            </w:r>
            <w:r w:rsidRPr="00CA322A">
              <w:rPr>
                <w:sz w:val="22"/>
                <w:szCs w:val="22"/>
                <w:lang w:val="pl-PL"/>
              </w:rPr>
              <w:t>sa snažnim inhibitorima CYP3A4 (na prim</w:t>
            </w:r>
            <w:r>
              <w:rPr>
                <w:sz w:val="22"/>
                <w:szCs w:val="22"/>
                <w:lang w:val="pl-PL"/>
              </w:rPr>
              <w:t>j</w:t>
            </w:r>
            <w:r w:rsidRPr="00CA322A">
              <w:rPr>
                <w:sz w:val="22"/>
                <w:szCs w:val="22"/>
                <w:lang w:val="pl-PL"/>
              </w:rPr>
              <w:t>er ritonavirom, sa</w:t>
            </w:r>
            <w:r>
              <w:rPr>
                <w:sz w:val="22"/>
                <w:szCs w:val="22"/>
                <w:lang w:val="pl-PL"/>
              </w:rPr>
              <w:t xml:space="preserve">kvinavirom, </w:t>
            </w:r>
            <w:r w:rsidRPr="00CA322A">
              <w:rPr>
                <w:sz w:val="22"/>
                <w:szCs w:val="22"/>
                <w:lang w:val="pl-PL"/>
              </w:rPr>
              <w:t>telitromicinom, ketokonazolom, it</w:t>
            </w:r>
            <w:r>
              <w:rPr>
                <w:sz w:val="22"/>
                <w:szCs w:val="22"/>
                <w:lang w:val="pl-PL"/>
              </w:rPr>
              <w:t xml:space="preserve">rakonazolom, </w:t>
            </w:r>
            <w:r w:rsidRPr="00CA322A">
              <w:rPr>
                <w:sz w:val="22"/>
                <w:szCs w:val="22"/>
                <w:lang w:val="pl-PL"/>
              </w:rPr>
              <w:t>vorikonazolom, pasakonazolom, nefazodonom). Sav</w:t>
            </w:r>
            <w:r>
              <w:rPr>
                <w:sz w:val="22"/>
                <w:szCs w:val="22"/>
                <w:lang w:val="pl-PL"/>
              </w:rPr>
              <w:t>j</w:t>
            </w:r>
            <w:r w:rsidRPr="00CA322A">
              <w:rPr>
                <w:sz w:val="22"/>
                <w:szCs w:val="22"/>
                <w:lang w:val="pl-PL"/>
              </w:rPr>
              <w:t>etuje se oprez pri istovremenoj prim</w:t>
            </w:r>
            <w:r>
              <w:rPr>
                <w:sz w:val="22"/>
                <w:szCs w:val="22"/>
                <w:lang w:val="pl-PL"/>
              </w:rPr>
              <w:t>j</w:t>
            </w:r>
            <w:r w:rsidRPr="00CA322A">
              <w:rPr>
                <w:sz w:val="22"/>
                <w:szCs w:val="22"/>
                <w:lang w:val="pl-PL"/>
              </w:rPr>
              <w:t xml:space="preserve">eni </w:t>
            </w:r>
            <w:r w:rsidRPr="00537E06">
              <w:rPr>
                <w:sz w:val="22"/>
                <w:szCs w:val="22"/>
                <w:lang w:val="pl-PL"/>
              </w:rPr>
              <w:t>lijeka Tyverb</w:t>
            </w:r>
            <w:r w:rsidRPr="00542490">
              <w:rPr>
                <w:sz w:val="22"/>
                <w:szCs w:val="22"/>
                <w:vertAlign w:val="superscript"/>
                <w:lang w:val="sv-SE"/>
              </w:rPr>
              <w:t>®</w:t>
            </w:r>
            <w:r w:rsidRPr="00537E06">
              <w:rPr>
                <w:sz w:val="22"/>
                <w:szCs w:val="22"/>
                <w:lang w:val="pl-PL"/>
              </w:rPr>
              <w:t xml:space="preserve"> </w:t>
            </w:r>
            <w:r w:rsidRPr="00CA322A">
              <w:rPr>
                <w:sz w:val="22"/>
                <w:szCs w:val="22"/>
                <w:lang w:val="pl-PL"/>
              </w:rPr>
              <w:t>sa um</w:t>
            </w:r>
            <w:r>
              <w:rPr>
                <w:sz w:val="22"/>
                <w:szCs w:val="22"/>
                <w:lang w:val="pl-PL"/>
              </w:rPr>
              <w:t>j</w:t>
            </w:r>
            <w:r w:rsidRPr="00CA322A">
              <w:rPr>
                <w:sz w:val="22"/>
                <w:szCs w:val="22"/>
                <w:lang w:val="pl-PL"/>
              </w:rPr>
              <w:t>erenim inhibitorima CYP3A4, uz pažljivo praćenje kliničkih neželjenih dejstava.</w:t>
            </w:r>
          </w:p>
          <w:p w:rsidR="0068141C" w:rsidRPr="00CA322A" w:rsidRDefault="0068141C" w:rsidP="0068141C">
            <w:pPr>
              <w:rPr>
                <w:lang w:val="pl-PL"/>
              </w:rPr>
            </w:pPr>
          </w:p>
          <w:p w:rsidR="0068141C" w:rsidRPr="00CA322A" w:rsidRDefault="0068141C" w:rsidP="0068141C">
            <w:pPr>
              <w:rPr>
                <w:lang w:val="pl-PL"/>
              </w:rPr>
            </w:pPr>
            <w:r w:rsidRPr="00CA322A">
              <w:rPr>
                <w:sz w:val="22"/>
                <w:szCs w:val="22"/>
                <w:lang w:val="pl-PL"/>
              </w:rPr>
              <w:t xml:space="preserve">Sistemska izloženost lapatinibu smanjena je približno 72% kod zdravih dobrovoljaca koji su koristili karbamazepin, induktor CYP3A4, u </w:t>
            </w:r>
            <w:r>
              <w:rPr>
                <w:sz w:val="22"/>
                <w:szCs w:val="22"/>
                <w:lang w:val="pl-PL"/>
              </w:rPr>
              <w:t>dozi od 100</w:t>
            </w:r>
            <w:r w:rsidRPr="00CA322A">
              <w:rPr>
                <w:sz w:val="22"/>
                <w:szCs w:val="22"/>
                <w:lang w:val="pl-PL"/>
              </w:rPr>
              <w:t>m</w:t>
            </w:r>
            <w:r>
              <w:rPr>
                <w:sz w:val="22"/>
                <w:szCs w:val="22"/>
                <w:lang w:val="pl-PL"/>
              </w:rPr>
              <w:t>g</w:t>
            </w:r>
            <w:r w:rsidRPr="00CA322A">
              <w:rPr>
                <w:sz w:val="22"/>
                <w:szCs w:val="22"/>
                <w:lang w:val="pl-PL"/>
              </w:rPr>
              <w:t xml:space="preserve"> dva</w:t>
            </w:r>
            <w:r>
              <w:rPr>
                <w:sz w:val="22"/>
                <w:szCs w:val="22"/>
                <w:lang w:val="pl-PL"/>
              </w:rPr>
              <w:t xml:space="preserve"> puta </w:t>
            </w:r>
            <w:r w:rsidRPr="00542490">
              <w:rPr>
                <w:sz w:val="22"/>
                <w:szCs w:val="22"/>
                <w:lang w:val="pl-PL"/>
              </w:rPr>
              <w:t>dnevno tokom 3 dana i 200mg dva puta dnevno tokom 17 dana. Potrebno je izb</w:t>
            </w:r>
            <w:r>
              <w:rPr>
                <w:sz w:val="22"/>
                <w:szCs w:val="22"/>
                <w:lang w:val="pl-PL"/>
              </w:rPr>
              <w:t>j</w:t>
            </w:r>
            <w:r w:rsidRPr="00542490">
              <w:rPr>
                <w:sz w:val="22"/>
                <w:szCs w:val="22"/>
                <w:lang w:val="pl-PL"/>
              </w:rPr>
              <w:t xml:space="preserve">egavati istovremenu primjenu </w:t>
            </w:r>
            <w:r w:rsidRPr="00537E06">
              <w:rPr>
                <w:sz w:val="22"/>
                <w:szCs w:val="22"/>
                <w:lang w:val="pl-PL"/>
              </w:rPr>
              <w:t>lijeka Tyverb</w:t>
            </w:r>
            <w:r w:rsidRPr="00542490">
              <w:rPr>
                <w:b/>
                <w:sz w:val="22"/>
                <w:szCs w:val="22"/>
                <w:vertAlign w:val="superscript"/>
                <w:lang w:val="sv-SE"/>
              </w:rPr>
              <w:t>®</w:t>
            </w:r>
            <w:r w:rsidRPr="00537E06">
              <w:rPr>
                <w:sz w:val="22"/>
                <w:szCs w:val="22"/>
                <w:lang w:val="pl-PL"/>
              </w:rPr>
              <w:t xml:space="preserve"> </w:t>
            </w:r>
            <w:r w:rsidRPr="00CA322A">
              <w:rPr>
                <w:sz w:val="22"/>
                <w:szCs w:val="22"/>
                <w:lang w:val="pl-PL"/>
              </w:rPr>
              <w:t>sa poznatim induktorima CYP3A4 (na prim</w:t>
            </w:r>
            <w:r>
              <w:rPr>
                <w:sz w:val="22"/>
                <w:szCs w:val="22"/>
                <w:lang w:val="pl-PL"/>
              </w:rPr>
              <w:t>j</w:t>
            </w:r>
            <w:r w:rsidRPr="00CA322A">
              <w:rPr>
                <w:sz w:val="22"/>
                <w:szCs w:val="22"/>
                <w:lang w:val="pl-PL"/>
              </w:rPr>
              <w:t>er rifampicinom, rifabutinom, karbamazepinom, fenitoinom ili kantarionom).</w:t>
            </w:r>
          </w:p>
          <w:p w:rsidR="0068141C" w:rsidRPr="00CA322A" w:rsidRDefault="0068141C" w:rsidP="0068141C">
            <w:pPr>
              <w:rPr>
                <w:lang w:val="pl-PL"/>
              </w:rPr>
            </w:pPr>
          </w:p>
          <w:p w:rsidR="0068141C" w:rsidRPr="001268A1" w:rsidRDefault="0068141C" w:rsidP="0068141C">
            <w:pPr>
              <w:rPr>
                <w:lang w:val="pl-PL"/>
              </w:rPr>
            </w:pPr>
            <w:r w:rsidRPr="001268A1">
              <w:rPr>
                <w:sz w:val="22"/>
                <w:szCs w:val="22"/>
                <w:lang w:val="pl-PL"/>
              </w:rPr>
              <w:t xml:space="preserve">Lapatinib je supstrat za transportne proteine Pgp i BCRP. Inhibitori (ketokonazol, itrakonazol, </w:t>
            </w:r>
            <w:r>
              <w:rPr>
                <w:sz w:val="22"/>
                <w:szCs w:val="22"/>
                <w:lang w:val="pl-PL"/>
              </w:rPr>
              <w:t>hinidin</w:t>
            </w:r>
            <w:r w:rsidRPr="001268A1">
              <w:rPr>
                <w:sz w:val="22"/>
                <w:szCs w:val="22"/>
                <w:lang w:val="pl-PL"/>
              </w:rPr>
              <w:t>, verapamil, ciklosporin, eritromicin) i induktori (rifampicin, kantarion) navedenih proteina mogu izm</w:t>
            </w:r>
            <w:r>
              <w:rPr>
                <w:sz w:val="22"/>
                <w:szCs w:val="22"/>
                <w:lang w:val="pl-PL"/>
              </w:rPr>
              <w:t>ij</w:t>
            </w:r>
            <w:r w:rsidRPr="001268A1">
              <w:rPr>
                <w:sz w:val="22"/>
                <w:szCs w:val="22"/>
                <w:lang w:val="pl-PL"/>
              </w:rPr>
              <w:t>eniti izloženost i/ili raspod</w:t>
            </w:r>
            <w:r>
              <w:rPr>
                <w:sz w:val="22"/>
                <w:szCs w:val="22"/>
                <w:lang w:val="pl-PL"/>
              </w:rPr>
              <w:t>j</w:t>
            </w:r>
            <w:r w:rsidRPr="001268A1">
              <w:rPr>
                <w:sz w:val="22"/>
                <w:szCs w:val="22"/>
                <w:lang w:val="pl-PL"/>
              </w:rPr>
              <w:t>elu lapatiniba (vid</w:t>
            </w:r>
            <w:r>
              <w:rPr>
                <w:sz w:val="22"/>
                <w:szCs w:val="22"/>
                <w:lang w:val="pl-PL"/>
              </w:rPr>
              <w:t>j</w:t>
            </w:r>
            <w:r w:rsidRPr="001268A1">
              <w:rPr>
                <w:sz w:val="22"/>
                <w:szCs w:val="22"/>
                <w:lang w:val="pl-PL"/>
              </w:rPr>
              <w:t>eti Od</w:t>
            </w:r>
            <w:r>
              <w:rPr>
                <w:sz w:val="22"/>
                <w:szCs w:val="22"/>
                <w:lang w:val="pl-PL"/>
              </w:rPr>
              <w:t>j</w:t>
            </w:r>
            <w:r w:rsidRPr="001268A1">
              <w:rPr>
                <w:sz w:val="22"/>
                <w:szCs w:val="22"/>
                <w:lang w:val="pl-PL"/>
              </w:rPr>
              <w:t>eljak 5.2).</w:t>
            </w:r>
          </w:p>
          <w:p w:rsidR="0068141C" w:rsidRPr="001268A1" w:rsidRDefault="0068141C" w:rsidP="0068141C">
            <w:pPr>
              <w:rPr>
                <w:lang w:val="pl-PL"/>
              </w:rPr>
            </w:pPr>
          </w:p>
          <w:p w:rsidR="0068141C" w:rsidRPr="001268A1" w:rsidRDefault="0068141C" w:rsidP="0068141C">
            <w:pPr>
              <w:rPr>
                <w:lang w:val="pl-PL"/>
              </w:rPr>
            </w:pPr>
            <w:r w:rsidRPr="001268A1">
              <w:rPr>
                <w:sz w:val="22"/>
                <w:szCs w:val="22"/>
                <w:lang w:val="pl-PL"/>
              </w:rPr>
              <w:t>Rastvorljivost lapatiniba je pH-zavisna. Potrebno je izb</w:t>
            </w:r>
            <w:r>
              <w:rPr>
                <w:sz w:val="22"/>
                <w:szCs w:val="22"/>
                <w:lang w:val="pl-PL"/>
              </w:rPr>
              <w:t>j</w:t>
            </w:r>
            <w:r w:rsidRPr="001268A1">
              <w:rPr>
                <w:sz w:val="22"/>
                <w:szCs w:val="22"/>
                <w:lang w:val="pl-PL"/>
              </w:rPr>
              <w:t>egavati istovremenu prim</w:t>
            </w:r>
            <w:r>
              <w:rPr>
                <w:sz w:val="22"/>
                <w:szCs w:val="22"/>
                <w:lang w:val="pl-PL"/>
              </w:rPr>
              <w:t>j</w:t>
            </w:r>
            <w:r w:rsidRPr="001268A1">
              <w:rPr>
                <w:sz w:val="22"/>
                <w:szCs w:val="22"/>
                <w:lang w:val="pl-PL"/>
              </w:rPr>
              <w:t xml:space="preserve">enu sa supstancama koje povećavaju pH želuca, zbog mogućeg smanjenja rastvorljivosti i </w:t>
            </w:r>
            <w:r>
              <w:rPr>
                <w:sz w:val="22"/>
                <w:szCs w:val="22"/>
                <w:lang w:val="pl-PL"/>
              </w:rPr>
              <w:t>re</w:t>
            </w:r>
            <w:r w:rsidRPr="001268A1">
              <w:rPr>
                <w:sz w:val="22"/>
                <w:szCs w:val="22"/>
                <w:lang w:val="pl-PL"/>
              </w:rPr>
              <w:t>sorpcije lapatiniba.</w:t>
            </w:r>
            <w:r>
              <w:rPr>
                <w:sz w:val="22"/>
                <w:szCs w:val="22"/>
                <w:lang w:val="pl-PL"/>
              </w:rPr>
              <w:t xml:space="preserve"> </w:t>
            </w:r>
            <w:r w:rsidRPr="00942FF4">
              <w:rPr>
                <w:sz w:val="22"/>
                <w:szCs w:val="22"/>
                <w:lang w:val="pl-PL"/>
              </w:rPr>
              <w:t>Prethodna terapija lijekovima iz grupe inhibitora protonske pumpe (esomeprazol) smanjila je izloženost lapatinibu u prosjeku za 27% (u opsegu od 6% do 49%). Učestalost navedenog efekta se smanjivala sa povećanjem starosti pacijenata od 40. do 60. godine.</w:t>
            </w:r>
          </w:p>
          <w:p w:rsidR="0068141C" w:rsidRPr="001268A1" w:rsidRDefault="0068141C" w:rsidP="0068141C">
            <w:pPr>
              <w:rPr>
                <w:lang w:val="pl-PL"/>
              </w:rPr>
            </w:pPr>
          </w:p>
          <w:p w:rsidR="0068141C" w:rsidRPr="001268A1" w:rsidRDefault="0068141C" w:rsidP="0068141C">
            <w:pPr>
              <w:rPr>
                <w:u w:val="single"/>
                <w:lang w:val="sv-SE"/>
              </w:rPr>
            </w:pPr>
            <w:r w:rsidRPr="001268A1">
              <w:rPr>
                <w:sz w:val="22"/>
                <w:szCs w:val="22"/>
                <w:u w:val="single"/>
                <w:lang w:val="sv-SE"/>
              </w:rPr>
              <w:t>Dejstva lapatiniba na druge  medicinske proizvode</w:t>
            </w:r>
          </w:p>
          <w:p w:rsidR="0068141C" w:rsidRPr="001268A1" w:rsidRDefault="0068141C" w:rsidP="0068141C">
            <w:pPr>
              <w:rPr>
                <w:lang w:val="sv-SE"/>
              </w:rPr>
            </w:pPr>
          </w:p>
          <w:p w:rsidR="0068141C" w:rsidRDefault="0068141C" w:rsidP="0068141C">
            <w:pPr>
              <w:rPr>
                <w:sz w:val="22"/>
                <w:szCs w:val="22"/>
                <w:lang w:val="sv-SE"/>
              </w:rPr>
            </w:pPr>
            <w:r w:rsidRPr="001268A1">
              <w:rPr>
                <w:sz w:val="22"/>
                <w:szCs w:val="22"/>
                <w:lang w:val="sv-SE"/>
              </w:rPr>
              <w:t xml:space="preserve">U klinički relevantnim koncentracijama lapatinib inhibira CYP3A4 </w:t>
            </w:r>
            <w:r w:rsidRPr="001268A1">
              <w:rPr>
                <w:i/>
                <w:iCs/>
                <w:sz w:val="22"/>
                <w:szCs w:val="22"/>
                <w:lang w:val="sv-SE"/>
              </w:rPr>
              <w:t>in vitro</w:t>
            </w:r>
            <w:r w:rsidRPr="001268A1">
              <w:rPr>
                <w:sz w:val="22"/>
                <w:szCs w:val="22"/>
                <w:lang w:val="sv-SE"/>
              </w:rPr>
              <w:t xml:space="preserve">. </w:t>
            </w:r>
            <w:r>
              <w:rPr>
                <w:sz w:val="22"/>
                <w:szCs w:val="22"/>
                <w:lang w:val="sv-SE"/>
              </w:rPr>
              <w:t xml:space="preserve">Istovremena primjena lijeka </w:t>
            </w:r>
            <w:r w:rsidRPr="00542490">
              <w:rPr>
                <w:sz w:val="22"/>
                <w:szCs w:val="22"/>
              </w:rPr>
              <w:t>Tyverb</w:t>
            </w:r>
            <w:r w:rsidRPr="00542490">
              <w:rPr>
                <w:sz w:val="22"/>
                <w:szCs w:val="22"/>
                <w:vertAlign w:val="superscript"/>
                <w:lang w:val="sv-SE"/>
              </w:rPr>
              <w:t>®</w:t>
            </w:r>
            <w:r>
              <w:rPr>
                <w:sz w:val="22"/>
                <w:szCs w:val="22"/>
              </w:rPr>
              <w:t xml:space="preserve"> sa oralno primijenjenim midazolamom, dovela je do približno 45% porasta AUC midazolama. Nije bilo klinički značajnog porasta AUC kada je midazolam primjenjivan intravenski. </w:t>
            </w:r>
            <w:r w:rsidRPr="001268A1">
              <w:rPr>
                <w:sz w:val="22"/>
                <w:szCs w:val="22"/>
                <w:lang w:val="sv-SE"/>
              </w:rPr>
              <w:t>Potrebno je izb</w:t>
            </w:r>
            <w:r>
              <w:rPr>
                <w:sz w:val="22"/>
                <w:szCs w:val="22"/>
                <w:lang w:val="sv-SE"/>
              </w:rPr>
              <w:t>j</w:t>
            </w:r>
            <w:r w:rsidRPr="001268A1">
              <w:rPr>
                <w:sz w:val="22"/>
                <w:szCs w:val="22"/>
                <w:lang w:val="sv-SE"/>
              </w:rPr>
              <w:t>egavati istovremenu prim</w:t>
            </w:r>
            <w:r>
              <w:rPr>
                <w:sz w:val="22"/>
                <w:szCs w:val="22"/>
                <w:lang w:val="sv-SE"/>
              </w:rPr>
              <w:t>j</w:t>
            </w:r>
            <w:r w:rsidRPr="001268A1">
              <w:rPr>
                <w:sz w:val="22"/>
                <w:szCs w:val="22"/>
                <w:lang w:val="sv-SE"/>
              </w:rPr>
              <w:t xml:space="preserve">enu </w:t>
            </w:r>
            <w:r w:rsidRPr="00542490">
              <w:rPr>
                <w:sz w:val="22"/>
                <w:szCs w:val="22"/>
              </w:rPr>
              <w:t>l</w:t>
            </w:r>
            <w:r>
              <w:rPr>
                <w:sz w:val="22"/>
                <w:szCs w:val="22"/>
              </w:rPr>
              <w:t>ij</w:t>
            </w:r>
            <w:r w:rsidRPr="00542490">
              <w:rPr>
                <w:sz w:val="22"/>
                <w:szCs w:val="22"/>
              </w:rPr>
              <w:t>eka Tyverb</w:t>
            </w:r>
            <w:r w:rsidRPr="00542490">
              <w:rPr>
                <w:sz w:val="22"/>
                <w:szCs w:val="22"/>
                <w:vertAlign w:val="superscript"/>
                <w:lang w:val="sv-SE"/>
              </w:rPr>
              <w:t>®</w:t>
            </w:r>
            <w:r>
              <w:rPr>
                <w:sz w:val="22"/>
                <w:szCs w:val="22"/>
              </w:rPr>
              <w:t xml:space="preserve"> </w:t>
            </w:r>
            <w:r w:rsidRPr="001268A1">
              <w:rPr>
                <w:sz w:val="22"/>
                <w:szCs w:val="22"/>
                <w:lang w:val="sv-SE"/>
              </w:rPr>
              <w:t>sa l</w:t>
            </w:r>
            <w:r>
              <w:rPr>
                <w:sz w:val="22"/>
                <w:szCs w:val="22"/>
                <w:lang w:val="sv-SE"/>
              </w:rPr>
              <w:t>ij</w:t>
            </w:r>
            <w:r w:rsidRPr="001268A1">
              <w:rPr>
                <w:sz w:val="22"/>
                <w:szCs w:val="22"/>
                <w:lang w:val="sv-SE"/>
              </w:rPr>
              <w:t xml:space="preserve">ekovima koji imaju </w:t>
            </w:r>
            <w:r w:rsidRPr="005D3028">
              <w:rPr>
                <w:sz w:val="22"/>
                <w:szCs w:val="22"/>
                <w:lang w:val="sv-SE"/>
              </w:rPr>
              <w:t>malu terapijsku širinu</w:t>
            </w:r>
            <w:r w:rsidRPr="001268A1">
              <w:rPr>
                <w:sz w:val="22"/>
                <w:szCs w:val="22"/>
                <w:lang w:val="sv-SE"/>
              </w:rPr>
              <w:t xml:space="preserve"> i supstrati su za CYP3A4 (na prim</w:t>
            </w:r>
            <w:r>
              <w:rPr>
                <w:sz w:val="22"/>
                <w:szCs w:val="22"/>
                <w:lang w:val="sv-SE"/>
              </w:rPr>
              <w:t>j</w:t>
            </w:r>
            <w:r w:rsidRPr="001268A1">
              <w:rPr>
                <w:sz w:val="22"/>
                <w:szCs w:val="22"/>
                <w:lang w:val="sv-SE"/>
              </w:rPr>
              <w:t xml:space="preserve">er cisaprid, pimozid i </w:t>
            </w:r>
            <w:r>
              <w:rPr>
                <w:sz w:val="22"/>
                <w:szCs w:val="22"/>
                <w:lang w:val="sv-SE"/>
              </w:rPr>
              <w:t>h</w:t>
            </w:r>
            <w:r w:rsidRPr="001268A1">
              <w:rPr>
                <w:sz w:val="22"/>
                <w:szCs w:val="22"/>
                <w:lang w:val="sv-SE"/>
              </w:rPr>
              <w:t>inidin), ili CYP2C8 (na prim</w:t>
            </w:r>
            <w:r>
              <w:rPr>
                <w:sz w:val="22"/>
                <w:szCs w:val="22"/>
                <w:lang w:val="sv-SE"/>
              </w:rPr>
              <w:t>j</w:t>
            </w:r>
            <w:r w:rsidRPr="001268A1">
              <w:rPr>
                <w:sz w:val="22"/>
                <w:szCs w:val="22"/>
                <w:lang w:val="sv-SE"/>
              </w:rPr>
              <w:t>er repaglinid) (vid</w:t>
            </w:r>
            <w:r>
              <w:rPr>
                <w:sz w:val="22"/>
                <w:szCs w:val="22"/>
                <w:lang w:val="sv-SE"/>
              </w:rPr>
              <w:t>j</w:t>
            </w:r>
            <w:r w:rsidRPr="001268A1">
              <w:rPr>
                <w:sz w:val="22"/>
                <w:szCs w:val="22"/>
                <w:lang w:val="sv-SE"/>
              </w:rPr>
              <w:t>eti Od</w:t>
            </w:r>
            <w:r>
              <w:rPr>
                <w:sz w:val="22"/>
                <w:szCs w:val="22"/>
                <w:lang w:val="sv-SE"/>
              </w:rPr>
              <w:t>j</w:t>
            </w:r>
            <w:r w:rsidRPr="001268A1">
              <w:rPr>
                <w:sz w:val="22"/>
                <w:szCs w:val="22"/>
                <w:lang w:val="sv-SE"/>
              </w:rPr>
              <w:t>eljak 4.2 i 5.2).</w:t>
            </w:r>
          </w:p>
          <w:p w:rsidR="0068141C" w:rsidRDefault="0068141C" w:rsidP="0068141C">
            <w:pPr>
              <w:rPr>
                <w:sz w:val="22"/>
                <w:szCs w:val="22"/>
                <w:lang w:val="sv-SE"/>
              </w:rPr>
            </w:pPr>
          </w:p>
          <w:p w:rsidR="0068141C" w:rsidRDefault="0068141C" w:rsidP="0068141C">
            <w:pPr>
              <w:rPr>
                <w:sz w:val="22"/>
                <w:szCs w:val="22"/>
                <w:lang w:val="sv-SE"/>
              </w:rPr>
            </w:pPr>
            <w:r w:rsidRPr="001268A1">
              <w:rPr>
                <w:sz w:val="22"/>
                <w:szCs w:val="22"/>
                <w:lang w:val="sv-SE"/>
              </w:rPr>
              <w:t xml:space="preserve">U klinički relevantnim koncentracijama </w:t>
            </w:r>
            <w:r>
              <w:rPr>
                <w:sz w:val="22"/>
                <w:szCs w:val="22"/>
                <w:lang w:val="sv-SE"/>
              </w:rPr>
              <w:t>lapatinib inhibira CYP2A8</w:t>
            </w:r>
            <w:r w:rsidRPr="00A81B0B">
              <w:rPr>
                <w:i/>
                <w:sz w:val="22"/>
                <w:szCs w:val="22"/>
                <w:lang w:val="sv-SE"/>
              </w:rPr>
              <w:t xml:space="preserve"> in vitro</w:t>
            </w:r>
            <w:r>
              <w:rPr>
                <w:sz w:val="22"/>
                <w:szCs w:val="22"/>
                <w:lang w:val="sv-SE"/>
              </w:rPr>
              <w:t xml:space="preserve">. Potrebno je izbjegavati istovremenu primjenu lijeka </w:t>
            </w:r>
            <w:r w:rsidRPr="00542490">
              <w:rPr>
                <w:sz w:val="22"/>
                <w:szCs w:val="22"/>
              </w:rPr>
              <w:t>Tyverb</w:t>
            </w:r>
            <w:r w:rsidRPr="00542490">
              <w:rPr>
                <w:sz w:val="22"/>
                <w:szCs w:val="22"/>
                <w:vertAlign w:val="superscript"/>
                <w:lang w:val="sv-SE"/>
              </w:rPr>
              <w:t>®</w:t>
            </w:r>
            <w:r>
              <w:rPr>
                <w:sz w:val="22"/>
                <w:szCs w:val="22"/>
                <w:lang w:val="sv-SE"/>
              </w:rPr>
              <w:t xml:space="preserve"> sa </w:t>
            </w:r>
            <w:r w:rsidRPr="001268A1">
              <w:rPr>
                <w:sz w:val="22"/>
                <w:szCs w:val="22"/>
                <w:lang w:val="sv-SE"/>
              </w:rPr>
              <w:t>l</w:t>
            </w:r>
            <w:r>
              <w:rPr>
                <w:sz w:val="22"/>
                <w:szCs w:val="22"/>
                <w:lang w:val="sv-SE"/>
              </w:rPr>
              <w:t>ij</w:t>
            </w:r>
            <w:r w:rsidRPr="001268A1">
              <w:rPr>
                <w:sz w:val="22"/>
                <w:szCs w:val="22"/>
                <w:lang w:val="sv-SE"/>
              </w:rPr>
              <w:t xml:space="preserve">ekovima koji imaju </w:t>
            </w:r>
            <w:r w:rsidRPr="005D3028">
              <w:rPr>
                <w:sz w:val="22"/>
                <w:szCs w:val="22"/>
                <w:lang w:val="sv-SE"/>
              </w:rPr>
              <w:t>malu terapijsku širinu</w:t>
            </w:r>
            <w:r w:rsidRPr="001268A1">
              <w:rPr>
                <w:sz w:val="22"/>
                <w:szCs w:val="22"/>
                <w:lang w:val="sv-SE"/>
              </w:rPr>
              <w:t xml:space="preserve"> i supst</w:t>
            </w:r>
            <w:r>
              <w:rPr>
                <w:sz w:val="22"/>
                <w:szCs w:val="22"/>
                <w:lang w:val="sv-SE"/>
              </w:rPr>
              <w:t>rati su za CYP2</w:t>
            </w:r>
            <w:r w:rsidRPr="001268A1">
              <w:rPr>
                <w:sz w:val="22"/>
                <w:szCs w:val="22"/>
                <w:lang w:val="sv-SE"/>
              </w:rPr>
              <w:t>A</w:t>
            </w:r>
            <w:r>
              <w:rPr>
                <w:sz w:val="22"/>
                <w:szCs w:val="22"/>
                <w:lang w:val="sv-SE"/>
              </w:rPr>
              <w:t>8 (na primjer repaglinid).</w:t>
            </w:r>
          </w:p>
          <w:p w:rsidR="0068141C" w:rsidRDefault="0068141C" w:rsidP="0068141C">
            <w:pPr>
              <w:rPr>
                <w:sz w:val="22"/>
                <w:szCs w:val="22"/>
                <w:lang w:val="sv-SE"/>
              </w:rPr>
            </w:pPr>
          </w:p>
          <w:p w:rsidR="0068141C" w:rsidRDefault="0068141C" w:rsidP="0068141C">
            <w:pPr>
              <w:rPr>
                <w:sz w:val="22"/>
                <w:szCs w:val="22"/>
                <w:lang w:val="sv-SE"/>
              </w:rPr>
            </w:pPr>
            <w:r>
              <w:rPr>
                <w:sz w:val="22"/>
                <w:szCs w:val="22"/>
                <w:lang w:val="sv-SE"/>
              </w:rPr>
              <w:t>Istovremena primjena lapatiniba sa intravenski primijenjenim paklitakselom je povećala izloženost paklitaksela za 23% uslijed inhibicije CYP2A8 i/ili Pgp lapatinibom. Prilikom primjene ove kombinacije primijećen je porast incidence i ozbiljnosti dijareje i neutropenije u kliničkim ispitivanjima. Savjetuje se oprez prilikom istovremene primjene lapatiniba i paklitaksela.</w:t>
            </w:r>
          </w:p>
          <w:p w:rsidR="0068141C" w:rsidRDefault="0068141C" w:rsidP="0068141C">
            <w:pPr>
              <w:rPr>
                <w:sz w:val="22"/>
                <w:szCs w:val="22"/>
                <w:lang w:val="sv-SE"/>
              </w:rPr>
            </w:pPr>
          </w:p>
          <w:p w:rsidR="0068141C" w:rsidRDefault="0068141C" w:rsidP="0068141C">
            <w:pPr>
              <w:rPr>
                <w:sz w:val="22"/>
                <w:szCs w:val="22"/>
                <w:lang w:val="sv-SE"/>
              </w:rPr>
            </w:pPr>
            <w:r>
              <w:rPr>
                <w:sz w:val="22"/>
                <w:szCs w:val="22"/>
                <w:lang w:val="sv-SE"/>
              </w:rPr>
              <w:t>Istovremena primjena lapatiniba sa intravenski primijenjenim docetakselom ne utiče značajno na AUC ili Cmax nijedne aktivne supstance. Međutim, povećana je pojava docetaksel-indukovane neutropenije.</w:t>
            </w:r>
          </w:p>
          <w:p w:rsidR="0068141C" w:rsidRDefault="0068141C" w:rsidP="0068141C">
            <w:pPr>
              <w:rPr>
                <w:sz w:val="22"/>
                <w:szCs w:val="22"/>
                <w:lang w:val="sv-SE"/>
              </w:rPr>
            </w:pPr>
          </w:p>
          <w:p w:rsidR="0068141C" w:rsidRDefault="0068141C" w:rsidP="0068141C">
            <w:pPr>
              <w:rPr>
                <w:sz w:val="22"/>
                <w:szCs w:val="22"/>
              </w:rPr>
            </w:pPr>
            <w:r>
              <w:rPr>
                <w:sz w:val="22"/>
                <w:szCs w:val="22"/>
                <w:lang w:val="sv-SE"/>
              </w:rPr>
              <w:t xml:space="preserve">Istovremena primjena lijeka </w:t>
            </w:r>
            <w:r w:rsidRPr="00542490">
              <w:rPr>
                <w:sz w:val="22"/>
                <w:szCs w:val="22"/>
              </w:rPr>
              <w:t>Tyverb</w:t>
            </w:r>
            <w:r w:rsidRPr="00542490">
              <w:rPr>
                <w:sz w:val="22"/>
                <w:szCs w:val="22"/>
                <w:vertAlign w:val="superscript"/>
                <w:lang w:val="sv-SE"/>
              </w:rPr>
              <w:t>®</w:t>
            </w:r>
            <w:r>
              <w:rPr>
                <w:sz w:val="22"/>
                <w:szCs w:val="22"/>
                <w:lang w:val="sv-SE"/>
              </w:rPr>
              <w:t xml:space="preserve"> sa irinotekanom (kada se primjenjuje kao dio FOLFIRI režima) dovela je do približno 40% porasta AUC SN-38, aktivnog metabolita irinotekana. Precizan mehanizam ove interakcije je </w:t>
            </w:r>
            <w:r>
              <w:rPr>
                <w:sz w:val="22"/>
                <w:szCs w:val="22"/>
                <w:lang w:val="sv-SE"/>
              </w:rPr>
              <w:lastRenderedPageBreak/>
              <w:t xml:space="preserve">nepoznat, ali se pretpostavlja da nastaje zbog inhibicije jednog ili više transportnih proteina lapatinibom. Neželjene reakcije treba pažljivo pratiti ukoliko se lijek </w:t>
            </w:r>
            <w:r w:rsidRPr="00542490">
              <w:rPr>
                <w:sz w:val="22"/>
                <w:szCs w:val="22"/>
              </w:rPr>
              <w:t>Tyverb</w:t>
            </w:r>
            <w:r w:rsidRPr="00542490">
              <w:rPr>
                <w:sz w:val="22"/>
                <w:szCs w:val="22"/>
                <w:vertAlign w:val="superscript"/>
                <w:lang w:val="sv-SE"/>
              </w:rPr>
              <w:t>®</w:t>
            </w:r>
            <w:r>
              <w:rPr>
                <w:sz w:val="22"/>
                <w:szCs w:val="22"/>
              </w:rPr>
              <w:t xml:space="preserve"> primjenjuje sa irinotekanom i razmotriti smanjenje doze irinotekana.</w:t>
            </w:r>
          </w:p>
          <w:p w:rsidR="0068141C" w:rsidRDefault="0068141C" w:rsidP="0068141C">
            <w:pPr>
              <w:rPr>
                <w:sz w:val="22"/>
                <w:szCs w:val="22"/>
                <w:lang w:val="sv-SE"/>
              </w:rPr>
            </w:pPr>
          </w:p>
          <w:p w:rsidR="0068141C" w:rsidRDefault="0068141C" w:rsidP="0068141C">
            <w:pPr>
              <w:rPr>
                <w:lang w:val="sv-SE"/>
              </w:rPr>
            </w:pPr>
            <w:r w:rsidRPr="001268A1">
              <w:rPr>
                <w:sz w:val="22"/>
                <w:szCs w:val="22"/>
                <w:lang w:val="sv-SE"/>
              </w:rPr>
              <w:t xml:space="preserve">U klinički relevantnim koncentracijama </w:t>
            </w:r>
            <w:r>
              <w:rPr>
                <w:sz w:val="22"/>
                <w:szCs w:val="22"/>
                <w:lang w:val="sv-SE"/>
              </w:rPr>
              <w:t>lapatinib inhibira transportni protein Pgp</w:t>
            </w:r>
            <w:r w:rsidRPr="00A81B0B">
              <w:rPr>
                <w:i/>
                <w:sz w:val="22"/>
                <w:szCs w:val="22"/>
                <w:lang w:val="sv-SE"/>
              </w:rPr>
              <w:t xml:space="preserve"> in vitro</w:t>
            </w:r>
            <w:r>
              <w:rPr>
                <w:lang w:val="sv-SE"/>
              </w:rPr>
              <w:t xml:space="preserve">. </w:t>
            </w:r>
          </w:p>
          <w:p w:rsidR="0068141C" w:rsidRDefault="0068141C" w:rsidP="0068141C">
            <w:pPr>
              <w:rPr>
                <w:lang w:val="sv-SE"/>
              </w:rPr>
            </w:pPr>
            <w:r>
              <w:rPr>
                <w:lang w:val="sv-SE"/>
              </w:rPr>
              <w:t xml:space="preserve">Istovrijemena primjena lapatiniba sa oralno primijenjenim digoksinom dovela je do približno 80% porasta AUC digoksina. </w:t>
            </w:r>
            <w:r>
              <w:rPr>
                <w:sz w:val="22"/>
                <w:szCs w:val="22"/>
                <w:lang w:val="sv-SE"/>
              </w:rPr>
              <w:t>Potreban je oprez prilikom doziranja</w:t>
            </w:r>
            <w:r w:rsidRPr="001268A1">
              <w:rPr>
                <w:sz w:val="22"/>
                <w:szCs w:val="22"/>
                <w:lang w:val="sv-SE"/>
              </w:rPr>
              <w:t xml:space="preserve"> </w:t>
            </w:r>
            <w:r w:rsidRPr="00542490">
              <w:rPr>
                <w:sz w:val="22"/>
                <w:szCs w:val="22"/>
              </w:rPr>
              <w:t>l</w:t>
            </w:r>
            <w:r>
              <w:rPr>
                <w:sz w:val="22"/>
                <w:szCs w:val="22"/>
              </w:rPr>
              <w:t>ij</w:t>
            </w:r>
            <w:r w:rsidRPr="00542490">
              <w:rPr>
                <w:sz w:val="22"/>
                <w:szCs w:val="22"/>
              </w:rPr>
              <w:t>eka Tyverb</w:t>
            </w:r>
            <w:r w:rsidRPr="00542490">
              <w:rPr>
                <w:sz w:val="22"/>
                <w:szCs w:val="22"/>
                <w:vertAlign w:val="superscript"/>
                <w:lang w:val="sv-SE"/>
              </w:rPr>
              <w:t>®</w:t>
            </w:r>
            <w:r>
              <w:rPr>
                <w:sz w:val="22"/>
                <w:szCs w:val="22"/>
              </w:rPr>
              <w:t xml:space="preserve"> istovremeno </w:t>
            </w:r>
            <w:r w:rsidRPr="001268A1">
              <w:rPr>
                <w:sz w:val="22"/>
                <w:szCs w:val="22"/>
                <w:lang w:val="sv-SE"/>
              </w:rPr>
              <w:t>sa l</w:t>
            </w:r>
            <w:r>
              <w:rPr>
                <w:sz w:val="22"/>
                <w:szCs w:val="22"/>
                <w:lang w:val="sv-SE"/>
              </w:rPr>
              <w:t>ij</w:t>
            </w:r>
            <w:r w:rsidRPr="001268A1">
              <w:rPr>
                <w:sz w:val="22"/>
                <w:szCs w:val="22"/>
                <w:lang w:val="sv-SE"/>
              </w:rPr>
              <w:t xml:space="preserve">ekovima koji imaju </w:t>
            </w:r>
            <w:r w:rsidRPr="005D3028">
              <w:rPr>
                <w:sz w:val="22"/>
                <w:szCs w:val="22"/>
                <w:lang w:val="sv-SE"/>
              </w:rPr>
              <w:t>malu terapijsku širinu</w:t>
            </w:r>
            <w:r w:rsidRPr="001268A1">
              <w:rPr>
                <w:sz w:val="22"/>
                <w:szCs w:val="22"/>
                <w:lang w:val="sv-SE"/>
              </w:rPr>
              <w:t xml:space="preserve"> i supstrati su za </w:t>
            </w:r>
            <w:r>
              <w:rPr>
                <w:sz w:val="22"/>
                <w:szCs w:val="22"/>
                <w:lang w:val="sv-SE"/>
              </w:rPr>
              <w:t>Pgp i  razmotriti smanjenje doze Pgp supstrata.</w:t>
            </w:r>
          </w:p>
          <w:p w:rsidR="0068141C" w:rsidRPr="001268A1" w:rsidRDefault="0068141C" w:rsidP="0068141C">
            <w:pPr>
              <w:rPr>
                <w:lang w:val="sv-SE"/>
              </w:rPr>
            </w:pPr>
          </w:p>
          <w:p w:rsidR="0068141C" w:rsidRPr="001268A1" w:rsidRDefault="0068141C" w:rsidP="0068141C">
            <w:pPr>
              <w:rPr>
                <w:lang w:val="sv-SE"/>
              </w:rPr>
            </w:pPr>
            <w:r w:rsidRPr="001268A1">
              <w:rPr>
                <w:sz w:val="22"/>
                <w:szCs w:val="22"/>
                <w:lang w:val="sv-SE"/>
              </w:rPr>
              <w:t xml:space="preserve">Lapatinib inhibira transportne proteine BCRP i OATP1B1 </w:t>
            </w:r>
            <w:r w:rsidRPr="001268A1">
              <w:rPr>
                <w:i/>
                <w:iCs/>
                <w:sz w:val="22"/>
                <w:szCs w:val="22"/>
                <w:lang w:val="sv-SE"/>
              </w:rPr>
              <w:t>in vitro</w:t>
            </w:r>
            <w:r w:rsidRPr="001268A1">
              <w:rPr>
                <w:sz w:val="22"/>
                <w:szCs w:val="22"/>
                <w:lang w:val="sv-SE"/>
              </w:rPr>
              <w:t>. Još uvek nije utvrđen klinički značaj navedenog dejstva. Ne može se isključiti mogućnost da će prim</w:t>
            </w:r>
            <w:r>
              <w:rPr>
                <w:sz w:val="22"/>
                <w:szCs w:val="22"/>
                <w:lang w:val="sv-SE"/>
              </w:rPr>
              <w:t>j</w:t>
            </w:r>
            <w:r w:rsidRPr="001268A1">
              <w:rPr>
                <w:sz w:val="22"/>
                <w:szCs w:val="22"/>
                <w:lang w:val="sv-SE"/>
              </w:rPr>
              <w:t>ena lapatiniba uticati na farmakokinetiku supstrata BCRP (na prim</w:t>
            </w:r>
            <w:r>
              <w:rPr>
                <w:sz w:val="22"/>
                <w:szCs w:val="22"/>
                <w:lang w:val="sv-SE"/>
              </w:rPr>
              <w:t>j</w:t>
            </w:r>
            <w:r w:rsidRPr="001268A1">
              <w:rPr>
                <w:sz w:val="22"/>
                <w:szCs w:val="22"/>
                <w:lang w:val="sv-SE"/>
              </w:rPr>
              <w:t>er topotekan) i OATP1B1 (na prim</w:t>
            </w:r>
            <w:r>
              <w:rPr>
                <w:sz w:val="22"/>
                <w:szCs w:val="22"/>
                <w:lang w:val="sv-SE"/>
              </w:rPr>
              <w:t>j</w:t>
            </w:r>
            <w:r w:rsidRPr="001268A1">
              <w:rPr>
                <w:sz w:val="22"/>
                <w:szCs w:val="22"/>
                <w:lang w:val="sv-SE"/>
              </w:rPr>
              <w:t>er rosuvastatin) (vid</w:t>
            </w:r>
            <w:r>
              <w:rPr>
                <w:sz w:val="22"/>
                <w:szCs w:val="22"/>
                <w:lang w:val="sv-SE"/>
              </w:rPr>
              <w:t>j</w:t>
            </w:r>
            <w:r w:rsidRPr="001268A1">
              <w:rPr>
                <w:sz w:val="22"/>
                <w:szCs w:val="22"/>
                <w:lang w:val="sv-SE"/>
              </w:rPr>
              <w:t>eti Od</w:t>
            </w:r>
            <w:r>
              <w:rPr>
                <w:sz w:val="22"/>
                <w:szCs w:val="22"/>
                <w:lang w:val="sv-SE"/>
              </w:rPr>
              <w:t>j</w:t>
            </w:r>
            <w:r w:rsidRPr="001268A1">
              <w:rPr>
                <w:sz w:val="22"/>
                <w:szCs w:val="22"/>
                <w:lang w:val="sv-SE"/>
              </w:rPr>
              <w:t>eljak 5.2).</w:t>
            </w:r>
          </w:p>
          <w:p w:rsidR="0068141C" w:rsidRPr="001268A1" w:rsidRDefault="0068141C" w:rsidP="0068141C">
            <w:pPr>
              <w:rPr>
                <w:lang w:val="sv-SE"/>
              </w:rPr>
            </w:pPr>
          </w:p>
          <w:p w:rsidR="0068141C" w:rsidRPr="001268A1" w:rsidRDefault="0068141C" w:rsidP="0068141C">
            <w:pPr>
              <w:rPr>
                <w:lang w:val="sv-SE"/>
              </w:rPr>
            </w:pPr>
            <w:r w:rsidRPr="001268A1">
              <w:rPr>
                <w:sz w:val="22"/>
                <w:szCs w:val="22"/>
                <w:lang w:val="sv-SE"/>
              </w:rPr>
              <w:t>Istovremena prim</w:t>
            </w:r>
            <w:r>
              <w:rPr>
                <w:sz w:val="22"/>
                <w:szCs w:val="22"/>
                <w:lang w:val="sv-SE"/>
              </w:rPr>
              <w:t>j</w:t>
            </w:r>
            <w:r w:rsidRPr="001268A1">
              <w:rPr>
                <w:sz w:val="22"/>
                <w:szCs w:val="22"/>
                <w:lang w:val="sv-SE"/>
              </w:rPr>
              <w:t xml:space="preserve">ena </w:t>
            </w:r>
            <w:r w:rsidRPr="002D5478">
              <w:rPr>
                <w:sz w:val="22"/>
                <w:szCs w:val="22"/>
              </w:rPr>
              <w:t>lijeka Tyverb</w:t>
            </w:r>
            <w:r w:rsidRPr="002D5478">
              <w:rPr>
                <w:sz w:val="22"/>
                <w:szCs w:val="22"/>
                <w:vertAlign w:val="superscript"/>
                <w:lang w:val="sv-SE"/>
              </w:rPr>
              <w:t>®</w:t>
            </w:r>
            <w:r>
              <w:rPr>
                <w:sz w:val="22"/>
                <w:szCs w:val="22"/>
              </w:rPr>
              <w:t xml:space="preserve"> </w:t>
            </w:r>
            <w:r w:rsidRPr="001268A1">
              <w:rPr>
                <w:sz w:val="22"/>
                <w:szCs w:val="22"/>
                <w:lang w:val="sv-SE"/>
              </w:rPr>
              <w:t xml:space="preserve">sa </w:t>
            </w:r>
            <w:r w:rsidRPr="002D5478">
              <w:rPr>
                <w:sz w:val="22"/>
                <w:szCs w:val="22"/>
                <w:lang w:val="sv-SE"/>
              </w:rPr>
              <w:t>kapecitabinom, letrozolom</w:t>
            </w:r>
            <w:r w:rsidRPr="001268A1">
              <w:rPr>
                <w:sz w:val="22"/>
                <w:szCs w:val="22"/>
                <w:lang w:val="sv-SE"/>
              </w:rPr>
              <w:t xml:space="preserve"> ili trastuzumabom ne m</w:t>
            </w:r>
            <w:r>
              <w:rPr>
                <w:sz w:val="22"/>
                <w:szCs w:val="22"/>
                <w:lang w:val="sv-SE"/>
              </w:rPr>
              <w:t>ij</w:t>
            </w:r>
            <w:r w:rsidRPr="001268A1">
              <w:rPr>
                <w:sz w:val="22"/>
                <w:szCs w:val="22"/>
                <w:lang w:val="sv-SE"/>
              </w:rPr>
              <w:t>enja značajno farmakokinetiku navedenih preparata (ili metabolita kapecitabina), niti lapatiniba.</w:t>
            </w:r>
          </w:p>
          <w:p w:rsidR="0068141C" w:rsidRPr="001268A1" w:rsidRDefault="0068141C" w:rsidP="0068141C">
            <w:pPr>
              <w:rPr>
                <w:lang w:val="sv-SE"/>
              </w:rPr>
            </w:pPr>
          </w:p>
          <w:p w:rsidR="0068141C" w:rsidRPr="001268A1" w:rsidRDefault="0068141C" w:rsidP="0068141C">
            <w:pPr>
              <w:rPr>
                <w:u w:val="single"/>
                <w:lang w:val="sv-SE"/>
              </w:rPr>
            </w:pPr>
            <w:r w:rsidRPr="001268A1">
              <w:rPr>
                <w:sz w:val="22"/>
                <w:szCs w:val="22"/>
                <w:u w:val="single"/>
                <w:lang w:val="sv-SE"/>
              </w:rPr>
              <w:t>Interakcije sa hranom i pićima</w:t>
            </w:r>
          </w:p>
          <w:p w:rsidR="0068141C" w:rsidRPr="001268A1" w:rsidRDefault="0068141C" w:rsidP="0068141C">
            <w:pPr>
              <w:rPr>
                <w:lang w:val="sv-SE"/>
              </w:rPr>
            </w:pPr>
          </w:p>
          <w:p w:rsidR="0068141C" w:rsidRPr="001268A1" w:rsidRDefault="0068141C" w:rsidP="0068141C">
            <w:pPr>
              <w:rPr>
                <w:lang w:val="sv-SE"/>
              </w:rPr>
            </w:pPr>
            <w:r w:rsidRPr="001268A1">
              <w:rPr>
                <w:sz w:val="22"/>
                <w:szCs w:val="22"/>
                <w:lang w:val="sv-SE"/>
              </w:rPr>
              <w:t>Sa upotrebom hrane povećava se bioraspoloživost lapatiniba do oko 4 puta, zavisno od na prim</w:t>
            </w:r>
            <w:r>
              <w:rPr>
                <w:sz w:val="22"/>
                <w:szCs w:val="22"/>
                <w:lang w:val="sv-SE"/>
              </w:rPr>
              <w:t>j</w:t>
            </w:r>
            <w:r w:rsidRPr="001268A1">
              <w:rPr>
                <w:sz w:val="22"/>
                <w:szCs w:val="22"/>
                <w:lang w:val="sv-SE"/>
              </w:rPr>
              <w:t>er, sadržaja masti u obroku (vid</w:t>
            </w:r>
            <w:r>
              <w:rPr>
                <w:sz w:val="22"/>
                <w:szCs w:val="22"/>
                <w:lang w:val="sv-SE"/>
              </w:rPr>
              <w:t>j</w:t>
            </w:r>
            <w:r w:rsidRPr="001268A1">
              <w:rPr>
                <w:sz w:val="22"/>
                <w:szCs w:val="22"/>
                <w:lang w:val="sv-SE"/>
              </w:rPr>
              <w:t>eti Od</w:t>
            </w:r>
            <w:r>
              <w:rPr>
                <w:sz w:val="22"/>
                <w:szCs w:val="22"/>
                <w:lang w:val="sv-SE"/>
              </w:rPr>
              <w:t>j</w:t>
            </w:r>
            <w:r w:rsidRPr="001268A1">
              <w:rPr>
                <w:sz w:val="22"/>
                <w:szCs w:val="22"/>
                <w:lang w:val="sv-SE"/>
              </w:rPr>
              <w:t>eljak 4.2 i 5.2).</w:t>
            </w:r>
          </w:p>
          <w:p w:rsidR="0068141C" w:rsidRPr="001268A1" w:rsidRDefault="0068141C" w:rsidP="0068141C">
            <w:pPr>
              <w:rPr>
                <w:lang w:val="sv-SE"/>
              </w:rPr>
            </w:pPr>
          </w:p>
          <w:p w:rsidR="0068141C" w:rsidRPr="001268A1" w:rsidRDefault="0068141C" w:rsidP="0068141C">
            <w:pPr>
              <w:rPr>
                <w:lang w:val="sv-SE"/>
              </w:rPr>
            </w:pPr>
            <w:r w:rsidRPr="001268A1">
              <w:rPr>
                <w:sz w:val="22"/>
                <w:szCs w:val="22"/>
                <w:lang w:val="sv-SE"/>
              </w:rPr>
              <w:t>Sok od grejpfruta može inhibirati CYP3A4 u zidu creva i povećati bioraspoloživost lapatiniba, pa je stoga potrebno izb</w:t>
            </w:r>
            <w:r>
              <w:rPr>
                <w:sz w:val="22"/>
                <w:szCs w:val="22"/>
                <w:lang w:val="sv-SE"/>
              </w:rPr>
              <w:t>j</w:t>
            </w:r>
            <w:r w:rsidRPr="001268A1">
              <w:rPr>
                <w:sz w:val="22"/>
                <w:szCs w:val="22"/>
                <w:lang w:val="sv-SE"/>
              </w:rPr>
              <w:t xml:space="preserve">egavati upotrebu soka od grejpfruta tokom </w:t>
            </w:r>
            <w:r>
              <w:rPr>
                <w:sz w:val="22"/>
                <w:szCs w:val="22"/>
                <w:lang w:val="sv-SE"/>
              </w:rPr>
              <w:t>liječ</w:t>
            </w:r>
            <w:r w:rsidRPr="001268A1">
              <w:rPr>
                <w:sz w:val="22"/>
                <w:szCs w:val="22"/>
                <w:lang w:val="sv-SE"/>
              </w:rPr>
              <w:t xml:space="preserve">enja </w:t>
            </w:r>
            <w:r w:rsidRPr="002D5478">
              <w:rPr>
                <w:sz w:val="22"/>
                <w:szCs w:val="22"/>
              </w:rPr>
              <w:t>lijekom Tyverb</w:t>
            </w:r>
            <w:r w:rsidRPr="002D5478">
              <w:rPr>
                <w:sz w:val="22"/>
                <w:szCs w:val="22"/>
                <w:vertAlign w:val="superscript"/>
                <w:lang w:val="sv-SE"/>
              </w:rPr>
              <w:t>®</w:t>
            </w:r>
            <w:r w:rsidRPr="002D5478">
              <w:rPr>
                <w:sz w:val="22"/>
                <w:szCs w:val="22"/>
                <w:lang w:val="sv-SE"/>
              </w:rPr>
              <w:t>.</w:t>
            </w:r>
          </w:p>
          <w:p w:rsidR="0068141C" w:rsidRPr="001268A1" w:rsidRDefault="0068141C" w:rsidP="0068141C">
            <w:pPr>
              <w:pStyle w:val="Header"/>
              <w:tabs>
                <w:tab w:val="left" w:pos="284"/>
              </w:tabs>
              <w:rPr>
                <w:lang w:val="sv-SE"/>
              </w:rPr>
            </w:pPr>
          </w:p>
        </w:tc>
      </w:tr>
      <w:tr w:rsidR="0068141C" w:rsidRPr="00CA322A">
        <w:tc>
          <w:tcPr>
            <w:tcW w:w="10188" w:type="dxa"/>
            <w:gridSpan w:val="4"/>
            <w:vAlign w:val="center"/>
          </w:tcPr>
          <w:p w:rsidR="0068141C" w:rsidRPr="001268A1" w:rsidRDefault="0068141C" w:rsidP="0068141C">
            <w:pPr>
              <w:pStyle w:val="Header"/>
              <w:tabs>
                <w:tab w:val="left" w:pos="284"/>
              </w:tabs>
              <w:spacing w:before="80" w:after="80"/>
              <w:rPr>
                <w:b/>
                <w:bCs/>
                <w:lang w:val="pl-PL"/>
              </w:rPr>
            </w:pPr>
            <w:r w:rsidRPr="001268A1">
              <w:rPr>
                <w:b/>
                <w:bCs/>
                <w:sz w:val="22"/>
                <w:szCs w:val="22"/>
                <w:lang w:val="pl-PL"/>
              </w:rPr>
              <w:lastRenderedPageBreak/>
              <w:t>4.6. Prim</w:t>
            </w:r>
            <w:r>
              <w:rPr>
                <w:b/>
                <w:bCs/>
                <w:sz w:val="22"/>
                <w:szCs w:val="22"/>
                <w:lang w:val="pl-PL"/>
              </w:rPr>
              <w:t>j</w:t>
            </w:r>
            <w:r w:rsidRPr="001268A1">
              <w:rPr>
                <w:b/>
                <w:bCs/>
                <w:sz w:val="22"/>
                <w:szCs w:val="22"/>
                <w:lang w:val="pl-PL"/>
              </w:rPr>
              <w:t>ena u periodu trudnoće i dojenja</w:t>
            </w:r>
          </w:p>
        </w:tc>
      </w:tr>
      <w:tr w:rsidR="0068141C" w:rsidRPr="00CA322A">
        <w:trPr>
          <w:trHeight w:val="1145"/>
        </w:trPr>
        <w:tc>
          <w:tcPr>
            <w:tcW w:w="10188" w:type="dxa"/>
            <w:gridSpan w:val="4"/>
            <w:vAlign w:val="center"/>
          </w:tcPr>
          <w:p w:rsidR="0068141C" w:rsidRPr="001268A1" w:rsidRDefault="0068141C" w:rsidP="0068141C">
            <w:pPr>
              <w:rPr>
                <w:lang w:val="pl-PL"/>
              </w:rPr>
            </w:pPr>
          </w:p>
          <w:p w:rsidR="0068141C" w:rsidRPr="001268A1" w:rsidRDefault="0068141C" w:rsidP="0068141C">
            <w:pPr>
              <w:rPr>
                <w:lang w:val="pl-PL"/>
              </w:rPr>
            </w:pPr>
            <w:r w:rsidRPr="001268A1">
              <w:rPr>
                <w:sz w:val="22"/>
                <w:szCs w:val="22"/>
                <w:lang w:val="pl-PL"/>
              </w:rPr>
              <w:t>Nema adekvatnih podataka o prim</w:t>
            </w:r>
            <w:r>
              <w:rPr>
                <w:sz w:val="22"/>
                <w:szCs w:val="22"/>
                <w:lang w:val="pl-PL"/>
              </w:rPr>
              <w:t>j</w:t>
            </w:r>
            <w:r w:rsidRPr="001268A1">
              <w:rPr>
                <w:sz w:val="22"/>
                <w:szCs w:val="22"/>
                <w:lang w:val="pl-PL"/>
              </w:rPr>
              <w:t xml:space="preserve">eni </w:t>
            </w:r>
            <w:r w:rsidRPr="00B43C86">
              <w:rPr>
                <w:sz w:val="22"/>
                <w:szCs w:val="22"/>
              </w:rPr>
              <w:t>lijeka Tyverb</w:t>
            </w:r>
            <w:r w:rsidRPr="00B43C86">
              <w:rPr>
                <w:sz w:val="22"/>
                <w:szCs w:val="22"/>
                <w:vertAlign w:val="superscript"/>
                <w:lang w:val="sv-SE"/>
              </w:rPr>
              <w:t>®</w:t>
            </w:r>
            <w:r>
              <w:rPr>
                <w:sz w:val="22"/>
                <w:szCs w:val="22"/>
              </w:rPr>
              <w:t xml:space="preserve"> </w:t>
            </w:r>
            <w:r w:rsidRPr="001268A1">
              <w:rPr>
                <w:sz w:val="22"/>
                <w:szCs w:val="22"/>
                <w:lang w:val="pl-PL"/>
              </w:rPr>
              <w:t xml:space="preserve"> kod žena u drugom stanju. Ispitivanja na životinjama ukazala su na postojanje reproduktivne toksičnosti (vid</w:t>
            </w:r>
            <w:r>
              <w:rPr>
                <w:sz w:val="22"/>
                <w:szCs w:val="22"/>
                <w:lang w:val="pl-PL"/>
              </w:rPr>
              <w:t>j</w:t>
            </w:r>
            <w:r w:rsidRPr="001268A1">
              <w:rPr>
                <w:sz w:val="22"/>
                <w:szCs w:val="22"/>
                <w:lang w:val="pl-PL"/>
              </w:rPr>
              <w:t>eti Od</w:t>
            </w:r>
            <w:r>
              <w:rPr>
                <w:sz w:val="22"/>
                <w:szCs w:val="22"/>
                <w:lang w:val="pl-PL"/>
              </w:rPr>
              <w:t>j</w:t>
            </w:r>
            <w:r w:rsidRPr="001268A1">
              <w:rPr>
                <w:sz w:val="22"/>
                <w:szCs w:val="22"/>
                <w:lang w:val="pl-PL"/>
              </w:rPr>
              <w:t>eljak 5.3). Potencijalni rizik za ljude nije poznat.</w:t>
            </w:r>
          </w:p>
          <w:p w:rsidR="0068141C" w:rsidRPr="001268A1" w:rsidRDefault="0068141C" w:rsidP="0068141C">
            <w:pPr>
              <w:rPr>
                <w:lang w:val="pl-PL"/>
              </w:rPr>
            </w:pPr>
          </w:p>
          <w:p w:rsidR="0068141C" w:rsidRPr="001268A1" w:rsidRDefault="0068141C" w:rsidP="0068141C">
            <w:pPr>
              <w:rPr>
                <w:lang w:val="pl-PL"/>
              </w:rPr>
            </w:pPr>
            <w:r w:rsidRPr="001268A1">
              <w:rPr>
                <w:sz w:val="22"/>
                <w:szCs w:val="22"/>
                <w:lang w:val="pl-PL"/>
              </w:rPr>
              <w:t>Ne sav</w:t>
            </w:r>
            <w:r>
              <w:rPr>
                <w:sz w:val="22"/>
                <w:szCs w:val="22"/>
                <w:lang w:val="pl-PL"/>
              </w:rPr>
              <w:t>j</w:t>
            </w:r>
            <w:r w:rsidRPr="001268A1">
              <w:rPr>
                <w:sz w:val="22"/>
                <w:szCs w:val="22"/>
                <w:lang w:val="pl-PL"/>
              </w:rPr>
              <w:t>etuje se prim</w:t>
            </w:r>
            <w:r>
              <w:rPr>
                <w:sz w:val="22"/>
                <w:szCs w:val="22"/>
                <w:lang w:val="pl-PL"/>
              </w:rPr>
              <w:t>j</w:t>
            </w:r>
            <w:r w:rsidRPr="001268A1">
              <w:rPr>
                <w:sz w:val="22"/>
                <w:szCs w:val="22"/>
                <w:lang w:val="pl-PL"/>
              </w:rPr>
              <w:t xml:space="preserve">ena </w:t>
            </w:r>
            <w:r w:rsidRPr="00B43C86">
              <w:rPr>
                <w:sz w:val="22"/>
                <w:szCs w:val="22"/>
              </w:rPr>
              <w:t>lijeka Tyverb</w:t>
            </w:r>
            <w:r w:rsidRPr="00B43C86">
              <w:rPr>
                <w:sz w:val="22"/>
                <w:szCs w:val="22"/>
                <w:vertAlign w:val="superscript"/>
                <w:lang w:val="sv-SE"/>
              </w:rPr>
              <w:t>®</w:t>
            </w:r>
            <w:r>
              <w:rPr>
                <w:sz w:val="22"/>
                <w:szCs w:val="22"/>
              </w:rPr>
              <w:t xml:space="preserve"> </w:t>
            </w:r>
            <w:r w:rsidRPr="001268A1">
              <w:rPr>
                <w:sz w:val="22"/>
                <w:szCs w:val="22"/>
                <w:lang w:val="pl-PL"/>
              </w:rPr>
              <w:t xml:space="preserve">tokom trudnoće, osim </w:t>
            </w:r>
            <w:r>
              <w:rPr>
                <w:sz w:val="22"/>
                <w:szCs w:val="22"/>
                <w:lang w:val="pl-PL"/>
              </w:rPr>
              <w:t xml:space="preserve">ukoliko to nije neophodno. Ženama </w:t>
            </w:r>
            <w:r w:rsidRPr="001268A1">
              <w:rPr>
                <w:sz w:val="22"/>
                <w:szCs w:val="22"/>
                <w:lang w:val="pl-PL"/>
              </w:rPr>
              <w:t>u generativnom periodu treba sav</w:t>
            </w:r>
            <w:r>
              <w:rPr>
                <w:sz w:val="22"/>
                <w:szCs w:val="22"/>
                <w:lang w:val="pl-PL"/>
              </w:rPr>
              <w:t>j</w:t>
            </w:r>
            <w:r w:rsidRPr="001268A1">
              <w:rPr>
                <w:sz w:val="22"/>
                <w:szCs w:val="22"/>
                <w:lang w:val="pl-PL"/>
              </w:rPr>
              <w:t>etovati da upotrebljavaju adekvatne metode kontracepcije i da izbegavaju trudnoću tokom terapije</w:t>
            </w:r>
            <w:r w:rsidRPr="00B43C86">
              <w:rPr>
                <w:sz w:val="22"/>
                <w:szCs w:val="22"/>
                <w:lang w:val="pl-PL"/>
              </w:rPr>
              <w:t xml:space="preserve"> </w:t>
            </w:r>
            <w:r w:rsidRPr="00B43C86">
              <w:rPr>
                <w:sz w:val="22"/>
                <w:szCs w:val="22"/>
              </w:rPr>
              <w:t>lijekom Tyverb</w:t>
            </w:r>
            <w:r w:rsidRPr="00B43C86">
              <w:rPr>
                <w:sz w:val="22"/>
                <w:szCs w:val="22"/>
                <w:vertAlign w:val="superscript"/>
                <w:lang w:val="sv-SE"/>
              </w:rPr>
              <w:t>®</w:t>
            </w:r>
            <w:r w:rsidRPr="00B43C86">
              <w:rPr>
                <w:sz w:val="22"/>
                <w:szCs w:val="22"/>
                <w:lang w:val="pl-PL"/>
              </w:rPr>
              <w:t>.</w:t>
            </w:r>
          </w:p>
          <w:p w:rsidR="0068141C" w:rsidRPr="001268A1" w:rsidRDefault="0068141C" w:rsidP="0068141C">
            <w:pPr>
              <w:rPr>
                <w:lang w:val="pl-PL"/>
              </w:rPr>
            </w:pPr>
          </w:p>
          <w:p w:rsidR="0068141C" w:rsidRPr="001268A1" w:rsidRDefault="0068141C" w:rsidP="0068141C">
            <w:pPr>
              <w:rPr>
                <w:lang w:val="pl-PL"/>
              </w:rPr>
            </w:pPr>
            <w:r w:rsidRPr="001268A1">
              <w:rPr>
                <w:sz w:val="22"/>
                <w:szCs w:val="22"/>
                <w:lang w:val="pl-PL"/>
              </w:rPr>
              <w:t>Nije ispitana bezb</w:t>
            </w:r>
            <w:r>
              <w:rPr>
                <w:sz w:val="22"/>
                <w:szCs w:val="22"/>
                <w:lang w:val="pl-PL"/>
              </w:rPr>
              <w:t>j</w:t>
            </w:r>
            <w:r w:rsidRPr="001268A1">
              <w:rPr>
                <w:sz w:val="22"/>
                <w:szCs w:val="22"/>
                <w:lang w:val="pl-PL"/>
              </w:rPr>
              <w:t>ednost prim</w:t>
            </w:r>
            <w:r>
              <w:rPr>
                <w:sz w:val="22"/>
                <w:szCs w:val="22"/>
                <w:lang w:val="pl-PL"/>
              </w:rPr>
              <w:t>j</w:t>
            </w:r>
            <w:r w:rsidRPr="001268A1">
              <w:rPr>
                <w:sz w:val="22"/>
                <w:szCs w:val="22"/>
                <w:lang w:val="pl-PL"/>
              </w:rPr>
              <w:t xml:space="preserve">ene </w:t>
            </w:r>
            <w:r w:rsidRPr="00B43C86">
              <w:rPr>
                <w:sz w:val="22"/>
                <w:szCs w:val="22"/>
              </w:rPr>
              <w:t>lijeka Tyverb</w:t>
            </w:r>
            <w:r w:rsidRPr="00B43C86">
              <w:rPr>
                <w:sz w:val="22"/>
                <w:szCs w:val="22"/>
                <w:vertAlign w:val="superscript"/>
                <w:lang w:val="sv-SE"/>
              </w:rPr>
              <w:t>®</w:t>
            </w:r>
            <w:r w:rsidRPr="00B43C86">
              <w:rPr>
                <w:sz w:val="22"/>
                <w:szCs w:val="22"/>
              </w:rPr>
              <w:t xml:space="preserve"> </w:t>
            </w:r>
            <w:r w:rsidRPr="00B43C86">
              <w:rPr>
                <w:sz w:val="22"/>
                <w:szCs w:val="22"/>
                <w:lang w:val="pl-PL"/>
              </w:rPr>
              <w:t>tokom perioda dojenja.</w:t>
            </w:r>
            <w:r w:rsidRPr="001268A1">
              <w:rPr>
                <w:sz w:val="22"/>
                <w:szCs w:val="22"/>
                <w:lang w:val="pl-PL"/>
              </w:rPr>
              <w:t xml:space="preserve"> </w:t>
            </w:r>
            <w:r w:rsidRPr="00CA322A">
              <w:rPr>
                <w:sz w:val="22"/>
                <w:szCs w:val="22"/>
                <w:lang w:val="pl-PL"/>
              </w:rPr>
              <w:t>Nije poznato da li se lapatinib izlučuje u humano ml</w:t>
            </w:r>
            <w:r>
              <w:rPr>
                <w:sz w:val="22"/>
                <w:szCs w:val="22"/>
                <w:lang w:val="pl-PL"/>
              </w:rPr>
              <w:t>ij</w:t>
            </w:r>
            <w:r w:rsidRPr="00CA322A">
              <w:rPr>
                <w:sz w:val="22"/>
                <w:szCs w:val="22"/>
                <w:lang w:val="pl-PL"/>
              </w:rPr>
              <w:t>eko. Uočena je retardacija rasta mladunaca pacova koji su bili izloženi dejstvu lapatiniba preko majčinog ml</w:t>
            </w:r>
            <w:r>
              <w:rPr>
                <w:sz w:val="22"/>
                <w:szCs w:val="22"/>
                <w:lang w:val="pl-PL"/>
              </w:rPr>
              <w:t>ij</w:t>
            </w:r>
            <w:r w:rsidRPr="00CA322A">
              <w:rPr>
                <w:sz w:val="22"/>
                <w:szCs w:val="22"/>
                <w:lang w:val="pl-PL"/>
              </w:rPr>
              <w:t xml:space="preserve">eka. </w:t>
            </w:r>
            <w:r w:rsidRPr="001268A1">
              <w:rPr>
                <w:sz w:val="22"/>
                <w:szCs w:val="22"/>
                <w:lang w:val="pl-PL"/>
              </w:rPr>
              <w:t xml:space="preserve">Neophodno je da žene koje su na terapiji </w:t>
            </w:r>
            <w:r w:rsidRPr="00B43C86">
              <w:rPr>
                <w:sz w:val="22"/>
                <w:szCs w:val="22"/>
              </w:rPr>
              <w:t>lijekom Tyverb</w:t>
            </w:r>
            <w:r w:rsidRPr="00B43C86">
              <w:rPr>
                <w:sz w:val="22"/>
                <w:szCs w:val="22"/>
                <w:vertAlign w:val="superscript"/>
                <w:lang w:val="sv-SE"/>
              </w:rPr>
              <w:t>®</w:t>
            </w:r>
            <w:r>
              <w:rPr>
                <w:sz w:val="22"/>
                <w:szCs w:val="22"/>
              </w:rPr>
              <w:t xml:space="preserve"> </w:t>
            </w:r>
            <w:r w:rsidRPr="00661103">
              <w:rPr>
                <w:sz w:val="22"/>
                <w:szCs w:val="22"/>
                <w:lang w:val="pl-PL"/>
              </w:rPr>
              <w:t xml:space="preserve"> </w:t>
            </w:r>
            <w:r w:rsidRPr="001268A1">
              <w:rPr>
                <w:sz w:val="22"/>
                <w:szCs w:val="22"/>
                <w:lang w:val="pl-PL"/>
              </w:rPr>
              <w:t>prekinu dojenje.</w:t>
            </w:r>
          </w:p>
          <w:p w:rsidR="0068141C" w:rsidRPr="001268A1" w:rsidRDefault="0068141C" w:rsidP="0068141C">
            <w:pPr>
              <w:pStyle w:val="Header"/>
              <w:tabs>
                <w:tab w:val="left" w:pos="284"/>
              </w:tabs>
              <w:rPr>
                <w:lang w:val="pl-PL"/>
              </w:rPr>
            </w:pPr>
          </w:p>
        </w:tc>
      </w:tr>
      <w:tr w:rsidR="0068141C" w:rsidRPr="00CA322A">
        <w:tc>
          <w:tcPr>
            <w:tcW w:w="10188" w:type="dxa"/>
            <w:gridSpan w:val="4"/>
            <w:vAlign w:val="center"/>
          </w:tcPr>
          <w:p w:rsidR="0068141C" w:rsidRPr="001268A1" w:rsidRDefault="0068141C" w:rsidP="0068141C">
            <w:pPr>
              <w:pStyle w:val="Header"/>
              <w:tabs>
                <w:tab w:val="left" w:pos="284"/>
              </w:tabs>
              <w:spacing w:before="80" w:after="80"/>
              <w:rPr>
                <w:b/>
                <w:bCs/>
                <w:spacing w:val="-8"/>
                <w:lang w:val="pl-PL"/>
              </w:rPr>
            </w:pPr>
            <w:r w:rsidRPr="001268A1">
              <w:rPr>
                <w:b/>
                <w:bCs/>
                <w:spacing w:val="-8"/>
                <w:sz w:val="22"/>
                <w:szCs w:val="22"/>
                <w:lang w:val="pl-PL"/>
              </w:rPr>
              <w:t>4.7. Uticaj na psihofizičke sposobnosti prilikom upravljanja motornim vozilom i rukovanja mašinama</w:t>
            </w:r>
          </w:p>
        </w:tc>
      </w:tr>
      <w:tr w:rsidR="0068141C" w:rsidRPr="00CA322A">
        <w:trPr>
          <w:trHeight w:val="1145"/>
        </w:trPr>
        <w:tc>
          <w:tcPr>
            <w:tcW w:w="10188" w:type="dxa"/>
            <w:gridSpan w:val="4"/>
            <w:vAlign w:val="center"/>
          </w:tcPr>
          <w:p w:rsidR="0068141C" w:rsidRPr="001268A1" w:rsidRDefault="0068141C" w:rsidP="0068141C">
            <w:pPr>
              <w:rPr>
                <w:lang w:val="pl-PL"/>
              </w:rPr>
            </w:pPr>
          </w:p>
          <w:p w:rsidR="0068141C" w:rsidRPr="001268A1" w:rsidRDefault="0068141C" w:rsidP="0068141C">
            <w:pPr>
              <w:rPr>
                <w:lang w:val="pl-PL"/>
              </w:rPr>
            </w:pPr>
            <w:r w:rsidRPr="001268A1">
              <w:rPr>
                <w:sz w:val="22"/>
                <w:szCs w:val="22"/>
                <w:lang w:val="pl-PL"/>
              </w:rPr>
              <w:t xml:space="preserve">Nije ispitan uticaj </w:t>
            </w:r>
            <w:r w:rsidRPr="00B43C86">
              <w:rPr>
                <w:sz w:val="22"/>
                <w:szCs w:val="22"/>
                <w:lang w:val="pl-PL"/>
              </w:rPr>
              <w:t>lapatiniba</w:t>
            </w:r>
            <w:r>
              <w:rPr>
                <w:sz w:val="22"/>
                <w:szCs w:val="22"/>
                <w:lang w:val="pl-PL"/>
              </w:rPr>
              <w:t xml:space="preserve"> </w:t>
            </w:r>
            <w:r w:rsidRPr="001268A1">
              <w:rPr>
                <w:sz w:val="22"/>
                <w:szCs w:val="22"/>
                <w:lang w:val="pl-PL"/>
              </w:rPr>
              <w:t>na sposobnost upravljanja motornim vozilom i rukovanja mašinama. Na osnovu farmakoloških svojstava lapatiniba nije moguće predvid</w:t>
            </w:r>
            <w:r>
              <w:rPr>
                <w:sz w:val="22"/>
                <w:szCs w:val="22"/>
                <w:lang w:val="pl-PL"/>
              </w:rPr>
              <w:t>j</w:t>
            </w:r>
            <w:r w:rsidRPr="001268A1">
              <w:rPr>
                <w:sz w:val="22"/>
                <w:szCs w:val="22"/>
                <w:lang w:val="pl-PL"/>
              </w:rPr>
              <w:t>eti štetno dejstvo l</w:t>
            </w:r>
            <w:r>
              <w:rPr>
                <w:sz w:val="22"/>
                <w:szCs w:val="22"/>
                <w:lang w:val="pl-PL"/>
              </w:rPr>
              <w:t>ij</w:t>
            </w:r>
            <w:r w:rsidRPr="001268A1">
              <w:rPr>
                <w:sz w:val="22"/>
                <w:szCs w:val="22"/>
                <w:lang w:val="pl-PL"/>
              </w:rPr>
              <w:t>eka na navedene aktivnosti. Pri proc</w:t>
            </w:r>
            <w:r>
              <w:rPr>
                <w:sz w:val="22"/>
                <w:szCs w:val="22"/>
                <w:lang w:val="pl-PL"/>
              </w:rPr>
              <w:t>j</w:t>
            </w:r>
            <w:r w:rsidRPr="001268A1">
              <w:rPr>
                <w:sz w:val="22"/>
                <w:szCs w:val="22"/>
                <w:lang w:val="pl-PL"/>
              </w:rPr>
              <w:t>eni sposobnosti pacijenta da obavi zadatke koji zahtevaju rasuđivanje, motorne ili kognitivne sposobnosti, potrebno je uzeti u obzir klinički status pacijenta i profil neželjenih dejstava lapatiniba.</w:t>
            </w:r>
          </w:p>
          <w:p w:rsidR="0068141C" w:rsidRPr="001268A1" w:rsidRDefault="0068141C" w:rsidP="0068141C">
            <w:pPr>
              <w:pStyle w:val="Header"/>
              <w:tabs>
                <w:tab w:val="left" w:pos="284"/>
              </w:tabs>
              <w:rPr>
                <w:lang w:val="pl-PL"/>
              </w:rPr>
            </w:pPr>
          </w:p>
        </w:tc>
      </w:tr>
      <w:tr w:rsidR="0068141C" w:rsidRPr="009F4449">
        <w:tc>
          <w:tcPr>
            <w:tcW w:w="10188" w:type="dxa"/>
            <w:gridSpan w:val="4"/>
            <w:vAlign w:val="center"/>
          </w:tcPr>
          <w:p w:rsidR="0068141C" w:rsidRPr="009F4449" w:rsidRDefault="0068141C" w:rsidP="0068141C">
            <w:pPr>
              <w:pStyle w:val="Header"/>
              <w:tabs>
                <w:tab w:val="left" w:pos="284"/>
              </w:tabs>
              <w:spacing w:before="80" w:after="80"/>
              <w:rPr>
                <w:b/>
                <w:bCs/>
              </w:rPr>
            </w:pPr>
            <w:r w:rsidRPr="009F4449">
              <w:rPr>
                <w:b/>
                <w:bCs/>
                <w:sz w:val="22"/>
                <w:szCs w:val="22"/>
              </w:rPr>
              <w:t>4.8. Neželjena dejstva</w:t>
            </w:r>
          </w:p>
        </w:tc>
      </w:tr>
      <w:tr w:rsidR="0068141C" w:rsidRPr="00CA322A">
        <w:trPr>
          <w:trHeight w:val="1145"/>
        </w:trPr>
        <w:tc>
          <w:tcPr>
            <w:tcW w:w="10188" w:type="dxa"/>
            <w:gridSpan w:val="4"/>
            <w:vAlign w:val="center"/>
          </w:tcPr>
          <w:p w:rsidR="0068141C" w:rsidRDefault="0068141C" w:rsidP="0068141C"/>
          <w:p w:rsidR="0068141C" w:rsidRPr="001B7F1B" w:rsidRDefault="0068141C" w:rsidP="0068141C">
            <w:r w:rsidRPr="002B3A12">
              <w:rPr>
                <w:sz w:val="22"/>
                <w:szCs w:val="22"/>
              </w:rPr>
              <w:t>Bezb</w:t>
            </w:r>
            <w:r>
              <w:rPr>
                <w:sz w:val="22"/>
                <w:szCs w:val="22"/>
              </w:rPr>
              <w:t>j</w:t>
            </w:r>
            <w:r w:rsidRPr="002B3A12">
              <w:rPr>
                <w:sz w:val="22"/>
                <w:szCs w:val="22"/>
              </w:rPr>
              <w:t>ednost prim</w:t>
            </w:r>
            <w:r>
              <w:rPr>
                <w:sz w:val="22"/>
                <w:szCs w:val="22"/>
              </w:rPr>
              <w:t>j</w:t>
            </w:r>
            <w:r w:rsidRPr="002B3A12">
              <w:rPr>
                <w:sz w:val="22"/>
                <w:szCs w:val="22"/>
              </w:rPr>
              <w:t>ene lapatiniba utvrđena je pri prim</w:t>
            </w:r>
            <w:r>
              <w:rPr>
                <w:sz w:val="22"/>
                <w:szCs w:val="22"/>
              </w:rPr>
              <w:t>j</w:t>
            </w:r>
            <w:r w:rsidRPr="002B3A12">
              <w:rPr>
                <w:sz w:val="22"/>
                <w:szCs w:val="22"/>
              </w:rPr>
              <w:t>eni l</w:t>
            </w:r>
            <w:r>
              <w:rPr>
                <w:sz w:val="22"/>
                <w:szCs w:val="22"/>
              </w:rPr>
              <w:t>ij</w:t>
            </w:r>
            <w:r w:rsidRPr="002B3A12">
              <w:rPr>
                <w:sz w:val="22"/>
                <w:szCs w:val="22"/>
              </w:rPr>
              <w:t>eka ka</w:t>
            </w:r>
            <w:r>
              <w:rPr>
                <w:sz w:val="22"/>
                <w:szCs w:val="22"/>
              </w:rPr>
              <w:t xml:space="preserve">o monoterapije ili u kombinaciji sa hemoterapijom prilikom liječenja različitih oblika karcinoma </w:t>
            </w:r>
            <w:r w:rsidRPr="001B7F1B">
              <w:rPr>
                <w:sz w:val="22"/>
                <w:szCs w:val="22"/>
              </w:rPr>
              <w:t>kod više od 11000 pacijenata,</w:t>
            </w:r>
            <w:r>
              <w:rPr>
                <w:sz w:val="22"/>
                <w:szCs w:val="22"/>
              </w:rPr>
              <w:t xml:space="preserve"> </w:t>
            </w:r>
            <w:r w:rsidRPr="001B7F1B">
              <w:rPr>
                <w:sz w:val="22"/>
                <w:szCs w:val="22"/>
              </w:rPr>
              <w:t>uključujući 198</w:t>
            </w:r>
            <w:r>
              <w:rPr>
                <w:sz w:val="22"/>
                <w:szCs w:val="22"/>
              </w:rPr>
              <w:t xml:space="preserve"> pacijenata</w:t>
            </w:r>
            <w:r w:rsidRPr="002B3A12">
              <w:rPr>
                <w:sz w:val="22"/>
                <w:szCs w:val="22"/>
              </w:rPr>
              <w:t xml:space="preserve"> </w:t>
            </w:r>
            <w:r>
              <w:rPr>
                <w:sz w:val="22"/>
                <w:szCs w:val="22"/>
              </w:rPr>
              <w:t xml:space="preserve">koji su koristili lapatinib u kombinovanoj terapiji sa </w:t>
            </w:r>
            <w:r w:rsidRPr="001B7F1B">
              <w:rPr>
                <w:sz w:val="22"/>
                <w:szCs w:val="22"/>
              </w:rPr>
              <w:t>kapecitabinom i 654 pacijenata koji su primali lapatinib u kombinaciji sa letrozolom (vid</w:t>
            </w:r>
            <w:r>
              <w:rPr>
                <w:sz w:val="22"/>
                <w:szCs w:val="22"/>
              </w:rPr>
              <w:t>j</w:t>
            </w:r>
            <w:r w:rsidRPr="001B7F1B">
              <w:rPr>
                <w:sz w:val="22"/>
                <w:szCs w:val="22"/>
              </w:rPr>
              <w:t>eti Od</w:t>
            </w:r>
            <w:r>
              <w:rPr>
                <w:sz w:val="22"/>
                <w:szCs w:val="22"/>
              </w:rPr>
              <w:t>j</w:t>
            </w:r>
            <w:r w:rsidRPr="001B7F1B">
              <w:rPr>
                <w:sz w:val="22"/>
                <w:szCs w:val="22"/>
              </w:rPr>
              <w:t>eljak 5.1).</w:t>
            </w:r>
          </w:p>
          <w:p w:rsidR="0068141C" w:rsidRPr="002B3A12" w:rsidRDefault="0068141C" w:rsidP="0068141C"/>
          <w:p w:rsidR="0068141C" w:rsidRPr="00E6164B" w:rsidRDefault="0068141C" w:rsidP="0068141C">
            <w:r w:rsidRPr="003D2B7C">
              <w:rPr>
                <w:sz w:val="22"/>
                <w:szCs w:val="22"/>
              </w:rPr>
              <w:t>Najčešća neželj</w:t>
            </w:r>
            <w:r>
              <w:rPr>
                <w:sz w:val="22"/>
                <w:szCs w:val="22"/>
              </w:rPr>
              <w:t>ena dejstva (&gt;25%) prilikom primjene lapatiniba bili su gastrointestinalni</w:t>
            </w:r>
            <w:r w:rsidRPr="00E6164B">
              <w:rPr>
                <w:sz w:val="22"/>
                <w:szCs w:val="22"/>
              </w:rPr>
              <w:t xml:space="preserve"> događaji </w:t>
            </w:r>
            <w:r w:rsidRPr="003D2B7C">
              <w:rPr>
                <w:sz w:val="22"/>
                <w:szCs w:val="22"/>
              </w:rPr>
              <w:t>(dijareja, mučnina i povraćanj</w:t>
            </w:r>
            <w:r w:rsidRPr="00E6164B">
              <w:rPr>
                <w:sz w:val="22"/>
                <w:szCs w:val="22"/>
              </w:rPr>
              <w:t>e</w:t>
            </w:r>
            <w:r w:rsidRPr="00E6164B">
              <w:rPr>
                <w:b/>
                <w:sz w:val="22"/>
                <w:szCs w:val="22"/>
              </w:rPr>
              <w:t>)</w:t>
            </w:r>
            <w:r w:rsidRPr="00F07EF9">
              <w:rPr>
                <w:b/>
                <w:sz w:val="22"/>
                <w:szCs w:val="22"/>
                <w:u w:val="single"/>
              </w:rPr>
              <w:t xml:space="preserve"> </w:t>
            </w:r>
            <w:r w:rsidRPr="00E6164B">
              <w:rPr>
                <w:sz w:val="22"/>
                <w:szCs w:val="22"/>
              </w:rPr>
              <w:t>i osip</w:t>
            </w:r>
            <w:r>
              <w:rPr>
                <w:sz w:val="22"/>
                <w:szCs w:val="22"/>
              </w:rPr>
              <w:t>. P</w:t>
            </w:r>
            <w:r w:rsidRPr="003D2B7C">
              <w:rPr>
                <w:sz w:val="22"/>
                <w:szCs w:val="22"/>
              </w:rPr>
              <w:t>almarno-plantarna etritrodizestezija (PPE</w:t>
            </w:r>
            <w:r>
              <w:rPr>
                <w:sz w:val="22"/>
                <w:szCs w:val="22"/>
              </w:rPr>
              <w:t xml:space="preserve">) </w:t>
            </w:r>
            <w:r w:rsidRPr="00E6164B">
              <w:rPr>
                <w:sz w:val="22"/>
                <w:szCs w:val="22"/>
              </w:rPr>
              <w:t>je takođe česta (&gt;25%) kod prim</w:t>
            </w:r>
            <w:r>
              <w:rPr>
                <w:sz w:val="22"/>
                <w:szCs w:val="22"/>
              </w:rPr>
              <w:t>j</w:t>
            </w:r>
            <w:r w:rsidRPr="00E6164B">
              <w:rPr>
                <w:sz w:val="22"/>
                <w:szCs w:val="22"/>
              </w:rPr>
              <w:t>ene lapatiniba u kombinaciji sa kapecitabinom.</w:t>
            </w:r>
            <w:r>
              <w:rPr>
                <w:sz w:val="22"/>
                <w:szCs w:val="22"/>
              </w:rPr>
              <w:t xml:space="preserve"> </w:t>
            </w:r>
            <w:r w:rsidRPr="00E6164B">
              <w:rPr>
                <w:sz w:val="22"/>
                <w:szCs w:val="22"/>
              </w:rPr>
              <w:t>I</w:t>
            </w:r>
            <w:r w:rsidRPr="003D2B7C">
              <w:rPr>
                <w:sz w:val="22"/>
                <w:szCs w:val="22"/>
              </w:rPr>
              <w:t>ncidenca pojave PPE</w:t>
            </w:r>
            <w:r>
              <w:rPr>
                <w:sz w:val="22"/>
                <w:szCs w:val="22"/>
              </w:rPr>
              <w:t xml:space="preserve"> bila je slična u grupi u kojoj je primijenjena kombinovana terapija lapatinibom i kapecitabinom i u grupi u kojoj je primijenjen</w:t>
            </w:r>
            <w:r w:rsidRPr="003D2B7C">
              <w:rPr>
                <w:sz w:val="22"/>
                <w:szCs w:val="22"/>
              </w:rPr>
              <w:t xml:space="preserve"> kape</w:t>
            </w:r>
            <w:r>
              <w:rPr>
                <w:sz w:val="22"/>
                <w:szCs w:val="22"/>
              </w:rPr>
              <w:t>citabin kao monoterapija. N</w:t>
            </w:r>
            <w:r w:rsidRPr="003D2B7C">
              <w:rPr>
                <w:sz w:val="22"/>
                <w:szCs w:val="22"/>
              </w:rPr>
              <w:t xml:space="preserve">ajčešće neželjeno dejstvo koje je za posledicu imalo prekid </w:t>
            </w:r>
            <w:r>
              <w:rPr>
                <w:sz w:val="22"/>
                <w:szCs w:val="22"/>
              </w:rPr>
              <w:t>liječ</w:t>
            </w:r>
            <w:r w:rsidRPr="003D2B7C">
              <w:rPr>
                <w:sz w:val="22"/>
                <w:szCs w:val="22"/>
              </w:rPr>
              <w:t>enja bila</w:t>
            </w:r>
            <w:r>
              <w:rPr>
                <w:sz w:val="22"/>
                <w:szCs w:val="22"/>
              </w:rPr>
              <w:t xml:space="preserve"> je dijareja </w:t>
            </w:r>
            <w:r w:rsidRPr="00E6164B">
              <w:rPr>
                <w:sz w:val="22"/>
                <w:szCs w:val="22"/>
              </w:rPr>
              <w:t>kod prim</w:t>
            </w:r>
            <w:r>
              <w:rPr>
                <w:sz w:val="22"/>
                <w:szCs w:val="22"/>
              </w:rPr>
              <w:t>j</w:t>
            </w:r>
            <w:r w:rsidRPr="00E6164B">
              <w:rPr>
                <w:sz w:val="22"/>
                <w:szCs w:val="22"/>
              </w:rPr>
              <w:t>ene lapatiniba u kombinaciji sa kapecitabinom ili sa letrozolom.</w:t>
            </w:r>
          </w:p>
          <w:p w:rsidR="0068141C" w:rsidRPr="00CF662E" w:rsidRDefault="0068141C" w:rsidP="0068141C">
            <w:pPr>
              <w:rPr>
                <w:strike/>
              </w:rPr>
            </w:pPr>
          </w:p>
          <w:p w:rsidR="0068141C" w:rsidRPr="003D2B7C" w:rsidRDefault="0068141C" w:rsidP="0068141C">
            <w:r>
              <w:rPr>
                <w:sz w:val="22"/>
                <w:szCs w:val="22"/>
              </w:rPr>
              <w:t>U cilju klasifikacije učestalosti pojave</w:t>
            </w:r>
            <w:r w:rsidRPr="003D2B7C">
              <w:rPr>
                <w:sz w:val="22"/>
                <w:szCs w:val="22"/>
              </w:rPr>
              <w:t xml:space="preserve"> neželjenih dejstava</w:t>
            </w:r>
            <w:r>
              <w:rPr>
                <w:sz w:val="22"/>
                <w:szCs w:val="22"/>
              </w:rPr>
              <w:t xml:space="preserve"> upotrebljena je niže navedena konvencija: veoma česta (≥1/10), česta (≥1/100, &lt;1/10), povremena</w:t>
            </w:r>
            <w:r w:rsidRPr="003D2B7C">
              <w:rPr>
                <w:sz w:val="22"/>
                <w:szCs w:val="22"/>
              </w:rPr>
              <w:t xml:space="preserve"> (</w:t>
            </w:r>
            <w:r>
              <w:rPr>
                <w:sz w:val="22"/>
                <w:szCs w:val="22"/>
              </w:rPr>
              <w:t>≥1/1.000, &lt;1/100</w:t>
            </w:r>
            <w:r w:rsidRPr="003D2B7C">
              <w:rPr>
                <w:sz w:val="22"/>
                <w:szCs w:val="22"/>
              </w:rPr>
              <w:t>), r</w:t>
            </w:r>
            <w:r>
              <w:rPr>
                <w:sz w:val="22"/>
                <w:szCs w:val="22"/>
              </w:rPr>
              <w:t>ij</w:t>
            </w:r>
            <w:r w:rsidRPr="003D2B7C">
              <w:rPr>
                <w:sz w:val="22"/>
                <w:szCs w:val="22"/>
              </w:rPr>
              <w:t>etka (</w:t>
            </w:r>
            <w:r>
              <w:rPr>
                <w:sz w:val="22"/>
                <w:szCs w:val="22"/>
              </w:rPr>
              <w:t>≥</w:t>
            </w:r>
            <w:r w:rsidRPr="003D2B7C">
              <w:rPr>
                <w:sz w:val="22"/>
                <w:szCs w:val="22"/>
              </w:rPr>
              <w:t>1/10</w:t>
            </w:r>
            <w:r>
              <w:rPr>
                <w:sz w:val="22"/>
                <w:szCs w:val="22"/>
              </w:rPr>
              <w:t>.000, &lt;</w:t>
            </w:r>
            <w:r w:rsidRPr="003D2B7C">
              <w:rPr>
                <w:sz w:val="22"/>
                <w:szCs w:val="22"/>
              </w:rPr>
              <w:t>1/1</w:t>
            </w:r>
            <w:r>
              <w:rPr>
                <w:sz w:val="22"/>
                <w:szCs w:val="22"/>
              </w:rPr>
              <w:t>.000), veoma rijetka (</w:t>
            </w:r>
            <w:r w:rsidRPr="003D2B7C">
              <w:rPr>
                <w:sz w:val="22"/>
                <w:szCs w:val="22"/>
              </w:rPr>
              <w:t>&lt;1/10</w:t>
            </w:r>
            <w:r>
              <w:rPr>
                <w:sz w:val="22"/>
                <w:szCs w:val="22"/>
              </w:rPr>
              <w:t>.000), nepoznata (na osnovu dostupnih</w:t>
            </w:r>
            <w:r w:rsidRPr="003D2B7C">
              <w:rPr>
                <w:sz w:val="22"/>
                <w:szCs w:val="22"/>
              </w:rPr>
              <w:t xml:space="preserve"> podataka</w:t>
            </w:r>
            <w:r>
              <w:rPr>
                <w:sz w:val="22"/>
                <w:szCs w:val="22"/>
              </w:rPr>
              <w:t xml:space="preserve"> nije moguće utvrditi učestalost javljanja</w:t>
            </w:r>
            <w:r w:rsidRPr="003D2B7C">
              <w:rPr>
                <w:sz w:val="22"/>
                <w:szCs w:val="22"/>
              </w:rPr>
              <w:t>).</w:t>
            </w:r>
          </w:p>
          <w:p w:rsidR="0068141C" w:rsidRPr="003D2B7C" w:rsidRDefault="0068141C" w:rsidP="0068141C"/>
          <w:p w:rsidR="0068141C" w:rsidRPr="003D2B7C" w:rsidRDefault="0068141C" w:rsidP="0068141C">
            <w:r>
              <w:rPr>
                <w:sz w:val="22"/>
                <w:szCs w:val="22"/>
              </w:rPr>
              <w:t>Unutar svake pojedinačne grupe</w:t>
            </w:r>
            <w:r w:rsidRPr="003D2B7C">
              <w:rPr>
                <w:sz w:val="22"/>
                <w:szCs w:val="22"/>
              </w:rPr>
              <w:t xml:space="preserve"> učesta</w:t>
            </w:r>
            <w:r>
              <w:rPr>
                <w:sz w:val="22"/>
                <w:szCs w:val="22"/>
              </w:rPr>
              <w:t>losti</w:t>
            </w:r>
            <w:r w:rsidRPr="003D2B7C">
              <w:rPr>
                <w:sz w:val="22"/>
                <w:szCs w:val="22"/>
              </w:rPr>
              <w:t xml:space="preserve">, </w:t>
            </w:r>
            <w:r>
              <w:rPr>
                <w:sz w:val="22"/>
                <w:szCs w:val="22"/>
              </w:rPr>
              <w:t>neželjena dejstva navedena su prema</w:t>
            </w:r>
            <w:r w:rsidRPr="003D2B7C">
              <w:rPr>
                <w:sz w:val="22"/>
                <w:szCs w:val="22"/>
              </w:rPr>
              <w:t xml:space="preserve"> redosledu </w:t>
            </w:r>
            <w:r>
              <w:rPr>
                <w:sz w:val="22"/>
                <w:szCs w:val="22"/>
              </w:rPr>
              <w:t>opadajuće</w:t>
            </w:r>
            <w:r w:rsidRPr="003D2B7C">
              <w:rPr>
                <w:sz w:val="22"/>
                <w:szCs w:val="22"/>
              </w:rPr>
              <w:t xml:space="preserve"> ozbiljnosti.</w:t>
            </w:r>
          </w:p>
          <w:p w:rsidR="0068141C" w:rsidRDefault="0068141C" w:rsidP="0068141C"/>
          <w:p w:rsidR="0068141C" w:rsidRPr="00E6164B" w:rsidRDefault="0068141C" w:rsidP="0068141C">
            <w:r>
              <w:rPr>
                <w:sz w:val="22"/>
                <w:szCs w:val="22"/>
              </w:rPr>
              <w:t>Pojava niže navedenih neželjenih dejstava prijavljena je u vezi sa primjenom</w:t>
            </w:r>
            <w:r w:rsidRPr="003D2B7C">
              <w:rPr>
                <w:sz w:val="22"/>
                <w:szCs w:val="22"/>
              </w:rPr>
              <w:t xml:space="preserve"> lapatiniba</w:t>
            </w:r>
            <w:r>
              <w:rPr>
                <w:sz w:val="22"/>
                <w:szCs w:val="22"/>
              </w:rPr>
              <w:t xml:space="preserve"> </w:t>
            </w:r>
            <w:r w:rsidRPr="00E6164B">
              <w:rPr>
                <w:sz w:val="22"/>
                <w:szCs w:val="22"/>
              </w:rPr>
              <w:t xml:space="preserve">kao monoterapija ili </w:t>
            </w:r>
            <w:r>
              <w:rPr>
                <w:sz w:val="22"/>
                <w:szCs w:val="22"/>
              </w:rPr>
              <w:t>lapatiniba u kombinaciji sa ka</w:t>
            </w:r>
            <w:r w:rsidRPr="00E6164B">
              <w:rPr>
                <w:sz w:val="22"/>
                <w:szCs w:val="22"/>
              </w:rPr>
              <w:t>pecitabinom ili letrozolom:</w:t>
            </w:r>
          </w:p>
          <w:p w:rsidR="0068141C" w:rsidRDefault="0068141C" w:rsidP="0068141C"/>
          <w:p w:rsidR="0068141C" w:rsidRPr="003D2B7C" w:rsidRDefault="0068141C" w:rsidP="0068141C"/>
          <w:p w:rsidR="0068141C" w:rsidRDefault="0068141C" w:rsidP="0068141C">
            <w:pPr>
              <w:rPr>
                <w:strike/>
                <w:lang w:val="pl-PL"/>
              </w:rPr>
            </w:pPr>
          </w:p>
          <w:p w:rsidR="0068141C" w:rsidRPr="00D23341" w:rsidRDefault="0068141C" w:rsidP="0068141C">
            <w:pPr>
              <w:rPr>
                <w:strike/>
                <w:lang w:val="pl-PL"/>
              </w:rPr>
            </w:pPr>
          </w:p>
          <w:p w:rsidR="0068141C" w:rsidRPr="00D23341" w:rsidRDefault="0068141C" w:rsidP="0068141C">
            <w:pPr>
              <w:rPr>
                <w:strike/>
              </w:rPr>
            </w:pPr>
          </w:p>
          <w:p w:rsidR="0068141C" w:rsidRDefault="0068141C" w:rsidP="0068141C">
            <w:pPr>
              <w:rPr>
                <w:lang w:val="pl-PL"/>
              </w:rPr>
            </w:pPr>
          </w:p>
          <w:tbl>
            <w:tblPr>
              <w:tblW w:w="4860" w:type="pct"/>
              <w:tblInd w:w="105" w:type="dxa"/>
              <w:tblLayout w:type="fixed"/>
              <w:tblLook w:val="0000" w:firstRow="0" w:lastRow="0" w:firstColumn="0" w:lastColumn="0" w:noHBand="0" w:noVBand="0"/>
            </w:tblPr>
            <w:tblGrid>
              <w:gridCol w:w="2111"/>
              <w:gridCol w:w="7572"/>
            </w:tblGrid>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tcPr>
                <w:p w:rsidR="0068141C" w:rsidRPr="0051571F" w:rsidRDefault="0068141C" w:rsidP="0068141C">
                  <w:pPr>
                    <w:rPr>
                      <w:bCs/>
                      <w:sz w:val="22"/>
                      <w:szCs w:val="22"/>
                    </w:rPr>
                  </w:pPr>
                  <w:r w:rsidRPr="0051571F">
                    <w:rPr>
                      <w:bCs/>
                      <w:sz w:val="22"/>
                      <w:szCs w:val="22"/>
                    </w:rPr>
                    <w:t>Poremećaji imunog sistema</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R</w:t>
                  </w:r>
                  <w:r>
                    <w:rPr>
                      <w:sz w:val="22"/>
                      <w:szCs w:val="22"/>
                    </w:rPr>
                    <w:t>ij</w:t>
                  </w:r>
                  <w:r w:rsidRPr="0051571F">
                    <w:rPr>
                      <w:sz w:val="22"/>
                      <w:szCs w:val="22"/>
                    </w:rPr>
                    <w:t>etka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Reakcije preos</w:t>
                  </w:r>
                  <w:r>
                    <w:rPr>
                      <w:sz w:val="22"/>
                      <w:szCs w:val="22"/>
                    </w:rPr>
                    <w:t>j</w:t>
                  </w:r>
                  <w:r w:rsidRPr="0051571F">
                    <w:rPr>
                      <w:sz w:val="22"/>
                      <w:szCs w:val="22"/>
                    </w:rPr>
                    <w:t>etljivosti uključujući anafilaksu (vid</w:t>
                  </w:r>
                  <w:r>
                    <w:rPr>
                      <w:sz w:val="22"/>
                      <w:szCs w:val="22"/>
                    </w:rPr>
                    <w:t>j</w:t>
                  </w:r>
                  <w:r w:rsidRPr="0051571F">
                    <w:rPr>
                      <w:sz w:val="22"/>
                      <w:szCs w:val="22"/>
                    </w:rPr>
                    <w:t>eti Odeljek 4.3)</w:t>
                  </w:r>
                </w:p>
                <w:p w:rsidR="0068141C" w:rsidRPr="0051571F" w:rsidRDefault="0068141C" w:rsidP="0068141C">
                  <w:pPr>
                    <w:rPr>
                      <w:sz w:val="22"/>
                      <w:szCs w:val="22"/>
                    </w:rPr>
                  </w:pPr>
                </w:p>
              </w:tc>
            </w:tr>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tcPr>
                <w:p w:rsidR="0068141C" w:rsidRPr="0051571F" w:rsidRDefault="0068141C" w:rsidP="0068141C">
                  <w:pPr>
                    <w:rPr>
                      <w:bCs/>
                      <w:sz w:val="22"/>
                      <w:szCs w:val="22"/>
                    </w:rPr>
                  </w:pPr>
                  <w:r w:rsidRPr="0051571F">
                    <w:rPr>
                      <w:bCs/>
                      <w:sz w:val="22"/>
                      <w:szCs w:val="22"/>
                    </w:rPr>
                    <w:t>Poremećaji metabolizma i ishrane</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Veoma česta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Anoreksija</w:t>
                  </w:r>
                </w:p>
                <w:p w:rsidR="0068141C" w:rsidRPr="0051571F" w:rsidRDefault="0068141C" w:rsidP="0068141C">
                  <w:pPr>
                    <w:rPr>
                      <w:sz w:val="22"/>
                      <w:szCs w:val="22"/>
                    </w:rPr>
                  </w:pPr>
                </w:p>
              </w:tc>
            </w:tr>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tcPr>
                <w:p w:rsidR="0068141C" w:rsidRPr="0051571F" w:rsidRDefault="0068141C" w:rsidP="0068141C">
                  <w:pPr>
                    <w:rPr>
                      <w:bCs/>
                      <w:sz w:val="22"/>
                      <w:szCs w:val="22"/>
                    </w:rPr>
                  </w:pPr>
                  <w:r w:rsidRPr="0051571F">
                    <w:rPr>
                      <w:bCs/>
                      <w:sz w:val="22"/>
                      <w:szCs w:val="22"/>
                      <w:lang w:val="pl-PL"/>
                    </w:rPr>
                    <w:t>Psihijatrijski poremećaji</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Veoma česta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Nesanica*</w:t>
                  </w:r>
                </w:p>
                <w:p w:rsidR="0068141C" w:rsidRPr="0051571F" w:rsidRDefault="0068141C" w:rsidP="0068141C">
                  <w:pPr>
                    <w:rPr>
                      <w:sz w:val="22"/>
                      <w:szCs w:val="22"/>
                    </w:rPr>
                  </w:pPr>
                </w:p>
              </w:tc>
            </w:tr>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tcPr>
                <w:p w:rsidR="0068141C" w:rsidRPr="0051571F" w:rsidRDefault="0068141C" w:rsidP="0068141C">
                  <w:pPr>
                    <w:rPr>
                      <w:bCs/>
                      <w:sz w:val="22"/>
                      <w:szCs w:val="22"/>
                    </w:rPr>
                  </w:pPr>
                  <w:r w:rsidRPr="0051571F">
                    <w:rPr>
                      <w:bCs/>
                      <w:sz w:val="22"/>
                      <w:szCs w:val="22"/>
                    </w:rPr>
                    <w:t>Poremećaji nervnog sistema</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shd w:val="clear" w:color="auto" w:fill="auto"/>
                </w:tcPr>
                <w:p w:rsidR="0068141C" w:rsidRPr="0051571F" w:rsidRDefault="0068141C" w:rsidP="0068141C">
                  <w:pPr>
                    <w:rPr>
                      <w:sz w:val="22"/>
                      <w:szCs w:val="22"/>
                    </w:rPr>
                  </w:pPr>
                  <w:r w:rsidRPr="0051571F">
                    <w:rPr>
                      <w:sz w:val="22"/>
                      <w:szCs w:val="22"/>
                    </w:rPr>
                    <w:t>Veoma česta</w:t>
                  </w:r>
                </w:p>
              </w:tc>
              <w:tc>
                <w:tcPr>
                  <w:tcW w:w="3910" w:type="pct"/>
                  <w:tcBorders>
                    <w:top w:val="single" w:sz="4" w:space="0" w:color="auto"/>
                    <w:left w:val="single" w:sz="4" w:space="0" w:color="auto"/>
                    <w:bottom w:val="single" w:sz="4" w:space="0" w:color="auto"/>
                    <w:right w:val="single" w:sz="4" w:space="0" w:color="auto"/>
                  </w:tcBorders>
                  <w:shd w:val="clear" w:color="auto" w:fill="auto"/>
                </w:tcPr>
                <w:p w:rsidR="0068141C" w:rsidRPr="0051571F" w:rsidRDefault="0068141C" w:rsidP="0068141C">
                  <w:pPr>
                    <w:rPr>
                      <w:sz w:val="22"/>
                      <w:szCs w:val="22"/>
                    </w:rPr>
                  </w:pPr>
                  <w:r w:rsidRPr="0051571F">
                    <w:rPr>
                      <w:sz w:val="22"/>
                      <w:szCs w:val="22"/>
                    </w:rPr>
                    <w:t>Glavobolja</w:t>
                  </w:r>
                  <w:r w:rsidRPr="0051571F">
                    <w:rPr>
                      <w:sz w:val="22"/>
                      <w:szCs w:val="22"/>
                      <w:vertAlign w:val="superscript"/>
                    </w:rPr>
                    <w:t>†</w:t>
                  </w:r>
                </w:p>
                <w:p w:rsidR="0068141C" w:rsidRPr="0051571F" w:rsidRDefault="0068141C" w:rsidP="0068141C">
                  <w:pPr>
                    <w:rPr>
                      <w:sz w:val="22"/>
                      <w:szCs w:val="22"/>
                    </w:rPr>
                  </w:pP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shd w:val="clear" w:color="auto" w:fill="auto"/>
                </w:tcPr>
                <w:p w:rsidR="0068141C" w:rsidRPr="0051571F" w:rsidRDefault="0068141C" w:rsidP="0068141C">
                  <w:pPr>
                    <w:rPr>
                      <w:sz w:val="22"/>
                      <w:szCs w:val="22"/>
                    </w:rPr>
                  </w:pPr>
                  <w:r w:rsidRPr="0051571F">
                    <w:rPr>
                      <w:sz w:val="22"/>
                      <w:szCs w:val="22"/>
                    </w:rPr>
                    <w:t>Česta</w:t>
                  </w:r>
                </w:p>
              </w:tc>
              <w:tc>
                <w:tcPr>
                  <w:tcW w:w="3910" w:type="pct"/>
                  <w:tcBorders>
                    <w:top w:val="single" w:sz="4" w:space="0" w:color="auto"/>
                    <w:left w:val="single" w:sz="4" w:space="0" w:color="auto"/>
                    <w:bottom w:val="single" w:sz="4" w:space="0" w:color="auto"/>
                    <w:right w:val="single" w:sz="4" w:space="0" w:color="auto"/>
                  </w:tcBorders>
                  <w:shd w:val="clear" w:color="auto" w:fill="auto"/>
                </w:tcPr>
                <w:p w:rsidR="0068141C" w:rsidRPr="0051571F" w:rsidRDefault="0068141C" w:rsidP="0068141C">
                  <w:pPr>
                    <w:rPr>
                      <w:sz w:val="22"/>
                      <w:szCs w:val="22"/>
                    </w:rPr>
                  </w:pPr>
                  <w:r w:rsidRPr="0051571F">
                    <w:rPr>
                      <w:sz w:val="22"/>
                      <w:szCs w:val="22"/>
                    </w:rPr>
                    <w:t>Glavobolja *</w:t>
                  </w:r>
                </w:p>
                <w:p w:rsidR="0068141C" w:rsidRPr="0051571F" w:rsidRDefault="0068141C" w:rsidP="0068141C">
                  <w:pPr>
                    <w:rPr>
                      <w:sz w:val="22"/>
                      <w:szCs w:val="22"/>
                    </w:rPr>
                  </w:pPr>
                </w:p>
              </w:tc>
            </w:tr>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tcPr>
                <w:p w:rsidR="0068141C" w:rsidRPr="0051571F" w:rsidRDefault="0068141C" w:rsidP="0068141C">
                  <w:pPr>
                    <w:rPr>
                      <w:bCs/>
                      <w:sz w:val="22"/>
                      <w:szCs w:val="22"/>
                    </w:rPr>
                  </w:pPr>
                  <w:r w:rsidRPr="0051571F">
                    <w:rPr>
                      <w:bCs/>
                      <w:sz w:val="22"/>
                      <w:szCs w:val="22"/>
                    </w:rPr>
                    <w:t>Kardiološki poremećaji</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Česta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Smanjenje ejekcione frakcije l</w:t>
                  </w:r>
                  <w:r>
                    <w:rPr>
                      <w:sz w:val="22"/>
                      <w:szCs w:val="22"/>
                    </w:rPr>
                    <w:t>ij</w:t>
                  </w:r>
                  <w:r w:rsidRPr="0051571F">
                    <w:rPr>
                      <w:sz w:val="22"/>
                      <w:szCs w:val="22"/>
                    </w:rPr>
                    <w:t>eve komore (vid</w:t>
                  </w:r>
                  <w:r>
                    <w:rPr>
                      <w:sz w:val="22"/>
                      <w:szCs w:val="22"/>
                    </w:rPr>
                    <w:t>j</w:t>
                  </w:r>
                  <w:r w:rsidRPr="0051571F">
                    <w:rPr>
                      <w:sz w:val="22"/>
                      <w:szCs w:val="22"/>
                    </w:rPr>
                    <w:t>eti Od</w:t>
                  </w:r>
                  <w:r>
                    <w:rPr>
                      <w:sz w:val="22"/>
                      <w:szCs w:val="22"/>
                    </w:rPr>
                    <w:t>j</w:t>
                  </w:r>
                  <w:r w:rsidRPr="0051571F">
                    <w:rPr>
                      <w:sz w:val="22"/>
                      <w:szCs w:val="22"/>
                    </w:rPr>
                    <w:t>eljak 4.2 - smanjenje doze – kardiološki događaji i Od</w:t>
                  </w:r>
                  <w:r>
                    <w:rPr>
                      <w:sz w:val="22"/>
                      <w:szCs w:val="22"/>
                    </w:rPr>
                    <w:t>j</w:t>
                  </w:r>
                  <w:r w:rsidRPr="0051571F">
                    <w:rPr>
                      <w:sz w:val="22"/>
                      <w:szCs w:val="22"/>
                    </w:rPr>
                    <w:t>eljak 4.4)</w:t>
                  </w:r>
                </w:p>
              </w:tc>
            </w:tr>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68141C" w:rsidRPr="0051571F" w:rsidRDefault="0068141C" w:rsidP="0068141C">
                  <w:pPr>
                    <w:rPr>
                      <w:sz w:val="22"/>
                      <w:szCs w:val="22"/>
                    </w:rPr>
                  </w:pPr>
                  <w:r w:rsidRPr="0051571F">
                    <w:rPr>
                      <w:sz w:val="22"/>
                      <w:szCs w:val="22"/>
                    </w:rPr>
                    <w:t>Vaskularni poremećaji</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shd w:val="clear" w:color="auto" w:fill="auto"/>
                </w:tcPr>
                <w:p w:rsidR="0068141C" w:rsidRPr="0051571F" w:rsidRDefault="0068141C" w:rsidP="0068141C">
                  <w:pPr>
                    <w:rPr>
                      <w:sz w:val="22"/>
                      <w:szCs w:val="22"/>
                    </w:rPr>
                  </w:pPr>
                  <w:r w:rsidRPr="0051571F">
                    <w:rPr>
                      <w:sz w:val="22"/>
                      <w:szCs w:val="22"/>
                    </w:rPr>
                    <w:t>Veoma česta</w:t>
                  </w:r>
                </w:p>
              </w:tc>
              <w:tc>
                <w:tcPr>
                  <w:tcW w:w="3910" w:type="pct"/>
                  <w:tcBorders>
                    <w:top w:val="single" w:sz="4" w:space="0" w:color="auto"/>
                    <w:left w:val="single" w:sz="4" w:space="0" w:color="auto"/>
                    <w:bottom w:val="single" w:sz="4" w:space="0" w:color="auto"/>
                    <w:right w:val="single" w:sz="4" w:space="0" w:color="auto"/>
                  </w:tcBorders>
                  <w:shd w:val="clear" w:color="auto" w:fill="auto"/>
                </w:tcPr>
                <w:p w:rsidR="0068141C" w:rsidRPr="0051571F" w:rsidRDefault="0068141C" w:rsidP="0068141C">
                  <w:pPr>
                    <w:rPr>
                      <w:sz w:val="22"/>
                      <w:szCs w:val="22"/>
                    </w:rPr>
                  </w:pPr>
                  <w:r w:rsidRPr="0051571F">
                    <w:rPr>
                      <w:sz w:val="22"/>
                      <w:szCs w:val="22"/>
                    </w:rPr>
                    <w:t>Crvenilo lica</w:t>
                  </w:r>
                  <w:r w:rsidRPr="0051571F">
                    <w:rPr>
                      <w:sz w:val="22"/>
                      <w:szCs w:val="22"/>
                      <w:vertAlign w:val="superscript"/>
                    </w:rPr>
                    <w:t>†</w:t>
                  </w:r>
                </w:p>
                <w:p w:rsidR="0068141C" w:rsidRPr="0051571F" w:rsidRDefault="0068141C" w:rsidP="0068141C">
                  <w:pPr>
                    <w:rPr>
                      <w:sz w:val="22"/>
                      <w:szCs w:val="22"/>
                    </w:rPr>
                  </w:pPr>
                </w:p>
              </w:tc>
            </w:tr>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tcPr>
                <w:p w:rsidR="0068141C" w:rsidRPr="0051571F" w:rsidRDefault="0068141C" w:rsidP="0068141C">
                  <w:pPr>
                    <w:rPr>
                      <w:bCs/>
                      <w:sz w:val="22"/>
                      <w:szCs w:val="22"/>
                    </w:rPr>
                  </w:pPr>
                  <w:r w:rsidRPr="0051571F">
                    <w:rPr>
                      <w:bCs/>
                      <w:sz w:val="22"/>
                      <w:szCs w:val="22"/>
                    </w:rPr>
                    <w:t>Respiratorni, torakalni i medijastinalni poremećaji</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color w:val="000000"/>
                      <w:sz w:val="22"/>
                      <w:szCs w:val="22"/>
                    </w:rPr>
                  </w:pPr>
                  <w:r w:rsidRPr="0051571F">
                    <w:rPr>
                      <w:sz w:val="22"/>
                      <w:szCs w:val="22"/>
                    </w:rPr>
                    <w:lastRenderedPageBreak/>
                    <w:t>Veoma česta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color w:val="000000"/>
                      <w:sz w:val="22"/>
                      <w:szCs w:val="22"/>
                    </w:rPr>
                  </w:pPr>
                  <w:r w:rsidRPr="0051571F">
                    <w:rPr>
                      <w:color w:val="000000"/>
                      <w:sz w:val="22"/>
                      <w:szCs w:val="22"/>
                    </w:rPr>
                    <w:t>Epistaksa</w:t>
                  </w:r>
                  <w:r w:rsidRPr="0051571F">
                    <w:rPr>
                      <w:sz w:val="22"/>
                      <w:szCs w:val="22"/>
                      <w:vertAlign w:val="superscript"/>
                    </w:rPr>
                    <w:t>†</w:t>
                  </w:r>
                  <w:r w:rsidRPr="0051571F">
                    <w:rPr>
                      <w:color w:val="000000"/>
                      <w:sz w:val="22"/>
                      <w:szCs w:val="22"/>
                    </w:rPr>
                    <w:t>, kašalj</w:t>
                  </w:r>
                  <w:r w:rsidRPr="0051571F">
                    <w:rPr>
                      <w:sz w:val="22"/>
                      <w:szCs w:val="22"/>
                      <w:vertAlign w:val="superscript"/>
                    </w:rPr>
                    <w:t>†</w:t>
                  </w:r>
                  <w:r w:rsidRPr="0051571F">
                    <w:rPr>
                      <w:color w:val="000000"/>
                      <w:sz w:val="22"/>
                      <w:szCs w:val="22"/>
                    </w:rPr>
                    <w:t>, dispneja</w:t>
                  </w:r>
                  <w:r w:rsidRPr="0051571F">
                    <w:rPr>
                      <w:sz w:val="22"/>
                      <w:szCs w:val="22"/>
                      <w:vertAlign w:val="superscript"/>
                    </w:rPr>
                    <w:t>†</w:t>
                  </w:r>
                  <w:r w:rsidRPr="0051571F">
                    <w:rPr>
                      <w:color w:val="000000"/>
                      <w:sz w:val="22"/>
                      <w:szCs w:val="22"/>
                    </w:rPr>
                    <w:t>.</w:t>
                  </w:r>
                </w:p>
                <w:p w:rsidR="0068141C" w:rsidRPr="0051571F" w:rsidRDefault="0068141C" w:rsidP="0068141C">
                  <w:pPr>
                    <w:rPr>
                      <w:color w:val="000000"/>
                      <w:sz w:val="22"/>
                      <w:szCs w:val="22"/>
                    </w:rPr>
                  </w:pP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color w:val="000000"/>
                      <w:sz w:val="22"/>
                      <w:szCs w:val="22"/>
                    </w:rPr>
                  </w:pPr>
                  <w:r w:rsidRPr="0051571F">
                    <w:rPr>
                      <w:color w:val="000000"/>
                      <w:sz w:val="22"/>
                      <w:szCs w:val="22"/>
                    </w:rPr>
                    <w:t>Povremena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color w:val="000000"/>
                      <w:sz w:val="22"/>
                      <w:szCs w:val="22"/>
                    </w:rPr>
                  </w:pPr>
                  <w:r w:rsidRPr="0051571F">
                    <w:rPr>
                      <w:color w:val="000000"/>
                      <w:sz w:val="22"/>
                      <w:szCs w:val="22"/>
                    </w:rPr>
                    <w:t xml:space="preserve">Intersticijalno oboljenje pluća/pneumonitis </w:t>
                  </w:r>
                </w:p>
              </w:tc>
            </w:tr>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tcPr>
                <w:p w:rsidR="0068141C" w:rsidRPr="0051571F" w:rsidRDefault="0068141C" w:rsidP="0068141C">
                  <w:pPr>
                    <w:rPr>
                      <w:bCs/>
                      <w:sz w:val="22"/>
                      <w:szCs w:val="22"/>
                    </w:rPr>
                  </w:pPr>
                  <w:r w:rsidRPr="0051571F">
                    <w:rPr>
                      <w:bCs/>
                      <w:sz w:val="22"/>
                      <w:szCs w:val="22"/>
                    </w:rPr>
                    <w:t>Gastrointestinalni poremećaji</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Veoma česta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Dijareja, koja može dovesti do dehidracije (vid</w:t>
                  </w:r>
                  <w:r>
                    <w:rPr>
                      <w:sz w:val="22"/>
                      <w:szCs w:val="22"/>
                    </w:rPr>
                    <w:t>j</w:t>
                  </w:r>
                  <w:r w:rsidRPr="0051571F">
                    <w:rPr>
                      <w:sz w:val="22"/>
                      <w:szCs w:val="22"/>
                    </w:rPr>
                    <w:t>eti Od</w:t>
                  </w:r>
                  <w:r>
                    <w:rPr>
                      <w:sz w:val="22"/>
                      <w:szCs w:val="22"/>
                    </w:rPr>
                    <w:t>j</w:t>
                  </w:r>
                  <w:r w:rsidRPr="0051571F">
                    <w:rPr>
                      <w:sz w:val="22"/>
                      <w:szCs w:val="22"/>
                    </w:rPr>
                    <w:t>eljak 4.2 - odlaganje prim</w:t>
                  </w:r>
                  <w:r>
                    <w:rPr>
                      <w:sz w:val="22"/>
                      <w:szCs w:val="22"/>
                    </w:rPr>
                    <w:t>j</w:t>
                  </w:r>
                  <w:r w:rsidRPr="0051571F">
                    <w:rPr>
                      <w:sz w:val="22"/>
                      <w:szCs w:val="22"/>
                    </w:rPr>
                    <w:t>ene doze i smanjenje doze – druge toksičnosti i Od</w:t>
                  </w:r>
                  <w:r>
                    <w:rPr>
                      <w:sz w:val="22"/>
                      <w:szCs w:val="22"/>
                    </w:rPr>
                    <w:t>j</w:t>
                  </w:r>
                  <w:r w:rsidRPr="0051571F">
                    <w:rPr>
                      <w:sz w:val="22"/>
                      <w:szCs w:val="22"/>
                    </w:rPr>
                    <w:t>eljak 4.4), mučnina, povraćanje, dispepsija*,</w:t>
                  </w:r>
                  <w:r w:rsidRPr="0051571F" w:rsidDel="00AD32DD">
                    <w:rPr>
                      <w:sz w:val="22"/>
                      <w:szCs w:val="22"/>
                    </w:rPr>
                    <w:t xml:space="preserve"> </w:t>
                  </w:r>
                  <w:r w:rsidRPr="0051571F">
                    <w:rPr>
                      <w:sz w:val="22"/>
                      <w:szCs w:val="22"/>
                    </w:rPr>
                    <w:t>stomatitis*, zatvor*, abdominalni bol*.</w:t>
                  </w:r>
                </w:p>
                <w:p w:rsidR="0068141C" w:rsidRPr="0051571F" w:rsidRDefault="0068141C" w:rsidP="0068141C">
                  <w:pPr>
                    <w:rPr>
                      <w:sz w:val="22"/>
                      <w:szCs w:val="22"/>
                    </w:rPr>
                  </w:pP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shd w:val="clear" w:color="auto" w:fill="auto"/>
                </w:tcPr>
                <w:p w:rsidR="0068141C" w:rsidRPr="0051571F" w:rsidRDefault="0068141C" w:rsidP="0068141C">
                  <w:pPr>
                    <w:rPr>
                      <w:sz w:val="22"/>
                      <w:szCs w:val="22"/>
                    </w:rPr>
                  </w:pPr>
                  <w:r w:rsidRPr="0051571F">
                    <w:rPr>
                      <w:sz w:val="22"/>
                      <w:szCs w:val="22"/>
                    </w:rPr>
                    <w:t>Česta</w:t>
                  </w:r>
                </w:p>
              </w:tc>
              <w:tc>
                <w:tcPr>
                  <w:tcW w:w="3910" w:type="pct"/>
                  <w:tcBorders>
                    <w:top w:val="single" w:sz="4" w:space="0" w:color="auto"/>
                    <w:left w:val="single" w:sz="4" w:space="0" w:color="auto"/>
                    <w:bottom w:val="single" w:sz="4" w:space="0" w:color="auto"/>
                    <w:right w:val="single" w:sz="4" w:space="0" w:color="auto"/>
                  </w:tcBorders>
                  <w:shd w:val="clear" w:color="auto" w:fill="auto"/>
                </w:tcPr>
                <w:p w:rsidR="0068141C" w:rsidRPr="0051571F" w:rsidRDefault="0068141C" w:rsidP="0068141C">
                  <w:pPr>
                    <w:rPr>
                      <w:sz w:val="22"/>
                      <w:szCs w:val="22"/>
                    </w:rPr>
                  </w:pPr>
                  <w:r w:rsidRPr="0051571F">
                    <w:rPr>
                      <w:sz w:val="22"/>
                      <w:szCs w:val="22"/>
                    </w:rPr>
                    <w:t>Zatvor</w:t>
                  </w:r>
                  <w:r w:rsidRPr="0051571F">
                    <w:rPr>
                      <w:sz w:val="22"/>
                      <w:szCs w:val="22"/>
                      <w:vertAlign w:val="superscript"/>
                    </w:rPr>
                    <w:t>†</w:t>
                  </w:r>
                </w:p>
                <w:p w:rsidR="0068141C" w:rsidRPr="0051571F" w:rsidRDefault="0068141C" w:rsidP="0068141C">
                  <w:pPr>
                    <w:rPr>
                      <w:sz w:val="22"/>
                      <w:szCs w:val="22"/>
                    </w:rPr>
                  </w:pPr>
                </w:p>
              </w:tc>
            </w:tr>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tcPr>
                <w:p w:rsidR="0068141C" w:rsidRPr="0051571F" w:rsidRDefault="0068141C" w:rsidP="0068141C">
                  <w:pPr>
                    <w:rPr>
                      <w:bCs/>
                      <w:sz w:val="22"/>
                      <w:szCs w:val="22"/>
                    </w:rPr>
                  </w:pPr>
                  <w:r w:rsidRPr="0051571F">
                    <w:rPr>
                      <w:bCs/>
                      <w:sz w:val="22"/>
                      <w:szCs w:val="22"/>
                      <w:lang w:val="pl-PL"/>
                    </w:rPr>
                    <w:t>Hepatobilijarni poremećaji</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Česta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lang w:val="pl-PL"/>
                    </w:rPr>
                    <w:t>Hiperbilirubinemija, hepatotoksičnost (vid</w:t>
                  </w:r>
                  <w:r>
                    <w:rPr>
                      <w:sz w:val="22"/>
                      <w:szCs w:val="22"/>
                      <w:lang w:val="pl-PL"/>
                    </w:rPr>
                    <w:t>j</w:t>
                  </w:r>
                  <w:r w:rsidRPr="0051571F">
                    <w:rPr>
                      <w:sz w:val="22"/>
                      <w:szCs w:val="22"/>
                      <w:lang w:val="pl-PL"/>
                    </w:rPr>
                    <w:t>eti Od</w:t>
                  </w:r>
                  <w:r>
                    <w:rPr>
                      <w:sz w:val="22"/>
                      <w:szCs w:val="22"/>
                      <w:lang w:val="pl-PL"/>
                    </w:rPr>
                    <w:t>j</w:t>
                  </w:r>
                  <w:r w:rsidRPr="0051571F">
                    <w:rPr>
                      <w:sz w:val="22"/>
                      <w:szCs w:val="22"/>
                      <w:lang w:val="pl-PL"/>
                    </w:rPr>
                    <w:t>eljak 4.4)</w:t>
                  </w:r>
                </w:p>
                <w:p w:rsidR="0068141C" w:rsidRPr="0051571F" w:rsidRDefault="0068141C" w:rsidP="0068141C">
                  <w:pPr>
                    <w:rPr>
                      <w:sz w:val="22"/>
                      <w:szCs w:val="22"/>
                    </w:rPr>
                  </w:pPr>
                </w:p>
              </w:tc>
            </w:tr>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tcPr>
                <w:p w:rsidR="0068141C" w:rsidRPr="0051571F" w:rsidRDefault="0068141C" w:rsidP="0068141C">
                  <w:pPr>
                    <w:rPr>
                      <w:bCs/>
                      <w:sz w:val="22"/>
                      <w:szCs w:val="22"/>
                    </w:rPr>
                  </w:pPr>
                  <w:r w:rsidRPr="0051571F">
                    <w:rPr>
                      <w:bCs/>
                      <w:sz w:val="22"/>
                      <w:szCs w:val="22"/>
                    </w:rPr>
                    <w:t>Poremećaji kože i potkožnog tkiva</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Veoma česta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Osip (uključujući akneiformni dermatitis) (vid</w:t>
                  </w:r>
                  <w:r>
                    <w:rPr>
                      <w:sz w:val="22"/>
                      <w:szCs w:val="22"/>
                    </w:rPr>
                    <w:t>j</w:t>
                  </w:r>
                  <w:r w:rsidRPr="0051571F">
                    <w:rPr>
                      <w:sz w:val="22"/>
                      <w:szCs w:val="22"/>
                    </w:rPr>
                    <w:t>eti Od</w:t>
                  </w:r>
                  <w:r>
                    <w:rPr>
                      <w:sz w:val="22"/>
                      <w:szCs w:val="22"/>
                    </w:rPr>
                    <w:t>j</w:t>
                  </w:r>
                  <w:r w:rsidRPr="0051571F">
                    <w:rPr>
                      <w:sz w:val="22"/>
                      <w:szCs w:val="22"/>
                    </w:rPr>
                    <w:t>eljak 4.2 - - odlaganje prim</w:t>
                  </w:r>
                  <w:r>
                    <w:rPr>
                      <w:sz w:val="22"/>
                      <w:szCs w:val="22"/>
                    </w:rPr>
                    <w:t>j</w:t>
                  </w:r>
                  <w:r w:rsidRPr="0051571F">
                    <w:rPr>
                      <w:sz w:val="22"/>
                      <w:szCs w:val="22"/>
                    </w:rPr>
                    <w:t>ene doze i smanjenje doze – druge toksičnosti), suva koža*</w:t>
                  </w:r>
                  <w:r w:rsidRPr="0051571F">
                    <w:rPr>
                      <w:sz w:val="22"/>
                      <w:szCs w:val="22"/>
                      <w:vertAlign w:val="superscript"/>
                    </w:rPr>
                    <w:t>†</w:t>
                  </w:r>
                  <w:r w:rsidRPr="0051571F">
                    <w:rPr>
                      <w:sz w:val="22"/>
                      <w:szCs w:val="22"/>
                    </w:rPr>
                    <w:t>, palmarno-plantarna etritrodizestezija *, alopecija</w:t>
                  </w:r>
                  <w:r w:rsidRPr="0051571F">
                    <w:rPr>
                      <w:sz w:val="22"/>
                      <w:szCs w:val="22"/>
                      <w:vertAlign w:val="superscript"/>
                    </w:rPr>
                    <w:t>†</w:t>
                  </w:r>
                  <w:r w:rsidRPr="0051571F">
                    <w:rPr>
                      <w:sz w:val="22"/>
                      <w:szCs w:val="22"/>
                    </w:rPr>
                    <w:t>, pruritus</w:t>
                  </w:r>
                  <w:r w:rsidRPr="0051571F">
                    <w:rPr>
                      <w:sz w:val="22"/>
                      <w:szCs w:val="22"/>
                      <w:vertAlign w:val="superscript"/>
                    </w:rPr>
                    <w:t>†</w:t>
                  </w:r>
                  <w:r w:rsidRPr="0051571F">
                    <w:rPr>
                      <w:sz w:val="22"/>
                      <w:szCs w:val="22"/>
                    </w:rPr>
                    <w:t>.</w:t>
                  </w:r>
                </w:p>
                <w:p w:rsidR="0068141C" w:rsidRPr="0051571F" w:rsidRDefault="0068141C" w:rsidP="0068141C">
                  <w:pPr>
                    <w:rPr>
                      <w:sz w:val="22"/>
                      <w:szCs w:val="22"/>
                    </w:rPr>
                  </w:pP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Česta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Poremećaji na nivou nokta uključujući paronihiju.</w:t>
                  </w:r>
                </w:p>
                <w:p w:rsidR="0068141C" w:rsidRPr="0051571F" w:rsidRDefault="0068141C" w:rsidP="0068141C">
                  <w:pPr>
                    <w:rPr>
                      <w:sz w:val="22"/>
                      <w:szCs w:val="22"/>
                    </w:rPr>
                  </w:pPr>
                </w:p>
              </w:tc>
            </w:tr>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tcPr>
                <w:p w:rsidR="0068141C" w:rsidRPr="0051571F" w:rsidRDefault="0068141C" w:rsidP="0068141C">
                  <w:pPr>
                    <w:rPr>
                      <w:bCs/>
                      <w:sz w:val="22"/>
                      <w:szCs w:val="22"/>
                    </w:rPr>
                  </w:pPr>
                  <w:r w:rsidRPr="0051571F">
                    <w:rPr>
                      <w:bCs/>
                      <w:sz w:val="22"/>
                      <w:szCs w:val="22"/>
                    </w:rPr>
                    <w:t>Muskuloskeletni poremećaji i poremećaji vezivnog tkiva</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Veoma česta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Bolovi u ekstremitetima*</w:t>
                  </w:r>
                  <w:r w:rsidRPr="0051571F">
                    <w:rPr>
                      <w:sz w:val="22"/>
                      <w:szCs w:val="22"/>
                      <w:vertAlign w:val="superscript"/>
                    </w:rPr>
                    <w:t>†</w:t>
                  </w:r>
                  <w:r w:rsidRPr="0051571F">
                    <w:rPr>
                      <w:sz w:val="22"/>
                      <w:szCs w:val="22"/>
                    </w:rPr>
                    <w:t>, bolovi u leđima*</w:t>
                  </w:r>
                  <w:r w:rsidRPr="0051571F">
                    <w:rPr>
                      <w:sz w:val="22"/>
                      <w:szCs w:val="22"/>
                      <w:vertAlign w:val="superscript"/>
                    </w:rPr>
                    <w:t>†</w:t>
                  </w:r>
                  <w:r w:rsidRPr="0051571F">
                    <w:rPr>
                      <w:sz w:val="22"/>
                      <w:szCs w:val="22"/>
                    </w:rPr>
                    <w:t>, artralgija</w:t>
                  </w:r>
                  <w:r w:rsidRPr="0051571F">
                    <w:rPr>
                      <w:sz w:val="22"/>
                      <w:szCs w:val="22"/>
                      <w:vertAlign w:val="superscript"/>
                    </w:rPr>
                    <w:t>†</w:t>
                  </w:r>
                  <w:r w:rsidRPr="0051571F">
                    <w:rPr>
                      <w:sz w:val="22"/>
                      <w:szCs w:val="22"/>
                    </w:rPr>
                    <w:t>.</w:t>
                  </w:r>
                </w:p>
                <w:p w:rsidR="0068141C" w:rsidRPr="0051571F" w:rsidRDefault="0068141C" w:rsidP="0068141C">
                  <w:pPr>
                    <w:rPr>
                      <w:sz w:val="22"/>
                      <w:szCs w:val="22"/>
                    </w:rPr>
                  </w:pPr>
                </w:p>
              </w:tc>
            </w:tr>
            <w:tr w:rsidR="0068141C" w:rsidRPr="0051571F">
              <w:trPr>
                <w:cantSplit/>
              </w:trPr>
              <w:tc>
                <w:tcPr>
                  <w:tcW w:w="5000" w:type="pct"/>
                  <w:gridSpan w:val="2"/>
                  <w:tcBorders>
                    <w:top w:val="single" w:sz="4" w:space="0" w:color="auto"/>
                    <w:left w:val="single" w:sz="4" w:space="0" w:color="auto"/>
                    <w:bottom w:val="single" w:sz="4" w:space="0" w:color="auto"/>
                    <w:right w:val="single" w:sz="4" w:space="0" w:color="auto"/>
                  </w:tcBorders>
                </w:tcPr>
                <w:p w:rsidR="0068141C" w:rsidRPr="0051571F" w:rsidRDefault="0068141C" w:rsidP="0068141C">
                  <w:pPr>
                    <w:rPr>
                      <w:bCs/>
                      <w:sz w:val="22"/>
                      <w:szCs w:val="22"/>
                    </w:rPr>
                  </w:pPr>
                  <w:r w:rsidRPr="0051571F">
                    <w:rPr>
                      <w:bCs/>
                      <w:sz w:val="22"/>
                      <w:szCs w:val="22"/>
                      <w:lang w:val="pl-PL"/>
                    </w:rPr>
                    <w:t>Opšti poremećaji i prom</w:t>
                  </w:r>
                  <w:r>
                    <w:rPr>
                      <w:bCs/>
                      <w:sz w:val="22"/>
                      <w:szCs w:val="22"/>
                      <w:lang w:val="pl-PL"/>
                    </w:rPr>
                    <w:t>j</w:t>
                  </w:r>
                  <w:r w:rsidRPr="0051571F">
                    <w:rPr>
                      <w:bCs/>
                      <w:sz w:val="22"/>
                      <w:szCs w:val="22"/>
                      <w:lang w:val="pl-PL"/>
                    </w:rPr>
                    <w:t>ene na m</w:t>
                  </w:r>
                  <w:r>
                    <w:rPr>
                      <w:bCs/>
                      <w:sz w:val="22"/>
                      <w:szCs w:val="22"/>
                      <w:lang w:val="pl-PL"/>
                    </w:rPr>
                    <w:t>j</w:t>
                  </w:r>
                  <w:r w:rsidRPr="0051571F">
                    <w:rPr>
                      <w:bCs/>
                      <w:sz w:val="22"/>
                      <w:szCs w:val="22"/>
                      <w:lang w:val="pl-PL"/>
                    </w:rPr>
                    <w:t>estu prim</w:t>
                  </w:r>
                  <w:r>
                    <w:rPr>
                      <w:bCs/>
                      <w:sz w:val="22"/>
                      <w:szCs w:val="22"/>
                      <w:lang w:val="pl-PL"/>
                    </w:rPr>
                    <w:t>j</w:t>
                  </w:r>
                  <w:r w:rsidRPr="0051571F">
                    <w:rPr>
                      <w:bCs/>
                      <w:sz w:val="22"/>
                      <w:szCs w:val="22"/>
                      <w:lang w:val="pl-PL"/>
                    </w:rPr>
                    <w:t>ene l</w:t>
                  </w:r>
                  <w:r>
                    <w:rPr>
                      <w:bCs/>
                      <w:sz w:val="22"/>
                      <w:szCs w:val="22"/>
                      <w:lang w:val="pl-PL"/>
                    </w:rPr>
                    <w:t>ij</w:t>
                  </w:r>
                  <w:r w:rsidRPr="0051571F">
                    <w:rPr>
                      <w:bCs/>
                      <w:sz w:val="22"/>
                      <w:szCs w:val="22"/>
                      <w:lang w:val="pl-PL"/>
                    </w:rPr>
                    <w:t>eka</w:t>
                  </w:r>
                </w:p>
              </w:tc>
            </w:tr>
            <w:tr w:rsidR="0068141C" w:rsidRPr="0051571F">
              <w:trPr>
                <w:cantSplit/>
              </w:trPr>
              <w:tc>
                <w:tcPr>
                  <w:tcW w:w="109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Veoma česta</w:t>
                  </w:r>
                </w:p>
              </w:tc>
              <w:tc>
                <w:tcPr>
                  <w:tcW w:w="3910" w:type="pct"/>
                  <w:tcBorders>
                    <w:top w:val="single" w:sz="4" w:space="0" w:color="auto"/>
                    <w:left w:val="single" w:sz="4" w:space="0" w:color="auto"/>
                    <w:bottom w:val="single" w:sz="4" w:space="0" w:color="auto"/>
                    <w:right w:val="single" w:sz="4" w:space="0" w:color="auto"/>
                  </w:tcBorders>
                </w:tcPr>
                <w:p w:rsidR="0068141C" w:rsidRPr="0051571F" w:rsidRDefault="0068141C" w:rsidP="0068141C">
                  <w:pPr>
                    <w:rPr>
                      <w:sz w:val="22"/>
                      <w:szCs w:val="22"/>
                    </w:rPr>
                  </w:pPr>
                  <w:r w:rsidRPr="0051571F">
                    <w:rPr>
                      <w:sz w:val="22"/>
                      <w:szCs w:val="22"/>
                    </w:rPr>
                    <w:t>Zamor, zapaljenje sluznica*, astenija</w:t>
                  </w:r>
                  <w:r w:rsidRPr="0051571F">
                    <w:rPr>
                      <w:sz w:val="22"/>
                      <w:szCs w:val="22"/>
                      <w:vertAlign w:val="superscript"/>
                    </w:rPr>
                    <w:t>†</w:t>
                  </w:r>
                  <w:r w:rsidRPr="0051571F">
                    <w:rPr>
                      <w:sz w:val="22"/>
                      <w:szCs w:val="22"/>
                    </w:rPr>
                    <w:t>.</w:t>
                  </w:r>
                </w:p>
                <w:p w:rsidR="0068141C" w:rsidRPr="0051571F" w:rsidRDefault="0068141C" w:rsidP="0068141C">
                  <w:pPr>
                    <w:rPr>
                      <w:sz w:val="22"/>
                      <w:szCs w:val="22"/>
                    </w:rPr>
                  </w:pPr>
                </w:p>
              </w:tc>
            </w:tr>
          </w:tbl>
          <w:p w:rsidR="0068141C" w:rsidRPr="0051571F" w:rsidRDefault="0068141C" w:rsidP="0068141C">
            <w:pPr>
              <w:rPr>
                <w:i/>
                <w:iCs/>
                <w:sz w:val="22"/>
                <w:szCs w:val="22"/>
                <w:lang w:val="pl-PL"/>
              </w:rPr>
            </w:pPr>
            <w:r w:rsidRPr="0051571F">
              <w:rPr>
                <w:i/>
                <w:iCs/>
                <w:sz w:val="22"/>
                <w:szCs w:val="22"/>
                <w:lang w:val="pl-PL"/>
              </w:rPr>
              <w:t>*Navedena neželjena dejstva su zapažena kod prim</w:t>
            </w:r>
            <w:r>
              <w:rPr>
                <w:i/>
                <w:iCs/>
                <w:sz w:val="22"/>
                <w:szCs w:val="22"/>
                <w:lang w:val="pl-PL"/>
              </w:rPr>
              <w:t>j</w:t>
            </w:r>
            <w:r w:rsidRPr="0051571F">
              <w:rPr>
                <w:i/>
                <w:iCs/>
                <w:sz w:val="22"/>
                <w:szCs w:val="22"/>
                <w:lang w:val="pl-PL"/>
              </w:rPr>
              <w:t>ene lapatiniba u kombinaciji sa kapecitabinom.</w:t>
            </w:r>
          </w:p>
          <w:p w:rsidR="0068141C" w:rsidRPr="0051571F" w:rsidRDefault="0068141C" w:rsidP="0068141C">
            <w:pPr>
              <w:rPr>
                <w:i/>
                <w:iCs/>
                <w:sz w:val="22"/>
                <w:szCs w:val="22"/>
                <w:lang w:val="pl-PL"/>
              </w:rPr>
            </w:pPr>
            <w:r w:rsidRPr="0051571F">
              <w:rPr>
                <w:sz w:val="22"/>
                <w:szCs w:val="22"/>
                <w:vertAlign w:val="superscript"/>
              </w:rPr>
              <w:t xml:space="preserve">† </w:t>
            </w:r>
            <w:r w:rsidRPr="0051571F">
              <w:rPr>
                <w:i/>
                <w:iCs/>
                <w:sz w:val="22"/>
                <w:szCs w:val="22"/>
                <w:lang w:val="pl-PL"/>
              </w:rPr>
              <w:t>Navedena neželjena dejstva su zapažena kod prim</w:t>
            </w:r>
            <w:r>
              <w:rPr>
                <w:i/>
                <w:iCs/>
                <w:sz w:val="22"/>
                <w:szCs w:val="22"/>
                <w:lang w:val="pl-PL"/>
              </w:rPr>
              <w:t>j</w:t>
            </w:r>
            <w:r w:rsidRPr="0051571F">
              <w:rPr>
                <w:i/>
                <w:iCs/>
                <w:sz w:val="22"/>
                <w:szCs w:val="22"/>
                <w:lang w:val="pl-PL"/>
              </w:rPr>
              <w:t>ene lapatiniba u kombinaciji sa letrozolom.</w:t>
            </w:r>
          </w:p>
          <w:p w:rsidR="0068141C" w:rsidRDefault="0068141C" w:rsidP="0068141C">
            <w:pPr>
              <w:rPr>
                <w:i/>
                <w:iCs/>
                <w:sz w:val="22"/>
                <w:szCs w:val="22"/>
                <w:lang w:val="pl-PL"/>
              </w:rPr>
            </w:pPr>
          </w:p>
          <w:p w:rsidR="0068141C" w:rsidRDefault="0068141C" w:rsidP="0068141C">
            <w:pPr>
              <w:rPr>
                <w:i/>
                <w:iCs/>
                <w:sz w:val="22"/>
                <w:szCs w:val="22"/>
                <w:lang w:val="pl-PL"/>
              </w:rPr>
            </w:pPr>
          </w:p>
          <w:p w:rsidR="0068141C" w:rsidRPr="001268A1" w:rsidRDefault="0068141C" w:rsidP="0068141C">
            <w:pPr>
              <w:rPr>
                <w:i/>
                <w:iCs/>
                <w:lang w:val="pl-PL"/>
              </w:rPr>
            </w:pPr>
            <w:r w:rsidRPr="001268A1">
              <w:rPr>
                <w:i/>
                <w:iCs/>
                <w:sz w:val="22"/>
                <w:szCs w:val="22"/>
                <w:lang w:val="pl-PL"/>
              </w:rPr>
              <w:t>Smanjenje ejekcione frakcije l</w:t>
            </w:r>
            <w:r>
              <w:rPr>
                <w:i/>
                <w:iCs/>
                <w:sz w:val="22"/>
                <w:szCs w:val="22"/>
                <w:lang w:val="pl-PL"/>
              </w:rPr>
              <w:t>ij</w:t>
            </w:r>
            <w:r w:rsidRPr="001268A1">
              <w:rPr>
                <w:i/>
                <w:iCs/>
                <w:sz w:val="22"/>
                <w:szCs w:val="22"/>
                <w:lang w:val="pl-PL"/>
              </w:rPr>
              <w:t>eve komore</w:t>
            </w:r>
            <w:r>
              <w:rPr>
                <w:i/>
                <w:iCs/>
                <w:sz w:val="22"/>
                <w:szCs w:val="22"/>
                <w:lang w:val="pl-PL"/>
              </w:rPr>
              <w:t xml:space="preserve"> </w:t>
            </w:r>
            <w:r w:rsidRPr="009A5E16">
              <w:rPr>
                <w:i/>
                <w:iCs/>
                <w:sz w:val="22"/>
                <w:szCs w:val="22"/>
                <w:lang w:val="pl-PL"/>
              </w:rPr>
              <w:t>i produženje QT intervala</w:t>
            </w:r>
          </w:p>
          <w:p w:rsidR="0068141C" w:rsidRDefault="0068141C" w:rsidP="0068141C">
            <w:pPr>
              <w:rPr>
                <w:sz w:val="22"/>
                <w:szCs w:val="22"/>
                <w:lang w:val="pl-PL"/>
              </w:rPr>
            </w:pPr>
            <w:r w:rsidRPr="00CA322A">
              <w:rPr>
                <w:sz w:val="22"/>
                <w:szCs w:val="22"/>
                <w:lang w:val="pl-PL"/>
              </w:rPr>
              <w:t>Smanjenje ejekcione frakcije l</w:t>
            </w:r>
            <w:r>
              <w:rPr>
                <w:sz w:val="22"/>
                <w:szCs w:val="22"/>
                <w:lang w:val="pl-PL"/>
              </w:rPr>
              <w:t>ij</w:t>
            </w:r>
            <w:r w:rsidRPr="00CA322A">
              <w:rPr>
                <w:sz w:val="22"/>
                <w:szCs w:val="22"/>
                <w:lang w:val="pl-PL"/>
              </w:rPr>
              <w:t>eve komore srca (</w:t>
            </w:r>
            <w:r>
              <w:rPr>
                <w:sz w:val="22"/>
                <w:szCs w:val="22"/>
                <w:lang w:val="pl-PL"/>
              </w:rPr>
              <w:t>LVEF</w:t>
            </w:r>
            <w:r w:rsidRPr="00CA322A">
              <w:rPr>
                <w:sz w:val="22"/>
                <w:szCs w:val="22"/>
                <w:lang w:val="pl-PL"/>
              </w:rPr>
              <w:t>) prijavljeno je kod približno 1% pacijenata l</w:t>
            </w:r>
            <w:r>
              <w:rPr>
                <w:sz w:val="22"/>
                <w:szCs w:val="22"/>
                <w:lang w:val="pl-PL"/>
              </w:rPr>
              <w:t>ij</w:t>
            </w:r>
            <w:r w:rsidRPr="00CA322A">
              <w:rPr>
                <w:sz w:val="22"/>
                <w:szCs w:val="22"/>
                <w:lang w:val="pl-PL"/>
              </w:rPr>
              <w:t xml:space="preserve">ečenih </w:t>
            </w:r>
            <w:r>
              <w:rPr>
                <w:sz w:val="22"/>
                <w:szCs w:val="22"/>
                <w:lang w:val="pl-PL"/>
              </w:rPr>
              <w:t xml:space="preserve">  </w:t>
            </w:r>
            <w:r w:rsidRPr="00CA322A">
              <w:rPr>
                <w:sz w:val="22"/>
                <w:szCs w:val="22"/>
                <w:lang w:val="pl-PL"/>
              </w:rPr>
              <w:t>lapatinibom i bilo je asimptomatsko u više od 90% slučajeva</w:t>
            </w:r>
            <w:r w:rsidRPr="008236AE">
              <w:rPr>
                <w:sz w:val="22"/>
                <w:szCs w:val="22"/>
                <w:lang w:val="pl-PL"/>
              </w:rPr>
              <w:t>. Smanjenje LVEF je stabilizovano ili poboljšano u više od 70% slučajeva, od kojih je u 60% slučajeva bila prekinuta terapija lapatnibom i u 40% slučajeva terapija lapatinibom je nastavljena.</w:t>
            </w:r>
            <w:r w:rsidRPr="00871127">
              <w:rPr>
                <w:sz w:val="22"/>
                <w:szCs w:val="22"/>
                <w:lang w:val="pl-PL"/>
              </w:rPr>
              <w:t xml:space="preserve"> </w:t>
            </w:r>
            <w:r w:rsidRPr="00CA322A">
              <w:rPr>
                <w:sz w:val="22"/>
                <w:szCs w:val="22"/>
                <w:lang w:val="pl-PL"/>
              </w:rPr>
              <w:t xml:space="preserve">Simptomatsko smanjenje </w:t>
            </w:r>
            <w:r>
              <w:rPr>
                <w:sz w:val="22"/>
                <w:szCs w:val="22"/>
                <w:lang w:val="pl-PL"/>
              </w:rPr>
              <w:t>LVEF</w:t>
            </w:r>
            <w:r w:rsidRPr="00CA322A">
              <w:rPr>
                <w:sz w:val="22"/>
                <w:szCs w:val="22"/>
                <w:lang w:val="pl-PL"/>
              </w:rPr>
              <w:t xml:space="preserve"> uočeno je kod približno </w:t>
            </w:r>
            <w:r w:rsidRPr="00871127">
              <w:rPr>
                <w:sz w:val="22"/>
                <w:szCs w:val="22"/>
                <w:lang w:val="pl-PL"/>
              </w:rPr>
              <w:t>0,2%</w:t>
            </w:r>
            <w:r w:rsidRPr="00CA322A">
              <w:rPr>
                <w:sz w:val="22"/>
                <w:szCs w:val="22"/>
                <w:lang w:val="pl-PL"/>
              </w:rPr>
              <w:t xml:space="preserve"> pacijenata kod kojih je prim</w:t>
            </w:r>
            <w:r>
              <w:rPr>
                <w:sz w:val="22"/>
                <w:szCs w:val="22"/>
                <w:lang w:val="pl-PL"/>
              </w:rPr>
              <w:t>ij</w:t>
            </w:r>
            <w:r w:rsidRPr="00CA322A">
              <w:rPr>
                <w:sz w:val="22"/>
                <w:szCs w:val="22"/>
                <w:lang w:val="pl-PL"/>
              </w:rPr>
              <w:t>enjen lapatinib u monoterapiji</w:t>
            </w:r>
            <w:r>
              <w:rPr>
                <w:sz w:val="22"/>
                <w:szCs w:val="22"/>
                <w:lang w:val="pl-PL"/>
              </w:rPr>
              <w:t xml:space="preserve"> </w:t>
            </w:r>
            <w:r w:rsidRPr="00871127">
              <w:rPr>
                <w:sz w:val="22"/>
                <w:szCs w:val="22"/>
                <w:lang w:val="pl-PL"/>
              </w:rPr>
              <w:t>ili u kombinaciji sa drugim antikancerskim agensima</w:t>
            </w:r>
            <w:r w:rsidRPr="00871127">
              <w:rPr>
                <w:b/>
                <w:sz w:val="22"/>
                <w:szCs w:val="22"/>
                <w:lang w:val="pl-PL"/>
              </w:rPr>
              <w:t>.</w:t>
            </w:r>
            <w:r w:rsidRPr="00CA322A">
              <w:rPr>
                <w:sz w:val="22"/>
                <w:szCs w:val="22"/>
                <w:lang w:val="pl-PL"/>
              </w:rPr>
              <w:t xml:space="preserve"> Uočeni simptomi obuhvatali su dispneu, srčanu insuficijenciju i palpitacije.</w:t>
            </w:r>
            <w:r w:rsidRPr="00871127">
              <w:rPr>
                <w:sz w:val="22"/>
                <w:szCs w:val="22"/>
                <w:lang w:val="pl-PL"/>
              </w:rPr>
              <w:t>Ukupno 58% svih pacijenata sa simptomima se oporavilo.</w:t>
            </w:r>
            <w:r w:rsidRPr="00CA322A">
              <w:rPr>
                <w:sz w:val="22"/>
                <w:szCs w:val="22"/>
                <w:lang w:val="pl-PL"/>
              </w:rPr>
              <w:t xml:space="preserve"> Smanjenje </w:t>
            </w:r>
            <w:r>
              <w:rPr>
                <w:sz w:val="22"/>
                <w:szCs w:val="22"/>
                <w:lang w:val="pl-PL"/>
              </w:rPr>
              <w:t>LVEF</w:t>
            </w:r>
            <w:r w:rsidRPr="00CA322A">
              <w:rPr>
                <w:sz w:val="22"/>
                <w:szCs w:val="22"/>
                <w:lang w:val="pl-PL"/>
              </w:rPr>
              <w:t xml:space="preserve"> prijavljeno je kod 2,5% pacijenata kod kojih je prim</w:t>
            </w:r>
            <w:r>
              <w:rPr>
                <w:sz w:val="22"/>
                <w:szCs w:val="22"/>
                <w:lang w:val="pl-PL"/>
              </w:rPr>
              <w:t>ij</w:t>
            </w:r>
            <w:r w:rsidRPr="00CA322A">
              <w:rPr>
                <w:sz w:val="22"/>
                <w:szCs w:val="22"/>
                <w:lang w:val="pl-PL"/>
              </w:rPr>
              <w:t>enj</w:t>
            </w:r>
            <w:r w:rsidRPr="00DC639C">
              <w:rPr>
                <w:sz w:val="22"/>
                <w:szCs w:val="22"/>
                <w:lang w:val="pl-PL"/>
              </w:rPr>
              <w:t xml:space="preserve">en lapatinib u kombinovanoj terapiji sa kapecitabinom, u poređenju sa 1,0% pacijenata pri primjeni kapecitabina kao monoterapije. Smanjenje </w:t>
            </w:r>
            <w:r>
              <w:rPr>
                <w:sz w:val="22"/>
                <w:szCs w:val="22"/>
                <w:lang w:val="pl-PL"/>
              </w:rPr>
              <w:t>LVEF</w:t>
            </w:r>
            <w:r w:rsidRPr="00DC639C">
              <w:rPr>
                <w:sz w:val="22"/>
                <w:szCs w:val="22"/>
                <w:lang w:val="pl-PL"/>
              </w:rPr>
              <w:t xml:space="preserve"> je prijavljeno kod 3,1% pacijenata koji su primali lapatinib u kombinaciji sa letrozolom u poređenju sa 1,3% pacijenata koji su primali letrozol u kombinaciji sa placebom.</w:t>
            </w:r>
          </w:p>
          <w:p w:rsidR="0068141C" w:rsidRDefault="0068141C" w:rsidP="0068141C">
            <w:pPr>
              <w:rPr>
                <w:sz w:val="22"/>
                <w:szCs w:val="22"/>
                <w:lang w:val="pl-PL"/>
              </w:rPr>
            </w:pPr>
          </w:p>
          <w:p w:rsidR="0068141C" w:rsidRPr="00CA322A" w:rsidRDefault="0068141C" w:rsidP="0068141C">
            <w:pPr>
              <w:rPr>
                <w:lang w:val="pl-PL"/>
              </w:rPr>
            </w:pPr>
            <w:r w:rsidRPr="000705E6">
              <w:rPr>
                <w:lang w:val="pl-PL"/>
              </w:rPr>
              <w:t>Neznatno, od koncentracije zavisno produženje QT intervala zabilježeno je u fazi I nekontrolisanih kliničkih ispitivanja. Nije isključena mogućnost da lapatinib prolongira QT interval (vidjeti Odjeljak 4.4).</w:t>
            </w:r>
          </w:p>
          <w:p w:rsidR="0068141C" w:rsidRPr="00CA322A" w:rsidRDefault="0068141C" w:rsidP="0068141C">
            <w:pPr>
              <w:rPr>
                <w:lang w:val="pl-PL"/>
              </w:rPr>
            </w:pPr>
          </w:p>
          <w:p w:rsidR="0068141C" w:rsidRPr="00CA322A" w:rsidRDefault="0068141C" w:rsidP="0068141C">
            <w:pPr>
              <w:rPr>
                <w:i/>
                <w:iCs/>
                <w:lang w:val="pl-PL"/>
              </w:rPr>
            </w:pPr>
            <w:r w:rsidRPr="00CA322A">
              <w:rPr>
                <w:i/>
                <w:iCs/>
                <w:sz w:val="22"/>
                <w:szCs w:val="22"/>
                <w:lang w:val="pl-PL"/>
              </w:rPr>
              <w:t>Dijareja</w:t>
            </w:r>
          </w:p>
          <w:p w:rsidR="0068141C" w:rsidRPr="00CA322A" w:rsidRDefault="0068141C" w:rsidP="0068141C">
            <w:pPr>
              <w:rPr>
                <w:lang w:val="pl-PL"/>
              </w:rPr>
            </w:pPr>
            <w:r w:rsidRPr="00CA322A">
              <w:rPr>
                <w:sz w:val="22"/>
                <w:szCs w:val="22"/>
                <w:lang w:val="pl-PL"/>
              </w:rPr>
              <w:t>Dijareja se javila kod približno 65% pacijenata kojima je prim</w:t>
            </w:r>
            <w:r>
              <w:rPr>
                <w:sz w:val="22"/>
                <w:szCs w:val="22"/>
                <w:lang w:val="pl-PL"/>
              </w:rPr>
              <w:t>ij</w:t>
            </w:r>
            <w:r w:rsidRPr="00CA322A">
              <w:rPr>
                <w:sz w:val="22"/>
                <w:szCs w:val="22"/>
                <w:lang w:val="pl-PL"/>
              </w:rPr>
              <w:t xml:space="preserve">enjen lapatinib u kombinovanoj terapiji sa </w:t>
            </w:r>
            <w:r w:rsidRPr="00871127">
              <w:rPr>
                <w:sz w:val="22"/>
                <w:szCs w:val="22"/>
                <w:lang w:val="pl-PL"/>
              </w:rPr>
              <w:t>kapecitabinom i kod 64% pacijenata koji su primali lapatinib u kombinaciji sa letrozolom</w:t>
            </w:r>
            <w:r w:rsidRPr="00CA322A">
              <w:rPr>
                <w:sz w:val="22"/>
                <w:szCs w:val="22"/>
                <w:lang w:val="pl-PL"/>
              </w:rPr>
              <w:t xml:space="preserve">. Najveći broj slučajeva </w:t>
            </w:r>
            <w:r w:rsidRPr="00CA322A">
              <w:rPr>
                <w:sz w:val="22"/>
                <w:szCs w:val="22"/>
                <w:lang w:val="pl-PL"/>
              </w:rPr>
              <w:lastRenderedPageBreak/>
              <w:t>dijareje odgovarao je 1. ili 2. stepenu i nije uzrokovao prekid terapije lapatinibom. Proaktivna terapija imala je zadovoljavajući terapijski efekat na dijareju (vid</w:t>
            </w:r>
            <w:r>
              <w:rPr>
                <w:sz w:val="22"/>
                <w:szCs w:val="22"/>
                <w:lang w:val="pl-PL"/>
              </w:rPr>
              <w:t>j</w:t>
            </w:r>
            <w:r w:rsidRPr="00CA322A">
              <w:rPr>
                <w:sz w:val="22"/>
                <w:szCs w:val="22"/>
                <w:lang w:val="pl-PL"/>
              </w:rPr>
              <w:t>eti Od</w:t>
            </w:r>
            <w:r>
              <w:rPr>
                <w:sz w:val="22"/>
                <w:szCs w:val="22"/>
                <w:lang w:val="pl-PL"/>
              </w:rPr>
              <w:t>j</w:t>
            </w:r>
            <w:r w:rsidRPr="00CA322A">
              <w:rPr>
                <w:sz w:val="22"/>
                <w:szCs w:val="22"/>
                <w:lang w:val="pl-PL"/>
              </w:rPr>
              <w:t xml:space="preserve">eljak 4.4). </w:t>
            </w:r>
            <w:r>
              <w:rPr>
                <w:sz w:val="22"/>
                <w:szCs w:val="22"/>
                <w:lang w:val="pl-PL"/>
              </w:rPr>
              <w:t xml:space="preserve">Međutim, prijavljeno je nekoliko slučajeva akutne bubrežne insuficijencije nakon ozbiljne dehidracije zbog dijareje. </w:t>
            </w:r>
          </w:p>
          <w:p w:rsidR="0068141C" w:rsidRPr="00CA322A" w:rsidRDefault="0068141C" w:rsidP="0068141C">
            <w:pPr>
              <w:rPr>
                <w:lang w:val="pl-PL"/>
              </w:rPr>
            </w:pPr>
          </w:p>
          <w:p w:rsidR="0068141C" w:rsidRPr="00CA322A" w:rsidRDefault="0068141C" w:rsidP="0068141C">
            <w:pPr>
              <w:rPr>
                <w:i/>
                <w:iCs/>
                <w:lang w:val="pl-PL"/>
              </w:rPr>
            </w:pPr>
            <w:r w:rsidRPr="00CA322A">
              <w:rPr>
                <w:i/>
                <w:iCs/>
                <w:sz w:val="22"/>
                <w:szCs w:val="22"/>
                <w:lang w:val="pl-PL"/>
              </w:rPr>
              <w:t>Kožni osip</w:t>
            </w:r>
          </w:p>
          <w:p w:rsidR="0068141C" w:rsidRPr="00871127" w:rsidRDefault="0068141C" w:rsidP="0068141C">
            <w:pPr>
              <w:rPr>
                <w:lang w:val="pl-PL"/>
              </w:rPr>
            </w:pPr>
            <w:r w:rsidRPr="00CA322A">
              <w:rPr>
                <w:sz w:val="22"/>
                <w:szCs w:val="22"/>
                <w:lang w:val="pl-PL"/>
              </w:rPr>
              <w:t>Kožni osip se javio kod približno 28% pacijenata kojima je prim</w:t>
            </w:r>
            <w:r>
              <w:rPr>
                <w:sz w:val="22"/>
                <w:szCs w:val="22"/>
                <w:lang w:val="pl-PL"/>
              </w:rPr>
              <w:t>ij</w:t>
            </w:r>
            <w:r w:rsidRPr="00CA322A">
              <w:rPr>
                <w:sz w:val="22"/>
                <w:szCs w:val="22"/>
                <w:lang w:val="pl-PL"/>
              </w:rPr>
              <w:t>enjen lapatinib u kombinovanoj terapiji sa kapecitabinom</w:t>
            </w:r>
            <w:r>
              <w:rPr>
                <w:sz w:val="22"/>
                <w:szCs w:val="22"/>
                <w:lang w:val="pl-PL"/>
              </w:rPr>
              <w:t xml:space="preserve"> </w:t>
            </w:r>
            <w:r w:rsidRPr="00871127">
              <w:rPr>
                <w:sz w:val="22"/>
                <w:szCs w:val="22"/>
                <w:lang w:val="pl-PL"/>
              </w:rPr>
              <w:t>i kod 45% pacijenata koji su primali lapatinib u kombinaciji sa letrozolom .</w:t>
            </w:r>
            <w:r w:rsidRPr="00CA322A">
              <w:rPr>
                <w:sz w:val="22"/>
                <w:szCs w:val="22"/>
                <w:lang w:val="pl-PL"/>
              </w:rPr>
              <w:t xml:space="preserve"> Kožni osip je uglavnom bio slabijeg intenziteta i njegova pojava nije uzrokovala prekid prim</w:t>
            </w:r>
            <w:r>
              <w:rPr>
                <w:sz w:val="22"/>
                <w:szCs w:val="22"/>
                <w:lang w:val="pl-PL"/>
              </w:rPr>
              <w:t>j</w:t>
            </w:r>
            <w:r w:rsidRPr="00CA322A">
              <w:rPr>
                <w:sz w:val="22"/>
                <w:szCs w:val="22"/>
                <w:lang w:val="pl-PL"/>
              </w:rPr>
              <w:t>ene lapatiniba.</w:t>
            </w:r>
            <w:r>
              <w:rPr>
                <w:sz w:val="22"/>
                <w:szCs w:val="22"/>
                <w:lang w:val="pl-PL"/>
              </w:rPr>
              <w:t xml:space="preserve"> </w:t>
            </w:r>
            <w:r w:rsidRPr="00871127">
              <w:rPr>
                <w:sz w:val="22"/>
                <w:szCs w:val="22"/>
                <w:lang w:val="pl-PL"/>
              </w:rPr>
              <w:t>L</w:t>
            </w:r>
            <w:r>
              <w:rPr>
                <w:sz w:val="22"/>
                <w:szCs w:val="22"/>
                <w:lang w:val="pl-PL"/>
              </w:rPr>
              <w:t>j</w:t>
            </w:r>
            <w:r w:rsidRPr="00871127">
              <w:rPr>
                <w:sz w:val="22"/>
                <w:szCs w:val="22"/>
                <w:lang w:val="pl-PL"/>
              </w:rPr>
              <w:t>ekarima koji propisuju l</w:t>
            </w:r>
            <w:r>
              <w:rPr>
                <w:sz w:val="22"/>
                <w:szCs w:val="22"/>
                <w:lang w:val="pl-PL"/>
              </w:rPr>
              <w:t>ij</w:t>
            </w:r>
            <w:r w:rsidRPr="00871127">
              <w:rPr>
                <w:sz w:val="22"/>
                <w:szCs w:val="22"/>
                <w:lang w:val="pl-PL"/>
              </w:rPr>
              <w:t>ek se sav</w:t>
            </w:r>
            <w:r>
              <w:rPr>
                <w:sz w:val="22"/>
                <w:szCs w:val="22"/>
                <w:lang w:val="pl-PL"/>
              </w:rPr>
              <w:t>j</w:t>
            </w:r>
            <w:r w:rsidRPr="00871127">
              <w:rPr>
                <w:sz w:val="22"/>
                <w:szCs w:val="22"/>
                <w:lang w:val="pl-PL"/>
              </w:rPr>
              <w:t>etuje da pregledaju kožu pacijenta pr</w:t>
            </w:r>
            <w:r>
              <w:rPr>
                <w:sz w:val="22"/>
                <w:szCs w:val="22"/>
                <w:lang w:val="pl-PL"/>
              </w:rPr>
              <w:t>ij</w:t>
            </w:r>
            <w:r w:rsidRPr="00871127">
              <w:rPr>
                <w:sz w:val="22"/>
                <w:szCs w:val="22"/>
                <w:lang w:val="pl-PL"/>
              </w:rPr>
              <w:t>e početka terapije i regularno tokom trajanja terapije. Pacijente koji su imali kožne reakcije treba podsticati da izb</w:t>
            </w:r>
            <w:r>
              <w:rPr>
                <w:sz w:val="22"/>
                <w:szCs w:val="22"/>
                <w:lang w:val="pl-PL"/>
              </w:rPr>
              <w:t>j</w:t>
            </w:r>
            <w:r w:rsidRPr="00871127">
              <w:rPr>
                <w:sz w:val="22"/>
                <w:szCs w:val="22"/>
                <w:lang w:val="pl-PL"/>
              </w:rPr>
              <w:t>egavaju izlaganje suncu i koriste zaštitu širokog spektra sa Sun Protection Factor (SPF) ≥ 30. Ukoliko se pojavi kožna reakcija treba uraditi pregled c</w:t>
            </w:r>
            <w:r>
              <w:rPr>
                <w:sz w:val="22"/>
                <w:szCs w:val="22"/>
                <w:lang w:val="pl-PL"/>
              </w:rPr>
              <w:t>j</w:t>
            </w:r>
            <w:r w:rsidRPr="00871127">
              <w:rPr>
                <w:sz w:val="22"/>
                <w:szCs w:val="22"/>
                <w:lang w:val="pl-PL"/>
              </w:rPr>
              <w:t>elokupnog t</w:t>
            </w:r>
            <w:r>
              <w:rPr>
                <w:sz w:val="22"/>
                <w:szCs w:val="22"/>
                <w:lang w:val="pl-PL"/>
              </w:rPr>
              <w:t>ij</w:t>
            </w:r>
            <w:r w:rsidRPr="00871127">
              <w:rPr>
                <w:sz w:val="22"/>
                <w:szCs w:val="22"/>
                <w:lang w:val="pl-PL"/>
              </w:rPr>
              <w:t>ela prilikom svake pos</w:t>
            </w:r>
            <w:r>
              <w:rPr>
                <w:sz w:val="22"/>
                <w:szCs w:val="22"/>
                <w:lang w:val="pl-PL"/>
              </w:rPr>
              <w:t>j</w:t>
            </w:r>
            <w:r w:rsidRPr="00871127">
              <w:rPr>
                <w:sz w:val="22"/>
                <w:szCs w:val="22"/>
                <w:lang w:val="pl-PL"/>
              </w:rPr>
              <w:t>ete, do m</w:t>
            </w:r>
            <w:r>
              <w:rPr>
                <w:sz w:val="22"/>
                <w:szCs w:val="22"/>
                <w:lang w:val="pl-PL"/>
              </w:rPr>
              <w:t>j</w:t>
            </w:r>
            <w:r w:rsidRPr="00871127">
              <w:rPr>
                <w:sz w:val="22"/>
                <w:szCs w:val="22"/>
                <w:lang w:val="pl-PL"/>
              </w:rPr>
              <w:t>esec dana nakon povlačenja. Pacijente sa obimnim ili upornim kožnim reakcijama treba uputiti dermatologu.</w:t>
            </w:r>
          </w:p>
          <w:p w:rsidR="0068141C" w:rsidRPr="00CA322A" w:rsidRDefault="0068141C" w:rsidP="0068141C">
            <w:pPr>
              <w:pStyle w:val="Header"/>
              <w:tabs>
                <w:tab w:val="left" w:pos="284"/>
              </w:tabs>
              <w:rPr>
                <w:lang w:val="pl-PL"/>
              </w:rPr>
            </w:pPr>
          </w:p>
        </w:tc>
      </w:tr>
      <w:tr w:rsidR="0068141C" w:rsidRPr="009F4449">
        <w:tc>
          <w:tcPr>
            <w:tcW w:w="10188" w:type="dxa"/>
            <w:gridSpan w:val="4"/>
            <w:vAlign w:val="center"/>
          </w:tcPr>
          <w:p w:rsidR="0068141C" w:rsidRPr="009F4449" w:rsidRDefault="0068141C" w:rsidP="0068141C">
            <w:pPr>
              <w:pStyle w:val="Header"/>
              <w:tabs>
                <w:tab w:val="left" w:pos="284"/>
              </w:tabs>
              <w:spacing w:before="80" w:after="80"/>
              <w:rPr>
                <w:b/>
                <w:bCs/>
              </w:rPr>
            </w:pPr>
            <w:r w:rsidRPr="009F4449">
              <w:rPr>
                <w:b/>
                <w:bCs/>
                <w:sz w:val="22"/>
                <w:szCs w:val="22"/>
              </w:rPr>
              <w:lastRenderedPageBreak/>
              <w:t>4.9. Predoziranje</w:t>
            </w:r>
          </w:p>
        </w:tc>
      </w:tr>
      <w:tr w:rsidR="0068141C" w:rsidRPr="009F4449">
        <w:trPr>
          <w:trHeight w:val="1145"/>
        </w:trPr>
        <w:tc>
          <w:tcPr>
            <w:tcW w:w="10188" w:type="dxa"/>
            <w:gridSpan w:val="4"/>
            <w:vAlign w:val="center"/>
          </w:tcPr>
          <w:p w:rsidR="0068141C" w:rsidRDefault="0068141C" w:rsidP="0068141C"/>
          <w:p w:rsidR="0068141C" w:rsidRPr="000D4B37" w:rsidRDefault="0068141C" w:rsidP="0068141C">
            <w:r>
              <w:rPr>
                <w:sz w:val="22"/>
                <w:szCs w:val="22"/>
              </w:rPr>
              <w:t>Ne postoji</w:t>
            </w:r>
            <w:r w:rsidRPr="000D4B37">
              <w:rPr>
                <w:sz w:val="22"/>
                <w:szCs w:val="22"/>
              </w:rPr>
              <w:t xml:space="preserve"> </w:t>
            </w:r>
            <w:r>
              <w:rPr>
                <w:sz w:val="22"/>
                <w:szCs w:val="22"/>
              </w:rPr>
              <w:t>specifični antidot koji se koristi za inhibiciju EGFR (ErbB1) i/</w:t>
            </w:r>
            <w:r w:rsidRPr="000D4B37">
              <w:rPr>
                <w:sz w:val="22"/>
                <w:szCs w:val="22"/>
              </w:rPr>
              <w:t xml:space="preserve">ili </w:t>
            </w:r>
            <w:r w:rsidRPr="00FD4FE7">
              <w:rPr>
                <w:sz w:val="22"/>
                <w:szCs w:val="22"/>
              </w:rPr>
              <w:t xml:space="preserve">HER2 </w:t>
            </w:r>
            <w:r w:rsidRPr="000D4B37">
              <w:rPr>
                <w:sz w:val="22"/>
                <w:szCs w:val="22"/>
              </w:rPr>
              <w:t>(</w:t>
            </w:r>
            <w:r w:rsidRPr="00FD4FE7">
              <w:rPr>
                <w:sz w:val="22"/>
                <w:szCs w:val="22"/>
              </w:rPr>
              <w:t>ErbB2</w:t>
            </w:r>
            <w:r w:rsidRPr="000D4B37">
              <w:rPr>
                <w:sz w:val="22"/>
                <w:szCs w:val="22"/>
              </w:rPr>
              <w:t>) tirozinske</w:t>
            </w:r>
            <w:r>
              <w:rPr>
                <w:sz w:val="22"/>
                <w:szCs w:val="22"/>
              </w:rPr>
              <w:t xml:space="preserve"> fosforilacije. M</w:t>
            </w:r>
            <w:r w:rsidRPr="000D4B37">
              <w:rPr>
                <w:sz w:val="22"/>
                <w:szCs w:val="22"/>
              </w:rPr>
              <w:t>aksimalna oralna doza lap</w:t>
            </w:r>
            <w:r>
              <w:rPr>
                <w:sz w:val="22"/>
                <w:szCs w:val="22"/>
              </w:rPr>
              <w:t>atiniba primijenjena u okviru kliničkih ispitivanja iznosila je 1800mg</w:t>
            </w:r>
            <w:r w:rsidRPr="000D4B37">
              <w:rPr>
                <w:sz w:val="22"/>
                <w:szCs w:val="22"/>
              </w:rPr>
              <w:t>, jednom dnevno</w:t>
            </w:r>
            <w:r>
              <w:rPr>
                <w:sz w:val="22"/>
                <w:szCs w:val="22"/>
              </w:rPr>
              <w:t>.</w:t>
            </w:r>
          </w:p>
          <w:p w:rsidR="0068141C" w:rsidRPr="000D4B37" w:rsidRDefault="0068141C" w:rsidP="0068141C"/>
          <w:p w:rsidR="0068141C" w:rsidRPr="00413408" w:rsidRDefault="0068141C" w:rsidP="0068141C">
            <w:r w:rsidRPr="001574C8">
              <w:rPr>
                <w:sz w:val="22"/>
                <w:szCs w:val="22"/>
              </w:rPr>
              <w:t>Kod pacijenata na terapiji lijekom Tyverb</w:t>
            </w:r>
            <w:r w:rsidRPr="001574C8">
              <w:rPr>
                <w:sz w:val="22"/>
                <w:szCs w:val="22"/>
                <w:vertAlign w:val="superscript"/>
              </w:rPr>
              <w:t>®</w:t>
            </w:r>
            <w:r w:rsidRPr="001574C8">
              <w:rPr>
                <w:sz w:val="22"/>
                <w:szCs w:val="22"/>
              </w:rPr>
              <w:t xml:space="preserve"> zabilježeni su slučajevi predoziranja, koje je bilo asimptomatsko i simptomatsko. Kod pacijenata koji su uzeli do 5000mg lapatiniba, zabilježeni simptomi uključivali su događaje udružene sa lapatinibom (vidjeti Odjeljak 4.8) i u nekim slučajevima bolnu kožu glave i/ili inflamaciju mukoze. U slučaju jednog pacijenta koji je uzeo 9000mg lijeka Tyverb</w:t>
            </w:r>
            <w:r w:rsidRPr="001574C8">
              <w:rPr>
                <w:sz w:val="22"/>
                <w:szCs w:val="22"/>
                <w:vertAlign w:val="superscript"/>
              </w:rPr>
              <w:t>®</w:t>
            </w:r>
            <w:r w:rsidRPr="001574C8">
              <w:rPr>
                <w:sz w:val="22"/>
                <w:szCs w:val="22"/>
              </w:rPr>
              <w:t>, zabilježena je sinusna tahikardija (uz nepatološki, normalni EKG).</w:t>
            </w:r>
          </w:p>
          <w:p w:rsidR="0068141C" w:rsidRDefault="0068141C" w:rsidP="0068141C"/>
          <w:p w:rsidR="0068141C" w:rsidRPr="00413408" w:rsidRDefault="0068141C" w:rsidP="0068141C">
            <w:pPr>
              <w:rPr>
                <w:sz w:val="22"/>
                <w:szCs w:val="22"/>
              </w:rPr>
            </w:pPr>
            <w:r>
              <w:rPr>
                <w:sz w:val="22"/>
                <w:szCs w:val="22"/>
              </w:rPr>
              <w:t>Lapatinib se ne izluč</w:t>
            </w:r>
            <w:r w:rsidRPr="000D4B37">
              <w:rPr>
                <w:sz w:val="22"/>
                <w:szCs w:val="22"/>
              </w:rPr>
              <w:t>uje u značajnoj m</w:t>
            </w:r>
            <w:r>
              <w:rPr>
                <w:sz w:val="22"/>
                <w:szCs w:val="22"/>
              </w:rPr>
              <w:t>j</w:t>
            </w:r>
            <w:r w:rsidRPr="000D4B37">
              <w:rPr>
                <w:sz w:val="22"/>
                <w:szCs w:val="22"/>
              </w:rPr>
              <w:t>eri</w:t>
            </w:r>
            <w:r>
              <w:rPr>
                <w:sz w:val="22"/>
                <w:szCs w:val="22"/>
              </w:rPr>
              <w:t xml:space="preserve"> putem bubrega i </w:t>
            </w:r>
            <w:r w:rsidRPr="000D4B37">
              <w:rPr>
                <w:sz w:val="22"/>
                <w:szCs w:val="22"/>
              </w:rPr>
              <w:t xml:space="preserve">vezuje </w:t>
            </w:r>
            <w:r>
              <w:rPr>
                <w:sz w:val="22"/>
                <w:szCs w:val="22"/>
              </w:rPr>
              <w:t xml:space="preserve">se </w:t>
            </w:r>
            <w:r w:rsidRPr="000D4B37">
              <w:rPr>
                <w:sz w:val="22"/>
                <w:szCs w:val="22"/>
              </w:rPr>
              <w:t>za proteine plazme</w:t>
            </w:r>
            <w:r>
              <w:rPr>
                <w:sz w:val="22"/>
                <w:szCs w:val="22"/>
              </w:rPr>
              <w:t xml:space="preserve"> u visokom procentu,</w:t>
            </w:r>
            <w:r w:rsidRPr="000D4B37">
              <w:rPr>
                <w:sz w:val="22"/>
                <w:szCs w:val="22"/>
              </w:rPr>
              <w:t xml:space="preserve"> stoga </w:t>
            </w:r>
            <w:r>
              <w:rPr>
                <w:sz w:val="22"/>
                <w:szCs w:val="22"/>
              </w:rPr>
              <w:t xml:space="preserve">se </w:t>
            </w:r>
            <w:r w:rsidRPr="000D4B37">
              <w:rPr>
                <w:sz w:val="22"/>
                <w:szCs w:val="22"/>
              </w:rPr>
              <w:t xml:space="preserve">ne očekuje da </w:t>
            </w:r>
            <w:r>
              <w:rPr>
                <w:sz w:val="22"/>
                <w:szCs w:val="22"/>
              </w:rPr>
              <w:t>će hemodijaliza biti efikasan metod u poboljšanju</w:t>
            </w:r>
            <w:r w:rsidRPr="000D4B37">
              <w:rPr>
                <w:sz w:val="22"/>
                <w:szCs w:val="22"/>
              </w:rPr>
              <w:t xml:space="preserve"> eliminacije lapatiniba.   </w:t>
            </w:r>
          </w:p>
          <w:p w:rsidR="0068141C" w:rsidRPr="009F4449" w:rsidRDefault="0068141C" w:rsidP="0068141C">
            <w:pPr>
              <w:pStyle w:val="Header"/>
              <w:tabs>
                <w:tab w:val="left" w:pos="284"/>
              </w:tabs>
            </w:pPr>
          </w:p>
        </w:tc>
      </w:tr>
      <w:tr w:rsidR="0068141C" w:rsidRPr="009F4449">
        <w:tc>
          <w:tcPr>
            <w:tcW w:w="10188" w:type="dxa"/>
            <w:gridSpan w:val="4"/>
            <w:shd w:val="clear" w:color="auto" w:fill="E0E0E0"/>
            <w:vAlign w:val="center"/>
          </w:tcPr>
          <w:p w:rsidR="0068141C" w:rsidRPr="009F4449" w:rsidRDefault="0068141C" w:rsidP="0068141C">
            <w:pPr>
              <w:pStyle w:val="Header"/>
              <w:tabs>
                <w:tab w:val="left" w:pos="284"/>
              </w:tabs>
              <w:rPr>
                <w:b/>
                <w:bCs/>
              </w:rPr>
            </w:pPr>
            <w:r w:rsidRPr="009F4449">
              <w:rPr>
                <w:b/>
                <w:bCs/>
                <w:sz w:val="22"/>
                <w:szCs w:val="22"/>
              </w:rPr>
              <w:t>5. FARMAKOLOŠKI PODACI</w:t>
            </w:r>
          </w:p>
        </w:tc>
      </w:tr>
      <w:tr w:rsidR="0068141C" w:rsidRPr="009F4449">
        <w:tc>
          <w:tcPr>
            <w:tcW w:w="10188" w:type="dxa"/>
            <w:gridSpan w:val="4"/>
            <w:vAlign w:val="center"/>
          </w:tcPr>
          <w:p w:rsidR="0068141C" w:rsidRPr="009F4449" w:rsidRDefault="0068141C" w:rsidP="0068141C">
            <w:pPr>
              <w:pStyle w:val="Header"/>
              <w:tabs>
                <w:tab w:val="left" w:pos="284"/>
              </w:tabs>
              <w:spacing w:before="80" w:after="80"/>
              <w:rPr>
                <w:b/>
                <w:bCs/>
              </w:rPr>
            </w:pPr>
            <w:r w:rsidRPr="009F4449">
              <w:rPr>
                <w:b/>
                <w:bCs/>
                <w:sz w:val="22"/>
                <w:szCs w:val="22"/>
              </w:rPr>
              <w:t>5.1. Farmakodinamski podaci</w:t>
            </w:r>
          </w:p>
        </w:tc>
      </w:tr>
      <w:tr w:rsidR="0068141C" w:rsidRPr="009F4449">
        <w:trPr>
          <w:trHeight w:val="576"/>
        </w:trPr>
        <w:tc>
          <w:tcPr>
            <w:tcW w:w="2808" w:type="dxa"/>
            <w:gridSpan w:val="3"/>
            <w:vAlign w:val="center"/>
          </w:tcPr>
          <w:p w:rsidR="0068141C" w:rsidRPr="009F4449" w:rsidRDefault="0068141C" w:rsidP="0068141C">
            <w:pPr>
              <w:pStyle w:val="Header"/>
              <w:tabs>
                <w:tab w:val="left" w:pos="284"/>
              </w:tabs>
              <w:rPr>
                <w:b/>
                <w:bCs/>
              </w:rPr>
            </w:pPr>
            <w:r w:rsidRPr="009F4449">
              <w:rPr>
                <w:b/>
                <w:bCs/>
                <w:sz w:val="22"/>
                <w:szCs w:val="22"/>
              </w:rPr>
              <w:t>Farmakoterapijska grupa:</w:t>
            </w:r>
          </w:p>
        </w:tc>
        <w:tc>
          <w:tcPr>
            <w:tcW w:w="7380" w:type="dxa"/>
            <w:vAlign w:val="center"/>
          </w:tcPr>
          <w:p w:rsidR="0068141C" w:rsidRPr="009F4449" w:rsidRDefault="0068141C" w:rsidP="0068141C">
            <w:pPr>
              <w:pStyle w:val="Header"/>
              <w:tabs>
                <w:tab w:val="left" w:pos="284"/>
              </w:tabs>
            </w:pPr>
            <w:r>
              <w:rPr>
                <w:sz w:val="22"/>
                <w:szCs w:val="22"/>
              </w:rPr>
              <w:t>Inhibitori protein kinaze</w:t>
            </w:r>
          </w:p>
        </w:tc>
      </w:tr>
      <w:tr w:rsidR="0068141C" w:rsidRPr="009F4449">
        <w:trPr>
          <w:trHeight w:val="542"/>
        </w:trPr>
        <w:tc>
          <w:tcPr>
            <w:tcW w:w="1188" w:type="dxa"/>
            <w:gridSpan w:val="2"/>
            <w:vAlign w:val="center"/>
          </w:tcPr>
          <w:p w:rsidR="0068141C" w:rsidRPr="009F4449" w:rsidRDefault="0068141C" w:rsidP="0068141C">
            <w:pPr>
              <w:pStyle w:val="Header"/>
              <w:tabs>
                <w:tab w:val="left" w:pos="284"/>
              </w:tabs>
              <w:rPr>
                <w:b/>
                <w:bCs/>
              </w:rPr>
            </w:pPr>
            <w:r w:rsidRPr="009F4449">
              <w:rPr>
                <w:b/>
                <w:bCs/>
                <w:sz w:val="22"/>
                <w:szCs w:val="22"/>
              </w:rPr>
              <w:t>ATC kod:</w:t>
            </w:r>
          </w:p>
        </w:tc>
        <w:tc>
          <w:tcPr>
            <w:tcW w:w="9000" w:type="dxa"/>
            <w:gridSpan w:val="2"/>
            <w:vAlign w:val="center"/>
          </w:tcPr>
          <w:p w:rsidR="0068141C" w:rsidRPr="009F4449" w:rsidRDefault="0068141C" w:rsidP="0068141C">
            <w:pPr>
              <w:pStyle w:val="Header"/>
              <w:tabs>
                <w:tab w:val="left" w:pos="284"/>
              </w:tabs>
            </w:pPr>
            <w:r>
              <w:rPr>
                <w:sz w:val="22"/>
                <w:szCs w:val="22"/>
              </w:rPr>
              <w:t>L01XE07</w:t>
            </w:r>
          </w:p>
        </w:tc>
      </w:tr>
      <w:tr w:rsidR="0068141C" w:rsidRPr="009F4449">
        <w:trPr>
          <w:trHeight w:val="1145"/>
        </w:trPr>
        <w:tc>
          <w:tcPr>
            <w:tcW w:w="10188" w:type="dxa"/>
            <w:gridSpan w:val="4"/>
            <w:vAlign w:val="center"/>
          </w:tcPr>
          <w:p w:rsidR="0068141C" w:rsidRPr="00A64329" w:rsidRDefault="0068141C" w:rsidP="0068141C"/>
          <w:p w:rsidR="0068141C" w:rsidRPr="00A64329" w:rsidRDefault="0068141C" w:rsidP="0068141C">
            <w:r w:rsidRPr="00A64329">
              <w:rPr>
                <w:sz w:val="22"/>
                <w:szCs w:val="22"/>
              </w:rPr>
              <w:t>Ovaj m</w:t>
            </w:r>
            <w:r>
              <w:rPr>
                <w:sz w:val="22"/>
                <w:szCs w:val="22"/>
              </w:rPr>
              <w:t xml:space="preserve">edicinski proizvod, </w:t>
            </w:r>
            <w:r w:rsidRPr="00FD4C74">
              <w:rPr>
                <w:sz w:val="22"/>
                <w:szCs w:val="22"/>
              </w:rPr>
              <w:t>kada se prim</w:t>
            </w:r>
            <w:r>
              <w:rPr>
                <w:sz w:val="22"/>
                <w:szCs w:val="22"/>
              </w:rPr>
              <w:t>j</w:t>
            </w:r>
            <w:r w:rsidRPr="00FD4C74">
              <w:rPr>
                <w:sz w:val="22"/>
                <w:szCs w:val="22"/>
              </w:rPr>
              <w:t>enjuje u kombinaciji sa kapecitabinom</w:t>
            </w:r>
            <w:r>
              <w:rPr>
                <w:sz w:val="22"/>
                <w:szCs w:val="22"/>
              </w:rPr>
              <w:t>,</w:t>
            </w:r>
            <w:r w:rsidRPr="00FD4C74">
              <w:rPr>
                <w:sz w:val="22"/>
                <w:szCs w:val="22"/>
              </w:rPr>
              <w:t xml:space="preserve"> </w:t>
            </w:r>
            <w:r>
              <w:rPr>
                <w:sz w:val="22"/>
                <w:szCs w:val="22"/>
              </w:rPr>
              <w:t>je odobren prema</w:t>
            </w:r>
            <w:r w:rsidRPr="00A64329">
              <w:rPr>
                <w:sz w:val="22"/>
                <w:szCs w:val="22"/>
              </w:rPr>
              <w:t xml:space="preserve"> </w:t>
            </w:r>
            <w:r>
              <w:rPr>
                <w:sz w:val="22"/>
                <w:szCs w:val="22"/>
              </w:rPr>
              <w:t xml:space="preserve">šemi takozvanog </w:t>
            </w:r>
            <w:r w:rsidRPr="00A64329">
              <w:rPr>
                <w:sz w:val="22"/>
                <w:szCs w:val="22"/>
              </w:rPr>
              <w:t>„uslovno</w:t>
            </w:r>
            <w:r>
              <w:rPr>
                <w:sz w:val="22"/>
                <w:szCs w:val="22"/>
              </w:rPr>
              <w:t>g odobrenja“</w:t>
            </w:r>
            <w:r w:rsidRPr="00A64329">
              <w:rPr>
                <w:sz w:val="22"/>
                <w:szCs w:val="22"/>
              </w:rPr>
              <w:t>.</w:t>
            </w:r>
          </w:p>
          <w:p w:rsidR="0068141C" w:rsidRPr="00A64329" w:rsidRDefault="0068141C" w:rsidP="0068141C">
            <w:r>
              <w:rPr>
                <w:sz w:val="22"/>
                <w:szCs w:val="22"/>
              </w:rPr>
              <w:t>Navedena šema podrazumijeva</w:t>
            </w:r>
            <w:r w:rsidRPr="00A64329">
              <w:rPr>
                <w:sz w:val="22"/>
                <w:szCs w:val="22"/>
              </w:rPr>
              <w:t xml:space="preserve"> da se očekuju dalji podaci o ovom medicinskom proizvodu.</w:t>
            </w:r>
          </w:p>
          <w:p w:rsidR="0068141C" w:rsidRPr="00A64329" w:rsidRDefault="0068141C" w:rsidP="0068141C">
            <w:r w:rsidRPr="00A64329">
              <w:rPr>
                <w:sz w:val="22"/>
                <w:szCs w:val="22"/>
              </w:rPr>
              <w:t>Evropska agencija za l</w:t>
            </w:r>
            <w:r>
              <w:rPr>
                <w:sz w:val="22"/>
                <w:szCs w:val="22"/>
              </w:rPr>
              <w:t>ij</w:t>
            </w:r>
            <w:r w:rsidRPr="00A64329">
              <w:rPr>
                <w:sz w:val="22"/>
                <w:szCs w:val="22"/>
              </w:rPr>
              <w:t xml:space="preserve">ekove (EMEA) će </w:t>
            </w:r>
            <w:r>
              <w:rPr>
                <w:sz w:val="22"/>
                <w:szCs w:val="22"/>
              </w:rPr>
              <w:t>svake godine razmotriti</w:t>
            </w:r>
            <w:r w:rsidRPr="00A64329">
              <w:rPr>
                <w:sz w:val="22"/>
                <w:szCs w:val="22"/>
              </w:rPr>
              <w:t xml:space="preserve"> nove</w:t>
            </w:r>
            <w:r>
              <w:rPr>
                <w:sz w:val="22"/>
                <w:szCs w:val="22"/>
              </w:rPr>
              <w:t xml:space="preserve"> informacije o lijeku, uz neophodnu korekciju Sažet</w:t>
            </w:r>
            <w:r w:rsidRPr="00A64329">
              <w:rPr>
                <w:sz w:val="22"/>
                <w:szCs w:val="22"/>
              </w:rPr>
              <w:t>k</w:t>
            </w:r>
            <w:r>
              <w:rPr>
                <w:sz w:val="22"/>
                <w:szCs w:val="22"/>
              </w:rPr>
              <w:t>a</w:t>
            </w:r>
            <w:r w:rsidRPr="00A64329">
              <w:rPr>
                <w:sz w:val="22"/>
                <w:szCs w:val="22"/>
              </w:rPr>
              <w:t xml:space="preserve"> karakteristika l</w:t>
            </w:r>
            <w:r>
              <w:rPr>
                <w:sz w:val="22"/>
                <w:szCs w:val="22"/>
              </w:rPr>
              <w:t>ijeka prema potrebi</w:t>
            </w:r>
            <w:r w:rsidRPr="00A64329">
              <w:rPr>
                <w:sz w:val="22"/>
                <w:szCs w:val="22"/>
              </w:rPr>
              <w:t>.</w:t>
            </w:r>
          </w:p>
          <w:p w:rsidR="0068141C" w:rsidRPr="00A64329" w:rsidRDefault="0068141C" w:rsidP="0068141C"/>
          <w:p w:rsidR="0068141C" w:rsidRPr="00821683" w:rsidRDefault="0068141C" w:rsidP="0068141C">
            <w:pPr>
              <w:rPr>
                <w:i/>
                <w:iCs/>
              </w:rPr>
            </w:pPr>
            <w:r w:rsidRPr="00821683">
              <w:rPr>
                <w:i/>
                <w:iCs/>
                <w:sz w:val="22"/>
                <w:szCs w:val="22"/>
              </w:rPr>
              <w:t>Mehanizam dejstva</w:t>
            </w:r>
          </w:p>
          <w:p w:rsidR="0068141C" w:rsidRPr="00A64329" w:rsidRDefault="0068141C" w:rsidP="0068141C"/>
          <w:p w:rsidR="0068141C" w:rsidRPr="00A64329" w:rsidRDefault="0068141C" w:rsidP="0068141C">
            <w:r w:rsidRPr="00A64329">
              <w:rPr>
                <w:sz w:val="22"/>
                <w:szCs w:val="22"/>
              </w:rPr>
              <w:t>Lapatinib</w:t>
            </w:r>
            <w:r>
              <w:rPr>
                <w:sz w:val="22"/>
                <w:szCs w:val="22"/>
              </w:rPr>
              <w:t>, 4-anilinohinazolin</w:t>
            </w:r>
            <w:r w:rsidRPr="00A64329">
              <w:rPr>
                <w:sz w:val="22"/>
                <w:szCs w:val="22"/>
              </w:rPr>
              <w:t xml:space="preserve"> je inhibitor int</w:t>
            </w:r>
            <w:r>
              <w:rPr>
                <w:sz w:val="22"/>
                <w:szCs w:val="22"/>
              </w:rPr>
              <w:t>racelularne tirozin kinaze sa dejstvom na</w:t>
            </w:r>
            <w:r w:rsidRPr="00A64329">
              <w:rPr>
                <w:sz w:val="22"/>
                <w:szCs w:val="22"/>
              </w:rPr>
              <w:t xml:space="preserve"> o</w:t>
            </w:r>
            <w:r w:rsidRPr="00B34945">
              <w:rPr>
                <w:sz w:val="22"/>
                <w:szCs w:val="22"/>
              </w:rPr>
              <w:t>ba,</w:t>
            </w:r>
            <w:r>
              <w:rPr>
                <w:sz w:val="22"/>
                <w:szCs w:val="22"/>
              </w:rPr>
              <w:t xml:space="preserve"> </w:t>
            </w:r>
            <w:r w:rsidRPr="00A64329">
              <w:rPr>
                <w:sz w:val="22"/>
                <w:szCs w:val="22"/>
              </w:rPr>
              <w:t xml:space="preserve">EGFR </w:t>
            </w:r>
            <w:r>
              <w:rPr>
                <w:sz w:val="22"/>
                <w:szCs w:val="22"/>
              </w:rPr>
              <w:t xml:space="preserve">(ErbB1) i </w:t>
            </w:r>
            <w:r w:rsidRPr="000576F1">
              <w:rPr>
                <w:sz w:val="22"/>
                <w:szCs w:val="22"/>
              </w:rPr>
              <w:t>HER2 (ErbB2)</w:t>
            </w:r>
            <w:r>
              <w:rPr>
                <w:sz w:val="22"/>
                <w:szCs w:val="22"/>
              </w:rPr>
              <w:t xml:space="preserve"> receptor</w:t>
            </w:r>
            <w:r w:rsidRPr="00B83BB3">
              <w:rPr>
                <w:color w:val="000000"/>
                <w:sz w:val="22"/>
                <w:szCs w:val="22"/>
              </w:rPr>
              <w:t>a</w:t>
            </w:r>
            <w:r w:rsidRPr="00A64329">
              <w:rPr>
                <w:sz w:val="22"/>
                <w:szCs w:val="22"/>
              </w:rPr>
              <w:t xml:space="preserve"> (proc</w:t>
            </w:r>
            <w:r>
              <w:rPr>
                <w:sz w:val="22"/>
                <w:szCs w:val="22"/>
              </w:rPr>
              <w:t>j</w:t>
            </w:r>
            <w:r w:rsidRPr="00A64329">
              <w:rPr>
                <w:sz w:val="22"/>
                <w:szCs w:val="22"/>
              </w:rPr>
              <w:t>enjene vr</w:t>
            </w:r>
            <w:r>
              <w:rPr>
                <w:sz w:val="22"/>
                <w:szCs w:val="22"/>
              </w:rPr>
              <w:t>ij</w:t>
            </w:r>
            <w:r w:rsidRPr="00A64329">
              <w:rPr>
                <w:sz w:val="22"/>
                <w:szCs w:val="22"/>
              </w:rPr>
              <w:t>ednosti Ki</w:t>
            </w:r>
            <w:r w:rsidRPr="000D4444">
              <w:rPr>
                <w:sz w:val="22"/>
                <w:szCs w:val="22"/>
                <w:vertAlign w:val="superscript"/>
              </w:rPr>
              <w:t>app</w:t>
            </w:r>
            <w:r>
              <w:rPr>
                <w:sz w:val="22"/>
                <w:szCs w:val="22"/>
              </w:rPr>
              <w:t xml:space="preserve"> 3nM i 13nM, respektivno), sa sporim oslobađanjem </w:t>
            </w:r>
            <w:r w:rsidRPr="00B83BB3">
              <w:rPr>
                <w:color w:val="000000"/>
                <w:sz w:val="22"/>
                <w:szCs w:val="22"/>
              </w:rPr>
              <w:t>sa</w:t>
            </w:r>
            <w:r>
              <w:rPr>
                <w:sz w:val="22"/>
                <w:szCs w:val="22"/>
              </w:rPr>
              <w:t xml:space="preserve"> navedenih</w:t>
            </w:r>
            <w:r w:rsidRPr="00A64329">
              <w:rPr>
                <w:sz w:val="22"/>
                <w:szCs w:val="22"/>
              </w:rPr>
              <w:t xml:space="preserve"> r</w:t>
            </w:r>
            <w:r>
              <w:rPr>
                <w:sz w:val="22"/>
                <w:szCs w:val="22"/>
              </w:rPr>
              <w:t>e</w:t>
            </w:r>
            <w:r w:rsidRPr="00A64329">
              <w:rPr>
                <w:sz w:val="22"/>
                <w:szCs w:val="22"/>
              </w:rPr>
              <w:t>ceptora (</w:t>
            </w:r>
            <w:r>
              <w:rPr>
                <w:sz w:val="22"/>
                <w:szCs w:val="22"/>
              </w:rPr>
              <w:t>poluvrijeme eliminacije duži ili jednak 300 minuta</w:t>
            </w:r>
            <w:r w:rsidRPr="00A64329">
              <w:rPr>
                <w:sz w:val="22"/>
                <w:szCs w:val="22"/>
              </w:rPr>
              <w:t>). Lapatinib inhibir</w:t>
            </w:r>
            <w:r>
              <w:rPr>
                <w:sz w:val="22"/>
                <w:szCs w:val="22"/>
              </w:rPr>
              <w:t>a ErbB-posredovan rast tumorskih ćelija</w:t>
            </w:r>
            <w:r w:rsidRPr="00A64329">
              <w:rPr>
                <w:sz w:val="22"/>
                <w:szCs w:val="22"/>
              </w:rPr>
              <w:t xml:space="preserve">, </w:t>
            </w:r>
            <w:r>
              <w:rPr>
                <w:sz w:val="22"/>
                <w:szCs w:val="22"/>
              </w:rPr>
              <w:t xml:space="preserve">u </w:t>
            </w:r>
            <w:r w:rsidRPr="00977F0A">
              <w:rPr>
                <w:i/>
                <w:iCs/>
                <w:sz w:val="22"/>
                <w:szCs w:val="22"/>
              </w:rPr>
              <w:t>in vitro</w:t>
            </w:r>
            <w:r w:rsidRPr="00A64329">
              <w:rPr>
                <w:sz w:val="22"/>
                <w:szCs w:val="22"/>
              </w:rPr>
              <w:t xml:space="preserve"> </w:t>
            </w:r>
            <w:r>
              <w:rPr>
                <w:sz w:val="22"/>
                <w:szCs w:val="22"/>
              </w:rPr>
              <w:t xml:space="preserve">uslovima </w:t>
            </w:r>
            <w:r w:rsidRPr="00A64329">
              <w:rPr>
                <w:sz w:val="22"/>
                <w:szCs w:val="22"/>
              </w:rPr>
              <w:t xml:space="preserve">i u različitim životinjskim modelima.   </w:t>
            </w:r>
          </w:p>
          <w:p w:rsidR="0068141C" w:rsidRPr="00A64329" w:rsidRDefault="0068141C" w:rsidP="0068141C"/>
          <w:p w:rsidR="0068141C" w:rsidRPr="00A64329" w:rsidRDefault="0068141C" w:rsidP="0068141C">
            <w:r>
              <w:rPr>
                <w:sz w:val="22"/>
                <w:szCs w:val="22"/>
              </w:rPr>
              <w:t>Inhibitorna</w:t>
            </w:r>
            <w:r w:rsidRPr="007364A2">
              <w:rPr>
                <w:sz w:val="22"/>
                <w:szCs w:val="22"/>
              </w:rPr>
              <w:t xml:space="preserve"> dej</w:t>
            </w:r>
            <w:r>
              <w:rPr>
                <w:sz w:val="22"/>
                <w:szCs w:val="22"/>
              </w:rPr>
              <w:t>stva lapatiniba na rast ćelija procijenjena su na</w:t>
            </w:r>
            <w:r w:rsidRPr="007364A2">
              <w:rPr>
                <w:sz w:val="22"/>
                <w:szCs w:val="22"/>
              </w:rPr>
              <w:t xml:space="preserve"> ćelijskim</w:t>
            </w:r>
            <w:r>
              <w:rPr>
                <w:sz w:val="22"/>
                <w:szCs w:val="22"/>
              </w:rPr>
              <w:t xml:space="preserve"> linijama tretiranim</w:t>
            </w:r>
            <w:r w:rsidRPr="007364A2">
              <w:rPr>
                <w:sz w:val="22"/>
                <w:szCs w:val="22"/>
              </w:rPr>
              <w:t xml:space="preserve"> trastuzumab</w:t>
            </w:r>
            <w:r>
              <w:rPr>
                <w:sz w:val="22"/>
                <w:szCs w:val="22"/>
              </w:rPr>
              <w:t xml:space="preserve">om. Lapatinib je zadržao </w:t>
            </w:r>
            <w:r w:rsidRPr="00A64329">
              <w:rPr>
                <w:sz w:val="22"/>
                <w:szCs w:val="22"/>
              </w:rPr>
              <w:t xml:space="preserve">značajan stepen aktivnosti </w:t>
            </w:r>
            <w:r>
              <w:rPr>
                <w:sz w:val="22"/>
                <w:szCs w:val="22"/>
              </w:rPr>
              <w:t>protiv ćelijskih kultura karcinoma dojke,</w:t>
            </w:r>
            <w:r w:rsidRPr="00A64329">
              <w:rPr>
                <w:sz w:val="22"/>
                <w:szCs w:val="22"/>
              </w:rPr>
              <w:t xml:space="preserve"> </w:t>
            </w:r>
            <w:r>
              <w:rPr>
                <w:sz w:val="22"/>
                <w:szCs w:val="22"/>
              </w:rPr>
              <w:t>izolovanih u cilju dugoročnog</w:t>
            </w:r>
            <w:r w:rsidRPr="00A64329">
              <w:rPr>
                <w:sz w:val="22"/>
                <w:szCs w:val="22"/>
              </w:rPr>
              <w:t xml:space="preserve"> </w:t>
            </w:r>
            <w:r>
              <w:rPr>
                <w:sz w:val="22"/>
                <w:szCs w:val="22"/>
              </w:rPr>
              <w:t>kultivisanja</w:t>
            </w:r>
            <w:r w:rsidRPr="00A64329">
              <w:rPr>
                <w:sz w:val="22"/>
                <w:szCs w:val="22"/>
              </w:rPr>
              <w:t xml:space="preserve"> u medijumu koji sadrži trastuzumab</w:t>
            </w:r>
            <w:r>
              <w:rPr>
                <w:sz w:val="22"/>
                <w:szCs w:val="22"/>
              </w:rPr>
              <w:t>, u</w:t>
            </w:r>
            <w:r w:rsidRPr="00A64329">
              <w:rPr>
                <w:sz w:val="22"/>
                <w:szCs w:val="22"/>
              </w:rPr>
              <w:t xml:space="preserve"> </w:t>
            </w:r>
            <w:r w:rsidRPr="007364A2">
              <w:rPr>
                <w:i/>
                <w:iCs/>
                <w:sz w:val="22"/>
                <w:szCs w:val="22"/>
              </w:rPr>
              <w:t>in vitro</w:t>
            </w:r>
            <w:r>
              <w:rPr>
                <w:sz w:val="22"/>
                <w:szCs w:val="22"/>
              </w:rPr>
              <w:t xml:space="preserve"> uslovima</w:t>
            </w:r>
            <w:r w:rsidRPr="00A64329">
              <w:rPr>
                <w:sz w:val="22"/>
                <w:szCs w:val="22"/>
              </w:rPr>
              <w:t xml:space="preserve">.    </w:t>
            </w:r>
          </w:p>
          <w:p w:rsidR="0068141C" w:rsidRPr="00A64329" w:rsidRDefault="0068141C" w:rsidP="0068141C"/>
          <w:p w:rsidR="0068141C" w:rsidRDefault="0068141C" w:rsidP="0068141C">
            <w:pPr>
              <w:rPr>
                <w:i/>
                <w:iCs/>
                <w:sz w:val="22"/>
                <w:szCs w:val="22"/>
              </w:rPr>
            </w:pPr>
            <w:r>
              <w:rPr>
                <w:i/>
                <w:iCs/>
                <w:sz w:val="22"/>
                <w:szCs w:val="22"/>
              </w:rPr>
              <w:t>Klinička ispitivanja</w:t>
            </w:r>
          </w:p>
          <w:p w:rsidR="0068141C" w:rsidRDefault="0068141C" w:rsidP="0068141C">
            <w:pPr>
              <w:rPr>
                <w:i/>
                <w:iCs/>
                <w:sz w:val="22"/>
                <w:szCs w:val="22"/>
              </w:rPr>
            </w:pPr>
          </w:p>
          <w:p w:rsidR="0068141C" w:rsidRPr="007364A2" w:rsidRDefault="0068141C" w:rsidP="0068141C">
            <w:pPr>
              <w:rPr>
                <w:i/>
                <w:iCs/>
              </w:rPr>
            </w:pPr>
            <w:r>
              <w:rPr>
                <w:i/>
                <w:iCs/>
                <w:sz w:val="22"/>
                <w:szCs w:val="22"/>
              </w:rPr>
              <w:t>Kombinovana terapija lijeka</w:t>
            </w:r>
            <w:r w:rsidRPr="00FE58ED">
              <w:rPr>
                <w:sz w:val="22"/>
                <w:szCs w:val="22"/>
              </w:rPr>
              <w:t xml:space="preserve"> </w:t>
            </w:r>
            <w:r w:rsidRPr="00FE58ED">
              <w:rPr>
                <w:i/>
                <w:iCs/>
                <w:sz w:val="22"/>
                <w:szCs w:val="22"/>
              </w:rPr>
              <w:t>Tyverb</w:t>
            </w:r>
            <w:r w:rsidRPr="00FE58ED">
              <w:rPr>
                <w:i/>
                <w:iCs/>
                <w:sz w:val="22"/>
                <w:szCs w:val="22"/>
                <w:vertAlign w:val="superscript"/>
              </w:rPr>
              <w:t>®</w:t>
            </w:r>
            <w:r>
              <w:rPr>
                <w:i/>
                <w:iCs/>
                <w:sz w:val="22"/>
                <w:szCs w:val="22"/>
              </w:rPr>
              <w:t xml:space="preserve"> i kapecitabina</w:t>
            </w:r>
          </w:p>
          <w:p w:rsidR="0068141C" w:rsidRPr="00A64329" w:rsidRDefault="0068141C" w:rsidP="0068141C"/>
          <w:p w:rsidR="0068141C" w:rsidRPr="00A64329" w:rsidRDefault="0068141C" w:rsidP="0068141C">
            <w:r w:rsidRPr="00A64329">
              <w:rPr>
                <w:sz w:val="22"/>
                <w:szCs w:val="22"/>
              </w:rPr>
              <w:t>Efikasnost i bezb</w:t>
            </w:r>
            <w:r>
              <w:rPr>
                <w:sz w:val="22"/>
                <w:szCs w:val="22"/>
              </w:rPr>
              <w:t>j</w:t>
            </w:r>
            <w:r w:rsidRPr="00A64329">
              <w:rPr>
                <w:sz w:val="22"/>
                <w:szCs w:val="22"/>
              </w:rPr>
              <w:t xml:space="preserve">ednost </w:t>
            </w:r>
            <w:r>
              <w:rPr>
                <w:sz w:val="22"/>
                <w:szCs w:val="22"/>
              </w:rPr>
              <w:t>primjene</w:t>
            </w:r>
            <w:r w:rsidRPr="000576F1">
              <w:rPr>
                <w:sz w:val="22"/>
                <w:szCs w:val="22"/>
              </w:rPr>
              <w:t xml:space="preserve"> lijeka Tyverb</w:t>
            </w:r>
            <w:r w:rsidRPr="000576F1">
              <w:rPr>
                <w:sz w:val="22"/>
                <w:szCs w:val="22"/>
                <w:vertAlign w:val="superscript"/>
              </w:rPr>
              <w:t>®</w:t>
            </w:r>
            <w:r>
              <w:rPr>
                <w:sz w:val="22"/>
                <w:szCs w:val="22"/>
              </w:rPr>
              <w:t xml:space="preserve"> u kombinovanoj terapiji sa kapecitabinom</w:t>
            </w:r>
            <w:r w:rsidRPr="00A64329">
              <w:rPr>
                <w:sz w:val="22"/>
                <w:szCs w:val="22"/>
              </w:rPr>
              <w:t xml:space="preserve"> </w:t>
            </w:r>
            <w:r>
              <w:rPr>
                <w:sz w:val="22"/>
                <w:szCs w:val="22"/>
              </w:rPr>
              <w:t>procijenjeni</w:t>
            </w:r>
            <w:r w:rsidRPr="00A64329">
              <w:rPr>
                <w:sz w:val="22"/>
                <w:szCs w:val="22"/>
              </w:rPr>
              <w:t xml:space="preserve"> su u </w:t>
            </w:r>
            <w:r>
              <w:rPr>
                <w:sz w:val="22"/>
                <w:szCs w:val="22"/>
              </w:rPr>
              <w:t>fazi</w:t>
            </w:r>
            <w:r w:rsidRPr="00A64329">
              <w:rPr>
                <w:sz w:val="22"/>
                <w:szCs w:val="22"/>
              </w:rPr>
              <w:t xml:space="preserve"> III </w:t>
            </w:r>
            <w:r>
              <w:rPr>
                <w:sz w:val="22"/>
                <w:szCs w:val="22"/>
              </w:rPr>
              <w:t>randomizovanog ispitivanja</w:t>
            </w:r>
            <w:r w:rsidRPr="00A64329">
              <w:rPr>
                <w:sz w:val="22"/>
                <w:szCs w:val="22"/>
              </w:rPr>
              <w:t xml:space="preserve"> kod p</w:t>
            </w:r>
            <w:r>
              <w:rPr>
                <w:sz w:val="22"/>
                <w:szCs w:val="22"/>
              </w:rPr>
              <w:t xml:space="preserve">acijenata oboljelih od karcinoma dojke, sa zadovoljavajućim </w:t>
            </w:r>
            <w:r w:rsidRPr="00B83BB3">
              <w:rPr>
                <w:color w:val="000000"/>
                <w:sz w:val="22"/>
                <w:szCs w:val="22"/>
              </w:rPr>
              <w:t xml:space="preserve">performans statusom. </w:t>
            </w:r>
            <w:r w:rsidRPr="00A64329">
              <w:rPr>
                <w:sz w:val="22"/>
                <w:szCs w:val="22"/>
              </w:rPr>
              <w:t>Pacijenti koji su is</w:t>
            </w:r>
            <w:r>
              <w:rPr>
                <w:sz w:val="22"/>
                <w:szCs w:val="22"/>
              </w:rPr>
              <w:t xml:space="preserve">punjavali uslove za uključenje u ispitivanje imali su </w:t>
            </w:r>
            <w:r w:rsidRPr="00B83BB3">
              <w:rPr>
                <w:color w:val="000000"/>
                <w:sz w:val="22"/>
                <w:szCs w:val="22"/>
              </w:rPr>
              <w:t>lokalno uznapredovali ili metastatski karcinom dojke, sa prekom</w:t>
            </w:r>
            <w:r>
              <w:rPr>
                <w:color w:val="000000"/>
                <w:sz w:val="22"/>
                <w:szCs w:val="22"/>
              </w:rPr>
              <w:t>j</w:t>
            </w:r>
            <w:r w:rsidRPr="00B83BB3">
              <w:rPr>
                <w:color w:val="000000"/>
                <w:sz w:val="22"/>
                <w:szCs w:val="22"/>
              </w:rPr>
              <w:t>ernom</w:t>
            </w:r>
            <w:r>
              <w:rPr>
                <w:color w:val="000000"/>
                <w:sz w:val="22"/>
                <w:szCs w:val="22"/>
              </w:rPr>
              <w:t xml:space="preserve"> </w:t>
            </w:r>
            <w:r w:rsidRPr="00B83BB3">
              <w:rPr>
                <w:color w:val="000000"/>
                <w:sz w:val="22"/>
                <w:szCs w:val="22"/>
              </w:rPr>
              <w:t>(HER2) ekspresijom, koji je progredirao</w:t>
            </w:r>
            <w:r>
              <w:rPr>
                <w:sz w:val="22"/>
                <w:szCs w:val="22"/>
              </w:rPr>
              <w:t xml:space="preserve"> </w:t>
            </w:r>
            <w:r w:rsidRPr="00A64329">
              <w:rPr>
                <w:sz w:val="22"/>
                <w:szCs w:val="22"/>
              </w:rPr>
              <w:t>n</w:t>
            </w:r>
            <w:r>
              <w:rPr>
                <w:sz w:val="22"/>
                <w:szCs w:val="22"/>
              </w:rPr>
              <w:t>akon prethodno primijenjene terapije taksanom, antraciklinima i trastuzumabom</w:t>
            </w:r>
            <w:r w:rsidRPr="00A64329">
              <w:rPr>
                <w:sz w:val="22"/>
                <w:szCs w:val="22"/>
              </w:rPr>
              <w:t xml:space="preserve">. </w:t>
            </w:r>
            <w:r>
              <w:rPr>
                <w:sz w:val="22"/>
                <w:szCs w:val="22"/>
              </w:rPr>
              <w:t>K</w:t>
            </w:r>
            <w:r w:rsidRPr="00A64329">
              <w:rPr>
                <w:sz w:val="22"/>
                <w:szCs w:val="22"/>
              </w:rPr>
              <w:t xml:space="preserve">od svih pacijenata </w:t>
            </w:r>
            <w:r>
              <w:rPr>
                <w:sz w:val="22"/>
                <w:szCs w:val="22"/>
              </w:rPr>
              <w:t>procijenjena je vrijednost LVEF</w:t>
            </w:r>
            <w:r w:rsidRPr="00A64329">
              <w:rPr>
                <w:sz w:val="22"/>
                <w:szCs w:val="22"/>
              </w:rPr>
              <w:t xml:space="preserve"> </w:t>
            </w:r>
            <w:r>
              <w:rPr>
                <w:sz w:val="22"/>
                <w:szCs w:val="22"/>
              </w:rPr>
              <w:t>(primjenom</w:t>
            </w:r>
            <w:r w:rsidRPr="00A64329">
              <w:rPr>
                <w:sz w:val="22"/>
                <w:szCs w:val="22"/>
              </w:rPr>
              <w:t xml:space="preserve"> ehokardiograma ili MUGA) pr</w:t>
            </w:r>
            <w:r>
              <w:rPr>
                <w:sz w:val="22"/>
                <w:szCs w:val="22"/>
              </w:rPr>
              <w:t>ij</w:t>
            </w:r>
            <w:r w:rsidRPr="00A64329">
              <w:rPr>
                <w:sz w:val="22"/>
                <w:szCs w:val="22"/>
              </w:rPr>
              <w:t xml:space="preserve">e započinjanja </w:t>
            </w:r>
            <w:r>
              <w:rPr>
                <w:sz w:val="22"/>
                <w:szCs w:val="22"/>
              </w:rPr>
              <w:t>terapije</w:t>
            </w:r>
            <w:r w:rsidRPr="00A64329">
              <w:rPr>
                <w:sz w:val="22"/>
                <w:szCs w:val="22"/>
              </w:rPr>
              <w:t xml:space="preserve"> </w:t>
            </w:r>
            <w:r w:rsidRPr="000576F1">
              <w:rPr>
                <w:sz w:val="22"/>
                <w:szCs w:val="22"/>
              </w:rPr>
              <w:t>lijekom Tyverb</w:t>
            </w:r>
            <w:r w:rsidRPr="00225231">
              <w:rPr>
                <w:sz w:val="22"/>
                <w:szCs w:val="22"/>
                <w:vertAlign w:val="superscript"/>
              </w:rPr>
              <w:t>®</w:t>
            </w:r>
            <w:r w:rsidRPr="00A64329">
              <w:rPr>
                <w:sz w:val="22"/>
                <w:szCs w:val="22"/>
              </w:rPr>
              <w:t xml:space="preserve">, kako bi se </w:t>
            </w:r>
            <w:r>
              <w:rPr>
                <w:sz w:val="22"/>
                <w:szCs w:val="22"/>
              </w:rPr>
              <w:t>obezbijedilo da se osnovne vrijednosti LVEF nalaze unutar</w:t>
            </w:r>
            <w:r w:rsidRPr="00A64329">
              <w:rPr>
                <w:sz w:val="22"/>
                <w:szCs w:val="22"/>
              </w:rPr>
              <w:t xml:space="preserve"> granica normalnih vr</w:t>
            </w:r>
            <w:r>
              <w:rPr>
                <w:sz w:val="22"/>
                <w:szCs w:val="22"/>
              </w:rPr>
              <w:t>ij</w:t>
            </w:r>
            <w:r w:rsidRPr="00A64329">
              <w:rPr>
                <w:sz w:val="22"/>
                <w:szCs w:val="22"/>
              </w:rPr>
              <w:t xml:space="preserve">ednosti. U </w:t>
            </w:r>
            <w:r>
              <w:rPr>
                <w:sz w:val="22"/>
                <w:szCs w:val="22"/>
              </w:rPr>
              <w:t xml:space="preserve">okviru kliničkih ispitivanja </w:t>
            </w:r>
            <w:r w:rsidRPr="00A64329">
              <w:rPr>
                <w:sz w:val="22"/>
                <w:szCs w:val="22"/>
              </w:rPr>
              <w:t>pr</w:t>
            </w:r>
            <w:r>
              <w:rPr>
                <w:sz w:val="22"/>
                <w:szCs w:val="22"/>
              </w:rPr>
              <w:t>aćene su</w:t>
            </w:r>
            <w:r w:rsidRPr="00A64329">
              <w:rPr>
                <w:sz w:val="22"/>
                <w:szCs w:val="22"/>
              </w:rPr>
              <w:t xml:space="preserve"> </w:t>
            </w:r>
            <w:r>
              <w:rPr>
                <w:sz w:val="22"/>
                <w:szCs w:val="22"/>
              </w:rPr>
              <w:t xml:space="preserve">vrijednosti LVEF tokom primjene </w:t>
            </w:r>
            <w:r w:rsidRPr="000576F1">
              <w:rPr>
                <w:sz w:val="22"/>
                <w:szCs w:val="22"/>
              </w:rPr>
              <w:t>lijeka Tyverb</w:t>
            </w:r>
            <w:r w:rsidRPr="000576F1">
              <w:rPr>
                <w:sz w:val="22"/>
                <w:szCs w:val="22"/>
                <w:vertAlign w:val="superscript"/>
              </w:rPr>
              <w:t>®</w:t>
            </w:r>
            <w:r>
              <w:rPr>
                <w:sz w:val="22"/>
                <w:szCs w:val="22"/>
              </w:rPr>
              <w:t xml:space="preserve"> u vremenskim intervalima od približno osam nedjelja</w:t>
            </w:r>
            <w:r w:rsidRPr="00A64329">
              <w:rPr>
                <w:sz w:val="22"/>
                <w:szCs w:val="22"/>
              </w:rPr>
              <w:t>,</w:t>
            </w:r>
            <w:r>
              <w:rPr>
                <w:sz w:val="22"/>
                <w:szCs w:val="22"/>
              </w:rPr>
              <w:t xml:space="preserve"> kako bi se obezbjedilo da navedene vrijednosti ne padnu ispod ustanovljene donje granice</w:t>
            </w:r>
            <w:r w:rsidRPr="00A64329">
              <w:rPr>
                <w:sz w:val="22"/>
                <w:szCs w:val="22"/>
              </w:rPr>
              <w:t xml:space="preserve"> refe</w:t>
            </w:r>
            <w:r>
              <w:rPr>
                <w:sz w:val="22"/>
                <w:szCs w:val="22"/>
              </w:rPr>
              <w:t>rentnih vrijednosti. Većina smanjenja vrijednosti LVEF</w:t>
            </w:r>
            <w:r w:rsidRPr="00A64329">
              <w:rPr>
                <w:sz w:val="22"/>
                <w:szCs w:val="22"/>
              </w:rPr>
              <w:t xml:space="preserve"> (više od 60%) uočena je tokom prvih deve</w:t>
            </w:r>
            <w:r>
              <w:rPr>
                <w:sz w:val="22"/>
                <w:szCs w:val="22"/>
              </w:rPr>
              <w:t xml:space="preserve">t nedjelja liječenja, </w:t>
            </w:r>
            <w:r w:rsidRPr="00A64329">
              <w:rPr>
                <w:sz w:val="22"/>
                <w:szCs w:val="22"/>
              </w:rPr>
              <w:t>međut</w:t>
            </w:r>
            <w:r>
              <w:rPr>
                <w:sz w:val="22"/>
                <w:szCs w:val="22"/>
              </w:rPr>
              <w:t>im dostupni podaci o dugoročnom izlaganju dejstvu lijeka su</w:t>
            </w:r>
            <w:r w:rsidRPr="00A64329">
              <w:rPr>
                <w:sz w:val="22"/>
                <w:szCs w:val="22"/>
              </w:rPr>
              <w:t xml:space="preserve"> ograničeni. </w:t>
            </w:r>
          </w:p>
          <w:p w:rsidR="0068141C" w:rsidRPr="00A64329" w:rsidRDefault="0068141C" w:rsidP="0068141C"/>
          <w:p w:rsidR="0068141C" w:rsidRPr="00A64329" w:rsidRDefault="0068141C" w:rsidP="0068141C">
            <w:r w:rsidRPr="00A64329">
              <w:rPr>
                <w:sz w:val="22"/>
                <w:szCs w:val="22"/>
              </w:rPr>
              <w:t>Pacijenti su</w:t>
            </w:r>
            <w:r>
              <w:rPr>
                <w:sz w:val="22"/>
                <w:szCs w:val="22"/>
              </w:rPr>
              <w:t xml:space="preserve"> randomizovani u grupu u kojoj se primjenjuje</w:t>
            </w:r>
            <w:r w:rsidRPr="00A64329">
              <w:rPr>
                <w:sz w:val="22"/>
                <w:szCs w:val="22"/>
              </w:rPr>
              <w:t xml:space="preserve"> </w:t>
            </w:r>
            <w:r w:rsidRPr="000576F1">
              <w:rPr>
                <w:sz w:val="22"/>
                <w:szCs w:val="22"/>
              </w:rPr>
              <w:t>lijek Tyverb</w:t>
            </w:r>
            <w:r w:rsidRPr="000576F1">
              <w:rPr>
                <w:sz w:val="22"/>
                <w:szCs w:val="22"/>
                <w:vertAlign w:val="superscript"/>
              </w:rPr>
              <w:t>®</w:t>
            </w:r>
            <w:r>
              <w:rPr>
                <w:sz w:val="22"/>
                <w:szCs w:val="22"/>
              </w:rPr>
              <w:t xml:space="preserve"> u dozi od 1250mg jednom dnevno (u kontinuitetu) u kombinovanoj terapiji sa</w:t>
            </w:r>
            <w:r w:rsidRPr="00A64329">
              <w:rPr>
                <w:sz w:val="22"/>
                <w:szCs w:val="22"/>
              </w:rPr>
              <w:t xml:space="preserve"> kapecitabin</w:t>
            </w:r>
            <w:r>
              <w:rPr>
                <w:sz w:val="22"/>
                <w:szCs w:val="22"/>
              </w:rPr>
              <w:t>om (u dozi od 2000mg</w:t>
            </w:r>
            <w:r w:rsidRPr="00A64329">
              <w:rPr>
                <w:sz w:val="22"/>
                <w:szCs w:val="22"/>
              </w:rPr>
              <w:t>/m</w:t>
            </w:r>
            <w:r w:rsidRPr="003E1D0D">
              <w:rPr>
                <w:sz w:val="22"/>
                <w:szCs w:val="22"/>
                <w:vertAlign w:val="superscript"/>
              </w:rPr>
              <w:t>2</w:t>
            </w:r>
            <w:r>
              <w:rPr>
                <w:sz w:val="22"/>
                <w:szCs w:val="22"/>
              </w:rPr>
              <w:t xml:space="preserve">/dnevno, od 1. do </w:t>
            </w:r>
            <w:r w:rsidRPr="00A64329">
              <w:rPr>
                <w:sz w:val="22"/>
                <w:szCs w:val="22"/>
              </w:rPr>
              <w:t>14. dana, sv</w:t>
            </w:r>
            <w:r>
              <w:rPr>
                <w:sz w:val="22"/>
                <w:szCs w:val="22"/>
              </w:rPr>
              <w:t>akih 21 dan), ili u grupu u kojoj se primjenjuje</w:t>
            </w:r>
            <w:r w:rsidRPr="00A64329">
              <w:rPr>
                <w:sz w:val="22"/>
                <w:szCs w:val="22"/>
              </w:rPr>
              <w:t xml:space="preserve"> kapecitabin</w:t>
            </w:r>
            <w:r>
              <w:rPr>
                <w:sz w:val="22"/>
                <w:szCs w:val="22"/>
              </w:rPr>
              <w:t xml:space="preserve"> u monoterapiji (2500mg</w:t>
            </w:r>
            <w:r w:rsidRPr="00A64329">
              <w:rPr>
                <w:sz w:val="22"/>
                <w:szCs w:val="22"/>
              </w:rPr>
              <w:t>/m</w:t>
            </w:r>
            <w:r w:rsidRPr="003E1D0D">
              <w:rPr>
                <w:sz w:val="22"/>
                <w:szCs w:val="22"/>
                <w:vertAlign w:val="superscript"/>
              </w:rPr>
              <w:t>2</w:t>
            </w:r>
            <w:r>
              <w:rPr>
                <w:sz w:val="22"/>
                <w:szCs w:val="22"/>
              </w:rPr>
              <w:t>/d</w:t>
            </w:r>
            <w:r w:rsidRPr="00A64329">
              <w:rPr>
                <w:sz w:val="22"/>
                <w:szCs w:val="22"/>
              </w:rPr>
              <w:t>n</w:t>
            </w:r>
            <w:r>
              <w:rPr>
                <w:sz w:val="22"/>
                <w:szCs w:val="22"/>
              </w:rPr>
              <w:t>evno</w:t>
            </w:r>
            <w:r w:rsidRPr="00A64329">
              <w:rPr>
                <w:sz w:val="22"/>
                <w:szCs w:val="22"/>
              </w:rPr>
              <w:t>, od 1. do 14. dana, svak</w:t>
            </w:r>
            <w:r>
              <w:rPr>
                <w:sz w:val="22"/>
                <w:szCs w:val="22"/>
              </w:rPr>
              <w:t xml:space="preserve">ih 21 dan). Primarni cilj </w:t>
            </w:r>
            <w:r w:rsidRPr="00A64329">
              <w:rPr>
                <w:sz w:val="22"/>
                <w:szCs w:val="22"/>
              </w:rPr>
              <w:t>ispitiv</w:t>
            </w:r>
            <w:r>
              <w:rPr>
                <w:sz w:val="22"/>
                <w:szCs w:val="22"/>
              </w:rPr>
              <w:t>anja je bilo određivanje vremena do progresije (TTP). Procjene su vršene od strane samih ispitivača i od strane nezavisnog tijela za kritičku procjenu, koje nije bilo</w:t>
            </w:r>
            <w:r w:rsidRPr="00A64329">
              <w:rPr>
                <w:sz w:val="22"/>
                <w:szCs w:val="22"/>
              </w:rPr>
              <w:t xml:space="preserve"> upoznat</w:t>
            </w:r>
            <w:r>
              <w:rPr>
                <w:sz w:val="22"/>
                <w:szCs w:val="22"/>
              </w:rPr>
              <w:t>o sa tokom liječenja. Studija je zaustavljena</w:t>
            </w:r>
            <w:r w:rsidRPr="00A64329">
              <w:rPr>
                <w:sz w:val="22"/>
                <w:szCs w:val="22"/>
              </w:rPr>
              <w:t xml:space="preserve"> na osn</w:t>
            </w:r>
            <w:r>
              <w:rPr>
                <w:sz w:val="22"/>
                <w:szCs w:val="22"/>
              </w:rPr>
              <w:t>ovu rezultata prethodno zadate</w:t>
            </w:r>
            <w:r w:rsidRPr="00A64329">
              <w:rPr>
                <w:sz w:val="22"/>
                <w:szCs w:val="22"/>
              </w:rPr>
              <w:t xml:space="preserve"> međuanalize, ko</w:t>
            </w:r>
            <w:r>
              <w:rPr>
                <w:sz w:val="22"/>
                <w:szCs w:val="22"/>
              </w:rPr>
              <w:t>ja je pokazala poboljšanje u VP kod pacijenata koji dobijaju</w:t>
            </w:r>
            <w:r w:rsidRPr="00A64329">
              <w:rPr>
                <w:sz w:val="22"/>
                <w:szCs w:val="22"/>
              </w:rPr>
              <w:t xml:space="preserve"> </w:t>
            </w:r>
            <w:r>
              <w:rPr>
                <w:sz w:val="22"/>
                <w:szCs w:val="22"/>
              </w:rPr>
              <w:t xml:space="preserve">kombinovanu terapiju </w:t>
            </w:r>
            <w:r w:rsidRPr="000576F1">
              <w:rPr>
                <w:sz w:val="22"/>
                <w:szCs w:val="22"/>
              </w:rPr>
              <w:t>lijekom Tyverb</w:t>
            </w:r>
            <w:r w:rsidRPr="000576F1">
              <w:rPr>
                <w:sz w:val="22"/>
                <w:szCs w:val="22"/>
                <w:vertAlign w:val="superscript"/>
              </w:rPr>
              <w:t>®</w:t>
            </w:r>
            <w:r>
              <w:rPr>
                <w:sz w:val="22"/>
                <w:szCs w:val="22"/>
              </w:rPr>
              <w:t xml:space="preserve"> i</w:t>
            </w:r>
            <w:r w:rsidRPr="00A64329">
              <w:rPr>
                <w:sz w:val="22"/>
                <w:szCs w:val="22"/>
              </w:rPr>
              <w:t xml:space="preserve"> kapecitabin</w:t>
            </w:r>
            <w:r>
              <w:rPr>
                <w:sz w:val="22"/>
                <w:szCs w:val="22"/>
              </w:rPr>
              <w:t>om</w:t>
            </w:r>
            <w:r w:rsidRPr="00A64329">
              <w:rPr>
                <w:sz w:val="22"/>
                <w:szCs w:val="22"/>
              </w:rPr>
              <w:t xml:space="preserve">. </w:t>
            </w:r>
            <w:r>
              <w:rPr>
                <w:sz w:val="22"/>
                <w:szCs w:val="22"/>
              </w:rPr>
              <w:t>U ispitivanje je dodatno uključeno 75 pacijenata, u periodu između vremena</w:t>
            </w:r>
            <w:r w:rsidRPr="00A64329">
              <w:rPr>
                <w:sz w:val="22"/>
                <w:szCs w:val="22"/>
              </w:rPr>
              <w:t xml:space="preserve"> međuanalize</w:t>
            </w:r>
            <w:r>
              <w:rPr>
                <w:sz w:val="22"/>
                <w:szCs w:val="22"/>
              </w:rPr>
              <w:t xml:space="preserve"> i kraja uključivanja</w:t>
            </w:r>
            <w:r w:rsidRPr="00A64329">
              <w:rPr>
                <w:sz w:val="22"/>
                <w:szCs w:val="22"/>
              </w:rPr>
              <w:t xml:space="preserve">. </w:t>
            </w:r>
          </w:p>
          <w:p w:rsidR="0068141C" w:rsidRPr="001268A1" w:rsidRDefault="0068141C" w:rsidP="0068141C">
            <w:pPr>
              <w:rPr>
                <w:lang w:val="pl-PL"/>
              </w:rPr>
            </w:pPr>
            <w:r w:rsidRPr="001268A1">
              <w:rPr>
                <w:sz w:val="22"/>
                <w:szCs w:val="22"/>
                <w:lang w:val="pl-PL"/>
              </w:rPr>
              <w:t xml:space="preserve">Analiza podataka od strane ispitivača </w:t>
            </w:r>
            <w:r w:rsidRPr="00821A78">
              <w:rPr>
                <w:sz w:val="22"/>
                <w:szCs w:val="22"/>
                <w:lang w:val="pl-PL"/>
              </w:rPr>
              <w:t>nakon završetka uključivanja prikazana</w:t>
            </w:r>
            <w:r w:rsidRPr="001268A1">
              <w:rPr>
                <w:sz w:val="22"/>
                <w:szCs w:val="22"/>
                <w:lang w:val="pl-PL"/>
              </w:rPr>
              <w:t xml:space="preserve"> je u </w:t>
            </w:r>
            <w:r w:rsidRPr="000576F1">
              <w:rPr>
                <w:sz w:val="22"/>
                <w:szCs w:val="22"/>
                <w:lang w:val="pl-PL"/>
              </w:rPr>
              <w:t>Tabeli 1.</w:t>
            </w:r>
            <w:r w:rsidRPr="001268A1">
              <w:rPr>
                <w:sz w:val="22"/>
                <w:szCs w:val="22"/>
                <w:lang w:val="pl-PL"/>
              </w:rPr>
              <w:t xml:space="preserve">         </w:t>
            </w:r>
          </w:p>
          <w:p w:rsidR="0068141C" w:rsidRPr="00EF1B5A" w:rsidRDefault="0068141C" w:rsidP="0068141C">
            <w:pPr>
              <w:rPr>
                <w:b/>
                <w:u w:val="single"/>
                <w:lang w:val="pl-PL"/>
              </w:rPr>
            </w:pPr>
          </w:p>
          <w:p w:rsidR="0068141C" w:rsidRPr="000576F1" w:rsidRDefault="0068141C" w:rsidP="0068141C">
            <w:pPr>
              <w:rPr>
                <w:b/>
                <w:lang w:val="pl-PL"/>
              </w:rPr>
            </w:pPr>
            <w:r w:rsidRPr="000576F1">
              <w:rPr>
                <w:b/>
                <w:lang w:val="pl-PL"/>
              </w:rPr>
              <w:t>Tabela 1. Vr</w:t>
            </w:r>
            <w:r>
              <w:rPr>
                <w:b/>
                <w:lang w:val="pl-PL"/>
              </w:rPr>
              <w:t>ij</w:t>
            </w:r>
            <w:r w:rsidRPr="000576F1">
              <w:rPr>
                <w:b/>
                <w:lang w:val="pl-PL"/>
              </w:rPr>
              <w:t>eme do rezultata progresije kliničkog ispitivanja EGF100151 (l</w:t>
            </w:r>
            <w:r>
              <w:rPr>
                <w:b/>
                <w:lang w:val="pl-PL"/>
              </w:rPr>
              <w:t>ij</w:t>
            </w:r>
            <w:r w:rsidRPr="000576F1">
              <w:rPr>
                <w:b/>
                <w:lang w:val="pl-PL"/>
              </w:rPr>
              <w:t>ek Tyverb</w:t>
            </w:r>
            <w:r w:rsidRPr="000576F1">
              <w:rPr>
                <w:b/>
                <w:sz w:val="22"/>
                <w:szCs w:val="22"/>
                <w:vertAlign w:val="superscript"/>
              </w:rPr>
              <w:t>®</w:t>
            </w:r>
            <w:r w:rsidRPr="000576F1">
              <w:rPr>
                <w:b/>
                <w:sz w:val="22"/>
                <w:szCs w:val="22"/>
              </w:rPr>
              <w:t>/ kapecitabin)</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888"/>
              <w:gridCol w:w="2587"/>
            </w:tblGrid>
            <w:tr w:rsidR="0068141C" w:rsidRPr="00A64329">
              <w:tc>
                <w:tcPr>
                  <w:tcW w:w="6475" w:type="dxa"/>
                  <w:gridSpan w:val="3"/>
                  <w:tcBorders>
                    <w:top w:val="single" w:sz="4" w:space="0" w:color="auto"/>
                    <w:left w:val="single" w:sz="4" w:space="0" w:color="auto"/>
                    <w:bottom w:val="single" w:sz="4" w:space="0" w:color="auto"/>
                    <w:right w:val="single" w:sz="4" w:space="0" w:color="auto"/>
                  </w:tcBorders>
                </w:tcPr>
                <w:p w:rsidR="0068141C" w:rsidRPr="003569C1" w:rsidRDefault="0068141C" w:rsidP="0068141C">
                  <w:pPr>
                    <w:rPr>
                      <w:b/>
                      <w:bCs/>
                    </w:rPr>
                  </w:pPr>
                  <w:r w:rsidRPr="001268A1">
                    <w:rPr>
                      <w:b/>
                      <w:bCs/>
                      <w:sz w:val="22"/>
                      <w:szCs w:val="22"/>
                      <w:lang w:val="pl-PL"/>
                    </w:rPr>
                    <w:t xml:space="preserve">                                      </w:t>
                  </w:r>
                  <w:r w:rsidRPr="003569C1">
                    <w:rPr>
                      <w:b/>
                      <w:bCs/>
                      <w:sz w:val="22"/>
                      <w:szCs w:val="22"/>
                    </w:rPr>
                    <w:t>Proc</w:t>
                  </w:r>
                  <w:r>
                    <w:rPr>
                      <w:b/>
                      <w:bCs/>
                      <w:sz w:val="22"/>
                      <w:szCs w:val="22"/>
                    </w:rPr>
                    <w:t>j</w:t>
                  </w:r>
                  <w:r w:rsidRPr="003569C1">
                    <w:rPr>
                      <w:b/>
                      <w:bCs/>
                      <w:sz w:val="22"/>
                      <w:szCs w:val="22"/>
                    </w:rPr>
                    <w:t>ena ispitivača</w:t>
                  </w:r>
                </w:p>
              </w:tc>
            </w:tr>
            <w:tr w:rsidR="0068141C" w:rsidRPr="00A64329">
              <w:tc>
                <w:tcPr>
                  <w:tcW w:w="3888" w:type="dxa"/>
                  <w:gridSpan w:val="2"/>
                  <w:tcBorders>
                    <w:top w:val="single" w:sz="4" w:space="0" w:color="auto"/>
                    <w:left w:val="single" w:sz="4" w:space="0" w:color="auto"/>
                    <w:bottom w:val="single" w:sz="4" w:space="0" w:color="auto"/>
                    <w:right w:val="single" w:sz="4" w:space="0" w:color="auto"/>
                  </w:tcBorders>
                </w:tcPr>
                <w:p w:rsidR="0068141C" w:rsidRPr="003569C1" w:rsidRDefault="0068141C" w:rsidP="0068141C">
                  <w:pPr>
                    <w:jc w:val="center"/>
                    <w:rPr>
                      <w:b/>
                      <w:bCs/>
                    </w:rPr>
                  </w:pPr>
                  <w:r w:rsidRPr="00B11638">
                    <w:rPr>
                      <w:b/>
                      <w:lang w:val="pl-PL"/>
                    </w:rPr>
                    <w:t>Tyverb</w:t>
                  </w:r>
                  <w:r w:rsidRPr="00B11638">
                    <w:rPr>
                      <w:b/>
                      <w:sz w:val="22"/>
                      <w:szCs w:val="22"/>
                      <w:vertAlign w:val="superscript"/>
                    </w:rPr>
                    <w:t>®</w:t>
                  </w:r>
                  <w:r w:rsidRPr="00B11638">
                    <w:rPr>
                      <w:b/>
                      <w:bCs/>
                      <w:sz w:val="22"/>
                      <w:szCs w:val="22"/>
                    </w:rPr>
                    <w:t>(</w:t>
                  </w:r>
                  <w:r>
                    <w:rPr>
                      <w:b/>
                      <w:bCs/>
                      <w:sz w:val="22"/>
                      <w:szCs w:val="22"/>
                    </w:rPr>
                    <w:t>1250</w:t>
                  </w:r>
                  <w:r w:rsidRPr="003569C1">
                    <w:rPr>
                      <w:b/>
                      <w:bCs/>
                      <w:sz w:val="22"/>
                      <w:szCs w:val="22"/>
                    </w:rPr>
                    <w:t>mg/dnevno</w:t>
                  </w:r>
                  <w:r>
                    <w:rPr>
                      <w:b/>
                      <w:bCs/>
                      <w:sz w:val="22"/>
                      <w:szCs w:val="22"/>
                    </w:rPr>
                    <w:t>) + kapecitabin (2000</w:t>
                  </w:r>
                  <w:r w:rsidRPr="003569C1">
                    <w:rPr>
                      <w:b/>
                      <w:bCs/>
                      <w:sz w:val="22"/>
                      <w:szCs w:val="22"/>
                    </w:rPr>
                    <w:t>mg/m</w:t>
                  </w:r>
                  <w:r w:rsidRPr="003569C1">
                    <w:rPr>
                      <w:b/>
                      <w:bCs/>
                      <w:sz w:val="22"/>
                      <w:szCs w:val="22"/>
                      <w:vertAlign w:val="superscript"/>
                    </w:rPr>
                    <w:t>2</w:t>
                  </w:r>
                  <w:r w:rsidRPr="003569C1">
                    <w:rPr>
                      <w:b/>
                      <w:bCs/>
                      <w:sz w:val="22"/>
                      <w:szCs w:val="22"/>
                    </w:rPr>
                    <w:t>/dnevno)</w:t>
                  </w:r>
                </w:p>
              </w:tc>
              <w:tc>
                <w:tcPr>
                  <w:tcW w:w="2587" w:type="dxa"/>
                  <w:tcBorders>
                    <w:top w:val="single" w:sz="4" w:space="0" w:color="auto"/>
                    <w:left w:val="single" w:sz="4" w:space="0" w:color="auto"/>
                    <w:bottom w:val="single" w:sz="4" w:space="0" w:color="auto"/>
                    <w:right w:val="single" w:sz="4" w:space="0" w:color="auto"/>
                  </w:tcBorders>
                </w:tcPr>
                <w:p w:rsidR="0068141C" w:rsidRPr="003569C1" w:rsidRDefault="0068141C" w:rsidP="0068141C">
                  <w:pPr>
                    <w:jc w:val="center"/>
                    <w:rPr>
                      <w:b/>
                      <w:bCs/>
                    </w:rPr>
                  </w:pPr>
                  <w:r w:rsidRPr="003569C1">
                    <w:rPr>
                      <w:b/>
                      <w:bCs/>
                      <w:sz w:val="22"/>
                      <w:szCs w:val="22"/>
                    </w:rPr>
                    <w:t>Kapecitabin</w:t>
                  </w:r>
                </w:p>
                <w:p w:rsidR="0068141C" w:rsidRPr="003569C1" w:rsidRDefault="0068141C" w:rsidP="0068141C">
                  <w:pPr>
                    <w:jc w:val="center"/>
                    <w:rPr>
                      <w:b/>
                      <w:bCs/>
                    </w:rPr>
                  </w:pPr>
                  <w:r w:rsidRPr="003569C1">
                    <w:rPr>
                      <w:b/>
                      <w:bCs/>
                      <w:sz w:val="22"/>
                      <w:szCs w:val="22"/>
                    </w:rPr>
                    <w:t>(2500 mg/m</w:t>
                  </w:r>
                  <w:r w:rsidRPr="003569C1">
                    <w:rPr>
                      <w:b/>
                      <w:bCs/>
                      <w:sz w:val="22"/>
                      <w:szCs w:val="22"/>
                      <w:vertAlign w:val="superscript"/>
                    </w:rPr>
                    <w:t>2</w:t>
                  </w:r>
                  <w:r w:rsidRPr="003569C1">
                    <w:rPr>
                      <w:b/>
                      <w:bCs/>
                      <w:sz w:val="22"/>
                      <w:szCs w:val="22"/>
                    </w:rPr>
                    <w:t>/dnevno)</w:t>
                  </w:r>
                </w:p>
              </w:tc>
            </w:tr>
            <w:tr w:rsidR="0068141C" w:rsidRPr="00A64329">
              <w:tc>
                <w:tcPr>
                  <w:tcW w:w="3888" w:type="dxa"/>
                  <w:gridSpan w:val="2"/>
                  <w:tcBorders>
                    <w:top w:val="single" w:sz="4" w:space="0" w:color="auto"/>
                    <w:left w:val="single" w:sz="4" w:space="0" w:color="auto"/>
                    <w:bottom w:val="single" w:sz="4" w:space="0" w:color="auto"/>
                    <w:right w:val="single" w:sz="4" w:space="0" w:color="auto"/>
                  </w:tcBorders>
                </w:tcPr>
                <w:p w:rsidR="0068141C" w:rsidRPr="003569C1" w:rsidRDefault="0068141C" w:rsidP="0068141C">
                  <w:pPr>
                    <w:jc w:val="center"/>
                    <w:rPr>
                      <w:b/>
                      <w:bCs/>
                    </w:rPr>
                  </w:pPr>
                  <w:r w:rsidRPr="003569C1">
                    <w:rPr>
                      <w:b/>
                      <w:bCs/>
                      <w:sz w:val="22"/>
                      <w:szCs w:val="22"/>
                    </w:rPr>
                    <w:t>(N=198)</w:t>
                  </w:r>
                </w:p>
              </w:tc>
              <w:tc>
                <w:tcPr>
                  <w:tcW w:w="2587" w:type="dxa"/>
                  <w:tcBorders>
                    <w:top w:val="single" w:sz="4" w:space="0" w:color="auto"/>
                    <w:left w:val="single" w:sz="4" w:space="0" w:color="auto"/>
                    <w:bottom w:val="single" w:sz="4" w:space="0" w:color="auto"/>
                    <w:right w:val="single" w:sz="4" w:space="0" w:color="auto"/>
                  </w:tcBorders>
                </w:tcPr>
                <w:p w:rsidR="0068141C" w:rsidRPr="003569C1" w:rsidRDefault="0068141C" w:rsidP="0068141C">
                  <w:pPr>
                    <w:rPr>
                      <w:b/>
                      <w:bCs/>
                    </w:rPr>
                  </w:pPr>
                  <w:r w:rsidRPr="003569C1">
                    <w:rPr>
                      <w:b/>
                      <w:bCs/>
                      <w:sz w:val="22"/>
                      <w:szCs w:val="22"/>
                    </w:rPr>
                    <w:t xml:space="preserve">            (N=201)</w:t>
                  </w:r>
                </w:p>
              </w:tc>
            </w:tr>
            <w:tr w:rsidR="0068141C" w:rsidRPr="00A64329">
              <w:tc>
                <w:tcPr>
                  <w:tcW w:w="3420" w:type="dxa"/>
                  <w:tcBorders>
                    <w:top w:val="single" w:sz="4" w:space="0" w:color="auto"/>
                    <w:left w:val="single" w:sz="4" w:space="0" w:color="auto"/>
                    <w:bottom w:val="single" w:sz="4" w:space="0" w:color="auto"/>
                    <w:right w:val="single" w:sz="4" w:space="0" w:color="auto"/>
                  </w:tcBorders>
                </w:tcPr>
                <w:p w:rsidR="0068141C" w:rsidRPr="003569C1" w:rsidRDefault="0068141C" w:rsidP="0068141C">
                  <w:pPr>
                    <w:jc w:val="center"/>
                    <w:rPr>
                      <w:b/>
                      <w:bCs/>
                    </w:rPr>
                  </w:pPr>
                  <w:r>
                    <w:rPr>
                      <w:b/>
                      <w:bCs/>
                      <w:sz w:val="22"/>
                      <w:szCs w:val="22"/>
                    </w:rPr>
                    <w:t>Broj VP</w:t>
                  </w:r>
                  <w:r w:rsidRPr="003569C1">
                    <w:rPr>
                      <w:b/>
                      <w:bCs/>
                      <w:sz w:val="22"/>
                      <w:szCs w:val="22"/>
                    </w:rPr>
                    <w:t xml:space="preserve"> događaja</w:t>
                  </w:r>
                </w:p>
              </w:tc>
              <w:tc>
                <w:tcPr>
                  <w:tcW w:w="3888" w:type="dxa"/>
                  <w:tcBorders>
                    <w:top w:val="single" w:sz="4" w:space="0" w:color="auto"/>
                    <w:left w:val="single" w:sz="4" w:space="0" w:color="auto"/>
                    <w:bottom w:val="single" w:sz="4" w:space="0" w:color="auto"/>
                    <w:right w:val="single" w:sz="4" w:space="0" w:color="auto"/>
                  </w:tcBorders>
                </w:tcPr>
                <w:p w:rsidR="0068141C" w:rsidRPr="00A64329" w:rsidRDefault="0068141C" w:rsidP="0068141C">
                  <w:r w:rsidRPr="00A64329">
                    <w:rPr>
                      <w:sz w:val="22"/>
                      <w:szCs w:val="22"/>
                    </w:rPr>
                    <w:t xml:space="preserve">                          121</w:t>
                  </w:r>
                </w:p>
              </w:tc>
              <w:tc>
                <w:tcPr>
                  <w:tcW w:w="2587" w:type="dxa"/>
                  <w:tcBorders>
                    <w:top w:val="single" w:sz="4" w:space="0" w:color="auto"/>
                    <w:left w:val="single" w:sz="4" w:space="0" w:color="auto"/>
                    <w:bottom w:val="single" w:sz="4" w:space="0" w:color="auto"/>
                    <w:right w:val="single" w:sz="4" w:space="0" w:color="auto"/>
                  </w:tcBorders>
                </w:tcPr>
                <w:p w:rsidR="0068141C" w:rsidRPr="00A64329" w:rsidRDefault="0068141C" w:rsidP="0068141C">
                  <w:r w:rsidRPr="00A64329">
                    <w:rPr>
                      <w:sz w:val="22"/>
                      <w:szCs w:val="22"/>
                    </w:rPr>
                    <w:t xml:space="preserve">               126</w:t>
                  </w:r>
                </w:p>
              </w:tc>
            </w:tr>
            <w:tr w:rsidR="0068141C" w:rsidRPr="00A64329">
              <w:tc>
                <w:tcPr>
                  <w:tcW w:w="3420" w:type="dxa"/>
                  <w:tcBorders>
                    <w:top w:val="single" w:sz="4" w:space="0" w:color="auto"/>
                    <w:left w:val="single" w:sz="4" w:space="0" w:color="auto"/>
                    <w:bottom w:val="single" w:sz="4" w:space="0" w:color="auto"/>
                    <w:right w:val="single" w:sz="4" w:space="0" w:color="auto"/>
                  </w:tcBorders>
                </w:tcPr>
                <w:p w:rsidR="0068141C" w:rsidRPr="003569C1" w:rsidRDefault="0068141C" w:rsidP="0068141C">
                  <w:pPr>
                    <w:jc w:val="center"/>
                    <w:rPr>
                      <w:b/>
                      <w:bCs/>
                    </w:rPr>
                  </w:pPr>
                  <w:r>
                    <w:rPr>
                      <w:b/>
                      <w:bCs/>
                      <w:sz w:val="22"/>
                      <w:szCs w:val="22"/>
                    </w:rPr>
                    <w:t>Medijana VP</w:t>
                  </w:r>
                  <w:r w:rsidRPr="003569C1">
                    <w:rPr>
                      <w:b/>
                      <w:bCs/>
                      <w:sz w:val="22"/>
                      <w:szCs w:val="22"/>
                    </w:rPr>
                    <w:t>, ned</w:t>
                  </w:r>
                  <w:r>
                    <w:rPr>
                      <w:b/>
                      <w:bCs/>
                      <w:sz w:val="22"/>
                      <w:szCs w:val="22"/>
                    </w:rPr>
                    <w:t>j</w:t>
                  </w:r>
                  <w:r w:rsidRPr="003569C1">
                    <w:rPr>
                      <w:b/>
                      <w:bCs/>
                      <w:sz w:val="22"/>
                      <w:szCs w:val="22"/>
                    </w:rPr>
                    <w:t>elje</w:t>
                  </w:r>
                </w:p>
              </w:tc>
              <w:tc>
                <w:tcPr>
                  <w:tcW w:w="3888" w:type="dxa"/>
                  <w:tcBorders>
                    <w:top w:val="single" w:sz="4" w:space="0" w:color="auto"/>
                    <w:left w:val="single" w:sz="4" w:space="0" w:color="auto"/>
                    <w:bottom w:val="single" w:sz="4" w:space="0" w:color="auto"/>
                    <w:right w:val="single" w:sz="4" w:space="0" w:color="auto"/>
                  </w:tcBorders>
                </w:tcPr>
                <w:p w:rsidR="0068141C" w:rsidRPr="00A64329" w:rsidRDefault="0068141C" w:rsidP="0068141C">
                  <w:r>
                    <w:rPr>
                      <w:sz w:val="22"/>
                      <w:szCs w:val="22"/>
                    </w:rPr>
                    <w:t xml:space="preserve">                          23,</w:t>
                  </w:r>
                  <w:r w:rsidRPr="00A64329">
                    <w:rPr>
                      <w:sz w:val="22"/>
                      <w:szCs w:val="22"/>
                    </w:rPr>
                    <w:t>9</w:t>
                  </w:r>
                </w:p>
              </w:tc>
              <w:tc>
                <w:tcPr>
                  <w:tcW w:w="2587" w:type="dxa"/>
                  <w:tcBorders>
                    <w:top w:val="single" w:sz="4" w:space="0" w:color="auto"/>
                    <w:left w:val="single" w:sz="4" w:space="0" w:color="auto"/>
                    <w:bottom w:val="single" w:sz="4" w:space="0" w:color="auto"/>
                    <w:right w:val="single" w:sz="4" w:space="0" w:color="auto"/>
                  </w:tcBorders>
                </w:tcPr>
                <w:p w:rsidR="0068141C" w:rsidRPr="00A64329" w:rsidRDefault="0068141C" w:rsidP="0068141C">
                  <w:r>
                    <w:rPr>
                      <w:sz w:val="22"/>
                      <w:szCs w:val="22"/>
                    </w:rPr>
                    <w:t xml:space="preserve">              18,</w:t>
                  </w:r>
                  <w:r w:rsidRPr="00A64329">
                    <w:rPr>
                      <w:sz w:val="22"/>
                      <w:szCs w:val="22"/>
                    </w:rPr>
                    <w:t>3</w:t>
                  </w:r>
                </w:p>
              </w:tc>
            </w:tr>
            <w:tr w:rsidR="0068141C" w:rsidRPr="00A64329">
              <w:tc>
                <w:tcPr>
                  <w:tcW w:w="342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Pr>
                      <w:sz w:val="22"/>
                      <w:szCs w:val="22"/>
                    </w:rPr>
                    <w:t>Koeficijent</w:t>
                  </w:r>
                  <w:r w:rsidRPr="00A64329">
                    <w:rPr>
                      <w:sz w:val="22"/>
                      <w:szCs w:val="22"/>
                    </w:rPr>
                    <w:t xml:space="preserve"> rizika</w:t>
                  </w:r>
                </w:p>
              </w:tc>
              <w:tc>
                <w:tcPr>
                  <w:tcW w:w="6475" w:type="dxa"/>
                  <w:gridSpan w:val="2"/>
                  <w:tcBorders>
                    <w:top w:val="single" w:sz="4" w:space="0" w:color="auto"/>
                    <w:left w:val="single" w:sz="4" w:space="0" w:color="auto"/>
                    <w:bottom w:val="single" w:sz="4" w:space="0" w:color="auto"/>
                    <w:right w:val="single" w:sz="4" w:space="0" w:color="auto"/>
                  </w:tcBorders>
                </w:tcPr>
                <w:p w:rsidR="0068141C" w:rsidRPr="00A64329" w:rsidRDefault="0068141C" w:rsidP="0068141C">
                  <w:r w:rsidRPr="00A64329">
                    <w:rPr>
                      <w:sz w:val="22"/>
                      <w:szCs w:val="22"/>
                    </w:rPr>
                    <w:t xml:space="preserve">                    </w:t>
                  </w:r>
                  <w:r>
                    <w:rPr>
                      <w:sz w:val="22"/>
                      <w:szCs w:val="22"/>
                    </w:rPr>
                    <w:t xml:space="preserve">                             0,</w:t>
                  </w:r>
                  <w:r w:rsidRPr="00A64329">
                    <w:rPr>
                      <w:sz w:val="22"/>
                      <w:szCs w:val="22"/>
                    </w:rPr>
                    <w:t>72</w:t>
                  </w:r>
                </w:p>
              </w:tc>
            </w:tr>
            <w:tr w:rsidR="0068141C" w:rsidRPr="00A64329">
              <w:tc>
                <w:tcPr>
                  <w:tcW w:w="342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Pr>
                      <w:sz w:val="22"/>
                      <w:szCs w:val="22"/>
                    </w:rPr>
                    <w:t>(95% CI</w:t>
                  </w:r>
                  <w:r w:rsidRPr="00A64329">
                    <w:rPr>
                      <w:sz w:val="22"/>
                      <w:szCs w:val="22"/>
                    </w:rPr>
                    <w:t>)</w:t>
                  </w:r>
                </w:p>
              </w:tc>
              <w:tc>
                <w:tcPr>
                  <w:tcW w:w="6475" w:type="dxa"/>
                  <w:gridSpan w:val="2"/>
                  <w:tcBorders>
                    <w:top w:val="single" w:sz="4" w:space="0" w:color="auto"/>
                    <w:left w:val="single" w:sz="4" w:space="0" w:color="auto"/>
                    <w:bottom w:val="single" w:sz="4" w:space="0" w:color="auto"/>
                    <w:right w:val="single" w:sz="4" w:space="0" w:color="auto"/>
                  </w:tcBorders>
                </w:tcPr>
                <w:p w:rsidR="0068141C" w:rsidRPr="00A64329" w:rsidRDefault="0068141C" w:rsidP="0068141C">
                  <w:r w:rsidRPr="00A64329">
                    <w:rPr>
                      <w:sz w:val="22"/>
                      <w:szCs w:val="22"/>
                    </w:rPr>
                    <w:t xml:space="preserve">               </w:t>
                  </w:r>
                  <w:r>
                    <w:rPr>
                      <w:sz w:val="22"/>
                      <w:szCs w:val="22"/>
                    </w:rPr>
                    <w:t xml:space="preserve">                            (0,56; 0,</w:t>
                  </w:r>
                  <w:r w:rsidRPr="00A64329">
                    <w:rPr>
                      <w:sz w:val="22"/>
                      <w:szCs w:val="22"/>
                    </w:rPr>
                    <w:t xml:space="preserve">92) </w:t>
                  </w:r>
                </w:p>
              </w:tc>
            </w:tr>
            <w:tr w:rsidR="0068141C" w:rsidRPr="00A64329">
              <w:tc>
                <w:tcPr>
                  <w:tcW w:w="342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sidRPr="00A64329">
                    <w:rPr>
                      <w:sz w:val="22"/>
                      <w:szCs w:val="22"/>
                    </w:rPr>
                    <w:t>p vr</w:t>
                  </w:r>
                  <w:r>
                    <w:rPr>
                      <w:sz w:val="22"/>
                      <w:szCs w:val="22"/>
                    </w:rPr>
                    <w:t>i</w:t>
                  </w:r>
                  <w:r w:rsidRPr="00A64329">
                    <w:rPr>
                      <w:sz w:val="22"/>
                      <w:szCs w:val="22"/>
                    </w:rPr>
                    <w:t>ednost</w:t>
                  </w:r>
                </w:p>
              </w:tc>
              <w:tc>
                <w:tcPr>
                  <w:tcW w:w="6475" w:type="dxa"/>
                  <w:gridSpan w:val="2"/>
                  <w:tcBorders>
                    <w:top w:val="single" w:sz="4" w:space="0" w:color="auto"/>
                    <w:left w:val="single" w:sz="4" w:space="0" w:color="auto"/>
                    <w:bottom w:val="single" w:sz="4" w:space="0" w:color="auto"/>
                    <w:right w:val="single" w:sz="4" w:space="0" w:color="auto"/>
                  </w:tcBorders>
                </w:tcPr>
                <w:p w:rsidR="0068141C" w:rsidRPr="00A64329" w:rsidRDefault="0068141C" w:rsidP="0068141C">
                  <w:r w:rsidRPr="00A64329">
                    <w:rPr>
                      <w:sz w:val="22"/>
                      <w:szCs w:val="22"/>
                    </w:rPr>
                    <w:t xml:space="preserve">                   </w:t>
                  </w:r>
                  <w:r>
                    <w:rPr>
                      <w:sz w:val="22"/>
                      <w:szCs w:val="22"/>
                    </w:rPr>
                    <w:t xml:space="preserve">                             0,</w:t>
                  </w:r>
                  <w:r w:rsidRPr="00A64329">
                    <w:rPr>
                      <w:sz w:val="22"/>
                      <w:szCs w:val="22"/>
                    </w:rPr>
                    <w:t>008</w:t>
                  </w:r>
                </w:p>
              </w:tc>
            </w:tr>
          </w:tbl>
          <w:p w:rsidR="0068141C" w:rsidRPr="00A64329" w:rsidRDefault="0068141C" w:rsidP="0068141C">
            <w:r w:rsidRPr="00A64329">
              <w:rPr>
                <w:sz w:val="22"/>
                <w:szCs w:val="22"/>
              </w:rPr>
              <w:t xml:space="preserve"> </w:t>
            </w:r>
          </w:p>
          <w:p w:rsidR="0068141C" w:rsidRPr="00A64329" w:rsidRDefault="0068141C" w:rsidP="0068141C">
            <w:r w:rsidRPr="00A64329">
              <w:rPr>
                <w:sz w:val="22"/>
                <w:szCs w:val="22"/>
              </w:rPr>
              <w:t>Nezavisna proc</w:t>
            </w:r>
            <w:r>
              <w:rPr>
                <w:sz w:val="22"/>
                <w:szCs w:val="22"/>
              </w:rPr>
              <w:t>j</w:t>
            </w:r>
            <w:r w:rsidRPr="00A64329">
              <w:rPr>
                <w:sz w:val="22"/>
                <w:szCs w:val="22"/>
              </w:rPr>
              <w:t>en</w:t>
            </w:r>
            <w:r>
              <w:rPr>
                <w:sz w:val="22"/>
                <w:szCs w:val="22"/>
              </w:rPr>
              <w:t xml:space="preserve">a podataka je takođe pokazala da kombinovana terapija </w:t>
            </w:r>
            <w:r w:rsidRPr="000576F1">
              <w:rPr>
                <w:sz w:val="22"/>
                <w:szCs w:val="22"/>
              </w:rPr>
              <w:t xml:space="preserve">lijekom </w:t>
            </w:r>
            <w:r w:rsidRPr="000576F1">
              <w:rPr>
                <w:lang w:val="pl-PL"/>
              </w:rPr>
              <w:t>Tyverb</w:t>
            </w:r>
            <w:r w:rsidRPr="000576F1">
              <w:rPr>
                <w:sz w:val="22"/>
                <w:szCs w:val="22"/>
                <w:vertAlign w:val="superscript"/>
              </w:rPr>
              <w:t>®</w:t>
            </w:r>
            <w:r>
              <w:rPr>
                <w:sz w:val="22"/>
                <w:szCs w:val="22"/>
              </w:rPr>
              <w:t xml:space="preserve"> i kapecitabinom značajno porodužava vrijeme do progresije (koeficijent rizika 0,57[95% CI 0,43; 0,</w:t>
            </w:r>
            <w:r w:rsidRPr="00A64329">
              <w:rPr>
                <w:sz w:val="22"/>
                <w:szCs w:val="22"/>
              </w:rPr>
              <w:t>77]</w:t>
            </w:r>
            <w:r>
              <w:rPr>
                <w:sz w:val="22"/>
                <w:szCs w:val="22"/>
              </w:rPr>
              <w:t>; p=0,</w:t>
            </w:r>
            <w:r w:rsidRPr="00A64329">
              <w:rPr>
                <w:sz w:val="22"/>
                <w:szCs w:val="22"/>
              </w:rPr>
              <w:t xml:space="preserve">0001), u poređenju sa </w:t>
            </w:r>
            <w:r>
              <w:rPr>
                <w:sz w:val="22"/>
                <w:szCs w:val="22"/>
              </w:rPr>
              <w:t xml:space="preserve">monoterapijom </w:t>
            </w:r>
            <w:r w:rsidRPr="00A64329">
              <w:rPr>
                <w:sz w:val="22"/>
                <w:szCs w:val="22"/>
              </w:rPr>
              <w:t>kape</w:t>
            </w:r>
            <w:r>
              <w:rPr>
                <w:sz w:val="22"/>
                <w:szCs w:val="22"/>
              </w:rPr>
              <w:t>citabinom</w:t>
            </w:r>
            <w:r w:rsidRPr="00A64329">
              <w:rPr>
                <w:sz w:val="22"/>
                <w:szCs w:val="22"/>
              </w:rPr>
              <w:t xml:space="preserve">. </w:t>
            </w:r>
          </w:p>
          <w:p w:rsidR="0068141C" w:rsidRPr="00A64329" w:rsidRDefault="0068141C" w:rsidP="0068141C"/>
          <w:p w:rsidR="0068141C" w:rsidRDefault="0068141C" w:rsidP="0068141C">
            <w:r>
              <w:rPr>
                <w:sz w:val="22"/>
                <w:szCs w:val="22"/>
              </w:rPr>
              <w:t>Rezultati ažurirane</w:t>
            </w:r>
            <w:r w:rsidRPr="00A64329">
              <w:rPr>
                <w:sz w:val="22"/>
                <w:szCs w:val="22"/>
              </w:rPr>
              <w:t xml:space="preserve"> analize podataka o </w:t>
            </w:r>
            <w:r>
              <w:rPr>
                <w:sz w:val="22"/>
                <w:szCs w:val="22"/>
              </w:rPr>
              <w:t>opštem preživljavanju</w:t>
            </w:r>
            <w:r w:rsidRPr="00A64329">
              <w:rPr>
                <w:sz w:val="22"/>
                <w:szCs w:val="22"/>
              </w:rPr>
              <w:t xml:space="preserve"> do 28</w:t>
            </w:r>
            <w:r>
              <w:rPr>
                <w:sz w:val="22"/>
                <w:szCs w:val="22"/>
              </w:rPr>
              <w:t>. septembra 2007.</w:t>
            </w:r>
            <w:r w:rsidRPr="00A64329">
              <w:rPr>
                <w:sz w:val="22"/>
                <w:szCs w:val="22"/>
              </w:rPr>
              <w:t xml:space="preserve">godine prikazani su u </w:t>
            </w:r>
            <w:r w:rsidRPr="00B11638">
              <w:rPr>
                <w:sz w:val="22"/>
                <w:szCs w:val="22"/>
              </w:rPr>
              <w:t>Tabeli 2.</w:t>
            </w:r>
            <w:r w:rsidRPr="00A64329">
              <w:rPr>
                <w:sz w:val="22"/>
                <w:szCs w:val="22"/>
              </w:rPr>
              <w:t xml:space="preserve"> </w:t>
            </w:r>
          </w:p>
          <w:p w:rsidR="0068141C" w:rsidRDefault="0068141C" w:rsidP="0068141C"/>
          <w:p w:rsidR="0068141C" w:rsidRDefault="0068141C" w:rsidP="0068141C"/>
          <w:p w:rsidR="0068141C" w:rsidRPr="00B11638" w:rsidRDefault="0068141C" w:rsidP="0068141C">
            <w:pPr>
              <w:rPr>
                <w:b/>
              </w:rPr>
            </w:pPr>
            <w:r w:rsidRPr="00B11638">
              <w:rPr>
                <w:b/>
              </w:rPr>
              <w:t xml:space="preserve">Tabela 2. Ukupni podaci preživljavanja iz kliničkog ispitivanja EGF100151 </w:t>
            </w:r>
            <w:r w:rsidRPr="00B11638">
              <w:rPr>
                <w:b/>
                <w:lang w:val="pl-PL"/>
              </w:rPr>
              <w:t>(l</w:t>
            </w:r>
            <w:r>
              <w:rPr>
                <w:b/>
                <w:lang w:val="pl-PL"/>
              </w:rPr>
              <w:t>ij</w:t>
            </w:r>
            <w:r w:rsidRPr="00B11638">
              <w:rPr>
                <w:b/>
                <w:lang w:val="pl-PL"/>
              </w:rPr>
              <w:t>ek Tyverb</w:t>
            </w:r>
            <w:r w:rsidRPr="00B11638">
              <w:rPr>
                <w:b/>
                <w:sz w:val="22"/>
                <w:szCs w:val="22"/>
                <w:vertAlign w:val="superscript"/>
              </w:rPr>
              <w:t>®</w:t>
            </w:r>
            <w:r w:rsidRPr="00B11638">
              <w:rPr>
                <w:b/>
                <w:sz w:val="22"/>
                <w:szCs w:val="22"/>
              </w:rPr>
              <w:t>/ kapecitabin)</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600"/>
              <w:gridCol w:w="3060"/>
            </w:tblGrid>
            <w:tr w:rsidR="0068141C" w:rsidRPr="00A64329">
              <w:tc>
                <w:tcPr>
                  <w:tcW w:w="3600" w:type="dxa"/>
                  <w:gridSpan w:val="2"/>
                  <w:tcBorders>
                    <w:top w:val="single" w:sz="4" w:space="0" w:color="auto"/>
                    <w:left w:val="single" w:sz="4" w:space="0" w:color="auto"/>
                    <w:bottom w:val="single" w:sz="4" w:space="0" w:color="auto"/>
                    <w:right w:val="single" w:sz="4" w:space="0" w:color="auto"/>
                  </w:tcBorders>
                </w:tcPr>
                <w:p w:rsidR="0068141C" w:rsidRPr="00B56120" w:rsidRDefault="0068141C" w:rsidP="0068141C">
                  <w:pPr>
                    <w:jc w:val="center"/>
                    <w:rPr>
                      <w:b/>
                      <w:bCs/>
                    </w:rPr>
                  </w:pPr>
                  <w:r w:rsidRPr="00B11638">
                    <w:rPr>
                      <w:b/>
                      <w:lang w:val="pl-PL"/>
                    </w:rPr>
                    <w:t>Tyverb</w:t>
                  </w:r>
                  <w:r w:rsidRPr="00B11638">
                    <w:rPr>
                      <w:b/>
                      <w:sz w:val="22"/>
                      <w:szCs w:val="22"/>
                      <w:vertAlign w:val="superscript"/>
                    </w:rPr>
                    <w:t>®</w:t>
                  </w:r>
                  <w:r w:rsidRPr="00B11638">
                    <w:rPr>
                      <w:b/>
                      <w:bCs/>
                      <w:sz w:val="22"/>
                      <w:szCs w:val="22"/>
                    </w:rPr>
                    <w:t>(</w:t>
                  </w:r>
                  <w:r>
                    <w:rPr>
                      <w:b/>
                      <w:bCs/>
                      <w:sz w:val="22"/>
                      <w:szCs w:val="22"/>
                    </w:rPr>
                    <w:t>1250</w:t>
                  </w:r>
                  <w:r w:rsidRPr="00B56120">
                    <w:rPr>
                      <w:b/>
                      <w:bCs/>
                      <w:sz w:val="22"/>
                      <w:szCs w:val="22"/>
                    </w:rPr>
                    <w:t>mg/dnevno)</w:t>
                  </w:r>
                  <w:r>
                    <w:rPr>
                      <w:b/>
                      <w:bCs/>
                      <w:sz w:val="22"/>
                      <w:szCs w:val="22"/>
                    </w:rPr>
                    <w:t xml:space="preserve"> + kapecitabin (2000</w:t>
                  </w:r>
                  <w:r w:rsidRPr="00B56120">
                    <w:rPr>
                      <w:b/>
                      <w:bCs/>
                      <w:sz w:val="22"/>
                      <w:szCs w:val="22"/>
                    </w:rPr>
                    <w:t>mg/m</w:t>
                  </w:r>
                  <w:r w:rsidRPr="00B56120">
                    <w:rPr>
                      <w:b/>
                      <w:bCs/>
                      <w:sz w:val="22"/>
                      <w:szCs w:val="22"/>
                      <w:vertAlign w:val="superscript"/>
                    </w:rPr>
                    <w:t>2</w:t>
                  </w:r>
                  <w:r w:rsidRPr="00B56120">
                    <w:rPr>
                      <w:b/>
                      <w:bCs/>
                      <w:sz w:val="22"/>
                      <w:szCs w:val="22"/>
                    </w:rPr>
                    <w:t>/dnevno)</w:t>
                  </w:r>
                </w:p>
              </w:tc>
              <w:tc>
                <w:tcPr>
                  <w:tcW w:w="3060" w:type="dxa"/>
                  <w:tcBorders>
                    <w:top w:val="single" w:sz="4" w:space="0" w:color="auto"/>
                    <w:left w:val="single" w:sz="4" w:space="0" w:color="auto"/>
                    <w:bottom w:val="single" w:sz="4" w:space="0" w:color="auto"/>
                    <w:right w:val="single" w:sz="4" w:space="0" w:color="auto"/>
                  </w:tcBorders>
                </w:tcPr>
                <w:p w:rsidR="0068141C" w:rsidRPr="00B56120" w:rsidRDefault="0068141C" w:rsidP="0068141C">
                  <w:pPr>
                    <w:jc w:val="center"/>
                    <w:rPr>
                      <w:b/>
                      <w:bCs/>
                    </w:rPr>
                  </w:pPr>
                  <w:r w:rsidRPr="00B56120">
                    <w:rPr>
                      <w:b/>
                      <w:bCs/>
                      <w:sz w:val="22"/>
                      <w:szCs w:val="22"/>
                    </w:rPr>
                    <w:t>Kapecitabin</w:t>
                  </w:r>
                </w:p>
                <w:p w:rsidR="0068141C" w:rsidRPr="00B56120" w:rsidRDefault="0068141C" w:rsidP="0068141C">
                  <w:pPr>
                    <w:jc w:val="center"/>
                    <w:rPr>
                      <w:b/>
                      <w:bCs/>
                    </w:rPr>
                  </w:pPr>
                  <w:r>
                    <w:rPr>
                      <w:b/>
                      <w:bCs/>
                      <w:sz w:val="22"/>
                      <w:szCs w:val="22"/>
                    </w:rPr>
                    <w:t>(2500</w:t>
                  </w:r>
                  <w:r w:rsidRPr="00B56120">
                    <w:rPr>
                      <w:b/>
                      <w:bCs/>
                      <w:sz w:val="22"/>
                      <w:szCs w:val="22"/>
                    </w:rPr>
                    <w:t>mg/m</w:t>
                  </w:r>
                  <w:r w:rsidRPr="00B56120">
                    <w:rPr>
                      <w:b/>
                      <w:bCs/>
                      <w:sz w:val="22"/>
                      <w:szCs w:val="22"/>
                      <w:vertAlign w:val="superscript"/>
                    </w:rPr>
                    <w:t>2</w:t>
                  </w:r>
                  <w:r w:rsidRPr="00B56120">
                    <w:rPr>
                      <w:b/>
                      <w:bCs/>
                      <w:sz w:val="22"/>
                      <w:szCs w:val="22"/>
                    </w:rPr>
                    <w:t>/dnevno)</w:t>
                  </w:r>
                </w:p>
              </w:tc>
            </w:tr>
            <w:tr w:rsidR="0068141C" w:rsidRPr="00A64329">
              <w:tc>
                <w:tcPr>
                  <w:tcW w:w="3600" w:type="dxa"/>
                  <w:gridSpan w:val="2"/>
                  <w:tcBorders>
                    <w:top w:val="single" w:sz="4" w:space="0" w:color="auto"/>
                    <w:left w:val="single" w:sz="4" w:space="0" w:color="auto"/>
                    <w:bottom w:val="single" w:sz="4" w:space="0" w:color="auto"/>
                    <w:right w:val="single" w:sz="4" w:space="0" w:color="auto"/>
                  </w:tcBorders>
                </w:tcPr>
                <w:p w:rsidR="0068141C" w:rsidRPr="00B56120" w:rsidRDefault="0068141C" w:rsidP="0068141C">
                  <w:pPr>
                    <w:jc w:val="center"/>
                    <w:rPr>
                      <w:b/>
                      <w:bCs/>
                    </w:rPr>
                  </w:pPr>
                  <w:r w:rsidRPr="00B56120">
                    <w:rPr>
                      <w:b/>
                      <w:bCs/>
                      <w:sz w:val="22"/>
                      <w:szCs w:val="22"/>
                    </w:rPr>
                    <w:t>(N=207)</w:t>
                  </w:r>
                </w:p>
              </w:tc>
              <w:tc>
                <w:tcPr>
                  <w:tcW w:w="3060" w:type="dxa"/>
                  <w:tcBorders>
                    <w:top w:val="single" w:sz="4" w:space="0" w:color="auto"/>
                    <w:left w:val="single" w:sz="4" w:space="0" w:color="auto"/>
                    <w:bottom w:val="single" w:sz="4" w:space="0" w:color="auto"/>
                    <w:right w:val="single" w:sz="4" w:space="0" w:color="auto"/>
                  </w:tcBorders>
                </w:tcPr>
                <w:p w:rsidR="0068141C" w:rsidRPr="00B56120" w:rsidRDefault="0068141C" w:rsidP="0068141C">
                  <w:pPr>
                    <w:jc w:val="center"/>
                    <w:rPr>
                      <w:b/>
                      <w:bCs/>
                    </w:rPr>
                  </w:pPr>
                  <w:r w:rsidRPr="00B56120">
                    <w:rPr>
                      <w:b/>
                      <w:bCs/>
                      <w:sz w:val="22"/>
                      <w:szCs w:val="22"/>
                    </w:rPr>
                    <w:t>(N=201)</w:t>
                  </w:r>
                </w:p>
              </w:tc>
            </w:tr>
            <w:tr w:rsidR="0068141C" w:rsidRPr="00A64329">
              <w:tc>
                <w:tcPr>
                  <w:tcW w:w="324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Pr>
                      <w:sz w:val="22"/>
                      <w:szCs w:val="22"/>
                    </w:rPr>
                    <w:t>Broj preminulih osoba</w:t>
                  </w:r>
                </w:p>
              </w:tc>
              <w:tc>
                <w:tcPr>
                  <w:tcW w:w="360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sidRPr="00A64329">
                    <w:rPr>
                      <w:sz w:val="22"/>
                      <w:szCs w:val="22"/>
                    </w:rPr>
                    <w:t>148</w:t>
                  </w:r>
                </w:p>
              </w:tc>
              <w:tc>
                <w:tcPr>
                  <w:tcW w:w="306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sidRPr="00A64329">
                    <w:rPr>
                      <w:sz w:val="22"/>
                      <w:szCs w:val="22"/>
                    </w:rPr>
                    <w:t>154</w:t>
                  </w:r>
                </w:p>
              </w:tc>
            </w:tr>
            <w:tr w:rsidR="0068141C" w:rsidRPr="00A64329">
              <w:tc>
                <w:tcPr>
                  <w:tcW w:w="324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Pr>
                      <w:sz w:val="22"/>
                      <w:szCs w:val="22"/>
                    </w:rPr>
                    <w:t>Srednja vrijednost opšteg preživljavanja</w:t>
                  </w:r>
                  <w:r w:rsidRPr="00A64329">
                    <w:rPr>
                      <w:sz w:val="22"/>
                      <w:szCs w:val="22"/>
                    </w:rPr>
                    <w:t>, ned</w:t>
                  </w:r>
                  <w:r>
                    <w:rPr>
                      <w:sz w:val="22"/>
                      <w:szCs w:val="22"/>
                    </w:rPr>
                    <w:t>j</w:t>
                  </w:r>
                  <w:r w:rsidRPr="00A64329">
                    <w:rPr>
                      <w:sz w:val="22"/>
                      <w:szCs w:val="22"/>
                    </w:rPr>
                    <w:t>elje</w:t>
                  </w:r>
                </w:p>
              </w:tc>
              <w:tc>
                <w:tcPr>
                  <w:tcW w:w="360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Pr>
                      <w:sz w:val="22"/>
                      <w:szCs w:val="22"/>
                    </w:rPr>
                    <w:t>74,</w:t>
                  </w:r>
                  <w:r w:rsidRPr="00A64329">
                    <w:rPr>
                      <w:sz w:val="22"/>
                      <w:szCs w:val="22"/>
                    </w:rPr>
                    <w:t>0</w:t>
                  </w:r>
                </w:p>
              </w:tc>
              <w:tc>
                <w:tcPr>
                  <w:tcW w:w="306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Pr>
                      <w:sz w:val="22"/>
                      <w:szCs w:val="22"/>
                    </w:rPr>
                    <w:t>65,</w:t>
                  </w:r>
                  <w:r w:rsidRPr="00A64329">
                    <w:rPr>
                      <w:sz w:val="22"/>
                      <w:szCs w:val="22"/>
                    </w:rPr>
                    <w:t>9</w:t>
                  </w:r>
                </w:p>
              </w:tc>
            </w:tr>
            <w:tr w:rsidR="0068141C" w:rsidRPr="00A64329">
              <w:tc>
                <w:tcPr>
                  <w:tcW w:w="324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sidRPr="00A64329">
                    <w:rPr>
                      <w:sz w:val="22"/>
                      <w:szCs w:val="22"/>
                    </w:rPr>
                    <w:t>Odnos rizika</w:t>
                  </w:r>
                </w:p>
              </w:tc>
              <w:tc>
                <w:tcPr>
                  <w:tcW w:w="6660" w:type="dxa"/>
                  <w:gridSpan w:val="2"/>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Pr>
                      <w:sz w:val="22"/>
                      <w:szCs w:val="22"/>
                    </w:rPr>
                    <w:t>0,</w:t>
                  </w:r>
                  <w:r w:rsidRPr="00A64329">
                    <w:rPr>
                      <w:sz w:val="22"/>
                      <w:szCs w:val="22"/>
                    </w:rPr>
                    <w:t>9</w:t>
                  </w:r>
                </w:p>
              </w:tc>
            </w:tr>
            <w:tr w:rsidR="0068141C" w:rsidRPr="00A64329">
              <w:tc>
                <w:tcPr>
                  <w:tcW w:w="324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Pr>
                      <w:sz w:val="22"/>
                      <w:szCs w:val="22"/>
                    </w:rPr>
                    <w:t>(95% CI</w:t>
                  </w:r>
                  <w:r w:rsidRPr="00A64329">
                    <w:rPr>
                      <w:sz w:val="22"/>
                      <w:szCs w:val="22"/>
                    </w:rPr>
                    <w:t>)</w:t>
                  </w:r>
                </w:p>
              </w:tc>
              <w:tc>
                <w:tcPr>
                  <w:tcW w:w="6660" w:type="dxa"/>
                  <w:gridSpan w:val="2"/>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Pr>
                      <w:sz w:val="22"/>
                      <w:szCs w:val="22"/>
                    </w:rPr>
                    <w:t>(0,71; 1,</w:t>
                  </w:r>
                  <w:r w:rsidRPr="00A64329">
                    <w:rPr>
                      <w:sz w:val="22"/>
                      <w:szCs w:val="22"/>
                    </w:rPr>
                    <w:t>12)</w:t>
                  </w:r>
                </w:p>
              </w:tc>
            </w:tr>
            <w:tr w:rsidR="0068141C" w:rsidRPr="00A64329">
              <w:tc>
                <w:tcPr>
                  <w:tcW w:w="3240" w:type="dxa"/>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sidRPr="00A64329">
                    <w:rPr>
                      <w:sz w:val="22"/>
                      <w:szCs w:val="22"/>
                    </w:rPr>
                    <w:t>p vr</w:t>
                  </w:r>
                  <w:r>
                    <w:rPr>
                      <w:sz w:val="22"/>
                      <w:szCs w:val="22"/>
                    </w:rPr>
                    <w:t>ij</w:t>
                  </w:r>
                  <w:r w:rsidRPr="00A64329">
                    <w:rPr>
                      <w:sz w:val="22"/>
                      <w:szCs w:val="22"/>
                    </w:rPr>
                    <w:t>ednost</w:t>
                  </w:r>
                </w:p>
              </w:tc>
              <w:tc>
                <w:tcPr>
                  <w:tcW w:w="6660" w:type="dxa"/>
                  <w:gridSpan w:val="2"/>
                  <w:tcBorders>
                    <w:top w:val="single" w:sz="4" w:space="0" w:color="auto"/>
                    <w:left w:val="single" w:sz="4" w:space="0" w:color="auto"/>
                    <w:bottom w:val="single" w:sz="4" w:space="0" w:color="auto"/>
                    <w:right w:val="single" w:sz="4" w:space="0" w:color="auto"/>
                  </w:tcBorders>
                </w:tcPr>
                <w:p w:rsidR="0068141C" w:rsidRPr="00A64329" w:rsidRDefault="0068141C" w:rsidP="0068141C">
                  <w:pPr>
                    <w:jc w:val="center"/>
                  </w:pPr>
                  <w:r>
                    <w:rPr>
                      <w:sz w:val="22"/>
                      <w:szCs w:val="22"/>
                    </w:rPr>
                    <w:t>0,</w:t>
                  </w:r>
                  <w:r w:rsidRPr="00A64329">
                    <w:rPr>
                      <w:sz w:val="22"/>
                      <w:szCs w:val="22"/>
                    </w:rPr>
                    <w:t>3</w:t>
                  </w:r>
                </w:p>
              </w:tc>
            </w:tr>
          </w:tbl>
          <w:p w:rsidR="0068141C" w:rsidRPr="00A64329" w:rsidRDefault="0068141C" w:rsidP="0068141C"/>
          <w:p w:rsidR="0068141C" w:rsidRPr="00A64329" w:rsidRDefault="0068141C" w:rsidP="0068141C">
            <w:r>
              <w:rPr>
                <w:sz w:val="22"/>
                <w:szCs w:val="22"/>
              </w:rPr>
              <w:t>U grupi u kojoj je primijenjena kombinovana terapija, zabilježeno je</w:t>
            </w:r>
            <w:r w:rsidRPr="00A64329">
              <w:rPr>
                <w:sz w:val="22"/>
                <w:szCs w:val="22"/>
              </w:rPr>
              <w:t xml:space="preserve"> 4 </w:t>
            </w:r>
            <w:r>
              <w:rPr>
                <w:sz w:val="22"/>
                <w:szCs w:val="22"/>
              </w:rPr>
              <w:t xml:space="preserve">slučaja </w:t>
            </w:r>
            <w:r w:rsidRPr="00A64329">
              <w:rPr>
                <w:sz w:val="22"/>
                <w:szCs w:val="22"/>
              </w:rPr>
              <w:t xml:space="preserve">progresije </w:t>
            </w:r>
            <w:r>
              <w:rPr>
                <w:sz w:val="22"/>
                <w:szCs w:val="22"/>
              </w:rPr>
              <w:t>bolesti (2%) u oblasti</w:t>
            </w:r>
            <w:r w:rsidRPr="00A64329">
              <w:rPr>
                <w:sz w:val="22"/>
                <w:szCs w:val="22"/>
              </w:rPr>
              <w:t xml:space="preserve"> centralnog nervnog sistema, u poređenju sa 13 </w:t>
            </w:r>
            <w:r>
              <w:rPr>
                <w:sz w:val="22"/>
                <w:szCs w:val="22"/>
              </w:rPr>
              <w:t>slučajeva progresije bolesti</w:t>
            </w:r>
            <w:r w:rsidRPr="00A64329">
              <w:rPr>
                <w:sz w:val="22"/>
                <w:szCs w:val="22"/>
              </w:rPr>
              <w:t xml:space="preserve"> (6%) u grupi u </w:t>
            </w:r>
            <w:r>
              <w:rPr>
                <w:sz w:val="22"/>
                <w:szCs w:val="22"/>
              </w:rPr>
              <w:t xml:space="preserve">kojoj je primijenjen </w:t>
            </w:r>
            <w:r w:rsidRPr="00A64329">
              <w:rPr>
                <w:sz w:val="22"/>
                <w:szCs w:val="22"/>
              </w:rPr>
              <w:t>kapecitabin</w:t>
            </w:r>
            <w:r>
              <w:rPr>
                <w:sz w:val="22"/>
                <w:szCs w:val="22"/>
              </w:rPr>
              <w:t xml:space="preserve"> kao monoterapija</w:t>
            </w:r>
            <w:r w:rsidRPr="00A64329">
              <w:rPr>
                <w:sz w:val="22"/>
                <w:szCs w:val="22"/>
              </w:rPr>
              <w:t xml:space="preserve">. </w:t>
            </w:r>
          </w:p>
          <w:p w:rsidR="0068141C" w:rsidRPr="006E67EC" w:rsidRDefault="0068141C" w:rsidP="0068141C">
            <w:pPr>
              <w:pStyle w:val="Header"/>
              <w:tabs>
                <w:tab w:val="left" w:pos="284"/>
              </w:tabs>
              <w:rPr>
                <w:b/>
                <w:u w:val="single"/>
              </w:rPr>
            </w:pPr>
          </w:p>
          <w:p w:rsidR="0068141C" w:rsidRDefault="0068141C" w:rsidP="0068141C">
            <w:pPr>
              <w:pStyle w:val="Header"/>
              <w:tabs>
                <w:tab w:val="left" w:pos="284"/>
              </w:tabs>
              <w:rPr>
                <w:i/>
                <w:sz w:val="22"/>
                <w:szCs w:val="22"/>
                <w:lang w:val="sv-SE"/>
              </w:rPr>
            </w:pPr>
            <w:r w:rsidRPr="00B11638">
              <w:rPr>
                <w:i/>
                <w:sz w:val="22"/>
                <w:szCs w:val="22"/>
                <w:lang w:val="sv-SE"/>
              </w:rPr>
              <w:t>Kombinovana terapija l</w:t>
            </w:r>
            <w:r>
              <w:rPr>
                <w:i/>
                <w:sz w:val="22"/>
                <w:szCs w:val="22"/>
                <w:lang w:val="sv-SE"/>
              </w:rPr>
              <w:t>ij</w:t>
            </w:r>
            <w:r w:rsidRPr="00B11638">
              <w:rPr>
                <w:i/>
                <w:sz w:val="22"/>
                <w:szCs w:val="22"/>
                <w:lang w:val="sv-SE"/>
              </w:rPr>
              <w:t>eka Tyverb</w:t>
            </w:r>
            <w:r w:rsidRPr="00B11638">
              <w:rPr>
                <w:bCs/>
                <w:sz w:val="22"/>
                <w:szCs w:val="22"/>
                <w:vertAlign w:val="superscript"/>
              </w:rPr>
              <w:t>®</w:t>
            </w:r>
            <w:r w:rsidRPr="00B11638">
              <w:rPr>
                <w:i/>
                <w:sz w:val="22"/>
                <w:szCs w:val="22"/>
                <w:lang w:val="sv-SE"/>
              </w:rPr>
              <w:t>i letrozola</w:t>
            </w:r>
          </w:p>
          <w:p w:rsidR="0068141C" w:rsidRPr="00B11638" w:rsidRDefault="0068141C" w:rsidP="0068141C">
            <w:pPr>
              <w:pStyle w:val="Header"/>
              <w:tabs>
                <w:tab w:val="left" w:pos="284"/>
              </w:tabs>
              <w:rPr>
                <w:i/>
                <w:sz w:val="22"/>
                <w:szCs w:val="22"/>
                <w:lang w:val="sv-SE"/>
              </w:rPr>
            </w:pPr>
          </w:p>
          <w:p w:rsidR="0068141C" w:rsidRPr="00B11638" w:rsidRDefault="0068141C" w:rsidP="0068141C">
            <w:pPr>
              <w:pStyle w:val="Header"/>
              <w:tabs>
                <w:tab w:val="left" w:pos="284"/>
              </w:tabs>
              <w:rPr>
                <w:bCs/>
                <w:sz w:val="22"/>
                <w:szCs w:val="22"/>
              </w:rPr>
            </w:pPr>
            <w:r w:rsidRPr="00B11638">
              <w:rPr>
                <w:sz w:val="22"/>
                <w:szCs w:val="22"/>
                <w:lang w:val="sv-SE"/>
              </w:rPr>
              <w:t>Pim</w:t>
            </w:r>
            <w:r>
              <w:rPr>
                <w:sz w:val="22"/>
                <w:szCs w:val="22"/>
                <w:lang w:val="sv-SE"/>
              </w:rPr>
              <w:t>j</w:t>
            </w:r>
            <w:r w:rsidRPr="00B11638">
              <w:rPr>
                <w:sz w:val="22"/>
                <w:szCs w:val="22"/>
                <w:lang w:val="sv-SE"/>
              </w:rPr>
              <w:t>ena l</w:t>
            </w:r>
            <w:r>
              <w:rPr>
                <w:sz w:val="22"/>
                <w:szCs w:val="22"/>
                <w:lang w:val="sv-SE"/>
              </w:rPr>
              <w:t>ij</w:t>
            </w:r>
            <w:r w:rsidRPr="00B11638">
              <w:rPr>
                <w:sz w:val="22"/>
                <w:szCs w:val="22"/>
                <w:lang w:val="sv-SE"/>
              </w:rPr>
              <w:t>eka Tyverb</w:t>
            </w:r>
            <w:r w:rsidRPr="00B11638">
              <w:rPr>
                <w:bCs/>
                <w:sz w:val="22"/>
                <w:szCs w:val="22"/>
                <w:vertAlign w:val="superscript"/>
              </w:rPr>
              <w:t>®</w:t>
            </w:r>
            <w:r w:rsidRPr="00B11638">
              <w:rPr>
                <w:bCs/>
                <w:sz w:val="22"/>
                <w:szCs w:val="22"/>
              </w:rPr>
              <w:t xml:space="preserve"> u kombinaciji sa letrozolom je praćena kod postmenopauzalnih žena sa hormon receptor-pozitivnim (estrogen receptor [ER] pozitivan i/ili progesteron receptor [PgR] pozitivan) uznapredovalim ili metastatskim karcinomom dojke.</w:t>
            </w:r>
          </w:p>
          <w:p w:rsidR="0068141C" w:rsidRPr="00B11638" w:rsidRDefault="0068141C" w:rsidP="0068141C">
            <w:pPr>
              <w:pStyle w:val="Header"/>
              <w:tabs>
                <w:tab w:val="left" w:pos="284"/>
              </w:tabs>
              <w:rPr>
                <w:bCs/>
                <w:sz w:val="22"/>
                <w:szCs w:val="22"/>
              </w:rPr>
            </w:pPr>
          </w:p>
          <w:p w:rsidR="0068141C" w:rsidRDefault="0068141C" w:rsidP="0068141C">
            <w:pPr>
              <w:pStyle w:val="Header"/>
              <w:tabs>
                <w:tab w:val="left" w:pos="284"/>
              </w:tabs>
              <w:rPr>
                <w:bCs/>
                <w:sz w:val="22"/>
                <w:szCs w:val="22"/>
              </w:rPr>
            </w:pPr>
            <w:r w:rsidRPr="00B11638">
              <w:rPr>
                <w:bCs/>
                <w:sz w:val="22"/>
                <w:szCs w:val="22"/>
              </w:rPr>
              <w:t>U kliničkom ispitivanju faze III (EGF 30008) pacijenti su randomizovani u duplo sl</w:t>
            </w:r>
            <w:r>
              <w:rPr>
                <w:bCs/>
                <w:sz w:val="22"/>
                <w:szCs w:val="22"/>
              </w:rPr>
              <w:t>ij</w:t>
            </w:r>
            <w:r w:rsidRPr="00B11638">
              <w:rPr>
                <w:bCs/>
                <w:sz w:val="22"/>
                <w:szCs w:val="22"/>
              </w:rPr>
              <w:t>epu i placebo kontrolisanu. Kliničko ispitivanje je uključilo pacijente koji prethodno nisu primali terapiju za metastatsku bolest. Period uključivanja u kliničko ispitivanje (decembar 2003-decembar 2006) je prethodilo uvođenju trastuzumaba, kao adjuvantne t</w:t>
            </w:r>
            <w:r>
              <w:rPr>
                <w:bCs/>
                <w:sz w:val="22"/>
                <w:szCs w:val="22"/>
              </w:rPr>
              <w:t xml:space="preserve">erapije. </w:t>
            </w:r>
          </w:p>
          <w:p w:rsidR="0068141C" w:rsidRDefault="0068141C" w:rsidP="0068141C">
            <w:pPr>
              <w:pStyle w:val="Header"/>
              <w:tabs>
                <w:tab w:val="left" w:pos="284"/>
              </w:tabs>
              <w:rPr>
                <w:bCs/>
                <w:sz w:val="22"/>
                <w:szCs w:val="22"/>
              </w:rPr>
            </w:pPr>
          </w:p>
          <w:p w:rsidR="0068141C" w:rsidRPr="00B11638" w:rsidRDefault="0068141C" w:rsidP="0068141C">
            <w:pPr>
              <w:pStyle w:val="Header"/>
              <w:tabs>
                <w:tab w:val="left" w:pos="284"/>
              </w:tabs>
              <w:rPr>
                <w:i/>
                <w:sz w:val="22"/>
                <w:szCs w:val="22"/>
                <w:lang w:val="sv-SE"/>
              </w:rPr>
            </w:pPr>
            <w:r>
              <w:rPr>
                <w:bCs/>
                <w:sz w:val="22"/>
                <w:szCs w:val="22"/>
              </w:rPr>
              <w:t>U populaciji sa prekomje</w:t>
            </w:r>
            <w:r w:rsidRPr="00B11638">
              <w:rPr>
                <w:bCs/>
                <w:sz w:val="22"/>
                <w:szCs w:val="22"/>
              </w:rPr>
              <w:t>rnom HER2 ekspresijom, uključena su samo 2 pacijenta koja su prethodno primala terapiju trastuzumabom. Dva pacijenta su prethodno primal</w:t>
            </w:r>
            <w:r>
              <w:rPr>
                <w:bCs/>
                <w:sz w:val="22"/>
                <w:szCs w:val="22"/>
              </w:rPr>
              <w:t>a</w:t>
            </w:r>
            <w:r w:rsidRPr="00B11638">
              <w:rPr>
                <w:bCs/>
                <w:sz w:val="22"/>
                <w:szCs w:val="22"/>
              </w:rPr>
              <w:t xml:space="preserve"> terapiju aromataza inhibitorima i približno polovina ispitanika je prethodno primala tamoksifen. </w:t>
            </w:r>
          </w:p>
          <w:p w:rsidR="0068141C" w:rsidRPr="00B11638" w:rsidRDefault="0068141C" w:rsidP="0068141C">
            <w:pPr>
              <w:pStyle w:val="Header"/>
              <w:tabs>
                <w:tab w:val="left" w:pos="284"/>
              </w:tabs>
            </w:pPr>
          </w:p>
          <w:p w:rsidR="0068141C" w:rsidRPr="00B11638" w:rsidRDefault="0068141C" w:rsidP="0068141C">
            <w:pPr>
              <w:pStyle w:val="Header"/>
              <w:tabs>
                <w:tab w:val="left" w:pos="284"/>
              </w:tabs>
              <w:rPr>
                <w:bCs/>
                <w:sz w:val="22"/>
                <w:szCs w:val="22"/>
              </w:rPr>
            </w:pPr>
            <w:r w:rsidRPr="00B11638">
              <w:rPr>
                <w:sz w:val="22"/>
                <w:szCs w:val="22"/>
              </w:rPr>
              <w:t>Pacijenti su bili randomizovani u grupu koja je primala kombinaciju 2,5mg letrozola jednom dnevno i 1500mg l</w:t>
            </w:r>
            <w:r>
              <w:rPr>
                <w:sz w:val="22"/>
                <w:szCs w:val="22"/>
              </w:rPr>
              <w:t>ij</w:t>
            </w:r>
            <w:r w:rsidRPr="00B11638">
              <w:rPr>
                <w:sz w:val="22"/>
                <w:szCs w:val="22"/>
              </w:rPr>
              <w:t>eka Tyverb</w:t>
            </w:r>
            <w:r w:rsidRPr="00B11638">
              <w:rPr>
                <w:bCs/>
                <w:sz w:val="22"/>
                <w:szCs w:val="22"/>
                <w:vertAlign w:val="superscript"/>
              </w:rPr>
              <w:t>®</w:t>
            </w:r>
            <w:r w:rsidRPr="00B11638">
              <w:rPr>
                <w:bCs/>
                <w:sz w:val="22"/>
                <w:szCs w:val="22"/>
              </w:rPr>
              <w:t xml:space="preserve"> jednom dnevno i grupu koja je primala letrozol i placebo. Randomizacija je izvršena na osnovu lokalizacije bolesti od momenta prekida prethodne adjuvantne anti-estrogene terapije.</w:t>
            </w:r>
          </w:p>
          <w:p w:rsidR="0068141C" w:rsidRPr="00B11638" w:rsidRDefault="0068141C" w:rsidP="0068141C">
            <w:pPr>
              <w:pStyle w:val="Header"/>
              <w:tabs>
                <w:tab w:val="left" w:pos="284"/>
              </w:tabs>
              <w:rPr>
                <w:bCs/>
                <w:sz w:val="22"/>
                <w:szCs w:val="22"/>
              </w:rPr>
            </w:pPr>
            <w:r w:rsidRPr="00B11638">
              <w:rPr>
                <w:bCs/>
                <w:sz w:val="22"/>
                <w:szCs w:val="22"/>
              </w:rPr>
              <w:t>Status HER2 receptora je potvrđen retrospektivno testiranjem u centralnoj laboratoriji. Od svih pacijenata koji su randomizovani u terapiju, 219 pacijenata je imalo tumore koji su pokazivali prekom</w:t>
            </w:r>
            <w:r>
              <w:rPr>
                <w:bCs/>
                <w:sz w:val="22"/>
                <w:szCs w:val="22"/>
              </w:rPr>
              <w:t>j</w:t>
            </w:r>
            <w:r w:rsidRPr="00B11638">
              <w:rPr>
                <w:bCs/>
                <w:sz w:val="22"/>
                <w:szCs w:val="22"/>
              </w:rPr>
              <w:t>ernu ekspresiju</w:t>
            </w:r>
            <w:r>
              <w:rPr>
                <w:bCs/>
                <w:sz w:val="22"/>
                <w:szCs w:val="22"/>
              </w:rPr>
              <w:t xml:space="preserve"> HER2 receptora i to je bila prije</w:t>
            </w:r>
            <w:r w:rsidRPr="00B11638">
              <w:rPr>
                <w:bCs/>
                <w:sz w:val="22"/>
                <w:szCs w:val="22"/>
              </w:rPr>
              <w:t>-definisana primarna pop</w:t>
            </w:r>
            <w:r>
              <w:rPr>
                <w:bCs/>
                <w:sz w:val="22"/>
                <w:szCs w:val="22"/>
              </w:rPr>
              <w:t>u</w:t>
            </w:r>
            <w:r w:rsidRPr="00B11638">
              <w:rPr>
                <w:bCs/>
                <w:sz w:val="22"/>
                <w:szCs w:val="22"/>
              </w:rPr>
              <w:t>lacija za analizu efikasnosti. Bilo je 952 pacijenta sa HER2 negativnim tumorima i ukupno 115 pacijenata kod kojih HER2 status nije bio potvrđen (nije bilo uzorka tumora, rezultata testa ili drugog razloga).</w:t>
            </w:r>
          </w:p>
          <w:p w:rsidR="0068141C" w:rsidRPr="00B11638" w:rsidRDefault="0068141C" w:rsidP="0068141C">
            <w:pPr>
              <w:pStyle w:val="Header"/>
              <w:tabs>
                <w:tab w:val="left" w:pos="284"/>
              </w:tabs>
              <w:rPr>
                <w:bCs/>
                <w:sz w:val="22"/>
                <w:szCs w:val="22"/>
              </w:rPr>
            </w:pPr>
          </w:p>
          <w:p w:rsidR="0068141C" w:rsidRPr="00B11638" w:rsidRDefault="0068141C" w:rsidP="0068141C">
            <w:pPr>
              <w:pStyle w:val="Header"/>
              <w:tabs>
                <w:tab w:val="left" w:pos="284"/>
              </w:tabs>
              <w:rPr>
                <w:bCs/>
                <w:sz w:val="22"/>
                <w:szCs w:val="22"/>
              </w:rPr>
            </w:pPr>
            <w:r w:rsidRPr="00B11638">
              <w:rPr>
                <w:bCs/>
                <w:sz w:val="22"/>
                <w:szCs w:val="22"/>
              </w:rPr>
              <w:t>Kod pacijenata sa prekom</w:t>
            </w:r>
            <w:r>
              <w:rPr>
                <w:bCs/>
                <w:sz w:val="22"/>
                <w:szCs w:val="22"/>
              </w:rPr>
              <w:t>j</w:t>
            </w:r>
            <w:r w:rsidRPr="00B11638">
              <w:rPr>
                <w:bCs/>
                <w:sz w:val="22"/>
                <w:szCs w:val="22"/>
              </w:rPr>
              <w:t>ernom HER2 ekspresijom MBC, preživljavanje bez progresije (PFS) na osnovu proc</w:t>
            </w:r>
            <w:r>
              <w:rPr>
                <w:bCs/>
                <w:sz w:val="22"/>
                <w:szCs w:val="22"/>
              </w:rPr>
              <w:t>j</w:t>
            </w:r>
            <w:r w:rsidRPr="00B11638">
              <w:rPr>
                <w:bCs/>
                <w:sz w:val="22"/>
                <w:szCs w:val="22"/>
              </w:rPr>
              <w:t>ene istraživača je bilo značajno veće u grupi na letrozolu i l</w:t>
            </w:r>
            <w:r>
              <w:rPr>
                <w:bCs/>
                <w:sz w:val="22"/>
                <w:szCs w:val="22"/>
              </w:rPr>
              <w:t>ij</w:t>
            </w:r>
            <w:r w:rsidRPr="00B11638">
              <w:rPr>
                <w:bCs/>
                <w:sz w:val="22"/>
                <w:szCs w:val="22"/>
              </w:rPr>
              <w:t>eku Tyverb</w:t>
            </w:r>
            <w:r w:rsidRPr="00B11638">
              <w:rPr>
                <w:bCs/>
                <w:sz w:val="22"/>
                <w:szCs w:val="22"/>
                <w:vertAlign w:val="superscript"/>
              </w:rPr>
              <w:t>®</w:t>
            </w:r>
            <w:r w:rsidRPr="00B11638">
              <w:rPr>
                <w:bCs/>
                <w:sz w:val="22"/>
                <w:szCs w:val="22"/>
              </w:rPr>
              <w:t>, u poređenju sa grupom na letrozolu i placebu. U populaciji sa negativnim HER2, nije bilo prednosti u smislu PFS kada je prim</w:t>
            </w:r>
            <w:r>
              <w:rPr>
                <w:bCs/>
                <w:sz w:val="22"/>
                <w:szCs w:val="22"/>
              </w:rPr>
              <w:t>j</w:t>
            </w:r>
            <w:r w:rsidRPr="00B11638">
              <w:rPr>
                <w:bCs/>
                <w:sz w:val="22"/>
                <w:szCs w:val="22"/>
              </w:rPr>
              <w:t>enjivan letrozol u kombinaciji sa l</w:t>
            </w:r>
            <w:r>
              <w:rPr>
                <w:bCs/>
                <w:sz w:val="22"/>
                <w:szCs w:val="22"/>
              </w:rPr>
              <w:t>ij</w:t>
            </w:r>
            <w:r w:rsidRPr="00B11638">
              <w:rPr>
                <w:bCs/>
                <w:sz w:val="22"/>
                <w:szCs w:val="22"/>
              </w:rPr>
              <w:t>ekom Tyverb</w:t>
            </w:r>
            <w:r w:rsidRPr="00B11638">
              <w:rPr>
                <w:bCs/>
                <w:sz w:val="22"/>
                <w:szCs w:val="22"/>
                <w:vertAlign w:val="superscript"/>
              </w:rPr>
              <w:t>®</w:t>
            </w:r>
            <w:r w:rsidRPr="00B11638">
              <w:rPr>
                <w:bCs/>
                <w:sz w:val="22"/>
                <w:szCs w:val="22"/>
              </w:rPr>
              <w:t>, u poređenju sa grupom na letrozolu i placebu (vid</w:t>
            </w:r>
            <w:r>
              <w:rPr>
                <w:bCs/>
                <w:sz w:val="22"/>
                <w:szCs w:val="22"/>
              </w:rPr>
              <w:t>j</w:t>
            </w:r>
            <w:r w:rsidRPr="00B11638">
              <w:rPr>
                <w:bCs/>
                <w:sz w:val="22"/>
                <w:szCs w:val="22"/>
              </w:rPr>
              <w:t>eti Tabelu 3).</w:t>
            </w:r>
          </w:p>
          <w:p w:rsidR="0068141C" w:rsidRDefault="0068141C" w:rsidP="0068141C">
            <w:pPr>
              <w:pStyle w:val="Header"/>
              <w:tabs>
                <w:tab w:val="left" w:pos="284"/>
              </w:tabs>
              <w:rPr>
                <w:b/>
                <w:bCs/>
                <w:sz w:val="22"/>
                <w:szCs w:val="22"/>
                <w:u w:val="single"/>
              </w:rPr>
            </w:pPr>
          </w:p>
          <w:p w:rsidR="0068141C" w:rsidRPr="00B11638" w:rsidRDefault="0068141C" w:rsidP="0068141C">
            <w:pPr>
              <w:pStyle w:val="Header"/>
              <w:tabs>
                <w:tab w:val="left" w:pos="284"/>
              </w:tabs>
              <w:rPr>
                <w:b/>
                <w:bCs/>
                <w:sz w:val="22"/>
                <w:szCs w:val="22"/>
              </w:rPr>
            </w:pPr>
            <w:r w:rsidRPr="00B11638">
              <w:rPr>
                <w:b/>
                <w:bCs/>
                <w:sz w:val="22"/>
                <w:szCs w:val="22"/>
              </w:rPr>
              <w:t xml:space="preserve">Tabela 3. Podaci o </w:t>
            </w:r>
            <w:r w:rsidRPr="00B11638">
              <w:rPr>
                <w:b/>
                <w:bCs/>
                <w:sz w:val="22"/>
                <w:szCs w:val="22"/>
                <w:lang w:val="sr-Latn-CS"/>
              </w:rPr>
              <w:t>preživljavanju bez progresije bolesti iz kliničkog ispitivanja EGF30008 (Tyverb</w:t>
            </w:r>
            <w:r w:rsidRPr="00B11638">
              <w:rPr>
                <w:b/>
                <w:bCs/>
                <w:sz w:val="22"/>
                <w:szCs w:val="22"/>
                <w:vertAlign w:val="superscript"/>
              </w:rPr>
              <w:t>®</w:t>
            </w:r>
            <w:r w:rsidRPr="00B11638">
              <w:rPr>
                <w:b/>
                <w:bCs/>
                <w:sz w:val="22"/>
                <w:szCs w:val="22"/>
              </w:rPr>
              <w:t>/letrozol)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1773"/>
              <w:gridCol w:w="1682"/>
              <w:gridCol w:w="1773"/>
              <w:gridCol w:w="1883"/>
            </w:tblGrid>
            <w:tr w:rsidR="0068141C" w:rsidRPr="00B11638">
              <w:trPr>
                <w:cantSplit/>
              </w:trPr>
              <w:tc>
                <w:tcPr>
                  <w:tcW w:w="2377" w:type="dxa"/>
                  <w:vMerge w:val="restart"/>
                  <w:tcBorders>
                    <w:top w:val="single" w:sz="4" w:space="0" w:color="auto"/>
                    <w:left w:val="single" w:sz="4" w:space="0" w:color="auto"/>
                    <w:bottom w:val="single" w:sz="4" w:space="0" w:color="auto"/>
                    <w:right w:val="single" w:sz="4" w:space="0" w:color="auto"/>
                  </w:tcBorders>
                </w:tcPr>
                <w:p w:rsidR="0068141C" w:rsidRPr="00B11638" w:rsidRDefault="0068141C" w:rsidP="0068141C">
                  <w:pPr>
                    <w:keepNext/>
                    <w:rPr>
                      <w:rFonts w:eastAsia="MS Mincho"/>
                      <w:noProof/>
                      <w:color w:val="000000"/>
                      <w:sz w:val="22"/>
                      <w:szCs w:val="22"/>
                    </w:rPr>
                  </w:pPr>
                </w:p>
              </w:tc>
              <w:tc>
                <w:tcPr>
                  <w:tcW w:w="3339" w:type="dxa"/>
                  <w:gridSpan w:val="2"/>
                  <w:tcBorders>
                    <w:top w:val="single" w:sz="4" w:space="0" w:color="auto"/>
                    <w:left w:val="single" w:sz="4" w:space="0" w:color="auto"/>
                    <w:bottom w:val="single" w:sz="4" w:space="0" w:color="auto"/>
                    <w:right w:val="single" w:sz="4" w:space="0" w:color="auto"/>
                  </w:tcBorders>
                  <w:shd w:val="clear" w:color="auto" w:fill="auto"/>
                </w:tcPr>
                <w:p w:rsidR="0068141C" w:rsidRPr="00B11638" w:rsidRDefault="0068141C" w:rsidP="0068141C">
                  <w:pPr>
                    <w:keepNext/>
                    <w:keepLines/>
                    <w:jc w:val="center"/>
                    <w:rPr>
                      <w:rFonts w:eastAsia="MS Mincho"/>
                      <w:b/>
                      <w:noProof/>
                      <w:color w:val="000000"/>
                      <w:sz w:val="22"/>
                      <w:szCs w:val="22"/>
                    </w:rPr>
                  </w:pPr>
                  <w:r w:rsidRPr="00B11638">
                    <w:rPr>
                      <w:rFonts w:eastAsia="MS Mincho"/>
                      <w:b/>
                      <w:noProof/>
                      <w:color w:val="000000"/>
                      <w:sz w:val="22"/>
                      <w:szCs w:val="22"/>
                    </w:rPr>
                    <w:t>Populacija sa prekom</w:t>
                  </w:r>
                  <w:r>
                    <w:rPr>
                      <w:rFonts w:eastAsia="MS Mincho"/>
                      <w:b/>
                      <w:noProof/>
                      <w:color w:val="000000"/>
                      <w:sz w:val="22"/>
                      <w:szCs w:val="22"/>
                    </w:rPr>
                    <w:t>j</w:t>
                  </w:r>
                  <w:r w:rsidRPr="00B11638">
                    <w:rPr>
                      <w:rFonts w:eastAsia="MS Mincho"/>
                      <w:b/>
                      <w:noProof/>
                      <w:color w:val="000000"/>
                      <w:sz w:val="22"/>
                      <w:szCs w:val="22"/>
                    </w:rPr>
                    <w:t>ernom HER2 ekspresijom</w:t>
                  </w:r>
                </w:p>
              </w:tc>
              <w:tc>
                <w:tcPr>
                  <w:tcW w:w="3656"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keepNext/>
                    <w:keepLines/>
                    <w:jc w:val="center"/>
                    <w:rPr>
                      <w:rFonts w:eastAsia="MS Mincho"/>
                      <w:b/>
                      <w:noProof/>
                      <w:color w:val="000000"/>
                      <w:sz w:val="22"/>
                      <w:szCs w:val="22"/>
                    </w:rPr>
                  </w:pPr>
                  <w:r w:rsidRPr="00B11638">
                    <w:rPr>
                      <w:rFonts w:eastAsia="MS Mincho"/>
                      <w:b/>
                      <w:noProof/>
                      <w:color w:val="000000"/>
                      <w:sz w:val="22"/>
                      <w:szCs w:val="22"/>
                    </w:rPr>
                    <w:t>HER2 negativna populacija</w:t>
                  </w:r>
                </w:p>
              </w:tc>
            </w:tr>
            <w:tr w:rsidR="0068141C" w:rsidRPr="00B11638">
              <w:trPr>
                <w:cantSplit/>
              </w:trPr>
              <w:tc>
                <w:tcPr>
                  <w:tcW w:w="2377" w:type="dxa"/>
                  <w:vMerge/>
                  <w:tcBorders>
                    <w:top w:val="single" w:sz="4" w:space="0" w:color="auto"/>
                    <w:left w:val="single" w:sz="4" w:space="0" w:color="auto"/>
                    <w:bottom w:val="single" w:sz="4" w:space="0" w:color="auto"/>
                    <w:right w:val="single" w:sz="4" w:space="0" w:color="auto"/>
                  </w:tcBorders>
                  <w:vAlign w:val="center"/>
                </w:tcPr>
                <w:p w:rsidR="0068141C" w:rsidRPr="00B11638" w:rsidRDefault="0068141C" w:rsidP="0068141C">
                  <w:pPr>
                    <w:rPr>
                      <w:rFonts w:eastAsia="MS Mincho"/>
                      <w:noProof/>
                      <w:color w:val="000000"/>
                      <w:sz w:val="22"/>
                      <w:szCs w:val="22"/>
                    </w:rPr>
                  </w:pPr>
                </w:p>
              </w:tc>
              <w:tc>
                <w:tcPr>
                  <w:tcW w:w="1773"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keepLines/>
                    <w:jc w:val="center"/>
                    <w:rPr>
                      <w:rFonts w:eastAsia="MS Mincho"/>
                      <w:b/>
                      <w:noProof/>
                      <w:color w:val="000000"/>
                      <w:sz w:val="22"/>
                      <w:szCs w:val="22"/>
                    </w:rPr>
                  </w:pPr>
                  <w:r w:rsidRPr="00B11638">
                    <w:rPr>
                      <w:rFonts w:eastAsia="MS Mincho"/>
                      <w:b/>
                      <w:noProof/>
                      <w:color w:val="000000"/>
                      <w:sz w:val="22"/>
                      <w:szCs w:val="22"/>
                    </w:rPr>
                    <w:t>N = 111</w:t>
                  </w:r>
                </w:p>
              </w:tc>
              <w:tc>
                <w:tcPr>
                  <w:tcW w:w="1682"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keepLines/>
                    <w:jc w:val="center"/>
                    <w:rPr>
                      <w:rFonts w:eastAsia="MS Mincho"/>
                      <w:b/>
                      <w:noProof/>
                      <w:color w:val="000000"/>
                      <w:sz w:val="22"/>
                      <w:szCs w:val="22"/>
                    </w:rPr>
                  </w:pPr>
                  <w:r w:rsidRPr="00B11638">
                    <w:rPr>
                      <w:rFonts w:eastAsia="MS Mincho"/>
                      <w:b/>
                      <w:noProof/>
                      <w:color w:val="000000"/>
                      <w:sz w:val="22"/>
                      <w:szCs w:val="22"/>
                    </w:rPr>
                    <w:t>N = 108</w:t>
                  </w:r>
                </w:p>
              </w:tc>
              <w:tc>
                <w:tcPr>
                  <w:tcW w:w="1773"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keepLines/>
                    <w:jc w:val="center"/>
                    <w:rPr>
                      <w:rFonts w:eastAsia="MS Mincho"/>
                      <w:b/>
                      <w:noProof/>
                      <w:color w:val="000000"/>
                      <w:sz w:val="22"/>
                      <w:szCs w:val="22"/>
                    </w:rPr>
                  </w:pPr>
                  <w:r w:rsidRPr="00B11638">
                    <w:rPr>
                      <w:rFonts w:eastAsia="MS Mincho"/>
                      <w:b/>
                      <w:noProof/>
                      <w:color w:val="000000"/>
                      <w:sz w:val="22"/>
                      <w:szCs w:val="22"/>
                    </w:rPr>
                    <w:t>N = 478</w:t>
                  </w:r>
                </w:p>
              </w:tc>
              <w:tc>
                <w:tcPr>
                  <w:tcW w:w="1682"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keepLines/>
                    <w:jc w:val="center"/>
                    <w:rPr>
                      <w:rFonts w:eastAsia="MS Mincho"/>
                      <w:b/>
                      <w:noProof/>
                      <w:color w:val="000000"/>
                      <w:sz w:val="22"/>
                      <w:szCs w:val="22"/>
                    </w:rPr>
                  </w:pPr>
                  <w:r w:rsidRPr="00B11638">
                    <w:rPr>
                      <w:rFonts w:eastAsia="MS Mincho"/>
                      <w:b/>
                      <w:noProof/>
                      <w:color w:val="000000"/>
                      <w:sz w:val="22"/>
                      <w:szCs w:val="22"/>
                    </w:rPr>
                    <w:t>N = 474</w:t>
                  </w:r>
                </w:p>
              </w:tc>
            </w:tr>
            <w:tr w:rsidR="0068141C" w:rsidRPr="00B11638">
              <w:trPr>
                <w:cantSplit/>
              </w:trPr>
              <w:tc>
                <w:tcPr>
                  <w:tcW w:w="2377" w:type="dxa"/>
                  <w:vMerge/>
                  <w:tcBorders>
                    <w:top w:val="single" w:sz="4" w:space="0" w:color="auto"/>
                    <w:left w:val="single" w:sz="4" w:space="0" w:color="auto"/>
                    <w:bottom w:val="single" w:sz="4" w:space="0" w:color="auto"/>
                    <w:right w:val="single" w:sz="4" w:space="0" w:color="auto"/>
                  </w:tcBorders>
                  <w:vAlign w:val="center"/>
                </w:tcPr>
                <w:p w:rsidR="0068141C" w:rsidRPr="00B11638" w:rsidRDefault="0068141C" w:rsidP="0068141C">
                  <w:pPr>
                    <w:rPr>
                      <w:rFonts w:eastAsia="MS Mincho"/>
                      <w:noProof/>
                      <w:color w:val="000000"/>
                      <w:sz w:val="22"/>
                      <w:szCs w:val="22"/>
                    </w:rPr>
                  </w:pPr>
                </w:p>
              </w:tc>
              <w:tc>
                <w:tcPr>
                  <w:tcW w:w="1773"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keepLines/>
                    <w:jc w:val="center"/>
                    <w:rPr>
                      <w:rFonts w:eastAsia="MS Mincho"/>
                      <w:b/>
                      <w:noProof/>
                      <w:color w:val="000000"/>
                      <w:sz w:val="22"/>
                      <w:szCs w:val="22"/>
                    </w:rPr>
                  </w:pPr>
                  <w:r w:rsidRPr="00B11638">
                    <w:rPr>
                      <w:rFonts w:eastAsia="MS Mincho"/>
                      <w:b/>
                      <w:sz w:val="22"/>
                      <w:szCs w:val="22"/>
                    </w:rPr>
                    <w:t>Tyverb</w:t>
                  </w:r>
                  <w:r w:rsidRPr="00B11638">
                    <w:rPr>
                      <w:b/>
                      <w:bCs/>
                      <w:sz w:val="22"/>
                      <w:szCs w:val="22"/>
                      <w:vertAlign w:val="superscript"/>
                    </w:rPr>
                    <w:t>®</w:t>
                  </w:r>
                  <w:r w:rsidRPr="00B11638">
                    <w:rPr>
                      <w:rFonts w:eastAsia="MS Mincho"/>
                      <w:b/>
                      <w:noProof/>
                      <w:color w:val="000000"/>
                      <w:sz w:val="22"/>
                      <w:szCs w:val="22"/>
                    </w:rPr>
                    <w:t xml:space="preserve"> 1500 mg/ dnevno</w:t>
                  </w:r>
                </w:p>
                <w:p w:rsidR="0068141C" w:rsidRPr="00B11638" w:rsidRDefault="0068141C" w:rsidP="0068141C">
                  <w:pPr>
                    <w:keepLines/>
                    <w:jc w:val="center"/>
                    <w:rPr>
                      <w:rFonts w:eastAsia="MS Mincho"/>
                      <w:b/>
                      <w:noProof/>
                      <w:color w:val="000000"/>
                      <w:sz w:val="22"/>
                      <w:szCs w:val="22"/>
                    </w:rPr>
                  </w:pPr>
                  <w:r w:rsidRPr="00B11638">
                    <w:rPr>
                      <w:rFonts w:eastAsia="MS Mincho"/>
                      <w:b/>
                      <w:noProof/>
                      <w:color w:val="000000"/>
                      <w:sz w:val="22"/>
                      <w:szCs w:val="22"/>
                    </w:rPr>
                    <w:t>+ Letrozole 2,5 mg/ dnevno</w:t>
                  </w:r>
                </w:p>
              </w:tc>
              <w:tc>
                <w:tcPr>
                  <w:tcW w:w="1682"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keepLines/>
                    <w:rPr>
                      <w:rFonts w:eastAsia="MS Mincho"/>
                      <w:b/>
                      <w:noProof/>
                      <w:color w:val="000000"/>
                      <w:sz w:val="22"/>
                      <w:szCs w:val="22"/>
                    </w:rPr>
                  </w:pPr>
                  <w:r w:rsidRPr="00B11638">
                    <w:rPr>
                      <w:rFonts w:eastAsia="MS Mincho"/>
                      <w:b/>
                      <w:noProof/>
                      <w:color w:val="000000"/>
                      <w:sz w:val="22"/>
                      <w:szCs w:val="22"/>
                    </w:rPr>
                    <w:t>Letrozole 2,5 mg/ dnevno</w:t>
                  </w:r>
                  <w:r w:rsidRPr="00B11638">
                    <w:rPr>
                      <w:rFonts w:eastAsia="MS Mincho"/>
                      <w:b/>
                      <w:noProof/>
                      <w:color w:val="000000"/>
                      <w:sz w:val="22"/>
                      <w:szCs w:val="22"/>
                    </w:rPr>
                    <w:br/>
                    <w:t>+ placebo</w:t>
                  </w:r>
                </w:p>
              </w:tc>
              <w:tc>
                <w:tcPr>
                  <w:tcW w:w="1773"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keepLines/>
                    <w:jc w:val="center"/>
                    <w:rPr>
                      <w:rFonts w:eastAsia="MS Mincho"/>
                      <w:b/>
                      <w:noProof/>
                      <w:color w:val="000000"/>
                      <w:sz w:val="22"/>
                      <w:szCs w:val="22"/>
                    </w:rPr>
                  </w:pPr>
                  <w:r w:rsidRPr="00B11638">
                    <w:rPr>
                      <w:rFonts w:eastAsia="MS Mincho"/>
                      <w:b/>
                      <w:sz w:val="22"/>
                      <w:szCs w:val="22"/>
                    </w:rPr>
                    <w:t>Tyverb</w:t>
                  </w:r>
                  <w:r w:rsidRPr="00B11638">
                    <w:rPr>
                      <w:b/>
                      <w:bCs/>
                      <w:sz w:val="22"/>
                      <w:szCs w:val="22"/>
                      <w:vertAlign w:val="superscript"/>
                    </w:rPr>
                    <w:t>®</w:t>
                  </w:r>
                  <w:r w:rsidRPr="00B11638">
                    <w:rPr>
                      <w:rFonts w:eastAsia="MS Mincho"/>
                      <w:b/>
                      <w:noProof/>
                      <w:color w:val="000000"/>
                      <w:sz w:val="22"/>
                      <w:szCs w:val="22"/>
                    </w:rPr>
                    <w:t xml:space="preserve"> 1500 mg / dnevno</w:t>
                  </w:r>
                </w:p>
                <w:p w:rsidR="0068141C" w:rsidRPr="00B11638" w:rsidRDefault="0068141C" w:rsidP="0068141C">
                  <w:pPr>
                    <w:keepLines/>
                    <w:jc w:val="center"/>
                    <w:rPr>
                      <w:rFonts w:eastAsia="MS Mincho"/>
                      <w:b/>
                      <w:noProof/>
                      <w:color w:val="000000"/>
                      <w:sz w:val="22"/>
                      <w:szCs w:val="22"/>
                    </w:rPr>
                  </w:pPr>
                  <w:r w:rsidRPr="00B11638">
                    <w:rPr>
                      <w:rFonts w:eastAsia="MS Mincho"/>
                      <w:b/>
                      <w:noProof/>
                      <w:color w:val="000000"/>
                      <w:sz w:val="22"/>
                      <w:szCs w:val="22"/>
                    </w:rPr>
                    <w:t>+ Letrozole 2,5 mg /dnevno</w:t>
                  </w:r>
                </w:p>
              </w:tc>
              <w:tc>
                <w:tcPr>
                  <w:tcW w:w="1682"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keepLines/>
                    <w:jc w:val="center"/>
                    <w:rPr>
                      <w:rFonts w:eastAsia="MS Mincho"/>
                      <w:b/>
                      <w:noProof/>
                      <w:color w:val="000000"/>
                      <w:sz w:val="22"/>
                      <w:szCs w:val="22"/>
                    </w:rPr>
                  </w:pPr>
                </w:p>
                <w:p w:rsidR="0068141C" w:rsidRPr="00B11638" w:rsidRDefault="0068141C" w:rsidP="0068141C">
                  <w:pPr>
                    <w:keepLines/>
                    <w:jc w:val="center"/>
                    <w:rPr>
                      <w:rFonts w:eastAsia="MS Mincho"/>
                      <w:b/>
                      <w:noProof/>
                      <w:color w:val="000000"/>
                      <w:sz w:val="22"/>
                      <w:szCs w:val="22"/>
                    </w:rPr>
                  </w:pPr>
                  <w:r w:rsidRPr="00B11638">
                    <w:rPr>
                      <w:rFonts w:eastAsia="MS Mincho"/>
                      <w:b/>
                      <w:noProof/>
                      <w:color w:val="000000"/>
                      <w:sz w:val="22"/>
                      <w:szCs w:val="22"/>
                    </w:rPr>
                    <w:t>Letrozole 2,5mg /dnevno</w:t>
                  </w:r>
                  <w:r w:rsidRPr="00B11638">
                    <w:rPr>
                      <w:rFonts w:eastAsia="MS Mincho"/>
                      <w:b/>
                      <w:noProof/>
                      <w:color w:val="000000"/>
                      <w:sz w:val="22"/>
                      <w:szCs w:val="22"/>
                    </w:rPr>
                    <w:br/>
                    <w:t>+ placebo</w:t>
                  </w:r>
                </w:p>
              </w:tc>
            </w:tr>
            <w:tr w:rsidR="0068141C" w:rsidRPr="00B11638">
              <w:tc>
                <w:tcPr>
                  <w:tcW w:w="2377"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rPr>
                      <w:rFonts w:eastAsia="MS Mincho"/>
                      <w:b/>
                      <w:noProof/>
                      <w:color w:val="000000"/>
                      <w:sz w:val="22"/>
                      <w:szCs w:val="22"/>
                    </w:rPr>
                  </w:pPr>
                  <w:r w:rsidRPr="00B11638">
                    <w:rPr>
                      <w:rFonts w:eastAsia="MS Mincho"/>
                      <w:b/>
                      <w:noProof/>
                      <w:color w:val="000000"/>
                      <w:sz w:val="22"/>
                      <w:szCs w:val="22"/>
                    </w:rPr>
                    <w:t>Medijana PFS, ned</w:t>
                  </w:r>
                  <w:r>
                    <w:rPr>
                      <w:rFonts w:eastAsia="MS Mincho"/>
                      <w:b/>
                      <w:noProof/>
                      <w:color w:val="000000"/>
                      <w:sz w:val="22"/>
                      <w:szCs w:val="22"/>
                    </w:rPr>
                    <w:t>j</w:t>
                  </w:r>
                  <w:r w:rsidRPr="00B11638">
                    <w:rPr>
                      <w:rFonts w:eastAsia="MS Mincho"/>
                      <w:b/>
                      <w:noProof/>
                      <w:color w:val="000000"/>
                      <w:sz w:val="22"/>
                      <w:szCs w:val="22"/>
                    </w:rPr>
                    <w:t>elje (95% CI)</w:t>
                  </w:r>
                </w:p>
              </w:tc>
              <w:tc>
                <w:tcPr>
                  <w:tcW w:w="1773"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before="120"/>
                    <w:jc w:val="center"/>
                    <w:rPr>
                      <w:rFonts w:eastAsia="MS Mincho"/>
                      <w:noProof/>
                      <w:color w:val="000000"/>
                      <w:sz w:val="22"/>
                      <w:szCs w:val="22"/>
                    </w:rPr>
                  </w:pPr>
                  <w:r w:rsidRPr="00B11638">
                    <w:rPr>
                      <w:rFonts w:eastAsia="MS Mincho"/>
                      <w:noProof/>
                      <w:color w:val="000000"/>
                      <w:sz w:val="22"/>
                      <w:szCs w:val="22"/>
                    </w:rPr>
                    <w:t>35,4</w:t>
                  </w:r>
                </w:p>
                <w:p w:rsidR="0068141C" w:rsidRPr="00B11638" w:rsidRDefault="0068141C" w:rsidP="0068141C">
                  <w:pPr>
                    <w:spacing w:before="120"/>
                    <w:jc w:val="center"/>
                    <w:rPr>
                      <w:rFonts w:eastAsia="MS Mincho"/>
                      <w:noProof/>
                      <w:color w:val="000000"/>
                      <w:sz w:val="22"/>
                      <w:szCs w:val="22"/>
                    </w:rPr>
                  </w:pPr>
                  <w:r w:rsidRPr="00B11638">
                    <w:rPr>
                      <w:rFonts w:eastAsia="MS Mincho"/>
                      <w:noProof/>
                      <w:color w:val="000000"/>
                      <w:sz w:val="22"/>
                      <w:szCs w:val="22"/>
                    </w:rPr>
                    <w:t>(24,1; 39,4)</w:t>
                  </w:r>
                </w:p>
              </w:tc>
              <w:tc>
                <w:tcPr>
                  <w:tcW w:w="1682"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before="120"/>
                    <w:jc w:val="center"/>
                    <w:rPr>
                      <w:rFonts w:eastAsia="MS Mincho"/>
                      <w:noProof/>
                      <w:color w:val="000000"/>
                      <w:sz w:val="22"/>
                      <w:szCs w:val="22"/>
                    </w:rPr>
                  </w:pPr>
                  <w:r w:rsidRPr="00B11638">
                    <w:rPr>
                      <w:rFonts w:eastAsia="MS Mincho"/>
                      <w:noProof/>
                      <w:color w:val="000000"/>
                      <w:sz w:val="22"/>
                      <w:szCs w:val="22"/>
                    </w:rPr>
                    <w:t>13,0</w:t>
                  </w:r>
                </w:p>
                <w:p w:rsidR="0068141C" w:rsidRPr="00B11638" w:rsidRDefault="0068141C" w:rsidP="0068141C">
                  <w:pPr>
                    <w:spacing w:before="120"/>
                    <w:jc w:val="center"/>
                    <w:rPr>
                      <w:rFonts w:eastAsia="MS Mincho"/>
                      <w:noProof/>
                      <w:color w:val="000000"/>
                      <w:sz w:val="22"/>
                      <w:szCs w:val="22"/>
                    </w:rPr>
                  </w:pPr>
                  <w:r w:rsidRPr="00B11638">
                    <w:rPr>
                      <w:rFonts w:eastAsia="MS Mincho"/>
                      <w:noProof/>
                      <w:color w:val="000000"/>
                      <w:sz w:val="22"/>
                      <w:szCs w:val="22"/>
                    </w:rPr>
                    <w:t>(12,0; 23,7)</w:t>
                  </w:r>
                </w:p>
              </w:tc>
              <w:tc>
                <w:tcPr>
                  <w:tcW w:w="1773"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before="120"/>
                    <w:jc w:val="center"/>
                    <w:rPr>
                      <w:rFonts w:eastAsia="MS Mincho"/>
                      <w:noProof/>
                      <w:color w:val="000000"/>
                      <w:sz w:val="22"/>
                      <w:szCs w:val="22"/>
                    </w:rPr>
                  </w:pPr>
                  <w:r w:rsidRPr="00B11638">
                    <w:rPr>
                      <w:rFonts w:eastAsia="MS Mincho"/>
                      <w:noProof/>
                      <w:color w:val="000000"/>
                      <w:sz w:val="22"/>
                      <w:szCs w:val="22"/>
                    </w:rPr>
                    <w:t>59,7</w:t>
                  </w:r>
                </w:p>
                <w:p w:rsidR="0068141C" w:rsidRPr="00B11638" w:rsidRDefault="0068141C" w:rsidP="0068141C">
                  <w:pPr>
                    <w:spacing w:before="120"/>
                    <w:jc w:val="center"/>
                    <w:rPr>
                      <w:rFonts w:eastAsia="MS Mincho"/>
                      <w:noProof/>
                      <w:color w:val="000000"/>
                      <w:sz w:val="22"/>
                      <w:szCs w:val="22"/>
                    </w:rPr>
                  </w:pPr>
                  <w:r w:rsidRPr="00B11638">
                    <w:rPr>
                      <w:rFonts w:eastAsia="MS Mincho"/>
                      <w:noProof/>
                      <w:color w:val="000000"/>
                      <w:sz w:val="22"/>
                      <w:szCs w:val="22"/>
                    </w:rPr>
                    <w:t>(48,6; 69,7)</w:t>
                  </w:r>
                </w:p>
              </w:tc>
              <w:tc>
                <w:tcPr>
                  <w:tcW w:w="1682"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before="120"/>
                    <w:jc w:val="center"/>
                    <w:rPr>
                      <w:rFonts w:eastAsia="MS Mincho"/>
                      <w:noProof/>
                      <w:color w:val="000000"/>
                      <w:sz w:val="22"/>
                      <w:szCs w:val="22"/>
                    </w:rPr>
                  </w:pPr>
                  <w:r w:rsidRPr="00B11638">
                    <w:rPr>
                      <w:rFonts w:eastAsia="MS Mincho"/>
                      <w:noProof/>
                      <w:color w:val="000000"/>
                      <w:sz w:val="22"/>
                      <w:szCs w:val="22"/>
                    </w:rPr>
                    <w:t>58,3</w:t>
                  </w:r>
                </w:p>
                <w:p w:rsidR="0068141C" w:rsidRPr="00B11638" w:rsidRDefault="0068141C" w:rsidP="0068141C">
                  <w:pPr>
                    <w:spacing w:before="120"/>
                    <w:jc w:val="center"/>
                    <w:rPr>
                      <w:rFonts w:eastAsia="MS Mincho"/>
                      <w:noProof/>
                      <w:color w:val="000000"/>
                      <w:sz w:val="22"/>
                      <w:szCs w:val="22"/>
                    </w:rPr>
                  </w:pPr>
                  <w:r w:rsidRPr="00B11638">
                    <w:rPr>
                      <w:rFonts w:eastAsia="MS Mincho"/>
                      <w:noProof/>
                      <w:color w:val="000000"/>
                      <w:sz w:val="22"/>
                      <w:szCs w:val="22"/>
                    </w:rPr>
                    <w:t>(47,9; 62,0)</w:t>
                  </w:r>
                </w:p>
              </w:tc>
            </w:tr>
            <w:tr w:rsidR="0068141C" w:rsidRPr="00B11638">
              <w:tc>
                <w:tcPr>
                  <w:tcW w:w="2377"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ind w:left="567"/>
                    <w:rPr>
                      <w:rFonts w:eastAsia="MS Mincho"/>
                      <w:b/>
                      <w:noProof/>
                      <w:color w:val="000000"/>
                      <w:sz w:val="22"/>
                      <w:szCs w:val="22"/>
                    </w:rPr>
                  </w:pPr>
                  <w:r w:rsidRPr="00B11638">
                    <w:rPr>
                      <w:rFonts w:eastAsia="MS Mincho"/>
                      <w:b/>
                      <w:noProof/>
                      <w:color w:val="000000"/>
                      <w:sz w:val="22"/>
                      <w:szCs w:val="22"/>
                    </w:rPr>
                    <w:t>Odnos rizika</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0,71 (0,53; 0,96)</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0,90 (0,77; 1,05)</w:t>
                  </w:r>
                </w:p>
              </w:tc>
            </w:tr>
            <w:tr w:rsidR="0068141C" w:rsidRPr="00B11638">
              <w:tc>
                <w:tcPr>
                  <w:tcW w:w="2377"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ind w:left="567"/>
                    <w:rPr>
                      <w:rFonts w:eastAsia="MS Mincho"/>
                      <w:b/>
                      <w:noProof/>
                      <w:color w:val="000000"/>
                      <w:sz w:val="22"/>
                      <w:szCs w:val="22"/>
                    </w:rPr>
                  </w:pPr>
                  <w:r w:rsidRPr="00B11638">
                    <w:rPr>
                      <w:rFonts w:eastAsia="MS Mincho"/>
                      <w:b/>
                      <w:noProof/>
                      <w:color w:val="000000"/>
                      <w:sz w:val="22"/>
                      <w:szCs w:val="22"/>
                    </w:rPr>
                    <w:t>p vr</w:t>
                  </w:r>
                  <w:r>
                    <w:rPr>
                      <w:rFonts w:eastAsia="MS Mincho"/>
                      <w:b/>
                      <w:noProof/>
                      <w:color w:val="000000"/>
                      <w:sz w:val="22"/>
                      <w:szCs w:val="22"/>
                    </w:rPr>
                    <w:t>ij</w:t>
                  </w:r>
                  <w:r w:rsidRPr="00B11638">
                    <w:rPr>
                      <w:rFonts w:eastAsia="MS Mincho"/>
                      <w:b/>
                      <w:noProof/>
                      <w:color w:val="000000"/>
                      <w:sz w:val="22"/>
                      <w:szCs w:val="22"/>
                    </w:rPr>
                    <w:t>ednost</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0,019</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0,188</w:t>
                  </w:r>
                </w:p>
              </w:tc>
            </w:tr>
            <w:tr w:rsidR="0068141C" w:rsidRPr="00B11638">
              <w:tc>
                <w:tcPr>
                  <w:tcW w:w="2377"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after="240"/>
                    <w:rPr>
                      <w:rFonts w:eastAsia="MS Mincho"/>
                      <w:b/>
                      <w:noProof/>
                      <w:color w:val="000000"/>
                      <w:sz w:val="22"/>
                      <w:szCs w:val="22"/>
                    </w:rPr>
                  </w:pPr>
                  <w:r w:rsidRPr="00B11638">
                    <w:rPr>
                      <w:rFonts w:eastAsia="MS Mincho"/>
                      <w:b/>
                      <w:noProof/>
                      <w:color w:val="000000"/>
                      <w:sz w:val="22"/>
                      <w:szCs w:val="22"/>
                    </w:rPr>
                    <w:t>Objektivna stopa odgovora (ORR)</w:t>
                  </w:r>
                </w:p>
              </w:tc>
              <w:tc>
                <w:tcPr>
                  <w:tcW w:w="1773"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after="240"/>
                    <w:jc w:val="center"/>
                    <w:rPr>
                      <w:rFonts w:eastAsia="MS Mincho"/>
                      <w:noProof/>
                      <w:color w:val="000000"/>
                      <w:sz w:val="22"/>
                      <w:szCs w:val="22"/>
                    </w:rPr>
                  </w:pPr>
                  <w:r w:rsidRPr="00B11638">
                    <w:rPr>
                      <w:rFonts w:eastAsia="MS Mincho"/>
                      <w:noProof/>
                      <w:color w:val="000000"/>
                      <w:sz w:val="22"/>
                      <w:szCs w:val="22"/>
                    </w:rPr>
                    <w:t>27,9%</w:t>
                  </w:r>
                </w:p>
              </w:tc>
              <w:tc>
                <w:tcPr>
                  <w:tcW w:w="1682"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after="240"/>
                    <w:jc w:val="center"/>
                    <w:rPr>
                      <w:rFonts w:eastAsia="MS Mincho"/>
                      <w:noProof/>
                      <w:color w:val="000000"/>
                      <w:sz w:val="22"/>
                      <w:szCs w:val="22"/>
                    </w:rPr>
                  </w:pPr>
                  <w:r w:rsidRPr="00B11638">
                    <w:rPr>
                      <w:rFonts w:eastAsia="MS Mincho"/>
                      <w:noProof/>
                      <w:color w:val="000000"/>
                      <w:sz w:val="22"/>
                      <w:szCs w:val="22"/>
                    </w:rPr>
                    <w:t>14,8%</w:t>
                  </w:r>
                </w:p>
              </w:tc>
              <w:tc>
                <w:tcPr>
                  <w:tcW w:w="1773"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after="240"/>
                    <w:jc w:val="center"/>
                    <w:rPr>
                      <w:rFonts w:eastAsia="MS Mincho"/>
                      <w:noProof/>
                      <w:color w:val="000000"/>
                      <w:sz w:val="22"/>
                      <w:szCs w:val="22"/>
                    </w:rPr>
                  </w:pPr>
                  <w:r w:rsidRPr="00B11638">
                    <w:rPr>
                      <w:rFonts w:eastAsia="MS Mincho"/>
                      <w:noProof/>
                      <w:color w:val="000000"/>
                      <w:sz w:val="22"/>
                      <w:szCs w:val="22"/>
                    </w:rPr>
                    <w:t>32,6%</w:t>
                  </w:r>
                </w:p>
              </w:tc>
              <w:tc>
                <w:tcPr>
                  <w:tcW w:w="1682"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after="240"/>
                    <w:jc w:val="center"/>
                    <w:rPr>
                      <w:rFonts w:eastAsia="MS Mincho"/>
                      <w:noProof/>
                      <w:color w:val="000000"/>
                      <w:sz w:val="22"/>
                      <w:szCs w:val="22"/>
                    </w:rPr>
                  </w:pPr>
                  <w:r w:rsidRPr="00B11638">
                    <w:rPr>
                      <w:rFonts w:eastAsia="MS Mincho"/>
                      <w:noProof/>
                      <w:color w:val="000000"/>
                      <w:sz w:val="22"/>
                      <w:szCs w:val="22"/>
                    </w:rPr>
                    <w:t>31,6%</w:t>
                  </w:r>
                </w:p>
              </w:tc>
            </w:tr>
            <w:tr w:rsidR="0068141C" w:rsidRPr="00B11638">
              <w:tc>
                <w:tcPr>
                  <w:tcW w:w="2377"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ind w:left="567"/>
                    <w:rPr>
                      <w:rFonts w:eastAsia="MS Mincho"/>
                      <w:b/>
                      <w:noProof/>
                      <w:color w:val="000000"/>
                      <w:sz w:val="22"/>
                      <w:szCs w:val="22"/>
                    </w:rPr>
                  </w:pPr>
                  <w:r>
                    <w:rPr>
                      <w:rFonts w:eastAsia="MS Mincho"/>
                      <w:b/>
                      <w:noProof/>
                      <w:color w:val="000000"/>
                      <w:sz w:val="22"/>
                      <w:szCs w:val="22"/>
                    </w:rPr>
                    <w:t>Odnos koristi</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0,4 (0,2; 0,9)</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0,9 (0,7; 1,3)</w:t>
                  </w:r>
                </w:p>
              </w:tc>
            </w:tr>
            <w:tr w:rsidR="0068141C" w:rsidRPr="00B11638">
              <w:tc>
                <w:tcPr>
                  <w:tcW w:w="2377"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ind w:left="567"/>
                    <w:rPr>
                      <w:rFonts w:eastAsia="MS Mincho"/>
                      <w:b/>
                      <w:noProof/>
                      <w:color w:val="000000"/>
                      <w:sz w:val="22"/>
                      <w:szCs w:val="22"/>
                    </w:rPr>
                  </w:pPr>
                  <w:r w:rsidRPr="00B11638">
                    <w:rPr>
                      <w:rFonts w:eastAsia="MS Mincho"/>
                      <w:b/>
                      <w:noProof/>
                      <w:color w:val="000000"/>
                      <w:sz w:val="22"/>
                      <w:szCs w:val="22"/>
                    </w:rPr>
                    <w:t>p vr</w:t>
                  </w:r>
                  <w:r>
                    <w:rPr>
                      <w:rFonts w:eastAsia="MS Mincho"/>
                      <w:b/>
                      <w:noProof/>
                      <w:color w:val="000000"/>
                      <w:sz w:val="22"/>
                      <w:szCs w:val="22"/>
                    </w:rPr>
                    <w:t>ij</w:t>
                  </w:r>
                  <w:r w:rsidRPr="00B11638">
                    <w:rPr>
                      <w:rFonts w:eastAsia="MS Mincho"/>
                      <w:b/>
                      <w:noProof/>
                      <w:color w:val="000000"/>
                      <w:sz w:val="22"/>
                      <w:szCs w:val="22"/>
                    </w:rPr>
                    <w:t>ednost</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0,021</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0,26</w:t>
                  </w:r>
                </w:p>
              </w:tc>
            </w:tr>
            <w:tr w:rsidR="0068141C" w:rsidRPr="00B11638">
              <w:tc>
                <w:tcPr>
                  <w:tcW w:w="2377"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after="240"/>
                    <w:rPr>
                      <w:rFonts w:eastAsia="MS Mincho"/>
                      <w:b/>
                      <w:noProof/>
                      <w:color w:val="000000"/>
                      <w:sz w:val="22"/>
                      <w:szCs w:val="22"/>
                    </w:rPr>
                  </w:pPr>
                  <w:r w:rsidRPr="00B11638">
                    <w:rPr>
                      <w:rFonts w:eastAsia="MS Mincho"/>
                      <w:b/>
                      <w:noProof/>
                      <w:color w:val="000000"/>
                      <w:sz w:val="22"/>
                      <w:szCs w:val="22"/>
                    </w:rPr>
                    <w:t>Klinička stopa koristi (</w:t>
                  </w:r>
                  <w:smartTag w:uri="urn:schemas-microsoft-com:office:smarttags" w:element="stockticker">
                    <w:r w:rsidRPr="00B11638">
                      <w:rPr>
                        <w:rFonts w:eastAsia="MS Mincho"/>
                        <w:b/>
                        <w:noProof/>
                        <w:color w:val="000000"/>
                        <w:sz w:val="22"/>
                        <w:szCs w:val="22"/>
                      </w:rPr>
                      <w:t>CBR</w:t>
                    </w:r>
                  </w:smartTag>
                  <w:r w:rsidRPr="00B11638">
                    <w:rPr>
                      <w:rFonts w:eastAsia="MS Mincho"/>
                      <w:b/>
                      <w:noProof/>
                      <w:color w:val="000000"/>
                      <w:sz w:val="22"/>
                      <w:szCs w:val="22"/>
                    </w:rPr>
                    <w:t>)</w:t>
                  </w:r>
                </w:p>
              </w:tc>
              <w:tc>
                <w:tcPr>
                  <w:tcW w:w="1773"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after="240"/>
                    <w:jc w:val="center"/>
                    <w:rPr>
                      <w:rFonts w:eastAsia="MS Mincho"/>
                      <w:noProof/>
                      <w:color w:val="000000"/>
                      <w:sz w:val="22"/>
                      <w:szCs w:val="22"/>
                    </w:rPr>
                  </w:pPr>
                  <w:r w:rsidRPr="00B11638">
                    <w:rPr>
                      <w:rFonts w:eastAsia="MS Mincho"/>
                      <w:noProof/>
                      <w:color w:val="000000"/>
                      <w:sz w:val="22"/>
                      <w:szCs w:val="22"/>
                    </w:rPr>
                    <w:t>47,7%</w:t>
                  </w:r>
                </w:p>
              </w:tc>
              <w:tc>
                <w:tcPr>
                  <w:tcW w:w="1682"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after="240"/>
                    <w:jc w:val="center"/>
                    <w:rPr>
                      <w:rFonts w:eastAsia="MS Mincho"/>
                      <w:noProof/>
                      <w:color w:val="000000"/>
                      <w:sz w:val="22"/>
                      <w:szCs w:val="22"/>
                    </w:rPr>
                  </w:pPr>
                  <w:r w:rsidRPr="00B11638">
                    <w:rPr>
                      <w:rFonts w:eastAsia="MS Mincho"/>
                      <w:noProof/>
                      <w:color w:val="000000"/>
                      <w:sz w:val="22"/>
                      <w:szCs w:val="22"/>
                    </w:rPr>
                    <w:t>28,7%</w:t>
                  </w:r>
                </w:p>
              </w:tc>
              <w:tc>
                <w:tcPr>
                  <w:tcW w:w="1773"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after="240"/>
                    <w:jc w:val="center"/>
                    <w:rPr>
                      <w:rFonts w:eastAsia="MS Mincho"/>
                      <w:noProof/>
                      <w:color w:val="000000"/>
                      <w:sz w:val="22"/>
                      <w:szCs w:val="22"/>
                    </w:rPr>
                  </w:pPr>
                  <w:r w:rsidRPr="00B11638">
                    <w:rPr>
                      <w:rFonts w:eastAsia="MS Mincho"/>
                      <w:noProof/>
                      <w:color w:val="000000"/>
                      <w:sz w:val="22"/>
                      <w:szCs w:val="22"/>
                    </w:rPr>
                    <w:t>58,2%</w:t>
                  </w:r>
                </w:p>
              </w:tc>
              <w:tc>
                <w:tcPr>
                  <w:tcW w:w="1682"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spacing w:after="240"/>
                    <w:jc w:val="center"/>
                    <w:rPr>
                      <w:rFonts w:eastAsia="MS Mincho"/>
                      <w:noProof/>
                      <w:color w:val="000000"/>
                      <w:sz w:val="22"/>
                      <w:szCs w:val="22"/>
                    </w:rPr>
                  </w:pPr>
                  <w:r w:rsidRPr="00B11638">
                    <w:rPr>
                      <w:rFonts w:eastAsia="MS Mincho"/>
                      <w:noProof/>
                      <w:color w:val="000000"/>
                      <w:sz w:val="22"/>
                      <w:szCs w:val="22"/>
                    </w:rPr>
                    <w:t>31,6%</w:t>
                  </w:r>
                </w:p>
              </w:tc>
            </w:tr>
            <w:tr w:rsidR="0068141C" w:rsidRPr="00B11638">
              <w:tc>
                <w:tcPr>
                  <w:tcW w:w="2377"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ind w:left="567"/>
                    <w:rPr>
                      <w:rFonts w:eastAsia="MS Mincho"/>
                      <w:b/>
                      <w:noProof/>
                      <w:color w:val="000000"/>
                      <w:sz w:val="22"/>
                      <w:szCs w:val="22"/>
                    </w:rPr>
                  </w:pPr>
                  <w:r>
                    <w:rPr>
                      <w:rFonts w:eastAsia="MS Mincho"/>
                      <w:b/>
                      <w:noProof/>
                      <w:color w:val="000000"/>
                      <w:sz w:val="22"/>
                      <w:szCs w:val="22"/>
                    </w:rPr>
                    <w:t>Odnos koristi</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0,4 (0,2; 0,8)</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1,0 (0,7; 1,2)</w:t>
                  </w:r>
                </w:p>
              </w:tc>
            </w:tr>
            <w:tr w:rsidR="0068141C" w:rsidRPr="00B11638">
              <w:tc>
                <w:tcPr>
                  <w:tcW w:w="2377" w:type="dxa"/>
                  <w:tcBorders>
                    <w:top w:val="single" w:sz="4" w:space="0" w:color="auto"/>
                    <w:left w:val="single" w:sz="4" w:space="0" w:color="auto"/>
                    <w:bottom w:val="single" w:sz="4" w:space="0" w:color="auto"/>
                    <w:right w:val="single" w:sz="4" w:space="0" w:color="auto"/>
                  </w:tcBorders>
                </w:tcPr>
                <w:p w:rsidR="0068141C" w:rsidRPr="00B11638" w:rsidRDefault="0068141C" w:rsidP="0068141C">
                  <w:pPr>
                    <w:ind w:left="567"/>
                    <w:rPr>
                      <w:rFonts w:eastAsia="MS Mincho"/>
                      <w:b/>
                      <w:noProof/>
                      <w:color w:val="000000"/>
                      <w:sz w:val="22"/>
                      <w:szCs w:val="22"/>
                    </w:rPr>
                  </w:pPr>
                  <w:r w:rsidRPr="00B11638">
                    <w:rPr>
                      <w:rFonts w:eastAsia="MS Mincho"/>
                      <w:b/>
                      <w:noProof/>
                      <w:color w:val="000000"/>
                      <w:sz w:val="22"/>
                      <w:szCs w:val="22"/>
                    </w:rPr>
                    <w:t>p vr</w:t>
                  </w:r>
                  <w:r>
                    <w:rPr>
                      <w:rFonts w:eastAsia="MS Mincho"/>
                      <w:b/>
                      <w:noProof/>
                      <w:color w:val="000000"/>
                      <w:sz w:val="22"/>
                      <w:szCs w:val="22"/>
                    </w:rPr>
                    <w:t>ij</w:t>
                  </w:r>
                  <w:r w:rsidRPr="00B11638">
                    <w:rPr>
                      <w:rFonts w:eastAsia="MS Mincho"/>
                      <w:b/>
                      <w:noProof/>
                      <w:color w:val="000000"/>
                      <w:sz w:val="22"/>
                      <w:szCs w:val="22"/>
                    </w:rPr>
                    <w:t>ednost</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0,003</w:t>
                  </w:r>
                </w:p>
              </w:tc>
              <w:tc>
                <w:tcPr>
                  <w:tcW w:w="3455" w:type="dxa"/>
                  <w:gridSpan w:val="2"/>
                  <w:tcBorders>
                    <w:top w:val="single" w:sz="4" w:space="0" w:color="auto"/>
                    <w:left w:val="single" w:sz="4" w:space="0" w:color="auto"/>
                    <w:bottom w:val="single" w:sz="4" w:space="0" w:color="auto"/>
                    <w:right w:val="single" w:sz="4" w:space="0" w:color="auto"/>
                  </w:tcBorders>
                </w:tcPr>
                <w:p w:rsidR="0068141C" w:rsidRPr="00B11638" w:rsidRDefault="0068141C" w:rsidP="0068141C">
                  <w:pPr>
                    <w:jc w:val="center"/>
                    <w:rPr>
                      <w:rFonts w:eastAsia="MS Mincho"/>
                      <w:noProof/>
                      <w:color w:val="000000"/>
                      <w:sz w:val="22"/>
                      <w:szCs w:val="22"/>
                    </w:rPr>
                  </w:pPr>
                  <w:r w:rsidRPr="00B11638">
                    <w:rPr>
                      <w:rFonts w:eastAsia="MS Mincho"/>
                      <w:noProof/>
                      <w:color w:val="000000"/>
                      <w:sz w:val="22"/>
                      <w:szCs w:val="22"/>
                    </w:rPr>
                    <w:t>0,199</w:t>
                  </w:r>
                </w:p>
              </w:tc>
            </w:tr>
          </w:tbl>
          <w:p w:rsidR="0068141C" w:rsidRPr="00B11638" w:rsidRDefault="0068141C" w:rsidP="0068141C">
            <w:pPr>
              <w:pStyle w:val="Header"/>
              <w:tabs>
                <w:tab w:val="left" w:pos="284"/>
              </w:tabs>
              <w:rPr>
                <w:bCs/>
                <w:i/>
                <w:sz w:val="22"/>
                <w:szCs w:val="22"/>
              </w:rPr>
            </w:pPr>
            <w:r w:rsidRPr="00B11638">
              <w:rPr>
                <w:bCs/>
                <w:i/>
                <w:sz w:val="22"/>
                <w:szCs w:val="22"/>
              </w:rPr>
              <w:t>CI =interval povjerenja</w:t>
            </w:r>
          </w:p>
          <w:p w:rsidR="0068141C" w:rsidRPr="00B11638" w:rsidRDefault="0068141C" w:rsidP="0068141C">
            <w:pPr>
              <w:pStyle w:val="Header"/>
              <w:tabs>
                <w:tab w:val="left" w:pos="284"/>
              </w:tabs>
              <w:rPr>
                <w:bCs/>
                <w:i/>
                <w:sz w:val="22"/>
                <w:szCs w:val="22"/>
              </w:rPr>
            </w:pPr>
            <w:r w:rsidRPr="00B11638">
              <w:rPr>
                <w:bCs/>
                <w:i/>
                <w:sz w:val="22"/>
                <w:szCs w:val="22"/>
              </w:rPr>
              <w:t>Prekomjerna ekspresija HER2=IHC 3+ i/ili FISH pozitivna; HER2 negativan= IHC0,1+ ili 2+ i/ili FISH negativan</w:t>
            </w:r>
          </w:p>
          <w:p w:rsidR="0068141C" w:rsidRPr="00B11638" w:rsidRDefault="0068141C" w:rsidP="0068141C">
            <w:pPr>
              <w:pStyle w:val="Header"/>
              <w:tabs>
                <w:tab w:val="left" w:pos="284"/>
              </w:tabs>
              <w:rPr>
                <w:bCs/>
                <w:i/>
                <w:sz w:val="22"/>
                <w:szCs w:val="22"/>
              </w:rPr>
            </w:pPr>
            <w:r w:rsidRPr="00B11638">
              <w:rPr>
                <w:bCs/>
                <w:i/>
                <w:sz w:val="22"/>
                <w:szCs w:val="22"/>
              </w:rPr>
              <w:t>Klinička stopa koristi je definisana kao kompletan plus d</w:t>
            </w:r>
            <w:r>
              <w:rPr>
                <w:bCs/>
                <w:i/>
                <w:sz w:val="22"/>
                <w:szCs w:val="22"/>
              </w:rPr>
              <w:t>j</w:t>
            </w:r>
            <w:r w:rsidRPr="00B11638">
              <w:rPr>
                <w:bCs/>
                <w:i/>
                <w:sz w:val="22"/>
                <w:szCs w:val="22"/>
              </w:rPr>
              <w:t>elimičan odgovor plus stabilna bolest ≥ 6 m</w:t>
            </w:r>
            <w:r>
              <w:rPr>
                <w:bCs/>
                <w:i/>
                <w:sz w:val="22"/>
                <w:szCs w:val="22"/>
              </w:rPr>
              <w:t>j</w:t>
            </w:r>
            <w:r w:rsidRPr="00B11638">
              <w:rPr>
                <w:bCs/>
                <w:i/>
                <w:sz w:val="22"/>
                <w:szCs w:val="22"/>
              </w:rPr>
              <w:t>eseci.</w:t>
            </w:r>
          </w:p>
          <w:p w:rsidR="0068141C" w:rsidRPr="004B554E" w:rsidRDefault="0068141C" w:rsidP="0068141C">
            <w:pPr>
              <w:pStyle w:val="Header"/>
              <w:tabs>
                <w:tab w:val="left" w:pos="284"/>
              </w:tabs>
              <w:rPr>
                <w:b/>
                <w:bCs/>
                <w:sz w:val="22"/>
                <w:szCs w:val="22"/>
                <w:u w:val="single"/>
              </w:rPr>
            </w:pPr>
          </w:p>
          <w:p w:rsidR="0068141C" w:rsidRPr="00B11638" w:rsidRDefault="0068141C" w:rsidP="0068141C">
            <w:pPr>
              <w:pStyle w:val="Header"/>
              <w:tabs>
                <w:tab w:val="left" w:pos="284"/>
              </w:tabs>
              <w:rPr>
                <w:bCs/>
                <w:sz w:val="22"/>
                <w:szCs w:val="22"/>
              </w:rPr>
            </w:pPr>
            <w:r w:rsidRPr="00B11638">
              <w:rPr>
                <w:bCs/>
                <w:sz w:val="22"/>
                <w:szCs w:val="22"/>
              </w:rPr>
              <w:t>U vr</w:t>
            </w:r>
            <w:r>
              <w:rPr>
                <w:bCs/>
                <w:sz w:val="22"/>
                <w:szCs w:val="22"/>
              </w:rPr>
              <w:t>ij</w:t>
            </w:r>
            <w:r w:rsidRPr="00B11638">
              <w:rPr>
                <w:bCs/>
                <w:sz w:val="22"/>
                <w:szCs w:val="22"/>
              </w:rPr>
              <w:t>eme analize, ukupni podaci o preživljavanju ni</w:t>
            </w:r>
            <w:r>
              <w:rPr>
                <w:bCs/>
                <w:sz w:val="22"/>
                <w:szCs w:val="22"/>
              </w:rPr>
              <w:t>jesu bili spremni za obradu i</w:t>
            </w:r>
            <w:r w:rsidRPr="00B11638">
              <w:rPr>
                <w:bCs/>
                <w:sz w:val="22"/>
                <w:szCs w:val="22"/>
              </w:rPr>
              <w:t xml:space="preserve"> nije blio značajne razlike između terapijskih grupa (kombinacija l</w:t>
            </w:r>
            <w:r>
              <w:rPr>
                <w:bCs/>
                <w:sz w:val="22"/>
                <w:szCs w:val="22"/>
              </w:rPr>
              <w:t>ij</w:t>
            </w:r>
            <w:r w:rsidRPr="00B11638">
              <w:rPr>
                <w:bCs/>
                <w:sz w:val="22"/>
                <w:szCs w:val="22"/>
              </w:rPr>
              <w:t>eka Tyverb</w:t>
            </w:r>
            <w:r w:rsidRPr="00B11638">
              <w:rPr>
                <w:bCs/>
                <w:sz w:val="22"/>
                <w:szCs w:val="22"/>
                <w:vertAlign w:val="superscript"/>
              </w:rPr>
              <w:t xml:space="preserve">® </w:t>
            </w:r>
            <w:r w:rsidRPr="00B11638">
              <w:rPr>
                <w:bCs/>
                <w:sz w:val="22"/>
                <w:szCs w:val="22"/>
              </w:rPr>
              <w:t>+ letrozol, stopa rizika (HR)=0,77 [95% CI 0,52-1,14]</w:t>
            </w:r>
            <w:r w:rsidRPr="00B11638">
              <w:rPr>
                <w:rFonts w:eastAsia="MS Mincho"/>
                <w:noProof/>
                <w:color w:val="000000"/>
                <w:sz w:val="22"/>
                <w:szCs w:val="22"/>
              </w:rPr>
              <w:t xml:space="preserve"> p=0,185). Ipak, nije bilo vidnog negativnog uticaja</w:t>
            </w:r>
            <w:r>
              <w:rPr>
                <w:rFonts w:eastAsia="MS Mincho"/>
                <w:noProof/>
                <w:color w:val="000000"/>
                <w:sz w:val="22"/>
                <w:szCs w:val="22"/>
              </w:rPr>
              <w:t xml:space="preserve"> </w:t>
            </w:r>
            <w:r w:rsidRPr="00B11638">
              <w:rPr>
                <w:rFonts w:eastAsia="MS Mincho"/>
                <w:noProof/>
                <w:color w:val="000000"/>
                <w:sz w:val="22"/>
                <w:szCs w:val="22"/>
              </w:rPr>
              <w:t>na ukupno preživljavanje.</w:t>
            </w:r>
          </w:p>
          <w:p w:rsidR="0068141C" w:rsidRPr="005F2CAC" w:rsidRDefault="0068141C" w:rsidP="0068141C">
            <w:pPr>
              <w:pStyle w:val="Header"/>
              <w:tabs>
                <w:tab w:val="left" w:pos="284"/>
              </w:tabs>
              <w:rPr>
                <w:b/>
                <w:sz w:val="22"/>
                <w:szCs w:val="22"/>
                <w:u w:val="single"/>
              </w:rPr>
            </w:pPr>
          </w:p>
        </w:tc>
      </w:tr>
      <w:tr w:rsidR="0068141C" w:rsidRPr="009F4449">
        <w:tc>
          <w:tcPr>
            <w:tcW w:w="10188" w:type="dxa"/>
            <w:gridSpan w:val="4"/>
            <w:vAlign w:val="center"/>
          </w:tcPr>
          <w:p w:rsidR="0068141C" w:rsidRPr="009F4449" w:rsidRDefault="0068141C" w:rsidP="0068141C">
            <w:pPr>
              <w:pStyle w:val="Header"/>
              <w:tabs>
                <w:tab w:val="left" w:pos="284"/>
              </w:tabs>
              <w:spacing w:before="80" w:after="80"/>
              <w:rPr>
                <w:b/>
                <w:bCs/>
              </w:rPr>
            </w:pPr>
            <w:r w:rsidRPr="009F4449">
              <w:rPr>
                <w:b/>
                <w:bCs/>
                <w:sz w:val="22"/>
                <w:szCs w:val="22"/>
              </w:rPr>
              <w:lastRenderedPageBreak/>
              <w:t>5.2. Farmakokinetički podaci</w:t>
            </w:r>
          </w:p>
        </w:tc>
      </w:tr>
      <w:tr w:rsidR="0068141C" w:rsidRPr="009F4449">
        <w:trPr>
          <w:trHeight w:val="1145"/>
        </w:trPr>
        <w:tc>
          <w:tcPr>
            <w:tcW w:w="10188" w:type="dxa"/>
            <w:gridSpan w:val="4"/>
            <w:vAlign w:val="center"/>
          </w:tcPr>
          <w:p w:rsidR="0068141C" w:rsidRDefault="0068141C" w:rsidP="0068141C"/>
          <w:p w:rsidR="0068141C" w:rsidRPr="00177441" w:rsidRDefault="0068141C" w:rsidP="0068141C">
            <w:r>
              <w:rPr>
                <w:sz w:val="22"/>
                <w:szCs w:val="22"/>
              </w:rPr>
              <w:t>Nije poznata a</w:t>
            </w:r>
            <w:r w:rsidRPr="00177441">
              <w:rPr>
                <w:sz w:val="22"/>
                <w:szCs w:val="22"/>
              </w:rPr>
              <w:t>psolutna bioraspoloživost</w:t>
            </w:r>
            <w:r>
              <w:rPr>
                <w:sz w:val="22"/>
                <w:szCs w:val="22"/>
              </w:rPr>
              <w:t xml:space="preserve"> lapatiniba nakon oralne primjene lijeka</w:t>
            </w:r>
            <w:r w:rsidRPr="00177441">
              <w:rPr>
                <w:sz w:val="22"/>
                <w:szCs w:val="22"/>
              </w:rPr>
              <w:t>, ali je nepotpuna i prom</w:t>
            </w:r>
            <w:r>
              <w:rPr>
                <w:sz w:val="22"/>
                <w:szCs w:val="22"/>
              </w:rPr>
              <w:t>j</w:t>
            </w:r>
            <w:r w:rsidRPr="00177441">
              <w:rPr>
                <w:sz w:val="22"/>
                <w:szCs w:val="22"/>
              </w:rPr>
              <w:t>enljiva (približno 70</w:t>
            </w:r>
            <w:r>
              <w:rPr>
                <w:sz w:val="22"/>
                <w:szCs w:val="22"/>
              </w:rPr>
              <w:t>% koeficijenta varijacije za PIK). K</w:t>
            </w:r>
            <w:r w:rsidRPr="00177441">
              <w:rPr>
                <w:sz w:val="22"/>
                <w:szCs w:val="22"/>
              </w:rPr>
              <w:t>oncentracije</w:t>
            </w:r>
            <w:r>
              <w:rPr>
                <w:sz w:val="22"/>
                <w:szCs w:val="22"/>
              </w:rPr>
              <w:t xml:space="preserve"> lijeka u serumu se </w:t>
            </w:r>
            <w:r w:rsidRPr="00177441">
              <w:rPr>
                <w:sz w:val="22"/>
                <w:szCs w:val="22"/>
              </w:rPr>
              <w:t>javlju</w:t>
            </w:r>
            <w:r>
              <w:rPr>
                <w:sz w:val="22"/>
                <w:szCs w:val="22"/>
              </w:rPr>
              <w:t>ju odloženo, nakon prosječne vrijednosti vremena</w:t>
            </w:r>
            <w:r w:rsidRPr="00177441">
              <w:rPr>
                <w:sz w:val="22"/>
                <w:szCs w:val="22"/>
              </w:rPr>
              <w:t xml:space="preserve"> </w:t>
            </w:r>
            <w:r>
              <w:rPr>
                <w:sz w:val="22"/>
                <w:szCs w:val="22"/>
              </w:rPr>
              <w:t>zaostajanja od 0,25sati (opseg vrijednosti od 0 do 1,5 sati). Koncentracija</w:t>
            </w:r>
            <w:r w:rsidRPr="00177441">
              <w:rPr>
                <w:sz w:val="22"/>
                <w:szCs w:val="22"/>
              </w:rPr>
              <w:t xml:space="preserve"> </w:t>
            </w:r>
            <w:r>
              <w:rPr>
                <w:sz w:val="22"/>
                <w:szCs w:val="22"/>
              </w:rPr>
              <w:t>lapatiniba u plazmi dostiže pik (C</w:t>
            </w:r>
            <w:r w:rsidRPr="00FB5B91">
              <w:rPr>
                <w:sz w:val="22"/>
                <w:szCs w:val="22"/>
                <w:vertAlign w:val="subscript"/>
              </w:rPr>
              <w:t>max</w:t>
            </w:r>
            <w:r>
              <w:rPr>
                <w:sz w:val="22"/>
                <w:szCs w:val="22"/>
              </w:rPr>
              <w:t>)</w:t>
            </w:r>
            <w:r w:rsidRPr="00177441">
              <w:rPr>
                <w:sz w:val="22"/>
                <w:szCs w:val="22"/>
              </w:rPr>
              <w:t xml:space="preserve"> </w:t>
            </w:r>
            <w:r>
              <w:rPr>
                <w:sz w:val="22"/>
                <w:szCs w:val="22"/>
              </w:rPr>
              <w:t>približno četiri sata nakon primjene lijeka. Primjena lijeka u dnevnoj dozi od 1250mg daje geometrijski prosjek stanja ravnoteže (koeficijent varijacije) C</w:t>
            </w:r>
            <w:r w:rsidRPr="00FB5B91">
              <w:rPr>
                <w:sz w:val="22"/>
                <w:szCs w:val="22"/>
                <w:vertAlign w:val="subscript"/>
              </w:rPr>
              <w:t>max</w:t>
            </w:r>
            <w:r>
              <w:rPr>
                <w:sz w:val="22"/>
                <w:szCs w:val="22"/>
              </w:rPr>
              <w:t xml:space="preserve"> vrijednosti od 2,43 (76%)µg/ml i AUC </w:t>
            </w:r>
            <w:r w:rsidRPr="00177441">
              <w:rPr>
                <w:sz w:val="22"/>
                <w:szCs w:val="22"/>
              </w:rPr>
              <w:t>vr</w:t>
            </w:r>
            <w:r>
              <w:rPr>
                <w:sz w:val="22"/>
                <w:szCs w:val="22"/>
              </w:rPr>
              <w:t>ij</w:t>
            </w:r>
            <w:r w:rsidRPr="00177441">
              <w:rPr>
                <w:sz w:val="22"/>
                <w:szCs w:val="22"/>
              </w:rPr>
              <w:t>ednosti</w:t>
            </w:r>
            <w:r>
              <w:rPr>
                <w:sz w:val="22"/>
                <w:szCs w:val="22"/>
              </w:rPr>
              <w:t xml:space="preserve"> od 36,2 (79%) µg*hr</w:t>
            </w:r>
            <w:r w:rsidRPr="00177441">
              <w:rPr>
                <w:sz w:val="22"/>
                <w:szCs w:val="22"/>
              </w:rPr>
              <w:t>/ml.</w:t>
            </w:r>
          </w:p>
          <w:p w:rsidR="0068141C" w:rsidRPr="00177441" w:rsidRDefault="0068141C" w:rsidP="0068141C"/>
          <w:p w:rsidR="0068141C" w:rsidRPr="00177441" w:rsidRDefault="0068141C" w:rsidP="0068141C">
            <w:r>
              <w:rPr>
                <w:sz w:val="22"/>
                <w:szCs w:val="22"/>
              </w:rPr>
              <w:t>S</w:t>
            </w:r>
            <w:r w:rsidRPr="00177441">
              <w:rPr>
                <w:sz w:val="22"/>
                <w:szCs w:val="22"/>
              </w:rPr>
              <w:t>istemska izloženost lapa</w:t>
            </w:r>
            <w:r>
              <w:rPr>
                <w:sz w:val="22"/>
                <w:szCs w:val="22"/>
              </w:rPr>
              <w:t>tinibu se povećava nakon primjene lijeka sa hranom. Vrijednosti PIK za lapatinib bile su približno 3 do 4 puta više</w:t>
            </w:r>
            <w:r w:rsidRPr="00177441">
              <w:rPr>
                <w:sz w:val="22"/>
                <w:szCs w:val="22"/>
              </w:rPr>
              <w:t xml:space="preserve"> (vr</w:t>
            </w:r>
            <w:r>
              <w:rPr>
                <w:sz w:val="22"/>
                <w:szCs w:val="22"/>
              </w:rPr>
              <w:t>ij</w:t>
            </w:r>
            <w:r w:rsidRPr="00177441">
              <w:rPr>
                <w:sz w:val="22"/>
                <w:szCs w:val="22"/>
              </w:rPr>
              <w:t>ednosti C</w:t>
            </w:r>
            <w:r w:rsidRPr="00FB5B91">
              <w:rPr>
                <w:sz w:val="22"/>
                <w:szCs w:val="22"/>
                <w:vertAlign w:val="subscript"/>
              </w:rPr>
              <w:t>max</w:t>
            </w:r>
            <w:r>
              <w:rPr>
                <w:sz w:val="22"/>
                <w:szCs w:val="22"/>
              </w:rPr>
              <w:t xml:space="preserve"> približno 2,5 do 3 puta više) pri</w:t>
            </w:r>
            <w:r w:rsidRPr="00177441">
              <w:rPr>
                <w:sz w:val="22"/>
                <w:szCs w:val="22"/>
              </w:rPr>
              <w:t xml:space="preserve"> </w:t>
            </w:r>
            <w:r>
              <w:rPr>
                <w:sz w:val="22"/>
                <w:szCs w:val="22"/>
              </w:rPr>
              <w:t xml:space="preserve">primjeni </w:t>
            </w:r>
            <w:r w:rsidRPr="00177441">
              <w:rPr>
                <w:sz w:val="22"/>
                <w:szCs w:val="22"/>
              </w:rPr>
              <w:t>l</w:t>
            </w:r>
            <w:r>
              <w:rPr>
                <w:sz w:val="22"/>
                <w:szCs w:val="22"/>
              </w:rPr>
              <w:t>ij</w:t>
            </w:r>
            <w:r w:rsidRPr="00177441">
              <w:rPr>
                <w:sz w:val="22"/>
                <w:szCs w:val="22"/>
              </w:rPr>
              <w:t>ek</w:t>
            </w:r>
            <w:r>
              <w:rPr>
                <w:sz w:val="22"/>
                <w:szCs w:val="22"/>
              </w:rPr>
              <w:t>a uz obrok sa niskim</w:t>
            </w:r>
            <w:r w:rsidRPr="00177441">
              <w:rPr>
                <w:sz w:val="22"/>
                <w:szCs w:val="22"/>
              </w:rPr>
              <w:t xml:space="preserve"> sadržaj</w:t>
            </w:r>
            <w:r>
              <w:rPr>
                <w:sz w:val="22"/>
                <w:szCs w:val="22"/>
              </w:rPr>
              <w:t>em</w:t>
            </w:r>
            <w:r w:rsidRPr="00177441">
              <w:rPr>
                <w:sz w:val="22"/>
                <w:szCs w:val="22"/>
              </w:rPr>
              <w:t xml:space="preserve"> masti (5% masti [500 kalorija]), ili visok</w:t>
            </w:r>
            <w:r>
              <w:rPr>
                <w:sz w:val="22"/>
                <w:szCs w:val="22"/>
              </w:rPr>
              <w:t>im</w:t>
            </w:r>
            <w:r w:rsidRPr="00177441">
              <w:rPr>
                <w:sz w:val="22"/>
                <w:szCs w:val="22"/>
              </w:rPr>
              <w:t xml:space="preserve"> sadržaj</w:t>
            </w:r>
            <w:r>
              <w:rPr>
                <w:sz w:val="22"/>
                <w:szCs w:val="22"/>
              </w:rPr>
              <w:t>em</w:t>
            </w:r>
            <w:r w:rsidRPr="00177441">
              <w:rPr>
                <w:sz w:val="22"/>
                <w:szCs w:val="22"/>
              </w:rPr>
              <w:t xml:space="preserve"> masti (50% m</w:t>
            </w:r>
            <w:r>
              <w:rPr>
                <w:sz w:val="22"/>
                <w:szCs w:val="22"/>
              </w:rPr>
              <w:t>asti [1000 kalorija]), respektivno</w:t>
            </w:r>
            <w:r w:rsidRPr="00177441">
              <w:rPr>
                <w:sz w:val="22"/>
                <w:szCs w:val="22"/>
              </w:rPr>
              <w:t>.</w:t>
            </w:r>
          </w:p>
          <w:p w:rsidR="0068141C" w:rsidRPr="00177441" w:rsidRDefault="0068141C" w:rsidP="0068141C"/>
          <w:p w:rsidR="0068141C" w:rsidRPr="00177441" w:rsidRDefault="0068141C" w:rsidP="0068141C">
            <w:r w:rsidRPr="00177441">
              <w:rPr>
                <w:sz w:val="22"/>
                <w:szCs w:val="22"/>
              </w:rPr>
              <w:t xml:space="preserve">Lapatinib se vezuje za albumin i alfa-1 kiseli glikoprotein u visokom procentu (više od 99%). </w:t>
            </w:r>
            <w:r w:rsidRPr="00B32571">
              <w:rPr>
                <w:i/>
                <w:iCs/>
                <w:sz w:val="22"/>
                <w:szCs w:val="22"/>
              </w:rPr>
              <w:t>In vitro</w:t>
            </w:r>
            <w:r w:rsidRPr="00177441">
              <w:rPr>
                <w:sz w:val="22"/>
                <w:szCs w:val="22"/>
              </w:rPr>
              <w:t xml:space="preserve"> ispitivanja pokazuju da je l</w:t>
            </w:r>
            <w:r>
              <w:rPr>
                <w:sz w:val="22"/>
                <w:szCs w:val="22"/>
              </w:rPr>
              <w:t xml:space="preserve">apatinib supstrat za </w:t>
            </w:r>
            <w:r w:rsidRPr="00177441">
              <w:rPr>
                <w:sz w:val="22"/>
                <w:szCs w:val="22"/>
              </w:rPr>
              <w:t>BCRP (ABCG1)</w:t>
            </w:r>
            <w:r>
              <w:rPr>
                <w:sz w:val="22"/>
                <w:szCs w:val="22"/>
              </w:rPr>
              <w:t xml:space="preserve"> transportere</w:t>
            </w:r>
            <w:r w:rsidRPr="00177441">
              <w:rPr>
                <w:sz w:val="22"/>
                <w:szCs w:val="22"/>
              </w:rPr>
              <w:t xml:space="preserve"> i p-glikoprotein (ABCB</w:t>
            </w:r>
            <w:r>
              <w:rPr>
                <w:sz w:val="22"/>
                <w:szCs w:val="22"/>
              </w:rPr>
              <w:t xml:space="preserve">1). U </w:t>
            </w:r>
            <w:r w:rsidRPr="00D061DA">
              <w:rPr>
                <w:i/>
                <w:iCs/>
                <w:sz w:val="22"/>
                <w:szCs w:val="22"/>
              </w:rPr>
              <w:t>in vitro</w:t>
            </w:r>
            <w:r>
              <w:rPr>
                <w:sz w:val="22"/>
                <w:szCs w:val="22"/>
              </w:rPr>
              <w:t xml:space="preserve"> uslovima se pokazalo</w:t>
            </w:r>
            <w:r w:rsidRPr="00177441">
              <w:rPr>
                <w:sz w:val="22"/>
                <w:szCs w:val="22"/>
              </w:rPr>
              <w:t xml:space="preserve"> da </w:t>
            </w:r>
            <w:r>
              <w:rPr>
                <w:sz w:val="22"/>
                <w:szCs w:val="22"/>
              </w:rPr>
              <w:t xml:space="preserve">lapatinib inhibira navedene efluks-transportere, kao i hepatički transporter </w:t>
            </w:r>
            <w:r w:rsidRPr="00177441">
              <w:rPr>
                <w:sz w:val="22"/>
                <w:szCs w:val="22"/>
              </w:rPr>
              <w:t xml:space="preserve">preuzimanja OATP 1B1, pri </w:t>
            </w:r>
            <w:r>
              <w:rPr>
                <w:sz w:val="22"/>
                <w:szCs w:val="22"/>
              </w:rPr>
              <w:t>primjeni lijeka u klinički značajnim koncentracijama</w:t>
            </w:r>
            <w:r w:rsidRPr="00177441">
              <w:rPr>
                <w:sz w:val="22"/>
                <w:szCs w:val="22"/>
              </w:rPr>
              <w:t xml:space="preserve"> (IC</w:t>
            </w:r>
            <w:r w:rsidRPr="00D061DA">
              <w:rPr>
                <w:sz w:val="22"/>
                <w:szCs w:val="22"/>
                <w:vertAlign w:val="subscript"/>
              </w:rPr>
              <w:t>50</w:t>
            </w:r>
            <w:r>
              <w:rPr>
                <w:sz w:val="22"/>
                <w:szCs w:val="22"/>
              </w:rPr>
              <w:t xml:space="preserve"> vrijednosti iznosile su 2,3µg/ml). Nije poznat klinički značaj navedenih dejstava</w:t>
            </w:r>
            <w:r w:rsidRPr="00177441">
              <w:rPr>
                <w:sz w:val="22"/>
                <w:szCs w:val="22"/>
              </w:rPr>
              <w:t xml:space="preserve"> na farmakokinetiku d</w:t>
            </w:r>
            <w:r>
              <w:rPr>
                <w:sz w:val="22"/>
                <w:szCs w:val="22"/>
              </w:rPr>
              <w:t>rugih medicinskih proizvoda ili na farmakološku aktivnost drugih antikancerogenih sredstava</w:t>
            </w:r>
            <w:r w:rsidRPr="00177441">
              <w:rPr>
                <w:sz w:val="22"/>
                <w:szCs w:val="22"/>
              </w:rPr>
              <w:t xml:space="preserve">.       </w:t>
            </w:r>
          </w:p>
          <w:p w:rsidR="0068141C" w:rsidRPr="00177441" w:rsidRDefault="0068141C" w:rsidP="0068141C"/>
          <w:p w:rsidR="0068141C" w:rsidRPr="00177441" w:rsidRDefault="0068141C" w:rsidP="0068141C">
            <w:r w:rsidRPr="00177441">
              <w:rPr>
                <w:sz w:val="22"/>
                <w:szCs w:val="22"/>
              </w:rPr>
              <w:t>Lapatinib podleže eksten</w:t>
            </w:r>
            <w:r>
              <w:rPr>
                <w:sz w:val="22"/>
                <w:szCs w:val="22"/>
              </w:rPr>
              <w:t xml:space="preserve">zivnom metabolizmu, najvećim dijelom preko </w:t>
            </w:r>
            <w:r w:rsidRPr="00177441">
              <w:rPr>
                <w:sz w:val="22"/>
                <w:szCs w:val="22"/>
              </w:rPr>
              <w:t>CY</w:t>
            </w:r>
            <w:r>
              <w:rPr>
                <w:sz w:val="22"/>
                <w:szCs w:val="22"/>
              </w:rPr>
              <w:t>P3A4 i CYP3A5 i manjim dijelom preko CYP2C19 i CYP2C8, do različitih oksidovanih metabolita. N</w:t>
            </w:r>
            <w:r w:rsidRPr="00177441">
              <w:rPr>
                <w:sz w:val="22"/>
                <w:szCs w:val="22"/>
              </w:rPr>
              <w:t xml:space="preserve">i jedan </w:t>
            </w:r>
            <w:r>
              <w:rPr>
                <w:sz w:val="22"/>
                <w:szCs w:val="22"/>
              </w:rPr>
              <w:t xml:space="preserve">od pomenutih metabolita </w:t>
            </w:r>
            <w:r w:rsidRPr="00177441">
              <w:rPr>
                <w:sz w:val="22"/>
                <w:szCs w:val="22"/>
              </w:rPr>
              <w:t>ne čini više od 14% doze koja se po</w:t>
            </w:r>
            <w:r>
              <w:rPr>
                <w:sz w:val="22"/>
                <w:szCs w:val="22"/>
              </w:rPr>
              <w:t>novo javlja u fecesu, ili 10%</w:t>
            </w:r>
            <w:r w:rsidRPr="00177441">
              <w:rPr>
                <w:sz w:val="22"/>
                <w:szCs w:val="22"/>
              </w:rPr>
              <w:t xml:space="preserve"> koncentracije lapatiniba u plazmi.</w:t>
            </w:r>
          </w:p>
          <w:p w:rsidR="0068141C" w:rsidRPr="00177441" w:rsidRDefault="0068141C" w:rsidP="0068141C"/>
          <w:p w:rsidR="0068141C" w:rsidRPr="00177441" w:rsidRDefault="0068141C" w:rsidP="0068141C">
            <w:r>
              <w:rPr>
                <w:sz w:val="22"/>
                <w:szCs w:val="22"/>
              </w:rPr>
              <w:t>Lapatinib inhibira CYP3A (Ki 0,6 do 2,3µg/ml) i CYP2C8 (0,3</w:t>
            </w:r>
            <w:r w:rsidRPr="00177441">
              <w:rPr>
                <w:sz w:val="22"/>
                <w:szCs w:val="22"/>
              </w:rPr>
              <w:t xml:space="preserve">µg/ml) </w:t>
            </w:r>
            <w:r>
              <w:rPr>
                <w:sz w:val="22"/>
                <w:szCs w:val="22"/>
              </w:rPr>
              <w:t xml:space="preserve">u uslovima </w:t>
            </w:r>
            <w:r w:rsidRPr="00446BCA">
              <w:rPr>
                <w:i/>
                <w:iCs/>
                <w:sz w:val="22"/>
                <w:szCs w:val="22"/>
              </w:rPr>
              <w:t>in vitro</w:t>
            </w:r>
            <w:r w:rsidRPr="00177441">
              <w:rPr>
                <w:sz w:val="22"/>
                <w:szCs w:val="22"/>
              </w:rPr>
              <w:t xml:space="preserve">, pri </w:t>
            </w:r>
            <w:r>
              <w:rPr>
                <w:sz w:val="22"/>
                <w:szCs w:val="22"/>
              </w:rPr>
              <w:t xml:space="preserve">primjeni lijeka u </w:t>
            </w:r>
            <w:r w:rsidRPr="00177441">
              <w:rPr>
                <w:sz w:val="22"/>
                <w:szCs w:val="22"/>
              </w:rPr>
              <w:t>klinički značajnim koncentracijama.</w:t>
            </w:r>
            <w:r>
              <w:rPr>
                <w:sz w:val="22"/>
                <w:szCs w:val="22"/>
              </w:rPr>
              <w:t xml:space="preserve"> Lapatinib nije u značajnoj mjeri inhibirao niže navedene enzime humanog mikrozomalnog sistema</w:t>
            </w:r>
            <w:r w:rsidRPr="00177441">
              <w:rPr>
                <w:sz w:val="22"/>
                <w:szCs w:val="22"/>
              </w:rPr>
              <w:t xml:space="preserve"> jetre: CYP1A</w:t>
            </w:r>
            <w:r>
              <w:rPr>
                <w:sz w:val="22"/>
                <w:szCs w:val="22"/>
              </w:rPr>
              <w:t>2, CYP2C9, CYP2C19 i CYP2D6 ili</w:t>
            </w:r>
            <w:r w:rsidRPr="00177441">
              <w:rPr>
                <w:sz w:val="22"/>
                <w:szCs w:val="22"/>
              </w:rPr>
              <w:t xml:space="preserve"> UGT enzime (vr</w:t>
            </w:r>
            <w:r>
              <w:rPr>
                <w:sz w:val="22"/>
                <w:szCs w:val="22"/>
              </w:rPr>
              <w:t>ij</w:t>
            </w:r>
            <w:r w:rsidRPr="00177441">
              <w:rPr>
                <w:sz w:val="22"/>
                <w:szCs w:val="22"/>
              </w:rPr>
              <w:t>ednosti IC</w:t>
            </w:r>
            <w:r w:rsidRPr="00E03AB2">
              <w:rPr>
                <w:sz w:val="22"/>
                <w:szCs w:val="22"/>
                <w:vertAlign w:val="subscript"/>
              </w:rPr>
              <w:t>50</w:t>
            </w:r>
            <w:r w:rsidRPr="00177441">
              <w:rPr>
                <w:sz w:val="22"/>
                <w:szCs w:val="22"/>
              </w:rPr>
              <w:t xml:space="preserve"> </w:t>
            </w:r>
            <w:r>
              <w:rPr>
                <w:sz w:val="22"/>
                <w:szCs w:val="22"/>
              </w:rPr>
              <w:t xml:space="preserve">u uslovima </w:t>
            </w:r>
            <w:r w:rsidRPr="00E03AB2">
              <w:rPr>
                <w:i/>
                <w:iCs/>
                <w:sz w:val="22"/>
                <w:szCs w:val="22"/>
              </w:rPr>
              <w:t>in vitro</w:t>
            </w:r>
            <w:r>
              <w:rPr>
                <w:sz w:val="22"/>
                <w:szCs w:val="22"/>
              </w:rPr>
              <w:t xml:space="preserve"> bile su veće ili jednake 6,9</w:t>
            </w:r>
            <w:r w:rsidRPr="00177441">
              <w:rPr>
                <w:sz w:val="22"/>
                <w:szCs w:val="22"/>
              </w:rPr>
              <w:t xml:space="preserve">µg/ml). </w:t>
            </w:r>
          </w:p>
          <w:p w:rsidR="0068141C" w:rsidRPr="00177441" w:rsidRDefault="0068141C" w:rsidP="0068141C"/>
          <w:p w:rsidR="0068141C" w:rsidRDefault="0068141C" w:rsidP="0068141C">
            <w:pPr>
              <w:rPr>
                <w:sz w:val="22"/>
                <w:szCs w:val="22"/>
              </w:rPr>
            </w:pPr>
            <w:r>
              <w:rPr>
                <w:sz w:val="22"/>
                <w:szCs w:val="22"/>
              </w:rPr>
              <w:t>Nakon primjene pojedinačnih doza lijeka poluvrijeme eliminacije lapatiniba se produžava sa povećanjem doze</w:t>
            </w:r>
            <w:r w:rsidRPr="00177441">
              <w:rPr>
                <w:sz w:val="22"/>
                <w:szCs w:val="22"/>
              </w:rPr>
              <w:t>. Međutim, dnev</w:t>
            </w:r>
            <w:r>
              <w:rPr>
                <w:sz w:val="22"/>
                <w:szCs w:val="22"/>
              </w:rPr>
              <w:t>no doziranje lapatiniba dovodi do postizanja</w:t>
            </w:r>
            <w:r w:rsidRPr="00177441">
              <w:rPr>
                <w:sz w:val="22"/>
                <w:szCs w:val="22"/>
              </w:rPr>
              <w:t xml:space="preserve"> stanja</w:t>
            </w:r>
            <w:r>
              <w:rPr>
                <w:sz w:val="22"/>
                <w:szCs w:val="22"/>
              </w:rPr>
              <w:t xml:space="preserve"> dinamičke ravnoteže nakon 6 do 7 dana, ukazujući da </w:t>
            </w:r>
            <w:r w:rsidRPr="00177441">
              <w:rPr>
                <w:sz w:val="22"/>
                <w:szCs w:val="22"/>
              </w:rPr>
              <w:t>efektiv</w:t>
            </w:r>
            <w:r>
              <w:rPr>
                <w:sz w:val="22"/>
                <w:szCs w:val="22"/>
              </w:rPr>
              <w:t>no poluvrijeme eliminacije</w:t>
            </w:r>
            <w:r w:rsidRPr="00177441">
              <w:rPr>
                <w:sz w:val="22"/>
                <w:szCs w:val="22"/>
              </w:rPr>
              <w:t xml:space="preserve"> </w:t>
            </w:r>
            <w:r>
              <w:rPr>
                <w:sz w:val="22"/>
                <w:szCs w:val="22"/>
              </w:rPr>
              <w:t>lijeka iznosi 24 časa. Lapatinib se pretežno</w:t>
            </w:r>
            <w:r w:rsidRPr="00177441">
              <w:rPr>
                <w:sz w:val="22"/>
                <w:szCs w:val="22"/>
              </w:rPr>
              <w:t xml:space="preserve"> eliminiše </w:t>
            </w:r>
            <w:r>
              <w:rPr>
                <w:sz w:val="22"/>
                <w:szCs w:val="22"/>
              </w:rPr>
              <w:t>metabolisanjem putem</w:t>
            </w:r>
            <w:r w:rsidRPr="00177441">
              <w:rPr>
                <w:sz w:val="22"/>
                <w:szCs w:val="22"/>
              </w:rPr>
              <w:t xml:space="preserve"> CYP3A4/5. </w:t>
            </w:r>
          </w:p>
          <w:p w:rsidR="0068141C" w:rsidRDefault="0068141C" w:rsidP="0068141C"/>
          <w:p w:rsidR="0068141C" w:rsidRPr="00177441" w:rsidRDefault="0068141C" w:rsidP="0068141C">
            <w:r>
              <w:rPr>
                <w:sz w:val="22"/>
                <w:szCs w:val="22"/>
              </w:rPr>
              <w:t>Eliminaciji lijeka takođe može doprinjeti i</w:t>
            </w:r>
            <w:r w:rsidRPr="00177441">
              <w:rPr>
                <w:sz w:val="22"/>
                <w:szCs w:val="22"/>
              </w:rPr>
              <w:t xml:space="preserve">zlučivanje </w:t>
            </w:r>
            <w:r>
              <w:rPr>
                <w:sz w:val="22"/>
                <w:szCs w:val="22"/>
              </w:rPr>
              <w:t>putem žuči.</w:t>
            </w:r>
            <w:r w:rsidRPr="00177441">
              <w:rPr>
                <w:sz w:val="22"/>
                <w:szCs w:val="22"/>
              </w:rPr>
              <w:t xml:space="preserve"> </w:t>
            </w:r>
            <w:r>
              <w:rPr>
                <w:sz w:val="22"/>
                <w:szCs w:val="22"/>
              </w:rPr>
              <w:t>Primarni</w:t>
            </w:r>
            <w:r w:rsidRPr="00177441">
              <w:rPr>
                <w:sz w:val="22"/>
                <w:szCs w:val="22"/>
              </w:rPr>
              <w:t xml:space="preserve"> put izlučivanja lapat</w:t>
            </w:r>
            <w:r>
              <w:rPr>
                <w:sz w:val="22"/>
                <w:szCs w:val="22"/>
              </w:rPr>
              <w:t>iniba i njegovih metablita je putem fecesa. Putem fecesa se izlučuje prosječno 27% (opseg vrijednosti od 3% do 67%) lapatiniba u nepromjenjenom obliku od primijenjene oralne doze</w:t>
            </w:r>
            <w:r w:rsidRPr="00177441">
              <w:rPr>
                <w:sz w:val="22"/>
                <w:szCs w:val="22"/>
              </w:rPr>
              <w:t xml:space="preserve">. Manje od 2% </w:t>
            </w:r>
            <w:r>
              <w:rPr>
                <w:sz w:val="22"/>
                <w:szCs w:val="22"/>
              </w:rPr>
              <w:t xml:space="preserve">primijenjene </w:t>
            </w:r>
            <w:r w:rsidRPr="00177441">
              <w:rPr>
                <w:sz w:val="22"/>
                <w:szCs w:val="22"/>
              </w:rPr>
              <w:t>oralne doze (u obliku lapat</w:t>
            </w:r>
            <w:r>
              <w:rPr>
                <w:sz w:val="22"/>
                <w:szCs w:val="22"/>
              </w:rPr>
              <w:t xml:space="preserve">iniba i njegovih metabolita) </w:t>
            </w:r>
            <w:r w:rsidRPr="00177441">
              <w:rPr>
                <w:sz w:val="22"/>
                <w:szCs w:val="22"/>
              </w:rPr>
              <w:t xml:space="preserve">izlučuje </w:t>
            </w:r>
            <w:r>
              <w:rPr>
                <w:sz w:val="22"/>
                <w:szCs w:val="22"/>
              </w:rPr>
              <w:t xml:space="preserve">se </w:t>
            </w:r>
            <w:r w:rsidRPr="00177441">
              <w:rPr>
                <w:sz w:val="22"/>
                <w:szCs w:val="22"/>
              </w:rPr>
              <w:t>putem urina.</w:t>
            </w:r>
          </w:p>
          <w:p w:rsidR="0068141C" w:rsidRPr="00177441" w:rsidRDefault="0068141C" w:rsidP="0068141C"/>
          <w:p w:rsidR="0068141C" w:rsidRPr="00177441" w:rsidRDefault="0068141C" w:rsidP="0068141C">
            <w:r w:rsidRPr="00177441">
              <w:rPr>
                <w:sz w:val="22"/>
                <w:szCs w:val="22"/>
              </w:rPr>
              <w:t>Farmakokinetika la</w:t>
            </w:r>
            <w:r>
              <w:rPr>
                <w:sz w:val="22"/>
                <w:szCs w:val="22"/>
              </w:rPr>
              <w:t>patiniba nije posebno ispitana kod pacijenata sa oštećenjem</w:t>
            </w:r>
            <w:r w:rsidRPr="00177441">
              <w:rPr>
                <w:sz w:val="22"/>
                <w:szCs w:val="22"/>
              </w:rPr>
              <w:t xml:space="preserve"> bubrega</w:t>
            </w:r>
            <w:r>
              <w:rPr>
                <w:sz w:val="22"/>
                <w:szCs w:val="22"/>
              </w:rPr>
              <w:t xml:space="preserve"> ili kod pacijenata koji se podvrgavaju </w:t>
            </w:r>
            <w:r w:rsidRPr="00177441">
              <w:rPr>
                <w:sz w:val="22"/>
                <w:szCs w:val="22"/>
              </w:rPr>
              <w:t>hemodijalizi. Dostupni podaci pokazuju da n</w:t>
            </w:r>
            <w:r>
              <w:rPr>
                <w:sz w:val="22"/>
                <w:szCs w:val="22"/>
              </w:rPr>
              <w:t>ije neophodno podješavanje doze</w:t>
            </w:r>
            <w:r w:rsidRPr="00177441">
              <w:rPr>
                <w:sz w:val="22"/>
                <w:szCs w:val="22"/>
              </w:rPr>
              <w:t xml:space="preserve"> kod pacijenata sa blagim do um</w:t>
            </w:r>
            <w:r>
              <w:rPr>
                <w:sz w:val="22"/>
                <w:szCs w:val="22"/>
              </w:rPr>
              <w:t>j</w:t>
            </w:r>
            <w:r w:rsidRPr="00177441">
              <w:rPr>
                <w:sz w:val="22"/>
                <w:szCs w:val="22"/>
              </w:rPr>
              <w:t xml:space="preserve">erenim oštećenjem bubrega. </w:t>
            </w:r>
          </w:p>
          <w:p w:rsidR="0068141C" w:rsidRPr="00177441" w:rsidRDefault="0068141C" w:rsidP="0068141C"/>
          <w:p w:rsidR="0068141C" w:rsidRPr="00177441" w:rsidRDefault="0068141C" w:rsidP="0068141C">
            <w:r w:rsidRPr="00177441">
              <w:rPr>
                <w:sz w:val="22"/>
                <w:szCs w:val="22"/>
              </w:rPr>
              <w:t>Farma</w:t>
            </w:r>
            <w:r>
              <w:rPr>
                <w:sz w:val="22"/>
                <w:szCs w:val="22"/>
              </w:rPr>
              <w:t>kokinetika lapatiniba ispitana</w:t>
            </w:r>
            <w:r w:rsidRPr="00177441">
              <w:rPr>
                <w:sz w:val="22"/>
                <w:szCs w:val="22"/>
              </w:rPr>
              <w:t xml:space="preserve"> je kod </w:t>
            </w:r>
            <w:r>
              <w:rPr>
                <w:sz w:val="22"/>
                <w:szCs w:val="22"/>
              </w:rPr>
              <w:t>osoba sa umjerenim (n=8) ili</w:t>
            </w:r>
            <w:r w:rsidRPr="00177441">
              <w:rPr>
                <w:sz w:val="22"/>
                <w:szCs w:val="22"/>
              </w:rPr>
              <w:t xml:space="preserve"> teškim (n=4) ošteć</w:t>
            </w:r>
            <w:r>
              <w:rPr>
                <w:sz w:val="22"/>
                <w:szCs w:val="22"/>
              </w:rPr>
              <w:t>enjem jetre (Child-Pough skor 7-9 ili veći od 9, respektivno), kao</w:t>
            </w:r>
            <w:r w:rsidRPr="00177441">
              <w:rPr>
                <w:sz w:val="22"/>
                <w:szCs w:val="22"/>
              </w:rPr>
              <w:t xml:space="preserve"> i kod 8 kontrolnih zdravih osoba. Sist</w:t>
            </w:r>
            <w:r>
              <w:rPr>
                <w:sz w:val="22"/>
                <w:szCs w:val="22"/>
              </w:rPr>
              <w:t>emska izloženost lapatinibu (PIK</w:t>
            </w:r>
            <w:r w:rsidRPr="00177441">
              <w:rPr>
                <w:sz w:val="22"/>
                <w:szCs w:val="22"/>
              </w:rPr>
              <w:t xml:space="preserve">) nakon </w:t>
            </w:r>
            <w:r>
              <w:rPr>
                <w:sz w:val="22"/>
                <w:szCs w:val="22"/>
              </w:rPr>
              <w:t xml:space="preserve">primjene </w:t>
            </w:r>
            <w:r w:rsidRPr="00177441">
              <w:rPr>
                <w:sz w:val="22"/>
                <w:szCs w:val="22"/>
              </w:rPr>
              <w:t>pojedina</w:t>
            </w:r>
            <w:r>
              <w:rPr>
                <w:sz w:val="22"/>
                <w:szCs w:val="22"/>
              </w:rPr>
              <w:t>čne oralne doze od 100mg</w:t>
            </w:r>
            <w:r w:rsidRPr="00177441">
              <w:rPr>
                <w:sz w:val="22"/>
                <w:szCs w:val="22"/>
              </w:rPr>
              <w:t>, povećana je približno za 56% i 85% kod osoba sa um</w:t>
            </w:r>
            <w:r>
              <w:rPr>
                <w:sz w:val="22"/>
                <w:szCs w:val="22"/>
              </w:rPr>
              <w:t>j</w:t>
            </w:r>
            <w:r w:rsidRPr="00177441">
              <w:rPr>
                <w:sz w:val="22"/>
                <w:szCs w:val="22"/>
              </w:rPr>
              <w:t>erenim i t</w:t>
            </w:r>
            <w:r>
              <w:rPr>
                <w:sz w:val="22"/>
                <w:szCs w:val="22"/>
              </w:rPr>
              <w:t>eškim oštećenjem jetre, respektivno. Neophodan je oprez pri primjeni</w:t>
            </w:r>
            <w:r w:rsidRPr="00177441">
              <w:rPr>
                <w:sz w:val="22"/>
                <w:szCs w:val="22"/>
              </w:rPr>
              <w:t xml:space="preserve"> lapatiniba </w:t>
            </w:r>
            <w:r>
              <w:rPr>
                <w:sz w:val="22"/>
                <w:szCs w:val="22"/>
              </w:rPr>
              <w:t>kod osoba</w:t>
            </w:r>
            <w:r w:rsidRPr="00177441">
              <w:rPr>
                <w:sz w:val="22"/>
                <w:szCs w:val="22"/>
              </w:rPr>
              <w:t xml:space="preserve"> sa oštećenjem j</w:t>
            </w:r>
            <w:r>
              <w:rPr>
                <w:sz w:val="22"/>
                <w:szCs w:val="22"/>
              </w:rPr>
              <w:t>etre (vidjeti O</w:t>
            </w:r>
            <w:r w:rsidRPr="00177441">
              <w:rPr>
                <w:sz w:val="22"/>
                <w:szCs w:val="22"/>
              </w:rPr>
              <w:t>d</w:t>
            </w:r>
            <w:r>
              <w:rPr>
                <w:sz w:val="22"/>
                <w:szCs w:val="22"/>
              </w:rPr>
              <w:t>j</w:t>
            </w:r>
            <w:r w:rsidRPr="00177441">
              <w:rPr>
                <w:sz w:val="22"/>
                <w:szCs w:val="22"/>
              </w:rPr>
              <w:t>elj</w:t>
            </w:r>
            <w:r>
              <w:rPr>
                <w:sz w:val="22"/>
                <w:szCs w:val="22"/>
              </w:rPr>
              <w:t>ak 4.2 i 4.</w:t>
            </w:r>
            <w:r w:rsidRPr="00177441">
              <w:rPr>
                <w:sz w:val="22"/>
                <w:szCs w:val="22"/>
              </w:rPr>
              <w:t xml:space="preserve">4). </w:t>
            </w:r>
          </w:p>
          <w:p w:rsidR="0068141C" w:rsidRPr="009F4449" w:rsidRDefault="0068141C" w:rsidP="0068141C">
            <w:pPr>
              <w:pStyle w:val="Header"/>
              <w:tabs>
                <w:tab w:val="left" w:pos="284"/>
              </w:tabs>
            </w:pPr>
          </w:p>
        </w:tc>
      </w:tr>
      <w:tr w:rsidR="0068141C" w:rsidRPr="00CA322A">
        <w:tc>
          <w:tcPr>
            <w:tcW w:w="10188" w:type="dxa"/>
            <w:gridSpan w:val="4"/>
            <w:vAlign w:val="center"/>
          </w:tcPr>
          <w:p w:rsidR="0068141C" w:rsidRPr="001268A1" w:rsidRDefault="0068141C" w:rsidP="0068141C">
            <w:pPr>
              <w:pStyle w:val="Header"/>
              <w:tabs>
                <w:tab w:val="left" w:pos="284"/>
              </w:tabs>
              <w:spacing w:before="80" w:after="80"/>
              <w:rPr>
                <w:b/>
                <w:bCs/>
                <w:lang w:val="pl-PL"/>
              </w:rPr>
            </w:pPr>
            <w:r w:rsidRPr="001268A1">
              <w:rPr>
                <w:b/>
                <w:bCs/>
                <w:sz w:val="22"/>
                <w:szCs w:val="22"/>
                <w:lang w:val="pl-PL"/>
              </w:rPr>
              <w:lastRenderedPageBreak/>
              <w:t>5.3. Pretklinički podaci o bezb</w:t>
            </w:r>
            <w:r>
              <w:rPr>
                <w:b/>
                <w:bCs/>
                <w:sz w:val="22"/>
                <w:szCs w:val="22"/>
                <w:lang w:val="pl-PL"/>
              </w:rPr>
              <w:t>j</w:t>
            </w:r>
            <w:r w:rsidRPr="001268A1">
              <w:rPr>
                <w:b/>
                <w:bCs/>
                <w:sz w:val="22"/>
                <w:szCs w:val="22"/>
                <w:lang w:val="pl-PL"/>
              </w:rPr>
              <w:t>ednosti l</w:t>
            </w:r>
            <w:r>
              <w:rPr>
                <w:b/>
                <w:bCs/>
                <w:sz w:val="22"/>
                <w:szCs w:val="22"/>
                <w:lang w:val="pl-PL"/>
              </w:rPr>
              <w:t>ij</w:t>
            </w:r>
            <w:r w:rsidRPr="001268A1">
              <w:rPr>
                <w:b/>
                <w:bCs/>
                <w:sz w:val="22"/>
                <w:szCs w:val="22"/>
                <w:lang w:val="pl-PL"/>
              </w:rPr>
              <w:t>eka</w:t>
            </w:r>
          </w:p>
        </w:tc>
      </w:tr>
      <w:tr w:rsidR="0068141C" w:rsidRPr="00CA322A">
        <w:trPr>
          <w:trHeight w:val="1823"/>
        </w:trPr>
        <w:tc>
          <w:tcPr>
            <w:tcW w:w="10188" w:type="dxa"/>
            <w:gridSpan w:val="4"/>
            <w:vAlign w:val="center"/>
          </w:tcPr>
          <w:p w:rsidR="0068141C" w:rsidRPr="001268A1" w:rsidRDefault="0068141C" w:rsidP="0068141C">
            <w:pPr>
              <w:rPr>
                <w:lang w:val="pl-PL"/>
              </w:rPr>
            </w:pPr>
          </w:p>
          <w:p w:rsidR="0068141C" w:rsidRPr="00CA322A" w:rsidRDefault="0068141C" w:rsidP="0068141C">
            <w:pPr>
              <w:rPr>
                <w:lang w:val="pl-PL"/>
              </w:rPr>
            </w:pPr>
            <w:r w:rsidRPr="00875F92">
              <w:rPr>
                <w:sz w:val="22"/>
                <w:szCs w:val="22"/>
                <w:lang w:val="pl-PL"/>
              </w:rPr>
              <w:t>Ispitano je dejstvo lapatiniba pri prim</w:t>
            </w:r>
            <w:r>
              <w:rPr>
                <w:sz w:val="22"/>
                <w:szCs w:val="22"/>
                <w:lang w:val="pl-PL"/>
              </w:rPr>
              <w:t>j</w:t>
            </w:r>
            <w:r w:rsidRPr="00875F92">
              <w:rPr>
                <w:sz w:val="22"/>
                <w:szCs w:val="22"/>
                <w:lang w:val="pl-PL"/>
              </w:rPr>
              <w:t>e</w:t>
            </w:r>
            <w:r>
              <w:rPr>
                <w:sz w:val="22"/>
                <w:szCs w:val="22"/>
                <w:lang w:val="pl-PL"/>
              </w:rPr>
              <w:t>ni oralnih doza od 30, 60 i 120</w:t>
            </w:r>
            <w:r w:rsidRPr="00875F92">
              <w:rPr>
                <w:sz w:val="22"/>
                <w:szCs w:val="22"/>
                <w:lang w:val="pl-PL"/>
              </w:rPr>
              <w:t>mg/kg/dnevno</w:t>
            </w:r>
            <w:r>
              <w:rPr>
                <w:sz w:val="22"/>
                <w:szCs w:val="22"/>
                <w:lang w:val="pl-PL"/>
              </w:rPr>
              <w:t xml:space="preserve"> skotnim ženkama pacova i zečeva</w:t>
            </w:r>
            <w:r w:rsidRPr="00875F92">
              <w:rPr>
                <w:sz w:val="22"/>
                <w:szCs w:val="22"/>
                <w:lang w:val="pl-PL"/>
              </w:rPr>
              <w:t xml:space="preserve">. </w:t>
            </w:r>
            <w:r w:rsidRPr="00CA322A">
              <w:rPr>
                <w:sz w:val="22"/>
                <w:szCs w:val="22"/>
                <w:lang w:val="pl-PL"/>
              </w:rPr>
              <w:t>Nisu uočena teratogena dejstva l</w:t>
            </w:r>
            <w:r>
              <w:rPr>
                <w:sz w:val="22"/>
                <w:szCs w:val="22"/>
                <w:lang w:val="pl-PL"/>
              </w:rPr>
              <w:t>ij</w:t>
            </w:r>
            <w:r w:rsidRPr="00CA322A">
              <w:rPr>
                <w:sz w:val="22"/>
                <w:szCs w:val="22"/>
                <w:lang w:val="pl-PL"/>
              </w:rPr>
              <w:t>eka; međutim, pri prim</w:t>
            </w:r>
            <w:r>
              <w:rPr>
                <w:sz w:val="22"/>
                <w:szCs w:val="22"/>
                <w:lang w:val="pl-PL"/>
              </w:rPr>
              <w:t>j</w:t>
            </w:r>
            <w:r w:rsidRPr="00CA322A">
              <w:rPr>
                <w:sz w:val="22"/>
                <w:szCs w:val="22"/>
                <w:lang w:val="pl-PL"/>
              </w:rPr>
              <w:t>eni l</w:t>
            </w:r>
            <w:r>
              <w:rPr>
                <w:sz w:val="22"/>
                <w:szCs w:val="22"/>
                <w:lang w:val="pl-PL"/>
              </w:rPr>
              <w:t>ij</w:t>
            </w:r>
            <w:r w:rsidRPr="00CA322A">
              <w:rPr>
                <w:sz w:val="22"/>
                <w:szCs w:val="22"/>
                <w:lang w:val="pl-PL"/>
              </w:rPr>
              <w:t>eka u dozi ≥</w:t>
            </w:r>
            <w:r>
              <w:rPr>
                <w:sz w:val="22"/>
                <w:szCs w:val="22"/>
                <w:lang w:val="pl-PL"/>
              </w:rPr>
              <w:t>60</w:t>
            </w:r>
            <w:r w:rsidRPr="00CA322A">
              <w:rPr>
                <w:sz w:val="22"/>
                <w:szCs w:val="22"/>
                <w:lang w:val="pl-PL"/>
              </w:rPr>
              <w:t>mg/kg/dnevno kod pacova (4 puta veća od očekivane kliničke izloženosti kod ljudi) javile su se manje anomalije (l</w:t>
            </w:r>
            <w:r>
              <w:rPr>
                <w:sz w:val="22"/>
                <w:szCs w:val="22"/>
                <w:lang w:val="pl-PL"/>
              </w:rPr>
              <w:t>ij</w:t>
            </w:r>
            <w:r w:rsidRPr="00CA322A">
              <w:rPr>
                <w:sz w:val="22"/>
                <w:szCs w:val="22"/>
                <w:lang w:val="pl-PL"/>
              </w:rPr>
              <w:t>evo pozicionirana umbilikalna arterija, vratno rebro i prekokcigealna osifikacija). Kod zečeva je prim</w:t>
            </w:r>
            <w:r>
              <w:rPr>
                <w:sz w:val="22"/>
                <w:szCs w:val="22"/>
                <w:lang w:val="pl-PL"/>
              </w:rPr>
              <w:t>j</w:t>
            </w:r>
            <w:r w:rsidRPr="00CA322A">
              <w:rPr>
                <w:sz w:val="22"/>
                <w:szCs w:val="22"/>
                <w:lang w:val="pl-PL"/>
              </w:rPr>
              <w:t xml:space="preserve">ena lapatiniba u dozi od 60 i 120mg/kg/dnevno bila povezana </w:t>
            </w:r>
            <w:r>
              <w:rPr>
                <w:sz w:val="22"/>
                <w:szCs w:val="22"/>
                <w:lang w:val="pl-PL"/>
              </w:rPr>
              <w:t xml:space="preserve">sa </w:t>
            </w:r>
            <w:r w:rsidRPr="00CA322A">
              <w:rPr>
                <w:sz w:val="22"/>
                <w:szCs w:val="22"/>
                <w:lang w:val="pl-PL"/>
              </w:rPr>
              <w:t>maternalnom toksičnošću (8% i 23% od očekivane izloženosti kod ljudi, respektivno) i pojavom pobačaja u dozi od 120mg/kg/dnevno. Pri prim</w:t>
            </w:r>
            <w:r>
              <w:rPr>
                <w:sz w:val="22"/>
                <w:szCs w:val="22"/>
                <w:lang w:val="pl-PL"/>
              </w:rPr>
              <w:t>j</w:t>
            </w:r>
            <w:r w:rsidRPr="00CA322A">
              <w:rPr>
                <w:sz w:val="22"/>
                <w:szCs w:val="22"/>
                <w:lang w:val="pl-PL"/>
              </w:rPr>
              <w:t>eni doze ≥</w:t>
            </w:r>
            <w:r>
              <w:rPr>
                <w:sz w:val="22"/>
                <w:szCs w:val="22"/>
                <w:lang w:val="pl-PL"/>
              </w:rPr>
              <w:t>60</w:t>
            </w:r>
            <w:r w:rsidRPr="00CA322A">
              <w:rPr>
                <w:sz w:val="22"/>
                <w:szCs w:val="22"/>
                <w:lang w:val="pl-PL"/>
              </w:rPr>
              <w:t>mg/kg/dnevno došlo je do smanjenja fetalne t</w:t>
            </w:r>
            <w:r>
              <w:rPr>
                <w:sz w:val="22"/>
                <w:szCs w:val="22"/>
                <w:lang w:val="pl-PL"/>
              </w:rPr>
              <w:t>ij</w:t>
            </w:r>
            <w:r w:rsidRPr="00CA322A">
              <w:rPr>
                <w:sz w:val="22"/>
                <w:szCs w:val="22"/>
                <w:lang w:val="pl-PL"/>
              </w:rPr>
              <w:t>elesne težine i manjih varijacija u strukturi skeleta. U istraživanju pr</w:t>
            </w:r>
            <w:r>
              <w:rPr>
                <w:sz w:val="22"/>
                <w:szCs w:val="22"/>
                <w:lang w:val="pl-PL"/>
              </w:rPr>
              <w:t>ij</w:t>
            </w:r>
            <w:r w:rsidRPr="00CA322A">
              <w:rPr>
                <w:sz w:val="22"/>
                <w:szCs w:val="22"/>
                <w:lang w:val="pl-PL"/>
              </w:rPr>
              <w:t>e- i p</w:t>
            </w:r>
            <w:r>
              <w:rPr>
                <w:sz w:val="22"/>
                <w:szCs w:val="22"/>
                <w:lang w:val="pl-PL"/>
              </w:rPr>
              <w:t>ostnatalnog razvoja pacova, zabi</w:t>
            </w:r>
            <w:r w:rsidRPr="00CA322A">
              <w:rPr>
                <w:sz w:val="22"/>
                <w:szCs w:val="22"/>
                <w:lang w:val="pl-PL"/>
              </w:rPr>
              <w:t>l</w:t>
            </w:r>
            <w:r>
              <w:rPr>
                <w:sz w:val="22"/>
                <w:szCs w:val="22"/>
                <w:lang w:val="pl-PL"/>
              </w:rPr>
              <w:t>ježeno je smanjenje u stopi</w:t>
            </w:r>
            <w:r w:rsidRPr="00CA322A">
              <w:rPr>
                <w:sz w:val="22"/>
                <w:szCs w:val="22"/>
                <w:lang w:val="pl-PL"/>
              </w:rPr>
              <w:t xml:space="preserve"> preživljavanja mladunaca u periodu od dana rođenja do 21. dana života, pri prim</w:t>
            </w:r>
            <w:r>
              <w:rPr>
                <w:sz w:val="22"/>
                <w:szCs w:val="22"/>
                <w:lang w:val="pl-PL"/>
              </w:rPr>
              <w:t>j</w:t>
            </w:r>
            <w:r w:rsidRPr="00CA322A">
              <w:rPr>
                <w:sz w:val="22"/>
                <w:szCs w:val="22"/>
                <w:lang w:val="pl-PL"/>
              </w:rPr>
              <w:t>eni doza</w:t>
            </w:r>
            <w:r>
              <w:rPr>
                <w:sz w:val="22"/>
                <w:szCs w:val="22"/>
                <w:lang w:val="pl-PL"/>
              </w:rPr>
              <w:t xml:space="preserve"> od 60</w:t>
            </w:r>
            <w:r w:rsidRPr="00CA322A">
              <w:rPr>
                <w:sz w:val="22"/>
                <w:szCs w:val="22"/>
                <w:lang w:val="pl-PL"/>
              </w:rPr>
              <w:t>mg/kg/dnevno ili viših (5 puta veća od očekivane kliničke izloženosti kod ljudi). Najviša doza koja nije izazvala neko od dejstava u ovom istraživanju iznosila</w:t>
            </w:r>
            <w:r>
              <w:rPr>
                <w:sz w:val="22"/>
                <w:szCs w:val="22"/>
                <w:lang w:val="pl-PL"/>
              </w:rPr>
              <w:t xml:space="preserve"> je 20</w:t>
            </w:r>
            <w:r w:rsidRPr="00CA322A">
              <w:rPr>
                <w:sz w:val="22"/>
                <w:szCs w:val="22"/>
                <w:lang w:val="pl-PL"/>
              </w:rPr>
              <w:t>mg/kg/dnevno.</w:t>
            </w:r>
          </w:p>
          <w:p w:rsidR="0068141C" w:rsidRPr="00CA322A" w:rsidRDefault="0068141C" w:rsidP="0068141C">
            <w:pPr>
              <w:rPr>
                <w:lang w:val="pl-PL"/>
              </w:rPr>
            </w:pPr>
          </w:p>
          <w:p w:rsidR="0068141C" w:rsidRPr="00CA322A" w:rsidRDefault="0068141C" w:rsidP="0068141C">
            <w:pPr>
              <w:rPr>
                <w:lang w:val="pl-PL"/>
              </w:rPr>
            </w:pPr>
            <w:r w:rsidRPr="00CA322A">
              <w:rPr>
                <w:sz w:val="22"/>
                <w:szCs w:val="22"/>
                <w:lang w:val="pl-PL"/>
              </w:rPr>
              <w:t xml:space="preserve">Nije bilo uticaja na funkciju gonada mužjaka ili ženki pacova, parenje, ili plodnost, pri </w:t>
            </w:r>
            <w:r>
              <w:rPr>
                <w:sz w:val="22"/>
                <w:szCs w:val="22"/>
                <w:lang w:val="pl-PL"/>
              </w:rPr>
              <w:t>primjeni doza do120</w:t>
            </w:r>
            <w:r w:rsidRPr="00CA322A">
              <w:rPr>
                <w:sz w:val="22"/>
                <w:szCs w:val="22"/>
                <w:lang w:val="pl-PL"/>
              </w:rPr>
              <w:t>mg/kg/dnevno (ž</w:t>
            </w:r>
            <w:r>
              <w:rPr>
                <w:sz w:val="22"/>
                <w:szCs w:val="22"/>
                <w:lang w:val="pl-PL"/>
              </w:rPr>
              <w:t>enke) i do 180</w:t>
            </w:r>
            <w:r w:rsidRPr="00CA322A">
              <w:rPr>
                <w:sz w:val="22"/>
                <w:szCs w:val="22"/>
                <w:lang w:val="pl-PL"/>
              </w:rPr>
              <w:t>mg/kg/dnevno (mužjaci) (8 i 3 puta veća od očekivane kliničke izloženosti kod ljudi, respektivno). Nije poznat uticaj l</w:t>
            </w:r>
            <w:r>
              <w:rPr>
                <w:sz w:val="22"/>
                <w:szCs w:val="22"/>
                <w:lang w:val="pl-PL"/>
              </w:rPr>
              <w:t>ij</w:t>
            </w:r>
            <w:r w:rsidRPr="00CA322A">
              <w:rPr>
                <w:sz w:val="22"/>
                <w:szCs w:val="22"/>
                <w:lang w:val="pl-PL"/>
              </w:rPr>
              <w:t xml:space="preserve">eka na plodnost kod ljudi. </w:t>
            </w:r>
          </w:p>
          <w:p w:rsidR="0068141C" w:rsidRPr="00CA322A" w:rsidRDefault="0068141C" w:rsidP="0068141C">
            <w:pPr>
              <w:rPr>
                <w:lang w:val="pl-PL"/>
              </w:rPr>
            </w:pPr>
            <w:r w:rsidRPr="00CA322A">
              <w:rPr>
                <w:sz w:val="22"/>
                <w:szCs w:val="22"/>
                <w:lang w:val="pl-PL"/>
              </w:rPr>
              <w:t xml:space="preserve">Lapatinib nije pokazao klastogeno ili mutageno dejstvo u </w:t>
            </w:r>
            <w:r>
              <w:rPr>
                <w:sz w:val="22"/>
                <w:szCs w:val="22"/>
                <w:lang w:val="pl-PL"/>
              </w:rPr>
              <w:t xml:space="preserve">seriji </w:t>
            </w:r>
            <w:r w:rsidRPr="00CA322A">
              <w:rPr>
                <w:sz w:val="22"/>
                <w:szCs w:val="22"/>
                <w:lang w:val="pl-PL"/>
              </w:rPr>
              <w:t xml:space="preserve">testova, uključujući test hromozomskih aberacija kineskih hrčaka, Ames test, test hromozomskih aberacija humanih limfocita i </w:t>
            </w:r>
            <w:r w:rsidRPr="00CA322A">
              <w:rPr>
                <w:i/>
                <w:iCs/>
                <w:sz w:val="22"/>
                <w:szCs w:val="22"/>
                <w:lang w:val="pl-PL"/>
              </w:rPr>
              <w:t>in vivo</w:t>
            </w:r>
            <w:r w:rsidRPr="00CA322A">
              <w:rPr>
                <w:sz w:val="22"/>
                <w:szCs w:val="22"/>
                <w:lang w:val="pl-PL"/>
              </w:rPr>
              <w:t xml:space="preserve"> test hromozomskih aberacija </w:t>
            </w:r>
            <w:r>
              <w:rPr>
                <w:sz w:val="22"/>
                <w:szCs w:val="22"/>
                <w:lang w:val="pl-PL"/>
              </w:rPr>
              <w:t xml:space="preserve">kostne </w:t>
            </w:r>
            <w:r w:rsidRPr="00CA322A">
              <w:rPr>
                <w:sz w:val="22"/>
                <w:szCs w:val="22"/>
                <w:lang w:val="pl-PL"/>
              </w:rPr>
              <w:t xml:space="preserve">srži pacova.                 </w:t>
            </w:r>
          </w:p>
          <w:p w:rsidR="0068141C" w:rsidRPr="00CA322A" w:rsidRDefault="0068141C" w:rsidP="0068141C">
            <w:pPr>
              <w:pStyle w:val="Header"/>
              <w:tabs>
                <w:tab w:val="left" w:pos="284"/>
              </w:tabs>
              <w:rPr>
                <w:lang w:val="pl-PL"/>
              </w:rPr>
            </w:pPr>
          </w:p>
        </w:tc>
      </w:tr>
      <w:tr w:rsidR="0068141C" w:rsidRPr="009F4449">
        <w:tc>
          <w:tcPr>
            <w:tcW w:w="10188" w:type="dxa"/>
            <w:gridSpan w:val="4"/>
            <w:shd w:val="clear" w:color="auto" w:fill="E0E0E0"/>
            <w:vAlign w:val="center"/>
          </w:tcPr>
          <w:p w:rsidR="0068141C" w:rsidRPr="009F4449" w:rsidRDefault="0068141C" w:rsidP="0068141C">
            <w:pPr>
              <w:pStyle w:val="Header"/>
              <w:tabs>
                <w:tab w:val="left" w:pos="284"/>
              </w:tabs>
              <w:rPr>
                <w:b/>
                <w:bCs/>
              </w:rPr>
            </w:pPr>
            <w:r w:rsidRPr="009F4449">
              <w:rPr>
                <w:b/>
                <w:bCs/>
                <w:sz w:val="22"/>
                <w:szCs w:val="22"/>
              </w:rPr>
              <w:lastRenderedPageBreak/>
              <w:t>6. FARMACEUTSKI PODACI</w:t>
            </w:r>
          </w:p>
        </w:tc>
      </w:tr>
      <w:tr w:rsidR="0068141C" w:rsidRPr="009F4449">
        <w:tc>
          <w:tcPr>
            <w:tcW w:w="10188" w:type="dxa"/>
            <w:gridSpan w:val="4"/>
            <w:vAlign w:val="center"/>
          </w:tcPr>
          <w:p w:rsidR="0068141C" w:rsidRPr="009F4449" w:rsidRDefault="0068141C" w:rsidP="0068141C">
            <w:pPr>
              <w:pStyle w:val="Header"/>
              <w:tabs>
                <w:tab w:val="left" w:pos="284"/>
              </w:tabs>
              <w:spacing w:before="80" w:after="80"/>
              <w:rPr>
                <w:b/>
                <w:bCs/>
                <w:lang w:val="sr-Latn-CS"/>
              </w:rPr>
            </w:pPr>
            <w:r w:rsidRPr="009F4449">
              <w:rPr>
                <w:b/>
                <w:bCs/>
                <w:sz w:val="22"/>
                <w:szCs w:val="22"/>
              </w:rPr>
              <w:t>6.1. Lista pomo</w:t>
            </w:r>
            <w:r w:rsidRPr="009F4449">
              <w:rPr>
                <w:b/>
                <w:bCs/>
                <w:sz w:val="22"/>
                <w:szCs w:val="22"/>
                <w:lang w:val="sr-Latn-CS"/>
              </w:rPr>
              <w:t>ćnih supstanci</w:t>
            </w:r>
          </w:p>
        </w:tc>
      </w:tr>
      <w:tr w:rsidR="0068141C" w:rsidRPr="009F4449">
        <w:trPr>
          <w:trHeight w:val="779"/>
        </w:trPr>
        <w:tc>
          <w:tcPr>
            <w:tcW w:w="10188" w:type="dxa"/>
            <w:gridSpan w:val="4"/>
            <w:vAlign w:val="center"/>
          </w:tcPr>
          <w:p w:rsidR="0068141C" w:rsidRDefault="0068141C" w:rsidP="0068141C"/>
          <w:p w:rsidR="0068141C" w:rsidRPr="003C36C2" w:rsidRDefault="0068141C" w:rsidP="0068141C">
            <w:pPr>
              <w:rPr>
                <w:u w:val="single"/>
              </w:rPr>
            </w:pPr>
            <w:r w:rsidRPr="003C36C2">
              <w:rPr>
                <w:sz w:val="22"/>
                <w:szCs w:val="22"/>
                <w:u w:val="single"/>
              </w:rPr>
              <w:t>Jezgro tablete</w:t>
            </w:r>
          </w:p>
          <w:p w:rsidR="0068141C" w:rsidRDefault="0068141C" w:rsidP="0068141C">
            <w:pPr>
              <w:rPr>
                <w:sz w:val="22"/>
                <w:szCs w:val="22"/>
              </w:rPr>
            </w:pPr>
            <w:r>
              <w:rPr>
                <w:sz w:val="22"/>
                <w:szCs w:val="22"/>
              </w:rPr>
              <w:t>C</w:t>
            </w:r>
            <w:r w:rsidRPr="00DB1524">
              <w:rPr>
                <w:sz w:val="22"/>
                <w:szCs w:val="22"/>
              </w:rPr>
              <w:t>eluloza</w:t>
            </w:r>
            <w:r>
              <w:rPr>
                <w:sz w:val="22"/>
                <w:szCs w:val="22"/>
              </w:rPr>
              <w:t xml:space="preserve">, mikrokristalna </w:t>
            </w:r>
          </w:p>
          <w:p w:rsidR="0068141C" w:rsidRDefault="0068141C" w:rsidP="0068141C">
            <w:pPr>
              <w:rPr>
                <w:sz w:val="22"/>
                <w:szCs w:val="22"/>
              </w:rPr>
            </w:pPr>
            <w:r>
              <w:rPr>
                <w:sz w:val="22"/>
                <w:szCs w:val="22"/>
              </w:rPr>
              <w:t>p</w:t>
            </w:r>
            <w:r w:rsidRPr="00DB1524">
              <w:rPr>
                <w:sz w:val="22"/>
                <w:szCs w:val="22"/>
              </w:rPr>
              <w:t>ovidon (K30)</w:t>
            </w:r>
            <w:r>
              <w:rPr>
                <w:sz w:val="22"/>
                <w:szCs w:val="22"/>
              </w:rPr>
              <w:t xml:space="preserve"> </w:t>
            </w:r>
          </w:p>
          <w:p w:rsidR="0068141C" w:rsidRDefault="0068141C" w:rsidP="0068141C">
            <w:pPr>
              <w:rPr>
                <w:sz w:val="22"/>
                <w:szCs w:val="22"/>
              </w:rPr>
            </w:pPr>
            <w:r>
              <w:rPr>
                <w:sz w:val="22"/>
                <w:szCs w:val="22"/>
              </w:rPr>
              <w:t>natrijum-skrobglikolat (t</w:t>
            </w:r>
            <w:r w:rsidRPr="00DB1524">
              <w:rPr>
                <w:sz w:val="22"/>
                <w:szCs w:val="22"/>
              </w:rPr>
              <w:t>ip A)</w:t>
            </w:r>
          </w:p>
          <w:p w:rsidR="0068141C" w:rsidRPr="00DB1524" w:rsidRDefault="0068141C" w:rsidP="0068141C">
            <w:r>
              <w:rPr>
                <w:sz w:val="22"/>
                <w:szCs w:val="22"/>
              </w:rPr>
              <w:t>magnezijum-</w:t>
            </w:r>
            <w:r w:rsidRPr="00DB1524">
              <w:rPr>
                <w:sz w:val="22"/>
                <w:szCs w:val="22"/>
              </w:rPr>
              <w:t>stearat</w:t>
            </w:r>
          </w:p>
          <w:p w:rsidR="0068141C" w:rsidRPr="00DB1524" w:rsidRDefault="0068141C" w:rsidP="0068141C"/>
          <w:p w:rsidR="0068141C" w:rsidRPr="003C36C2" w:rsidRDefault="0068141C" w:rsidP="0068141C">
            <w:pPr>
              <w:rPr>
                <w:u w:val="single"/>
              </w:rPr>
            </w:pPr>
            <w:r>
              <w:rPr>
                <w:sz w:val="22"/>
                <w:szCs w:val="22"/>
                <w:u w:val="single"/>
              </w:rPr>
              <w:t>Obloga</w:t>
            </w:r>
            <w:r w:rsidRPr="003C36C2">
              <w:rPr>
                <w:sz w:val="22"/>
                <w:szCs w:val="22"/>
                <w:u w:val="single"/>
              </w:rPr>
              <w:t xml:space="preserve"> tablete</w:t>
            </w:r>
          </w:p>
          <w:p w:rsidR="0068141C" w:rsidRDefault="0068141C" w:rsidP="0068141C">
            <w:pPr>
              <w:rPr>
                <w:sz w:val="22"/>
                <w:szCs w:val="22"/>
              </w:rPr>
            </w:pPr>
            <w:r w:rsidRPr="00DB1524">
              <w:rPr>
                <w:sz w:val="22"/>
                <w:szCs w:val="22"/>
              </w:rPr>
              <w:t>Hipromeloza</w:t>
            </w:r>
            <w:r>
              <w:rPr>
                <w:sz w:val="22"/>
                <w:szCs w:val="22"/>
              </w:rPr>
              <w:t xml:space="preserve"> </w:t>
            </w:r>
          </w:p>
          <w:p w:rsidR="0068141C" w:rsidRDefault="0068141C" w:rsidP="0068141C">
            <w:pPr>
              <w:rPr>
                <w:sz w:val="22"/>
                <w:szCs w:val="22"/>
              </w:rPr>
            </w:pPr>
            <w:r>
              <w:rPr>
                <w:sz w:val="22"/>
                <w:szCs w:val="22"/>
              </w:rPr>
              <w:t>titan-</w:t>
            </w:r>
            <w:r w:rsidRPr="00DB1524">
              <w:rPr>
                <w:sz w:val="22"/>
                <w:szCs w:val="22"/>
              </w:rPr>
              <w:t>dioksid (E171)</w:t>
            </w:r>
            <w:r>
              <w:rPr>
                <w:sz w:val="22"/>
                <w:szCs w:val="22"/>
              </w:rPr>
              <w:t xml:space="preserve"> </w:t>
            </w:r>
          </w:p>
          <w:p w:rsidR="0068141C" w:rsidRDefault="0068141C" w:rsidP="0068141C">
            <w:pPr>
              <w:rPr>
                <w:sz w:val="22"/>
                <w:szCs w:val="22"/>
              </w:rPr>
            </w:pPr>
            <w:r>
              <w:rPr>
                <w:sz w:val="22"/>
                <w:szCs w:val="22"/>
              </w:rPr>
              <w:t>m</w:t>
            </w:r>
            <w:r w:rsidRPr="00DB1524">
              <w:rPr>
                <w:sz w:val="22"/>
                <w:szCs w:val="22"/>
              </w:rPr>
              <w:t>akrogol 400</w:t>
            </w:r>
          </w:p>
          <w:p w:rsidR="0068141C" w:rsidRDefault="0068141C" w:rsidP="0068141C">
            <w:pPr>
              <w:rPr>
                <w:sz w:val="22"/>
                <w:szCs w:val="22"/>
              </w:rPr>
            </w:pPr>
            <w:r>
              <w:rPr>
                <w:sz w:val="22"/>
                <w:szCs w:val="22"/>
              </w:rPr>
              <w:t>p</w:t>
            </w:r>
            <w:r w:rsidRPr="00DB1524">
              <w:rPr>
                <w:sz w:val="22"/>
                <w:szCs w:val="22"/>
              </w:rPr>
              <w:t>olisorbat 80</w:t>
            </w:r>
          </w:p>
          <w:p w:rsidR="0068141C" w:rsidRDefault="0068141C" w:rsidP="0068141C">
            <w:pPr>
              <w:rPr>
                <w:sz w:val="22"/>
                <w:szCs w:val="22"/>
              </w:rPr>
            </w:pPr>
            <w:r>
              <w:rPr>
                <w:sz w:val="22"/>
                <w:szCs w:val="22"/>
              </w:rPr>
              <w:t>gvožđe (III)-oksid, žuti</w:t>
            </w:r>
            <w:r w:rsidRPr="00DB1524">
              <w:rPr>
                <w:sz w:val="22"/>
                <w:szCs w:val="22"/>
              </w:rPr>
              <w:t xml:space="preserve"> (E172)</w:t>
            </w:r>
          </w:p>
          <w:p w:rsidR="0068141C" w:rsidRPr="00DB1524" w:rsidRDefault="0068141C" w:rsidP="0068141C">
            <w:r>
              <w:rPr>
                <w:sz w:val="22"/>
                <w:szCs w:val="22"/>
              </w:rPr>
              <w:t>gvožđe (III)-oksid, crveni</w:t>
            </w:r>
            <w:r w:rsidRPr="00DB1524">
              <w:rPr>
                <w:sz w:val="22"/>
                <w:szCs w:val="22"/>
              </w:rPr>
              <w:t xml:space="preserve"> (E172)</w:t>
            </w:r>
          </w:p>
          <w:p w:rsidR="0068141C" w:rsidRPr="009F4449" w:rsidRDefault="0068141C" w:rsidP="0068141C">
            <w:pPr>
              <w:pStyle w:val="Header"/>
              <w:tabs>
                <w:tab w:val="left" w:pos="284"/>
              </w:tabs>
            </w:pPr>
          </w:p>
        </w:tc>
      </w:tr>
      <w:tr w:rsidR="0068141C" w:rsidRPr="009F4449">
        <w:tc>
          <w:tcPr>
            <w:tcW w:w="10188" w:type="dxa"/>
            <w:gridSpan w:val="4"/>
            <w:vAlign w:val="center"/>
          </w:tcPr>
          <w:p w:rsidR="0068141C" w:rsidRPr="009F4449" w:rsidRDefault="0068141C" w:rsidP="0068141C">
            <w:pPr>
              <w:pStyle w:val="Header"/>
              <w:tabs>
                <w:tab w:val="left" w:pos="284"/>
              </w:tabs>
              <w:spacing w:before="80" w:after="80"/>
              <w:rPr>
                <w:b/>
                <w:bCs/>
              </w:rPr>
            </w:pPr>
            <w:r w:rsidRPr="009F4449">
              <w:rPr>
                <w:b/>
                <w:bCs/>
                <w:sz w:val="22"/>
                <w:szCs w:val="22"/>
              </w:rPr>
              <w:t>6.2. Inkompatibilnost</w:t>
            </w:r>
          </w:p>
        </w:tc>
      </w:tr>
      <w:tr w:rsidR="0068141C" w:rsidRPr="009F4449">
        <w:trPr>
          <w:trHeight w:val="833"/>
        </w:trPr>
        <w:tc>
          <w:tcPr>
            <w:tcW w:w="10188" w:type="dxa"/>
            <w:gridSpan w:val="4"/>
            <w:vAlign w:val="center"/>
          </w:tcPr>
          <w:p w:rsidR="0068141C" w:rsidRPr="009F4449" w:rsidRDefault="0068141C" w:rsidP="0068141C">
            <w:pPr>
              <w:pStyle w:val="Header"/>
              <w:tabs>
                <w:tab w:val="left" w:pos="284"/>
              </w:tabs>
            </w:pPr>
            <w:r>
              <w:rPr>
                <w:sz w:val="22"/>
                <w:szCs w:val="22"/>
              </w:rPr>
              <w:t>Nije primjenljivo.</w:t>
            </w:r>
          </w:p>
        </w:tc>
      </w:tr>
      <w:tr w:rsidR="0068141C" w:rsidRPr="009F4449">
        <w:tc>
          <w:tcPr>
            <w:tcW w:w="10188" w:type="dxa"/>
            <w:gridSpan w:val="4"/>
            <w:vAlign w:val="center"/>
          </w:tcPr>
          <w:p w:rsidR="0068141C" w:rsidRPr="009F4449" w:rsidRDefault="0068141C" w:rsidP="0068141C">
            <w:pPr>
              <w:pStyle w:val="Header"/>
              <w:tabs>
                <w:tab w:val="left" w:pos="284"/>
              </w:tabs>
              <w:spacing w:before="80" w:after="80"/>
              <w:rPr>
                <w:b/>
                <w:bCs/>
              </w:rPr>
            </w:pPr>
            <w:r w:rsidRPr="009F4449">
              <w:rPr>
                <w:b/>
                <w:bCs/>
                <w:sz w:val="22"/>
                <w:szCs w:val="22"/>
              </w:rPr>
              <w:t>6.3. Rok upotrebe</w:t>
            </w:r>
          </w:p>
        </w:tc>
      </w:tr>
      <w:tr w:rsidR="0068141C" w:rsidRPr="009F4449">
        <w:trPr>
          <w:trHeight w:val="851"/>
        </w:trPr>
        <w:tc>
          <w:tcPr>
            <w:tcW w:w="10188" w:type="dxa"/>
            <w:gridSpan w:val="4"/>
            <w:vAlign w:val="center"/>
          </w:tcPr>
          <w:p w:rsidR="0068141C" w:rsidRPr="009F4449" w:rsidRDefault="0068141C" w:rsidP="0068141C">
            <w:pPr>
              <w:pStyle w:val="Header"/>
              <w:tabs>
                <w:tab w:val="left" w:pos="284"/>
              </w:tabs>
            </w:pPr>
            <w:r>
              <w:rPr>
                <w:sz w:val="22"/>
                <w:szCs w:val="22"/>
              </w:rPr>
              <w:t>2 godine</w:t>
            </w:r>
          </w:p>
        </w:tc>
      </w:tr>
      <w:tr w:rsidR="0068141C" w:rsidRPr="009F4449">
        <w:tc>
          <w:tcPr>
            <w:tcW w:w="10188" w:type="dxa"/>
            <w:gridSpan w:val="4"/>
            <w:vAlign w:val="center"/>
          </w:tcPr>
          <w:p w:rsidR="0068141C" w:rsidRPr="009F4449" w:rsidRDefault="0068141C" w:rsidP="0068141C">
            <w:pPr>
              <w:pStyle w:val="Header"/>
              <w:tabs>
                <w:tab w:val="left" w:pos="284"/>
              </w:tabs>
              <w:spacing w:before="80" w:after="80"/>
              <w:rPr>
                <w:b/>
                <w:bCs/>
              </w:rPr>
            </w:pPr>
            <w:r w:rsidRPr="009F4449">
              <w:rPr>
                <w:b/>
                <w:bCs/>
                <w:sz w:val="22"/>
                <w:szCs w:val="22"/>
              </w:rPr>
              <w:t>6.4. Posebne m</w:t>
            </w:r>
            <w:r>
              <w:rPr>
                <w:b/>
                <w:bCs/>
                <w:sz w:val="22"/>
                <w:szCs w:val="22"/>
              </w:rPr>
              <w:t>j</w:t>
            </w:r>
            <w:r w:rsidRPr="009F4449">
              <w:rPr>
                <w:b/>
                <w:bCs/>
                <w:sz w:val="22"/>
                <w:szCs w:val="22"/>
              </w:rPr>
              <w:t>ere upozorenja pri čuvanju</w:t>
            </w:r>
          </w:p>
        </w:tc>
      </w:tr>
      <w:tr w:rsidR="0068141C" w:rsidRPr="001268A1">
        <w:trPr>
          <w:trHeight w:val="671"/>
        </w:trPr>
        <w:tc>
          <w:tcPr>
            <w:tcW w:w="10188" w:type="dxa"/>
            <w:gridSpan w:val="4"/>
            <w:vAlign w:val="center"/>
          </w:tcPr>
          <w:p w:rsidR="0068141C" w:rsidRPr="001268A1" w:rsidRDefault="0068141C" w:rsidP="0068141C">
            <w:pPr>
              <w:pStyle w:val="Header"/>
              <w:tabs>
                <w:tab w:val="left" w:pos="284"/>
              </w:tabs>
              <w:rPr>
                <w:lang w:val="it-IT"/>
              </w:rPr>
            </w:pPr>
            <w:r w:rsidRPr="001268A1">
              <w:rPr>
                <w:sz w:val="22"/>
                <w:szCs w:val="22"/>
                <w:lang w:val="it-IT"/>
              </w:rPr>
              <w:t xml:space="preserve">Čuvati na temperaturi </w:t>
            </w:r>
            <w:r>
              <w:rPr>
                <w:sz w:val="22"/>
                <w:szCs w:val="22"/>
                <w:lang w:val="it-IT"/>
              </w:rPr>
              <w:t>do</w:t>
            </w:r>
            <w:r w:rsidRPr="001268A1">
              <w:rPr>
                <w:sz w:val="22"/>
                <w:szCs w:val="22"/>
                <w:lang w:val="it-IT"/>
              </w:rPr>
              <w:t xml:space="preserve"> 30ºC.</w:t>
            </w:r>
          </w:p>
        </w:tc>
      </w:tr>
      <w:tr w:rsidR="0068141C" w:rsidRPr="00CA322A">
        <w:tc>
          <w:tcPr>
            <w:tcW w:w="10188" w:type="dxa"/>
            <w:gridSpan w:val="4"/>
            <w:vAlign w:val="center"/>
          </w:tcPr>
          <w:p w:rsidR="0068141C" w:rsidRPr="001268A1" w:rsidRDefault="0068141C" w:rsidP="0068141C">
            <w:pPr>
              <w:pStyle w:val="Header"/>
              <w:tabs>
                <w:tab w:val="left" w:pos="284"/>
              </w:tabs>
              <w:spacing w:before="80" w:after="80"/>
              <w:rPr>
                <w:b/>
                <w:bCs/>
                <w:lang w:val="sv-SE"/>
              </w:rPr>
            </w:pPr>
            <w:r w:rsidRPr="001268A1">
              <w:rPr>
                <w:b/>
                <w:bCs/>
                <w:sz w:val="22"/>
                <w:szCs w:val="22"/>
                <w:lang w:val="sv-SE"/>
              </w:rPr>
              <w:t>6.5. Priroda i sadržaj kontaktne ambalaže</w:t>
            </w:r>
          </w:p>
        </w:tc>
      </w:tr>
      <w:tr w:rsidR="0068141C" w:rsidRPr="00CA322A">
        <w:trPr>
          <w:trHeight w:val="671"/>
        </w:trPr>
        <w:tc>
          <w:tcPr>
            <w:tcW w:w="10188" w:type="dxa"/>
            <w:gridSpan w:val="4"/>
            <w:vAlign w:val="center"/>
          </w:tcPr>
          <w:p w:rsidR="0068141C" w:rsidRPr="00F74531" w:rsidRDefault="0068141C" w:rsidP="0068141C">
            <w:pPr>
              <w:pStyle w:val="Header"/>
              <w:rPr>
                <w:b/>
                <w:i/>
                <w:sz w:val="22"/>
                <w:szCs w:val="22"/>
                <w:u w:val="single"/>
                <w:lang w:val="sv-SE"/>
              </w:rPr>
            </w:pPr>
          </w:p>
          <w:p w:rsidR="0068141C" w:rsidRPr="001268A1" w:rsidRDefault="0068141C" w:rsidP="0068141C">
            <w:pPr>
              <w:pStyle w:val="Header"/>
              <w:tabs>
                <w:tab w:val="left" w:pos="284"/>
              </w:tabs>
              <w:rPr>
                <w:lang w:val="sv-SE"/>
              </w:rPr>
            </w:pPr>
          </w:p>
          <w:p w:rsidR="0068141C" w:rsidRPr="001268A1" w:rsidRDefault="0068141C" w:rsidP="0068141C">
            <w:pPr>
              <w:pStyle w:val="Header"/>
              <w:tabs>
                <w:tab w:val="left" w:pos="284"/>
              </w:tabs>
              <w:rPr>
                <w:lang w:val="pl-PL"/>
              </w:rPr>
            </w:pPr>
            <w:r w:rsidRPr="001268A1">
              <w:rPr>
                <w:sz w:val="22"/>
                <w:szCs w:val="22"/>
                <w:lang w:val="sv-SE"/>
              </w:rPr>
              <w:t>Svaka kutija l</w:t>
            </w:r>
            <w:r>
              <w:rPr>
                <w:sz w:val="22"/>
                <w:szCs w:val="22"/>
                <w:lang w:val="sv-SE"/>
              </w:rPr>
              <w:t>ij</w:t>
            </w:r>
            <w:r w:rsidRPr="001268A1">
              <w:rPr>
                <w:sz w:val="22"/>
                <w:szCs w:val="22"/>
                <w:lang w:val="sv-SE"/>
              </w:rPr>
              <w:t>eka Tyverb</w:t>
            </w:r>
            <w:r w:rsidRPr="001268A1">
              <w:rPr>
                <w:sz w:val="22"/>
                <w:szCs w:val="22"/>
                <w:vertAlign w:val="superscript"/>
                <w:lang w:val="sv-SE"/>
              </w:rPr>
              <w:t>®</w:t>
            </w:r>
            <w:r w:rsidRPr="001268A1">
              <w:rPr>
                <w:sz w:val="22"/>
                <w:szCs w:val="22"/>
                <w:lang w:val="sv-SE"/>
              </w:rPr>
              <w:t xml:space="preserve"> sadrži 70 film tableta, upakovanih u blistere (poliamid/Al/PVC/Al) sa po 10 film tableta. </w:t>
            </w:r>
            <w:r w:rsidRPr="001268A1">
              <w:rPr>
                <w:sz w:val="22"/>
                <w:szCs w:val="22"/>
                <w:lang w:val="pl-PL"/>
              </w:rPr>
              <w:t>Svaki blister je na sredini pod</w:t>
            </w:r>
            <w:r>
              <w:rPr>
                <w:sz w:val="22"/>
                <w:szCs w:val="22"/>
                <w:lang w:val="pl-PL"/>
              </w:rPr>
              <w:t>ij</w:t>
            </w:r>
            <w:r w:rsidRPr="001268A1">
              <w:rPr>
                <w:sz w:val="22"/>
                <w:szCs w:val="22"/>
                <w:lang w:val="pl-PL"/>
              </w:rPr>
              <w:t>eljen perforacijom, čime je moguća pod</w:t>
            </w:r>
            <w:r>
              <w:rPr>
                <w:sz w:val="22"/>
                <w:szCs w:val="22"/>
                <w:lang w:val="pl-PL"/>
              </w:rPr>
              <w:t>j</w:t>
            </w:r>
            <w:r w:rsidRPr="001268A1">
              <w:rPr>
                <w:sz w:val="22"/>
                <w:szCs w:val="22"/>
                <w:lang w:val="pl-PL"/>
              </w:rPr>
              <w:t>ela blistera na dnevne doze od po 5 film tableta.</w:t>
            </w:r>
          </w:p>
          <w:p w:rsidR="0068141C" w:rsidRPr="00D52C2F" w:rsidRDefault="0068141C" w:rsidP="0068141C">
            <w:pPr>
              <w:pStyle w:val="Header"/>
              <w:rPr>
                <w:sz w:val="22"/>
                <w:szCs w:val="22"/>
                <w:lang w:val="pl-PL"/>
              </w:rPr>
            </w:pPr>
          </w:p>
          <w:p w:rsidR="0068141C" w:rsidRPr="0099669F" w:rsidRDefault="0068141C" w:rsidP="0068141C">
            <w:pPr>
              <w:pStyle w:val="Header"/>
              <w:tabs>
                <w:tab w:val="left" w:pos="284"/>
              </w:tabs>
              <w:rPr>
                <w:lang w:val="pl-PL"/>
              </w:rPr>
            </w:pPr>
            <w:r w:rsidRPr="0099669F">
              <w:rPr>
                <w:sz w:val="22"/>
                <w:szCs w:val="22"/>
                <w:lang w:val="sv-SE"/>
              </w:rPr>
              <w:lastRenderedPageBreak/>
              <w:t>Svaka kutija l</w:t>
            </w:r>
            <w:r>
              <w:rPr>
                <w:sz w:val="22"/>
                <w:szCs w:val="22"/>
                <w:lang w:val="sv-SE"/>
              </w:rPr>
              <w:t>ij</w:t>
            </w:r>
            <w:r w:rsidRPr="0099669F">
              <w:rPr>
                <w:sz w:val="22"/>
                <w:szCs w:val="22"/>
                <w:lang w:val="sv-SE"/>
              </w:rPr>
              <w:t>eka Tyverb</w:t>
            </w:r>
            <w:r w:rsidRPr="0099669F">
              <w:rPr>
                <w:sz w:val="22"/>
                <w:szCs w:val="22"/>
                <w:vertAlign w:val="superscript"/>
                <w:lang w:val="sv-SE"/>
              </w:rPr>
              <w:t>®</w:t>
            </w:r>
            <w:r w:rsidRPr="0099669F">
              <w:rPr>
                <w:sz w:val="22"/>
                <w:szCs w:val="22"/>
                <w:lang w:val="sv-SE"/>
              </w:rPr>
              <w:t xml:space="preserve"> sadrži 84 film tablete, upakovane u blistere (poliamid/Al/PVC/Al) sa po 12 film tableta. </w:t>
            </w:r>
            <w:r w:rsidRPr="0099669F">
              <w:rPr>
                <w:sz w:val="22"/>
                <w:szCs w:val="22"/>
                <w:lang w:val="pl-PL"/>
              </w:rPr>
              <w:t>Svaki blister je na sredini pod</w:t>
            </w:r>
            <w:r>
              <w:rPr>
                <w:sz w:val="22"/>
                <w:szCs w:val="22"/>
                <w:lang w:val="pl-PL"/>
              </w:rPr>
              <w:t>ije</w:t>
            </w:r>
            <w:r w:rsidRPr="0099669F">
              <w:rPr>
                <w:sz w:val="22"/>
                <w:szCs w:val="22"/>
                <w:lang w:val="pl-PL"/>
              </w:rPr>
              <w:t>ljen perforacijom, čime je moguća pod</w:t>
            </w:r>
            <w:r>
              <w:rPr>
                <w:sz w:val="22"/>
                <w:szCs w:val="22"/>
                <w:lang w:val="pl-PL"/>
              </w:rPr>
              <w:t>j</w:t>
            </w:r>
            <w:r w:rsidRPr="0099669F">
              <w:rPr>
                <w:sz w:val="22"/>
                <w:szCs w:val="22"/>
                <w:lang w:val="pl-PL"/>
              </w:rPr>
              <w:t>ela blistera na dnevne doze od po 6 film tableta.</w:t>
            </w:r>
          </w:p>
          <w:p w:rsidR="0068141C" w:rsidRPr="001268A1" w:rsidRDefault="0068141C" w:rsidP="0068141C">
            <w:pPr>
              <w:pStyle w:val="Header"/>
              <w:tabs>
                <w:tab w:val="left" w:pos="284"/>
              </w:tabs>
              <w:rPr>
                <w:lang w:val="pl-PL"/>
              </w:rPr>
            </w:pPr>
          </w:p>
        </w:tc>
      </w:tr>
      <w:tr w:rsidR="0068141C" w:rsidRPr="00CA322A">
        <w:tc>
          <w:tcPr>
            <w:tcW w:w="10188" w:type="dxa"/>
            <w:gridSpan w:val="4"/>
            <w:vAlign w:val="center"/>
          </w:tcPr>
          <w:p w:rsidR="0068141C" w:rsidRPr="0068141C" w:rsidRDefault="0068141C" w:rsidP="0068141C">
            <w:pPr>
              <w:pStyle w:val="Header"/>
              <w:tabs>
                <w:tab w:val="left" w:pos="284"/>
              </w:tabs>
              <w:spacing w:before="80" w:after="80"/>
              <w:rPr>
                <w:b/>
                <w:bCs/>
              </w:rPr>
            </w:pPr>
            <w:r w:rsidRPr="0068141C">
              <w:rPr>
                <w:b/>
                <w:bCs/>
                <w:sz w:val="22"/>
                <w:szCs w:val="22"/>
              </w:rPr>
              <w:lastRenderedPageBreak/>
              <w:t xml:space="preserve">6.6. Posebne mjere opreza pri odlaganju materijala koji treba odbaciti nakon primjene lijeka </w:t>
            </w:r>
          </w:p>
        </w:tc>
      </w:tr>
      <w:tr w:rsidR="0068141C" w:rsidRPr="009F4449">
        <w:trPr>
          <w:trHeight w:val="1031"/>
        </w:trPr>
        <w:tc>
          <w:tcPr>
            <w:tcW w:w="10188" w:type="dxa"/>
            <w:gridSpan w:val="4"/>
            <w:vAlign w:val="center"/>
          </w:tcPr>
          <w:p w:rsidR="0068141C" w:rsidRPr="009F4449" w:rsidRDefault="0068141C" w:rsidP="0068141C">
            <w:pPr>
              <w:pStyle w:val="Header"/>
              <w:tabs>
                <w:tab w:val="left" w:pos="284"/>
              </w:tabs>
            </w:pPr>
            <w:r>
              <w:rPr>
                <w:sz w:val="22"/>
                <w:szCs w:val="22"/>
              </w:rPr>
              <w:t>Lijek se uništava u skladu sa važećim propisima.</w:t>
            </w:r>
          </w:p>
        </w:tc>
      </w:tr>
      <w:tr w:rsidR="0068141C" w:rsidRPr="009F4449">
        <w:trPr>
          <w:trHeight w:val="162"/>
        </w:trPr>
        <w:tc>
          <w:tcPr>
            <w:tcW w:w="10188" w:type="dxa"/>
            <w:gridSpan w:val="4"/>
            <w:shd w:val="clear" w:color="auto" w:fill="E0E0E0"/>
            <w:vAlign w:val="center"/>
          </w:tcPr>
          <w:p w:rsidR="0068141C" w:rsidRPr="009F4449" w:rsidRDefault="0068141C" w:rsidP="0068141C">
            <w:pPr>
              <w:pStyle w:val="Header"/>
              <w:tabs>
                <w:tab w:val="left" w:pos="284"/>
              </w:tabs>
              <w:rPr>
                <w:b/>
                <w:bCs/>
              </w:rPr>
            </w:pPr>
            <w:r w:rsidRPr="009F4449">
              <w:rPr>
                <w:b/>
                <w:bCs/>
                <w:sz w:val="22"/>
                <w:szCs w:val="22"/>
              </w:rPr>
              <w:t xml:space="preserve">7. NOSILAC DOZVOLE </w:t>
            </w:r>
          </w:p>
        </w:tc>
      </w:tr>
      <w:tr w:rsidR="0068141C" w:rsidRPr="009F4449">
        <w:trPr>
          <w:trHeight w:val="896"/>
        </w:trPr>
        <w:tc>
          <w:tcPr>
            <w:tcW w:w="10188" w:type="dxa"/>
            <w:gridSpan w:val="4"/>
            <w:vAlign w:val="center"/>
          </w:tcPr>
          <w:p w:rsidR="00872853" w:rsidRPr="00872853" w:rsidRDefault="00872853" w:rsidP="00872853">
            <w:pPr>
              <w:pStyle w:val="Header"/>
              <w:tabs>
                <w:tab w:val="left" w:pos="284"/>
              </w:tabs>
              <w:rPr>
                <w:bCs/>
                <w:sz w:val="22"/>
                <w:szCs w:val="22"/>
              </w:rPr>
            </w:pPr>
            <w:r w:rsidRPr="00872853">
              <w:rPr>
                <w:bCs/>
                <w:sz w:val="22"/>
                <w:szCs w:val="22"/>
              </w:rPr>
              <w:t>“Novartis Pharma  Services AG” dio stranog društva, Podgorica</w:t>
            </w:r>
          </w:p>
          <w:p w:rsidR="0068141C" w:rsidRPr="009F4449" w:rsidRDefault="00872853" w:rsidP="00872853">
            <w:pPr>
              <w:pStyle w:val="Header"/>
              <w:tabs>
                <w:tab w:val="left" w:pos="284"/>
              </w:tabs>
            </w:pPr>
            <w:r w:rsidRPr="00872853">
              <w:rPr>
                <w:bCs/>
                <w:sz w:val="22"/>
                <w:szCs w:val="22"/>
              </w:rPr>
              <w:t>Ul. Svetlane Kane Radević br 3, Podgorica</w:t>
            </w:r>
          </w:p>
        </w:tc>
      </w:tr>
      <w:tr w:rsidR="0068141C" w:rsidRPr="00CA322A">
        <w:tc>
          <w:tcPr>
            <w:tcW w:w="10188" w:type="dxa"/>
            <w:gridSpan w:val="4"/>
            <w:shd w:val="clear" w:color="auto" w:fill="E0E0E0"/>
            <w:vAlign w:val="center"/>
          </w:tcPr>
          <w:p w:rsidR="0068141C" w:rsidRPr="001268A1" w:rsidRDefault="0068141C" w:rsidP="0068141C">
            <w:pPr>
              <w:pStyle w:val="Header"/>
              <w:tabs>
                <w:tab w:val="left" w:pos="284"/>
              </w:tabs>
              <w:rPr>
                <w:b/>
                <w:bCs/>
                <w:lang w:val="it-IT"/>
              </w:rPr>
            </w:pPr>
            <w:r w:rsidRPr="001268A1">
              <w:rPr>
                <w:b/>
                <w:bCs/>
                <w:sz w:val="22"/>
                <w:szCs w:val="22"/>
                <w:lang w:val="it-IT"/>
              </w:rPr>
              <w:t>8. BROJ PRVE DOZVOLE I OBNOVE DOZVOLE</w:t>
            </w:r>
          </w:p>
        </w:tc>
      </w:tr>
      <w:tr w:rsidR="0068141C" w:rsidRPr="00CA322A">
        <w:trPr>
          <w:trHeight w:val="869"/>
        </w:trPr>
        <w:tc>
          <w:tcPr>
            <w:tcW w:w="10188" w:type="dxa"/>
            <w:gridSpan w:val="4"/>
            <w:vAlign w:val="center"/>
          </w:tcPr>
          <w:p w:rsidR="00D52C2F" w:rsidRDefault="00D52C2F" w:rsidP="00D52C2F">
            <w:pPr>
              <w:widowControl w:val="0"/>
              <w:autoSpaceDE w:val="0"/>
              <w:autoSpaceDN w:val="0"/>
              <w:rPr>
                <w:b/>
                <w:bCs/>
                <w:sz w:val="22"/>
                <w:szCs w:val="22"/>
                <w:lang w:val="sr-Latn-CS" w:eastAsia="sr-Latn-CS"/>
              </w:rPr>
            </w:pPr>
            <w:r>
              <w:rPr>
                <w:sz w:val="22"/>
                <w:szCs w:val="22"/>
                <w:lang w:val="sr-Latn-CS"/>
              </w:rPr>
              <w:t xml:space="preserve">Tyverb®, film tableta, 250mg, 70 x 250mg: </w:t>
            </w:r>
            <w:r>
              <w:rPr>
                <w:b/>
                <w:bCs/>
                <w:sz w:val="22"/>
                <w:szCs w:val="22"/>
                <w:lang w:val="sr-Latn-CS" w:eastAsia="sr-Latn-CS"/>
              </w:rPr>
              <w:t xml:space="preserve"> </w:t>
            </w:r>
            <w:r>
              <w:rPr>
                <w:bCs/>
                <w:sz w:val="22"/>
                <w:szCs w:val="22"/>
                <w:lang w:val="sr-Latn-CS" w:eastAsia="sr-Latn-CS"/>
              </w:rPr>
              <w:t>2030/11/85 – 3184</w:t>
            </w:r>
          </w:p>
          <w:p w:rsidR="0068141C" w:rsidRPr="001268A1" w:rsidRDefault="00D52C2F" w:rsidP="00D52C2F">
            <w:pPr>
              <w:pStyle w:val="Header"/>
              <w:tabs>
                <w:tab w:val="left" w:pos="284"/>
              </w:tabs>
              <w:rPr>
                <w:lang w:val="it-IT"/>
              </w:rPr>
            </w:pPr>
            <w:r>
              <w:rPr>
                <w:sz w:val="22"/>
                <w:szCs w:val="22"/>
                <w:lang w:val="sr-Latn-CS"/>
              </w:rPr>
              <w:t xml:space="preserve">Tyverb®, film tableta, 250mg, 84 x 250mg: 2030/11/86 </w:t>
            </w:r>
            <w:r>
              <w:rPr>
                <w:bCs/>
                <w:sz w:val="22"/>
                <w:szCs w:val="22"/>
                <w:lang w:val="sr-Latn-CS" w:eastAsia="sr-Latn-CS"/>
              </w:rPr>
              <w:t xml:space="preserve">– </w:t>
            </w:r>
            <w:r>
              <w:rPr>
                <w:sz w:val="22"/>
                <w:szCs w:val="22"/>
                <w:lang w:val="sr-Latn-CS"/>
              </w:rPr>
              <w:t xml:space="preserve">4704 </w:t>
            </w:r>
          </w:p>
        </w:tc>
      </w:tr>
      <w:tr w:rsidR="0068141C" w:rsidRPr="0068141C">
        <w:tc>
          <w:tcPr>
            <w:tcW w:w="10188" w:type="dxa"/>
            <w:gridSpan w:val="4"/>
            <w:shd w:val="clear" w:color="auto" w:fill="E0E0E0"/>
            <w:vAlign w:val="center"/>
          </w:tcPr>
          <w:p w:rsidR="0068141C" w:rsidRPr="0068141C" w:rsidRDefault="0068141C" w:rsidP="0068141C">
            <w:pPr>
              <w:pStyle w:val="Header"/>
              <w:tabs>
                <w:tab w:val="left" w:pos="284"/>
              </w:tabs>
              <w:rPr>
                <w:b/>
                <w:bCs/>
                <w:lang w:val="pl-PL"/>
              </w:rPr>
            </w:pPr>
            <w:r w:rsidRPr="0068141C">
              <w:rPr>
                <w:b/>
                <w:bCs/>
                <w:sz w:val="22"/>
                <w:szCs w:val="22"/>
                <w:lang w:val="pl-PL"/>
              </w:rPr>
              <w:t>9. DATUM PRVE DOZVOLE I DATUM OBNOVE DOZVOLE</w:t>
            </w:r>
          </w:p>
        </w:tc>
      </w:tr>
      <w:tr w:rsidR="0068141C" w:rsidRPr="0068141C">
        <w:trPr>
          <w:trHeight w:val="824"/>
        </w:trPr>
        <w:tc>
          <w:tcPr>
            <w:tcW w:w="10188" w:type="dxa"/>
            <w:gridSpan w:val="4"/>
            <w:vAlign w:val="center"/>
          </w:tcPr>
          <w:p w:rsidR="00D52C2F" w:rsidRDefault="00D52C2F" w:rsidP="00D52C2F">
            <w:pPr>
              <w:widowControl w:val="0"/>
              <w:autoSpaceDE w:val="0"/>
              <w:autoSpaceDN w:val="0"/>
              <w:rPr>
                <w:b/>
                <w:bCs/>
                <w:sz w:val="22"/>
                <w:szCs w:val="22"/>
                <w:lang w:val="sr-Latn-CS" w:eastAsia="sr-Latn-CS"/>
              </w:rPr>
            </w:pPr>
            <w:r>
              <w:rPr>
                <w:sz w:val="22"/>
                <w:szCs w:val="22"/>
                <w:lang w:val="sr-Latn-CS"/>
              </w:rPr>
              <w:t xml:space="preserve">Tyverb®, film tableta, 250mg, 70 x 250mg: </w:t>
            </w:r>
            <w:r>
              <w:rPr>
                <w:sz w:val="22"/>
                <w:szCs w:val="22"/>
                <w:lang w:val="sr-Latn-CS" w:eastAsia="sr-Latn-CS"/>
              </w:rPr>
              <w:t>03.10.2011. godine</w:t>
            </w:r>
          </w:p>
          <w:p w:rsidR="0068141C" w:rsidRPr="0068141C" w:rsidRDefault="00D52C2F" w:rsidP="00D52C2F">
            <w:pPr>
              <w:pStyle w:val="Header"/>
              <w:tabs>
                <w:tab w:val="left" w:pos="284"/>
              </w:tabs>
              <w:rPr>
                <w:lang w:val="pl-PL"/>
              </w:rPr>
            </w:pPr>
            <w:r>
              <w:rPr>
                <w:sz w:val="22"/>
                <w:szCs w:val="22"/>
                <w:lang w:val="sr-Latn-CS"/>
              </w:rPr>
              <w:t xml:space="preserve">Tyverb®, film tableta, 250mg, 84 x 250mg: </w:t>
            </w:r>
            <w:r>
              <w:rPr>
                <w:sz w:val="22"/>
                <w:szCs w:val="22"/>
                <w:lang w:val="sr-Latn-CS" w:eastAsia="sr-Latn-CS"/>
              </w:rPr>
              <w:t>03.10.2011. godine</w:t>
            </w:r>
          </w:p>
        </w:tc>
      </w:tr>
      <w:tr w:rsidR="0068141C" w:rsidRPr="009F4449">
        <w:tc>
          <w:tcPr>
            <w:tcW w:w="10188" w:type="dxa"/>
            <w:gridSpan w:val="4"/>
            <w:shd w:val="clear" w:color="auto" w:fill="E0E0E0"/>
            <w:vAlign w:val="center"/>
          </w:tcPr>
          <w:p w:rsidR="0068141C" w:rsidRPr="009F4449" w:rsidRDefault="0068141C" w:rsidP="0068141C">
            <w:pPr>
              <w:pStyle w:val="Header"/>
              <w:tabs>
                <w:tab w:val="left" w:pos="284"/>
              </w:tabs>
              <w:rPr>
                <w:b/>
                <w:bCs/>
              </w:rPr>
            </w:pPr>
            <w:r w:rsidRPr="009F4449">
              <w:rPr>
                <w:b/>
                <w:bCs/>
                <w:sz w:val="22"/>
                <w:szCs w:val="22"/>
              </w:rPr>
              <w:t>10. DATUM REVIZIJE TEKSTA</w:t>
            </w:r>
          </w:p>
        </w:tc>
      </w:tr>
      <w:tr w:rsidR="0068141C" w:rsidRPr="009F4449">
        <w:trPr>
          <w:trHeight w:val="824"/>
        </w:trPr>
        <w:tc>
          <w:tcPr>
            <w:tcW w:w="10188" w:type="dxa"/>
            <w:gridSpan w:val="4"/>
            <w:vAlign w:val="center"/>
          </w:tcPr>
          <w:p w:rsidR="0068141C" w:rsidRPr="009F4449" w:rsidRDefault="00D52C2F" w:rsidP="0068141C">
            <w:pPr>
              <w:pStyle w:val="Header"/>
              <w:tabs>
                <w:tab w:val="left" w:pos="284"/>
              </w:tabs>
            </w:pPr>
            <w:r w:rsidRPr="00D52C2F">
              <w:rPr>
                <w:sz w:val="22"/>
              </w:rPr>
              <w:t>Oktobar, 2011. godine</w:t>
            </w:r>
            <w:bookmarkStart w:id="0" w:name="_GoBack"/>
            <w:bookmarkEnd w:id="0"/>
          </w:p>
        </w:tc>
      </w:tr>
    </w:tbl>
    <w:p w:rsidR="0068141C" w:rsidRDefault="0068141C" w:rsidP="0068141C"/>
    <w:p w:rsidR="006768CB" w:rsidRPr="0068141C" w:rsidRDefault="006768CB" w:rsidP="0068141C">
      <w:pPr>
        <w:rPr>
          <w:szCs w:val="22"/>
        </w:rPr>
      </w:pPr>
    </w:p>
    <w:sectPr w:rsidR="006768CB" w:rsidRPr="0068141C"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E3E" w:rsidRDefault="00701E3E">
      <w:r>
        <w:separator/>
      </w:r>
    </w:p>
  </w:endnote>
  <w:endnote w:type="continuationSeparator" w:id="0">
    <w:p w:rsidR="00701E3E" w:rsidRDefault="0070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00000000" w:usb1="80000000" w:usb2="00000008"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90" w:rsidRDefault="002D2F9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2F90" w:rsidRDefault="002D2F90"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90" w:rsidRDefault="002D2F90" w:rsidP="00E70869">
    <w:pPr>
      <w:pStyle w:val="Footer"/>
      <w:framePr w:wrap="around" w:vAnchor="text" w:hAnchor="margin" w:xAlign="right" w:y="1"/>
      <w:rPr>
        <w:rStyle w:val="PageNumber"/>
      </w:rPr>
    </w:pPr>
  </w:p>
  <w:p w:rsidR="002D2F90" w:rsidRDefault="00F92FB0" w:rsidP="00F96E5A">
    <w:pPr>
      <w:pStyle w:val="Header"/>
      <w:pBdr>
        <w:top w:val="thinThickSmallGap" w:sz="24" w:space="1" w:color="auto"/>
      </w:pBdr>
      <w:jc w:val="center"/>
    </w:pPr>
    <w:r>
      <w:rPr>
        <w:noProof/>
      </w:rPr>
      <w:drawing>
        <wp:inline distT="0" distB="0" distL="0" distR="0">
          <wp:extent cx="5705475" cy="361950"/>
          <wp:effectExtent l="0" t="0" r="0" b="0"/>
          <wp:docPr id="2" name="Picture 2"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361950"/>
                  </a:xfrm>
                  <a:prstGeom prst="rect">
                    <a:avLst/>
                  </a:prstGeom>
                  <a:noFill/>
                  <a:ln>
                    <a:noFill/>
                  </a:ln>
                </pic:spPr>
              </pic:pic>
            </a:graphicData>
          </a:graphic>
        </wp:inline>
      </w:drawing>
    </w:r>
  </w:p>
  <w:p w:rsidR="002D2F90" w:rsidRPr="00F96E5A" w:rsidRDefault="002D2F90" w:rsidP="00F96E5A">
    <w:pPr>
      <w:pStyle w:val="Header"/>
      <w:pBdr>
        <w:top w:val="thinThickSmallGap" w:sz="24" w:space="1" w:color="auto"/>
      </w:pBd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D52C2F">
      <w:rPr>
        <w:rStyle w:val="PageNumber"/>
        <w:noProof/>
      </w:rPr>
      <w:t>15</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D52C2F">
      <w:rPr>
        <w:rStyle w:val="PageNumber"/>
        <w:noProof/>
      </w:rPr>
      <w:t>16</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90" w:rsidRDefault="002D2F90"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E3E" w:rsidRDefault="00701E3E">
      <w:r>
        <w:separator/>
      </w:r>
    </w:p>
  </w:footnote>
  <w:footnote w:type="continuationSeparator" w:id="0">
    <w:p w:rsidR="00701E3E" w:rsidRDefault="00701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90" w:rsidRDefault="002D2F90" w:rsidP="00615ADD">
    <w:pPr>
      <w:pStyle w:val="Header"/>
      <w:rPr>
        <w:sz w:val="16"/>
        <w:szCs w:val="16"/>
      </w:rPr>
    </w:pPr>
  </w:p>
  <w:p w:rsidR="002D2F90" w:rsidRPr="00615ADD" w:rsidRDefault="00F92FB0" w:rsidP="0008350D">
    <w:pPr>
      <w:pStyle w:val="Header"/>
      <w:pBdr>
        <w:top w:val="thinThickSmallGap" w:sz="24" w:space="1" w:color="auto"/>
      </w:pBdr>
    </w:pPr>
    <w:r>
      <w:rPr>
        <w:noProof/>
      </w:rPr>
      <w:drawing>
        <wp:inline distT="0" distB="0" distL="0" distR="0">
          <wp:extent cx="1438275" cy="1076325"/>
          <wp:effectExtent l="0" t="0" r="0" b="0"/>
          <wp:docPr id="1" name="Picture 1"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90" w:rsidRDefault="00F92FB0">
    <w:pPr>
      <w:pStyle w:val="Header"/>
      <w:rPr>
        <w:sz w:val="16"/>
        <w:szCs w:val="16"/>
      </w:rPr>
    </w:pPr>
    <w:r w:rsidRPr="005319EA">
      <w:rPr>
        <w:noProof/>
        <w:sz w:val="16"/>
        <w:szCs w:val="16"/>
      </w:rPr>
      <w:drawing>
        <wp:inline distT="0" distB="0" distL="0" distR="0">
          <wp:extent cx="14478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2D2F90" w:rsidRDefault="002D2F90">
    <w:pPr>
      <w:pStyle w:val="Header"/>
      <w:rPr>
        <w:sz w:val="16"/>
        <w:szCs w:val="16"/>
      </w:rPr>
    </w:pPr>
  </w:p>
  <w:p w:rsidR="002D2F90" w:rsidRDefault="002D2F90"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3CA3D59"/>
    <w:multiLevelType w:val="singleLevel"/>
    <w:tmpl w:val="30D60432"/>
    <w:lvl w:ilvl="0">
      <w:numFmt w:val="bullet"/>
      <w:lvlText w:val="-"/>
      <w:lvlJc w:val="left"/>
      <w:pPr>
        <w:tabs>
          <w:tab w:val="num" w:pos="360"/>
        </w:tabs>
        <w:ind w:left="1440"/>
      </w:pPr>
      <w:rPr>
        <w:rFonts w:ascii="Symbol" w:hAnsi="Symbol" w:cs="Symbol"/>
        <w:i/>
        <w:iCs/>
        <w:color w:val="008000"/>
        <w:sz w:val="22"/>
        <w:szCs w:val="22"/>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686E2C0"/>
    <w:multiLevelType w:val="singleLevel"/>
    <w:tmpl w:val="28FA4408"/>
    <w:lvl w:ilvl="0">
      <w:start w:val="4"/>
      <w:numFmt w:val="decimal"/>
      <w:lvlText w:val="%1."/>
      <w:lvlJc w:val="left"/>
      <w:pPr>
        <w:tabs>
          <w:tab w:val="num" w:pos="576"/>
        </w:tabs>
      </w:pPr>
      <w:rPr>
        <w:b/>
        <w:bCs/>
        <w:sz w:val="22"/>
        <w:szCs w:val="22"/>
      </w:rPr>
    </w:lvl>
  </w:abstractNum>
  <w:abstractNum w:abstractNumId="9" w15:restartNumberingAfterBreak="0">
    <w:nsid w:val="0B89484D"/>
    <w:multiLevelType w:val="hybridMultilevel"/>
    <w:tmpl w:val="99FC02F6"/>
    <w:lvl w:ilvl="0" w:tplc="2718422A">
      <w:start w:val="1"/>
      <w:numFmt w:val="upperLetter"/>
      <w:lvlText w:val="%1."/>
      <w:lvlJc w:val="left"/>
      <w:pPr>
        <w:tabs>
          <w:tab w:val="num" w:pos="284"/>
        </w:tabs>
        <w:ind w:left="284" w:hanging="284"/>
      </w:pPr>
      <w:rPr>
        <w:rFonts w:ascii="Times New Roman" w:hAnsi="Times New Roman" w:hint="default"/>
        <w:b/>
        <w:i w:val="0"/>
        <w:sz w:val="22"/>
        <w:szCs w:val="22"/>
      </w:rPr>
    </w:lvl>
    <w:lvl w:ilvl="1" w:tplc="04090001">
      <w:start w:val="1"/>
      <w:numFmt w:val="bullet"/>
      <w:lvlText w:val=""/>
      <w:lvlJc w:val="left"/>
      <w:pPr>
        <w:tabs>
          <w:tab w:val="num" w:pos="1440"/>
        </w:tabs>
        <w:ind w:left="1440" w:hanging="360"/>
      </w:pPr>
      <w:rPr>
        <w:rFonts w:ascii="Symbol" w:hAnsi="Symbol"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1D057B"/>
    <w:multiLevelType w:val="singleLevel"/>
    <w:tmpl w:val="B3A42116"/>
    <w:lvl w:ilvl="0">
      <w:numFmt w:val="bullet"/>
      <w:lvlText w:val="-"/>
      <w:lvlJc w:val="left"/>
      <w:pPr>
        <w:tabs>
          <w:tab w:val="num" w:pos="360"/>
        </w:tabs>
        <w:ind w:left="360" w:hanging="360"/>
      </w:pPr>
      <w:rPr>
        <w:rFonts w:hint="default"/>
      </w:rPr>
    </w:lvl>
  </w:abstractNum>
  <w:abstractNum w:abstractNumId="11" w15:restartNumberingAfterBreak="0">
    <w:nsid w:val="12C24A01"/>
    <w:multiLevelType w:val="hybridMultilevel"/>
    <w:tmpl w:val="C41AAEDC"/>
    <w:lvl w:ilvl="0" w:tplc="2718422A">
      <w:start w:val="1"/>
      <w:numFmt w:val="upperLetter"/>
      <w:lvlText w:val="%1."/>
      <w:lvlJc w:val="left"/>
      <w:pPr>
        <w:tabs>
          <w:tab w:val="num" w:pos="284"/>
        </w:tabs>
        <w:ind w:left="284" w:hanging="284"/>
      </w:pPr>
      <w:rPr>
        <w:rFonts w:ascii="Times New Roman" w:hAnsi="Times New Roman" w:hint="default"/>
        <w:b/>
        <w:i w:val="0"/>
        <w:sz w:val="22"/>
        <w:szCs w:val="22"/>
      </w:rPr>
    </w:lvl>
    <w:lvl w:ilvl="1" w:tplc="FD74F68A">
      <w:start w:val="1"/>
      <w:numFmt w:val="bullet"/>
      <w:lvlText w:val=""/>
      <w:lvlJc w:val="left"/>
      <w:pPr>
        <w:tabs>
          <w:tab w:val="num" w:pos="1440"/>
        </w:tabs>
        <w:ind w:left="1440" w:hanging="360"/>
      </w:pPr>
      <w:rPr>
        <w:rFonts w:ascii="Wingdings 2" w:hAnsi="Wingdings 2" w:hint="default"/>
        <w:b/>
        <w:i w:val="0"/>
        <w:color w:val="auto"/>
        <w:sz w:val="22"/>
        <w:szCs w:val="22"/>
      </w:rPr>
    </w:lvl>
    <w:lvl w:ilvl="2" w:tplc="1CB4AFEA">
      <w:start w:val="3"/>
      <w:numFmt w:val="upperLetter"/>
      <w:lvlText w:val="%3."/>
      <w:lvlJc w:val="left"/>
      <w:pPr>
        <w:tabs>
          <w:tab w:val="num" w:pos="284"/>
        </w:tabs>
        <w:ind w:left="284" w:hanging="284"/>
      </w:pPr>
      <w:rPr>
        <w:rFonts w:ascii="Times New Roman" w:hAnsi="Times New Roman"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DE25F7"/>
    <w:multiLevelType w:val="hybridMultilevel"/>
    <w:tmpl w:val="EB221E06"/>
    <w:lvl w:ilvl="0" w:tplc="6B78745C">
      <w:start w:val="1"/>
      <w:numFmt w:val="bullet"/>
      <w:lvlText w:val="-"/>
      <w:lvlJc w:val="left"/>
      <w:pPr>
        <w:tabs>
          <w:tab w:val="num" w:pos="360"/>
        </w:tabs>
        <w:ind w:left="360" w:hanging="360"/>
      </w:pPr>
      <w:rPr>
        <w:rFonts w:ascii="Times New Roman" w:hAnsi="Times New Roman" w:cs="Times New Roman" w:hint="default"/>
      </w:rPr>
    </w:lvl>
    <w:lvl w:ilvl="1" w:tplc="081A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0D1444"/>
    <w:multiLevelType w:val="hybridMultilevel"/>
    <w:tmpl w:val="7346E804"/>
    <w:lvl w:ilvl="0" w:tplc="E670D55C">
      <w:numFmt w:val="bullet"/>
      <w:lvlText w:val="-"/>
      <w:lvlJc w:val="left"/>
      <w:pPr>
        <w:tabs>
          <w:tab w:val="num" w:pos="216"/>
        </w:tabs>
        <w:ind w:left="-360"/>
      </w:pPr>
      <w:rPr>
        <w:rFonts w:ascii="Tahoma" w:hAnsi="Tahoma" w:cs="Tahoma" w:hint="default"/>
        <w:i/>
        <w:iCs/>
        <w:color w:val="000000"/>
        <w:sz w:val="22"/>
        <w:szCs w:val="22"/>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cs="Wingdings" w:hint="default"/>
      </w:rPr>
    </w:lvl>
    <w:lvl w:ilvl="3" w:tplc="081A0001" w:tentative="1">
      <w:start w:val="1"/>
      <w:numFmt w:val="bullet"/>
      <w:lvlText w:val=""/>
      <w:lvlJc w:val="left"/>
      <w:pPr>
        <w:tabs>
          <w:tab w:val="num" w:pos="2520"/>
        </w:tabs>
        <w:ind w:left="2520" w:hanging="360"/>
      </w:pPr>
      <w:rPr>
        <w:rFonts w:ascii="Symbol" w:hAnsi="Symbol" w:cs="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cs="Wingdings" w:hint="default"/>
      </w:rPr>
    </w:lvl>
    <w:lvl w:ilvl="6" w:tplc="081A0001" w:tentative="1">
      <w:start w:val="1"/>
      <w:numFmt w:val="bullet"/>
      <w:lvlText w:val=""/>
      <w:lvlJc w:val="left"/>
      <w:pPr>
        <w:tabs>
          <w:tab w:val="num" w:pos="4680"/>
        </w:tabs>
        <w:ind w:left="4680" w:hanging="360"/>
      </w:pPr>
      <w:rPr>
        <w:rFonts w:ascii="Symbol" w:hAnsi="Symbol" w:cs="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25A1384B"/>
    <w:multiLevelType w:val="hybridMultilevel"/>
    <w:tmpl w:val="85046F14"/>
    <w:lvl w:ilvl="0" w:tplc="081A0001">
      <w:start w:val="1"/>
      <w:numFmt w:val="bullet"/>
      <w:lvlText w:val=""/>
      <w:lvlJc w:val="left"/>
      <w:pPr>
        <w:tabs>
          <w:tab w:val="num" w:pos="360"/>
        </w:tabs>
        <w:ind w:left="360" w:hanging="360"/>
      </w:pPr>
      <w:rPr>
        <w:rFonts w:ascii="Symbol" w:hAnsi="Symbol" w:cs="Symbo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cs="Wingdings" w:hint="default"/>
      </w:rPr>
    </w:lvl>
    <w:lvl w:ilvl="3" w:tplc="081A0001" w:tentative="1">
      <w:start w:val="1"/>
      <w:numFmt w:val="bullet"/>
      <w:lvlText w:val=""/>
      <w:lvlJc w:val="left"/>
      <w:pPr>
        <w:tabs>
          <w:tab w:val="num" w:pos="2520"/>
        </w:tabs>
        <w:ind w:left="2520" w:hanging="360"/>
      </w:pPr>
      <w:rPr>
        <w:rFonts w:ascii="Symbol" w:hAnsi="Symbol" w:cs="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cs="Wingdings" w:hint="default"/>
      </w:rPr>
    </w:lvl>
    <w:lvl w:ilvl="6" w:tplc="081A0001" w:tentative="1">
      <w:start w:val="1"/>
      <w:numFmt w:val="bullet"/>
      <w:lvlText w:val=""/>
      <w:lvlJc w:val="left"/>
      <w:pPr>
        <w:tabs>
          <w:tab w:val="num" w:pos="4680"/>
        </w:tabs>
        <w:ind w:left="4680" w:hanging="360"/>
      </w:pPr>
      <w:rPr>
        <w:rFonts w:ascii="Symbol" w:hAnsi="Symbol" w:cs="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27CB5B6D"/>
    <w:multiLevelType w:val="hybridMultilevel"/>
    <w:tmpl w:val="D034E0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696B7A"/>
    <w:multiLevelType w:val="hybridMultilevel"/>
    <w:tmpl w:val="DA1290B4"/>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80A4B"/>
    <w:multiLevelType w:val="hybridMultilevel"/>
    <w:tmpl w:val="329C0A0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37487DAF"/>
    <w:multiLevelType w:val="hybridMultilevel"/>
    <w:tmpl w:val="CB262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BE64EE"/>
    <w:multiLevelType w:val="hybridMultilevel"/>
    <w:tmpl w:val="B93A9A76"/>
    <w:lvl w:ilvl="0" w:tplc="081A0003">
      <w:start w:val="1"/>
      <w:numFmt w:val="bullet"/>
      <w:lvlText w:val="o"/>
      <w:lvlJc w:val="left"/>
      <w:pPr>
        <w:tabs>
          <w:tab w:val="num" w:pos="720"/>
        </w:tabs>
        <w:ind w:left="720" w:hanging="360"/>
      </w:pPr>
      <w:rPr>
        <w:rFonts w:ascii="Courier New" w:hAnsi="Courier New" w:cs="Courier New"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66F89"/>
    <w:multiLevelType w:val="hybridMultilevel"/>
    <w:tmpl w:val="0BF8906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055E97"/>
    <w:multiLevelType w:val="hybridMultilevel"/>
    <w:tmpl w:val="FD22B516"/>
    <w:lvl w:ilvl="0" w:tplc="04090001">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761F4C"/>
    <w:multiLevelType w:val="hybridMultilevel"/>
    <w:tmpl w:val="E0C8E44E"/>
    <w:lvl w:ilvl="0" w:tplc="E670D55C">
      <w:numFmt w:val="bullet"/>
      <w:lvlText w:val="-"/>
      <w:lvlJc w:val="left"/>
      <w:pPr>
        <w:tabs>
          <w:tab w:val="num" w:pos="216"/>
        </w:tabs>
        <w:ind w:left="-360"/>
      </w:pPr>
      <w:rPr>
        <w:rFonts w:ascii="Tahoma" w:hAnsi="Tahoma" w:cs="Tahoma" w:hint="default"/>
        <w:i/>
        <w:iCs/>
        <w:color w:val="000000"/>
        <w:sz w:val="22"/>
        <w:szCs w:val="22"/>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cs="Wingdings" w:hint="default"/>
      </w:rPr>
    </w:lvl>
    <w:lvl w:ilvl="3" w:tplc="081A0001" w:tentative="1">
      <w:start w:val="1"/>
      <w:numFmt w:val="bullet"/>
      <w:lvlText w:val=""/>
      <w:lvlJc w:val="left"/>
      <w:pPr>
        <w:tabs>
          <w:tab w:val="num" w:pos="2520"/>
        </w:tabs>
        <w:ind w:left="2520" w:hanging="360"/>
      </w:pPr>
      <w:rPr>
        <w:rFonts w:ascii="Symbol" w:hAnsi="Symbol" w:cs="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cs="Wingdings" w:hint="default"/>
      </w:rPr>
    </w:lvl>
    <w:lvl w:ilvl="6" w:tplc="081A0001" w:tentative="1">
      <w:start w:val="1"/>
      <w:numFmt w:val="bullet"/>
      <w:lvlText w:val=""/>
      <w:lvlJc w:val="left"/>
      <w:pPr>
        <w:tabs>
          <w:tab w:val="num" w:pos="4680"/>
        </w:tabs>
        <w:ind w:left="4680" w:hanging="360"/>
      </w:pPr>
      <w:rPr>
        <w:rFonts w:ascii="Symbol" w:hAnsi="Symbol" w:cs="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4FD25FF9"/>
    <w:multiLevelType w:val="hybridMultilevel"/>
    <w:tmpl w:val="1BC834F6"/>
    <w:lvl w:ilvl="0" w:tplc="081A0001">
      <w:start w:val="1"/>
      <w:numFmt w:val="bullet"/>
      <w:lvlText w:val=""/>
      <w:lvlJc w:val="left"/>
      <w:pPr>
        <w:tabs>
          <w:tab w:val="num" w:pos="360"/>
        </w:tabs>
        <w:ind w:left="360" w:hanging="360"/>
      </w:pPr>
      <w:rPr>
        <w:rFonts w:ascii="Symbol" w:hAnsi="Symbol" w:cs="Symbo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cs="Wingdings" w:hint="default"/>
      </w:rPr>
    </w:lvl>
    <w:lvl w:ilvl="3" w:tplc="081A0001" w:tentative="1">
      <w:start w:val="1"/>
      <w:numFmt w:val="bullet"/>
      <w:lvlText w:val=""/>
      <w:lvlJc w:val="left"/>
      <w:pPr>
        <w:tabs>
          <w:tab w:val="num" w:pos="2520"/>
        </w:tabs>
        <w:ind w:left="2520" w:hanging="360"/>
      </w:pPr>
      <w:rPr>
        <w:rFonts w:ascii="Symbol" w:hAnsi="Symbol" w:cs="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cs="Wingdings" w:hint="default"/>
      </w:rPr>
    </w:lvl>
    <w:lvl w:ilvl="6" w:tplc="081A0001" w:tentative="1">
      <w:start w:val="1"/>
      <w:numFmt w:val="bullet"/>
      <w:lvlText w:val=""/>
      <w:lvlJc w:val="left"/>
      <w:pPr>
        <w:tabs>
          <w:tab w:val="num" w:pos="4680"/>
        </w:tabs>
        <w:ind w:left="4680" w:hanging="360"/>
      </w:pPr>
      <w:rPr>
        <w:rFonts w:ascii="Symbol" w:hAnsi="Symbol" w:cs="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pPr>
      <w:rPr>
        <w:rFonts w:ascii="Tahoma" w:hAnsi="Tahoma" w:cs="Tahoma"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8545B06"/>
    <w:multiLevelType w:val="hybridMultilevel"/>
    <w:tmpl w:val="8126F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89396A"/>
    <w:multiLevelType w:val="hybridMultilevel"/>
    <w:tmpl w:val="166EBE86"/>
    <w:lvl w:ilvl="0" w:tplc="081A0003">
      <w:start w:val="1"/>
      <w:numFmt w:val="bullet"/>
      <w:lvlText w:val="o"/>
      <w:lvlJc w:val="left"/>
      <w:pPr>
        <w:tabs>
          <w:tab w:val="num" w:pos="780"/>
        </w:tabs>
        <w:ind w:left="780" w:hanging="360"/>
      </w:pPr>
      <w:rPr>
        <w:rFonts w:ascii="Courier New" w:hAnsi="Courier New" w:cs="Courier New"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E897633"/>
    <w:multiLevelType w:val="hybridMultilevel"/>
    <w:tmpl w:val="9BB88F14"/>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29" w15:restartNumberingAfterBreak="0">
    <w:nsid w:val="68A13CB4"/>
    <w:multiLevelType w:val="hybridMultilevel"/>
    <w:tmpl w:val="EA044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994A17"/>
    <w:multiLevelType w:val="hybridMultilevel"/>
    <w:tmpl w:val="5F7EE52A"/>
    <w:lvl w:ilvl="0" w:tplc="9BC8B704">
      <w:start w:val="1"/>
      <w:numFmt w:val="bullet"/>
      <w:lvlText w:val="-"/>
      <w:lvlJc w:val="left"/>
      <w:pPr>
        <w:tabs>
          <w:tab w:val="num" w:pos="720"/>
        </w:tabs>
        <w:ind w:left="720" w:hanging="360"/>
      </w:pPr>
      <w:rPr>
        <w:rFonts w:ascii="Times New Roman" w:eastAsia="Times New Roman" w:hAnsi="Times New Roman" w:hint="default"/>
      </w:rPr>
    </w:lvl>
    <w:lvl w:ilvl="1" w:tplc="764A8E6A">
      <w:start w:val="1"/>
      <w:numFmt w:val="bullet"/>
      <w:pStyle w:val="ListeNoNum"/>
      <w:lvlText w:val="-"/>
      <w:legacy w:legacy="1" w:legacySpace="360" w:legacyIndent="360"/>
      <w:lvlJc w:val="left"/>
      <w:pPr>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F7539AC"/>
    <w:multiLevelType w:val="hybridMultilevel"/>
    <w:tmpl w:val="8766BC64"/>
    <w:lvl w:ilvl="0" w:tplc="E670D55C">
      <w:numFmt w:val="bullet"/>
      <w:lvlText w:val="-"/>
      <w:lvlJc w:val="left"/>
      <w:pPr>
        <w:tabs>
          <w:tab w:val="num" w:pos="216"/>
        </w:tabs>
        <w:ind w:left="-360"/>
      </w:pPr>
      <w:rPr>
        <w:rFonts w:ascii="Tahoma" w:hAnsi="Tahoma" w:cs="Tahoma" w:hint="default"/>
        <w:i/>
        <w:iCs/>
        <w:color w:val="000000"/>
        <w:sz w:val="22"/>
        <w:szCs w:val="22"/>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cs="Wingdings" w:hint="default"/>
      </w:rPr>
    </w:lvl>
    <w:lvl w:ilvl="3" w:tplc="081A0001" w:tentative="1">
      <w:start w:val="1"/>
      <w:numFmt w:val="bullet"/>
      <w:lvlText w:val=""/>
      <w:lvlJc w:val="left"/>
      <w:pPr>
        <w:tabs>
          <w:tab w:val="num" w:pos="2520"/>
        </w:tabs>
        <w:ind w:left="2520" w:hanging="360"/>
      </w:pPr>
      <w:rPr>
        <w:rFonts w:ascii="Symbol" w:hAnsi="Symbol" w:cs="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cs="Wingdings" w:hint="default"/>
      </w:rPr>
    </w:lvl>
    <w:lvl w:ilvl="6" w:tplc="081A0001" w:tentative="1">
      <w:start w:val="1"/>
      <w:numFmt w:val="bullet"/>
      <w:lvlText w:val=""/>
      <w:lvlJc w:val="left"/>
      <w:pPr>
        <w:tabs>
          <w:tab w:val="num" w:pos="4680"/>
        </w:tabs>
        <w:ind w:left="4680" w:hanging="360"/>
      </w:pPr>
      <w:rPr>
        <w:rFonts w:ascii="Symbol" w:hAnsi="Symbol" w:cs="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340742"/>
    <w:multiLevelType w:val="hybridMultilevel"/>
    <w:tmpl w:val="5756D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C4032B"/>
    <w:multiLevelType w:val="hybridMultilevel"/>
    <w:tmpl w:val="5D424410"/>
    <w:lvl w:ilvl="0" w:tplc="7B2EF060">
      <w:start w:val="1"/>
      <w:numFmt w:val="decimal"/>
      <w:lvlText w:val="%1."/>
      <w:lvlJc w:val="left"/>
      <w:pPr>
        <w:tabs>
          <w:tab w:val="num" w:pos="720"/>
        </w:tabs>
        <w:ind w:left="720" w:hanging="360"/>
      </w:pPr>
      <w:rPr>
        <w:b/>
        <w:bCs/>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6" w15:restartNumberingAfterBreak="0">
    <w:nsid w:val="7D155D65"/>
    <w:multiLevelType w:val="hybridMultilevel"/>
    <w:tmpl w:val="31F62FFC"/>
    <w:lvl w:ilvl="0" w:tplc="B3A42116">
      <w:numFmt w:val="bullet"/>
      <w:lvlText w:val="-"/>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7"/>
    <w:lvlOverride w:ilvl="0">
      <w:startOverride w:val="1"/>
    </w:lvlOverride>
  </w:num>
  <w:num w:numId="3">
    <w:abstractNumId w:val="30"/>
  </w:num>
  <w:num w:numId="4">
    <w:abstractNumId w:val="10"/>
  </w:num>
  <w:num w:numId="5">
    <w:abstractNumId w:val="12"/>
  </w:num>
  <w:num w:numId="6">
    <w:abstractNumId w:val="15"/>
  </w:num>
  <w:num w:numId="7">
    <w:abstractNumId w:val="34"/>
  </w:num>
  <w:num w:numId="8">
    <w:abstractNumId w:val="36"/>
  </w:num>
  <w:num w:numId="9">
    <w:abstractNumId w:val="20"/>
  </w:num>
  <w:num w:numId="10">
    <w:abstractNumId w:val="27"/>
  </w:num>
  <w:num w:numId="11">
    <w:abstractNumId w:val="18"/>
  </w:num>
  <w:num w:numId="12">
    <w:abstractNumId w:val="9"/>
  </w:num>
  <w:num w:numId="13">
    <w:abstractNumId w:val="11"/>
  </w:num>
  <w:num w:numId="14">
    <w:abstractNumId w:val="26"/>
  </w:num>
  <w:num w:numId="15">
    <w:abstractNumId w:val="28"/>
  </w:num>
  <w:num w:numId="16">
    <w:abstractNumId w:val="29"/>
  </w:num>
  <w:num w:numId="17">
    <w:abstractNumId w:val="19"/>
  </w:num>
  <w:num w:numId="18">
    <w:abstractNumId w:val="16"/>
  </w:num>
  <w:num w:numId="19">
    <w:abstractNumId w:val="32"/>
  </w:num>
  <w:num w:numId="20">
    <w:abstractNumId w:val="33"/>
  </w:num>
  <w:num w:numId="21">
    <w:abstractNumId w:val="6"/>
    <w:lvlOverride w:ilvl="0">
      <w:lvl w:ilvl="0">
        <w:numFmt w:val="bullet"/>
        <w:lvlText w:val="-"/>
        <w:lvlJc w:val="left"/>
        <w:pPr>
          <w:tabs>
            <w:tab w:val="num" w:pos="576"/>
          </w:tabs>
        </w:pPr>
        <w:rPr>
          <w:rFonts w:ascii="Symbol" w:hAnsi="Symbol" w:cs="Symbol"/>
          <w:i/>
          <w:iCs/>
          <w:color w:val="008000"/>
          <w:sz w:val="22"/>
          <w:szCs w:val="22"/>
        </w:rPr>
      </w:lvl>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4"/>
    </w:lvlOverride>
  </w:num>
  <w:num w:numId="24">
    <w:abstractNumId w:val="21"/>
  </w:num>
  <w:num w:numId="25">
    <w:abstractNumId w:val="25"/>
  </w:num>
  <w:num w:numId="26">
    <w:abstractNumId w:val="35"/>
  </w:num>
  <w:num w:numId="27">
    <w:abstractNumId w:val="14"/>
  </w:num>
  <w:num w:numId="28">
    <w:abstractNumId w:val="24"/>
  </w:num>
  <w:num w:numId="29">
    <w:abstractNumId w:val="31"/>
  </w:num>
  <w:num w:numId="30">
    <w:abstractNumId w:val="13"/>
  </w:num>
  <w:num w:numId="31">
    <w:abstractNumId w:val="23"/>
  </w:num>
  <w:num w:numId="3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93D"/>
    <w:rsid w:val="00025F37"/>
    <w:rsid w:val="00027069"/>
    <w:rsid w:val="0002783F"/>
    <w:rsid w:val="00031CFD"/>
    <w:rsid w:val="000341C6"/>
    <w:rsid w:val="000357FB"/>
    <w:rsid w:val="0004033B"/>
    <w:rsid w:val="000431EF"/>
    <w:rsid w:val="00045553"/>
    <w:rsid w:val="00047229"/>
    <w:rsid w:val="000534C0"/>
    <w:rsid w:val="000537EA"/>
    <w:rsid w:val="00063BF3"/>
    <w:rsid w:val="0006414A"/>
    <w:rsid w:val="0006657B"/>
    <w:rsid w:val="00071B1A"/>
    <w:rsid w:val="00072EFD"/>
    <w:rsid w:val="00074871"/>
    <w:rsid w:val="000771E2"/>
    <w:rsid w:val="00081747"/>
    <w:rsid w:val="0008350D"/>
    <w:rsid w:val="0008481A"/>
    <w:rsid w:val="000855A9"/>
    <w:rsid w:val="00086A28"/>
    <w:rsid w:val="00086AB9"/>
    <w:rsid w:val="00094BE7"/>
    <w:rsid w:val="000975AB"/>
    <w:rsid w:val="00097935"/>
    <w:rsid w:val="000A137E"/>
    <w:rsid w:val="000A2EA1"/>
    <w:rsid w:val="000A3DA4"/>
    <w:rsid w:val="000A4786"/>
    <w:rsid w:val="000A47D0"/>
    <w:rsid w:val="000A738C"/>
    <w:rsid w:val="000B06E9"/>
    <w:rsid w:val="000B0D38"/>
    <w:rsid w:val="000B2A18"/>
    <w:rsid w:val="000B5AFB"/>
    <w:rsid w:val="000C3B84"/>
    <w:rsid w:val="000C63CA"/>
    <w:rsid w:val="000C7728"/>
    <w:rsid w:val="000D03EF"/>
    <w:rsid w:val="000D3C8E"/>
    <w:rsid w:val="000D4921"/>
    <w:rsid w:val="000D6526"/>
    <w:rsid w:val="000E0FEE"/>
    <w:rsid w:val="000E1847"/>
    <w:rsid w:val="000E251A"/>
    <w:rsid w:val="000E30D4"/>
    <w:rsid w:val="000E34F8"/>
    <w:rsid w:val="000E376D"/>
    <w:rsid w:val="000E4A11"/>
    <w:rsid w:val="000F1C30"/>
    <w:rsid w:val="000F5734"/>
    <w:rsid w:val="000F5E16"/>
    <w:rsid w:val="000F7222"/>
    <w:rsid w:val="0010177B"/>
    <w:rsid w:val="0010271F"/>
    <w:rsid w:val="001103D6"/>
    <w:rsid w:val="0011243C"/>
    <w:rsid w:val="00116CB2"/>
    <w:rsid w:val="0012331A"/>
    <w:rsid w:val="00123901"/>
    <w:rsid w:val="00125032"/>
    <w:rsid w:val="00130E5B"/>
    <w:rsid w:val="001316AE"/>
    <w:rsid w:val="001327A9"/>
    <w:rsid w:val="001346AA"/>
    <w:rsid w:val="00134B56"/>
    <w:rsid w:val="001379A3"/>
    <w:rsid w:val="00140DDE"/>
    <w:rsid w:val="00141295"/>
    <w:rsid w:val="001414E0"/>
    <w:rsid w:val="00141C6D"/>
    <w:rsid w:val="00142921"/>
    <w:rsid w:val="001450CA"/>
    <w:rsid w:val="00145182"/>
    <w:rsid w:val="00150A79"/>
    <w:rsid w:val="00152225"/>
    <w:rsid w:val="0015284E"/>
    <w:rsid w:val="00155276"/>
    <w:rsid w:val="001567D1"/>
    <w:rsid w:val="001601CE"/>
    <w:rsid w:val="001616AF"/>
    <w:rsid w:val="00163984"/>
    <w:rsid w:val="00164550"/>
    <w:rsid w:val="00164B6A"/>
    <w:rsid w:val="00166BB8"/>
    <w:rsid w:val="00166EF8"/>
    <w:rsid w:val="0017032A"/>
    <w:rsid w:val="0017123D"/>
    <w:rsid w:val="001717BF"/>
    <w:rsid w:val="00173831"/>
    <w:rsid w:val="0017417F"/>
    <w:rsid w:val="00175740"/>
    <w:rsid w:val="001770B3"/>
    <w:rsid w:val="00185B9B"/>
    <w:rsid w:val="001956AF"/>
    <w:rsid w:val="001971F1"/>
    <w:rsid w:val="001A70F6"/>
    <w:rsid w:val="001B3424"/>
    <w:rsid w:val="001B5567"/>
    <w:rsid w:val="001B61E4"/>
    <w:rsid w:val="001B731A"/>
    <w:rsid w:val="001C0FD7"/>
    <w:rsid w:val="001C691D"/>
    <w:rsid w:val="001C711D"/>
    <w:rsid w:val="001D2183"/>
    <w:rsid w:val="001D25D9"/>
    <w:rsid w:val="001D301F"/>
    <w:rsid w:val="001D31CB"/>
    <w:rsid w:val="001D7370"/>
    <w:rsid w:val="001E195D"/>
    <w:rsid w:val="001F02DE"/>
    <w:rsid w:val="001F3C63"/>
    <w:rsid w:val="001F6994"/>
    <w:rsid w:val="001F7B65"/>
    <w:rsid w:val="00203D65"/>
    <w:rsid w:val="0020566A"/>
    <w:rsid w:val="002109DD"/>
    <w:rsid w:val="00210EFE"/>
    <w:rsid w:val="0021208F"/>
    <w:rsid w:val="002125D6"/>
    <w:rsid w:val="002139ED"/>
    <w:rsid w:val="002168F5"/>
    <w:rsid w:val="00222321"/>
    <w:rsid w:val="00223613"/>
    <w:rsid w:val="00224F5F"/>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1972"/>
    <w:rsid w:val="00284B79"/>
    <w:rsid w:val="002860CA"/>
    <w:rsid w:val="002905A8"/>
    <w:rsid w:val="00291DB3"/>
    <w:rsid w:val="00293D8E"/>
    <w:rsid w:val="002A5FE4"/>
    <w:rsid w:val="002A6AB7"/>
    <w:rsid w:val="002B1B18"/>
    <w:rsid w:val="002B21F6"/>
    <w:rsid w:val="002B2EDD"/>
    <w:rsid w:val="002B3EBC"/>
    <w:rsid w:val="002B4447"/>
    <w:rsid w:val="002B4ADA"/>
    <w:rsid w:val="002B5DE3"/>
    <w:rsid w:val="002B6650"/>
    <w:rsid w:val="002B6EA3"/>
    <w:rsid w:val="002C5920"/>
    <w:rsid w:val="002C6682"/>
    <w:rsid w:val="002D2F90"/>
    <w:rsid w:val="002D4B25"/>
    <w:rsid w:val="002D7DF8"/>
    <w:rsid w:val="002E0261"/>
    <w:rsid w:val="002E15EE"/>
    <w:rsid w:val="002E5013"/>
    <w:rsid w:val="002E7DDD"/>
    <w:rsid w:val="002F1791"/>
    <w:rsid w:val="002F5900"/>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1F4A"/>
    <w:rsid w:val="0035469B"/>
    <w:rsid w:val="00366527"/>
    <w:rsid w:val="00370E09"/>
    <w:rsid w:val="00371CCC"/>
    <w:rsid w:val="003731D0"/>
    <w:rsid w:val="00377385"/>
    <w:rsid w:val="00383CAA"/>
    <w:rsid w:val="00384EA9"/>
    <w:rsid w:val="00387233"/>
    <w:rsid w:val="003920A5"/>
    <w:rsid w:val="003A321E"/>
    <w:rsid w:val="003A4AAF"/>
    <w:rsid w:val="003A611F"/>
    <w:rsid w:val="003B5243"/>
    <w:rsid w:val="003B609E"/>
    <w:rsid w:val="003B698E"/>
    <w:rsid w:val="003C0C63"/>
    <w:rsid w:val="003C255F"/>
    <w:rsid w:val="003C3390"/>
    <w:rsid w:val="003C4F4B"/>
    <w:rsid w:val="003C640B"/>
    <w:rsid w:val="003D195D"/>
    <w:rsid w:val="003D4D9E"/>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EFE"/>
    <w:rsid w:val="00413E18"/>
    <w:rsid w:val="004151A3"/>
    <w:rsid w:val="00416AF0"/>
    <w:rsid w:val="00417A42"/>
    <w:rsid w:val="004205CC"/>
    <w:rsid w:val="00424645"/>
    <w:rsid w:val="00426B3B"/>
    <w:rsid w:val="004338B8"/>
    <w:rsid w:val="00440169"/>
    <w:rsid w:val="00443B2A"/>
    <w:rsid w:val="00454A9F"/>
    <w:rsid w:val="00457C0D"/>
    <w:rsid w:val="00463C95"/>
    <w:rsid w:val="00463F44"/>
    <w:rsid w:val="00465608"/>
    <w:rsid w:val="00465C8B"/>
    <w:rsid w:val="0047297A"/>
    <w:rsid w:val="00482641"/>
    <w:rsid w:val="00484DDA"/>
    <w:rsid w:val="00485B8C"/>
    <w:rsid w:val="00485C29"/>
    <w:rsid w:val="0048792E"/>
    <w:rsid w:val="00493D45"/>
    <w:rsid w:val="00494AD0"/>
    <w:rsid w:val="00495295"/>
    <w:rsid w:val="004A0078"/>
    <w:rsid w:val="004A6C86"/>
    <w:rsid w:val="004A7514"/>
    <w:rsid w:val="004B0963"/>
    <w:rsid w:val="004B2780"/>
    <w:rsid w:val="004B6BB6"/>
    <w:rsid w:val="004B714D"/>
    <w:rsid w:val="004B7805"/>
    <w:rsid w:val="004C19EC"/>
    <w:rsid w:val="004C2D24"/>
    <w:rsid w:val="004C4CA2"/>
    <w:rsid w:val="004C4FB4"/>
    <w:rsid w:val="004D2F3A"/>
    <w:rsid w:val="004D368C"/>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5DC"/>
    <w:rsid w:val="005226A9"/>
    <w:rsid w:val="005304DE"/>
    <w:rsid w:val="00531BAF"/>
    <w:rsid w:val="00531C42"/>
    <w:rsid w:val="00532E46"/>
    <w:rsid w:val="00546CB3"/>
    <w:rsid w:val="00550607"/>
    <w:rsid w:val="0055626B"/>
    <w:rsid w:val="00556971"/>
    <w:rsid w:val="00556ABD"/>
    <w:rsid w:val="0056093F"/>
    <w:rsid w:val="00561D26"/>
    <w:rsid w:val="00562D34"/>
    <w:rsid w:val="005635E1"/>
    <w:rsid w:val="00564B7F"/>
    <w:rsid w:val="00565A3A"/>
    <w:rsid w:val="005720FC"/>
    <w:rsid w:val="00572277"/>
    <w:rsid w:val="00573D9C"/>
    <w:rsid w:val="00576237"/>
    <w:rsid w:val="00581B3F"/>
    <w:rsid w:val="005854ED"/>
    <w:rsid w:val="00585E11"/>
    <w:rsid w:val="00587765"/>
    <w:rsid w:val="00592851"/>
    <w:rsid w:val="00592C98"/>
    <w:rsid w:val="00596B06"/>
    <w:rsid w:val="005A2368"/>
    <w:rsid w:val="005A244B"/>
    <w:rsid w:val="005A2E76"/>
    <w:rsid w:val="005A2EAF"/>
    <w:rsid w:val="005A6E7B"/>
    <w:rsid w:val="005B1B5C"/>
    <w:rsid w:val="005B5A33"/>
    <w:rsid w:val="005C5709"/>
    <w:rsid w:val="005C6F39"/>
    <w:rsid w:val="005C704B"/>
    <w:rsid w:val="005D0EEE"/>
    <w:rsid w:val="005E5E28"/>
    <w:rsid w:val="005E6DD4"/>
    <w:rsid w:val="005F1526"/>
    <w:rsid w:val="005F2208"/>
    <w:rsid w:val="006010CA"/>
    <w:rsid w:val="00605C78"/>
    <w:rsid w:val="00606874"/>
    <w:rsid w:val="00607C1C"/>
    <w:rsid w:val="0061030D"/>
    <w:rsid w:val="00611CBC"/>
    <w:rsid w:val="0061344F"/>
    <w:rsid w:val="00614428"/>
    <w:rsid w:val="00615817"/>
    <w:rsid w:val="00615ADD"/>
    <w:rsid w:val="00624CB8"/>
    <w:rsid w:val="00625F07"/>
    <w:rsid w:val="00627D20"/>
    <w:rsid w:val="00627E89"/>
    <w:rsid w:val="00633042"/>
    <w:rsid w:val="00633A7F"/>
    <w:rsid w:val="00635F30"/>
    <w:rsid w:val="0063608F"/>
    <w:rsid w:val="006367C2"/>
    <w:rsid w:val="00636E7D"/>
    <w:rsid w:val="00637C1C"/>
    <w:rsid w:val="00640267"/>
    <w:rsid w:val="0064728E"/>
    <w:rsid w:val="00651794"/>
    <w:rsid w:val="0065194B"/>
    <w:rsid w:val="0065786F"/>
    <w:rsid w:val="00662494"/>
    <w:rsid w:val="0066660C"/>
    <w:rsid w:val="00670D40"/>
    <w:rsid w:val="0067132D"/>
    <w:rsid w:val="006768CB"/>
    <w:rsid w:val="0068141C"/>
    <w:rsid w:val="006827B6"/>
    <w:rsid w:val="00697801"/>
    <w:rsid w:val="006A1550"/>
    <w:rsid w:val="006A1C21"/>
    <w:rsid w:val="006A207D"/>
    <w:rsid w:val="006A7DAC"/>
    <w:rsid w:val="006B03F6"/>
    <w:rsid w:val="006B2095"/>
    <w:rsid w:val="006B379B"/>
    <w:rsid w:val="006B39EF"/>
    <w:rsid w:val="006B4924"/>
    <w:rsid w:val="006C1781"/>
    <w:rsid w:val="006C3244"/>
    <w:rsid w:val="006D1644"/>
    <w:rsid w:val="006D48E5"/>
    <w:rsid w:val="006E386F"/>
    <w:rsid w:val="006E3B43"/>
    <w:rsid w:val="006E443D"/>
    <w:rsid w:val="006F0991"/>
    <w:rsid w:val="006F1BB1"/>
    <w:rsid w:val="006F5777"/>
    <w:rsid w:val="006F6894"/>
    <w:rsid w:val="00701E3E"/>
    <w:rsid w:val="007024CD"/>
    <w:rsid w:val="00705316"/>
    <w:rsid w:val="007100BC"/>
    <w:rsid w:val="007131F1"/>
    <w:rsid w:val="0071373B"/>
    <w:rsid w:val="00721DDE"/>
    <w:rsid w:val="00722D64"/>
    <w:rsid w:val="007231C5"/>
    <w:rsid w:val="0072320D"/>
    <w:rsid w:val="00724FAA"/>
    <w:rsid w:val="00730279"/>
    <w:rsid w:val="00731FD1"/>
    <w:rsid w:val="0073334A"/>
    <w:rsid w:val="007337F6"/>
    <w:rsid w:val="00734A01"/>
    <w:rsid w:val="00736561"/>
    <w:rsid w:val="007404A9"/>
    <w:rsid w:val="00743FAF"/>
    <w:rsid w:val="007445FA"/>
    <w:rsid w:val="00744BE7"/>
    <w:rsid w:val="007508A2"/>
    <w:rsid w:val="007524D0"/>
    <w:rsid w:val="00752918"/>
    <w:rsid w:val="00755A4F"/>
    <w:rsid w:val="00755FC3"/>
    <w:rsid w:val="00756B6F"/>
    <w:rsid w:val="00762662"/>
    <w:rsid w:val="00763206"/>
    <w:rsid w:val="007632B9"/>
    <w:rsid w:val="007633E3"/>
    <w:rsid w:val="00765261"/>
    <w:rsid w:val="0076565F"/>
    <w:rsid w:val="0076651F"/>
    <w:rsid w:val="007724BB"/>
    <w:rsid w:val="0077428F"/>
    <w:rsid w:val="00776CEB"/>
    <w:rsid w:val="0078489F"/>
    <w:rsid w:val="00784958"/>
    <w:rsid w:val="00786E51"/>
    <w:rsid w:val="00791ECA"/>
    <w:rsid w:val="0079225E"/>
    <w:rsid w:val="00795525"/>
    <w:rsid w:val="00797074"/>
    <w:rsid w:val="007970D9"/>
    <w:rsid w:val="007A2347"/>
    <w:rsid w:val="007C024B"/>
    <w:rsid w:val="007C0F3A"/>
    <w:rsid w:val="007C271E"/>
    <w:rsid w:val="007C4173"/>
    <w:rsid w:val="007C5293"/>
    <w:rsid w:val="007D10A3"/>
    <w:rsid w:val="007D6A41"/>
    <w:rsid w:val="007F0CD9"/>
    <w:rsid w:val="007F269F"/>
    <w:rsid w:val="00800BB3"/>
    <w:rsid w:val="00801CAC"/>
    <w:rsid w:val="0080431D"/>
    <w:rsid w:val="008046BA"/>
    <w:rsid w:val="00807089"/>
    <w:rsid w:val="00807887"/>
    <w:rsid w:val="00810728"/>
    <w:rsid w:val="0081151F"/>
    <w:rsid w:val="00814949"/>
    <w:rsid w:val="008171E4"/>
    <w:rsid w:val="00822795"/>
    <w:rsid w:val="008235B9"/>
    <w:rsid w:val="00824070"/>
    <w:rsid w:val="00830353"/>
    <w:rsid w:val="00835CF6"/>
    <w:rsid w:val="0084036D"/>
    <w:rsid w:val="00840A50"/>
    <w:rsid w:val="00840DBC"/>
    <w:rsid w:val="00841A08"/>
    <w:rsid w:val="00842F83"/>
    <w:rsid w:val="008437AF"/>
    <w:rsid w:val="008475F6"/>
    <w:rsid w:val="00850977"/>
    <w:rsid w:val="00855687"/>
    <w:rsid w:val="00856F31"/>
    <w:rsid w:val="0086367B"/>
    <w:rsid w:val="008642BD"/>
    <w:rsid w:val="0086712D"/>
    <w:rsid w:val="00870297"/>
    <w:rsid w:val="00872853"/>
    <w:rsid w:val="0087395E"/>
    <w:rsid w:val="0087404B"/>
    <w:rsid w:val="00882974"/>
    <w:rsid w:val="00883815"/>
    <w:rsid w:val="00886613"/>
    <w:rsid w:val="0089204B"/>
    <w:rsid w:val="00892205"/>
    <w:rsid w:val="00895960"/>
    <w:rsid w:val="008A132B"/>
    <w:rsid w:val="008A49E3"/>
    <w:rsid w:val="008A7F54"/>
    <w:rsid w:val="008B1957"/>
    <w:rsid w:val="008B6223"/>
    <w:rsid w:val="008C6130"/>
    <w:rsid w:val="008D2F97"/>
    <w:rsid w:val="008D7ED7"/>
    <w:rsid w:val="008E2B0B"/>
    <w:rsid w:val="008E3485"/>
    <w:rsid w:val="008E7128"/>
    <w:rsid w:val="008F4CFF"/>
    <w:rsid w:val="008F55C9"/>
    <w:rsid w:val="00901880"/>
    <w:rsid w:val="00902A3E"/>
    <w:rsid w:val="00907BF3"/>
    <w:rsid w:val="00911701"/>
    <w:rsid w:val="00914FD1"/>
    <w:rsid w:val="0091730D"/>
    <w:rsid w:val="00923E7A"/>
    <w:rsid w:val="00924C4A"/>
    <w:rsid w:val="00925001"/>
    <w:rsid w:val="00927223"/>
    <w:rsid w:val="00930D88"/>
    <w:rsid w:val="0093504B"/>
    <w:rsid w:val="00935E5B"/>
    <w:rsid w:val="00936D52"/>
    <w:rsid w:val="0094055C"/>
    <w:rsid w:val="00942167"/>
    <w:rsid w:val="00945F9C"/>
    <w:rsid w:val="00952CF7"/>
    <w:rsid w:val="009550DA"/>
    <w:rsid w:val="00963573"/>
    <w:rsid w:val="0096506F"/>
    <w:rsid w:val="00982DB1"/>
    <w:rsid w:val="0098590D"/>
    <w:rsid w:val="00985C83"/>
    <w:rsid w:val="00986B3F"/>
    <w:rsid w:val="00987AEE"/>
    <w:rsid w:val="009907A2"/>
    <w:rsid w:val="00991D9E"/>
    <w:rsid w:val="009971B0"/>
    <w:rsid w:val="009A1129"/>
    <w:rsid w:val="009A1960"/>
    <w:rsid w:val="009A548F"/>
    <w:rsid w:val="009B3EAE"/>
    <w:rsid w:val="009C33E7"/>
    <w:rsid w:val="009C4818"/>
    <w:rsid w:val="009D13B3"/>
    <w:rsid w:val="009D535F"/>
    <w:rsid w:val="009D62DB"/>
    <w:rsid w:val="009D78D5"/>
    <w:rsid w:val="009E257E"/>
    <w:rsid w:val="009E3730"/>
    <w:rsid w:val="009E4453"/>
    <w:rsid w:val="009F7CBF"/>
    <w:rsid w:val="00A03AC8"/>
    <w:rsid w:val="00A05297"/>
    <w:rsid w:val="00A05D7F"/>
    <w:rsid w:val="00A05DB0"/>
    <w:rsid w:val="00A0674D"/>
    <w:rsid w:val="00A06A2F"/>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BBF"/>
    <w:rsid w:val="00A406EA"/>
    <w:rsid w:val="00A43B24"/>
    <w:rsid w:val="00A5521A"/>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22B3"/>
    <w:rsid w:val="00A94974"/>
    <w:rsid w:val="00AA169E"/>
    <w:rsid w:val="00AA42E5"/>
    <w:rsid w:val="00AA52C2"/>
    <w:rsid w:val="00AB4731"/>
    <w:rsid w:val="00AB488A"/>
    <w:rsid w:val="00AB5137"/>
    <w:rsid w:val="00AB5291"/>
    <w:rsid w:val="00AB5584"/>
    <w:rsid w:val="00AC158D"/>
    <w:rsid w:val="00AC435A"/>
    <w:rsid w:val="00AC57D3"/>
    <w:rsid w:val="00AD2C0B"/>
    <w:rsid w:val="00AD694D"/>
    <w:rsid w:val="00AE55B7"/>
    <w:rsid w:val="00AE5EA7"/>
    <w:rsid w:val="00AE68FA"/>
    <w:rsid w:val="00AE6FDF"/>
    <w:rsid w:val="00AF2E1A"/>
    <w:rsid w:val="00AF5AF1"/>
    <w:rsid w:val="00AF718B"/>
    <w:rsid w:val="00B01AF0"/>
    <w:rsid w:val="00B02EE1"/>
    <w:rsid w:val="00B034D4"/>
    <w:rsid w:val="00B04A09"/>
    <w:rsid w:val="00B0620F"/>
    <w:rsid w:val="00B12AAE"/>
    <w:rsid w:val="00B15D9D"/>
    <w:rsid w:val="00B22B08"/>
    <w:rsid w:val="00B23A38"/>
    <w:rsid w:val="00B26FFA"/>
    <w:rsid w:val="00B46B55"/>
    <w:rsid w:val="00B46BE5"/>
    <w:rsid w:val="00B46C91"/>
    <w:rsid w:val="00B47308"/>
    <w:rsid w:val="00B50519"/>
    <w:rsid w:val="00B54E17"/>
    <w:rsid w:val="00B55717"/>
    <w:rsid w:val="00B5690F"/>
    <w:rsid w:val="00B60222"/>
    <w:rsid w:val="00B60665"/>
    <w:rsid w:val="00B6679A"/>
    <w:rsid w:val="00B72426"/>
    <w:rsid w:val="00B727DC"/>
    <w:rsid w:val="00B72FDA"/>
    <w:rsid w:val="00B75094"/>
    <w:rsid w:val="00B7529A"/>
    <w:rsid w:val="00B772E1"/>
    <w:rsid w:val="00B82353"/>
    <w:rsid w:val="00B8407F"/>
    <w:rsid w:val="00B84F54"/>
    <w:rsid w:val="00B86396"/>
    <w:rsid w:val="00B91092"/>
    <w:rsid w:val="00B926C2"/>
    <w:rsid w:val="00BA05C9"/>
    <w:rsid w:val="00BA0C98"/>
    <w:rsid w:val="00BA5672"/>
    <w:rsid w:val="00BA65C4"/>
    <w:rsid w:val="00BB261C"/>
    <w:rsid w:val="00BB7050"/>
    <w:rsid w:val="00BC1513"/>
    <w:rsid w:val="00BC38FF"/>
    <w:rsid w:val="00BC4DE2"/>
    <w:rsid w:val="00BC7C22"/>
    <w:rsid w:val="00BD58C5"/>
    <w:rsid w:val="00BD76CB"/>
    <w:rsid w:val="00BE1CFA"/>
    <w:rsid w:val="00BE3FAC"/>
    <w:rsid w:val="00BF1A10"/>
    <w:rsid w:val="00BF353B"/>
    <w:rsid w:val="00C016C0"/>
    <w:rsid w:val="00C04194"/>
    <w:rsid w:val="00C04C5F"/>
    <w:rsid w:val="00C13630"/>
    <w:rsid w:val="00C174D4"/>
    <w:rsid w:val="00C17F0F"/>
    <w:rsid w:val="00C23B01"/>
    <w:rsid w:val="00C26EC0"/>
    <w:rsid w:val="00C325D1"/>
    <w:rsid w:val="00C3274A"/>
    <w:rsid w:val="00C33B38"/>
    <w:rsid w:val="00C347B0"/>
    <w:rsid w:val="00C42008"/>
    <w:rsid w:val="00C45B7C"/>
    <w:rsid w:val="00C527B5"/>
    <w:rsid w:val="00C5558E"/>
    <w:rsid w:val="00C64BFF"/>
    <w:rsid w:val="00C70F39"/>
    <w:rsid w:val="00C74F9D"/>
    <w:rsid w:val="00C82701"/>
    <w:rsid w:val="00C859EE"/>
    <w:rsid w:val="00C85E52"/>
    <w:rsid w:val="00C86BA0"/>
    <w:rsid w:val="00C87EDE"/>
    <w:rsid w:val="00C93081"/>
    <w:rsid w:val="00CA1646"/>
    <w:rsid w:val="00CA4860"/>
    <w:rsid w:val="00CB0F56"/>
    <w:rsid w:val="00CB100E"/>
    <w:rsid w:val="00CB2CB2"/>
    <w:rsid w:val="00CB51CA"/>
    <w:rsid w:val="00CB70DD"/>
    <w:rsid w:val="00CC7315"/>
    <w:rsid w:val="00CD0B60"/>
    <w:rsid w:val="00CD1757"/>
    <w:rsid w:val="00CD3612"/>
    <w:rsid w:val="00CD4383"/>
    <w:rsid w:val="00CD5312"/>
    <w:rsid w:val="00CE402B"/>
    <w:rsid w:val="00CE6BB2"/>
    <w:rsid w:val="00CE74A5"/>
    <w:rsid w:val="00CF11B7"/>
    <w:rsid w:val="00CF6FD4"/>
    <w:rsid w:val="00D00E59"/>
    <w:rsid w:val="00D03C24"/>
    <w:rsid w:val="00D10F18"/>
    <w:rsid w:val="00D125C2"/>
    <w:rsid w:val="00D14EBE"/>
    <w:rsid w:val="00D178E2"/>
    <w:rsid w:val="00D17CBD"/>
    <w:rsid w:val="00D23391"/>
    <w:rsid w:val="00D2354D"/>
    <w:rsid w:val="00D24AAA"/>
    <w:rsid w:val="00D25CE6"/>
    <w:rsid w:val="00D26BDF"/>
    <w:rsid w:val="00D32257"/>
    <w:rsid w:val="00D32FA5"/>
    <w:rsid w:val="00D33E11"/>
    <w:rsid w:val="00D358A5"/>
    <w:rsid w:val="00D35E5C"/>
    <w:rsid w:val="00D40F66"/>
    <w:rsid w:val="00D44586"/>
    <w:rsid w:val="00D45A18"/>
    <w:rsid w:val="00D52461"/>
    <w:rsid w:val="00D52C2F"/>
    <w:rsid w:val="00D5482E"/>
    <w:rsid w:val="00D57CE1"/>
    <w:rsid w:val="00D622EA"/>
    <w:rsid w:val="00D660BC"/>
    <w:rsid w:val="00D678EE"/>
    <w:rsid w:val="00D74226"/>
    <w:rsid w:val="00D74590"/>
    <w:rsid w:val="00D749DE"/>
    <w:rsid w:val="00D74E93"/>
    <w:rsid w:val="00D760ED"/>
    <w:rsid w:val="00D7686D"/>
    <w:rsid w:val="00D774C1"/>
    <w:rsid w:val="00D80DCB"/>
    <w:rsid w:val="00D82B07"/>
    <w:rsid w:val="00D82C5E"/>
    <w:rsid w:val="00D84114"/>
    <w:rsid w:val="00D93365"/>
    <w:rsid w:val="00D94615"/>
    <w:rsid w:val="00DA02A6"/>
    <w:rsid w:val="00DA05A4"/>
    <w:rsid w:val="00DA0A93"/>
    <w:rsid w:val="00DA43D3"/>
    <w:rsid w:val="00DA4FA9"/>
    <w:rsid w:val="00DA7663"/>
    <w:rsid w:val="00DB019A"/>
    <w:rsid w:val="00DB1EB2"/>
    <w:rsid w:val="00DB4456"/>
    <w:rsid w:val="00DB5000"/>
    <w:rsid w:val="00DB7880"/>
    <w:rsid w:val="00DC3CB9"/>
    <w:rsid w:val="00DC730A"/>
    <w:rsid w:val="00DD12E9"/>
    <w:rsid w:val="00DD40A8"/>
    <w:rsid w:val="00DD492F"/>
    <w:rsid w:val="00DD61A0"/>
    <w:rsid w:val="00DD6586"/>
    <w:rsid w:val="00DE44D4"/>
    <w:rsid w:val="00DF7182"/>
    <w:rsid w:val="00DF71E5"/>
    <w:rsid w:val="00E05616"/>
    <w:rsid w:val="00E11BA6"/>
    <w:rsid w:val="00E229D3"/>
    <w:rsid w:val="00E23142"/>
    <w:rsid w:val="00E23201"/>
    <w:rsid w:val="00E267A6"/>
    <w:rsid w:val="00E271CE"/>
    <w:rsid w:val="00E33254"/>
    <w:rsid w:val="00E358F5"/>
    <w:rsid w:val="00E35C3E"/>
    <w:rsid w:val="00E42153"/>
    <w:rsid w:val="00E46202"/>
    <w:rsid w:val="00E520B8"/>
    <w:rsid w:val="00E529D9"/>
    <w:rsid w:val="00E55C0F"/>
    <w:rsid w:val="00E622AB"/>
    <w:rsid w:val="00E62DDA"/>
    <w:rsid w:val="00E67261"/>
    <w:rsid w:val="00E677D1"/>
    <w:rsid w:val="00E70869"/>
    <w:rsid w:val="00E733D7"/>
    <w:rsid w:val="00E753AE"/>
    <w:rsid w:val="00E757F2"/>
    <w:rsid w:val="00E77D2B"/>
    <w:rsid w:val="00E82627"/>
    <w:rsid w:val="00E84487"/>
    <w:rsid w:val="00E91535"/>
    <w:rsid w:val="00E94F8B"/>
    <w:rsid w:val="00E95517"/>
    <w:rsid w:val="00EA1C88"/>
    <w:rsid w:val="00EA28A1"/>
    <w:rsid w:val="00EA4EB6"/>
    <w:rsid w:val="00EA6096"/>
    <w:rsid w:val="00EA6DB3"/>
    <w:rsid w:val="00EB04F1"/>
    <w:rsid w:val="00EB1B12"/>
    <w:rsid w:val="00EB23DC"/>
    <w:rsid w:val="00EB26CF"/>
    <w:rsid w:val="00EB581D"/>
    <w:rsid w:val="00EB606E"/>
    <w:rsid w:val="00EB676D"/>
    <w:rsid w:val="00EB74D4"/>
    <w:rsid w:val="00EB7613"/>
    <w:rsid w:val="00EB76A6"/>
    <w:rsid w:val="00EC1403"/>
    <w:rsid w:val="00EC299D"/>
    <w:rsid w:val="00EC3180"/>
    <w:rsid w:val="00EC3CF5"/>
    <w:rsid w:val="00EC3D7E"/>
    <w:rsid w:val="00EC4575"/>
    <w:rsid w:val="00EC6798"/>
    <w:rsid w:val="00EC7E83"/>
    <w:rsid w:val="00ED3781"/>
    <w:rsid w:val="00ED7528"/>
    <w:rsid w:val="00EE12C5"/>
    <w:rsid w:val="00EE2DC2"/>
    <w:rsid w:val="00EE7BD3"/>
    <w:rsid w:val="00EF2BAF"/>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70AD"/>
    <w:rsid w:val="00F57CDA"/>
    <w:rsid w:val="00F6158D"/>
    <w:rsid w:val="00F65572"/>
    <w:rsid w:val="00F6620F"/>
    <w:rsid w:val="00F80BA0"/>
    <w:rsid w:val="00F8166A"/>
    <w:rsid w:val="00F850ED"/>
    <w:rsid w:val="00F8537B"/>
    <w:rsid w:val="00F92454"/>
    <w:rsid w:val="00F92A2F"/>
    <w:rsid w:val="00F92EC2"/>
    <w:rsid w:val="00F92FB0"/>
    <w:rsid w:val="00F93716"/>
    <w:rsid w:val="00F96E5A"/>
    <w:rsid w:val="00FA151C"/>
    <w:rsid w:val="00FA22AD"/>
    <w:rsid w:val="00FA2A7B"/>
    <w:rsid w:val="00FA4B59"/>
    <w:rsid w:val="00FA5394"/>
    <w:rsid w:val="00FB0AF5"/>
    <w:rsid w:val="00FB2077"/>
    <w:rsid w:val="00FB2B8A"/>
    <w:rsid w:val="00FC205D"/>
    <w:rsid w:val="00FC2367"/>
    <w:rsid w:val="00FC2728"/>
    <w:rsid w:val="00FC365A"/>
    <w:rsid w:val="00FC440B"/>
    <w:rsid w:val="00FC4CDB"/>
    <w:rsid w:val="00FC4E98"/>
    <w:rsid w:val="00FC5FFD"/>
    <w:rsid w:val="00FD2FB3"/>
    <w:rsid w:val="00FD30D9"/>
    <w:rsid w:val="00FD36A2"/>
    <w:rsid w:val="00FD4F3C"/>
    <w:rsid w:val="00FD73BD"/>
    <w:rsid w:val="00FD767F"/>
    <w:rsid w:val="00FE1ADB"/>
    <w:rsid w:val="00FE22A7"/>
    <w:rsid w:val="00FE690F"/>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schemas-GSKSiteLocations-com/fourthcoffee" w:name="flavor"/>
  <w:shapeDefaults>
    <o:shapedefaults v:ext="edit" spidmax="1026"/>
    <o:shapelayout v:ext="edit">
      <o:idmap v:ext="edit" data="1"/>
    </o:shapelayout>
  </w:shapeDefaults>
  <w:decimalSymbol w:val="."/>
  <w:listSeparator w:val=","/>
  <w15:chartTrackingRefBased/>
  <w15:docId w15:val="{36C1F9DA-FDC8-418A-BAF4-864B5093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link w:val="Heading5Char"/>
    <w:qFormat/>
    <w:rsid w:val="001D25D9"/>
    <w:pPr>
      <w:keepNext/>
      <w:tabs>
        <w:tab w:val="num" w:pos="1008"/>
      </w:tabs>
      <w:ind w:left="1008" w:hanging="1008"/>
      <w:outlineLvl w:val="4"/>
    </w:pPr>
    <w:rPr>
      <w:b/>
      <w:sz w:val="24"/>
      <w:lang w:val="en-GB"/>
    </w:rPr>
  </w:style>
  <w:style w:type="paragraph" w:styleId="Heading6">
    <w:name w:val="heading 6"/>
    <w:basedOn w:val="Normal"/>
    <w:next w:val="Normal"/>
    <w:link w:val="Heading6Char"/>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link w:val="Heading7Char"/>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679A"/>
    <w:rPr>
      <w:b/>
      <w:caps/>
      <w:sz w:val="24"/>
      <w:lang w:val="en-GB" w:eastAsia="en-US" w:bidi="ar-SA"/>
    </w:rPr>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character" w:customStyle="1" w:styleId="Heading3Char">
    <w:name w:val="Heading 3 Char"/>
    <w:link w:val="Heading3"/>
    <w:semiHidden/>
    <w:locked/>
    <w:rsid w:val="00B6679A"/>
    <w:rPr>
      <w:b/>
      <w:sz w:val="24"/>
      <w:lang w:val="en-GB" w:eastAsia="en-US" w:bidi="ar-SA"/>
    </w:rPr>
  </w:style>
  <w:style w:type="character" w:customStyle="1" w:styleId="Heading4Char">
    <w:name w:val="Heading 4 Char"/>
    <w:link w:val="Heading4"/>
    <w:semiHidden/>
    <w:locked/>
    <w:rsid w:val="00B6679A"/>
    <w:rPr>
      <w:b/>
      <w:sz w:val="24"/>
      <w:lang w:val="ru-RU" w:eastAsia="en-US" w:bidi="ar-SA"/>
    </w:rPr>
  </w:style>
  <w:style w:type="character" w:customStyle="1" w:styleId="Heading5Char">
    <w:name w:val="Heading 5 Char"/>
    <w:link w:val="Heading5"/>
    <w:semiHidden/>
    <w:locked/>
    <w:rsid w:val="00B6679A"/>
    <w:rPr>
      <w:b/>
      <w:sz w:val="24"/>
      <w:lang w:val="en-GB" w:eastAsia="en-US" w:bidi="ar-SA"/>
    </w:rPr>
  </w:style>
  <w:style w:type="character" w:customStyle="1" w:styleId="Heading6Char">
    <w:name w:val="Heading 6 Char"/>
    <w:link w:val="Heading6"/>
    <w:semiHidden/>
    <w:locked/>
    <w:rsid w:val="00B6679A"/>
    <w:rPr>
      <w:b/>
      <w:bCs/>
      <w:sz w:val="22"/>
      <w:szCs w:val="22"/>
      <w:lang w:val="en-AU" w:eastAsia="en-US" w:bidi="ar-SA"/>
    </w:rPr>
  </w:style>
  <w:style w:type="character" w:customStyle="1" w:styleId="Heading7Char">
    <w:name w:val="Heading 7 Char"/>
    <w:link w:val="Heading7"/>
    <w:semiHidden/>
    <w:locked/>
    <w:rsid w:val="00B6679A"/>
    <w:rPr>
      <w:sz w:val="24"/>
      <w:szCs w:val="24"/>
      <w:lang w:val="en-AU"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customStyle="1" w:styleId="FooterChar">
    <w:name w:val="Footer Char"/>
    <w:link w:val="Footer"/>
    <w:semiHidden/>
    <w:locked/>
    <w:rsid w:val="00B6679A"/>
    <w:rPr>
      <w:lang w:val="en-US" w:eastAsia="en-US" w:bidi="ar-SA"/>
    </w:r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character" w:customStyle="1" w:styleId="BodyTextChar">
    <w:name w:val="Body Text Char"/>
    <w:link w:val="BodyText"/>
    <w:semiHidden/>
    <w:locked/>
    <w:rsid w:val="00B6679A"/>
    <w:rPr>
      <w:lang w:val="en-US" w:eastAsia="en-US" w:bidi="ar-SA"/>
    </w:r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character" w:customStyle="1" w:styleId="BodyText2Char">
    <w:name w:val="Body Text 2 Char"/>
    <w:link w:val="BodyText2"/>
    <w:semiHidden/>
    <w:locked/>
    <w:rsid w:val="00B6679A"/>
    <w:rPr>
      <w:lang w:val="en-US" w:eastAsia="en-US" w:bidi="ar-SA"/>
    </w:r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6">
    <w:name w:val="Char Char6"/>
    <w:semiHidden/>
    <w:rsid w:val="001956AF"/>
    <w:rPr>
      <w:rFonts w:ascii="Humanist777" w:hAnsi="Humanist777" w:cs="Humanist777"/>
      <w:sz w:val="24"/>
      <w:szCs w:val="24"/>
      <w:lang w:val="en-US" w:eastAsia="en-US"/>
    </w:rPr>
  </w:style>
  <w:style w:type="paragraph" w:customStyle="1" w:styleId="ListeNoNum">
    <w:name w:val="Liste NoNum"/>
    <w:rsid w:val="001956AF"/>
    <w:pPr>
      <w:numPr>
        <w:ilvl w:val="1"/>
        <w:numId w:val="3"/>
      </w:numPr>
    </w:pPr>
    <w:rPr>
      <w:rFonts w:ascii="Humanist777" w:hAnsi="Humanist777"/>
      <w:noProof/>
      <w:sz w:val="22"/>
      <w:szCs w:val="22"/>
      <w:lang w:val="en-GB"/>
    </w:rPr>
  </w:style>
  <w:style w:type="paragraph" w:customStyle="1" w:styleId="TabelleNebenwirkungen">
    <w:name w:val="Tabelle Nebenwirkungen"/>
    <w:basedOn w:val="Normal"/>
    <w:rsid w:val="00755A4F"/>
    <w:pPr>
      <w:ind w:left="1701" w:hanging="1701"/>
    </w:pPr>
    <w:rPr>
      <w:rFonts w:ascii="Humanist777" w:hAnsi="Humanist777"/>
      <w:sz w:val="22"/>
      <w:szCs w:val="22"/>
      <w:lang w:val="de-AT" w:eastAsia="de-DE"/>
    </w:rPr>
  </w:style>
  <w:style w:type="paragraph" w:customStyle="1" w:styleId="PIsubheadingnonum1">
    <w:name w:val="PI subheading nonum1"/>
    <w:basedOn w:val="Normal"/>
    <w:next w:val="Normal"/>
    <w:link w:val="PIsubheadingnonum1Char"/>
    <w:rsid w:val="00755A4F"/>
    <w:rPr>
      <w:rFonts w:ascii="Humanist777" w:hAnsi="Humanist777" w:cs="Humanist777"/>
      <w:noProof/>
      <w:sz w:val="22"/>
      <w:szCs w:val="22"/>
      <w:u w:val="single"/>
      <w:lang w:val="en-GB"/>
    </w:rPr>
  </w:style>
  <w:style w:type="character" w:customStyle="1" w:styleId="PIsubheadingnonum1Char">
    <w:name w:val="PI subheading nonum1 Char"/>
    <w:link w:val="PIsubheadingnonum1"/>
    <w:locked/>
    <w:rsid w:val="00755A4F"/>
    <w:rPr>
      <w:rFonts w:ascii="Humanist777" w:hAnsi="Humanist777" w:cs="Humanist777"/>
      <w:noProof/>
      <w:sz w:val="22"/>
      <w:szCs w:val="22"/>
      <w:u w:val="single"/>
      <w:lang w:val="en-GB" w:eastAsia="en-US" w:bidi="ar-SA"/>
    </w:rPr>
  </w:style>
  <w:style w:type="paragraph" w:customStyle="1" w:styleId="PIbodytext">
    <w:name w:val="PI body text"/>
    <w:link w:val="PIbodytextChar"/>
    <w:rsid w:val="00755A4F"/>
    <w:rPr>
      <w:rFonts w:ascii="Humanist777" w:hAnsi="Humanist777" w:cs="Humanist777"/>
      <w:noProof/>
      <w:sz w:val="22"/>
      <w:szCs w:val="22"/>
      <w:lang w:val="en-GB"/>
    </w:rPr>
  </w:style>
  <w:style w:type="character" w:customStyle="1" w:styleId="PIbodytextChar">
    <w:name w:val="PI body text Char"/>
    <w:link w:val="PIbodytext"/>
    <w:locked/>
    <w:rsid w:val="00755A4F"/>
    <w:rPr>
      <w:rFonts w:ascii="Humanist777" w:hAnsi="Humanist777" w:cs="Humanist777"/>
      <w:noProof/>
      <w:sz w:val="22"/>
      <w:szCs w:val="22"/>
      <w:lang w:val="en-GB" w:eastAsia="en-US" w:bidi="ar-SA"/>
    </w:rPr>
  </w:style>
  <w:style w:type="paragraph" w:customStyle="1" w:styleId="HeadNoNum1">
    <w:name w:val="HeadNoNum1"/>
    <w:next w:val="Normal"/>
    <w:rsid w:val="00755A4F"/>
    <w:pPr>
      <w:suppressAutoHyphens/>
      <w:ind w:left="567" w:hanging="567"/>
    </w:pPr>
    <w:rPr>
      <w:rFonts w:ascii="Humanist777" w:hAnsi="Humanist777"/>
      <w:b/>
      <w:bCs/>
      <w:noProof/>
      <w:sz w:val="22"/>
      <w:szCs w:val="22"/>
      <w:lang w:val="en-GB"/>
    </w:rPr>
  </w:style>
  <w:style w:type="character" w:customStyle="1" w:styleId="CharChar5">
    <w:name w:val="Char Char5"/>
    <w:semiHidden/>
    <w:rsid w:val="00DA02A6"/>
    <w:rPr>
      <w:rFonts w:ascii="Humanist777" w:hAnsi="Humanist777" w:cs="Humanist777"/>
      <w:sz w:val="24"/>
      <w:szCs w:val="24"/>
      <w:lang w:val="en-US" w:eastAsia="en-US" w:bidi="ar-SA"/>
    </w:rPr>
  </w:style>
  <w:style w:type="paragraph" w:styleId="CommentText">
    <w:name w:val="annotation text"/>
    <w:basedOn w:val="Normal"/>
    <w:semiHidden/>
    <w:rsid w:val="00B6679A"/>
    <w:pPr>
      <w:tabs>
        <w:tab w:val="left" w:pos="284"/>
      </w:tabs>
      <w:jc w:val="both"/>
    </w:pPr>
    <w:rPr>
      <w:rFonts w:ascii="Humanist777" w:hAnsi="Humanist777"/>
    </w:rPr>
  </w:style>
  <w:style w:type="paragraph" w:styleId="CommentSubject">
    <w:name w:val="annotation subject"/>
    <w:basedOn w:val="CommentText"/>
    <w:next w:val="CommentText"/>
    <w:semiHidden/>
    <w:rsid w:val="00B6679A"/>
    <w:rPr>
      <w:b/>
      <w:bCs/>
    </w:rPr>
  </w:style>
  <w:style w:type="character" w:styleId="CommentReference">
    <w:name w:val="annotation reference"/>
    <w:semiHidden/>
    <w:rsid w:val="00592C98"/>
    <w:rPr>
      <w:sz w:val="16"/>
      <w:szCs w:val="16"/>
    </w:rPr>
  </w:style>
  <w:style w:type="character" w:customStyle="1" w:styleId="CharChar11">
    <w:name w:val="Char Char11"/>
    <w:rsid w:val="002A6AB7"/>
    <w:rPr>
      <w:rFonts w:ascii="Arial (W1)" w:hAnsi="Arial (W1)" w:cs="Arial (W1)"/>
      <w:b/>
      <w:bCs/>
      <w:i/>
      <w:iCs/>
      <w:sz w:val="32"/>
      <w:szCs w:val="32"/>
      <w:u w:val="single"/>
      <w:lang w:val="sr-Latn-CS" w:eastAsia="en-US" w:bidi="ar-SA"/>
    </w:rPr>
  </w:style>
  <w:style w:type="character" w:customStyle="1" w:styleId="CharChar10">
    <w:name w:val="Char Char10"/>
    <w:semiHidden/>
    <w:rsid w:val="002A6AB7"/>
    <w:rPr>
      <w:rFonts w:ascii="Arial" w:hAnsi="Arial" w:cs="Arial"/>
      <w:i/>
      <w:iCs/>
      <w:color w:val="999999"/>
      <w:sz w:val="18"/>
      <w:szCs w:val="18"/>
      <w:lang w:val="en-US" w:eastAsia="en-US" w:bidi="ar-SA"/>
    </w:rPr>
  </w:style>
  <w:style w:type="character" w:customStyle="1" w:styleId="CharChar9">
    <w:name w:val="Char Char9"/>
    <w:semiHidden/>
    <w:rsid w:val="002A6AB7"/>
    <w:rPr>
      <w:rFonts w:ascii="Arial" w:hAnsi="Arial" w:cs="Arial"/>
      <w:i/>
      <w:iCs/>
      <w:color w:val="999999"/>
      <w:sz w:val="18"/>
      <w:szCs w:val="18"/>
      <w:lang w:val="en-US" w:eastAsia="en-US" w:bidi="ar-SA"/>
    </w:rPr>
  </w:style>
  <w:style w:type="character" w:customStyle="1" w:styleId="CharChar8">
    <w:name w:val="Char Char8"/>
    <w:semiHidden/>
    <w:rsid w:val="002A6AB7"/>
    <w:rPr>
      <w:rFonts w:ascii="Arial" w:hAnsi="Arial" w:cs="Arial"/>
      <w:i/>
      <w:iCs/>
      <w:color w:val="999999"/>
      <w:sz w:val="16"/>
      <w:szCs w:val="16"/>
      <w:lang w:val="en-US" w:eastAsia="en-US" w:bidi="ar-SA"/>
    </w:rPr>
  </w:style>
  <w:style w:type="character" w:customStyle="1" w:styleId="CharChar7">
    <w:name w:val="Char Char7"/>
    <w:semiHidden/>
    <w:rsid w:val="002A6AB7"/>
    <w:rPr>
      <w:rFonts w:ascii="Arial" w:hAnsi="Arial" w:cs="Arial"/>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57909091">
      <w:bodyDiv w:val="1"/>
      <w:marLeft w:val="0"/>
      <w:marRight w:val="0"/>
      <w:marTop w:val="0"/>
      <w:marBottom w:val="0"/>
      <w:divBdr>
        <w:top w:val="none" w:sz="0" w:space="0" w:color="auto"/>
        <w:left w:val="none" w:sz="0" w:space="0" w:color="auto"/>
        <w:bottom w:val="none" w:sz="0" w:space="0" w:color="auto"/>
        <w:right w:val="none" w:sz="0" w:space="0" w:color="auto"/>
      </w:divBdr>
    </w:div>
    <w:div w:id="561529028">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6046</Words>
  <Characters>34464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40430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dc:description/>
  <cp:lastModifiedBy>Erin Šarkinović</cp:lastModifiedBy>
  <cp:revision>3</cp:revision>
  <cp:lastPrinted>2009-11-25T08:21:00Z</cp:lastPrinted>
  <dcterms:created xsi:type="dcterms:W3CDTF">2016-02-19T08:45:00Z</dcterms:created>
  <dcterms:modified xsi:type="dcterms:W3CDTF">2016-02-19T10:41:00Z</dcterms:modified>
</cp:coreProperties>
</file>