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6D" w:rsidRPr="009C0BEE" w:rsidRDefault="00C6356D" w:rsidP="00C6356D">
      <w:pPr>
        <w:spacing w:before="1000"/>
        <w:rPr>
          <w:color w:val="FF0000"/>
          <w:sz w:val="22"/>
          <w:szCs w:val="22"/>
        </w:rPr>
      </w:pPr>
    </w:p>
    <w:tbl>
      <w:tblPr>
        <w:tblW w:w="9360" w:type="dxa"/>
        <w:jc w:val="center"/>
        <w:tblLayout w:type="fixed"/>
        <w:tblLook w:val="0000" w:firstRow="0" w:lastRow="0" w:firstColumn="0" w:lastColumn="0" w:noHBand="0" w:noVBand="0"/>
      </w:tblPr>
      <w:tblGrid>
        <w:gridCol w:w="9360"/>
      </w:tblGrid>
      <w:tr w:rsidR="00D17F29" w:rsidRPr="009C0BEE" w:rsidTr="00C6356D">
        <w:trPr>
          <w:trHeight w:val="530"/>
          <w:jc w:val="center"/>
        </w:trPr>
        <w:tc>
          <w:tcPr>
            <w:tcW w:w="9360" w:type="dxa"/>
            <w:vAlign w:val="center"/>
          </w:tcPr>
          <w:p w:rsidR="00C6356D" w:rsidRPr="009C0BEE" w:rsidRDefault="00C6356D" w:rsidP="00C6356D">
            <w:pPr>
              <w:jc w:val="center"/>
              <w:rPr>
                <w:b/>
                <w:bCs/>
                <w:iCs/>
                <w:sz w:val="22"/>
                <w:szCs w:val="22"/>
                <w:u w:val="single"/>
              </w:rPr>
            </w:pPr>
            <w:r w:rsidRPr="009C0BEE">
              <w:rPr>
                <w:b/>
                <w:bCs/>
                <w:iCs/>
                <w:sz w:val="22"/>
                <w:szCs w:val="22"/>
                <w:u w:val="single"/>
              </w:rPr>
              <w:t>SAŽETAK KARAKTERISTIKA LIJEKA</w:t>
            </w:r>
          </w:p>
        </w:tc>
      </w:tr>
      <w:tr w:rsidR="00C6356D" w:rsidRPr="009C0BEE" w:rsidTr="00C6356D">
        <w:trPr>
          <w:trHeight w:val="1969"/>
          <w:jc w:val="center"/>
        </w:trPr>
        <w:tc>
          <w:tcPr>
            <w:tcW w:w="9360" w:type="dxa"/>
            <w:vAlign w:val="bottom"/>
          </w:tcPr>
          <w:p w:rsidR="00ED2D7C" w:rsidRPr="009C0BEE" w:rsidRDefault="00ED2D7C" w:rsidP="00C6356D">
            <w:pPr>
              <w:jc w:val="center"/>
              <w:rPr>
                <w:sz w:val="22"/>
                <w:szCs w:val="22"/>
              </w:rPr>
            </w:pPr>
          </w:p>
          <w:p w:rsidR="00ED2D7C" w:rsidRPr="009C0BEE" w:rsidRDefault="00ED2D7C" w:rsidP="00C6356D">
            <w:pPr>
              <w:jc w:val="center"/>
              <w:rPr>
                <w:sz w:val="22"/>
                <w:szCs w:val="22"/>
              </w:rPr>
            </w:pPr>
          </w:p>
          <w:p w:rsidR="00ED2D7C" w:rsidRPr="009C0BEE" w:rsidRDefault="00ED2D7C" w:rsidP="00C6356D">
            <w:pPr>
              <w:jc w:val="center"/>
              <w:rPr>
                <w:sz w:val="22"/>
                <w:szCs w:val="22"/>
              </w:rPr>
            </w:pPr>
          </w:p>
          <w:p w:rsidR="0001726E" w:rsidRPr="009C0BEE" w:rsidRDefault="00C6356D" w:rsidP="00884FC0">
            <w:pPr>
              <w:jc w:val="center"/>
              <w:rPr>
                <w:sz w:val="22"/>
                <w:szCs w:val="22"/>
              </w:rPr>
            </w:pPr>
            <w:r w:rsidRPr="009C0BEE">
              <w:rPr>
                <w:sz w:val="22"/>
                <w:szCs w:val="22"/>
              </w:rPr>
              <w:t>Δ</w:t>
            </w:r>
            <w:r w:rsidRPr="009C0BEE">
              <w:rPr>
                <w:b/>
                <w:sz w:val="22"/>
                <w:szCs w:val="22"/>
              </w:rPr>
              <w:t xml:space="preserve"> </w:t>
            </w:r>
            <w:r w:rsidR="00F91C4D" w:rsidRPr="009C0BEE">
              <w:rPr>
                <w:b/>
                <w:sz w:val="22"/>
                <w:szCs w:val="22"/>
              </w:rPr>
              <w:t>Kapecitabin</w:t>
            </w:r>
            <w:r w:rsidR="000161FA" w:rsidRPr="009C0BEE">
              <w:rPr>
                <w:b/>
                <w:sz w:val="22"/>
                <w:szCs w:val="22"/>
              </w:rPr>
              <w:t xml:space="preserve"> Teva</w:t>
            </w:r>
            <w:r w:rsidR="00CD6FE4" w:rsidRPr="009C0BEE">
              <w:rPr>
                <w:sz w:val="22"/>
                <w:szCs w:val="22"/>
              </w:rPr>
              <w:t xml:space="preserve">, film tablete, </w:t>
            </w:r>
            <w:r w:rsidR="00B6404B" w:rsidRPr="009C0BEE">
              <w:rPr>
                <w:sz w:val="22"/>
                <w:szCs w:val="22"/>
              </w:rPr>
              <w:t>15</w:t>
            </w:r>
            <w:r w:rsidRPr="009C0BEE">
              <w:rPr>
                <w:sz w:val="22"/>
                <w:szCs w:val="22"/>
              </w:rPr>
              <w:t>0 mg</w:t>
            </w:r>
            <w:r w:rsidR="00884FC0" w:rsidRPr="009C0BEE">
              <w:rPr>
                <w:sz w:val="22"/>
                <w:szCs w:val="22"/>
              </w:rPr>
              <w:t xml:space="preserve">, blister,  </w:t>
            </w:r>
            <w:r w:rsidR="0001726E" w:rsidRPr="009C0BEE">
              <w:rPr>
                <w:sz w:val="22"/>
                <w:szCs w:val="22"/>
              </w:rPr>
              <w:t>60 film tableta</w:t>
            </w:r>
          </w:p>
          <w:p w:rsidR="00B6404B" w:rsidRPr="009C0BEE" w:rsidRDefault="00B6404B" w:rsidP="008875D8">
            <w:pPr>
              <w:rPr>
                <w:b/>
                <w:sz w:val="22"/>
                <w:szCs w:val="22"/>
              </w:rPr>
            </w:pPr>
          </w:p>
          <w:p w:rsidR="0001726E" w:rsidRPr="009C0BEE" w:rsidRDefault="00C6356D" w:rsidP="002E6706">
            <w:pPr>
              <w:jc w:val="center"/>
              <w:rPr>
                <w:sz w:val="22"/>
                <w:szCs w:val="22"/>
              </w:rPr>
            </w:pPr>
            <w:r w:rsidRPr="009C0BEE">
              <w:rPr>
                <w:b/>
                <w:bCs/>
                <w:sz w:val="22"/>
                <w:szCs w:val="22"/>
              </w:rPr>
              <w:t xml:space="preserve"> </w:t>
            </w:r>
            <w:r w:rsidR="00B6404B" w:rsidRPr="009C0BEE">
              <w:rPr>
                <w:sz w:val="22"/>
                <w:szCs w:val="22"/>
              </w:rPr>
              <w:t>Δ</w:t>
            </w:r>
            <w:r w:rsidR="00B6404B" w:rsidRPr="009C0BEE">
              <w:rPr>
                <w:b/>
                <w:sz w:val="22"/>
                <w:szCs w:val="22"/>
              </w:rPr>
              <w:t xml:space="preserve"> </w:t>
            </w:r>
            <w:r w:rsidR="00F91C4D" w:rsidRPr="009C0BEE">
              <w:rPr>
                <w:b/>
                <w:sz w:val="22"/>
                <w:szCs w:val="22"/>
              </w:rPr>
              <w:t>Kapecitabin</w:t>
            </w:r>
            <w:r w:rsidR="00CD6FE4" w:rsidRPr="009C0BEE">
              <w:rPr>
                <w:b/>
                <w:sz w:val="22"/>
                <w:szCs w:val="22"/>
              </w:rPr>
              <w:t xml:space="preserve"> Teva</w:t>
            </w:r>
            <w:r w:rsidR="00CD6FE4" w:rsidRPr="009C0BEE">
              <w:rPr>
                <w:sz w:val="22"/>
                <w:szCs w:val="22"/>
              </w:rPr>
              <w:t xml:space="preserve">, film tablete, </w:t>
            </w:r>
            <w:r w:rsidR="00B6404B" w:rsidRPr="009C0BEE">
              <w:rPr>
                <w:sz w:val="22"/>
                <w:szCs w:val="22"/>
              </w:rPr>
              <w:t>500 mg</w:t>
            </w:r>
            <w:r w:rsidR="00884FC0" w:rsidRPr="009C0BEE">
              <w:rPr>
                <w:sz w:val="22"/>
                <w:szCs w:val="22"/>
              </w:rPr>
              <w:t>, blister, 120 f</w:t>
            </w:r>
            <w:r w:rsidR="0001726E" w:rsidRPr="009C0BEE">
              <w:rPr>
                <w:sz w:val="22"/>
                <w:szCs w:val="22"/>
              </w:rPr>
              <w:t>ilm tableta</w:t>
            </w:r>
          </w:p>
          <w:p w:rsidR="002E6706" w:rsidRPr="009C0BEE" w:rsidRDefault="002E6706" w:rsidP="00B6404B">
            <w:pPr>
              <w:jc w:val="center"/>
              <w:rPr>
                <w:color w:val="FF0000"/>
                <w:sz w:val="22"/>
                <w:szCs w:val="22"/>
                <w:u w:val="single"/>
              </w:rPr>
            </w:pPr>
          </w:p>
          <w:p w:rsidR="00C6356D" w:rsidRPr="009C0BEE" w:rsidRDefault="00C6356D" w:rsidP="00C6356D">
            <w:pPr>
              <w:spacing w:after="40"/>
              <w:jc w:val="center"/>
              <w:rPr>
                <w:b/>
                <w:bCs/>
                <w:color w:val="FF0000"/>
                <w:sz w:val="22"/>
                <w:szCs w:val="22"/>
                <w:u w:val="single"/>
              </w:rPr>
            </w:pPr>
          </w:p>
        </w:tc>
      </w:tr>
    </w:tbl>
    <w:p w:rsidR="00BB09FB" w:rsidRPr="009C0BEE" w:rsidRDefault="00BB09FB" w:rsidP="00C6356D">
      <w:pPr>
        <w:pStyle w:val="Header"/>
        <w:tabs>
          <w:tab w:val="left" w:pos="284"/>
        </w:tabs>
        <w:spacing w:before="400"/>
        <w:rPr>
          <w:color w:val="FF0000"/>
          <w:sz w:val="22"/>
          <w:szCs w:val="22"/>
        </w:rPr>
      </w:pPr>
    </w:p>
    <w:p w:rsidR="00BB09FB" w:rsidRPr="009C0BEE" w:rsidRDefault="00BB09FB" w:rsidP="00C6356D">
      <w:pPr>
        <w:pStyle w:val="Header"/>
        <w:tabs>
          <w:tab w:val="left" w:pos="284"/>
        </w:tabs>
        <w:spacing w:before="400"/>
        <w:rPr>
          <w:b/>
          <w:bCs/>
          <w:color w:val="FF0000"/>
          <w:sz w:val="22"/>
          <w:szCs w:val="22"/>
        </w:rPr>
      </w:pPr>
    </w:p>
    <w:p w:rsidR="000161FA" w:rsidRPr="009C0BEE" w:rsidRDefault="000161FA" w:rsidP="00C6356D">
      <w:pPr>
        <w:pStyle w:val="Header"/>
        <w:tabs>
          <w:tab w:val="left" w:pos="284"/>
        </w:tabs>
        <w:spacing w:before="400"/>
        <w:rPr>
          <w:b/>
          <w:bCs/>
          <w:color w:val="FF0000"/>
          <w:sz w:val="22"/>
          <w:szCs w:val="22"/>
        </w:rPr>
      </w:pPr>
    </w:p>
    <w:tbl>
      <w:tblPr>
        <w:tblW w:w="0" w:type="auto"/>
        <w:tblInd w:w="945" w:type="dxa"/>
        <w:tblLook w:val="04A0" w:firstRow="1" w:lastRow="0" w:firstColumn="1" w:lastColumn="0" w:noHBand="0" w:noVBand="1"/>
      </w:tblPr>
      <w:tblGrid>
        <w:gridCol w:w="2154"/>
        <w:gridCol w:w="5609"/>
      </w:tblGrid>
      <w:tr w:rsidR="00D17F29" w:rsidRPr="009C0BEE" w:rsidTr="008875D8">
        <w:trPr>
          <w:trHeight w:val="1100"/>
        </w:trPr>
        <w:tc>
          <w:tcPr>
            <w:tcW w:w="2154" w:type="dxa"/>
            <w:shd w:val="clear" w:color="auto" w:fill="auto"/>
            <w:vAlign w:val="center"/>
          </w:tcPr>
          <w:p w:rsidR="000161FA" w:rsidRPr="009C0BEE" w:rsidRDefault="000161FA" w:rsidP="00884FC0">
            <w:pPr>
              <w:pStyle w:val="Header"/>
              <w:tabs>
                <w:tab w:val="left" w:pos="284"/>
              </w:tabs>
              <w:jc w:val="right"/>
              <w:rPr>
                <w:bCs/>
                <w:sz w:val="22"/>
                <w:szCs w:val="22"/>
              </w:rPr>
            </w:pPr>
            <w:r w:rsidRPr="009C0BEE">
              <w:rPr>
                <w:bCs/>
                <w:sz w:val="22"/>
                <w:szCs w:val="22"/>
              </w:rPr>
              <w:t>Proi</w:t>
            </w:r>
            <w:r w:rsidR="008B6104" w:rsidRPr="009C0BEE">
              <w:rPr>
                <w:bCs/>
                <w:sz w:val="22"/>
                <w:szCs w:val="22"/>
              </w:rPr>
              <w:t>zvođ</w:t>
            </w:r>
            <w:r w:rsidRPr="009C0BEE">
              <w:rPr>
                <w:bCs/>
                <w:sz w:val="22"/>
                <w:szCs w:val="22"/>
              </w:rPr>
              <w:t>ač:</w:t>
            </w:r>
          </w:p>
        </w:tc>
        <w:tc>
          <w:tcPr>
            <w:tcW w:w="5609" w:type="dxa"/>
            <w:shd w:val="clear" w:color="auto" w:fill="auto"/>
            <w:vAlign w:val="center"/>
          </w:tcPr>
          <w:p w:rsidR="007217DE" w:rsidRPr="009C0BEE" w:rsidRDefault="007217DE" w:rsidP="00884FC0">
            <w:pPr>
              <w:pStyle w:val="Default"/>
              <w:rPr>
                <w:b/>
                <w:noProof/>
                <w:color w:val="auto"/>
                <w:sz w:val="22"/>
                <w:szCs w:val="22"/>
                <w:lang w:val="sr-Latn-ME"/>
              </w:rPr>
            </w:pPr>
            <w:r w:rsidRPr="009C0BEE">
              <w:rPr>
                <w:b/>
                <w:noProof/>
                <w:color w:val="auto"/>
                <w:sz w:val="22"/>
                <w:szCs w:val="22"/>
                <w:lang w:val="sr-Latn-ME"/>
              </w:rPr>
              <w:t>1.</w:t>
            </w:r>
            <w:r w:rsidR="00ED347E" w:rsidRPr="009C0BEE">
              <w:rPr>
                <w:b/>
                <w:noProof/>
                <w:color w:val="auto"/>
                <w:sz w:val="22"/>
                <w:szCs w:val="22"/>
                <w:lang w:val="sr-Latn-ME"/>
              </w:rPr>
              <w:t xml:space="preserve"> </w:t>
            </w:r>
            <w:r w:rsidRPr="009C0BEE">
              <w:rPr>
                <w:b/>
                <w:noProof/>
                <w:color w:val="auto"/>
                <w:sz w:val="22"/>
                <w:szCs w:val="22"/>
                <w:lang w:val="sr-Latn-ME"/>
              </w:rPr>
              <w:t xml:space="preserve">Teva Czech Industries s.r.o. </w:t>
            </w:r>
          </w:p>
          <w:p w:rsidR="007217DE" w:rsidRPr="009C0BEE" w:rsidRDefault="007217DE" w:rsidP="00884FC0">
            <w:pPr>
              <w:pStyle w:val="Default"/>
              <w:rPr>
                <w:b/>
                <w:noProof/>
                <w:color w:val="auto"/>
                <w:sz w:val="22"/>
                <w:szCs w:val="22"/>
                <w:lang w:val="sr-Latn-ME"/>
              </w:rPr>
            </w:pPr>
            <w:r w:rsidRPr="009C0BEE">
              <w:rPr>
                <w:b/>
                <w:noProof/>
                <w:color w:val="auto"/>
                <w:sz w:val="22"/>
                <w:szCs w:val="22"/>
                <w:lang w:val="sr-Latn-ME"/>
              </w:rPr>
              <w:t xml:space="preserve">2. Pharmachemie B.V. </w:t>
            </w:r>
          </w:p>
          <w:p w:rsidR="000161FA" w:rsidRPr="009C0BEE" w:rsidRDefault="007217DE" w:rsidP="00884FC0">
            <w:pPr>
              <w:pStyle w:val="Default"/>
              <w:rPr>
                <w:b/>
                <w:noProof/>
                <w:color w:val="auto"/>
                <w:sz w:val="22"/>
                <w:szCs w:val="22"/>
                <w:lang w:val="sr-Latn-ME"/>
              </w:rPr>
            </w:pPr>
            <w:r w:rsidRPr="009C0BEE">
              <w:rPr>
                <w:b/>
                <w:noProof/>
                <w:color w:val="auto"/>
                <w:sz w:val="22"/>
                <w:szCs w:val="22"/>
                <w:lang w:val="sr-Latn-ME"/>
              </w:rPr>
              <w:t>3. Merc</w:t>
            </w:r>
            <w:r w:rsidR="00130B7B">
              <w:rPr>
                <w:b/>
                <w:noProof/>
                <w:color w:val="auto"/>
                <w:sz w:val="22"/>
                <w:szCs w:val="22"/>
                <w:lang w:val="sr-Latn-ME"/>
              </w:rPr>
              <w:t>k</w:t>
            </w:r>
            <w:r w:rsidRPr="009C0BEE">
              <w:rPr>
                <w:b/>
                <w:noProof/>
                <w:color w:val="auto"/>
                <w:sz w:val="22"/>
                <w:szCs w:val="22"/>
                <w:lang w:val="sr-Latn-ME"/>
              </w:rPr>
              <w:t>le G</w:t>
            </w:r>
            <w:r w:rsidR="00976EA6" w:rsidRPr="009C0BEE">
              <w:rPr>
                <w:b/>
                <w:noProof/>
                <w:color w:val="auto"/>
                <w:sz w:val="22"/>
                <w:szCs w:val="22"/>
                <w:lang w:val="sr-Latn-ME"/>
              </w:rPr>
              <w:t>mb</w:t>
            </w:r>
            <w:r w:rsidRPr="009C0BEE">
              <w:rPr>
                <w:b/>
                <w:noProof/>
                <w:color w:val="auto"/>
                <w:sz w:val="22"/>
                <w:szCs w:val="22"/>
                <w:lang w:val="sr-Latn-ME"/>
              </w:rPr>
              <w:t>H</w:t>
            </w:r>
          </w:p>
          <w:p w:rsidR="003B6024" w:rsidRPr="009C0BEE" w:rsidRDefault="003B6024" w:rsidP="00884FC0">
            <w:pPr>
              <w:pStyle w:val="Default"/>
              <w:rPr>
                <w:b/>
                <w:bCs/>
                <w:noProof/>
                <w:color w:val="auto"/>
                <w:sz w:val="22"/>
                <w:szCs w:val="22"/>
                <w:lang w:val="sr-Latn-ME"/>
              </w:rPr>
            </w:pPr>
            <w:r w:rsidRPr="009C0BEE">
              <w:rPr>
                <w:b/>
                <w:bCs/>
                <w:noProof/>
                <w:color w:val="auto"/>
                <w:sz w:val="22"/>
                <w:szCs w:val="22"/>
                <w:lang w:val="sr-Latn-ME"/>
              </w:rPr>
              <w:t xml:space="preserve">4. Teva Operations Poland Sp. </w:t>
            </w:r>
            <w:r w:rsidR="00976EA6" w:rsidRPr="009C0BEE">
              <w:rPr>
                <w:b/>
                <w:bCs/>
                <w:noProof/>
                <w:color w:val="auto"/>
                <w:sz w:val="22"/>
                <w:szCs w:val="22"/>
                <w:lang w:val="sr-Latn-ME"/>
              </w:rPr>
              <w:t>z.</w:t>
            </w:r>
            <w:r w:rsidRPr="009C0BEE">
              <w:rPr>
                <w:b/>
                <w:bCs/>
                <w:noProof/>
                <w:color w:val="auto"/>
                <w:sz w:val="22"/>
                <w:szCs w:val="22"/>
                <w:lang w:val="sr-Latn-ME"/>
              </w:rPr>
              <w:t xml:space="preserve"> o.o.</w:t>
            </w:r>
          </w:p>
        </w:tc>
      </w:tr>
      <w:tr w:rsidR="00D17F29" w:rsidRPr="009C0BEE" w:rsidTr="008875D8">
        <w:trPr>
          <w:trHeight w:val="1104"/>
        </w:trPr>
        <w:tc>
          <w:tcPr>
            <w:tcW w:w="2154" w:type="dxa"/>
            <w:shd w:val="clear" w:color="auto" w:fill="auto"/>
            <w:vAlign w:val="center"/>
          </w:tcPr>
          <w:p w:rsidR="000161FA" w:rsidRPr="009C0BEE" w:rsidRDefault="000161FA" w:rsidP="00884FC0">
            <w:pPr>
              <w:pStyle w:val="Header"/>
              <w:tabs>
                <w:tab w:val="left" w:pos="284"/>
              </w:tabs>
              <w:jc w:val="right"/>
              <w:rPr>
                <w:bCs/>
                <w:sz w:val="22"/>
                <w:szCs w:val="22"/>
              </w:rPr>
            </w:pPr>
            <w:r w:rsidRPr="009C0BEE">
              <w:rPr>
                <w:bCs/>
                <w:sz w:val="22"/>
                <w:szCs w:val="22"/>
              </w:rPr>
              <w:t>Adresa:</w:t>
            </w:r>
          </w:p>
        </w:tc>
        <w:tc>
          <w:tcPr>
            <w:tcW w:w="5609" w:type="dxa"/>
            <w:shd w:val="clear" w:color="auto" w:fill="auto"/>
            <w:vAlign w:val="center"/>
          </w:tcPr>
          <w:p w:rsidR="007217DE" w:rsidRPr="009C0BEE" w:rsidRDefault="007217DE" w:rsidP="00884FC0">
            <w:pPr>
              <w:pStyle w:val="Default"/>
              <w:rPr>
                <w:b/>
                <w:noProof/>
                <w:color w:val="auto"/>
                <w:sz w:val="22"/>
                <w:szCs w:val="22"/>
                <w:lang w:val="sr-Latn-ME"/>
              </w:rPr>
            </w:pPr>
            <w:r w:rsidRPr="009C0BEE">
              <w:rPr>
                <w:b/>
                <w:noProof/>
                <w:color w:val="auto"/>
                <w:sz w:val="22"/>
                <w:szCs w:val="22"/>
                <w:lang w:val="sr-Latn-ME"/>
              </w:rPr>
              <w:t>1. Ostravska 29, c.p. 305, 74770 Opava-Komarov</w:t>
            </w:r>
            <w:r w:rsidR="003B6024" w:rsidRPr="009C0BEE">
              <w:rPr>
                <w:b/>
                <w:noProof/>
                <w:color w:val="auto"/>
                <w:sz w:val="22"/>
                <w:szCs w:val="22"/>
                <w:lang w:val="sr-Latn-ME"/>
              </w:rPr>
              <w:t xml:space="preserve">, </w:t>
            </w:r>
            <w:r w:rsidRPr="009C0BEE">
              <w:rPr>
                <w:b/>
                <w:noProof/>
                <w:color w:val="auto"/>
                <w:sz w:val="22"/>
                <w:szCs w:val="22"/>
                <w:lang w:val="sr-Latn-ME"/>
              </w:rPr>
              <w:t>Češka</w:t>
            </w:r>
          </w:p>
          <w:p w:rsidR="007217DE" w:rsidRPr="009C0BEE" w:rsidRDefault="007217DE" w:rsidP="00884FC0">
            <w:pPr>
              <w:pStyle w:val="Default"/>
              <w:rPr>
                <w:b/>
                <w:noProof/>
                <w:color w:val="auto"/>
                <w:sz w:val="22"/>
                <w:szCs w:val="22"/>
                <w:lang w:val="sr-Latn-ME"/>
              </w:rPr>
            </w:pPr>
            <w:r w:rsidRPr="009C0BEE">
              <w:rPr>
                <w:b/>
                <w:noProof/>
                <w:color w:val="auto"/>
                <w:sz w:val="22"/>
                <w:szCs w:val="22"/>
                <w:lang w:val="sr-Latn-ME"/>
              </w:rPr>
              <w:t>2. Swensweg 5, 2031 GA Haarlem</w:t>
            </w:r>
            <w:r w:rsidR="003B6024" w:rsidRPr="009C0BEE">
              <w:rPr>
                <w:b/>
                <w:noProof/>
                <w:color w:val="auto"/>
                <w:sz w:val="22"/>
                <w:szCs w:val="22"/>
                <w:lang w:val="sr-Latn-ME"/>
              </w:rPr>
              <w:t xml:space="preserve">, </w:t>
            </w:r>
            <w:r w:rsidRPr="009C0BEE">
              <w:rPr>
                <w:b/>
                <w:noProof/>
                <w:color w:val="auto"/>
                <w:sz w:val="22"/>
                <w:szCs w:val="22"/>
                <w:lang w:val="sr-Latn-ME"/>
              </w:rPr>
              <w:t>Holandija</w:t>
            </w:r>
          </w:p>
          <w:p w:rsidR="000161FA" w:rsidRPr="009C0BEE" w:rsidRDefault="007217DE" w:rsidP="00884FC0">
            <w:pPr>
              <w:rPr>
                <w:rFonts w:eastAsia="MS Mincho"/>
                <w:b/>
                <w:sz w:val="22"/>
                <w:szCs w:val="22"/>
                <w:lang w:eastAsia="ja-JP"/>
              </w:rPr>
            </w:pPr>
            <w:r w:rsidRPr="009C0BEE">
              <w:rPr>
                <w:b/>
                <w:sz w:val="22"/>
                <w:szCs w:val="22"/>
              </w:rPr>
              <w:t>3</w:t>
            </w:r>
            <w:r w:rsidRPr="009C0BEE">
              <w:rPr>
                <w:rFonts w:eastAsia="MS Mincho"/>
                <w:b/>
                <w:sz w:val="22"/>
                <w:szCs w:val="22"/>
                <w:lang w:eastAsia="ja-JP"/>
              </w:rPr>
              <w:t>. Ludwig Merckle Str 3, 89143 Blaubeuren</w:t>
            </w:r>
            <w:r w:rsidR="003B6024" w:rsidRPr="009C0BEE">
              <w:rPr>
                <w:rFonts w:eastAsia="MS Mincho"/>
                <w:b/>
                <w:sz w:val="22"/>
                <w:szCs w:val="22"/>
                <w:lang w:eastAsia="ja-JP"/>
              </w:rPr>
              <w:t>,</w:t>
            </w:r>
            <w:r w:rsidRPr="009C0BEE">
              <w:rPr>
                <w:rFonts w:eastAsia="MS Mincho"/>
                <w:b/>
                <w:sz w:val="22"/>
                <w:szCs w:val="22"/>
                <w:lang w:eastAsia="ja-JP"/>
              </w:rPr>
              <w:t xml:space="preserve"> Njemačka</w:t>
            </w:r>
          </w:p>
          <w:p w:rsidR="003B6024" w:rsidRPr="009C0BEE" w:rsidRDefault="003B6024" w:rsidP="00884FC0">
            <w:pPr>
              <w:rPr>
                <w:rFonts w:ascii="Arial" w:hAnsi="Arial" w:cs="Arial"/>
                <w:b/>
                <w:sz w:val="22"/>
                <w:szCs w:val="22"/>
              </w:rPr>
            </w:pPr>
            <w:r w:rsidRPr="009C0BEE">
              <w:rPr>
                <w:rFonts w:eastAsia="MS Mincho"/>
                <w:b/>
                <w:sz w:val="22"/>
                <w:szCs w:val="22"/>
                <w:lang w:eastAsia="ja-JP"/>
              </w:rPr>
              <w:t>4. Mogilska 80, 31-546 Krakov,</w:t>
            </w:r>
            <w:r w:rsidR="00884FC0" w:rsidRPr="009C0BEE">
              <w:rPr>
                <w:rFonts w:eastAsia="MS Mincho"/>
                <w:b/>
                <w:sz w:val="22"/>
                <w:szCs w:val="22"/>
                <w:lang w:eastAsia="ja-JP"/>
              </w:rPr>
              <w:t xml:space="preserve"> </w:t>
            </w:r>
            <w:r w:rsidRPr="009C0BEE">
              <w:rPr>
                <w:rFonts w:eastAsia="MS Mincho"/>
                <w:b/>
                <w:sz w:val="22"/>
                <w:szCs w:val="22"/>
                <w:lang w:eastAsia="ja-JP"/>
              </w:rPr>
              <w:t>Poljska</w:t>
            </w:r>
          </w:p>
        </w:tc>
      </w:tr>
      <w:tr w:rsidR="00D17F29" w:rsidRPr="009C0BEE" w:rsidTr="008875D8">
        <w:trPr>
          <w:trHeight w:val="368"/>
        </w:trPr>
        <w:tc>
          <w:tcPr>
            <w:tcW w:w="2154" w:type="dxa"/>
            <w:shd w:val="clear" w:color="auto" w:fill="auto"/>
            <w:vAlign w:val="center"/>
          </w:tcPr>
          <w:p w:rsidR="000161FA" w:rsidRPr="009C0BEE" w:rsidRDefault="000161FA" w:rsidP="00884FC0">
            <w:pPr>
              <w:pStyle w:val="Header"/>
              <w:tabs>
                <w:tab w:val="left" w:pos="284"/>
              </w:tabs>
              <w:jc w:val="right"/>
              <w:rPr>
                <w:bCs/>
                <w:sz w:val="22"/>
                <w:szCs w:val="22"/>
              </w:rPr>
            </w:pPr>
            <w:r w:rsidRPr="009C0BEE">
              <w:rPr>
                <w:bCs/>
                <w:sz w:val="22"/>
                <w:szCs w:val="22"/>
              </w:rPr>
              <w:t>Podnosilac zahtjeva:</w:t>
            </w:r>
          </w:p>
        </w:tc>
        <w:tc>
          <w:tcPr>
            <w:tcW w:w="5609" w:type="dxa"/>
            <w:shd w:val="clear" w:color="auto" w:fill="auto"/>
            <w:vAlign w:val="center"/>
          </w:tcPr>
          <w:p w:rsidR="000161FA" w:rsidRPr="009C0BEE" w:rsidRDefault="00AB4EAD" w:rsidP="00884FC0">
            <w:pPr>
              <w:pStyle w:val="Header"/>
              <w:tabs>
                <w:tab w:val="left" w:pos="284"/>
              </w:tabs>
              <w:rPr>
                <w:b/>
                <w:bCs/>
                <w:sz w:val="22"/>
                <w:szCs w:val="22"/>
              </w:rPr>
            </w:pPr>
            <w:r w:rsidRPr="009C0BEE">
              <w:rPr>
                <w:b/>
                <w:bCs/>
                <w:sz w:val="22"/>
                <w:szCs w:val="22"/>
              </w:rPr>
              <w:t>Farmegra d.o.o.</w:t>
            </w:r>
          </w:p>
        </w:tc>
      </w:tr>
      <w:tr w:rsidR="000161FA" w:rsidRPr="009C0BEE" w:rsidTr="008875D8">
        <w:trPr>
          <w:trHeight w:val="405"/>
        </w:trPr>
        <w:tc>
          <w:tcPr>
            <w:tcW w:w="2154" w:type="dxa"/>
            <w:shd w:val="clear" w:color="auto" w:fill="auto"/>
            <w:vAlign w:val="center"/>
          </w:tcPr>
          <w:p w:rsidR="000161FA" w:rsidRPr="009C0BEE" w:rsidRDefault="000161FA" w:rsidP="00884FC0">
            <w:pPr>
              <w:pStyle w:val="Header"/>
              <w:tabs>
                <w:tab w:val="left" w:pos="284"/>
              </w:tabs>
              <w:jc w:val="right"/>
              <w:rPr>
                <w:bCs/>
                <w:sz w:val="22"/>
                <w:szCs w:val="22"/>
              </w:rPr>
            </w:pPr>
            <w:r w:rsidRPr="009C0BEE">
              <w:rPr>
                <w:bCs/>
                <w:sz w:val="22"/>
                <w:szCs w:val="22"/>
              </w:rPr>
              <w:t>Adresa:</w:t>
            </w:r>
          </w:p>
        </w:tc>
        <w:tc>
          <w:tcPr>
            <w:tcW w:w="5609" w:type="dxa"/>
            <w:shd w:val="clear" w:color="auto" w:fill="auto"/>
            <w:vAlign w:val="center"/>
          </w:tcPr>
          <w:p w:rsidR="000161FA" w:rsidRPr="009C0BEE" w:rsidRDefault="00AB4EAD" w:rsidP="00884FC0">
            <w:pPr>
              <w:pStyle w:val="Header"/>
              <w:tabs>
                <w:tab w:val="left" w:pos="284"/>
              </w:tabs>
              <w:rPr>
                <w:b/>
                <w:bCs/>
                <w:sz w:val="22"/>
                <w:szCs w:val="22"/>
              </w:rPr>
            </w:pPr>
            <w:r w:rsidRPr="009C0BEE">
              <w:rPr>
                <w:b/>
                <w:bCs/>
                <w:sz w:val="22"/>
                <w:szCs w:val="22"/>
              </w:rPr>
              <w:t>Kritskog odreda 4/1, 81000 Podgorica</w:t>
            </w:r>
            <w:r w:rsidR="0088772A">
              <w:rPr>
                <w:b/>
                <w:bCs/>
                <w:sz w:val="22"/>
                <w:szCs w:val="22"/>
              </w:rPr>
              <w:t>, Crna Gora</w:t>
            </w:r>
          </w:p>
        </w:tc>
      </w:tr>
    </w:tbl>
    <w:p w:rsidR="000161FA" w:rsidRPr="009C0BEE" w:rsidRDefault="000161FA" w:rsidP="00C6356D">
      <w:pPr>
        <w:pStyle w:val="Header"/>
        <w:tabs>
          <w:tab w:val="left" w:pos="284"/>
        </w:tabs>
        <w:spacing w:before="400"/>
        <w:rPr>
          <w:b/>
          <w:bCs/>
          <w:color w:val="FF0000"/>
          <w:sz w:val="22"/>
          <w:szCs w:val="22"/>
        </w:rPr>
      </w:pPr>
    </w:p>
    <w:p w:rsidR="007809F9" w:rsidRPr="009C0BEE" w:rsidRDefault="007809F9" w:rsidP="00C6356D">
      <w:pPr>
        <w:pStyle w:val="Header"/>
        <w:tabs>
          <w:tab w:val="left" w:pos="284"/>
        </w:tabs>
        <w:spacing w:before="400"/>
        <w:rPr>
          <w:b/>
          <w:bCs/>
          <w:color w:val="FF0000"/>
          <w:sz w:val="22"/>
          <w:szCs w:val="22"/>
        </w:rPr>
      </w:pPr>
    </w:p>
    <w:p w:rsidR="007809F9" w:rsidRPr="009C0BEE" w:rsidRDefault="007809F9" w:rsidP="00C6356D">
      <w:pPr>
        <w:pStyle w:val="Header"/>
        <w:tabs>
          <w:tab w:val="left" w:pos="284"/>
        </w:tabs>
        <w:spacing w:before="400"/>
        <w:rPr>
          <w:b/>
          <w:bCs/>
          <w:color w:val="FF0000"/>
          <w:sz w:val="22"/>
          <w:szCs w:val="22"/>
        </w:rPr>
      </w:pPr>
    </w:p>
    <w:p w:rsidR="007809F9" w:rsidRPr="009C0BEE" w:rsidRDefault="007809F9" w:rsidP="00C6356D">
      <w:pPr>
        <w:pStyle w:val="Header"/>
        <w:tabs>
          <w:tab w:val="left" w:pos="284"/>
        </w:tabs>
        <w:spacing w:before="400"/>
        <w:rPr>
          <w:b/>
          <w:bCs/>
          <w:color w:val="FF0000"/>
          <w:sz w:val="22"/>
          <w:szCs w:val="22"/>
        </w:rPr>
      </w:pPr>
    </w:p>
    <w:p w:rsidR="007809F9" w:rsidRPr="009C0BEE" w:rsidRDefault="007809F9" w:rsidP="00C6356D">
      <w:pPr>
        <w:pStyle w:val="Header"/>
        <w:tabs>
          <w:tab w:val="left" w:pos="284"/>
        </w:tabs>
        <w:spacing w:before="400"/>
        <w:rPr>
          <w:b/>
          <w:bCs/>
          <w:color w:val="FF0000"/>
          <w:sz w:val="22"/>
          <w:szCs w:val="22"/>
        </w:rPr>
      </w:pPr>
    </w:p>
    <w:p w:rsidR="007809F9" w:rsidRPr="009C0BEE" w:rsidRDefault="007809F9" w:rsidP="00C6356D">
      <w:pPr>
        <w:pStyle w:val="Header"/>
        <w:tabs>
          <w:tab w:val="left" w:pos="284"/>
        </w:tabs>
        <w:spacing w:before="400"/>
        <w:rPr>
          <w:b/>
          <w:bCs/>
          <w:color w:val="FF0000"/>
          <w:sz w:val="22"/>
          <w:szCs w:val="22"/>
        </w:rPr>
      </w:pPr>
    </w:p>
    <w:tbl>
      <w:tblPr>
        <w:tblW w:w="5000" w:type="pct"/>
        <w:tblLook w:val="0000" w:firstRow="0" w:lastRow="0" w:firstColumn="0" w:lastColumn="0" w:noHBand="0" w:noVBand="0"/>
      </w:tblPr>
      <w:tblGrid>
        <w:gridCol w:w="782"/>
        <w:gridCol w:w="341"/>
        <w:gridCol w:w="1531"/>
        <w:gridCol w:w="6977"/>
      </w:tblGrid>
      <w:tr w:rsidR="00D17F29" w:rsidRPr="009C0BEE" w:rsidTr="005E7E41">
        <w:trPr>
          <w:trHeight w:val="284"/>
        </w:trPr>
        <w:tc>
          <w:tcPr>
            <w:tcW w:w="5000" w:type="pct"/>
            <w:gridSpan w:val="4"/>
            <w:shd w:val="clear" w:color="auto" w:fill="E0E0E0"/>
            <w:vAlign w:val="center"/>
          </w:tcPr>
          <w:p w:rsidR="00C6356D" w:rsidRPr="009C0BEE" w:rsidRDefault="00C6356D" w:rsidP="00EA2F7D">
            <w:pPr>
              <w:pStyle w:val="Header"/>
              <w:tabs>
                <w:tab w:val="left" w:pos="284"/>
              </w:tabs>
              <w:rPr>
                <w:b/>
                <w:bCs/>
                <w:sz w:val="22"/>
                <w:szCs w:val="22"/>
              </w:rPr>
            </w:pPr>
            <w:r w:rsidRPr="009C0BEE">
              <w:rPr>
                <w:b/>
                <w:bCs/>
                <w:sz w:val="22"/>
                <w:szCs w:val="22"/>
              </w:rPr>
              <w:t xml:space="preserve">1. </w:t>
            </w:r>
            <w:r w:rsidR="00EA2F7D" w:rsidRPr="009C0BEE">
              <w:rPr>
                <w:b/>
                <w:bCs/>
                <w:sz w:val="22"/>
                <w:szCs w:val="22"/>
              </w:rPr>
              <w:t>NAZIV LIJEKA</w:t>
            </w:r>
          </w:p>
        </w:tc>
      </w:tr>
      <w:tr w:rsidR="00D17F29" w:rsidRPr="009C0BEE" w:rsidTr="005E7E41">
        <w:trPr>
          <w:trHeight w:val="525"/>
        </w:trPr>
        <w:tc>
          <w:tcPr>
            <w:tcW w:w="5000" w:type="pct"/>
            <w:gridSpan w:val="4"/>
            <w:vAlign w:val="center"/>
          </w:tcPr>
          <w:p w:rsidR="004E3DA4" w:rsidRPr="009C0BEE" w:rsidRDefault="00F91C4D" w:rsidP="004E3DA4">
            <w:pPr>
              <w:pStyle w:val="Header"/>
              <w:tabs>
                <w:tab w:val="left" w:pos="284"/>
              </w:tabs>
              <w:rPr>
                <w:sz w:val="22"/>
                <w:szCs w:val="22"/>
              </w:rPr>
            </w:pPr>
            <w:r w:rsidRPr="009C0BEE">
              <w:rPr>
                <w:sz w:val="22"/>
                <w:szCs w:val="22"/>
              </w:rPr>
              <w:t>Kapecitabin</w:t>
            </w:r>
            <w:r w:rsidR="004E3DA4" w:rsidRPr="009C0BEE">
              <w:rPr>
                <w:sz w:val="22"/>
                <w:szCs w:val="22"/>
              </w:rPr>
              <w:t xml:space="preserve"> Teva </w:t>
            </w:r>
            <w:r w:rsidR="00F309BD" w:rsidRPr="009C0BEE">
              <w:rPr>
                <w:sz w:val="22"/>
                <w:szCs w:val="22"/>
              </w:rPr>
              <w:t xml:space="preserve">150 mg </w:t>
            </w:r>
            <w:r w:rsidR="004E3DA4" w:rsidRPr="009C0BEE">
              <w:rPr>
                <w:sz w:val="22"/>
                <w:szCs w:val="22"/>
              </w:rPr>
              <w:t xml:space="preserve">film tablete </w:t>
            </w:r>
          </w:p>
          <w:p w:rsidR="004E3DA4" w:rsidRPr="009C0BEE" w:rsidRDefault="004E3DA4" w:rsidP="00C6356D">
            <w:pPr>
              <w:pStyle w:val="Header"/>
              <w:tabs>
                <w:tab w:val="left" w:pos="284"/>
              </w:tabs>
              <w:rPr>
                <w:sz w:val="22"/>
                <w:szCs w:val="22"/>
              </w:rPr>
            </w:pPr>
          </w:p>
          <w:p w:rsidR="00C6356D" w:rsidRPr="009C0BEE" w:rsidRDefault="00F91C4D" w:rsidP="00C6356D">
            <w:pPr>
              <w:pStyle w:val="Header"/>
              <w:tabs>
                <w:tab w:val="left" w:pos="284"/>
              </w:tabs>
              <w:rPr>
                <w:sz w:val="22"/>
                <w:szCs w:val="22"/>
              </w:rPr>
            </w:pPr>
            <w:r w:rsidRPr="009C0BEE">
              <w:rPr>
                <w:sz w:val="22"/>
                <w:szCs w:val="22"/>
              </w:rPr>
              <w:t>Kapecitabin</w:t>
            </w:r>
            <w:r w:rsidR="004E3DA4" w:rsidRPr="009C0BEE">
              <w:rPr>
                <w:sz w:val="22"/>
                <w:szCs w:val="22"/>
              </w:rPr>
              <w:t xml:space="preserve"> Teva</w:t>
            </w:r>
            <w:r w:rsidR="00C6356D" w:rsidRPr="009C0BEE">
              <w:rPr>
                <w:sz w:val="22"/>
                <w:szCs w:val="22"/>
              </w:rPr>
              <w:t xml:space="preserve"> </w:t>
            </w:r>
            <w:r w:rsidR="00F309BD" w:rsidRPr="009C0BEE">
              <w:rPr>
                <w:sz w:val="22"/>
                <w:szCs w:val="22"/>
              </w:rPr>
              <w:t xml:space="preserve">500 mg </w:t>
            </w:r>
            <w:r w:rsidR="00C6356D" w:rsidRPr="009C0BEE">
              <w:rPr>
                <w:sz w:val="22"/>
                <w:szCs w:val="22"/>
              </w:rPr>
              <w:t xml:space="preserve">film tablete </w:t>
            </w:r>
          </w:p>
          <w:p w:rsidR="00C6356D" w:rsidRPr="009C0BEE" w:rsidRDefault="00C6356D" w:rsidP="00C6356D">
            <w:pPr>
              <w:pStyle w:val="Header"/>
              <w:tabs>
                <w:tab w:val="left" w:pos="284"/>
              </w:tabs>
              <w:rPr>
                <w:color w:val="FF0000"/>
                <w:sz w:val="22"/>
                <w:szCs w:val="22"/>
              </w:rPr>
            </w:pPr>
          </w:p>
        </w:tc>
      </w:tr>
      <w:tr w:rsidR="00D17F29" w:rsidRPr="009C0BEE" w:rsidTr="005E7E41">
        <w:tc>
          <w:tcPr>
            <w:tcW w:w="406" w:type="pct"/>
          </w:tcPr>
          <w:p w:rsidR="00C6356D" w:rsidRPr="009C0BEE" w:rsidRDefault="00C6356D" w:rsidP="00C6356D">
            <w:pPr>
              <w:pStyle w:val="Header"/>
              <w:tabs>
                <w:tab w:val="left" w:pos="284"/>
              </w:tabs>
              <w:rPr>
                <w:sz w:val="22"/>
                <w:szCs w:val="22"/>
              </w:rPr>
            </w:pPr>
            <w:r w:rsidRPr="009C0BEE">
              <w:rPr>
                <w:sz w:val="22"/>
                <w:szCs w:val="22"/>
              </w:rPr>
              <w:t>INN:</w:t>
            </w:r>
          </w:p>
        </w:tc>
        <w:tc>
          <w:tcPr>
            <w:tcW w:w="4594" w:type="pct"/>
            <w:gridSpan w:val="3"/>
            <w:vAlign w:val="center"/>
          </w:tcPr>
          <w:p w:rsidR="00C6356D" w:rsidRPr="009C0BEE" w:rsidRDefault="00C6356D" w:rsidP="00C6356D">
            <w:pPr>
              <w:pStyle w:val="Header"/>
              <w:tabs>
                <w:tab w:val="left" w:pos="284"/>
              </w:tabs>
              <w:rPr>
                <w:sz w:val="22"/>
                <w:szCs w:val="22"/>
              </w:rPr>
            </w:pPr>
            <w:r w:rsidRPr="009C0BEE">
              <w:rPr>
                <w:sz w:val="22"/>
                <w:szCs w:val="22"/>
              </w:rPr>
              <w:t>kapecitabin</w:t>
            </w:r>
          </w:p>
        </w:tc>
      </w:tr>
      <w:tr w:rsidR="00D17F29" w:rsidRPr="009C0BEE" w:rsidTr="005E7E41">
        <w:tc>
          <w:tcPr>
            <w:tcW w:w="5000" w:type="pct"/>
            <w:gridSpan w:val="4"/>
          </w:tcPr>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t>2. KVALITATIVNI I KVANTITATIVNI SASTAV</w:t>
            </w:r>
          </w:p>
        </w:tc>
      </w:tr>
      <w:tr w:rsidR="00D17F29" w:rsidRPr="009C0BEE" w:rsidTr="005E7E41">
        <w:trPr>
          <w:trHeight w:val="1145"/>
        </w:trPr>
        <w:tc>
          <w:tcPr>
            <w:tcW w:w="5000" w:type="pct"/>
            <w:gridSpan w:val="4"/>
            <w:vAlign w:val="center"/>
          </w:tcPr>
          <w:p w:rsidR="006F0D93" w:rsidRPr="009C0BEE" w:rsidRDefault="00F91C4D" w:rsidP="006F0D93">
            <w:pPr>
              <w:pStyle w:val="Header"/>
              <w:tabs>
                <w:tab w:val="left" w:pos="284"/>
              </w:tabs>
              <w:rPr>
                <w:sz w:val="22"/>
                <w:szCs w:val="22"/>
              </w:rPr>
            </w:pPr>
            <w:r w:rsidRPr="009C0BEE">
              <w:rPr>
                <w:sz w:val="22"/>
                <w:szCs w:val="22"/>
              </w:rPr>
              <w:t>Kapecitabin</w:t>
            </w:r>
            <w:r w:rsidR="006F0D93" w:rsidRPr="009C0BEE">
              <w:rPr>
                <w:sz w:val="22"/>
                <w:szCs w:val="22"/>
              </w:rPr>
              <w:t xml:space="preserve"> Teva film tablete 150 mg: </w:t>
            </w:r>
            <w:r w:rsidR="00F309BD" w:rsidRPr="009C0BEE">
              <w:rPr>
                <w:sz w:val="22"/>
                <w:szCs w:val="22"/>
              </w:rPr>
              <w:t>svaka</w:t>
            </w:r>
            <w:r w:rsidR="006F0D93" w:rsidRPr="009C0BEE">
              <w:rPr>
                <w:sz w:val="22"/>
                <w:szCs w:val="22"/>
              </w:rPr>
              <w:t xml:space="preserve"> film tableta sadrži 150 mg kapecitabina</w:t>
            </w:r>
            <w:r w:rsidR="0005116A" w:rsidRPr="009C0BEE">
              <w:rPr>
                <w:sz w:val="22"/>
                <w:szCs w:val="22"/>
              </w:rPr>
              <w:t>.</w:t>
            </w:r>
          </w:p>
          <w:p w:rsidR="006F0D93" w:rsidRPr="009C0BEE" w:rsidRDefault="006F0D93" w:rsidP="00C6356D">
            <w:pPr>
              <w:pStyle w:val="Header"/>
              <w:tabs>
                <w:tab w:val="left" w:pos="284"/>
              </w:tabs>
              <w:rPr>
                <w:sz w:val="22"/>
                <w:szCs w:val="22"/>
              </w:rPr>
            </w:pPr>
          </w:p>
          <w:p w:rsidR="00C6356D" w:rsidRPr="009C0BEE" w:rsidRDefault="00F91C4D" w:rsidP="00C6356D">
            <w:pPr>
              <w:pStyle w:val="Header"/>
              <w:tabs>
                <w:tab w:val="left" w:pos="284"/>
              </w:tabs>
              <w:rPr>
                <w:color w:val="FF0000"/>
                <w:sz w:val="22"/>
                <w:szCs w:val="22"/>
              </w:rPr>
            </w:pPr>
            <w:r w:rsidRPr="009C0BEE">
              <w:rPr>
                <w:sz w:val="22"/>
                <w:szCs w:val="22"/>
              </w:rPr>
              <w:t>Kapecitabin</w:t>
            </w:r>
            <w:r w:rsidR="006F0D93" w:rsidRPr="009C0BEE">
              <w:rPr>
                <w:sz w:val="22"/>
                <w:szCs w:val="22"/>
              </w:rPr>
              <w:t xml:space="preserve"> Teva film tablete 500 mg: </w:t>
            </w:r>
            <w:r w:rsidR="00F309BD" w:rsidRPr="009C0BEE">
              <w:rPr>
                <w:sz w:val="22"/>
                <w:szCs w:val="22"/>
              </w:rPr>
              <w:t>svaka</w:t>
            </w:r>
            <w:r w:rsidR="00C6356D" w:rsidRPr="009C0BEE">
              <w:rPr>
                <w:sz w:val="22"/>
                <w:szCs w:val="22"/>
              </w:rPr>
              <w:t xml:space="preserve"> film tableta sadrži 500 mg kapecitabina</w:t>
            </w:r>
            <w:r w:rsidR="0005116A" w:rsidRPr="009C0BEE">
              <w:rPr>
                <w:sz w:val="22"/>
                <w:szCs w:val="22"/>
              </w:rPr>
              <w:t>.</w:t>
            </w:r>
          </w:p>
          <w:p w:rsidR="00C6356D" w:rsidRPr="009C0BEE" w:rsidRDefault="00C6356D" w:rsidP="00C6356D">
            <w:pPr>
              <w:pStyle w:val="Header"/>
              <w:tabs>
                <w:tab w:val="left" w:pos="284"/>
              </w:tabs>
              <w:rPr>
                <w:color w:val="FF0000"/>
                <w:sz w:val="22"/>
                <w:szCs w:val="22"/>
              </w:rPr>
            </w:pPr>
          </w:p>
          <w:p w:rsidR="006F0D93" w:rsidRPr="009C0BEE" w:rsidRDefault="00C6356D" w:rsidP="00C6356D">
            <w:pPr>
              <w:pStyle w:val="Header"/>
              <w:tabs>
                <w:tab w:val="left" w:pos="284"/>
              </w:tabs>
              <w:rPr>
                <w:sz w:val="22"/>
                <w:szCs w:val="22"/>
              </w:rPr>
            </w:pPr>
            <w:r w:rsidRPr="009C0BEE">
              <w:rPr>
                <w:sz w:val="22"/>
                <w:szCs w:val="22"/>
              </w:rPr>
              <w:t>Pomoćne materije</w:t>
            </w:r>
            <w:r w:rsidR="00F309BD" w:rsidRPr="009C0BEE">
              <w:rPr>
                <w:sz w:val="22"/>
                <w:szCs w:val="22"/>
              </w:rPr>
              <w:t xml:space="preserve"> sa potvrđenim dejstvom</w:t>
            </w:r>
            <w:r w:rsidRPr="009C0BEE">
              <w:rPr>
                <w:sz w:val="22"/>
                <w:szCs w:val="22"/>
              </w:rPr>
              <w:t xml:space="preserve">: </w:t>
            </w:r>
          </w:p>
          <w:p w:rsidR="006F0D93" w:rsidRPr="009C0BEE" w:rsidRDefault="006F0D93" w:rsidP="00C6356D">
            <w:pPr>
              <w:pStyle w:val="Header"/>
              <w:tabs>
                <w:tab w:val="left" w:pos="284"/>
              </w:tabs>
              <w:rPr>
                <w:color w:val="FF0000"/>
                <w:sz w:val="22"/>
                <w:szCs w:val="22"/>
              </w:rPr>
            </w:pPr>
          </w:p>
          <w:p w:rsidR="006F0D93" w:rsidRPr="009C0BEE" w:rsidRDefault="00F91C4D" w:rsidP="006F0D93">
            <w:pPr>
              <w:pStyle w:val="Header"/>
              <w:tabs>
                <w:tab w:val="left" w:pos="284"/>
              </w:tabs>
              <w:rPr>
                <w:sz w:val="22"/>
                <w:szCs w:val="22"/>
              </w:rPr>
            </w:pPr>
            <w:r w:rsidRPr="009C0BEE">
              <w:rPr>
                <w:sz w:val="22"/>
                <w:szCs w:val="22"/>
              </w:rPr>
              <w:t>Kapecitabin</w:t>
            </w:r>
            <w:r w:rsidR="006F0D93" w:rsidRPr="009C0BEE">
              <w:rPr>
                <w:sz w:val="22"/>
                <w:szCs w:val="22"/>
              </w:rPr>
              <w:t xml:space="preserve"> Teva film tablete 150 mg: </w:t>
            </w:r>
            <w:r w:rsidR="006B7240" w:rsidRPr="009C0BEE">
              <w:rPr>
                <w:sz w:val="22"/>
                <w:szCs w:val="22"/>
              </w:rPr>
              <w:t>svaka</w:t>
            </w:r>
            <w:r w:rsidR="006F0D93" w:rsidRPr="009C0BEE">
              <w:rPr>
                <w:sz w:val="22"/>
                <w:szCs w:val="22"/>
              </w:rPr>
              <w:t xml:space="preserve"> film tableta sadrži 15.60 mg laktoze</w:t>
            </w:r>
          </w:p>
          <w:p w:rsidR="006F0D93" w:rsidRPr="009C0BEE" w:rsidRDefault="006F0D93" w:rsidP="006F0D93">
            <w:pPr>
              <w:pStyle w:val="Header"/>
              <w:tabs>
                <w:tab w:val="left" w:pos="284"/>
              </w:tabs>
              <w:rPr>
                <w:sz w:val="22"/>
                <w:szCs w:val="22"/>
              </w:rPr>
            </w:pPr>
          </w:p>
          <w:p w:rsidR="006F0D93" w:rsidRPr="009C0BEE" w:rsidRDefault="00F91C4D" w:rsidP="006F0D93">
            <w:pPr>
              <w:pStyle w:val="Header"/>
              <w:tabs>
                <w:tab w:val="left" w:pos="284"/>
              </w:tabs>
              <w:rPr>
                <w:color w:val="FF0000"/>
                <w:sz w:val="22"/>
                <w:szCs w:val="22"/>
              </w:rPr>
            </w:pPr>
            <w:r w:rsidRPr="009C0BEE">
              <w:rPr>
                <w:sz w:val="22"/>
                <w:szCs w:val="22"/>
              </w:rPr>
              <w:t>Kapecitabin</w:t>
            </w:r>
            <w:r w:rsidR="006F0D93" w:rsidRPr="009C0BEE">
              <w:rPr>
                <w:sz w:val="22"/>
                <w:szCs w:val="22"/>
              </w:rPr>
              <w:t xml:space="preserve"> Teva film tablete 500 mg: </w:t>
            </w:r>
            <w:r w:rsidR="006B7240" w:rsidRPr="009C0BEE">
              <w:rPr>
                <w:sz w:val="22"/>
                <w:szCs w:val="22"/>
              </w:rPr>
              <w:t>svaka</w:t>
            </w:r>
            <w:r w:rsidR="006F0D93" w:rsidRPr="009C0BEE">
              <w:rPr>
                <w:sz w:val="22"/>
                <w:szCs w:val="22"/>
              </w:rPr>
              <w:t xml:space="preserve"> film tableta sadrži 52.00 mg laktoze</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rPr>
            </w:pPr>
            <w:r w:rsidRPr="009C0BEE">
              <w:rPr>
                <w:sz w:val="22"/>
                <w:szCs w:val="22"/>
              </w:rPr>
              <w:t>Za kompletnu listu pomoćnih supstanci vidjeti dio 6.1</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rPr>
                <w:b/>
                <w:bCs/>
                <w:color w:val="FF0000"/>
                <w:sz w:val="22"/>
                <w:szCs w:val="22"/>
              </w:rPr>
            </w:pP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t>3. FARMACEUTSKI OBLIK</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rPr>
            </w:pPr>
            <w:r w:rsidRPr="009C0BEE">
              <w:rPr>
                <w:sz w:val="22"/>
                <w:szCs w:val="22"/>
              </w:rPr>
              <w:t xml:space="preserve">Film </w:t>
            </w:r>
            <w:r w:rsidR="0067404C" w:rsidRPr="009C0BEE">
              <w:rPr>
                <w:sz w:val="22"/>
                <w:szCs w:val="22"/>
              </w:rPr>
              <w:t>tableta</w:t>
            </w:r>
            <w:r w:rsidRPr="009C0BEE">
              <w:rPr>
                <w:sz w:val="22"/>
                <w:szCs w:val="22"/>
              </w:rPr>
              <w:t>.</w:t>
            </w:r>
          </w:p>
          <w:p w:rsidR="004E3B8E" w:rsidRPr="009C0BEE" w:rsidRDefault="004E3B8E" w:rsidP="00C6356D">
            <w:pPr>
              <w:pStyle w:val="Header"/>
              <w:tabs>
                <w:tab w:val="left" w:pos="284"/>
              </w:tabs>
              <w:rPr>
                <w:color w:val="FF0000"/>
                <w:sz w:val="22"/>
                <w:szCs w:val="22"/>
              </w:rPr>
            </w:pPr>
          </w:p>
          <w:p w:rsidR="004057D2" w:rsidRPr="009C0BEE" w:rsidRDefault="00F91C4D" w:rsidP="006478B4">
            <w:pPr>
              <w:pStyle w:val="Header"/>
              <w:tabs>
                <w:tab w:val="left" w:pos="284"/>
              </w:tabs>
              <w:jc w:val="both"/>
              <w:rPr>
                <w:sz w:val="22"/>
                <w:szCs w:val="22"/>
              </w:rPr>
            </w:pPr>
            <w:r w:rsidRPr="009C0BEE">
              <w:rPr>
                <w:sz w:val="22"/>
                <w:szCs w:val="22"/>
              </w:rPr>
              <w:t>Kapecitabin</w:t>
            </w:r>
            <w:r w:rsidR="00536246" w:rsidRPr="009C0BEE">
              <w:rPr>
                <w:sz w:val="22"/>
                <w:szCs w:val="22"/>
              </w:rPr>
              <w:t xml:space="preserve"> Teva </w:t>
            </w:r>
            <w:r w:rsidR="0067404C" w:rsidRPr="009C0BEE">
              <w:rPr>
                <w:sz w:val="22"/>
                <w:szCs w:val="22"/>
              </w:rPr>
              <w:t xml:space="preserve">film tablete </w:t>
            </w:r>
            <w:r w:rsidR="00F24371" w:rsidRPr="009C0BEE">
              <w:rPr>
                <w:sz w:val="22"/>
                <w:szCs w:val="22"/>
              </w:rPr>
              <w:t xml:space="preserve">150 mg </w:t>
            </w:r>
            <w:r w:rsidR="00536246" w:rsidRPr="009C0BEE">
              <w:rPr>
                <w:sz w:val="22"/>
                <w:szCs w:val="22"/>
              </w:rPr>
              <w:t xml:space="preserve">su </w:t>
            </w:r>
            <w:r w:rsidR="0067404C" w:rsidRPr="009C0BEE">
              <w:rPr>
                <w:sz w:val="22"/>
                <w:szCs w:val="22"/>
              </w:rPr>
              <w:t xml:space="preserve">duguljaste, </w:t>
            </w:r>
            <w:r w:rsidR="00536246" w:rsidRPr="009C0BEE">
              <w:rPr>
                <w:sz w:val="22"/>
                <w:szCs w:val="22"/>
              </w:rPr>
              <w:t>bikonveksne</w:t>
            </w:r>
            <w:r w:rsidR="0067404C" w:rsidRPr="009C0BEE">
              <w:rPr>
                <w:sz w:val="22"/>
                <w:szCs w:val="22"/>
              </w:rPr>
              <w:t>, svijetle boje breskve,</w:t>
            </w:r>
            <w:r w:rsidR="00536246" w:rsidRPr="009C0BEE">
              <w:rPr>
                <w:sz w:val="22"/>
                <w:szCs w:val="22"/>
              </w:rPr>
              <w:t xml:space="preserve"> 11.5 mm x 5.4 mm </w:t>
            </w:r>
            <w:r w:rsidR="0067404C" w:rsidRPr="009C0BEE">
              <w:rPr>
                <w:sz w:val="22"/>
                <w:szCs w:val="22"/>
              </w:rPr>
              <w:t>sa oznak</w:t>
            </w:r>
            <w:r w:rsidR="004057D2" w:rsidRPr="009C0BEE">
              <w:rPr>
                <w:sz w:val="22"/>
                <w:szCs w:val="22"/>
              </w:rPr>
              <w:t>om</w:t>
            </w:r>
            <w:r w:rsidR="00536246" w:rsidRPr="009C0BEE">
              <w:rPr>
                <w:sz w:val="22"/>
                <w:szCs w:val="22"/>
              </w:rPr>
              <w:t xml:space="preserve"> “C” </w:t>
            </w:r>
            <w:r w:rsidR="006478B4" w:rsidRPr="009C0BEE">
              <w:rPr>
                <w:sz w:val="22"/>
                <w:szCs w:val="22"/>
              </w:rPr>
              <w:t>na jednoj</w:t>
            </w:r>
            <w:r w:rsidR="004057D2" w:rsidRPr="009C0BEE">
              <w:rPr>
                <w:sz w:val="22"/>
                <w:szCs w:val="22"/>
              </w:rPr>
              <w:t xml:space="preserve"> stran</w:t>
            </w:r>
            <w:r w:rsidR="00976EA6" w:rsidRPr="009C0BEE">
              <w:rPr>
                <w:sz w:val="22"/>
                <w:szCs w:val="22"/>
              </w:rPr>
              <w:t>i</w:t>
            </w:r>
            <w:r w:rsidR="004057D2" w:rsidRPr="009C0BEE">
              <w:rPr>
                <w:sz w:val="22"/>
                <w:szCs w:val="22"/>
              </w:rPr>
              <w:t xml:space="preserve"> i </w:t>
            </w:r>
            <w:r w:rsidR="00536246" w:rsidRPr="009C0BEE">
              <w:rPr>
                <w:sz w:val="22"/>
                <w:szCs w:val="22"/>
              </w:rPr>
              <w:t xml:space="preserve"> “150”</w:t>
            </w:r>
            <w:r w:rsidR="0067404C" w:rsidRPr="009C0BEE">
              <w:rPr>
                <w:sz w:val="22"/>
                <w:szCs w:val="22"/>
              </w:rPr>
              <w:t xml:space="preserve"> n</w:t>
            </w:r>
            <w:r w:rsidR="004057D2" w:rsidRPr="009C0BEE">
              <w:rPr>
                <w:sz w:val="22"/>
                <w:szCs w:val="22"/>
              </w:rPr>
              <w:t>a drug</w:t>
            </w:r>
            <w:r w:rsidR="0067404C" w:rsidRPr="009C0BEE">
              <w:rPr>
                <w:sz w:val="22"/>
                <w:szCs w:val="22"/>
              </w:rPr>
              <w:t>oj strani</w:t>
            </w:r>
            <w:r w:rsidR="004057D2" w:rsidRPr="009C0BEE">
              <w:rPr>
                <w:sz w:val="22"/>
                <w:szCs w:val="22"/>
              </w:rPr>
              <w:t>.</w:t>
            </w:r>
          </w:p>
          <w:p w:rsidR="00536246" w:rsidRPr="009C0BEE" w:rsidRDefault="00536246" w:rsidP="00536246">
            <w:pPr>
              <w:pStyle w:val="Header"/>
              <w:tabs>
                <w:tab w:val="left" w:pos="284"/>
              </w:tabs>
              <w:rPr>
                <w:sz w:val="22"/>
                <w:szCs w:val="22"/>
              </w:rPr>
            </w:pPr>
          </w:p>
          <w:p w:rsidR="00C6356D" w:rsidRPr="009C0BEE" w:rsidRDefault="00F91C4D" w:rsidP="006478B4">
            <w:pPr>
              <w:pStyle w:val="Header"/>
              <w:tabs>
                <w:tab w:val="left" w:pos="284"/>
              </w:tabs>
              <w:jc w:val="both"/>
              <w:rPr>
                <w:sz w:val="22"/>
                <w:szCs w:val="22"/>
              </w:rPr>
            </w:pPr>
            <w:r w:rsidRPr="009C0BEE">
              <w:rPr>
                <w:sz w:val="22"/>
                <w:szCs w:val="22"/>
              </w:rPr>
              <w:t>Kapecitabin</w:t>
            </w:r>
            <w:r w:rsidR="000507C9" w:rsidRPr="009C0BEE">
              <w:rPr>
                <w:sz w:val="22"/>
                <w:szCs w:val="22"/>
              </w:rPr>
              <w:t xml:space="preserve"> Teva </w:t>
            </w:r>
            <w:r w:rsidR="006478B4" w:rsidRPr="009C0BEE">
              <w:rPr>
                <w:sz w:val="22"/>
                <w:szCs w:val="22"/>
              </w:rPr>
              <w:t xml:space="preserve">film tablete </w:t>
            </w:r>
            <w:r w:rsidR="00F24371" w:rsidRPr="009C0BEE">
              <w:rPr>
                <w:sz w:val="22"/>
                <w:szCs w:val="22"/>
              </w:rPr>
              <w:t xml:space="preserve">500 mg </w:t>
            </w:r>
            <w:r w:rsidR="000507C9" w:rsidRPr="009C0BEE">
              <w:rPr>
                <w:sz w:val="22"/>
                <w:szCs w:val="22"/>
              </w:rPr>
              <w:t xml:space="preserve">su </w:t>
            </w:r>
            <w:r w:rsidR="006478B4" w:rsidRPr="009C0BEE">
              <w:rPr>
                <w:sz w:val="22"/>
                <w:szCs w:val="22"/>
              </w:rPr>
              <w:t>su duguljaste, bikonveksne, svijetle boje breskve</w:t>
            </w:r>
            <w:r w:rsidR="000507C9" w:rsidRPr="009C0BEE">
              <w:rPr>
                <w:sz w:val="22"/>
                <w:szCs w:val="22"/>
              </w:rPr>
              <w:t xml:space="preserve">, 16.0 mm x 8.5 mm </w:t>
            </w:r>
            <w:r w:rsidR="006478B4" w:rsidRPr="009C0BEE">
              <w:rPr>
                <w:sz w:val="22"/>
                <w:szCs w:val="22"/>
              </w:rPr>
              <w:t>sa oznak</w:t>
            </w:r>
            <w:r w:rsidR="000507C9" w:rsidRPr="009C0BEE">
              <w:rPr>
                <w:sz w:val="22"/>
                <w:szCs w:val="22"/>
              </w:rPr>
              <w:t xml:space="preserve">om “C” </w:t>
            </w:r>
            <w:r w:rsidR="006478B4" w:rsidRPr="009C0BEE">
              <w:rPr>
                <w:sz w:val="22"/>
                <w:szCs w:val="22"/>
              </w:rPr>
              <w:t>na jednoj</w:t>
            </w:r>
            <w:r w:rsidR="000507C9" w:rsidRPr="009C0BEE">
              <w:rPr>
                <w:sz w:val="22"/>
                <w:szCs w:val="22"/>
              </w:rPr>
              <w:t xml:space="preserve"> strane i “500”</w:t>
            </w:r>
            <w:r w:rsidR="006478B4" w:rsidRPr="009C0BEE">
              <w:rPr>
                <w:sz w:val="22"/>
                <w:szCs w:val="22"/>
              </w:rPr>
              <w:t xml:space="preserve"> n</w:t>
            </w:r>
            <w:r w:rsidR="000507C9" w:rsidRPr="009C0BEE">
              <w:rPr>
                <w:sz w:val="22"/>
                <w:szCs w:val="22"/>
              </w:rPr>
              <w:t>a drug</w:t>
            </w:r>
            <w:r w:rsidR="006478B4" w:rsidRPr="009C0BEE">
              <w:rPr>
                <w:sz w:val="22"/>
                <w:szCs w:val="22"/>
              </w:rPr>
              <w:t>oj strani</w:t>
            </w:r>
            <w:r w:rsidR="000507C9" w:rsidRPr="009C0BEE">
              <w:rPr>
                <w:sz w:val="22"/>
                <w:szCs w:val="22"/>
              </w:rPr>
              <w:t>.</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rPr>
                <w:b/>
                <w:bCs/>
                <w:color w:val="FF0000"/>
                <w:sz w:val="22"/>
                <w:szCs w:val="22"/>
              </w:rPr>
            </w:pP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t>4. KLINIČKI PODACI</w:t>
            </w:r>
          </w:p>
        </w:tc>
      </w:tr>
      <w:tr w:rsidR="00D17F29" w:rsidRPr="009C0BEE" w:rsidTr="005E7E41">
        <w:tc>
          <w:tcPr>
            <w:tcW w:w="5000" w:type="pct"/>
            <w:gridSpan w:val="4"/>
            <w:vAlign w:val="center"/>
          </w:tcPr>
          <w:p w:rsidR="005819E6" w:rsidRPr="009C0BEE" w:rsidRDefault="005819E6" w:rsidP="00C6356D">
            <w:pPr>
              <w:pStyle w:val="Header"/>
              <w:tabs>
                <w:tab w:val="left" w:pos="284"/>
              </w:tabs>
              <w:spacing w:before="80" w:after="80"/>
              <w:rPr>
                <w:b/>
                <w:bCs/>
                <w:sz w:val="22"/>
                <w:szCs w:val="22"/>
              </w:rPr>
            </w:pPr>
          </w:p>
          <w:p w:rsidR="00C6356D" w:rsidRPr="009C0BEE" w:rsidRDefault="00C6356D" w:rsidP="00C6356D">
            <w:pPr>
              <w:pStyle w:val="Header"/>
              <w:tabs>
                <w:tab w:val="left" w:pos="284"/>
              </w:tabs>
              <w:spacing w:before="80" w:after="80"/>
              <w:rPr>
                <w:b/>
                <w:bCs/>
                <w:sz w:val="22"/>
                <w:szCs w:val="22"/>
              </w:rPr>
            </w:pPr>
            <w:r w:rsidRPr="009C0BEE">
              <w:rPr>
                <w:b/>
                <w:bCs/>
                <w:sz w:val="22"/>
                <w:szCs w:val="22"/>
              </w:rPr>
              <w:t>4.1. Terapijske indikacije</w:t>
            </w:r>
          </w:p>
        </w:tc>
      </w:tr>
      <w:tr w:rsidR="00D17F29" w:rsidRPr="009C0BEE" w:rsidTr="005E7E41">
        <w:trPr>
          <w:trHeight w:val="360"/>
        </w:trPr>
        <w:tc>
          <w:tcPr>
            <w:tcW w:w="5000" w:type="pct"/>
            <w:gridSpan w:val="4"/>
            <w:vAlign w:val="center"/>
          </w:tcPr>
          <w:p w:rsidR="005819E6" w:rsidRPr="009C0BEE" w:rsidRDefault="005819E6" w:rsidP="00B87C49">
            <w:pPr>
              <w:pStyle w:val="Header"/>
              <w:tabs>
                <w:tab w:val="left" w:pos="284"/>
              </w:tabs>
              <w:jc w:val="both"/>
              <w:rPr>
                <w:sz w:val="22"/>
                <w:szCs w:val="22"/>
              </w:rPr>
            </w:pPr>
          </w:p>
          <w:p w:rsidR="00C6356D" w:rsidRPr="009C0BEE" w:rsidRDefault="00F91C4D" w:rsidP="00B87C49">
            <w:pPr>
              <w:pStyle w:val="Header"/>
              <w:tabs>
                <w:tab w:val="left" w:pos="284"/>
              </w:tabs>
              <w:jc w:val="both"/>
              <w:rPr>
                <w:sz w:val="22"/>
                <w:szCs w:val="22"/>
              </w:rPr>
            </w:pPr>
            <w:r w:rsidRPr="009C0BEE">
              <w:rPr>
                <w:sz w:val="22"/>
                <w:szCs w:val="22"/>
              </w:rPr>
              <w:t>Kapecitabin</w:t>
            </w:r>
            <w:r w:rsidR="004E3DA4" w:rsidRPr="009C0BEE">
              <w:rPr>
                <w:sz w:val="22"/>
                <w:szCs w:val="22"/>
              </w:rPr>
              <w:t xml:space="preserve"> Teva</w:t>
            </w:r>
            <w:r w:rsidR="004E3B8E" w:rsidRPr="009C0BEE">
              <w:rPr>
                <w:sz w:val="22"/>
                <w:szCs w:val="22"/>
              </w:rPr>
              <w:t xml:space="preserve"> je indikovan</w:t>
            </w:r>
            <w:r w:rsidR="00B87C49" w:rsidRPr="009C0BEE">
              <w:rPr>
                <w:sz w:val="22"/>
                <w:szCs w:val="22"/>
              </w:rPr>
              <w:t xml:space="preserve"> za adjuvantno liječenje</w:t>
            </w:r>
            <w:r w:rsidR="00C6356D" w:rsidRPr="009C0BEE">
              <w:rPr>
                <w:sz w:val="22"/>
                <w:szCs w:val="22"/>
              </w:rPr>
              <w:t xml:space="preserve"> pacijenata nakon operacije </w:t>
            </w:r>
            <w:r w:rsidR="00B87C49" w:rsidRPr="009C0BEE">
              <w:rPr>
                <w:sz w:val="22"/>
                <w:szCs w:val="22"/>
              </w:rPr>
              <w:t xml:space="preserve">karcinoma kolona </w:t>
            </w:r>
            <w:r w:rsidR="00C6356D" w:rsidRPr="009C0BEE">
              <w:rPr>
                <w:sz w:val="22"/>
                <w:szCs w:val="22"/>
              </w:rPr>
              <w:t>stadijuma III (Djuksov stadijum C) (vid</w:t>
            </w:r>
            <w:r w:rsidR="005819E6" w:rsidRPr="009C0BEE">
              <w:rPr>
                <w:sz w:val="22"/>
                <w:szCs w:val="22"/>
              </w:rPr>
              <w:t>j</w:t>
            </w:r>
            <w:r w:rsidR="00C6356D" w:rsidRPr="009C0BEE">
              <w:rPr>
                <w:sz w:val="22"/>
                <w:szCs w:val="22"/>
              </w:rPr>
              <w:t>eti od</w:t>
            </w:r>
            <w:r w:rsidR="00B87C49" w:rsidRPr="009C0BEE">
              <w:rPr>
                <w:sz w:val="22"/>
                <w:szCs w:val="22"/>
              </w:rPr>
              <w:t>j</w:t>
            </w:r>
            <w:r w:rsidR="00C6356D" w:rsidRPr="009C0BEE">
              <w:rPr>
                <w:sz w:val="22"/>
                <w:szCs w:val="22"/>
              </w:rPr>
              <w:t xml:space="preserve">eljak 5.1).  </w:t>
            </w:r>
          </w:p>
          <w:p w:rsidR="00C6356D" w:rsidRPr="009C0BEE" w:rsidRDefault="00C6356D" w:rsidP="00C6356D">
            <w:pPr>
              <w:pStyle w:val="Header"/>
              <w:tabs>
                <w:tab w:val="left" w:pos="284"/>
              </w:tabs>
              <w:rPr>
                <w:color w:val="FF0000"/>
                <w:sz w:val="22"/>
                <w:szCs w:val="22"/>
              </w:rPr>
            </w:pPr>
          </w:p>
          <w:p w:rsidR="00C6356D" w:rsidRPr="009C0BEE" w:rsidRDefault="00F91C4D" w:rsidP="00245855">
            <w:pPr>
              <w:pStyle w:val="Header"/>
              <w:tabs>
                <w:tab w:val="left" w:pos="284"/>
              </w:tabs>
              <w:jc w:val="both"/>
              <w:rPr>
                <w:sz w:val="22"/>
                <w:szCs w:val="22"/>
              </w:rPr>
            </w:pPr>
            <w:r w:rsidRPr="009C0BEE">
              <w:rPr>
                <w:sz w:val="22"/>
                <w:szCs w:val="22"/>
              </w:rPr>
              <w:t>Kapecitabin</w:t>
            </w:r>
            <w:r w:rsidR="004E3DA4" w:rsidRPr="009C0BEE">
              <w:rPr>
                <w:sz w:val="22"/>
                <w:szCs w:val="22"/>
              </w:rPr>
              <w:t xml:space="preserve"> Teva</w:t>
            </w:r>
            <w:r w:rsidR="004E3B8E" w:rsidRPr="009C0BEE">
              <w:rPr>
                <w:sz w:val="22"/>
                <w:szCs w:val="22"/>
              </w:rPr>
              <w:t xml:space="preserve"> je indikovan</w:t>
            </w:r>
            <w:r w:rsidR="00C6356D" w:rsidRPr="009C0BEE">
              <w:rPr>
                <w:sz w:val="22"/>
                <w:szCs w:val="22"/>
              </w:rPr>
              <w:t xml:space="preserve"> za </w:t>
            </w:r>
            <w:r w:rsidR="00245855" w:rsidRPr="009C0BEE">
              <w:rPr>
                <w:sz w:val="22"/>
                <w:szCs w:val="22"/>
              </w:rPr>
              <w:t>liječenje</w:t>
            </w:r>
            <w:r w:rsidR="00C6356D" w:rsidRPr="009C0BEE">
              <w:rPr>
                <w:sz w:val="22"/>
                <w:szCs w:val="22"/>
              </w:rPr>
              <w:t xml:space="preserve"> metastatskog kolorektalnog karcinoma (vidjeti odjeljak 5.1).  </w:t>
            </w:r>
          </w:p>
          <w:p w:rsidR="00C6356D" w:rsidRPr="009C0BEE" w:rsidRDefault="00C6356D" w:rsidP="00C6356D">
            <w:pPr>
              <w:pStyle w:val="Header"/>
              <w:tabs>
                <w:tab w:val="left" w:pos="284"/>
              </w:tabs>
              <w:rPr>
                <w:color w:val="FF0000"/>
                <w:sz w:val="22"/>
                <w:szCs w:val="22"/>
              </w:rPr>
            </w:pPr>
          </w:p>
          <w:p w:rsidR="00C6356D" w:rsidRPr="009C0BEE" w:rsidRDefault="00F91C4D" w:rsidP="00245855">
            <w:pPr>
              <w:pStyle w:val="Header"/>
              <w:tabs>
                <w:tab w:val="left" w:pos="284"/>
              </w:tabs>
              <w:jc w:val="both"/>
              <w:rPr>
                <w:sz w:val="22"/>
                <w:szCs w:val="22"/>
              </w:rPr>
            </w:pPr>
            <w:r w:rsidRPr="009C0BEE">
              <w:rPr>
                <w:sz w:val="22"/>
                <w:szCs w:val="22"/>
              </w:rPr>
              <w:t>Kapecitabin</w:t>
            </w:r>
            <w:r w:rsidR="004E3DA4" w:rsidRPr="009C0BEE">
              <w:rPr>
                <w:sz w:val="22"/>
                <w:szCs w:val="22"/>
              </w:rPr>
              <w:t xml:space="preserve"> Teva</w:t>
            </w:r>
            <w:r w:rsidR="004E3B8E" w:rsidRPr="009C0BEE">
              <w:rPr>
                <w:sz w:val="22"/>
                <w:szCs w:val="22"/>
              </w:rPr>
              <w:t xml:space="preserve"> je indikovan</w:t>
            </w:r>
            <w:r w:rsidR="00245855" w:rsidRPr="009C0BEE">
              <w:rPr>
                <w:sz w:val="22"/>
                <w:szCs w:val="22"/>
              </w:rPr>
              <w:t xml:space="preserve"> u prvoj liniji liječenja</w:t>
            </w:r>
            <w:r w:rsidR="00C6356D" w:rsidRPr="009C0BEE">
              <w:rPr>
                <w:sz w:val="22"/>
                <w:szCs w:val="22"/>
              </w:rPr>
              <w:t xml:space="preserve"> uznapredovalog karcinoma želuca u kombinaciji sa terapijskim režimima na bazi platine (vidjeti odjeljak 5.1).</w:t>
            </w:r>
          </w:p>
          <w:p w:rsidR="00C6356D" w:rsidRPr="009C0BEE" w:rsidRDefault="00C6356D" w:rsidP="00C6356D">
            <w:pPr>
              <w:pStyle w:val="Header"/>
              <w:tabs>
                <w:tab w:val="left" w:pos="284"/>
              </w:tabs>
              <w:rPr>
                <w:color w:val="FF0000"/>
                <w:sz w:val="22"/>
                <w:szCs w:val="22"/>
              </w:rPr>
            </w:pPr>
          </w:p>
          <w:p w:rsidR="00C6356D" w:rsidRPr="009C0BEE" w:rsidRDefault="00F91C4D" w:rsidP="00082DDF">
            <w:pPr>
              <w:pStyle w:val="Header"/>
              <w:tabs>
                <w:tab w:val="left" w:pos="284"/>
              </w:tabs>
              <w:jc w:val="both"/>
              <w:rPr>
                <w:sz w:val="22"/>
                <w:szCs w:val="22"/>
              </w:rPr>
            </w:pPr>
            <w:r w:rsidRPr="009C0BEE">
              <w:rPr>
                <w:sz w:val="22"/>
                <w:szCs w:val="22"/>
              </w:rPr>
              <w:t>Kapecitabin</w:t>
            </w:r>
            <w:r w:rsidR="004E3DA4" w:rsidRPr="009C0BEE">
              <w:rPr>
                <w:sz w:val="22"/>
                <w:szCs w:val="22"/>
              </w:rPr>
              <w:t xml:space="preserve"> Teva</w:t>
            </w:r>
            <w:r w:rsidR="00C6356D" w:rsidRPr="009C0BEE">
              <w:rPr>
                <w:sz w:val="22"/>
                <w:szCs w:val="22"/>
              </w:rPr>
              <w:t xml:space="preserve"> u kombinaciji sa docetakselom (vidjeti od</w:t>
            </w:r>
            <w:r w:rsidR="009E50B3" w:rsidRPr="009C0BEE">
              <w:rPr>
                <w:sz w:val="22"/>
                <w:szCs w:val="22"/>
              </w:rPr>
              <w:t>j</w:t>
            </w:r>
            <w:r w:rsidR="00C6356D" w:rsidRPr="009C0BEE">
              <w:rPr>
                <w:sz w:val="22"/>
                <w:szCs w:val="22"/>
              </w:rPr>
              <w:t>eljak 5.1) je indikovan za terapiju pacijenata sa lokalno uznapredovalim ili metastatskim karcinomom dojke n</w:t>
            </w:r>
            <w:r w:rsidR="009E50B3" w:rsidRPr="009C0BEE">
              <w:rPr>
                <w:sz w:val="22"/>
                <w:szCs w:val="22"/>
              </w:rPr>
              <w:t>akon neuspjeha citotoksične hem</w:t>
            </w:r>
            <w:r w:rsidR="00C6356D" w:rsidRPr="009C0BEE">
              <w:rPr>
                <w:sz w:val="22"/>
                <w:szCs w:val="22"/>
              </w:rPr>
              <w:t xml:space="preserve">oterapije. Prethodna terapija bi trebalo da je uključila antraciklin. </w:t>
            </w:r>
            <w:r w:rsidRPr="009C0BEE">
              <w:rPr>
                <w:sz w:val="22"/>
                <w:szCs w:val="22"/>
              </w:rPr>
              <w:t>Kapecitabin</w:t>
            </w:r>
            <w:r w:rsidR="004E3DA4" w:rsidRPr="009C0BEE">
              <w:rPr>
                <w:sz w:val="22"/>
                <w:szCs w:val="22"/>
              </w:rPr>
              <w:t xml:space="preserve"> Teva</w:t>
            </w:r>
            <w:r w:rsidR="00C6356D" w:rsidRPr="009C0BEE">
              <w:rPr>
                <w:sz w:val="22"/>
                <w:szCs w:val="22"/>
              </w:rPr>
              <w:t xml:space="preserve"> je tako</w:t>
            </w:r>
            <w:r w:rsidR="009E50B3" w:rsidRPr="009C0BEE">
              <w:rPr>
                <w:sz w:val="22"/>
                <w:szCs w:val="22"/>
              </w:rPr>
              <w:t xml:space="preserve">đe indikovan kao </w:t>
            </w:r>
            <w:r w:rsidR="009E50B3" w:rsidRPr="009C0BEE">
              <w:rPr>
                <w:sz w:val="22"/>
                <w:szCs w:val="22"/>
              </w:rPr>
              <w:lastRenderedPageBreak/>
              <w:t>monoterapija u liječenju</w:t>
            </w:r>
            <w:r w:rsidR="00C6356D" w:rsidRPr="009C0BEE">
              <w:rPr>
                <w:sz w:val="22"/>
                <w:szCs w:val="22"/>
              </w:rPr>
              <w:t xml:space="preserve"> pacijenata sa lokalno uznapredovalim ili metastatskim karcinomom dojke nakon neuspjeha </w:t>
            </w:r>
            <w:r w:rsidR="009E50B3" w:rsidRPr="009C0BEE">
              <w:rPr>
                <w:sz w:val="22"/>
                <w:szCs w:val="22"/>
              </w:rPr>
              <w:t xml:space="preserve">hemoterapijskog liječenja kombinacijom </w:t>
            </w:r>
            <w:r w:rsidR="00C6356D" w:rsidRPr="009C0BEE">
              <w:rPr>
                <w:sz w:val="22"/>
                <w:szCs w:val="22"/>
              </w:rPr>
              <w:t xml:space="preserve">taksana i </w:t>
            </w:r>
            <w:r w:rsidR="009E50B3" w:rsidRPr="009C0BEE">
              <w:rPr>
                <w:sz w:val="22"/>
                <w:szCs w:val="22"/>
              </w:rPr>
              <w:t xml:space="preserve">antraciklina ili u slučajevima u kojima </w:t>
            </w:r>
            <w:r w:rsidR="00C6356D" w:rsidRPr="009C0BEE">
              <w:rPr>
                <w:sz w:val="22"/>
                <w:szCs w:val="22"/>
              </w:rPr>
              <w:t xml:space="preserve">dalja terapija </w:t>
            </w:r>
            <w:r w:rsidR="00841A24" w:rsidRPr="009C0BEE">
              <w:rPr>
                <w:sz w:val="22"/>
                <w:szCs w:val="22"/>
              </w:rPr>
              <w:t>ant</w:t>
            </w:r>
            <w:r w:rsidR="009E50B3" w:rsidRPr="009C0BEE">
              <w:rPr>
                <w:sz w:val="22"/>
                <w:szCs w:val="22"/>
              </w:rPr>
              <w:t>raciklini</w:t>
            </w:r>
            <w:r w:rsidR="00C6356D" w:rsidRPr="009C0BEE">
              <w:rPr>
                <w:sz w:val="22"/>
                <w:szCs w:val="22"/>
              </w:rPr>
              <w:t>m</w:t>
            </w:r>
            <w:r w:rsidR="009E50B3" w:rsidRPr="009C0BEE">
              <w:rPr>
                <w:sz w:val="22"/>
                <w:szCs w:val="22"/>
              </w:rPr>
              <w:t>a</w:t>
            </w:r>
            <w:r w:rsidR="00C6356D" w:rsidRPr="009C0BEE">
              <w:rPr>
                <w:sz w:val="22"/>
                <w:szCs w:val="22"/>
              </w:rPr>
              <w:t xml:space="preserve"> nije indikovana.   </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lastRenderedPageBreak/>
              <w:t>4.2. Doziranje i način primjene</w:t>
            </w:r>
          </w:p>
        </w:tc>
      </w:tr>
      <w:tr w:rsidR="00D17F29" w:rsidRPr="009C0BEE" w:rsidTr="005E7E41">
        <w:trPr>
          <w:trHeight w:val="1145"/>
        </w:trPr>
        <w:tc>
          <w:tcPr>
            <w:tcW w:w="5000" w:type="pct"/>
            <w:gridSpan w:val="4"/>
            <w:vAlign w:val="center"/>
          </w:tcPr>
          <w:p w:rsidR="00C6356D" w:rsidRPr="009C0BEE" w:rsidRDefault="00C6356D" w:rsidP="00C6356D">
            <w:pPr>
              <w:rPr>
                <w:color w:val="FF0000"/>
                <w:sz w:val="22"/>
                <w:szCs w:val="22"/>
              </w:rPr>
            </w:pPr>
          </w:p>
          <w:p w:rsidR="00C6356D" w:rsidRPr="009C0BEE" w:rsidRDefault="00F91C4D" w:rsidP="00333BE2">
            <w:pPr>
              <w:jc w:val="both"/>
              <w:rPr>
                <w:sz w:val="22"/>
                <w:szCs w:val="22"/>
              </w:rPr>
            </w:pPr>
            <w:r w:rsidRPr="009C0BEE">
              <w:rPr>
                <w:sz w:val="22"/>
                <w:szCs w:val="22"/>
              </w:rPr>
              <w:t>Kapecitabin</w:t>
            </w:r>
            <w:r w:rsidR="004E3B8E" w:rsidRPr="009C0BEE">
              <w:rPr>
                <w:sz w:val="22"/>
                <w:szCs w:val="22"/>
              </w:rPr>
              <w:t xml:space="preserve"> Teva </w:t>
            </w:r>
            <w:r w:rsidR="00333BE2" w:rsidRPr="009C0BEE">
              <w:rPr>
                <w:sz w:val="22"/>
                <w:szCs w:val="22"/>
              </w:rPr>
              <w:t>može prepisati samo</w:t>
            </w:r>
            <w:r w:rsidR="00C6356D" w:rsidRPr="009C0BEE">
              <w:rPr>
                <w:sz w:val="22"/>
                <w:szCs w:val="22"/>
              </w:rPr>
              <w:t xml:space="preserve"> ljekar </w:t>
            </w:r>
            <w:r w:rsidR="00333BE2" w:rsidRPr="009C0BEE">
              <w:rPr>
                <w:sz w:val="22"/>
                <w:szCs w:val="22"/>
              </w:rPr>
              <w:t>specijalista sa iskustvom</w:t>
            </w:r>
            <w:r w:rsidR="00C6356D" w:rsidRPr="009C0BEE">
              <w:rPr>
                <w:sz w:val="22"/>
                <w:szCs w:val="22"/>
              </w:rPr>
              <w:t xml:space="preserve"> u </w:t>
            </w:r>
            <w:r w:rsidR="00333BE2" w:rsidRPr="009C0BEE">
              <w:rPr>
                <w:sz w:val="22"/>
                <w:szCs w:val="22"/>
              </w:rPr>
              <w:t>primjeni antineoplastičnih ljekov</w:t>
            </w:r>
            <w:r w:rsidR="00C6356D" w:rsidRPr="009C0BEE">
              <w:rPr>
                <w:sz w:val="22"/>
                <w:szCs w:val="22"/>
              </w:rPr>
              <w:t>a.</w:t>
            </w:r>
            <w:r w:rsidR="00DD2483" w:rsidRPr="009C0BEE">
              <w:rPr>
                <w:color w:val="FF0000"/>
                <w:sz w:val="22"/>
                <w:szCs w:val="22"/>
              </w:rPr>
              <w:t xml:space="preserve"> </w:t>
            </w:r>
            <w:r w:rsidR="00333BE2" w:rsidRPr="009C0BEE">
              <w:rPr>
                <w:sz w:val="22"/>
                <w:szCs w:val="22"/>
              </w:rPr>
              <w:t>Preporučuje se pažljivo praćenje tokom prvog ciklusa l</w:t>
            </w:r>
            <w:r w:rsidR="00DD2483" w:rsidRPr="009C0BEE">
              <w:rPr>
                <w:sz w:val="22"/>
                <w:szCs w:val="22"/>
              </w:rPr>
              <w:t>ij</w:t>
            </w:r>
            <w:r w:rsidR="00333BE2" w:rsidRPr="009C0BEE">
              <w:rPr>
                <w:sz w:val="22"/>
                <w:szCs w:val="22"/>
              </w:rPr>
              <w:t>ečenja za sve pacijente</w:t>
            </w:r>
            <w:r w:rsidR="00333BE2" w:rsidRPr="009C0BEE">
              <w:t xml:space="preserve">. </w:t>
            </w:r>
            <w:r w:rsidR="00C6356D" w:rsidRPr="009C0BEE">
              <w:rPr>
                <w:color w:val="FF0000"/>
                <w:sz w:val="22"/>
                <w:szCs w:val="22"/>
              </w:rPr>
              <w:t xml:space="preserve"> </w:t>
            </w:r>
            <w:r w:rsidR="00DD2483" w:rsidRPr="009C0BEE">
              <w:rPr>
                <w:sz w:val="22"/>
                <w:szCs w:val="22"/>
              </w:rPr>
              <w:t>U slučaju progresije bolesti ili nepodnošljive toksičnosti lijeka, t</w:t>
            </w:r>
            <w:r w:rsidR="00C6356D" w:rsidRPr="009C0BEE">
              <w:rPr>
                <w:sz w:val="22"/>
                <w:szCs w:val="22"/>
              </w:rPr>
              <w:t>erapiju treba prekinuti</w:t>
            </w:r>
            <w:r w:rsidR="00DD2483" w:rsidRPr="009C0BEE">
              <w:rPr>
                <w:sz w:val="22"/>
                <w:szCs w:val="22"/>
              </w:rPr>
              <w:t>.</w:t>
            </w:r>
            <w:r w:rsidR="00065C16" w:rsidRPr="009C0BEE">
              <w:rPr>
                <w:color w:val="FF0000"/>
                <w:sz w:val="22"/>
                <w:szCs w:val="22"/>
              </w:rPr>
              <w:t xml:space="preserve"> </w:t>
            </w:r>
            <w:r w:rsidR="00065C16" w:rsidRPr="009C0BEE">
              <w:rPr>
                <w:sz w:val="22"/>
                <w:szCs w:val="22"/>
              </w:rPr>
              <w:t>Izračunavanja standardnih i smanjenih doza prema  površini</w:t>
            </w:r>
            <w:r w:rsidR="00C6356D" w:rsidRPr="009C0BEE">
              <w:rPr>
                <w:sz w:val="22"/>
                <w:szCs w:val="22"/>
              </w:rPr>
              <w:t xml:space="preserve"> tijela </w:t>
            </w:r>
            <w:r w:rsidR="00065C16" w:rsidRPr="009C0BEE">
              <w:rPr>
                <w:sz w:val="22"/>
                <w:szCs w:val="22"/>
              </w:rPr>
              <w:t>za početne doze</w:t>
            </w:r>
            <w:r w:rsidR="00C6356D" w:rsidRPr="009C0BEE">
              <w:rPr>
                <w:sz w:val="22"/>
                <w:szCs w:val="22"/>
              </w:rPr>
              <w:t xml:space="preserve"> </w:t>
            </w:r>
            <w:r w:rsidR="00065C16" w:rsidRPr="009C0BEE">
              <w:rPr>
                <w:sz w:val="22"/>
                <w:szCs w:val="22"/>
              </w:rPr>
              <w:t>k</w:t>
            </w:r>
            <w:r w:rsidRPr="009C0BEE">
              <w:rPr>
                <w:sz w:val="22"/>
                <w:szCs w:val="22"/>
              </w:rPr>
              <w:t>apecitabin</w:t>
            </w:r>
            <w:r w:rsidR="004E3B8E" w:rsidRPr="009C0BEE">
              <w:rPr>
                <w:sz w:val="22"/>
                <w:szCs w:val="22"/>
              </w:rPr>
              <w:t xml:space="preserve">a </w:t>
            </w:r>
            <w:r w:rsidR="00C6356D" w:rsidRPr="009C0BEE">
              <w:rPr>
                <w:sz w:val="22"/>
                <w:szCs w:val="22"/>
              </w:rPr>
              <w:t>od 1250 mg/m</w:t>
            </w:r>
            <w:r w:rsidR="00C6356D" w:rsidRPr="009C0BEE">
              <w:rPr>
                <w:sz w:val="22"/>
                <w:szCs w:val="22"/>
                <w:vertAlign w:val="superscript"/>
              </w:rPr>
              <w:t>2</w:t>
            </w:r>
            <w:r w:rsidR="00C6356D" w:rsidRPr="009C0BEE">
              <w:rPr>
                <w:sz w:val="22"/>
                <w:szCs w:val="22"/>
              </w:rPr>
              <w:t xml:space="preserve"> i 1000 mg/m</w:t>
            </w:r>
            <w:r w:rsidR="00C6356D" w:rsidRPr="009C0BEE">
              <w:rPr>
                <w:sz w:val="22"/>
                <w:szCs w:val="22"/>
                <w:vertAlign w:val="superscript"/>
              </w:rPr>
              <w:t>2</w:t>
            </w:r>
            <w:r w:rsidR="00065C16" w:rsidRPr="009C0BEE">
              <w:rPr>
                <w:sz w:val="22"/>
                <w:szCs w:val="22"/>
              </w:rPr>
              <w:t xml:space="preserve"> prikazana su u Tabeli 1, odnosno Tabeli 2.  </w:t>
            </w:r>
          </w:p>
          <w:p w:rsidR="00AC54F1" w:rsidRPr="009C0BEE" w:rsidRDefault="00AC54F1" w:rsidP="00333BE2">
            <w:pPr>
              <w:jc w:val="both"/>
              <w:rPr>
                <w:sz w:val="22"/>
                <w:szCs w:val="22"/>
              </w:rPr>
            </w:pPr>
          </w:p>
          <w:p w:rsidR="00035EF1" w:rsidRPr="009C0BEE" w:rsidRDefault="00035EF1" w:rsidP="00333BE2">
            <w:pPr>
              <w:jc w:val="both"/>
              <w:rPr>
                <w:sz w:val="22"/>
                <w:szCs w:val="22"/>
                <w:u w:val="single"/>
              </w:rPr>
            </w:pPr>
            <w:r w:rsidRPr="009C0BEE">
              <w:rPr>
                <w:sz w:val="22"/>
                <w:szCs w:val="22"/>
                <w:u w:val="single"/>
              </w:rPr>
              <w:t>Doziranje</w:t>
            </w:r>
          </w:p>
          <w:p w:rsidR="00AC54F1" w:rsidRPr="009C0BEE" w:rsidRDefault="00AC54F1" w:rsidP="00333BE2">
            <w:pPr>
              <w:jc w:val="both"/>
              <w:rPr>
                <w:sz w:val="22"/>
                <w:szCs w:val="22"/>
              </w:rPr>
            </w:pPr>
            <w:r w:rsidRPr="009C0BEE">
              <w:rPr>
                <w:sz w:val="22"/>
                <w:szCs w:val="22"/>
              </w:rPr>
              <w:t>Preporučeno doziranje (vidjeti odjeljak 5.1)</w:t>
            </w:r>
            <w:r w:rsidR="00DF5476" w:rsidRPr="009C0BEE">
              <w:rPr>
                <w:sz w:val="22"/>
                <w:szCs w:val="22"/>
              </w:rPr>
              <w:t>:</w:t>
            </w:r>
          </w:p>
          <w:p w:rsidR="00C6356D" w:rsidRPr="009C0BEE" w:rsidRDefault="00C6356D" w:rsidP="00C6356D">
            <w:pPr>
              <w:rPr>
                <w:color w:val="FF0000"/>
                <w:sz w:val="22"/>
                <w:szCs w:val="22"/>
              </w:rPr>
            </w:pPr>
          </w:p>
          <w:p w:rsidR="00C6356D" w:rsidRPr="009C0BEE" w:rsidRDefault="00C6356D" w:rsidP="00C6356D">
            <w:pPr>
              <w:rPr>
                <w:i/>
                <w:sz w:val="22"/>
                <w:szCs w:val="22"/>
                <w:u w:val="single"/>
              </w:rPr>
            </w:pPr>
            <w:r w:rsidRPr="009C0BEE">
              <w:rPr>
                <w:i/>
                <w:sz w:val="22"/>
                <w:szCs w:val="22"/>
                <w:u w:val="single"/>
              </w:rPr>
              <w:t>Monoterapija</w:t>
            </w:r>
          </w:p>
          <w:p w:rsidR="00C6356D" w:rsidRPr="009C0BEE" w:rsidRDefault="00C6356D" w:rsidP="00C6356D">
            <w:pPr>
              <w:rPr>
                <w:i/>
                <w:sz w:val="22"/>
                <w:szCs w:val="22"/>
              </w:rPr>
            </w:pPr>
            <w:r w:rsidRPr="009C0BEE">
              <w:rPr>
                <w:i/>
                <w:sz w:val="22"/>
                <w:szCs w:val="22"/>
              </w:rPr>
              <w:t>Karcinom kolona, kolorektalni karcinom</w:t>
            </w:r>
            <w:r w:rsidR="00DF5476" w:rsidRPr="009C0BEE">
              <w:rPr>
                <w:i/>
                <w:sz w:val="22"/>
                <w:szCs w:val="22"/>
              </w:rPr>
              <w:t xml:space="preserve"> i</w:t>
            </w:r>
            <w:r w:rsidRPr="009C0BEE">
              <w:rPr>
                <w:i/>
                <w:sz w:val="22"/>
                <w:szCs w:val="22"/>
              </w:rPr>
              <w:t xml:space="preserve"> karcinom dojke</w:t>
            </w:r>
          </w:p>
          <w:p w:rsidR="00C6356D" w:rsidRPr="009C0BEE" w:rsidRDefault="006E03A6" w:rsidP="006E03A6">
            <w:pPr>
              <w:jc w:val="both"/>
              <w:rPr>
                <w:i/>
                <w:sz w:val="22"/>
                <w:szCs w:val="22"/>
              </w:rPr>
            </w:pPr>
            <w:r w:rsidRPr="009C0BEE">
              <w:rPr>
                <w:rFonts w:ascii="TimesNewRoman" w:hAnsi="TimesNewRoman" w:cs="TimesNewRoman"/>
                <w:sz w:val="22"/>
                <w:szCs w:val="22"/>
              </w:rPr>
              <w:t>P</w:t>
            </w:r>
            <w:r w:rsidRPr="009C0BEE">
              <w:rPr>
                <w:sz w:val="22"/>
                <w:szCs w:val="22"/>
              </w:rPr>
              <w:t>reporučena početna doza kapecitabina primijenjenog kao monoterapija u adjuvantnom liječenju</w:t>
            </w:r>
            <w:r w:rsidRPr="009C0BEE">
              <w:rPr>
                <w:i/>
                <w:sz w:val="22"/>
                <w:szCs w:val="22"/>
              </w:rPr>
              <w:t xml:space="preserve"> </w:t>
            </w:r>
            <w:r w:rsidR="00C6356D" w:rsidRPr="009C0BEE">
              <w:rPr>
                <w:sz w:val="22"/>
                <w:szCs w:val="22"/>
              </w:rPr>
              <w:t xml:space="preserve">karcinoma kolona, </w:t>
            </w:r>
            <w:r w:rsidRPr="009C0BEE">
              <w:rPr>
                <w:sz w:val="22"/>
                <w:szCs w:val="22"/>
              </w:rPr>
              <w:t xml:space="preserve">liječenju metastatskog kolorektalnog karcinoma ili u liječenju </w:t>
            </w:r>
            <w:r w:rsidR="00C6356D" w:rsidRPr="009C0BEE">
              <w:rPr>
                <w:sz w:val="22"/>
                <w:szCs w:val="22"/>
              </w:rPr>
              <w:t xml:space="preserve">lokalno uznapredovalog </w:t>
            </w:r>
            <w:r w:rsidRPr="009C0BEE">
              <w:rPr>
                <w:sz w:val="22"/>
                <w:szCs w:val="22"/>
              </w:rPr>
              <w:t xml:space="preserve">ili </w:t>
            </w:r>
            <w:r w:rsidR="00C6356D" w:rsidRPr="009C0BEE">
              <w:rPr>
                <w:sz w:val="22"/>
                <w:szCs w:val="22"/>
              </w:rPr>
              <w:t>metastatskog karcinoma dojke iznosi  1250 mg/m</w:t>
            </w:r>
            <w:r w:rsidR="00C6356D" w:rsidRPr="009C0BEE">
              <w:rPr>
                <w:sz w:val="22"/>
                <w:szCs w:val="22"/>
                <w:vertAlign w:val="superscript"/>
              </w:rPr>
              <w:t>2</w:t>
            </w:r>
            <w:r w:rsidRPr="009C0BEE">
              <w:rPr>
                <w:sz w:val="22"/>
                <w:szCs w:val="22"/>
              </w:rPr>
              <w:t xml:space="preserve"> i daje se dva puta d</w:t>
            </w:r>
            <w:r w:rsidR="00C6356D" w:rsidRPr="009C0BEE">
              <w:rPr>
                <w:sz w:val="22"/>
                <w:szCs w:val="22"/>
              </w:rPr>
              <w:t>n</w:t>
            </w:r>
            <w:r w:rsidRPr="009C0BEE">
              <w:rPr>
                <w:sz w:val="22"/>
                <w:szCs w:val="22"/>
              </w:rPr>
              <w:t>evno</w:t>
            </w:r>
            <w:r w:rsidR="00C6356D" w:rsidRPr="009C0BEE">
              <w:rPr>
                <w:sz w:val="22"/>
                <w:szCs w:val="22"/>
              </w:rPr>
              <w:t xml:space="preserve"> (ujutru i uveče; što odgovara ukupnoj dnevnoj dozi od 2500 mg/m</w:t>
            </w:r>
            <w:r w:rsidR="00C6356D" w:rsidRPr="009C0BEE">
              <w:rPr>
                <w:sz w:val="22"/>
                <w:szCs w:val="22"/>
                <w:vertAlign w:val="superscript"/>
              </w:rPr>
              <w:t>2</w:t>
            </w:r>
            <w:r w:rsidR="00C6356D" w:rsidRPr="009C0BEE">
              <w:rPr>
                <w:sz w:val="22"/>
                <w:szCs w:val="22"/>
              </w:rPr>
              <w:t>) tokom 14 dana</w:t>
            </w:r>
            <w:r w:rsidR="00CC4DA4" w:rsidRPr="009C0BEE">
              <w:rPr>
                <w:sz w:val="22"/>
                <w:szCs w:val="22"/>
              </w:rPr>
              <w:t>,</w:t>
            </w:r>
            <w:r w:rsidR="00C6356D" w:rsidRPr="009C0BEE">
              <w:rPr>
                <w:sz w:val="22"/>
                <w:szCs w:val="22"/>
              </w:rPr>
              <w:t xml:space="preserve"> poslije čega slijedi sedam dana odmora</w:t>
            </w:r>
            <w:r w:rsidRPr="009C0BEE">
              <w:rPr>
                <w:sz w:val="22"/>
                <w:szCs w:val="22"/>
              </w:rPr>
              <w:t xml:space="preserve">, tj. neuzimanja lijeka. </w:t>
            </w:r>
          </w:p>
          <w:p w:rsidR="00C6356D" w:rsidRPr="009C0BEE" w:rsidRDefault="00723354" w:rsidP="00C6356D">
            <w:pPr>
              <w:rPr>
                <w:sz w:val="22"/>
                <w:szCs w:val="22"/>
              </w:rPr>
            </w:pPr>
            <w:r w:rsidRPr="009C0BEE">
              <w:rPr>
                <w:sz w:val="22"/>
                <w:szCs w:val="22"/>
              </w:rPr>
              <w:t xml:space="preserve">Preporučeno trajanje adjuvantnog liječenja </w:t>
            </w:r>
            <w:r w:rsidR="00C6356D" w:rsidRPr="009C0BEE">
              <w:rPr>
                <w:sz w:val="22"/>
                <w:szCs w:val="22"/>
              </w:rPr>
              <w:t xml:space="preserve">pacijenata sa karcinomom kolona trećeg stadijuma </w:t>
            </w:r>
            <w:r w:rsidRPr="009C0BEE">
              <w:rPr>
                <w:sz w:val="22"/>
                <w:szCs w:val="22"/>
              </w:rPr>
              <w:t xml:space="preserve">je </w:t>
            </w:r>
            <w:r w:rsidR="00C6356D" w:rsidRPr="009C0BEE">
              <w:rPr>
                <w:sz w:val="22"/>
                <w:szCs w:val="22"/>
              </w:rPr>
              <w:t xml:space="preserve">6 mjeseci. </w:t>
            </w:r>
          </w:p>
          <w:p w:rsidR="00C6356D" w:rsidRPr="009C0BEE" w:rsidRDefault="00C6356D" w:rsidP="00C6356D">
            <w:pPr>
              <w:rPr>
                <w:color w:val="FF0000"/>
                <w:sz w:val="22"/>
                <w:szCs w:val="22"/>
              </w:rPr>
            </w:pPr>
          </w:p>
          <w:p w:rsidR="00C6356D" w:rsidRPr="009C0BEE" w:rsidRDefault="00C6356D" w:rsidP="00C6356D">
            <w:pPr>
              <w:rPr>
                <w:i/>
                <w:sz w:val="22"/>
                <w:szCs w:val="22"/>
                <w:u w:val="single"/>
              </w:rPr>
            </w:pPr>
            <w:r w:rsidRPr="009C0BEE">
              <w:rPr>
                <w:i/>
                <w:sz w:val="22"/>
                <w:szCs w:val="22"/>
                <w:u w:val="single"/>
              </w:rPr>
              <w:t>Kombinovana terapija</w:t>
            </w:r>
          </w:p>
          <w:p w:rsidR="00C6356D" w:rsidRPr="009C0BEE" w:rsidRDefault="00C6356D" w:rsidP="00C6356D">
            <w:pPr>
              <w:rPr>
                <w:i/>
                <w:sz w:val="22"/>
                <w:szCs w:val="22"/>
              </w:rPr>
            </w:pPr>
            <w:r w:rsidRPr="009C0BEE">
              <w:rPr>
                <w:i/>
                <w:sz w:val="22"/>
                <w:szCs w:val="22"/>
              </w:rPr>
              <w:t xml:space="preserve">Karcinom </w:t>
            </w:r>
            <w:r w:rsidR="00EB5081" w:rsidRPr="009C0BEE">
              <w:rPr>
                <w:i/>
                <w:sz w:val="22"/>
                <w:szCs w:val="22"/>
              </w:rPr>
              <w:t>kolona</w:t>
            </w:r>
            <w:r w:rsidRPr="009C0BEE">
              <w:rPr>
                <w:i/>
                <w:sz w:val="22"/>
                <w:szCs w:val="22"/>
              </w:rPr>
              <w:t>, kolorektalni karcinom i karcinom želuca</w:t>
            </w:r>
          </w:p>
          <w:p w:rsidR="00AD14BE" w:rsidRPr="009C0BEE" w:rsidRDefault="004F47F9" w:rsidP="006975BC">
            <w:pPr>
              <w:autoSpaceDE w:val="0"/>
              <w:autoSpaceDN w:val="0"/>
              <w:adjustRightInd w:val="0"/>
              <w:jc w:val="both"/>
              <w:rPr>
                <w:rFonts w:ascii="TimesNewRoman" w:hAnsi="TimesNewRoman" w:cs="TimesNewRoman"/>
                <w:sz w:val="22"/>
                <w:szCs w:val="22"/>
              </w:rPr>
            </w:pPr>
            <w:r w:rsidRPr="009C0BEE">
              <w:rPr>
                <w:sz w:val="22"/>
                <w:szCs w:val="22"/>
              </w:rPr>
              <w:t>U</w:t>
            </w:r>
            <w:r w:rsidR="00C6356D" w:rsidRPr="009C0BEE">
              <w:rPr>
                <w:sz w:val="22"/>
                <w:szCs w:val="22"/>
              </w:rPr>
              <w:t xml:space="preserve"> kombinovan</w:t>
            </w:r>
            <w:r w:rsidRPr="009C0BEE">
              <w:rPr>
                <w:sz w:val="22"/>
                <w:szCs w:val="22"/>
              </w:rPr>
              <w:t>oj terapiji</w:t>
            </w:r>
            <w:r w:rsidR="00C6356D" w:rsidRPr="009C0BEE">
              <w:rPr>
                <w:sz w:val="22"/>
                <w:szCs w:val="22"/>
              </w:rPr>
              <w:t xml:space="preserve">, </w:t>
            </w:r>
            <w:r w:rsidRPr="009C0BEE">
              <w:rPr>
                <w:sz w:val="22"/>
                <w:szCs w:val="22"/>
              </w:rPr>
              <w:t>preporučenu početnu dozu k</w:t>
            </w:r>
            <w:r w:rsidR="00F91C4D" w:rsidRPr="009C0BEE">
              <w:rPr>
                <w:sz w:val="22"/>
                <w:szCs w:val="22"/>
              </w:rPr>
              <w:t>apecitabin</w:t>
            </w:r>
            <w:r w:rsidRPr="009C0BEE">
              <w:rPr>
                <w:sz w:val="22"/>
                <w:szCs w:val="22"/>
              </w:rPr>
              <w:t>a</w:t>
            </w:r>
            <w:r w:rsidR="004E3B8E" w:rsidRPr="009C0BEE">
              <w:rPr>
                <w:sz w:val="22"/>
                <w:szCs w:val="22"/>
              </w:rPr>
              <w:t xml:space="preserve"> </w:t>
            </w:r>
            <w:r w:rsidRPr="009C0BEE">
              <w:rPr>
                <w:sz w:val="22"/>
                <w:szCs w:val="22"/>
              </w:rPr>
              <w:t>treba</w:t>
            </w:r>
            <w:r w:rsidR="00C6356D" w:rsidRPr="009C0BEE">
              <w:rPr>
                <w:sz w:val="22"/>
                <w:szCs w:val="22"/>
              </w:rPr>
              <w:t xml:space="preserve"> smanji</w:t>
            </w:r>
            <w:r w:rsidRPr="009C0BEE">
              <w:rPr>
                <w:sz w:val="22"/>
                <w:szCs w:val="22"/>
              </w:rPr>
              <w:t>ti</w:t>
            </w:r>
            <w:r w:rsidR="00C6356D" w:rsidRPr="009C0BEE">
              <w:rPr>
                <w:sz w:val="22"/>
                <w:szCs w:val="22"/>
              </w:rPr>
              <w:t xml:space="preserve"> na 800-1000 mg/m</w:t>
            </w:r>
            <w:r w:rsidR="00C6356D" w:rsidRPr="009C0BEE">
              <w:rPr>
                <w:sz w:val="22"/>
                <w:szCs w:val="22"/>
                <w:vertAlign w:val="superscript"/>
              </w:rPr>
              <w:t>2</w:t>
            </w:r>
            <w:r w:rsidR="00C6356D" w:rsidRPr="009C0BEE">
              <w:rPr>
                <w:sz w:val="22"/>
                <w:szCs w:val="22"/>
              </w:rPr>
              <w:t xml:space="preserve"> </w:t>
            </w:r>
            <w:r w:rsidR="00A060B7" w:rsidRPr="009C0BEE">
              <w:rPr>
                <w:sz w:val="22"/>
                <w:szCs w:val="22"/>
              </w:rPr>
              <w:t xml:space="preserve"> i uzimati dva puta dnevno tokom 14 dana, nakon čega slijedi 7 dana pauze</w:t>
            </w:r>
            <w:r w:rsidR="00CC4DA4" w:rsidRPr="009C0BEE">
              <w:rPr>
                <w:sz w:val="22"/>
                <w:szCs w:val="22"/>
              </w:rPr>
              <w:t>,</w:t>
            </w:r>
            <w:r w:rsidR="00A060B7" w:rsidRPr="009C0BEE">
              <w:rPr>
                <w:sz w:val="22"/>
                <w:szCs w:val="22"/>
              </w:rPr>
              <w:t xml:space="preserve"> ili na 625 mg/m</w:t>
            </w:r>
            <w:r w:rsidR="00A060B7" w:rsidRPr="009C0BEE">
              <w:rPr>
                <w:sz w:val="22"/>
                <w:szCs w:val="22"/>
                <w:vertAlign w:val="superscript"/>
              </w:rPr>
              <w:t xml:space="preserve">2 </w:t>
            </w:r>
            <w:r w:rsidR="00C6356D" w:rsidRPr="009C0BEE">
              <w:rPr>
                <w:sz w:val="22"/>
                <w:szCs w:val="22"/>
              </w:rPr>
              <w:t xml:space="preserve">dva puta dnevno </w:t>
            </w:r>
            <w:r w:rsidR="00A060B7" w:rsidRPr="009C0BEE">
              <w:rPr>
                <w:sz w:val="22"/>
                <w:szCs w:val="22"/>
              </w:rPr>
              <w:t>pri  k</w:t>
            </w:r>
            <w:r w:rsidR="00C6356D" w:rsidRPr="009C0BEE">
              <w:rPr>
                <w:sz w:val="22"/>
                <w:szCs w:val="22"/>
              </w:rPr>
              <w:t>ontinuirano</w:t>
            </w:r>
            <w:r w:rsidR="00A060B7" w:rsidRPr="009C0BEE">
              <w:rPr>
                <w:sz w:val="22"/>
                <w:szCs w:val="22"/>
              </w:rPr>
              <w:t>j (svakodnevnoj) primjeni</w:t>
            </w:r>
            <w:r w:rsidR="00C6356D" w:rsidRPr="009C0BEE">
              <w:rPr>
                <w:sz w:val="22"/>
                <w:szCs w:val="22"/>
              </w:rPr>
              <w:t xml:space="preserve"> (vidjeti odjeljak 5.1).</w:t>
            </w:r>
            <w:r w:rsidR="00AD14BE" w:rsidRPr="009C0BEE">
              <w:rPr>
                <w:sz w:val="22"/>
                <w:szCs w:val="22"/>
              </w:rPr>
              <w:t xml:space="preserve"> Kada se primjenjuje</w:t>
            </w:r>
            <w:r w:rsidR="00C6356D" w:rsidRPr="009C0BEE">
              <w:rPr>
                <w:color w:val="FF0000"/>
                <w:sz w:val="22"/>
                <w:szCs w:val="22"/>
              </w:rPr>
              <w:t xml:space="preserve"> </w:t>
            </w:r>
            <w:r w:rsidR="00AD14BE" w:rsidRPr="009C0BEE">
              <w:rPr>
                <w:rFonts w:ascii="TimesNewRoman" w:hAnsi="TimesNewRoman" w:cs="TimesNewRoman"/>
                <w:sz w:val="22"/>
                <w:szCs w:val="22"/>
              </w:rPr>
              <w:t>u kombinaciji sa irinotekanom, preporučena početna doza je 800 mg/m² dva puta dnevno</w:t>
            </w:r>
            <w:r w:rsidR="00FB6BDE" w:rsidRPr="009C0BEE">
              <w:rPr>
                <w:rFonts w:ascii="TimesNewRoman" w:hAnsi="TimesNewRoman" w:cs="TimesNewRoman"/>
                <w:sz w:val="22"/>
                <w:szCs w:val="22"/>
              </w:rPr>
              <w:t xml:space="preserve"> to</w:t>
            </w:r>
            <w:r w:rsidR="00AD14BE" w:rsidRPr="009C0BEE">
              <w:rPr>
                <w:rFonts w:ascii="TimesNewRoman" w:hAnsi="TimesNewRoman" w:cs="TimesNewRoman"/>
                <w:sz w:val="22"/>
                <w:szCs w:val="22"/>
              </w:rPr>
              <w:t xml:space="preserve">kom 14 dana, nakon čega slijedi 7 dana pauze uz primjenu irinotekana u dozi od 200 </w:t>
            </w:r>
            <w:r w:rsidR="00FB6BDE" w:rsidRPr="009C0BEE">
              <w:rPr>
                <w:rFonts w:ascii="TimesNewRoman" w:hAnsi="TimesNewRoman" w:cs="TimesNewRoman"/>
                <w:sz w:val="22"/>
                <w:szCs w:val="22"/>
              </w:rPr>
              <w:t xml:space="preserve">mg/m² </w:t>
            </w:r>
            <w:r w:rsidR="00497A59" w:rsidRPr="009C0BEE">
              <w:rPr>
                <w:rFonts w:ascii="TimesNewRoman" w:hAnsi="TimesNewRoman" w:cs="TimesNewRoman"/>
                <w:sz w:val="22"/>
                <w:szCs w:val="22"/>
              </w:rPr>
              <w:t>prvog</w:t>
            </w:r>
            <w:r w:rsidR="00AD14BE" w:rsidRPr="009C0BEE">
              <w:rPr>
                <w:rFonts w:ascii="TimesNewRoman" w:hAnsi="TimesNewRoman" w:cs="TimesNewRoman"/>
                <w:sz w:val="22"/>
                <w:szCs w:val="22"/>
              </w:rPr>
              <w:t xml:space="preserve"> </w:t>
            </w:r>
            <w:r w:rsidR="00CC4DA4" w:rsidRPr="009C0BEE">
              <w:rPr>
                <w:rFonts w:ascii="TimesNewRoman" w:hAnsi="TimesNewRoman" w:cs="TimesNewRoman"/>
                <w:sz w:val="22"/>
                <w:szCs w:val="22"/>
              </w:rPr>
              <w:t>dana</w:t>
            </w:r>
            <w:r w:rsidR="00AD14BE" w:rsidRPr="009C0BEE">
              <w:rPr>
                <w:rFonts w:ascii="TimesNewRoman" w:hAnsi="TimesNewRoman" w:cs="TimesNewRoman"/>
                <w:sz w:val="22"/>
                <w:szCs w:val="22"/>
              </w:rPr>
              <w:t>.</w:t>
            </w:r>
            <w:r w:rsidR="00FB6BDE" w:rsidRPr="009C0BEE">
              <w:rPr>
                <w:rFonts w:ascii="TimesNewRoman" w:hAnsi="TimesNewRoman" w:cs="TimesNewRoman"/>
                <w:sz w:val="22"/>
                <w:szCs w:val="22"/>
              </w:rPr>
              <w:t xml:space="preserve"> Primjena </w:t>
            </w:r>
            <w:r w:rsidR="00CC4DA4" w:rsidRPr="009C0BEE">
              <w:rPr>
                <w:rFonts w:ascii="TimesNewRoman" w:hAnsi="TimesNewRoman" w:cs="TimesNewRoman"/>
                <w:sz w:val="22"/>
                <w:szCs w:val="22"/>
              </w:rPr>
              <w:t xml:space="preserve">bevacizumaba </w:t>
            </w:r>
            <w:r w:rsidR="00FB6BDE" w:rsidRPr="009C0BEE">
              <w:rPr>
                <w:rFonts w:ascii="TimesNewRoman" w:hAnsi="TimesNewRoman" w:cs="TimesNewRoman"/>
                <w:sz w:val="22"/>
                <w:szCs w:val="22"/>
              </w:rPr>
              <w:t>u kombinovanoj terapiji ne uti</w:t>
            </w:r>
            <w:r w:rsidR="00AD14BE" w:rsidRPr="009C0BEE">
              <w:rPr>
                <w:rFonts w:ascii="TimesNewRoman" w:hAnsi="TimesNewRoman" w:cs="TimesNewRoman"/>
                <w:sz w:val="22"/>
                <w:szCs w:val="22"/>
              </w:rPr>
              <w:t>če na poč</w:t>
            </w:r>
            <w:r w:rsidR="00FB6BDE" w:rsidRPr="009C0BEE">
              <w:rPr>
                <w:rFonts w:ascii="TimesNewRoman" w:hAnsi="TimesNewRoman" w:cs="TimesNewRoman"/>
                <w:sz w:val="22"/>
                <w:szCs w:val="22"/>
              </w:rPr>
              <w:t xml:space="preserve">etnu dozu kapecitabina. Kod pacijenata </w:t>
            </w:r>
            <w:r w:rsidR="00AD14BE" w:rsidRPr="009C0BEE">
              <w:rPr>
                <w:rFonts w:ascii="TimesNewRoman" w:hAnsi="TimesNewRoman" w:cs="TimesNewRoman"/>
                <w:sz w:val="22"/>
                <w:szCs w:val="22"/>
              </w:rPr>
              <w:t>koji uzimaju kapecitabin u kombinaciji s</w:t>
            </w:r>
            <w:r w:rsidR="00FB6BDE" w:rsidRPr="009C0BEE">
              <w:rPr>
                <w:rFonts w:ascii="TimesNewRoman" w:hAnsi="TimesNewRoman" w:cs="TimesNewRoman"/>
                <w:sz w:val="22"/>
                <w:szCs w:val="22"/>
              </w:rPr>
              <w:t>a</w:t>
            </w:r>
            <w:r w:rsidR="00AD14BE" w:rsidRPr="009C0BEE">
              <w:rPr>
                <w:rFonts w:ascii="TimesNewRoman" w:hAnsi="TimesNewRoman" w:cs="TimesNewRoman"/>
                <w:sz w:val="22"/>
                <w:szCs w:val="22"/>
              </w:rPr>
              <w:t xml:space="preserve"> cisplatinom, </w:t>
            </w:r>
            <w:r w:rsidR="00FB6BDE" w:rsidRPr="009C0BEE">
              <w:rPr>
                <w:rFonts w:ascii="TimesNewRoman" w:hAnsi="TimesNewRoman" w:cs="TimesNewRoman"/>
                <w:sz w:val="22"/>
                <w:szCs w:val="22"/>
              </w:rPr>
              <w:t xml:space="preserve">prije primjene cisplatina </w:t>
            </w:r>
            <w:r w:rsidR="00AD14BE" w:rsidRPr="009C0BEE">
              <w:rPr>
                <w:rFonts w:ascii="TimesNewRoman" w:hAnsi="TimesNewRoman" w:cs="TimesNewRoman"/>
                <w:sz w:val="22"/>
                <w:szCs w:val="22"/>
              </w:rPr>
              <w:t xml:space="preserve">potrebno je </w:t>
            </w:r>
            <w:r w:rsidR="00FB6BDE" w:rsidRPr="009C0BEE">
              <w:rPr>
                <w:rFonts w:ascii="TimesNewRoman" w:hAnsi="TimesNewRoman" w:cs="TimesNewRoman"/>
                <w:sz w:val="22"/>
                <w:szCs w:val="22"/>
              </w:rPr>
              <w:t xml:space="preserve">započeti </w:t>
            </w:r>
            <w:r w:rsidR="00AD14BE" w:rsidRPr="009C0BEE">
              <w:rPr>
                <w:rFonts w:ascii="TimesNewRoman" w:hAnsi="TimesNewRoman" w:cs="TimesNewRoman"/>
                <w:sz w:val="22"/>
                <w:szCs w:val="22"/>
              </w:rPr>
              <w:t>premedikaciju kako bi se održala primjerena hidra</w:t>
            </w:r>
            <w:r w:rsidR="00CC4DA4" w:rsidRPr="009C0BEE">
              <w:rPr>
                <w:rFonts w:ascii="TimesNewRoman" w:hAnsi="TimesNewRoman" w:cs="TimesNewRoman"/>
                <w:sz w:val="22"/>
                <w:szCs w:val="22"/>
              </w:rPr>
              <w:t>ta</w:t>
            </w:r>
            <w:r w:rsidR="00AD14BE" w:rsidRPr="009C0BEE">
              <w:rPr>
                <w:rFonts w:ascii="TimesNewRoman" w:hAnsi="TimesNewRoman" w:cs="TimesNewRoman"/>
                <w:sz w:val="22"/>
                <w:szCs w:val="22"/>
              </w:rPr>
              <w:t>cija i spriječilo povraćanje, kao što je</w:t>
            </w:r>
            <w:r w:rsidR="00FB6BDE" w:rsidRPr="009C0BEE">
              <w:rPr>
                <w:rFonts w:ascii="TimesNewRoman" w:hAnsi="TimesNewRoman" w:cs="TimesNewRoman"/>
                <w:sz w:val="22"/>
                <w:szCs w:val="22"/>
              </w:rPr>
              <w:t xml:space="preserve"> </w:t>
            </w:r>
            <w:r w:rsidR="00AD14BE" w:rsidRPr="009C0BEE">
              <w:rPr>
                <w:rFonts w:ascii="TimesNewRoman" w:hAnsi="TimesNewRoman" w:cs="TimesNewRoman"/>
                <w:sz w:val="22"/>
                <w:szCs w:val="22"/>
              </w:rPr>
              <w:t xml:space="preserve">opisano u Sažetku </w:t>
            </w:r>
            <w:r w:rsidR="00FB6BDE" w:rsidRPr="009C0BEE">
              <w:rPr>
                <w:rFonts w:ascii="TimesNewRoman" w:hAnsi="TimesNewRoman" w:cs="TimesNewRoman"/>
                <w:sz w:val="22"/>
                <w:szCs w:val="22"/>
              </w:rPr>
              <w:t>karakteristika lijeka za cisplatin. Za pacijent</w:t>
            </w:r>
            <w:r w:rsidR="00AD14BE" w:rsidRPr="009C0BEE">
              <w:rPr>
                <w:rFonts w:ascii="TimesNewRoman" w:hAnsi="TimesNewRoman" w:cs="TimesNewRoman"/>
                <w:sz w:val="22"/>
                <w:szCs w:val="22"/>
              </w:rPr>
              <w:t>e koji primaju kombinaciju kapecitabina i</w:t>
            </w:r>
            <w:r w:rsidR="00CC4DA4" w:rsidRPr="009C0BEE">
              <w:rPr>
                <w:rFonts w:ascii="TimesNewRoman" w:hAnsi="TimesNewRoman" w:cs="TimesNewRoman"/>
                <w:sz w:val="22"/>
                <w:szCs w:val="22"/>
              </w:rPr>
              <w:t xml:space="preserve"> </w:t>
            </w:r>
            <w:r w:rsidR="00FB6BDE" w:rsidRPr="009C0BEE">
              <w:rPr>
                <w:rFonts w:ascii="TimesNewRoman" w:hAnsi="TimesNewRoman" w:cs="TimesNewRoman"/>
                <w:sz w:val="22"/>
                <w:szCs w:val="22"/>
              </w:rPr>
              <w:t>oksaliplatina</w:t>
            </w:r>
            <w:r w:rsidR="00AD14BE" w:rsidRPr="009C0BEE">
              <w:rPr>
                <w:rFonts w:ascii="TimesNewRoman" w:hAnsi="TimesNewRoman" w:cs="TimesNewRoman"/>
                <w:sz w:val="22"/>
                <w:szCs w:val="22"/>
              </w:rPr>
              <w:t xml:space="preserve"> preporučuje se premedikacija antiemeticima u skladu sa Sažetkom </w:t>
            </w:r>
            <w:r w:rsidR="00FB6BDE" w:rsidRPr="009C0BEE">
              <w:rPr>
                <w:rFonts w:ascii="TimesNewRoman" w:hAnsi="TimesNewRoman" w:cs="TimesNewRoman"/>
                <w:sz w:val="22"/>
                <w:szCs w:val="22"/>
              </w:rPr>
              <w:t>karakteristika</w:t>
            </w:r>
            <w:r w:rsidR="00AD14BE" w:rsidRPr="009C0BEE">
              <w:rPr>
                <w:rFonts w:ascii="TimesNewRoman" w:hAnsi="TimesNewRoman" w:cs="TimesNewRoman"/>
                <w:sz w:val="22"/>
                <w:szCs w:val="22"/>
              </w:rPr>
              <w:t xml:space="preserve"> lijeka</w:t>
            </w:r>
            <w:r w:rsidR="00FB6BDE" w:rsidRPr="009C0BEE">
              <w:rPr>
                <w:rFonts w:ascii="TimesNewRoman" w:hAnsi="TimesNewRoman" w:cs="TimesNewRoman"/>
                <w:sz w:val="22"/>
                <w:szCs w:val="22"/>
              </w:rPr>
              <w:t xml:space="preserve"> za </w:t>
            </w:r>
            <w:r w:rsidR="00AD14BE" w:rsidRPr="009C0BEE">
              <w:rPr>
                <w:rFonts w:ascii="TimesNewRoman" w:hAnsi="TimesNewRoman" w:cs="TimesNewRoman"/>
                <w:sz w:val="22"/>
                <w:szCs w:val="22"/>
              </w:rPr>
              <w:t>oksaliplatin</w:t>
            </w:r>
            <w:r w:rsidR="006975BC" w:rsidRPr="009C0BEE">
              <w:rPr>
                <w:rFonts w:ascii="TimesNewRoman" w:hAnsi="TimesNewRoman" w:cs="TimesNewRoman"/>
                <w:sz w:val="22"/>
                <w:szCs w:val="22"/>
              </w:rPr>
              <w:t xml:space="preserve">. </w:t>
            </w:r>
            <w:r w:rsidR="00FB6BDE" w:rsidRPr="009C0BEE">
              <w:rPr>
                <w:rFonts w:ascii="TimesNewRoman" w:hAnsi="TimesNewRoman" w:cs="TimesNewRoman"/>
                <w:sz w:val="22"/>
                <w:szCs w:val="22"/>
              </w:rPr>
              <w:t>Kod pacijenata</w:t>
            </w:r>
            <w:r w:rsidR="00AD14BE" w:rsidRPr="009C0BEE">
              <w:rPr>
                <w:rFonts w:ascii="TimesNewRoman" w:hAnsi="TimesNewRoman" w:cs="TimesNewRoman"/>
                <w:sz w:val="22"/>
                <w:szCs w:val="22"/>
              </w:rPr>
              <w:t xml:space="preserve"> s</w:t>
            </w:r>
            <w:r w:rsidR="00FB6BDE" w:rsidRPr="009C0BEE">
              <w:rPr>
                <w:rFonts w:ascii="TimesNewRoman" w:hAnsi="TimesNewRoman" w:cs="TimesNewRoman"/>
                <w:sz w:val="22"/>
                <w:szCs w:val="22"/>
              </w:rPr>
              <w:t>a</w:t>
            </w:r>
            <w:r w:rsidR="00AD14BE" w:rsidRPr="009C0BEE">
              <w:rPr>
                <w:rFonts w:ascii="TimesNewRoman" w:hAnsi="TimesNewRoman" w:cs="TimesNewRoman"/>
                <w:sz w:val="22"/>
                <w:szCs w:val="22"/>
              </w:rPr>
              <w:t xml:space="preserve"> karcinomom kolona stadij</w:t>
            </w:r>
            <w:r w:rsidR="006975BC" w:rsidRPr="009C0BEE">
              <w:rPr>
                <w:rFonts w:ascii="TimesNewRoman" w:hAnsi="TimesNewRoman" w:cs="TimesNewRoman"/>
                <w:sz w:val="22"/>
                <w:szCs w:val="22"/>
              </w:rPr>
              <w:t>um</w:t>
            </w:r>
            <w:r w:rsidR="00AD14BE" w:rsidRPr="009C0BEE">
              <w:rPr>
                <w:rFonts w:ascii="TimesNewRoman" w:hAnsi="TimesNewRoman" w:cs="TimesNewRoman"/>
                <w:sz w:val="22"/>
                <w:szCs w:val="22"/>
              </w:rPr>
              <w:t>a III preporučeno trajanje adjuvantnog</w:t>
            </w:r>
            <w:r w:rsidR="006975BC" w:rsidRPr="009C0BEE">
              <w:rPr>
                <w:rFonts w:ascii="TimesNewRoman" w:hAnsi="TimesNewRoman" w:cs="TimesNewRoman"/>
                <w:sz w:val="22"/>
                <w:szCs w:val="22"/>
              </w:rPr>
              <w:t xml:space="preserve"> </w:t>
            </w:r>
            <w:r w:rsidR="00AD14BE" w:rsidRPr="009C0BEE">
              <w:rPr>
                <w:rFonts w:ascii="TimesNewRoman" w:hAnsi="TimesNewRoman" w:cs="TimesNewRoman"/>
                <w:sz w:val="22"/>
                <w:szCs w:val="22"/>
              </w:rPr>
              <w:t>liječenja je 6 mjeseci.</w:t>
            </w:r>
            <w:r w:rsidR="006975BC" w:rsidRPr="009C0BEE">
              <w:rPr>
                <w:sz w:val="22"/>
                <w:szCs w:val="22"/>
              </w:rPr>
              <w:t xml:space="preserve"> </w:t>
            </w:r>
          </w:p>
          <w:p w:rsidR="00C6356D" w:rsidRPr="009C0BEE" w:rsidRDefault="00C6356D" w:rsidP="00C6356D">
            <w:pPr>
              <w:rPr>
                <w:color w:val="FF0000"/>
                <w:sz w:val="22"/>
                <w:szCs w:val="22"/>
              </w:rPr>
            </w:pPr>
          </w:p>
          <w:p w:rsidR="00C6356D" w:rsidRPr="009C0BEE" w:rsidRDefault="00C6356D" w:rsidP="00C6356D">
            <w:pPr>
              <w:rPr>
                <w:i/>
                <w:sz w:val="22"/>
                <w:szCs w:val="22"/>
              </w:rPr>
            </w:pPr>
            <w:r w:rsidRPr="009C0BEE">
              <w:rPr>
                <w:i/>
                <w:sz w:val="22"/>
                <w:szCs w:val="22"/>
              </w:rPr>
              <w:t>Karcinom dojke</w:t>
            </w:r>
          </w:p>
          <w:p w:rsidR="003A0BBE" w:rsidRPr="009C0BEE" w:rsidRDefault="00C6356D" w:rsidP="003A0BBE">
            <w:pPr>
              <w:jc w:val="both"/>
              <w:rPr>
                <w:sz w:val="22"/>
                <w:szCs w:val="22"/>
              </w:rPr>
            </w:pPr>
            <w:r w:rsidRPr="009C0BEE">
              <w:rPr>
                <w:sz w:val="22"/>
                <w:szCs w:val="22"/>
              </w:rPr>
              <w:t xml:space="preserve">U kombinaciji sa docetakselom, preporučena doza </w:t>
            </w:r>
            <w:r w:rsidR="003A0BBE" w:rsidRPr="009C0BEE">
              <w:rPr>
                <w:sz w:val="22"/>
                <w:szCs w:val="22"/>
              </w:rPr>
              <w:t>k</w:t>
            </w:r>
            <w:r w:rsidR="00F91C4D" w:rsidRPr="009C0BEE">
              <w:rPr>
                <w:sz w:val="22"/>
                <w:szCs w:val="22"/>
              </w:rPr>
              <w:t>apecitabin</w:t>
            </w:r>
            <w:r w:rsidR="003A0BBE" w:rsidRPr="009C0BEE">
              <w:rPr>
                <w:sz w:val="22"/>
                <w:szCs w:val="22"/>
              </w:rPr>
              <w:t>a</w:t>
            </w:r>
            <w:r w:rsidR="004E3B8E" w:rsidRPr="009C0BEE">
              <w:rPr>
                <w:sz w:val="22"/>
                <w:szCs w:val="22"/>
              </w:rPr>
              <w:t xml:space="preserve"> </w:t>
            </w:r>
            <w:r w:rsidRPr="009C0BEE">
              <w:rPr>
                <w:sz w:val="22"/>
                <w:szCs w:val="22"/>
              </w:rPr>
              <w:t>za liječenje metastatskog karcinoma dojke iznosi 1250 mg/m</w:t>
            </w:r>
            <w:r w:rsidRPr="009C0BEE">
              <w:rPr>
                <w:sz w:val="22"/>
                <w:szCs w:val="22"/>
                <w:vertAlign w:val="superscript"/>
              </w:rPr>
              <w:t>2</w:t>
            </w:r>
            <w:r w:rsidRPr="009C0BEE">
              <w:rPr>
                <w:sz w:val="22"/>
                <w:szCs w:val="22"/>
              </w:rPr>
              <w:t xml:space="preserve"> </w:t>
            </w:r>
            <w:r w:rsidR="003A0BBE" w:rsidRPr="009C0BEE">
              <w:rPr>
                <w:sz w:val="22"/>
                <w:szCs w:val="22"/>
              </w:rPr>
              <w:t xml:space="preserve">i uzima se dva puta </w:t>
            </w:r>
            <w:r w:rsidRPr="009C0BEE">
              <w:rPr>
                <w:sz w:val="22"/>
                <w:szCs w:val="22"/>
              </w:rPr>
              <w:t>dn</w:t>
            </w:r>
            <w:r w:rsidR="003A0BBE" w:rsidRPr="009C0BEE">
              <w:rPr>
                <w:sz w:val="22"/>
                <w:szCs w:val="22"/>
              </w:rPr>
              <w:t>evno</w:t>
            </w:r>
            <w:r w:rsidRPr="009C0BEE">
              <w:rPr>
                <w:sz w:val="22"/>
                <w:szCs w:val="22"/>
              </w:rPr>
              <w:t xml:space="preserve"> tokom 14 dana</w:t>
            </w:r>
            <w:r w:rsidR="00497A59" w:rsidRPr="009C0BEE">
              <w:rPr>
                <w:sz w:val="22"/>
                <w:szCs w:val="22"/>
              </w:rPr>
              <w:t>,</w:t>
            </w:r>
            <w:r w:rsidRPr="009C0BEE">
              <w:rPr>
                <w:sz w:val="22"/>
                <w:szCs w:val="22"/>
              </w:rPr>
              <w:t xml:space="preserve"> poslije čega slijedi sedam dana </w:t>
            </w:r>
            <w:r w:rsidR="003A0BBE" w:rsidRPr="009C0BEE">
              <w:rPr>
                <w:sz w:val="22"/>
                <w:szCs w:val="22"/>
              </w:rPr>
              <w:t>p</w:t>
            </w:r>
            <w:r w:rsidRPr="009C0BEE">
              <w:rPr>
                <w:sz w:val="22"/>
                <w:szCs w:val="22"/>
              </w:rPr>
              <w:t>a</w:t>
            </w:r>
            <w:r w:rsidR="003A0BBE" w:rsidRPr="009C0BEE">
              <w:rPr>
                <w:sz w:val="22"/>
                <w:szCs w:val="22"/>
              </w:rPr>
              <w:t>uze</w:t>
            </w:r>
            <w:r w:rsidRPr="009C0BEE">
              <w:rPr>
                <w:sz w:val="22"/>
                <w:szCs w:val="22"/>
              </w:rPr>
              <w:t xml:space="preserve">, </w:t>
            </w:r>
            <w:r w:rsidR="003A0BBE" w:rsidRPr="009C0BEE">
              <w:rPr>
                <w:sz w:val="22"/>
                <w:szCs w:val="22"/>
              </w:rPr>
              <w:t>dok je doza</w:t>
            </w:r>
            <w:r w:rsidRPr="009C0BEE">
              <w:rPr>
                <w:sz w:val="22"/>
                <w:szCs w:val="22"/>
              </w:rPr>
              <w:t xml:space="preserve"> </w:t>
            </w:r>
            <w:r w:rsidR="003A0BBE" w:rsidRPr="009C0BEE">
              <w:rPr>
                <w:sz w:val="22"/>
                <w:szCs w:val="22"/>
              </w:rPr>
              <w:t xml:space="preserve">docetaksela </w:t>
            </w:r>
            <w:r w:rsidRPr="009C0BEE">
              <w:rPr>
                <w:sz w:val="22"/>
                <w:szCs w:val="22"/>
              </w:rPr>
              <w:t>75 mg/m</w:t>
            </w:r>
            <w:r w:rsidRPr="009C0BEE">
              <w:rPr>
                <w:sz w:val="22"/>
                <w:szCs w:val="22"/>
                <w:vertAlign w:val="superscript"/>
              </w:rPr>
              <w:t>2</w:t>
            </w:r>
            <w:r w:rsidRPr="009C0BEE">
              <w:rPr>
                <w:sz w:val="22"/>
                <w:szCs w:val="22"/>
              </w:rPr>
              <w:t xml:space="preserve"> </w:t>
            </w:r>
            <w:r w:rsidR="003A0BBE" w:rsidRPr="009C0BEE">
              <w:rPr>
                <w:sz w:val="22"/>
                <w:szCs w:val="22"/>
              </w:rPr>
              <w:t xml:space="preserve">i primjenjuje se svake 3 nedjelje </w:t>
            </w:r>
            <w:r w:rsidRPr="009C0BEE">
              <w:rPr>
                <w:sz w:val="22"/>
                <w:szCs w:val="22"/>
              </w:rPr>
              <w:t xml:space="preserve">u vidu jednosatne </w:t>
            </w:r>
            <w:r w:rsidR="003A0BBE" w:rsidRPr="009C0BEE">
              <w:rPr>
                <w:sz w:val="22"/>
                <w:szCs w:val="22"/>
              </w:rPr>
              <w:t xml:space="preserve">intravenske </w:t>
            </w:r>
            <w:r w:rsidRPr="009C0BEE">
              <w:rPr>
                <w:sz w:val="22"/>
                <w:szCs w:val="22"/>
              </w:rPr>
              <w:t>infuzije</w:t>
            </w:r>
            <w:r w:rsidR="003A0BBE" w:rsidRPr="009C0BEE">
              <w:rPr>
                <w:sz w:val="22"/>
                <w:szCs w:val="22"/>
              </w:rPr>
              <w:t>.</w:t>
            </w:r>
            <w:r w:rsidRPr="009C0BEE">
              <w:rPr>
                <w:sz w:val="22"/>
                <w:szCs w:val="22"/>
              </w:rPr>
              <w:t xml:space="preserve"> Premedikacija oralnim kortikosteroidima</w:t>
            </w:r>
            <w:r w:rsidR="003A0BBE" w:rsidRPr="009C0BEE">
              <w:rPr>
                <w:sz w:val="22"/>
                <w:szCs w:val="22"/>
              </w:rPr>
              <w:t>,</w:t>
            </w:r>
            <w:r w:rsidRPr="009C0BEE">
              <w:rPr>
                <w:sz w:val="22"/>
                <w:szCs w:val="22"/>
              </w:rPr>
              <w:t xml:space="preserve"> kao što je deksametazon</w:t>
            </w:r>
            <w:r w:rsidR="003A0BBE" w:rsidRPr="009C0BEE">
              <w:rPr>
                <w:sz w:val="22"/>
                <w:szCs w:val="22"/>
              </w:rPr>
              <w:t>, mora započeti prije primjene docetaksela kod pacijenata liječenih kombinacijom kapecitabina i docetaksela, prema</w:t>
            </w:r>
            <w:r w:rsidRPr="009C0BEE">
              <w:rPr>
                <w:sz w:val="22"/>
                <w:szCs w:val="22"/>
              </w:rPr>
              <w:t xml:space="preserve"> Sažetk</w:t>
            </w:r>
            <w:r w:rsidR="003A0BBE" w:rsidRPr="009C0BEE">
              <w:rPr>
                <w:sz w:val="22"/>
                <w:szCs w:val="22"/>
              </w:rPr>
              <w:t>u</w:t>
            </w:r>
            <w:r w:rsidRPr="009C0BEE">
              <w:rPr>
                <w:sz w:val="22"/>
                <w:szCs w:val="22"/>
              </w:rPr>
              <w:t xml:space="preserve"> karakteristika lijeka za docetaksel</w:t>
            </w:r>
            <w:r w:rsidR="003A0BBE" w:rsidRPr="009C0BEE">
              <w:rPr>
                <w:sz w:val="22"/>
                <w:szCs w:val="22"/>
              </w:rPr>
              <w:t>.</w:t>
            </w:r>
          </w:p>
          <w:p w:rsidR="00C6356D" w:rsidRPr="009C0BEE" w:rsidRDefault="00C6356D" w:rsidP="003A0BBE">
            <w:pPr>
              <w:jc w:val="both"/>
              <w:rPr>
                <w:sz w:val="22"/>
                <w:szCs w:val="22"/>
              </w:rPr>
            </w:pPr>
            <w:r w:rsidRPr="009C0BEE">
              <w:rPr>
                <w:sz w:val="22"/>
                <w:szCs w:val="22"/>
              </w:rPr>
              <w:t xml:space="preserve"> </w:t>
            </w:r>
          </w:p>
          <w:p w:rsidR="00C6356D" w:rsidRPr="009C0BEE" w:rsidRDefault="00C6356D" w:rsidP="00C6356D">
            <w:pPr>
              <w:rPr>
                <w:sz w:val="22"/>
                <w:szCs w:val="22"/>
                <w:u w:val="single"/>
              </w:rPr>
            </w:pPr>
            <w:r w:rsidRPr="009C0BEE">
              <w:rPr>
                <w:sz w:val="22"/>
                <w:szCs w:val="22"/>
                <w:u w:val="single"/>
              </w:rPr>
              <w:t xml:space="preserve">Izračunavanje doze </w:t>
            </w:r>
            <w:r w:rsidR="000B4B78" w:rsidRPr="009C0BEE">
              <w:rPr>
                <w:sz w:val="22"/>
                <w:szCs w:val="22"/>
                <w:u w:val="single"/>
              </w:rPr>
              <w:t xml:space="preserve">lijeka </w:t>
            </w:r>
            <w:r w:rsidR="00F91C4D" w:rsidRPr="009C0BEE">
              <w:rPr>
                <w:sz w:val="22"/>
                <w:szCs w:val="22"/>
                <w:u w:val="single"/>
              </w:rPr>
              <w:t>Kapecitabin</w:t>
            </w:r>
            <w:r w:rsidR="000B4B78" w:rsidRPr="009C0BEE">
              <w:rPr>
                <w:sz w:val="22"/>
                <w:szCs w:val="22"/>
                <w:u w:val="single"/>
              </w:rPr>
              <w:t xml:space="preserve"> Teva</w:t>
            </w:r>
          </w:p>
          <w:p w:rsidR="00ED27ED" w:rsidRPr="009C0BEE" w:rsidRDefault="00ED27ED" w:rsidP="00C6356D">
            <w:pPr>
              <w:rPr>
                <w:sz w:val="22"/>
                <w:szCs w:val="22"/>
                <w:u w:val="single"/>
              </w:rPr>
            </w:pPr>
          </w:p>
          <w:p w:rsidR="00C6356D" w:rsidRPr="009C0BEE" w:rsidRDefault="00C6356D" w:rsidP="00C6356D">
            <w:pPr>
              <w:rPr>
                <w:sz w:val="22"/>
                <w:szCs w:val="22"/>
              </w:rPr>
            </w:pPr>
            <w:r w:rsidRPr="009C0BEE">
              <w:rPr>
                <w:sz w:val="22"/>
                <w:szCs w:val="22"/>
              </w:rPr>
              <w:lastRenderedPageBreak/>
              <w:t>Ta</w:t>
            </w:r>
            <w:r w:rsidR="00ED27ED" w:rsidRPr="009C0BEE">
              <w:rPr>
                <w:sz w:val="22"/>
                <w:szCs w:val="22"/>
              </w:rPr>
              <w:t>bela 1: Izračunavanje standardnih i smanjenih doza</w:t>
            </w:r>
            <w:r w:rsidRPr="009C0BEE">
              <w:rPr>
                <w:sz w:val="22"/>
                <w:szCs w:val="22"/>
              </w:rPr>
              <w:t xml:space="preserve"> </w:t>
            </w:r>
            <w:r w:rsidR="00ED27ED" w:rsidRPr="009C0BEE">
              <w:rPr>
                <w:sz w:val="22"/>
                <w:szCs w:val="22"/>
              </w:rPr>
              <w:t>prema površini tijela</w:t>
            </w:r>
            <w:r w:rsidRPr="009C0BEE">
              <w:rPr>
                <w:sz w:val="22"/>
                <w:szCs w:val="22"/>
              </w:rPr>
              <w:t xml:space="preserve"> za početnu dozu </w:t>
            </w:r>
            <w:r w:rsidR="002D745E" w:rsidRPr="009C0BEE">
              <w:rPr>
                <w:sz w:val="22"/>
                <w:szCs w:val="22"/>
              </w:rPr>
              <w:t>kapecitabina</w:t>
            </w:r>
            <w:r w:rsidR="005E7E41" w:rsidRPr="009C0BEE">
              <w:rPr>
                <w:sz w:val="22"/>
                <w:szCs w:val="22"/>
              </w:rPr>
              <w:t xml:space="preserve"> od </w:t>
            </w:r>
            <w:r w:rsidRPr="009C0BEE">
              <w:rPr>
                <w:sz w:val="22"/>
                <w:szCs w:val="22"/>
              </w:rPr>
              <w:t>1250 mg/m</w:t>
            </w:r>
            <w:r w:rsidRPr="009C0BEE">
              <w:rPr>
                <w:sz w:val="22"/>
                <w:szCs w:val="22"/>
                <w:vertAlign w:val="superscript"/>
              </w:rPr>
              <w:t>2</w:t>
            </w:r>
          </w:p>
          <w:p w:rsidR="00ED27ED" w:rsidRPr="009C0BEE" w:rsidRDefault="00ED27ED" w:rsidP="00C6356D">
            <w:pPr>
              <w:rPr>
                <w:color w:val="FF0000"/>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620"/>
              <w:gridCol w:w="1260"/>
              <w:gridCol w:w="1350"/>
              <w:gridCol w:w="1985"/>
              <w:gridCol w:w="1705"/>
            </w:tblGrid>
            <w:tr w:rsidR="00D17F29" w:rsidRPr="009C0BEE" w:rsidTr="005E7E41">
              <w:tc>
                <w:tcPr>
                  <w:tcW w:w="1165" w:type="dxa"/>
                  <w:shd w:val="clear" w:color="auto" w:fill="auto"/>
                </w:tcPr>
                <w:p w:rsidR="00C6356D" w:rsidRPr="009C0BEE" w:rsidRDefault="00C6356D" w:rsidP="00C6356D">
                  <w:pPr>
                    <w:rPr>
                      <w:rFonts w:eastAsia="PMingLiU"/>
                      <w:color w:val="FF0000"/>
                      <w:sz w:val="22"/>
                      <w:szCs w:val="22"/>
                    </w:rPr>
                  </w:pPr>
                </w:p>
              </w:tc>
              <w:tc>
                <w:tcPr>
                  <w:tcW w:w="7920" w:type="dxa"/>
                  <w:gridSpan w:val="5"/>
                  <w:shd w:val="clear" w:color="auto" w:fill="auto"/>
                </w:tcPr>
                <w:p w:rsidR="00C6356D" w:rsidRPr="009C0BEE" w:rsidRDefault="00DD4775" w:rsidP="00DD4775">
                  <w:pPr>
                    <w:jc w:val="center"/>
                    <w:rPr>
                      <w:rFonts w:eastAsia="PMingLiU"/>
                      <w:sz w:val="22"/>
                      <w:szCs w:val="22"/>
                    </w:rPr>
                  </w:pPr>
                  <w:r w:rsidRPr="009C0BEE">
                    <w:rPr>
                      <w:rFonts w:eastAsia="PMingLiU"/>
                      <w:sz w:val="22"/>
                      <w:szCs w:val="22"/>
                    </w:rPr>
                    <w:t xml:space="preserve">Doza </w:t>
                  </w:r>
                  <w:r w:rsidR="00C6356D" w:rsidRPr="009C0BEE">
                    <w:rPr>
                      <w:rFonts w:eastAsia="PMingLiU"/>
                      <w:sz w:val="22"/>
                      <w:szCs w:val="22"/>
                    </w:rPr>
                    <w:t>o</w:t>
                  </w:r>
                  <w:r w:rsidRPr="009C0BEE">
                    <w:rPr>
                      <w:rFonts w:eastAsia="PMingLiU"/>
                      <w:sz w:val="22"/>
                      <w:szCs w:val="22"/>
                    </w:rPr>
                    <w:t>d</w:t>
                  </w:r>
                  <w:r w:rsidR="00C6356D" w:rsidRPr="009C0BEE">
                    <w:rPr>
                      <w:rFonts w:eastAsia="PMingLiU"/>
                      <w:sz w:val="22"/>
                      <w:szCs w:val="22"/>
                    </w:rPr>
                    <w:t xml:space="preserve"> 1250 mg/m</w:t>
                  </w:r>
                  <w:r w:rsidR="00C6356D" w:rsidRPr="009C0BEE">
                    <w:rPr>
                      <w:rFonts w:eastAsia="PMingLiU"/>
                      <w:sz w:val="22"/>
                      <w:szCs w:val="22"/>
                      <w:vertAlign w:val="superscript"/>
                    </w:rPr>
                    <w:t>2</w:t>
                  </w:r>
                  <w:r w:rsidRPr="009C0BEE">
                    <w:rPr>
                      <w:rFonts w:eastAsia="PMingLiU"/>
                      <w:sz w:val="22"/>
                      <w:szCs w:val="22"/>
                      <w:vertAlign w:val="superscript"/>
                    </w:rPr>
                    <w:t xml:space="preserve"> </w:t>
                  </w:r>
                  <w:r w:rsidRPr="009C0BEE">
                    <w:rPr>
                      <w:rFonts w:eastAsia="PMingLiU"/>
                      <w:sz w:val="22"/>
                      <w:szCs w:val="22"/>
                    </w:rPr>
                    <w:t xml:space="preserve">(dva puta </w:t>
                  </w:r>
                  <w:r w:rsidR="00C6356D" w:rsidRPr="009C0BEE">
                    <w:rPr>
                      <w:rFonts w:eastAsia="PMingLiU"/>
                      <w:sz w:val="22"/>
                      <w:szCs w:val="22"/>
                    </w:rPr>
                    <w:t>dn</w:t>
                  </w:r>
                  <w:r w:rsidRPr="009C0BEE">
                    <w:rPr>
                      <w:rFonts w:eastAsia="PMingLiU"/>
                      <w:sz w:val="22"/>
                      <w:szCs w:val="22"/>
                    </w:rPr>
                    <w:t>evno</w:t>
                  </w:r>
                  <w:r w:rsidR="00C6356D" w:rsidRPr="009C0BEE">
                    <w:rPr>
                      <w:rFonts w:eastAsia="PMingLiU"/>
                      <w:sz w:val="22"/>
                      <w:szCs w:val="22"/>
                    </w:rPr>
                    <w:t>)</w:t>
                  </w:r>
                </w:p>
              </w:tc>
            </w:tr>
            <w:tr w:rsidR="00D17F29" w:rsidRPr="009C0BEE" w:rsidTr="005E7E41">
              <w:tc>
                <w:tcPr>
                  <w:tcW w:w="1165" w:type="dxa"/>
                  <w:shd w:val="clear" w:color="auto" w:fill="auto"/>
                </w:tcPr>
                <w:p w:rsidR="00C6356D" w:rsidRPr="009C0BEE" w:rsidRDefault="00C6356D" w:rsidP="00C6356D">
                  <w:pPr>
                    <w:rPr>
                      <w:rFonts w:eastAsia="PMingLiU"/>
                      <w:color w:val="FF0000"/>
                      <w:sz w:val="22"/>
                      <w:szCs w:val="22"/>
                    </w:rPr>
                  </w:pPr>
                </w:p>
              </w:tc>
              <w:tc>
                <w:tcPr>
                  <w:tcW w:w="1620" w:type="dxa"/>
                  <w:shd w:val="clear" w:color="auto" w:fill="auto"/>
                </w:tcPr>
                <w:p w:rsidR="00AC3B50" w:rsidRPr="009C0BEE" w:rsidRDefault="00AC3B50" w:rsidP="00C6356D">
                  <w:pPr>
                    <w:rPr>
                      <w:rFonts w:eastAsia="PMingLiU"/>
                      <w:sz w:val="22"/>
                      <w:szCs w:val="22"/>
                    </w:rPr>
                  </w:pPr>
                  <w:r w:rsidRPr="009C0BEE">
                    <w:rPr>
                      <w:rFonts w:eastAsia="PMingLiU"/>
                      <w:sz w:val="22"/>
                      <w:szCs w:val="22"/>
                    </w:rPr>
                    <w:t xml:space="preserve"> </w:t>
                  </w:r>
                </w:p>
                <w:p w:rsidR="00C6356D" w:rsidRPr="009C0BEE" w:rsidRDefault="00AC3B50" w:rsidP="00C6356D">
                  <w:pPr>
                    <w:rPr>
                      <w:rFonts w:eastAsia="PMingLiU"/>
                      <w:sz w:val="22"/>
                      <w:szCs w:val="22"/>
                    </w:rPr>
                  </w:pPr>
                  <w:r w:rsidRPr="009C0BEE">
                    <w:rPr>
                      <w:rFonts w:eastAsia="PMingLiU"/>
                      <w:sz w:val="22"/>
                      <w:szCs w:val="22"/>
                    </w:rPr>
                    <w:t>Puna doza</w:t>
                  </w:r>
                  <w:r w:rsidR="00C6356D" w:rsidRPr="009C0BEE">
                    <w:rPr>
                      <w:rFonts w:eastAsia="PMingLiU"/>
                      <w:sz w:val="22"/>
                      <w:szCs w:val="22"/>
                    </w:rPr>
                    <w:t xml:space="preserve"> 1250 mg/m</w:t>
                  </w:r>
                  <w:r w:rsidR="00C6356D" w:rsidRPr="009C0BEE">
                    <w:rPr>
                      <w:rFonts w:eastAsia="PMingLiU"/>
                      <w:sz w:val="22"/>
                      <w:szCs w:val="22"/>
                      <w:vertAlign w:val="superscript"/>
                    </w:rPr>
                    <w:t>2</w:t>
                  </w:r>
                </w:p>
              </w:tc>
              <w:tc>
                <w:tcPr>
                  <w:tcW w:w="2610" w:type="dxa"/>
                  <w:gridSpan w:val="2"/>
                  <w:shd w:val="clear" w:color="auto" w:fill="auto"/>
                </w:tcPr>
                <w:p w:rsidR="00C6356D" w:rsidRPr="009C0BEE" w:rsidRDefault="00C6356D" w:rsidP="00AC3B50">
                  <w:pPr>
                    <w:rPr>
                      <w:rFonts w:eastAsia="PMingLiU"/>
                      <w:sz w:val="22"/>
                      <w:szCs w:val="22"/>
                    </w:rPr>
                  </w:pPr>
                  <w:r w:rsidRPr="009C0BEE">
                    <w:rPr>
                      <w:rFonts w:eastAsia="PMingLiU"/>
                      <w:sz w:val="22"/>
                      <w:szCs w:val="22"/>
                    </w:rPr>
                    <w:t xml:space="preserve">Broj tableta od 150 mg i/ili 500 mg po </w:t>
                  </w:r>
                  <w:r w:rsidR="00AC3B50" w:rsidRPr="009C0BEE">
                    <w:rPr>
                      <w:rFonts w:eastAsia="PMingLiU"/>
                      <w:sz w:val="22"/>
                      <w:szCs w:val="22"/>
                    </w:rPr>
                    <w:t>jednoj primjeni</w:t>
                  </w:r>
                  <w:r w:rsidRPr="009C0BEE">
                    <w:rPr>
                      <w:rFonts w:eastAsia="PMingLiU"/>
                      <w:sz w:val="22"/>
                      <w:szCs w:val="22"/>
                    </w:rPr>
                    <w:t xml:space="preserve"> lijeka (</w:t>
                  </w:r>
                  <w:r w:rsidR="00AC3B50" w:rsidRPr="009C0BEE">
                    <w:rPr>
                      <w:rFonts w:eastAsia="PMingLiU"/>
                      <w:sz w:val="22"/>
                      <w:szCs w:val="22"/>
                    </w:rPr>
                    <w:t xml:space="preserve">svaka doza se uzima </w:t>
                  </w:r>
                  <w:r w:rsidRPr="009C0BEE">
                    <w:rPr>
                      <w:rFonts w:eastAsia="PMingLiU"/>
                      <w:sz w:val="22"/>
                      <w:szCs w:val="22"/>
                    </w:rPr>
                    <w:t>ujutru i uveče)</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Smanjena doza (75%)</w:t>
                  </w:r>
                </w:p>
                <w:p w:rsidR="00C6356D" w:rsidRPr="009C0BEE" w:rsidRDefault="00C6356D" w:rsidP="00C6356D">
                  <w:pPr>
                    <w:rPr>
                      <w:rFonts w:eastAsia="PMingLiU"/>
                      <w:sz w:val="22"/>
                      <w:szCs w:val="22"/>
                    </w:rPr>
                  </w:pPr>
                  <w:r w:rsidRPr="009C0BEE">
                    <w:rPr>
                      <w:rFonts w:eastAsia="PMingLiU"/>
                      <w:sz w:val="22"/>
                      <w:szCs w:val="22"/>
                    </w:rPr>
                    <w:t>950 mg/m</w:t>
                  </w:r>
                  <w:r w:rsidRPr="009C0BEE">
                    <w:rPr>
                      <w:rFonts w:eastAsia="PMingLiU"/>
                      <w:sz w:val="22"/>
                      <w:szCs w:val="22"/>
                      <w:vertAlign w:val="superscript"/>
                    </w:rPr>
                    <w:t>2</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Smanjena doza (50%)</w:t>
                  </w:r>
                </w:p>
                <w:p w:rsidR="00C6356D" w:rsidRPr="009C0BEE" w:rsidRDefault="00C6356D" w:rsidP="00C6356D">
                  <w:pPr>
                    <w:rPr>
                      <w:rFonts w:eastAsia="PMingLiU"/>
                      <w:sz w:val="22"/>
                      <w:szCs w:val="22"/>
                    </w:rPr>
                  </w:pPr>
                  <w:r w:rsidRPr="009C0BEE">
                    <w:rPr>
                      <w:rFonts w:eastAsia="PMingLiU"/>
                      <w:sz w:val="22"/>
                      <w:szCs w:val="22"/>
                    </w:rPr>
                    <w:t>625 mg/m</w:t>
                  </w:r>
                  <w:r w:rsidRPr="009C0BEE">
                    <w:rPr>
                      <w:rFonts w:eastAsia="PMingLiU"/>
                      <w:sz w:val="22"/>
                      <w:szCs w:val="22"/>
                      <w:vertAlign w:val="superscript"/>
                    </w:rPr>
                    <w:t>2</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Površina tijela (m</w:t>
                  </w:r>
                  <w:r w:rsidRPr="009C0BEE">
                    <w:rPr>
                      <w:rFonts w:eastAsia="PMingLiU"/>
                      <w:sz w:val="22"/>
                      <w:szCs w:val="22"/>
                      <w:vertAlign w:val="superscript"/>
                    </w:rPr>
                    <w:t>2</w:t>
                  </w:r>
                  <w:r w:rsidRPr="009C0BEE">
                    <w:rPr>
                      <w:rFonts w:eastAsia="PMingLiU"/>
                      <w:sz w:val="22"/>
                      <w:szCs w:val="22"/>
                    </w:rPr>
                    <w:t>)</w:t>
                  </w:r>
                </w:p>
              </w:tc>
              <w:tc>
                <w:tcPr>
                  <w:tcW w:w="1620" w:type="dxa"/>
                  <w:shd w:val="clear" w:color="auto" w:fill="auto"/>
                </w:tcPr>
                <w:p w:rsidR="00C6356D" w:rsidRPr="009C0BEE" w:rsidRDefault="000A5789" w:rsidP="00C6356D">
                  <w:pPr>
                    <w:rPr>
                      <w:rFonts w:eastAsia="PMingLiU"/>
                      <w:sz w:val="22"/>
                      <w:szCs w:val="22"/>
                    </w:rPr>
                  </w:pPr>
                  <w:r w:rsidRPr="009C0BEE">
                    <w:rPr>
                      <w:rFonts w:eastAsia="PMingLiU"/>
                      <w:sz w:val="22"/>
                      <w:szCs w:val="22"/>
                    </w:rPr>
                    <w:t>Doza po jednoj</w:t>
                  </w:r>
                  <w:r w:rsidR="00C6356D" w:rsidRPr="009C0BEE">
                    <w:rPr>
                      <w:rFonts w:eastAsia="PMingLiU"/>
                      <w:sz w:val="22"/>
                      <w:szCs w:val="22"/>
                    </w:rPr>
                    <w:t xml:space="preserve">  </w:t>
                  </w:r>
                  <w:r w:rsidRPr="009C0BEE">
                    <w:rPr>
                      <w:rFonts w:eastAsia="PMingLiU"/>
                      <w:sz w:val="22"/>
                      <w:szCs w:val="22"/>
                    </w:rPr>
                    <w:t>primjeni (mg)</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150 mg</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500 mg</w:t>
                  </w:r>
                </w:p>
              </w:tc>
              <w:tc>
                <w:tcPr>
                  <w:tcW w:w="1985" w:type="dxa"/>
                  <w:shd w:val="clear" w:color="auto" w:fill="auto"/>
                </w:tcPr>
                <w:p w:rsidR="00C6356D" w:rsidRPr="009C0BEE" w:rsidRDefault="000A5789" w:rsidP="000A5789">
                  <w:pPr>
                    <w:rPr>
                      <w:rFonts w:eastAsia="PMingLiU"/>
                      <w:sz w:val="22"/>
                      <w:szCs w:val="22"/>
                    </w:rPr>
                  </w:pPr>
                  <w:r w:rsidRPr="009C0BEE">
                    <w:rPr>
                      <w:rFonts w:eastAsia="PMingLiU"/>
                      <w:sz w:val="22"/>
                      <w:szCs w:val="22"/>
                    </w:rPr>
                    <w:t>Doza po jednoj  primjeni (mg)</w:t>
                  </w:r>
                  <w:r w:rsidR="00C6356D" w:rsidRPr="009C0BEE">
                    <w:rPr>
                      <w:rFonts w:eastAsia="PMingLiU"/>
                      <w:sz w:val="22"/>
                      <w:szCs w:val="22"/>
                    </w:rPr>
                    <w:t xml:space="preserve"> </w:t>
                  </w:r>
                </w:p>
              </w:tc>
              <w:tc>
                <w:tcPr>
                  <w:tcW w:w="1705" w:type="dxa"/>
                  <w:shd w:val="clear" w:color="auto" w:fill="auto"/>
                </w:tcPr>
                <w:p w:rsidR="00C6356D" w:rsidRPr="009C0BEE" w:rsidRDefault="000A5789" w:rsidP="00C6356D">
                  <w:pPr>
                    <w:rPr>
                      <w:rFonts w:eastAsia="PMingLiU"/>
                      <w:sz w:val="22"/>
                      <w:szCs w:val="22"/>
                    </w:rPr>
                  </w:pPr>
                  <w:r w:rsidRPr="009C0BEE">
                    <w:rPr>
                      <w:rFonts w:eastAsia="PMingLiU"/>
                      <w:sz w:val="22"/>
                      <w:szCs w:val="22"/>
                    </w:rPr>
                    <w:t>Doza po jednoj  primjeni (mg)</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≤1,26</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1500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3</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1150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800</w:t>
                  </w:r>
                </w:p>
              </w:tc>
            </w:tr>
            <w:tr w:rsidR="00D17F29" w:rsidRPr="009C0BEE" w:rsidTr="005E7E41">
              <w:tc>
                <w:tcPr>
                  <w:tcW w:w="1165" w:type="dxa"/>
                  <w:shd w:val="clear" w:color="auto" w:fill="auto"/>
                </w:tcPr>
                <w:p w:rsidR="00C6356D" w:rsidRPr="009C0BEE" w:rsidRDefault="00C82A07" w:rsidP="00C6356D">
                  <w:pPr>
                    <w:rPr>
                      <w:rFonts w:eastAsia="PMingLiU"/>
                      <w:sz w:val="22"/>
                      <w:szCs w:val="22"/>
                    </w:rPr>
                  </w:pPr>
                  <w:r w:rsidRPr="009C0BEE">
                    <w:rPr>
                      <w:rFonts w:eastAsia="PMingLiU"/>
                      <w:sz w:val="22"/>
                      <w:szCs w:val="22"/>
                    </w:rPr>
                    <w:t>1</w:t>
                  </w:r>
                  <w:r w:rsidR="00C6356D" w:rsidRPr="009C0BEE">
                    <w:rPr>
                      <w:rFonts w:eastAsia="PMingLiU"/>
                      <w:sz w:val="22"/>
                      <w:szCs w:val="22"/>
                    </w:rPr>
                    <w:t>,27-1,38</w:t>
                  </w:r>
                </w:p>
              </w:tc>
              <w:tc>
                <w:tcPr>
                  <w:tcW w:w="1620" w:type="dxa"/>
                  <w:shd w:val="clear" w:color="auto" w:fill="auto"/>
                </w:tcPr>
                <w:p w:rsidR="00C6356D" w:rsidRPr="009C0BEE" w:rsidRDefault="00C82A07" w:rsidP="00C6356D">
                  <w:pPr>
                    <w:rPr>
                      <w:rFonts w:eastAsia="PMingLiU"/>
                      <w:sz w:val="22"/>
                      <w:szCs w:val="22"/>
                    </w:rPr>
                  </w:pPr>
                  <w:r w:rsidRPr="009C0BEE">
                    <w:rPr>
                      <w:rFonts w:eastAsia="PMingLiU"/>
                      <w:sz w:val="22"/>
                      <w:szCs w:val="22"/>
                    </w:rPr>
                    <w:t>165</w:t>
                  </w:r>
                  <w:r w:rsidR="00C6356D" w:rsidRPr="009C0BEE">
                    <w:rPr>
                      <w:rFonts w:eastAsia="PMingLiU"/>
                      <w:sz w:val="22"/>
                      <w:szCs w:val="22"/>
                    </w:rPr>
                    <w:t>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1</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3</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1300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800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1,39-1,52</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1800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3</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1450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950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1,53-1,66</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2000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1500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1000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1,67-1,78</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2150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1</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1650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1000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1,79-1,92</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2300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1800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1150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1,93-2,06</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2500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5</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1950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1300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2,07-2,18</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2650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1</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5</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2000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1300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≥2,19</w:t>
                  </w:r>
                </w:p>
              </w:tc>
              <w:tc>
                <w:tcPr>
                  <w:tcW w:w="1620" w:type="dxa"/>
                  <w:shd w:val="clear" w:color="auto" w:fill="auto"/>
                </w:tcPr>
                <w:p w:rsidR="00C6356D" w:rsidRPr="009C0BEE" w:rsidRDefault="00C6356D" w:rsidP="00C6356D">
                  <w:pPr>
                    <w:rPr>
                      <w:rFonts w:eastAsia="PMingLiU"/>
                      <w:sz w:val="22"/>
                      <w:szCs w:val="22"/>
                    </w:rPr>
                  </w:pPr>
                  <w:r w:rsidRPr="009C0BEE">
                    <w:rPr>
                      <w:rFonts w:eastAsia="PMingLiU"/>
                      <w:sz w:val="22"/>
                      <w:szCs w:val="22"/>
                    </w:rPr>
                    <w:t>2800</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1350" w:type="dxa"/>
                  <w:shd w:val="clear" w:color="auto" w:fill="auto"/>
                </w:tcPr>
                <w:p w:rsidR="00C6356D" w:rsidRPr="009C0BEE" w:rsidRDefault="00C6356D" w:rsidP="00C6356D">
                  <w:pPr>
                    <w:rPr>
                      <w:rFonts w:eastAsia="PMingLiU"/>
                      <w:sz w:val="22"/>
                      <w:szCs w:val="22"/>
                    </w:rPr>
                  </w:pPr>
                  <w:r w:rsidRPr="009C0BEE">
                    <w:rPr>
                      <w:rFonts w:eastAsia="PMingLiU"/>
                      <w:sz w:val="22"/>
                      <w:szCs w:val="22"/>
                    </w:rPr>
                    <w:t>5</w:t>
                  </w:r>
                </w:p>
              </w:tc>
              <w:tc>
                <w:tcPr>
                  <w:tcW w:w="1985" w:type="dxa"/>
                  <w:shd w:val="clear" w:color="auto" w:fill="auto"/>
                </w:tcPr>
                <w:p w:rsidR="00C6356D" w:rsidRPr="009C0BEE" w:rsidRDefault="00C6356D" w:rsidP="00C6356D">
                  <w:pPr>
                    <w:rPr>
                      <w:rFonts w:eastAsia="PMingLiU"/>
                      <w:sz w:val="22"/>
                      <w:szCs w:val="22"/>
                    </w:rPr>
                  </w:pPr>
                  <w:r w:rsidRPr="009C0BEE">
                    <w:rPr>
                      <w:rFonts w:eastAsia="PMingLiU"/>
                      <w:sz w:val="22"/>
                      <w:szCs w:val="22"/>
                    </w:rPr>
                    <w:t>2150</w:t>
                  </w:r>
                </w:p>
              </w:tc>
              <w:tc>
                <w:tcPr>
                  <w:tcW w:w="1705" w:type="dxa"/>
                  <w:shd w:val="clear" w:color="auto" w:fill="auto"/>
                </w:tcPr>
                <w:p w:rsidR="00C6356D" w:rsidRPr="009C0BEE" w:rsidRDefault="00C6356D" w:rsidP="00C6356D">
                  <w:pPr>
                    <w:rPr>
                      <w:rFonts w:eastAsia="PMingLiU"/>
                      <w:sz w:val="22"/>
                      <w:szCs w:val="22"/>
                    </w:rPr>
                  </w:pPr>
                  <w:r w:rsidRPr="009C0BEE">
                    <w:rPr>
                      <w:rFonts w:eastAsia="PMingLiU"/>
                      <w:sz w:val="22"/>
                      <w:szCs w:val="22"/>
                    </w:rPr>
                    <w:t>1450</w:t>
                  </w:r>
                </w:p>
              </w:tc>
            </w:tr>
          </w:tbl>
          <w:p w:rsidR="00C6356D" w:rsidRPr="009C0BEE" w:rsidRDefault="00C6356D" w:rsidP="00C6356D">
            <w:pPr>
              <w:rPr>
                <w:color w:val="FF0000"/>
                <w:sz w:val="22"/>
                <w:szCs w:val="22"/>
              </w:rPr>
            </w:pPr>
          </w:p>
          <w:p w:rsidR="00C6356D" w:rsidRPr="009C0BEE" w:rsidRDefault="00C6356D" w:rsidP="00C6356D">
            <w:pPr>
              <w:rPr>
                <w:color w:val="FF0000"/>
                <w:sz w:val="22"/>
                <w:szCs w:val="22"/>
              </w:rPr>
            </w:pPr>
          </w:p>
          <w:p w:rsidR="00556536" w:rsidRPr="009C0BEE" w:rsidRDefault="00C6356D" w:rsidP="00C6356D">
            <w:pPr>
              <w:rPr>
                <w:sz w:val="22"/>
                <w:szCs w:val="22"/>
              </w:rPr>
            </w:pPr>
            <w:r w:rsidRPr="009C0BEE">
              <w:rPr>
                <w:sz w:val="22"/>
                <w:szCs w:val="22"/>
              </w:rPr>
              <w:t>Ta</w:t>
            </w:r>
            <w:r w:rsidR="00556536" w:rsidRPr="009C0BEE">
              <w:rPr>
                <w:sz w:val="22"/>
                <w:szCs w:val="22"/>
              </w:rPr>
              <w:t>bela 2: Izračunavanje standardnih i smanjenih doza</w:t>
            </w:r>
            <w:r w:rsidRPr="009C0BEE">
              <w:rPr>
                <w:sz w:val="22"/>
                <w:szCs w:val="22"/>
              </w:rPr>
              <w:t xml:space="preserve"> </w:t>
            </w:r>
            <w:r w:rsidR="00556536" w:rsidRPr="009C0BEE">
              <w:rPr>
                <w:sz w:val="22"/>
                <w:szCs w:val="22"/>
              </w:rPr>
              <w:t xml:space="preserve">prema površini tijela </w:t>
            </w:r>
            <w:r w:rsidRPr="009C0BEE">
              <w:rPr>
                <w:sz w:val="22"/>
                <w:szCs w:val="22"/>
              </w:rPr>
              <w:t xml:space="preserve">za početnu dozu </w:t>
            </w:r>
            <w:r w:rsidR="00556536" w:rsidRPr="009C0BEE">
              <w:rPr>
                <w:sz w:val="22"/>
                <w:szCs w:val="22"/>
              </w:rPr>
              <w:t>k</w:t>
            </w:r>
            <w:r w:rsidR="00F91C4D" w:rsidRPr="009C0BEE">
              <w:rPr>
                <w:sz w:val="22"/>
                <w:szCs w:val="22"/>
              </w:rPr>
              <w:t>apecitabin</w:t>
            </w:r>
            <w:r w:rsidR="00556536" w:rsidRPr="009C0BEE">
              <w:rPr>
                <w:sz w:val="22"/>
                <w:szCs w:val="22"/>
              </w:rPr>
              <w:t>a</w:t>
            </w:r>
            <w:r w:rsidR="000B4B78" w:rsidRPr="009C0BEE">
              <w:rPr>
                <w:sz w:val="22"/>
                <w:szCs w:val="22"/>
              </w:rPr>
              <w:t xml:space="preserve"> </w:t>
            </w:r>
          </w:p>
          <w:p w:rsidR="00C6356D" w:rsidRPr="009C0BEE" w:rsidRDefault="00556536" w:rsidP="00C6356D">
            <w:pPr>
              <w:rPr>
                <w:sz w:val="22"/>
                <w:szCs w:val="22"/>
                <w:vertAlign w:val="superscript"/>
              </w:rPr>
            </w:pPr>
            <w:r w:rsidRPr="009C0BEE">
              <w:rPr>
                <w:sz w:val="22"/>
                <w:szCs w:val="22"/>
              </w:rPr>
              <w:t xml:space="preserve">                </w:t>
            </w:r>
            <w:r w:rsidR="00C6356D" w:rsidRPr="009C0BEE">
              <w:rPr>
                <w:sz w:val="22"/>
                <w:szCs w:val="22"/>
              </w:rPr>
              <w:t>od 1000 mg/m</w:t>
            </w:r>
            <w:r w:rsidR="00C6356D" w:rsidRPr="009C0BEE">
              <w:rPr>
                <w:sz w:val="22"/>
                <w:szCs w:val="22"/>
                <w:vertAlign w:val="superscript"/>
              </w:rPr>
              <w:t>2</w:t>
            </w:r>
          </w:p>
          <w:p w:rsidR="005E7E41" w:rsidRPr="009C0BEE" w:rsidRDefault="005E7E41" w:rsidP="00C6356D">
            <w:pPr>
              <w:rPr>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710"/>
              <w:gridCol w:w="1170"/>
              <w:gridCol w:w="1260"/>
              <w:gridCol w:w="2075"/>
              <w:gridCol w:w="1476"/>
            </w:tblGrid>
            <w:tr w:rsidR="00D17F29" w:rsidRPr="009C0BEE" w:rsidTr="005E7E41">
              <w:tc>
                <w:tcPr>
                  <w:tcW w:w="1165" w:type="dxa"/>
                  <w:shd w:val="clear" w:color="auto" w:fill="auto"/>
                </w:tcPr>
                <w:p w:rsidR="00C6356D" w:rsidRPr="009C0BEE" w:rsidRDefault="00C6356D" w:rsidP="00C6356D">
                  <w:pPr>
                    <w:rPr>
                      <w:rFonts w:eastAsia="PMingLiU"/>
                      <w:color w:val="FF0000"/>
                      <w:sz w:val="22"/>
                      <w:szCs w:val="22"/>
                    </w:rPr>
                  </w:pPr>
                </w:p>
              </w:tc>
              <w:tc>
                <w:tcPr>
                  <w:tcW w:w="7691" w:type="dxa"/>
                  <w:gridSpan w:val="5"/>
                  <w:shd w:val="clear" w:color="auto" w:fill="auto"/>
                </w:tcPr>
                <w:p w:rsidR="00C6356D" w:rsidRPr="009C0BEE" w:rsidRDefault="00006889" w:rsidP="00C6356D">
                  <w:pPr>
                    <w:jc w:val="center"/>
                    <w:rPr>
                      <w:rFonts w:eastAsia="PMingLiU"/>
                      <w:sz w:val="22"/>
                      <w:szCs w:val="22"/>
                    </w:rPr>
                  </w:pPr>
                  <w:r w:rsidRPr="009C0BEE">
                    <w:rPr>
                      <w:rFonts w:eastAsia="PMingLiU"/>
                      <w:sz w:val="22"/>
                      <w:szCs w:val="22"/>
                    </w:rPr>
                    <w:t xml:space="preserve">Doza </w:t>
                  </w:r>
                  <w:r w:rsidR="00C6356D" w:rsidRPr="009C0BEE">
                    <w:rPr>
                      <w:rFonts w:eastAsia="PMingLiU"/>
                      <w:sz w:val="22"/>
                      <w:szCs w:val="22"/>
                    </w:rPr>
                    <w:t>o</w:t>
                  </w:r>
                  <w:r w:rsidRPr="009C0BEE">
                    <w:rPr>
                      <w:rFonts w:eastAsia="PMingLiU"/>
                      <w:sz w:val="22"/>
                      <w:szCs w:val="22"/>
                    </w:rPr>
                    <w:t>d</w:t>
                  </w:r>
                  <w:r w:rsidR="00C6356D" w:rsidRPr="009C0BEE">
                    <w:rPr>
                      <w:rFonts w:eastAsia="PMingLiU"/>
                      <w:sz w:val="22"/>
                      <w:szCs w:val="22"/>
                    </w:rPr>
                    <w:t xml:space="preserve"> 1000 mg/m</w:t>
                  </w:r>
                  <w:r w:rsidR="00C6356D" w:rsidRPr="009C0BEE">
                    <w:rPr>
                      <w:rFonts w:eastAsia="PMingLiU"/>
                      <w:sz w:val="22"/>
                      <w:szCs w:val="22"/>
                      <w:vertAlign w:val="superscript"/>
                    </w:rPr>
                    <w:t>2</w:t>
                  </w:r>
                  <w:r w:rsidRPr="009C0BEE">
                    <w:rPr>
                      <w:rFonts w:eastAsia="PMingLiU"/>
                      <w:sz w:val="22"/>
                      <w:szCs w:val="22"/>
                      <w:vertAlign w:val="superscript"/>
                    </w:rPr>
                    <w:t xml:space="preserve"> </w:t>
                  </w:r>
                  <w:r w:rsidRPr="009C0BEE">
                    <w:rPr>
                      <w:rFonts w:eastAsia="PMingLiU"/>
                      <w:sz w:val="22"/>
                      <w:szCs w:val="22"/>
                    </w:rPr>
                    <w:t>(dva puta d</w:t>
                  </w:r>
                  <w:r w:rsidR="00C6356D" w:rsidRPr="009C0BEE">
                    <w:rPr>
                      <w:rFonts w:eastAsia="PMingLiU"/>
                      <w:sz w:val="22"/>
                      <w:szCs w:val="22"/>
                    </w:rPr>
                    <w:t>n</w:t>
                  </w:r>
                  <w:r w:rsidRPr="009C0BEE">
                    <w:rPr>
                      <w:rFonts w:eastAsia="PMingLiU"/>
                      <w:sz w:val="22"/>
                      <w:szCs w:val="22"/>
                    </w:rPr>
                    <w:t>evno</w:t>
                  </w:r>
                  <w:r w:rsidR="00C6356D" w:rsidRPr="009C0BEE">
                    <w:rPr>
                      <w:rFonts w:eastAsia="PMingLiU"/>
                      <w:sz w:val="22"/>
                      <w:szCs w:val="22"/>
                    </w:rPr>
                    <w:t>)</w:t>
                  </w:r>
                </w:p>
              </w:tc>
            </w:tr>
            <w:tr w:rsidR="00D17F29" w:rsidRPr="009C0BEE" w:rsidTr="005E7E41">
              <w:tc>
                <w:tcPr>
                  <w:tcW w:w="1165" w:type="dxa"/>
                  <w:shd w:val="clear" w:color="auto" w:fill="auto"/>
                </w:tcPr>
                <w:p w:rsidR="00C6356D" w:rsidRPr="009C0BEE" w:rsidRDefault="00C6356D" w:rsidP="00C6356D">
                  <w:pPr>
                    <w:rPr>
                      <w:rFonts w:eastAsia="PMingLiU"/>
                      <w:color w:val="FF0000"/>
                      <w:sz w:val="22"/>
                      <w:szCs w:val="22"/>
                    </w:rPr>
                  </w:pP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Puna doza, 1000 mg/m</w:t>
                  </w:r>
                  <w:r w:rsidRPr="009C0BEE">
                    <w:rPr>
                      <w:rFonts w:eastAsia="PMingLiU"/>
                      <w:sz w:val="22"/>
                      <w:szCs w:val="22"/>
                      <w:vertAlign w:val="superscript"/>
                    </w:rPr>
                    <w:t>2</w:t>
                  </w:r>
                </w:p>
              </w:tc>
              <w:tc>
                <w:tcPr>
                  <w:tcW w:w="2430" w:type="dxa"/>
                  <w:gridSpan w:val="2"/>
                  <w:shd w:val="clear" w:color="auto" w:fill="auto"/>
                </w:tcPr>
                <w:p w:rsidR="008D5AA0" w:rsidRPr="009C0BEE" w:rsidRDefault="008D5AA0" w:rsidP="00C6356D">
                  <w:pPr>
                    <w:rPr>
                      <w:rFonts w:eastAsia="PMingLiU"/>
                      <w:sz w:val="22"/>
                      <w:szCs w:val="22"/>
                    </w:rPr>
                  </w:pPr>
                  <w:r w:rsidRPr="009C0BEE">
                    <w:rPr>
                      <w:rFonts w:eastAsia="PMingLiU"/>
                      <w:sz w:val="22"/>
                      <w:szCs w:val="22"/>
                    </w:rPr>
                    <w:t>Broj tableta od 150 mg i/ili 500 mg po jednoj primjeni lijeka (svaka doza se uzima ujutru i uveče)</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Smanjena doza (75%)</w:t>
                  </w:r>
                </w:p>
                <w:p w:rsidR="00C6356D" w:rsidRPr="009C0BEE" w:rsidRDefault="00C6356D" w:rsidP="00C6356D">
                  <w:pPr>
                    <w:rPr>
                      <w:rFonts w:eastAsia="PMingLiU"/>
                      <w:sz w:val="22"/>
                      <w:szCs w:val="22"/>
                    </w:rPr>
                  </w:pPr>
                  <w:r w:rsidRPr="009C0BEE">
                    <w:rPr>
                      <w:rFonts w:eastAsia="PMingLiU"/>
                      <w:sz w:val="22"/>
                      <w:szCs w:val="22"/>
                    </w:rPr>
                    <w:t>750 mg/m</w:t>
                  </w:r>
                  <w:r w:rsidRPr="009C0BEE">
                    <w:rPr>
                      <w:rFonts w:eastAsia="PMingLiU"/>
                      <w:sz w:val="22"/>
                      <w:szCs w:val="22"/>
                      <w:vertAlign w:val="superscript"/>
                    </w:rPr>
                    <w:t>2</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Smanjena doza (50%)</w:t>
                  </w:r>
                </w:p>
                <w:p w:rsidR="00C6356D" w:rsidRPr="009C0BEE" w:rsidRDefault="00C6356D" w:rsidP="00C6356D">
                  <w:pPr>
                    <w:rPr>
                      <w:rFonts w:eastAsia="PMingLiU"/>
                      <w:sz w:val="22"/>
                      <w:szCs w:val="22"/>
                    </w:rPr>
                  </w:pPr>
                  <w:r w:rsidRPr="009C0BEE">
                    <w:rPr>
                      <w:rFonts w:eastAsia="PMingLiU"/>
                      <w:sz w:val="22"/>
                      <w:szCs w:val="22"/>
                    </w:rPr>
                    <w:t>500 mg/m</w:t>
                  </w:r>
                  <w:r w:rsidRPr="009C0BEE">
                    <w:rPr>
                      <w:rFonts w:eastAsia="PMingLiU"/>
                      <w:sz w:val="22"/>
                      <w:szCs w:val="22"/>
                      <w:vertAlign w:val="superscript"/>
                    </w:rPr>
                    <w:t>2</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Površina tijela (m</w:t>
                  </w:r>
                  <w:r w:rsidRPr="009C0BEE">
                    <w:rPr>
                      <w:rFonts w:eastAsia="PMingLiU"/>
                      <w:sz w:val="22"/>
                      <w:szCs w:val="22"/>
                      <w:vertAlign w:val="superscript"/>
                    </w:rPr>
                    <w:t>2</w:t>
                  </w:r>
                  <w:r w:rsidRPr="009C0BEE">
                    <w:rPr>
                      <w:rFonts w:eastAsia="PMingLiU"/>
                      <w:sz w:val="22"/>
                      <w:szCs w:val="22"/>
                    </w:rPr>
                    <w:t>)</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 xml:space="preserve">Doza po jednom  uzimanju </w:t>
                  </w:r>
                </w:p>
                <w:p w:rsidR="00C6356D" w:rsidRPr="009C0BEE" w:rsidRDefault="00C6356D" w:rsidP="00C6356D">
                  <w:pPr>
                    <w:rPr>
                      <w:rFonts w:eastAsia="PMingLiU"/>
                      <w:sz w:val="22"/>
                      <w:szCs w:val="22"/>
                    </w:rPr>
                  </w:pPr>
                  <w:r w:rsidRPr="009C0BEE">
                    <w:rPr>
                      <w:rFonts w:eastAsia="PMingLiU"/>
                      <w:sz w:val="22"/>
                      <w:szCs w:val="22"/>
                    </w:rPr>
                    <w:t>(mg)</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150 mg</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500 mg</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 xml:space="preserve">Doza po jednom  uzimanju (mg) </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 xml:space="preserve">Doza po jednom  uzimanju (mg)  </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≤1,26</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1150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1</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800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600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1,27-1,38</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1300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1000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60</w:t>
                  </w:r>
                </w:p>
              </w:tc>
            </w:tr>
            <w:tr w:rsidR="00D17F29" w:rsidRPr="009C0BEE" w:rsidTr="005E7E41">
              <w:tc>
                <w:tcPr>
                  <w:tcW w:w="1165" w:type="dxa"/>
                  <w:shd w:val="clear" w:color="auto" w:fill="auto"/>
                </w:tcPr>
                <w:p w:rsidR="00C6356D" w:rsidRPr="009C0BEE" w:rsidRDefault="0057182C" w:rsidP="00C6356D">
                  <w:pPr>
                    <w:rPr>
                      <w:rFonts w:eastAsia="PMingLiU"/>
                      <w:sz w:val="22"/>
                      <w:szCs w:val="22"/>
                    </w:rPr>
                  </w:pPr>
                  <w:r w:rsidRPr="009C0BEE">
                    <w:rPr>
                      <w:rFonts w:eastAsia="PMingLiU"/>
                      <w:sz w:val="22"/>
                      <w:szCs w:val="22"/>
                    </w:rPr>
                    <w:t>1,39-1,5</w:t>
                  </w:r>
                  <w:r w:rsidR="00C6356D" w:rsidRPr="009C0BEE">
                    <w:rPr>
                      <w:rFonts w:eastAsia="PMingLiU"/>
                      <w:sz w:val="22"/>
                      <w:szCs w:val="22"/>
                    </w:rPr>
                    <w:t>2</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1450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3</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1100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750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1,53-1,66</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1600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1200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800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1,67-1,78</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1750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5</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1300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800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1,79-1,92</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1800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3</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1400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900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1,93-2,06</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2000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1500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1000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2,07-2,18</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2150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1</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1600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1050</w:t>
                  </w:r>
                </w:p>
              </w:tc>
            </w:tr>
            <w:tr w:rsidR="00D17F29" w:rsidRPr="009C0BEE" w:rsidTr="005E7E41">
              <w:tc>
                <w:tcPr>
                  <w:tcW w:w="1165" w:type="dxa"/>
                  <w:shd w:val="clear" w:color="auto" w:fill="auto"/>
                </w:tcPr>
                <w:p w:rsidR="00C6356D" w:rsidRPr="009C0BEE" w:rsidRDefault="00C6356D" w:rsidP="00C6356D">
                  <w:pPr>
                    <w:rPr>
                      <w:rFonts w:eastAsia="PMingLiU"/>
                      <w:sz w:val="22"/>
                      <w:szCs w:val="22"/>
                    </w:rPr>
                  </w:pPr>
                  <w:r w:rsidRPr="009C0BEE">
                    <w:rPr>
                      <w:rFonts w:eastAsia="PMingLiU"/>
                      <w:sz w:val="22"/>
                      <w:szCs w:val="22"/>
                    </w:rPr>
                    <w:t>≥2,19</w:t>
                  </w:r>
                </w:p>
              </w:tc>
              <w:tc>
                <w:tcPr>
                  <w:tcW w:w="1710" w:type="dxa"/>
                  <w:shd w:val="clear" w:color="auto" w:fill="auto"/>
                </w:tcPr>
                <w:p w:rsidR="00C6356D" w:rsidRPr="009C0BEE" w:rsidRDefault="00C6356D" w:rsidP="00C6356D">
                  <w:pPr>
                    <w:rPr>
                      <w:rFonts w:eastAsia="PMingLiU"/>
                      <w:sz w:val="22"/>
                      <w:szCs w:val="22"/>
                    </w:rPr>
                  </w:pPr>
                  <w:r w:rsidRPr="009C0BEE">
                    <w:rPr>
                      <w:rFonts w:eastAsia="PMingLiU"/>
                      <w:sz w:val="22"/>
                      <w:szCs w:val="22"/>
                    </w:rPr>
                    <w:t>2300</w:t>
                  </w:r>
                </w:p>
              </w:tc>
              <w:tc>
                <w:tcPr>
                  <w:tcW w:w="1170" w:type="dxa"/>
                  <w:shd w:val="clear" w:color="auto" w:fill="auto"/>
                </w:tcPr>
                <w:p w:rsidR="00C6356D" w:rsidRPr="009C0BEE" w:rsidRDefault="00C6356D" w:rsidP="00C6356D">
                  <w:pPr>
                    <w:rPr>
                      <w:rFonts w:eastAsia="PMingLiU"/>
                      <w:sz w:val="22"/>
                      <w:szCs w:val="22"/>
                    </w:rPr>
                  </w:pPr>
                  <w:r w:rsidRPr="009C0BEE">
                    <w:rPr>
                      <w:rFonts w:eastAsia="PMingLiU"/>
                      <w:sz w:val="22"/>
                      <w:szCs w:val="22"/>
                    </w:rPr>
                    <w:t>2</w:t>
                  </w:r>
                </w:p>
              </w:tc>
              <w:tc>
                <w:tcPr>
                  <w:tcW w:w="1260" w:type="dxa"/>
                  <w:shd w:val="clear" w:color="auto" w:fill="auto"/>
                </w:tcPr>
                <w:p w:rsidR="00C6356D" w:rsidRPr="009C0BEE" w:rsidRDefault="00C6356D" w:rsidP="00C6356D">
                  <w:pPr>
                    <w:rPr>
                      <w:rFonts w:eastAsia="PMingLiU"/>
                      <w:sz w:val="22"/>
                      <w:szCs w:val="22"/>
                    </w:rPr>
                  </w:pPr>
                  <w:r w:rsidRPr="009C0BEE">
                    <w:rPr>
                      <w:rFonts w:eastAsia="PMingLiU"/>
                      <w:sz w:val="22"/>
                      <w:szCs w:val="22"/>
                    </w:rPr>
                    <w:t>4</w:t>
                  </w:r>
                </w:p>
              </w:tc>
              <w:tc>
                <w:tcPr>
                  <w:tcW w:w="2075" w:type="dxa"/>
                  <w:shd w:val="clear" w:color="auto" w:fill="auto"/>
                </w:tcPr>
                <w:p w:rsidR="00C6356D" w:rsidRPr="009C0BEE" w:rsidRDefault="00C6356D" w:rsidP="00C6356D">
                  <w:pPr>
                    <w:rPr>
                      <w:rFonts w:eastAsia="PMingLiU"/>
                      <w:sz w:val="22"/>
                      <w:szCs w:val="22"/>
                    </w:rPr>
                  </w:pPr>
                  <w:r w:rsidRPr="009C0BEE">
                    <w:rPr>
                      <w:rFonts w:eastAsia="PMingLiU"/>
                      <w:sz w:val="22"/>
                      <w:szCs w:val="22"/>
                    </w:rPr>
                    <w:t>1750</w:t>
                  </w:r>
                </w:p>
              </w:tc>
              <w:tc>
                <w:tcPr>
                  <w:tcW w:w="1476" w:type="dxa"/>
                  <w:shd w:val="clear" w:color="auto" w:fill="auto"/>
                </w:tcPr>
                <w:p w:rsidR="00C6356D" w:rsidRPr="009C0BEE" w:rsidRDefault="00C6356D" w:rsidP="00C6356D">
                  <w:pPr>
                    <w:rPr>
                      <w:rFonts w:eastAsia="PMingLiU"/>
                      <w:sz w:val="22"/>
                      <w:szCs w:val="22"/>
                    </w:rPr>
                  </w:pPr>
                  <w:r w:rsidRPr="009C0BEE">
                    <w:rPr>
                      <w:rFonts w:eastAsia="PMingLiU"/>
                      <w:sz w:val="22"/>
                      <w:szCs w:val="22"/>
                    </w:rPr>
                    <w:t>1100</w:t>
                  </w:r>
                </w:p>
              </w:tc>
            </w:tr>
          </w:tbl>
          <w:p w:rsidR="00C6356D" w:rsidRPr="009C0BEE" w:rsidRDefault="00C6356D" w:rsidP="00C6356D">
            <w:pPr>
              <w:rPr>
                <w:color w:val="FF0000"/>
                <w:sz w:val="22"/>
                <w:szCs w:val="22"/>
              </w:rPr>
            </w:pPr>
          </w:p>
          <w:p w:rsidR="00C6356D" w:rsidRPr="009C0BEE" w:rsidRDefault="00C6356D" w:rsidP="00C6356D">
            <w:pPr>
              <w:rPr>
                <w:i/>
                <w:sz w:val="22"/>
                <w:szCs w:val="22"/>
                <w:u w:val="single"/>
              </w:rPr>
            </w:pPr>
            <w:r w:rsidRPr="009C0BEE">
              <w:rPr>
                <w:i/>
                <w:sz w:val="22"/>
                <w:szCs w:val="22"/>
                <w:u w:val="single"/>
              </w:rPr>
              <w:t>Podešavanje doze tokom terapije:</w:t>
            </w:r>
          </w:p>
          <w:p w:rsidR="00C6356D" w:rsidRPr="009C0BEE" w:rsidRDefault="00C6356D" w:rsidP="00C6356D">
            <w:pPr>
              <w:rPr>
                <w:color w:val="FF0000"/>
                <w:sz w:val="22"/>
                <w:szCs w:val="22"/>
              </w:rPr>
            </w:pPr>
          </w:p>
          <w:p w:rsidR="005E7E41" w:rsidRPr="009C0BEE" w:rsidRDefault="005E7E41" w:rsidP="00C6356D">
            <w:pPr>
              <w:rPr>
                <w:i/>
                <w:sz w:val="22"/>
                <w:szCs w:val="22"/>
              </w:rPr>
            </w:pPr>
          </w:p>
          <w:p w:rsidR="005E7E41" w:rsidRPr="009C0BEE" w:rsidRDefault="005E7E41" w:rsidP="00C6356D">
            <w:pPr>
              <w:rPr>
                <w:i/>
                <w:sz w:val="22"/>
                <w:szCs w:val="22"/>
              </w:rPr>
            </w:pPr>
          </w:p>
          <w:p w:rsidR="00C6356D" w:rsidRPr="009C0BEE" w:rsidRDefault="00C6356D" w:rsidP="00C6356D">
            <w:pPr>
              <w:rPr>
                <w:i/>
                <w:sz w:val="22"/>
                <w:szCs w:val="22"/>
              </w:rPr>
            </w:pPr>
            <w:r w:rsidRPr="009C0BEE">
              <w:rPr>
                <w:i/>
                <w:sz w:val="22"/>
                <w:szCs w:val="22"/>
              </w:rPr>
              <w:lastRenderedPageBreak/>
              <w:t>Opšti principi</w:t>
            </w:r>
          </w:p>
          <w:p w:rsidR="00291AC3" w:rsidRPr="009C0BEE" w:rsidRDefault="00291AC3" w:rsidP="00291AC3">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Toksičnost koja se javlja kao posljedica liječenja kapecitabinom moguće je kontrolisati simptomatskim liječenjem i/ili prilagođavanjem doze (prekid liječenja ili smanjenje doze). Nakon smanjenja doze</w:t>
            </w:r>
            <w:r w:rsidR="00EB1713" w:rsidRPr="009C0BEE">
              <w:rPr>
                <w:rFonts w:ascii="TimesNewRoman" w:hAnsi="TimesNewRoman" w:cs="TimesNewRoman"/>
                <w:sz w:val="22"/>
                <w:szCs w:val="22"/>
              </w:rPr>
              <w:t>,</w:t>
            </w:r>
            <w:r w:rsidRPr="009C0BEE">
              <w:rPr>
                <w:rFonts w:ascii="TimesNewRoman" w:hAnsi="TimesNewRoman" w:cs="TimesNewRoman"/>
                <w:sz w:val="22"/>
                <w:szCs w:val="22"/>
              </w:rPr>
              <w:t xml:space="preserve"> ona se ne smije ponovo povećavati. Kod pojave toksičnih reakcija za koje ordinirajući ljekar smatra da vjerovatno neće postati ozbiljne ili opasne po život, npr. kod alopecije, poremećaja ukusa ili promjena na noktima, liječenje se može nastaviti istom dozom bez njenog smanjenja ili prekida liječenja. Pacijentima koji uzimaju kapecitabin potrebno je naglasiti da u slučaju pojave znakova umjerene ili teške toksičnosti odmah prekinu liječenje. Doze kapecitabina koje su izostavljene zbog toksičnosti ne smiju se nadoknađivati. Sljedeća tabela pokazuje </w:t>
            </w:r>
            <w:r w:rsidR="00EB1713" w:rsidRPr="009C0BEE">
              <w:rPr>
                <w:rFonts w:ascii="TimesNewRoman" w:hAnsi="TimesNewRoman" w:cs="TimesNewRoman"/>
                <w:sz w:val="22"/>
                <w:szCs w:val="22"/>
              </w:rPr>
              <w:t xml:space="preserve">preporučeno </w:t>
            </w:r>
            <w:r w:rsidRPr="009C0BEE">
              <w:rPr>
                <w:rFonts w:ascii="TimesNewRoman" w:hAnsi="TimesNewRoman" w:cs="TimesNewRoman"/>
                <w:sz w:val="22"/>
                <w:szCs w:val="22"/>
              </w:rPr>
              <w:t>prilagođavanje doze zbog toksičnosti:</w:t>
            </w:r>
          </w:p>
          <w:p w:rsidR="00C6356D" w:rsidRPr="009C0BEE" w:rsidRDefault="00C6356D" w:rsidP="00C6356D">
            <w:pPr>
              <w:rPr>
                <w:color w:val="FF0000"/>
                <w:sz w:val="22"/>
                <w:szCs w:val="22"/>
              </w:rPr>
            </w:pPr>
          </w:p>
          <w:p w:rsidR="00C6356D" w:rsidRPr="009C0BEE" w:rsidRDefault="00E30239" w:rsidP="00C6356D">
            <w:pPr>
              <w:rPr>
                <w:sz w:val="22"/>
                <w:szCs w:val="22"/>
              </w:rPr>
            </w:pPr>
            <w:r w:rsidRPr="009C0BEE">
              <w:rPr>
                <w:sz w:val="22"/>
                <w:szCs w:val="22"/>
              </w:rPr>
              <w:t>Tabela 3: Raspored</w:t>
            </w:r>
            <w:r w:rsidR="00C6356D" w:rsidRPr="009C0BEE">
              <w:rPr>
                <w:sz w:val="22"/>
                <w:szCs w:val="22"/>
              </w:rPr>
              <w:t xml:space="preserve"> smanjenja doze </w:t>
            </w:r>
            <w:r w:rsidR="000B4B78" w:rsidRPr="009C0BEE">
              <w:rPr>
                <w:sz w:val="22"/>
                <w:szCs w:val="22"/>
              </w:rPr>
              <w:t xml:space="preserve">lijeka </w:t>
            </w:r>
            <w:r w:rsidRPr="009C0BEE">
              <w:rPr>
                <w:sz w:val="22"/>
                <w:szCs w:val="22"/>
              </w:rPr>
              <w:t>k</w:t>
            </w:r>
            <w:r w:rsidR="00F91C4D" w:rsidRPr="009C0BEE">
              <w:rPr>
                <w:sz w:val="22"/>
                <w:szCs w:val="22"/>
              </w:rPr>
              <w:t>apecitabin</w:t>
            </w:r>
            <w:r w:rsidR="000B4B78" w:rsidRPr="009C0BEE">
              <w:rPr>
                <w:sz w:val="22"/>
                <w:szCs w:val="22"/>
              </w:rPr>
              <w:t xml:space="preserve"> </w:t>
            </w:r>
            <w:r w:rsidR="00C6356D" w:rsidRPr="009C0BEE">
              <w:rPr>
                <w:sz w:val="22"/>
                <w:szCs w:val="22"/>
              </w:rPr>
              <w:t>(troned</w:t>
            </w:r>
            <w:r w:rsidR="00EB1713" w:rsidRPr="009C0BEE">
              <w:rPr>
                <w:sz w:val="22"/>
                <w:szCs w:val="22"/>
              </w:rPr>
              <w:t>j</w:t>
            </w:r>
            <w:r w:rsidR="00C6356D" w:rsidRPr="009C0BEE">
              <w:rPr>
                <w:sz w:val="22"/>
                <w:szCs w:val="22"/>
              </w:rPr>
              <w:t xml:space="preserve">eljni ciklus ili kontinuirana terapija) </w:t>
            </w:r>
          </w:p>
          <w:p w:rsidR="00E30239" w:rsidRPr="009C0BEE" w:rsidRDefault="00E30239" w:rsidP="00C6356D">
            <w:pPr>
              <w:rPr>
                <w:sz w:val="22"/>
                <w:szCs w:val="22"/>
              </w:rPr>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320"/>
              <w:gridCol w:w="2679"/>
            </w:tblGrid>
            <w:tr w:rsidR="00D17F29" w:rsidRPr="009C0BEE" w:rsidTr="005E7E41">
              <w:tc>
                <w:tcPr>
                  <w:tcW w:w="2088" w:type="dxa"/>
                  <w:shd w:val="clear" w:color="auto" w:fill="auto"/>
                </w:tcPr>
                <w:p w:rsidR="00C6356D" w:rsidRPr="009C0BEE" w:rsidRDefault="00C6356D" w:rsidP="00C6356D">
                  <w:pPr>
                    <w:rPr>
                      <w:rFonts w:eastAsia="PMingLiU"/>
                      <w:sz w:val="22"/>
                      <w:szCs w:val="22"/>
                    </w:rPr>
                  </w:pPr>
                  <w:r w:rsidRPr="009C0BEE">
                    <w:rPr>
                      <w:rFonts w:eastAsia="PMingLiU"/>
                      <w:sz w:val="22"/>
                      <w:szCs w:val="22"/>
                    </w:rPr>
                    <w:t>Stepen toksičnosti *</w:t>
                  </w:r>
                </w:p>
              </w:tc>
              <w:tc>
                <w:tcPr>
                  <w:tcW w:w="4320" w:type="dxa"/>
                  <w:shd w:val="clear" w:color="auto" w:fill="auto"/>
                </w:tcPr>
                <w:p w:rsidR="00C6356D" w:rsidRPr="009C0BEE" w:rsidRDefault="00C6356D" w:rsidP="00E30239">
                  <w:pPr>
                    <w:rPr>
                      <w:rFonts w:eastAsia="PMingLiU"/>
                      <w:sz w:val="22"/>
                      <w:szCs w:val="22"/>
                    </w:rPr>
                  </w:pPr>
                  <w:r w:rsidRPr="009C0BEE">
                    <w:rPr>
                      <w:rFonts w:eastAsia="PMingLiU"/>
                      <w:sz w:val="22"/>
                      <w:szCs w:val="22"/>
                    </w:rPr>
                    <w:t xml:space="preserve">Promjene doze tokom </w:t>
                  </w:r>
                  <w:r w:rsidR="00E30239" w:rsidRPr="009C0BEE">
                    <w:rPr>
                      <w:rFonts w:eastAsia="PMingLiU"/>
                      <w:sz w:val="22"/>
                      <w:szCs w:val="22"/>
                    </w:rPr>
                    <w:t xml:space="preserve">liječenja u 3-nedjeljnim </w:t>
                  </w:r>
                  <w:r w:rsidRPr="009C0BEE">
                    <w:rPr>
                      <w:rFonts w:eastAsia="PMingLiU"/>
                      <w:sz w:val="22"/>
                      <w:szCs w:val="22"/>
                    </w:rPr>
                    <w:t>ciklus</w:t>
                  </w:r>
                  <w:r w:rsidR="00E30239" w:rsidRPr="009C0BEE">
                    <w:rPr>
                      <w:rFonts w:eastAsia="PMingLiU"/>
                      <w:sz w:val="22"/>
                      <w:szCs w:val="22"/>
                    </w:rPr>
                    <w:t>im</w:t>
                  </w:r>
                  <w:r w:rsidRPr="009C0BEE">
                    <w:rPr>
                      <w:rFonts w:eastAsia="PMingLiU"/>
                      <w:sz w:val="22"/>
                      <w:szCs w:val="22"/>
                    </w:rPr>
                    <w:t>a</w:t>
                  </w:r>
                </w:p>
              </w:tc>
              <w:tc>
                <w:tcPr>
                  <w:tcW w:w="2679" w:type="dxa"/>
                  <w:shd w:val="clear" w:color="auto" w:fill="auto"/>
                </w:tcPr>
                <w:p w:rsidR="00C6356D" w:rsidRPr="009C0BEE" w:rsidRDefault="00C6356D" w:rsidP="00C6356D">
                  <w:pPr>
                    <w:rPr>
                      <w:rFonts w:eastAsia="PMingLiU"/>
                      <w:sz w:val="22"/>
                      <w:szCs w:val="22"/>
                    </w:rPr>
                  </w:pPr>
                  <w:r w:rsidRPr="009C0BEE">
                    <w:rPr>
                      <w:rFonts w:eastAsia="PMingLiU"/>
                      <w:sz w:val="22"/>
                      <w:szCs w:val="22"/>
                    </w:rPr>
                    <w:t>Podešavanje doze za naredni ciklus/dozu  (% početne doze)</w:t>
                  </w:r>
                </w:p>
              </w:tc>
            </w:tr>
            <w:tr w:rsidR="00D17F29" w:rsidRPr="009C0BEE" w:rsidTr="005E7E41">
              <w:tc>
                <w:tcPr>
                  <w:tcW w:w="2088" w:type="dxa"/>
                  <w:shd w:val="clear" w:color="auto" w:fill="auto"/>
                </w:tcPr>
                <w:p w:rsidR="00C6356D" w:rsidRPr="009C0BEE" w:rsidRDefault="00C6356D" w:rsidP="00C6356D">
                  <w:pPr>
                    <w:numPr>
                      <w:ilvl w:val="0"/>
                      <w:numId w:val="1"/>
                    </w:numPr>
                    <w:jc w:val="both"/>
                    <w:rPr>
                      <w:rFonts w:eastAsia="PMingLiU"/>
                      <w:i/>
                      <w:sz w:val="22"/>
                      <w:szCs w:val="22"/>
                    </w:rPr>
                  </w:pPr>
                  <w:r w:rsidRPr="009C0BEE">
                    <w:rPr>
                      <w:rFonts w:eastAsia="PMingLiU"/>
                      <w:i/>
                      <w:sz w:val="22"/>
                      <w:szCs w:val="22"/>
                    </w:rPr>
                    <w:t>Stepen I</w:t>
                  </w:r>
                </w:p>
              </w:tc>
              <w:tc>
                <w:tcPr>
                  <w:tcW w:w="4320" w:type="dxa"/>
                  <w:shd w:val="clear" w:color="auto" w:fill="auto"/>
                </w:tcPr>
                <w:p w:rsidR="00C6356D" w:rsidRPr="009C0BEE" w:rsidRDefault="003408C6" w:rsidP="00C6356D">
                  <w:pPr>
                    <w:rPr>
                      <w:rFonts w:eastAsia="PMingLiU"/>
                      <w:sz w:val="22"/>
                      <w:szCs w:val="22"/>
                    </w:rPr>
                  </w:pPr>
                  <w:r w:rsidRPr="009C0BEE">
                    <w:rPr>
                      <w:rFonts w:eastAsia="PMingLiU"/>
                      <w:sz w:val="22"/>
                      <w:szCs w:val="22"/>
                    </w:rPr>
                    <w:t>Zadržati istu dozu</w:t>
                  </w:r>
                </w:p>
              </w:tc>
              <w:tc>
                <w:tcPr>
                  <w:tcW w:w="2679" w:type="dxa"/>
                  <w:tcBorders>
                    <w:bottom w:val="single" w:sz="4" w:space="0" w:color="auto"/>
                  </w:tcBorders>
                  <w:shd w:val="clear" w:color="auto" w:fill="auto"/>
                </w:tcPr>
                <w:p w:rsidR="00C6356D" w:rsidRPr="009C0BEE" w:rsidRDefault="003408C6" w:rsidP="00C6356D">
                  <w:pPr>
                    <w:rPr>
                      <w:rFonts w:eastAsia="PMingLiU"/>
                      <w:sz w:val="22"/>
                      <w:szCs w:val="22"/>
                    </w:rPr>
                  </w:pPr>
                  <w:r w:rsidRPr="009C0BEE">
                    <w:rPr>
                      <w:rFonts w:eastAsia="PMingLiU"/>
                      <w:sz w:val="22"/>
                      <w:szCs w:val="22"/>
                    </w:rPr>
                    <w:t>Zadržati istu dozu</w:t>
                  </w:r>
                </w:p>
              </w:tc>
            </w:tr>
            <w:tr w:rsidR="00D17F29" w:rsidRPr="009C0BEE" w:rsidTr="005E7E41">
              <w:tc>
                <w:tcPr>
                  <w:tcW w:w="6408" w:type="dxa"/>
                  <w:gridSpan w:val="2"/>
                  <w:tcBorders>
                    <w:right w:val="nil"/>
                  </w:tcBorders>
                  <w:shd w:val="clear" w:color="auto" w:fill="auto"/>
                </w:tcPr>
                <w:p w:rsidR="00C6356D" w:rsidRPr="009C0BEE" w:rsidRDefault="00C6356D" w:rsidP="00C6356D">
                  <w:pPr>
                    <w:numPr>
                      <w:ilvl w:val="0"/>
                      <w:numId w:val="1"/>
                    </w:numPr>
                    <w:jc w:val="both"/>
                    <w:rPr>
                      <w:rFonts w:eastAsia="PMingLiU"/>
                      <w:sz w:val="22"/>
                      <w:szCs w:val="22"/>
                    </w:rPr>
                  </w:pPr>
                  <w:r w:rsidRPr="009C0BEE">
                    <w:rPr>
                      <w:rFonts w:eastAsia="PMingLiU"/>
                      <w:i/>
                      <w:sz w:val="22"/>
                      <w:szCs w:val="22"/>
                    </w:rPr>
                    <w:t>Stepen II</w:t>
                  </w:r>
                </w:p>
              </w:tc>
              <w:tc>
                <w:tcPr>
                  <w:tcW w:w="2679" w:type="dxa"/>
                  <w:tcBorders>
                    <w:left w:val="nil"/>
                  </w:tcBorders>
                  <w:shd w:val="clear" w:color="auto" w:fill="auto"/>
                </w:tcPr>
                <w:p w:rsidR="00C6356D" w:rsidRPr="009C0BEE" w:rsidRDefault="00C6356D" w:rsidP="00C6356D">
                  <w:pPr>
                    <w:rPr>
                      <w:rFonts w:eastAsia="PMingLiU"/>
                      <w:sz w:val="22"/>
                      <w:szCs w:val="22"/>
                    </w:rPr>
                  </w:pPr>
                </w:p>
              </w:tc>
            </w:tr>
            <w:tr w:rsidR="00FC1486" w:rsidRPr="009C0BEE" w:rsidTr="005E7E41">
              <w:tc>
                <w:tcPr>
                  <w:tcW w:w="2088" w:type="dxa"/>
                  <w:shd w:val="clear" w:color="auto" w:fill="auto"/>
                </w:tcPr>
                <w:p w:rsidR="00B74378" w:rsidRPr="009C0BEE" w:rsidRDefault="00B74378" w:rsidP="00C6356D">
                  <w:pPr>
                    <w:rPr>
                      <w:rFonts w:eastAsia="PMingLiU"/>
                      <w:sz w:val="22"/>
                      <w:szCs w:val="22"/>
                    </w:rPr>
                  </w:pPr>
                  <w:r w:rsidRPr="009C0BEE">
                    <w:rPr>
                      <w:rFonts w:eastAsia="PMingLiU"/>
                      <w:sz w:val="22"/>
                      <w:szCs w:val="22"/>
                    </w:rPr>
                    <w:t>Prva pojava</w:t>
                  </w:r>
                </w:p>
              </w:tc>
              <w:tc>
                <w:tcPr>
                  <w:tcW w:w="4320" w:type="dxa"/>
                  <w:vMerge w:val="restart"/>
                  <w:shd w:val="clear" w:color="auto" w:fill="auto"/>
                </w:tcPr>
                <w:p w:rsidR="00B74378" w:rsidRPr="009C0BEE" w:rsidRDefault="00B74378" w:rsidP="00C6356D">
                  <w:pPr>
                    <w:rPr>
                      <w:rFonts w:eastAsia="PMingLiU"/>
                      <w:sz w:val="22"/>
                      <w:szCs w:val="22"/>
                    </w:rPr>
                  </w:pPr>
                  <w:r w:rsidRPr="009C0BEE">
                    <w:rPr>
                      <w:rFonts w:eastAsia="PMingLiU"/>
                      <w:sz w:val="22"/>
                      <w:szCs w:val="22"/>
                    </w:rPr>
                    <w:t>Prekinuti dok se povuče do stepena 0-1</w:t>
                  </w:r>
                </w:p>
                <w:p w:rsidR="00B74378" w:rsidRPr="009C0BEE" w:rsidRDefault="00B74378" w:rsidP="00B74378">
                  <w:pPr>
                    <w:jc w:val="center"/>
                    <w:rPr>
                      <w:rFonts w:eastAsia="PMingLiU"/>
                      <w:sz w:val="22"/>
                      <w:szCs w:val="22"/>
                    </w:rPr>
                  </w:pPr>
                </w:p>
              </w:tc>
              <w:tc>
                <w:tcPr>
                  <w:tcW w:w="2679" w:type="dxa"/>
                  <w:shd w:val="clear" w:color="auto" w:fill="auto"/>
                </w:tcPr>
                <w:p w:rsidR="00B74378" w:rsidRPr="009C0BEE" w:rsidRDefault="00B74378" w:rsidP="00C6356D">
                  <w:pPr>
                    <w:rPr>
                      <w:rFonts w:eastAsia="PMingLiU"/>
                      <w:sz w:val="22"/>
                      <w:szCs w:val="22"/>
                    </w:rPr>
                  </w:pPr>
                  <w:r w:rsidRPr="009C0BEE">
                    <w:rPr>
                      <w:rFonts w:eastAsia="PMingLiU"/>
                      <w:sz w:val="22"/>
                      <w:szCs w:val="22"/>
                    </w:rPr>
                    <w:t xml:space="preserve">100% </w:t>
                  </w:r>
                </w:p>
                <w:p w:rsidR="00B74378" w:rsidRPr="009C0BEE" w:rsidRDefault="00B74378" w:rsidP="00C6356D">
                  <w:pPr>
                    <w:rPr>
                      <w:rFonts w:eastAsia="PMingLiU"/>
                      <w:sz w:val="22"/>
                      <w:szCs w:val="22"/>
                    </w:rPr>
                  </w:pPr>
                </w:p>
              </w:tc>
            </w:tr>
            <w:tr w:rsidR="00FC1486" w:rsidRPr="009C0BEE" w:rsidTr="005E7E41">
              <w:tc>
                <w:tcPr>
                  <w:tcW w:w="2088" w:type="dxa"/>
                  <w:shd w:val="clear" w:color="auto" w:fill="auto"/>
                </w:tcPr>
                <w:p w:rsidR="00B74378" w:rsidRPr="009C0BEE" w:rsidRDefault="00B74378" w:rsidP="00C6356D">
                  <w:pPr>
                    <w:rPr>
                      <w:rFonts w:eastAsia="PMingLiU"/>
                      <w:sz w:val="22"/>
                      <w:szCs w:val="22"/>
                    </w:rPr>
                  </w:pPr>
                  <w:r w:rsidRPr="009C0BEE">
                    <w:rPr>
                      <w:rFonts w:eastAsia="PMingLiU"/>
                      <w:sz w:val="22"/>
                      <w:szCs w:val="22"/>
                    </w:rPr>
                    <w:t>Druga pojava</w:t>
                  </w:r>
                </w:p>
              </w:tc>
              <w:tc>
                <w:tcPr>
                  <w:tcW w:w="4320" w:type="dxa"/>
                  <w:vMerge/>
                  <w:shd w:val="clear" w:color="auto" w:fill="auto"/>
                </w:tcPr>
                <w:p w:rsidR="00B74378" w:rsidRPr="009C0BEE" w:rsidRDefault="00B74378" w:rsidP="00C6356D">
                  <w:pPr>
                    <w:rPr>
                      <w:rFonts w:eastAsia="PMingLiU"/>
                      <w:sz w:val="22"/>
                      <w:szCs w:val="22"/>
                    </w:rPr>
                  </w:pPr>
                </w:p>
              </w:tc>
              <w:tc>
                <w:tcPr>
                  <w:tcW w:w="2679" w:type="dxa"/>
                  <w:shd w:val="clear" w:color="auto" w:fill="auto"/>
                </w:tcPr>
                <w:p w:rsidR="00B74378" w:rsidRPr="009C0BEE" w:rsidRDefault="00B74378" w:rsidP="00C6356D">
                  <w:pPr>
                    <w:rPr>
                      <w:rFonts w:eastAsia="PMingLiU"/>
                      <w:sz w:val="22"/>
                      <w:szCs w:val="22"/>
                    </w:rPr>
                  </w:pPr>
                  <w:r w:rsidRPr="009C0BEE">
                    <w:rPr>
                      <w:rFonts w:eastAsia="PMingLiU"/>
                      <w:sz w:val="22"/>
                      <w:szCs w:val="22"/>
                    </w:rPr>
                    <w:t>75%</w:t>
                  </w:r>
                </w:p>
              </w:tc>
            </w:tr>
            <w:tr w:rsidR="00FC1486" w:rsidRPr="009C0BEE" w:rsidTr="005E7E41">
              <w:tc>
                <w:tcPr>
                  <w:tcW w:w="2088" w:type="dxa"/>
                  <w:shd w:val="clear" w:color="auto" w:fill="auto"/>
                </w:tcPr>
                <w:p w:rsidR="00B74378" w:rsidRPr="009C0BEE" w:rsidRDefault="00B74378" w:rsidP="00C6356D">
                  <w:pPr>
                    <w:rPr>
                      <w:rFonts w:eastAsia="PMingLiU"/>
                      <w:sz w:val="22"/>
                      <w:szCs w:val="22"/>
                    </w:rPr>
                  </w:pPr>
                  <w:r w:rsidRPr="009C0BEE">
                    <w:rPr>
                      <w:rFonts w:eastAsia="PMingLiU"/>
                      <w:sz w:val="22"/>
                      <w:szCs w:val="22"/>
                    </w:rPr>
                    <w:t>Treća pojava</w:t>
                  </w:r>
                </w:p>
              </w:tc>
              <w:tc>
                <w:tcPr>
                  <w:tcW w:w="4320" w:type="dxa"/>
                  <w:vMerge/>
                  <w:shd w:val="clear" w:color="auto" w:fill="auto"/>
                </w:tcPr>
                <w:p w:rsidR="00B74378" w:rsidRPr="009C0BEE" w:rsidRDefault="00B74378" w:rsidP="00C6356D">
                  <w:pPr>
                    <w:rPr>
                      <w:rFonts w:eastAsia="PMingLiU"/>
                      <w:sz w:val="22"/>
                      <w:szCs w:val="22"/>
                    </w:rPr>
                  </w:pPr>
                </w:p>
              </w:tc>
              <w:tc>
                <w:tcPr>
                  <w:tcW w:w="2679" w:type="dxa"/>
                  <w:shd w:val="clear" w:color="auto" w:fill="auto"/>
                </w:tcPr>
                <w:p w:rsidR="00B74378" w:rsidRPr="009C0BEE" w:rsidRDefault="00B74378" w:rsidP="00C6356D">
                  <w:pPr>
                    <w:rPr>
                      <w:rFonts w:eastAsia="PMingLiU"/>
                      <w:sz w:val="22"/>
                      <w:szCs w:val="22"/>
                    </w:rPr>
                  </w:pPr>
                  <w:r w:rsidRPr="009C0BEE">
                    <w:rPr>
                      <w:rFonts w:eastAsia="PMingLiU"/>
                      <w:sz w:val="22"/>
                      <w:szCs w:val="22"/>
                    </w:rPr>
                    <w:t>50%</w:t>
                  </w:r>
                </w:p>
              </w:tc>
            </w:tr>
            <w:tr w:rsidR="00FC1486" w:rsidRPr="009C0BEE" w:rsidTr="005E7E41">
              <w:tc>
                <w:tcPr>
                  <w:tcW w:w="2088" w:type="dxa"/>
                  <w:shd w:val="clear" w:color="auto" w:fill="auto"/>
                </w:tcPr>
                <w:p w:rsidR="00C6356D" w:rsidRPr="009C0BEE" w:rsidRDefault="00C6356D" w:rsidP="00C6356D">
                  <w:pPr>
                    <w:rPr>
                      <w:rFonts w:eastAsia="PMingLiU"/>
                      <w:sz w:val="22"/>
                      <w:szCs w:val="22"/>
                    </w:rPr>
                  </w:pPr>
                  <w:r w:rsidRPr="009C0BEE">
                    <w:rPr>
                      <w:rFonts w:eastAsia="PMingLiU"/>
                      <w:sz w:val="22"/>
                      <w:szCs w:val="22"/>
                    </w:rPr>
                    <w:t>Četvrta pojava</w:t>
                  </w:r>
                </w:p>
              </w:tc>
              <w:tc>
                <w:tcPr>
                  <w:tcW w:w="4320" w:type="dxa"/>
                  <w:shd w:val="clear" w:color="auto" w:fill="auto"/>
                </w:tcPr>
                <w:p w:rsidR="00C6356D" w:rsidRPr="009C0BEE" w:rsidRDefault="00C6356D" w:rsidP="00C6356D">
                  <w:pPr>
                    <w:rPr>
                      <w:rFonts w:eastAsia="PMingLiU"/>
                      <w:sz w:val="22"/>
                      <w:szCs w:val="22"/>
                    </w:rPr>
                  </w:pPr>
                  <w:r w:rsidRPr="009C0BEE">
                    <w:rPr>
                      <w:rFonts w:eastAsia="PMingLiU"/>
                      <w:sz w:val="22"/>
                      <w:szCs w:val="22"/>
                    </w:rPr>
                    <w:t>Trajno prekinuti terapiju</w:t>
                  </w:r>
                </w:p>
              </w:tc>
              <w:tc>
                <w:tcPr>
                  <w:tcW w:w="2679" w:type="dxa"/>
                  <w:shd w:val="clear" w:color="auto" w:fill="auto"/>
                </w:tcPr>
                <w:p w:rsidR="00C6356D" w:rsidRPr="009C0BEE" w:rsidRDefault="00B74378" w:rsidP="00C6356D">
                  <w:pPr>
                    <w:rPr>
                      <w:rFonts w:eastAsia="PMingLiU"/>
                      <w:sz w:val="22"/>
                      <w:szCs w:val="22"/>
                    </w:rPr>
                  </w:pPr>
                  <w:r w:rsidRPr="009C0BEE">
                    <w:rPr>
                      <w:rFonts w:eastAsia="PMingLiU"/>
                      <w:sz w:val="22"/>
                      <w:szCs w:val="22"/>
                    </w:rPr>
                    <w:t>Nije primjenljiv</w:t>
                  </w:r>
                  <w:r w:rsidR="00C6356D" w:rsidRPr="009C0BEE">
                    <w:rPr>
                      <w:rFonts w:eastAsia="PMingLiU"/>
                      <w:sz w:val="22"/>
                      <w:szCs w:val="22"/>
                    </w:rPr>
                    <w:t xml:space="preserve">o </w:t>
                  </w:r>
                </w:p>
              </w:tc>
            </w:tr>
            <w:tr w:rsidR="00FC1486" w:rsidRPr="009C0BEE" w:rsidTr="005E7E41">
              <w:tc>
                <w:tcPr>
                  <w:tcW w:w="6408" w:type="dxa"/>
                  <w:gridSpan w:val="2"/>
                  <w:shd w:val="clear" w:color="auto" w:fill="auto"/>
                </w:tcPr>
                <w:p w:rsidR="00C6356D" w:rsidRPr="009C0BEE" w:rsidRDefault="00C6356D" w:rsidP="00C6356D">
                  <w:pPr>
                    <w:numPr>
                      <w:ilvl w:val="0"/>
                      <w:numId w:val="1"/>
                    </w:numPr>
                    <w:jc w:val="both"/>
                    <w:rPr>
                      <w:rFonts w:eastAsia="PMingLiU"/>
                      <w:sz w:val="22"/>
                      <w:szCs w:val="22"/>
                    </w:rPr>
                  </w:pPr>
                  <w:r w:rsidRPr="009C0BEE">
                    <w:rPr>
                      <w:rFonts w:eastAsia="PMingLiU"/>
                      <w:i/>
                      <w:sz w:val="22"/>
                      <w:szCs w:val="22"/>
                    </w:rPr>
                    <w:t>Stepen III</w:t>
                  </w:r>
                </w:p>
              </w:tc>
              <w:tc>
                <w:tcPr>
                  <w:tcW w:w="2679" w:type="dxa"/>
                  <w:shd w:val="clear" w:color="auto" w:fill="auto"/>
                </w:tcPr>
                <w:p w:rsidR="00C6356D" w:rsidRPr="009C0BEE" w:rsidRDefault="00C6356D" w:rsidP="00C6356D">
                  <w:pPr>
                    <w:rPr>
                      <w:rFonts w:eastAsia="PMingLiU"/>
                      <w:sz w:val="22"/>
                      <w:szCs w:val="22"/>
                    </w:rPr>
                  </w:pPr>
                </w:p>
              </w:tc>
            </w:tr>
            <w:tr w:rsidR="00FC1486" w:rsidRPr="009C0BEE" w:rsidTr="005E7E41">
              <w:tc>
                <w:tcPr>
                  <w:tcW w:w="2088" w:type="dxa"/>
                  <w:shd w:val="clear" w:color="auto" w:fill="auto"/>
                </w:tcPr>
                <w:p w:rsidR="00B74378" w:rsidRPr="009C0BEE" w:rsidRDefault="00B74378" w:rsidP="00C6356D">
                  <w:pPr>
                    <w:rPr>
                      <w:rFonts w:eastAsia="PMingLiU"/>
                      <w:sz w:val="22"/>
                      <w:szCs w:val="22"/>
                    </w:rPr>
                  </w:pPr>
                  <w:r w:rsidRPr="009C0BEE">
                    <w:rPr>
                      <w:rFonts w:eastAsia="PMingLiU"/>
                      <w:sz w:val="22"/>
                      <w:szCs w:val="22"/>
                    </w:rPr>
                    <w:t>Prva pojava</w:t>
                  </w:r>
                </w:p>
              </w:tc>
              <w:tc>
                <w:tcPr>
                  <w:tcW w:w="4320" w:type="dxa"/>
                  <w:vMerge w:val="restart"/>
                  <w:shd w:val="clear" w:color="auto" w:fill="auto"/>
                </w:tcPr>
                <w:p w:rsidR="00B74378" w:rsidRPr="009C0BEE" w:rsidRDefault="00B74378" w:rsidP="00C6356D">
                  <w:pPr>
                    <w:rPr>
                      <w:rFonts w:eastAsia="PMingLiU"/>
                      <w:sz w:val="22"/>
                      <w:szCs w:val="22"/>
                    </w:rPr>
                  </w:pPr>
                  <w:r w:rsidRPr="009C0BEE">
                    <w:rPr>
                      <w:rFonts w:eastAsia="PMingLiU"/>
                      <w:sz w:val="22"/>
                      <w:szCs w:val="22"/>
                    </w:rPr>
                    <w:t>Prekinuti dok se povuče do stepena 0-1</w:t>
                  </w:r>
                </w:p>
                <w:p w:rsidR="00B74378" w:rsidRPr="009C0BEE" w:rsidRDefault="00B74378" w:rsidP="00C6356D">
                  <w:pPr>
                    <w:rPr>
                      <w:rFonts w:eastAsia="PMingLiU"/>
                      <w:sz w:val="22"/>
                      <w:szCs w:val="22"/>
                    </w:rPr>
                  </w:pPr>
                </w:p>
              </w:tc>
              <w:tc>
                <w:tcPr>
                  <w:tcW w:w="2679" w:type="dxa"/>
                  <w:shd w:val="clear" w:color="auto" w:fill="auto"/>
                </w:tcPr>
                <w:p w:rsidR="00B74378" w:rsidRPr="009C0BEE" w:rsidRDefault="00B74378" w:rsidP="00C6356D">
                  <w:pPr>
                    <w:rPr>
                      <w:rFonts w:eastAsia="PMingLiU"/>
                      <w:sz w:val="22"/>
                      <w:szCs w:val="22"/>
                    </w:rPr>
                  </w:pPr>
                  <w:r w:rsidRPr="009C0BEE">
                    <w:rPr>
                      <w:rFonts w:eastAsia="PMingLiU"/>
                      <w:sz w:val="22"/>
                      <w:szCs w:val="22"/>
                    </w:rPr>
                    <w:t>75%</w:t>
                  </w:r>
                </w:p>
              </w:tc>
            </w:tr>
            <w:tr w:rsidR="00FC1486" w:rsidRPr="009C0BEE" w:rsidTr="005E7E41">
              <w:tc>
                <w:tcPr>
                  <w:tcW w:w="2088" w:type="dxa"/>
                  <w:shd w:val="clear" w:color="auto" w:fill="auto"/>
                </w:tcPr>
                <w:p w:rsidR="00B74378" w:rsidRPr="009C0BEE" w:rsidRDefault="00B74378" w:rsidP="00C6356D">
                  <w:pPr>
                    <w:rPr>
                      <w:rFonts w:eastAsia="PMingLiU"/>
                      <w:sz w:val="22"/>
                      <w:szCs w:val="22"/>
                    </w:rPr>
                  </w:pPr>
                  <w:r w:rsidRPr="009C0BEE">
                    <w:rPr>
                      <w:rFonts w:eastAsia="PMingLiU"/>
                      <w:sz w:val="22"/>
                      <w:szCs w:val="22"/>
                    </w:rPr>
                    <w:t>Druga pojava</w:t>
                  </w:r>
                </w:p>
              </w:tc>
              <w:tc>
                <w:tcPr>
                  <w:tcW w:w="4320" w:type="dxa"/>
                  <w:vMerge/>
                  <w:shd w:val="clear" w:color="auto" w:fill="auto"/>
                </w:tcPr>
                <w:p w:rsidR="00B74378" w:rsidRPr="009C0BEE" w:rsidRDefault="00B74378" w:rsidP="00C6356D">
                  <w:pPr>
                    <w:rPr>
                      <w:rFonts w:eastAsia="PMingLiU"/>
                      <w:sz w:val="22"/>
                      <w:szCs w:val="22"/>
                    </w:rPr>
                  </w:pPr>
                </w:p>
              </w:tc>
              <w:tc>
                <w:tcPr>
                  <w:tcW w:w="2679" w:type="dxa"/>
                  <w:shd w:val="clear" w:color="auto" w:fill="auto"/>
                </w:tcPr>
                <w:p w:rsidR="00B74378" w:rsidRPr="009C0BEE" w:rsidRDefault="00B74378" w:rsidP="00C6356D">
                  <w:pPr>
                    <w:rPr>
                      <w:rFonts w:eastAsia="PMingLiU"/>
                      <w:sz w:val="22"/>
                      <w:szCs w:val="22"/>
                    </w:rPr>
                  </w:pPr>
                  <w:r w:rsidRPr="009C0BEE">
                    <w:rPr>
                      <w:rFonts w:eastAsia="PMingLiU"/>
                      <w:sz w:val="22"/>
                      <w:szCs w:val="22"/>
                    </w:rPr>
                    <w:t>50%</w:t>
                  </w:r>
                </w:p>
              </w:tc>
            </w:tr>
            <w:tr w:rsidR="00FC1486" w:rsidRPr="009C0BEE" w:rsidTr="005E7E41">
              <w:tc>
                <w:tcPr>
                  <w:tcW w:w="2088" w:type="dxa"/>
                  <w:shd w:val="clear" w:color="auto" w:fill="auto"/>
                </w:tcPr>
                <w:p w:rsidR="00C6356D" w:rsidRPr="009C0BEE" w:rsidRDefault="00C6356D" w:rsidP="00C6356D">
                  <w:pPr>
                    <w:rPr>
                      <w:rFonts w:eastAsia="PMingLiU"/>
                      <w:sz w:val="22"/>
                      <w:szCs w:val="22"/>
                    </w:rPr>
                  </w:pPr>
                  <w:r w:rsidRPr="009C0BEE">
                    <w:rPr>
                      <w:rFonts w:eastAsia="PMingLiU"/>
                      <w:sz w:val="22"/>
                      <w:szCs w:val="22"/>
                    </w:rPr>
                    <w:t>Treća pojava</w:t>
                  </w:r>
                </w:p>
              </w:tc>
              <w:tc>
                <w:tcPr>
                  <w:tcW w:w="4320" w:type="dxa"/>
                  <w:shd w:val="clear" w:color="auto" w:fill="auto"/>
                </w:tcPr>
                <w:p w:rsidR="00C6356D" w:rsidRPr="009C0BEE" w:rsidRDefault="00C6356D" w:rsidP="00C6356D">
                  <w:pPr>
                    <w:rPr>
                      <w:rFonts w:eastAsia="PMingLiU"/>
                      <w:sz w:val="22"/>
                      <w:szCs w:val="22"/>
                    </w:rPr>
                  </w:pPr>
                  <w:r w:rsidRPr="009C0BEE">
                    <w:rPr>
                      <w:rFonts w:eastAsia="PMingLiU"/>
                      <w:sz w:val="22"/>
                      <w:szCs w:val="22"/>
                    </w:rPr>
                    <w:t>Trajno prekinuti terapiju</w:t>
                  </w:r>
                </w:p>
              </w:tc>
              <w:tc>
                <w:tcPr>
                  <w:tcW w:w="2679" w:type="dxa"/>
                  <w:tcBorders>
                    <w:bottom w:val="single" w:sz="4" w:space="0" w:color="auto"/>
                  </w:tcBorders>
                  <w:shd w:val="clear" w:color="auto" w:fill="auto"/>
                </w:tcPr>
                <w:p w:rsidR="00C6356D" w:rsidRPr="009C0BEE" w:rsidRDefault="00B74378" w:rsidP="00C6356D">
                  <w:pPr>
                    <w:rPr>
                      <w:rFonts w:eastAsia="PMingLiU"/>
                      <w:sz w:val="22"/>
                      <w:szCs w:val="22"/>
                    </w:rPr>
                  </w:pPr>
                  <w:r w:rsidRPr="009C0BEE">
                    <w:rPr>
                      <w:rFonts w:eastAsia="PMingLiU"/>
                      <w:sz w:val="22"/>
                      <w:szCs w:val="22"/>
                    </w:rPr>
                    <w:t>Nije primjenljivo</w:t>
                  </w:r>
                </w:p>
              </w:tc>
            </w:tr>
            <w:tr w:rsidR="00FC1486" w:rsidRPr="009C0BEE" w:rsidTr="005E7E41">
              <w:tc>
                <w:tcPr>
                  <w:tcW w:w="6408" w:type="dxa"/>
                  <w:gridSpan w:val="2"/>
                  <w:tcBorders>
                    <w:right w:val="nil"/>
                  </w:tcBorders>
                  <w:shd w:val="clear" w:color="auto" w:fill="auto"/>
                </w:tcPr>
                <w:p w:rsidR="00C6356D" w:rsidRPr="009C0BEE" w:rsidRDefault="00C6356D" w:rsidP="00C6356D">
                  <w:pPr>
                    <w:numPr>
                      <w:ilvl w:val="0"/>
                      <w:numId w:val="1"/>
                    </w:numPr>
                    <w:jc w:val="both"/>
                    <w:rPr>
                      <w:rFonts w:eastAsia="PMingLiU"/>
                      <w:sz w:val="22"/>
                      <w:szCs w:val="22"/>
                    </w:rPr>
                  </w:pPr>
                  <w:r w:rsidRPr="009C0BEE">
                    <w:rPr>
                      <w:rFonts w:eastAsia="PMingLiU"/>
                      <w:i/>
                      <w:sz w:val="22"/>
                      <w:szCs w:val="22"/>
                    </w:rPr>
                    <w:t>Stepen IV</w:t>
                  </w:r>
                </w:p>
              </w:tc>
              <w:tc>
                <w:tcPr>
                  <w:tcW w:w="2679" w:type="dxa"/>
                  <w:tcBorders>
                    <w:left w:val="nil"/>
                  </w:tcBorders>
                  <w:shd w:val="clear" w:color="auto" w:fill="auto"/>
                </w:tcPr>
                <w:p w:rsidR="00C6356D" w:rsidRPr="009C0BEE" w:rsidRDefault="00C6356D" w:rsidP="00C6356D">
                  <w:pPr>
                    <w:rPr>
                      <w:rFonts w:eastAsia="PMingLiU"/>
                      <w:sz w:val="22"/>
                      <w:szCs w:val="22"/>
                    </w:rPr>
                  </w:pPr>
                </w:p>
              </w:tc>
            </w:tr>
            <w:tr w:rsidR="00FC1486" w:rsidRPr="009C0BEE" w:rsidTr="005E7E41">
              <w:tc>
                <w:tcPr>
                  <w:tcW w:w="2088" w:type="dxa"/>
                  <w:shd w:val="clear" w:color="auto" w:fill="auto"/>
                </w:tcPr>
                <w:p w:rsidR="00C6356D" w:rsidRPr="009C0BEE" w:rsidRDefault="00C6356D" w:rsidP="00C6356D">
                  <w:pPr>
                    <w:rPr>
                      <w:rFonts w:eastAsia="PMingLiU"/>
                      <w:sz w:val="22"/>
                      <w:szCs w:val="22"/>
                    </w:rPr>
                  </w:pPr>
                  <w:r w:rsidRPr="009C0BEE">
                    <w:rPr>
                      <w:rFonts w:eastAsia="PMingLiU"/>
                      <w:sz w:val="22"/>
                      <w:szCs w:val="22"/>
                    </w:rPr>
                    <w:t>Prva pojava</w:t>
                  </w:r>
                </w:p>
              </w:tc>
              <w:tc>
                <w:tcPr>
                  <w:tcW w:w="4320" w:type="dxa"/>
                  <w:shd w:val="clear" w:color="auto" w:fill="auto"/>
                </w:tcPr>
                <w:p w:rsidR="00C6356D" w:rsidRPr="009C0BEE" w:rsidRDefault="00C6356D" w:rsidP="00C6356D">
                  <w:pPr>
                    <w:rPr>
                      <w:rFonts w:eastAsia="PMingLiU"/>
                      <w:sz w:val="22"/>
                      <w:szCs w:val="22"/>
                    </w:rPr>
                  </w:pPr>
                  <w:r w:rsidRPr="009C0BEE">
                    <w:rPr>
                      <w:rFonts w:eastAsia="PMingLiU"/>
                      <w:sz w:val="22"/>
                      <w:szCs w:val="22"/>
                    </w:rPr>
                    <w:t>Trajno prekinuti terapiju</w:t>
                  </w:r>
                </w:p>
                <w:p w:rsidR="00C6356D" w:rsidRPr="009C0BEE" w:rsidRDefault="00B74378" w:rsidP="00C6356D">
                  <w:pPr>
                    <w:rPr>
                      <w:rFonts w:eastAsia="PMingLiU"/>
                      <w:i/>
                      <w:sz w:val="22"/>
                      <w:szCs w:val="22"/>
                    </w:rPr>
                  </w:pPr>
                  <w:r w:rsidRPr="009C0BEE">
                    <w:rPr>
                      <w:rFonts w:eastAsia="PMingLiU"/>
                      <w:i/>
                      <w:sz w:val="22"/>
                      <w:szCs w:val="22"/>
                    </w:rPr>
                    <w:t>i</w:t>
                  </w:r>
                  <w:r w:rsidR="00C6356D" w:rsidRPr="009C0BEE">
                    <w:rPr>
                      <w:rFonts w:eastAsia="PMingLiU"/>
                      <w:i/>
                      <w:sz w:val="22"/>
                      <w:szCs w:val="22"/>
                    </w:rPr>
                    <w:t>li</w:t>
                  </w:r>
                </w:p>
                <w:p w:rsidR="00C6356D" w:rsidRPr="009C0BEE" w:rsidRDefault="00B74378" w:rsidP="00B74378">
                  <w:pPr>
                    <w:rPr>
                      <w:rFonts w:eastAsia="PMingLiU"/>
                      <w:sz w:val="22"/>
                      <w:szCs w:val="22"/>
                    </w:rPr>
                  </w:pPr>
                  <w:r w:rsidRPr="009C0BEE">
                    <w:rPr>
                      <w:rFonts w:eastAsia="PMingLiU"/>
                      <w:sz w:val="22"/>
                      <w:szCs w:val="22"/>
                    </w:rPr>
                    <w:t>a</w:t>
                  </w:r>
                  <w:r w:rsidR="00C6356D" w:rsidRPr="009C0BEE">
                    <w:rPr>
                      <w:rFonts w:eastAsia="PMingLiU"/>
                      <w:sz w:val="22"/>
                      <w:szCs w:val="22"/>
                    </w:rPr>
                    <w:t xml:space="preserve">ko ljekar smatra da je </w:t>
                  </w:r>
                  <w:r w:rsidRPr="009C0BEE">
                    <w:rPr>
                      <w:rFonts w:eastAsia="PMingLiU"/>
                      <w:sz w:val="22"/>
                      <w:szCs w:val="22"/>
                    </w:rPr>
                    <w:t>nastavak liječenja u</w:t>
                  </w:r>
                  <w:r w:rsidR="00C6356D" w:rsidRPr="009C0BEE">
                    <w:rPr>
                      <w:rFonts w:eastAsia="PMingLiU"/>
                      <w:sz w:val="22"/>
                      <w:szCs w:val="22"/>
                    </w:rPr>
                    <w:t xml:space="preserve"> interesu pacijenta, prekinuti dok se ne povuče do stepena 0-1</w:t>
                  </w:r>
                </w:p>
              </w:tc>
              <w:tc>
                <w:tcPr>
                  <w:tcW w:w="2679" w:type="dxa"/>
                  <w:shd w:val="clear" w:color="auto" w:fill="auto"/>
                </w:tcPr>
                <w:p w:rsidR="00C6356D" w:rsidRPr="009C0BEE" w:rsidRDefault="00C6356D" w:rsidP="00C6356D">
                  <w:pPr>
                    <w:rPr>
                      <w:rFonts w:eastAsia="PMingLiU"/>
                      <w:sz w:val="22"/>
                      <w:szCs w:val="22"/>
                    </w:rPr>
                  </w:pPr>
                  <w:r w:rsidRPr="009C0BEE">
                    <w:rPr>
                      <w:rFonts w:eastAsia="PMingLiU"/>
                      <w:sz w:val="22"/>
                      <w:szCs w:val="22"/>
                    </w:rPr>
                    <w:t>50%</w:t>
                  </w:r>
                </w:p>
              </w:tc>
            </w:tr>
            <w:tr w:rsidR="00FC1486" w:rsidRPr="009C0BEE" w:rsidTr="005E7E41">
              <w:tc>
                <w:tcPr>
                  <w:tcW w:w="2088" w:type="dxa"/>
                  <w:shd w:val="clear" w:color="auto" w:fill="auto"/>
                </w:tcPr>
                <w:p w:rsidR="00C6356D" w:rsidRPr="009C0BEE" w:rsidRDefault="00C6356D" w:rsidP="00C6356D">
                  <w:pPr>
                    <w:rPr>
                      <w:rFonts w:eastAsia="PMingLiU"/>
                      <w:sz w:val="22"/>
                      <w:szCs w:val="22"/>
                    </w:rPr>
                  </w:pPr>
                  <w:r w:rsidRPr="009C0BEE">
                    <w:rPr>
                      <w:rFonts w:eastAsia="PMingLiU"/>
                      <w:sz w:val="22"/>
                      <w:szCs w:val="22"/>
                    </w:rPr>
                    <w:t>Druga pojava</w:t>
                  </w:r>
                </w:p>
              </w:tc>
              <w:tc>
                <w:tcPr>
                  <w:tcW w:w="4320" w:type="dxa"/>
                  <w:shd w:val="clear" w:color="auto" w:fill="auto"/>
                </w:tcPr>
                <w:p w:rsidR="00C6356D" w:rsidRPr="009C0BEE" w:rsidRDefault="00C6356D" w:rsidP="00C6356D">
                  <w:pPr>
                    <w:rPr>
                      <w:rFonts w:eastAsia="PMingLiU"/>
                      <w:sz w:val="22"/>
                      <w:szCs w:val="22"/>
                    </w:rPr>
                  </w:pPr>
                  <w:r w:rsidRPr="009C0BEE">
                    <w:rPr>
                      <w:rFonts w:eastAsia="PMingLiU"/>
                      <w:sz w:val="22"/>
                      <w:szCs w:val="22"/>
                    </w:rPr>
                    <w:t>Trajno prekinuti terapiju</w:t>
                  </w:r>
                </w:p>
              </w:tc>
              <w:tc>
                <w:tcPr>
                  <w:tcW w:w="2679" w:type="dxa"/>
                  <w:shd w:val="clear" w:color="auto" w:fill="auto"/>
                </w:tcPr>
                <w:p w:rsidR="00C6356D" w:rsidRPr="009C0BEE" w:rsidRDefault="00B74378" w:rsidP="00C6356D">
                  <w:pPr>
                    <w:rPr>
                      <w:rFonts w:eastAsia="PMingLiU"/>
                      <w:sz w:val="22"/>
                      <w:szCs w:val="22"/>
                    </w:rPr>
                  </w:pPr>
                  <w:r w:rsidRPr="009C0BEE">
                    <w:rPr>
                      <w:rFonts w:eastAsia="PMingLiU"/>
                      <w:sz w:val="22"/>
                      <w:szCs w:val="22"/>
                    </w:rPr>
                    <w:t>Nije primjenljivo</w:t>
                  </w:r>
                </w:p>
              </w:tc>
            </w:tr>
          </w:tbl>
          <w:p w:rsidR="00C6356D" w:rsidRPr="009C0BEE" w:rsidRDefault="00FC1486" w:rsidP="00FC1486">
            <w:pPr>
              <w:autoSpaceDE w:val="0"/>
              <w:autoSpaceDN w:val="0"/>
              <w:adjustRightInd w:val="0"/>
              <w:jc w:val="both"/>
              <w:rPr>
                <w:sz w:val="22"/>
                <w:szCs w:val="22"/>
              </w:rPr>
            </w:pPr>
            <w:r w:rsidRPr="009C0BEE">
              <w:rPr>
                <w:sz w:val="22"/>
                <w:szCs w:val="22"/>
              </w:rPr>
              <w:t>*prema opštim kriterijumima</w:t>
            </w:r>
            <w:r w:rsidR="00B93909" w:rsidRPr="009C0BEE">
              <w:rPr>
                <w:sz w:val="22"/>
                <w:szCs w:val="22"/>
              </w:rPr>
              <w:t xml:space="preserve"> </w:t>
            </w:r>
            <w:r w:rsidRPr="009C0BEE">
              <w:rPr>
                <w:sz w:val="22"/>
                <w:szCs w:val="22"/>
              </w:rPr>
              <w:t>toksičnosti grupe</w:t>
            </w:r>
            <w:r w:rsidR="00C6356D" w:rsidRPr="009C0BEE">
              <w:rPr>
                <w:sz w:val="22"/>
                <w:szCs w:val="22"/>
              </w:rPr>
              <w:t xml:space="preserve"> za klinička ispitivanja Kanadskog nacionalnog instituta za rak (</w:t>
            </w:r>
            <w:r w:rsidRPr="009C0BEE">
              <w:rPr>
                <w:sz w:val="22"/>
                <w:szCs w:val="22"/>
              </w:rPr>
              <w:t xml:space="preserve">National Cancer Institute of Canada Clinical Trial Group - </w:t>
            </w:r>
            <w:r w:rsidR="00C6356D" w:rsidRPr="009C0BEE">
              <w:rPr>
                <w:sz w:val="22"/>
                <w:szCs w:val="22"/>
              </w:rPr>
              <w:t>NCIC CTG)</w:t>
            </w:r>
            <w:r w:rsidRPr="009C0BEE">
              <w:rPr>
                <w:sz w:val="22"/>
                <w:szCs w:val="22"/>
              </w:rPr>
              <w:t>, verzija 1</w:t>
            </w:r>
            <w:r w:rsidR="00B93909" w:rsidRPr="009C0BEE">
              <w:rPr>
                <w:sz w:val="22"/>
                <w:szCs w:val="22"/>
              </w:rPr>
              <w:t xml:space="preserve"> </w:t>
            </w:r>
            <w:r w:rsidRPr="009C0BEE">
              <w:rPr>
                <w:sz w:val="22"/>
                <w:szCs w:val="22"/>
              </w:rPr>
              <w:t xml:space="preserve">ili </w:t>
            </w:r>
            <w:r w:rsidR="00C6356D" w:rsidRPr="009C0BEE">
              <w:rPr>
                <w:sz w:val="22"/>
                <w:szCs w:val="22"/>
              </w:rPr>
              <w:t>u uobičajen</w:t>
            </w:r>
            <w:r w:rsidRPr="009C0BEE">
              <w:rPr>
                <w:sz w:val="22"/>
                <w:szCs w:val="22"/>
              </w:rPr>
              <w:t>om nazivu kriterijuma</w:t>
            </w:r>
            <w:r w:rsidR="00C6356D" w:rsidRPr="009C0BEE">
              <w:rPr>
                <w:sz w:val="22"/>
                <w:szCs w:val="22"/>
              </w:rPr>
              <w:t xml:space="preserve"> za neželjene događaje </w:t>
            </w:r>
            <w:r w:rsidRPr="009C0BEE">
              <w:rPr>
                <w:sz w:val="22"/>
                <w:szCs w:val="22"/>
              </w:rPr>
              <w:t xml:space="preserve">prema programu evaluacije terapije karcinoma Američkog nacionalnog instituta za rak, </w:t>
            </w:r>
            <w:r w:rsidR="00C6356D" w:rsidRPr="009C0BEE">
              <w:rPr>
                <w:sz w:val="22"/>
                <w:szCs w:val="22"/>
              </w:rPr>
              <w:t>(</w:t>
            </w:r>
            <w:r w:rsidRPr="009C0BEE">
              <w:rPr>
                <w:sz w:val="22"/>
                <w:szCs w:val="22"/>
              </w:rPr>
              <w:t>Common Terminology Criteria for Adverse Events (CTCAE) of the Cancer Therapy Evaluation Program, US National Cancer Institute), verzija 4.0.</w:t>
            </w:r>
            <w:r w:rsidR="00C6356D" w:rsidRPr="009C0BEE">
              <w:rPr>
                <w:sz w:val="22"/>
                <w:szCs w:val="22"/>
              </w:rPr>
              <w:t xml:space="preserve"> Za sindrom šaka-stopalo i hiperbilirubinemiju vidjeti odjeljak 4.4.  </w:t>
            </w:r>
          </w:p>
          <w:p w:rsidR="00C6356D" w:rsidRPr="009C0BEE" w:rsidRDefault="00C6356D" w:rsidP="00C6356D">
            <w:pPr>
              <w:rPr>
                <w:color w:val="FF0000"/>
                <w:sz w:val="22"/>
                <w:szCs w:val="22"/>
              </w:rPr>
            </w:pPr>
          </w:p>
          <w:p w:rsidR="00DF4E88" w:rsidRPr="009C0BEE" w:rsidRDefault="00C6356D" w:rsidP="00C6356D">
            <w:pPr>
              <w:rPr>
                <w:sz w:val="22"/>
                <w:szCs w:val="22"/>
              </w:rPr>
            </w:pPr>
            <w:r w:rsidRPr="009C0BEE">
              <w:rPr>
                <w:i/>
                <w:sz w:val="22"/>
                <w:szCs w:val="22"/>
              </w:rPr>
              <w:t>Hematologija</w:t>
            </w:r>
            <w:r w:rsidRPr="009C0BEE">
              <w:rPr>
                <w:sz w:val="22"/>
                <w:szCs w:val="22"/>
              </w:rPr>
              <w:t xml:space="preserve">: </w:t>
            </w:r>
          </w:p>
          <w:p w:rsidR="00C6356D" w:rsidRPr="009C0BEE" w:rsidRDefault="009F26AD" w:rsidP="003276F7">
            <w:pPr>
              <w:jc w:val="both"/>
              <w:rPr>
                <w:sz w:val="22"/>
                <w:szCs w:val="22"/>
              </w:rPr>
            </w:pPr>
            <w:r w:rsidRPr="009C0BEE">
              <w:rPr>
                <w:sz w:val="22"/>
                <w:szCs w:val="22"/>
              </w:rPr>
              <w:t>Pacijente</w:t>
            </w:r>
            <w:r w:rsidR="00C6356D" w:rsidRPr="009C0BEE">
              <w:rPr>
                <w:sz w:val="22"/>
                <w:szCs w:val="22"/>
              </w:rPr>
              <w:t xml:space="preserve"> </w:t>
            </w:r>
            <w:r w:rsidRPr="009C0BEE">
              <w:rPr>
                <w:sz w:val="22"/>
                <w:szCs w:val="22"/>
              </w:rPr>
              <w:t>sa</w:t>
            </w:r>
            <w:r w:rsidR="00C6356D" w:rsidRPr="009C0BEE">
              <w:rPr>
                <w:sz w:val="22"/>
                <w:szCs w:val="22"/>
              </w:rPr>
              <w:t xml:space="preserve"> </w:t>
            </w:r>
            <w:r w:rsidRPr="009C0BEE">
              <w:rPr>
                <w:sz w:val="22"/>
                <w:szCs w:val="22"/>
              </w:rPr>
              <w:t xml:space="preserve">početnim </w:t>
            </w:r>
            <w:r w:rsidR="00C6356D" w:rsidRPr="009C0BEE">
              <w:rPr>
                <w:sz w:val="22"/>
                <w:szCs w:val="22"/>
              </w:rPr>
              <w:t>broj</w:t>
            </w:r>
            <w:r w:rsidRPr="009C0BEE">
              <w:rPr>
                <w:sz w:val="22"/>
                <w:szCs w:val="22"/>
              </w:rPr>
              <w:t>em</w:t>
            </w:r>
            <w:r w:rsidR="00C6356D" w:rsidRPr="009C0BEE">
              <w:rPr>
                <w:sz w:val="22"/>
                <w:szCs w:val="22"/>
              </w:rPr>
              <w:t xml:space="preserve"> neutrofila </w:t>
            </w:r>
            <w:r w:rsidR="003276F7" w:rsidRPr="009C0BEE">
              <w:rPr>
                <w:sz w:val="22"/>
                <w:szCs w:val="22"/>
              </w:rPr>
              <w:t xml:space="preserve">&lt;1,5 x </w:t>
            </w:r>
            <w:r w:rsidR="00C6356D" w:rsidRPr="009C0BEE">
              <w:rPr>
                <w:sz w:val="22"/>
                <w:szCs w:val="22"/>
              </w:rPr>
              <w:t>10</w:t>
            </w:r>
            <w:r w:rsidR="00C6356D" w:rsidRPr="009C0BEE">
              <w:rPr>
                <w:sz w:val="22"/>
                <w:szCs w:val="22"/>
                <w:vertAlign w:val="superscript"/>
              </w:rPr>
              <w:t>9</w:t>
            </w:r>
            <w:r w:rsidR="00C6356D" w:rsidRPr="009C0BEE">
              <w:rPr>
                <w:sz w:val="22"/>
                <w:szCs w:val="22"/>
              </w:rPr>
              <w:t>/</w:t>
            </w:r>
            <w:r w:rsidR="003276F7" w:rsidRPr="009C0BEE">
              <w:rPr>
                <w:sz w:val="22"/>
                <w:szCs w:val="22"/>
              </w:rPr>
              <w:t xml:space="preserve">L i/ili brojem trombocita &lt;100 x </w:t>
            </w:r>
            <w:r w:rsidR="00C6356D" w:rsidRPr="009C0BEE">
              <w:rPr>
                <w:sz w:val="22"/>
                <w:szCs w:val="22"/>
              </w:rPr>
              <w:t>10</w:t>
            </w:r>
            <w:r w:rsidR="00C6356D" w:rsidRPr="009C0BEE">
              <w:rPr>
                <w:sz w:val="22"/>
                <w:szCs w:val="22"/>
                <w:vertAlign w:val="superscript"/>
              </w:rPr>
              <w:t>9</w:t>
            </w:r>
            <w:r w:rsidR="00C6356D" w:rsidRPr="009C0BEE">
              <w:rPr>
                <w:sz w:val="22"/>
                <w:szCs w:val="22"/>
              </w:rPr>
              <w:t xml:space="preserve">/L ne </w:t>
            </w:r>
            <w:r w:rsidR="003276F7" w:rsidRPr="009C0BEE">
              <w:rPr>
                <w:sz w:val="22"/>
                <w:szCs w:val="22"/>
              </w:rPr>
              <w:t xml:space="preserve">bi </w:t>
            </w:r>
            <w:r w:rsidR="00C6356D" w:rsidRPr="009C0BEE">
              <w:rPr>
                <w:sz w:val="22"/>
                <w:szCs w:val="22"/>
              </w:rPr>
              <w:t>treba</w:t>
            </w:r>
            <w:r w:rsidR="003276F7" w:rsidRPr="009C0BEE">
              <w:rPr>
                <w:sz w:val="22"/>
                <w:szCs w:val="22"/>
              </w:rPr>
              <w:t>lo liječiti k</w:t>
            </w:r>
            <w:r w:rsidR="00F91C4D" w:rsidRPr="009C0BEE">
              <w:rPr>
                <w:sz w:val="22"/>
                <w:szCs w:val="22"/>
              </w:rPr>
              <w:t>apecitabin</w:t>
            </w:r>
            <w:r w:rsidR="003276F7" w:rsidRPr="009C0BEE">
              <w:rPr>
                <w:sz w:val="22"/>
                <w:szCs w:val="22"/>
              </w:rPr>
              <w:t>om</w:t>
            </w:r>
            <w:r w:rsidR="00C6356D" w:rsidRPr="009C0BEE">
              <w:rPr>
                <w:sz w:val="22"/>
                <w:szCs w:val="22"/>
              </w:rPr>
              <w:t xml:space="preserve">. Ako neplanirana laboratorijska procjena tokom ciklusa </w:t>
            </w:r>
            <w:r w:rsidR="003276F7" w:rsidRPr="009C0BEE">
              <w:rPr>
                <w:sz w:val="22"/>
                <w:szCs w:val="22"/>
              </w:rPr>
              <w:t xml:space="preserve">liječenja </w:t>
            </w:r>
            <w:r w:rsidR="00C6356D" w:rsidRPr="009C0BEE">
              <w:rPr>
                <w:sz w:val="22"/>
                <w:szCs w:val="22"/>
              </w:rPr>
              <w:t xml:space="preserve">pokaže </w:t>
            </w:r>
            <w:r w:rsidR="003276F7" w:rsidRPr="009C0BEE">
              <w:rPr>
                <w:sz w:val="22"/>
                <w:szCs w:val="22"/>
              </w:rPr>
              <w:t>pad</w:t>
            </w:r>
            <w:r w:rsidR="00C6356D" w:rsidRPr="009C0BEE">
              <w:rPr>
                <w:sz w:val="22"/>
                <w:szCs w:val="22"/>
              </w:rPr>
              <w:t xml:space="preserve"> broj</w:t>
            </w:r>
            <w:r w:rsidR="003276F7" w:rsidRPr="009C0BEE">
              <w:rPr>
                <w:sz w:val="22"/>
                <w:szCs w:val="22"/>
              </w:rPr>
              <w:t>a neutrofila</w:t>
            </w:r>
            <w:r w:rsidR="00C6356D" w:rsidRPr="009C0BEE">
              <w:rPr>
                <w:sz w:val="22"/>
                <w:szCs w:val="22"/>
              </w:rPr>
              <w:t xml:space="preserve"> ispod 1,0</w:t>
            </w:r>
            <w:r w:rsidR="003276F7" w:rsidRPr="009C0BEE">
              <w:rPr>
                <w:sz w:val="22"/>
                <w:szCs w:val="22"/>
              </w:rPr>
              <w:t xml:space="preserve"> x </w:t>
            </w:r>
            <w:r w:rsidR="00C6356D" w:rsidRPr="009C0BEE">
              <w:rPr>
                <w:sz w:val="22"/>
                <w:szCs w:val="22"/>
              </w:rPr>
              <w:t>10</w:t>
            </w:r>
            <w:r w:rsidR="00C6356D" w:rsidRPr="009C0BEE">
              <w:rPr>
                <w:sz w:val="22"/>
                <w:szCs w:val="22"/>
                <w:vertAlign w:val="superscript"/>
              </w:rPr>
              <w:t>9</w:t>
            </w:r>
            <w:r w:rsidR="00C6356D" w:rsidRPr="009C0BEE">
              <w:rPr>
                <w:sz w:val="22"/>
                <w:szCs w:val="22"/>
              </w:rPr>
              <w:t xml:space="preserve">/L ili </w:t>
            </w:r>
            <w:r w:rsidR="003276F7" w:rsidRPr="009C0BEE">
              <w:rPr>
                <w:sz w:val="22"/>
                <w:szCs w:val="22"/>
              </w:rPr>
              <w:t xml:space="preserve">pad </w:t>
            </w:r>
            <w:r w:rsidR="00C6356D" w:rsidRPr="009C0BEE">
              <w:rPr>
                <w:sz w:val="22"/>
                <w:szCs w:val="22"/>
              </w:rPr>
              <w:t>broj trombocita ispod 75</w:t>
            </w:r>
            <w:r w:rsidR="003276F7" w:rsidRPr="009C0BEE">
              <w:rPr>
                <w:sz w:val="22"/>
                <w:szCs w:val="22"/>
              </w:rPr>
              <w:t xml:space="preserve"> x </w:t>
            </w:r>
            <w:r w:rsidR="00C6356D" w:rsidRPr="009C0BEE">
              <w:rPr>
                <w:sz w:val="22"/>
                <w:szCs w:val="22"/>
              </w:rPr>
              <w:t>10</w:t>
            </w:r>
            <w:r w:rsidR="00C6356D" w:rsidRPr="009C0BEE">
              <w:rPr>
                <w:sz w:val="22"/>
                <w:szCs w:val="22"/>
                <w:vertAlign w:val="superscript"/>
              </w:rPr>
              <w:t>9</w:t>
            </w:r>
            <w:r w:rsidR="00C6356D" w:rsidRPr="009C0BEE">
              <w:rPr>
                <w:sz w:val="22"/>
                <w:szCs w:val="22"/>
              </w:rPr>
              <w:t xml:space="preserve">/L, </w:t>
            </w:r>
            <w:r w:rsidR="003276F7" w:rsidRPr="009C0BEE">
              <w:rPr>
                <w:sz w:val="22"/>
                <w:szCs w:val="22"/>
              </w:rPr>
              <w:t>potrebno je prekinuti liječenje kapecitabinom</w:t>
            </w:r>
            <w:r w:rsidR="00C6356D" w:rsidRPr="009C0BEE">
              <w:rPr>
                <w:sz w:val="22"/>
                <w:szCs w:val="22"/>
              </w:rPr>
              <w:t>.</w:t>
            </w:r>
          </w:p>
          <w:p w:rsidR="00C6356D" w:rsidRPr="009C0BEE" w:rsidRDefault="00C6356D" w:rsidP="00C6356D">
            <w:pPr>
              <w:rPr>
                <w:color w:val="FF0000"/>
                <w:sz w:val="22"/>
                <w:szCs w:val="22"/>
              </w:rPr>
            </w:pPr>
          </w:p>
          <w:p w:rsidR="00BD0CD3" w:rsidRPr="009C0BEE" w:rsidRDefault="00A91AAB" w:rsidP="00BD0CD3">
            <w:pPr>
              <w:rPr>
                <w:i/>
                <w:sz w:val="22"/>
                <w:szCs w:val="22"/>
              </w:rPr>
            </w:pPr>
            <w:r w:rsidRPr="009C0BEE">
              <w:rPr>
                <w:i/>
                <w:sz w:val="22"/>
                <w:szCs w:val="22"/>
              </w:rPr>
              <w:t>Prilagođavanj</w:t>
            </w:r>
            <w:r w:rsidR="00C6356D" w:rsidRPr="009C0BEE">
              <w:rPr>
                <w:i/>
                <w:sz w:val="22"/>
                <w:szCs w:val="22"/>
              </w:rPr>
              <w:t xml:space="preserve">e doze zbog toksičnosti kada se </w:t>
            </w:r>
            <w:r w:rsidR="00AB2EB0" w:rsidRPr="009C0BEE">
              <w:rPr>
                <w:i/>
                <w:sz w:val="22"/>
                <w:szCs w:val="22"/>
              </w:rPr>
              <w:t>k</w:t>
            </w:r>
            <w:r w:rsidR="00F91C4D" w:rsidRPr="009C0BEE">
              <w:rPr>
                <w:i/>
                <w:sz w:val="22"/>
                <w:szCs w:val="22"/>
              </w:rPr>
              <w:t>apecitabin</w:t>
            </w:r>
            <w:r w:rsidR="004E3DA4" w:rsidRPr="009C0BEE">
              <w:rPr>
                <w:i/>
                <w:sz w:val="22"/>
                <w:szCs w:val="22"/>
              </w:rPr>
              <w:t xml:space="preserve"> </w:t>
            </w:r>
            <w:r w:rsidRPr="009C0BEE">
              <w:rPr>
                <w:i/>
                <w:sz w:val="22"/>
                <w:szCs w:val="22"/>
              </w:rPr>
              <w:t>primjenjuje</w:t>
            </w:r>
            <w:r w:rsidR="00C6356D" w:rsidRPr="009C0BEE">
              <w:rPr>
                <w:i/>
                <w:sz w:val="22"/>
                <w:szCs w:val="22"/>
              </w:rPr>
              <w:t xml:space="preserve"> u </w:t>
            </w:r>
            <w:r w:rsidRPr="009C0BEE">
              <w:rPr>
                <w:i/>
                <w:sz w:val="22"/>
                <w:szCs w:val="22"/>
              </w:rPr>
              <w:t>ciklusima od 3 nedjelje u kombinaciji sa drugim ljekov</w:t>
            </w:r>
            <w:r w:rsidR="00C6356D" w:rsidRPr="009C0BEE">
              <w:rPr>
                <w:i/>
                <w:sz w:val="22"/>
                <w:szCs w:val="22"/>
              </w:rPr>
              <w:t>ima</w:t>
            </w:r>
          </w:p>
          <w:p w:rsidR="00C6356D" w:rsidRPr="009C0BEE" w:rsidRDefault="008F1B8E" w:rsidP="00253823">
            <w:pPr>
              <w:jc w:val="both"/>
              <w:rPr>
                <w:sz w:val="22"/>
                <w:szCs w:val="22"/>
              </w:rPr>
            </w:pPr>
            <w:r w:rsidRPr="009C0BEE">
              <w:rPr>
                <w:sz w:val="22"/>
                <w:szCs w:val="22"/>
              </w:rPr>
              <w:lastRenderedPageBreak/>
              <w:t xml:space="preserve">Prilagođavanje </w:t>
            </w:r>
            <w:r w:rsidR="00C6356D" w:rsidRPr="009C0BEE">
              <w:rPr>
                <w:sz w:val="22"/>
                <w:szCs w:val="22"/>
              </w:rPr>
              <w:t xml:space="preserve">doze zbog toksičnosti kada se </w:t>
            </w:r>
            <w:r w:rsidR="00AB2EB0" w:rsidRPr="009C0BEE">
              <w:rPr>
                <w:sz w:val="22"/>
                <w:szCs w:val="22"/>
              </w:rPr>
              <w:t>k</w:t>
            </w:r>
            <w:r w:rsidR="00F91C4D" w:rsidRPr="009C0BEE">
              <w:rPr>
                <w:sz w:val="22"/>
                <w:szCs w:val="22"/>
              </w:rPr>
              <w:t>apecitabin</w:t>
            </w:r>
            <w:r w:rsidRPr="009C0BEE">
              <w:rPr>
                <w:sz w:val="22"/>
                <w:szCs w:val="22"/>
              </w:rPr>
              <w:t xml:space="preserve"> </w:t>
            </w:r>
            <w:r w:rsidR="00C6356D" w:rsidRPr="009C0BEE">
              <w:rPr>
                <w:sz w:val="22"/>
                <w:szCs w:val="22"/>
              </w:rPr>
              <w:t xml:space="preserve">koristi u </w:t>
            </w:r>
            <w:r w:rsidRPr="009C0BEE">
              <w:rPr>
                <w:sz w:val="22"/>
                <w:szCs w:val="22"/>
              </w:rPr>
              <w:t>ciklusima od 3 nedjelje</w:t>
            </w:r>
            <w:r w:rsidR="00B81290" w:rsidRPr="009C0BEE">
              <w:rPr>
                <w:sz w:val="22"/>
                <w:szCs w:val="22"/>
              </w:rPr>
              <w:t xml:space="preserve"> u kombinaciji sa drugim ljekov</w:t>
            </w:r>
            <w:r w:rsidR="00C6356D" w:rsidRPr="009C0BEE">
              <w:rPr>
                <w:sz w:val="22"/>
                <w:szCs w:val="22"/>
              </w:rPr>
              <w:t xml:space="preserve">ima treba vršiti u skladu sa </w:t>
            </w:r>
            <w:r w:rsidR="00B81290" w:rsidRPr="009C0BEE">
              <w:rPr>
                <w:sz w:val="22"/>
                <w:szCs w:val="22"/>
              </w:rPr>
              <w:t xml:space="preserve">gore navedenom Tabelom 3 </w:t>
            </w:r>
            <w:r w:rsidR="00C6356D" w:rsidRPr="009C0BEE">
              <w:rPr>
                <w:sz w:val="22"/>
                <w:szCs w:val="22"/>
              </w:rPr>
              <w:t xml:space="preserve">za </w:t>
            </w:r>
            <w:r w:rsidR="00AB2EB0" w:rsidRPr="009C0BEE">
              <w:rPr>
                <w:sz w:val="22"/>
                <w:szCs w:val="22"/>
              </w:rPr>
              <w:t>k</w:t>
            </w:r>
            <w:r w:rsidR="00F91C4D" w:rsidRPr="009C0BEE">
              <w:rPr>
                <w:sz w:val="22"/>
                <w:szCs w:val="22"/>
              </w:rPr>
              <w:t>apecitabin</w:t>
            </w:r>
            <w:r w:rsidR="00AB2EB0" w:rsidRPr="009C0BEE">
              <w:rPr>
                <w:sz w:val="22"/>
                <w:szCs w:val="22"/>
              </w:rPr>
              <w:t xml:space="preserve"> </w:t>
            </w:r>
            <w:r w:rsidR="00C6356D" w:rsidRPr="009C0BEE">
              <w:rPr>
                <w:sz w:val="22"/>
                <w:szCs w:val="22"/>
              </w:rPr>
              <w:t xml:space="preserve">i u skladu sa odgovarajućim Sažetkom karakteristika lijeka za drugi lijek (druge ljekove). </w:t>
            </w:r>
          </w:p>
          <w:p w:rsidR="00C6356D" w:rsidRPr="009C0BEE" w:rsidRDefault="00C6356D" w:rsidP="00C6356D">
            <w:pPr>
              <w:rPr>
                <w:color w:val="FF0000"/>
                <w:sz w:val="22"/>
                <w:szCs w:val="22"/>
              </w:rPr>
            </w:pPr>
          </w:p>
          <w:p w:rsidR="00B86ED4" w:rsidRPr="009C0BEE" w:rsidRDefault="00B86ED4" w:rsidP="00B86ED4">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Ako je na početku liječenja indikovano odlaganje liječenja bilo kapecitabinom, bilo drugim lijekom (ljekovima), primjena svih ljekova mora se odložiti dok ne budu zadovoljeni uslovi za početak liječenja svim ljekovima.</w:t>
            </w:r>
          </w:p>
          <w:p w:rsidR="00C6356D" w:rsidRPr="009C0BEE" w:rsidRDefault="00C6356D" w:rsidP="00C6356D">
            <w:pPr>
              <w:rPr>
                <w:color w:val="FF0000"/>
                <w:sz w:val="22"/>
                <w:szCs w:val="22"/>
              </w:rPr>
            </w:pPr>
          </w:p>
          <w:p w:rsidR="009D1C9F" w:rsidRPr="009C0BEE" w:rsidRDefault="009D1C9F" w:rsidP="009D1C9F">
            <w:pPr>
              <w:autoSpaceDE w:val="0"/>
              <w:autoSpaceDN w:val="0"/>
              <w:adjustRightInd w:val="0"/>
              <w:jc w:val="both"/>
              <w:rPr>
                <w:color w:val="FF0000"/>
                <w:sz w:val="22"/>
                <w:szCs w:val="22"/>
              </w:rPr>
            </w:pPr>
            <w:r w:rsidRPr="009C0BEE">
              <w:rPr>
                <w:rFonts w:ascii="TimesNewRoman" w:hAnsi="TimesNewRoman" w:cs="TimesNewRoman"/>
                <w:sz w:val="22"/>
                <w:szCs w:val="22"/>
              </w:rPr>
              <w:t>Ako se tokom liječenja razviju toksične reakcije koje prema mišljenju ordinirajućeg ljekara nisu povezane sa primjenom kapecitabina, liječenje kapecitabinom treba nastaviti, a dozu drugog lijeka treba prilagoditi prema Sažetku karakteristika tog lijeka.</w:t>
            </w:r>
            <w:r w:rsidRPr="009C0BEE">
              <w:rPr>
                <w:color w:val="FF0000"/>
                <w:sz w:val="22"/>
                <w:szCs w:val="22"/>
              </w:rPr>
              <w:t xml:space="preserve"> </w:t>
            </w:r>
          </w:p>
          <w:p w:rsidR="00E17E9C" w:rsidRPr="009C0BEE" w:rsidRDefault="00E17E9C" w:rsidP="009D1C9F">
            <w:pPr>
              <w:autoSpaceDE w:val="0"/>
              <w:autoSpaceDN w:val="0"/>
              <w:adjustRightInd w:val="0"/>
              <w:jc w:val="both"/>
              <w:rPr>
                <w:color w:val="FF0000"/>
                <w:sz w:val="22"/>
                <w:szCs w:val="22"/>
              </w:rPr>
            </w:pPr>
          </w:p>
          <w:p w:rsidR="00E17E9C" w:rsidRPr="009C0BEE" w:rsidRDefault="00E17E9C" w:rsidP="00E17E9C">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Ukoliko je liječenje drugim lijekom ili ljekovima potrebno trajno prekinuti, liječenje kapecitabinom može se nastaviti kada se zadovolje uslovi za nastavak liječenja kapecitabinom.</w:t>
            </w:r>
          </w:p>
          <w:p w:rsidR="00C6356D" w:rsidRPr="009C0BEE" w:rsidRDefault="00C6356D" w:rsidP="00C6356D">
            <w:pPr>
              <w:rPr>
                <w:color w:val="FF0000"/>
                <w:sz w:val="22"/>
                <w:szCs w:val="22"/>
              </w:rPr>
            </w:pPr>
          </w:p>
          <w:p w:rsidR="004F5811" w:rsidRPr="009C0BEE" w:rsidRDefault="004F5811" w:rsidP="00C6356D">
            <w:pPr>
              <w:rPr>
                <w:color w:val="FF0000"/>
                <w:sz w:val="22"/>
                <w:szCs w:val="22"/>
              </w:rPr>
            </w:pPr>
            <w:r w:rsidRPr="009C0BEE">
              <w:rPr>
                <w:rFonts w:ascii="TimesNewRoman" w:hAnsi="TimesNewRoman" w:cs="TimesNewRoman"/>
                <w:sz w:val="22"/>
                <w:szCs w:val="22"/>
              </w:rPr>
              <w:t>Preporuka se odnosi na sve indikacije i sve grupe pacijenata.</w:t>
            </w:r>
          </w:p>
          <w:p w:rsidR="00C6356D" w:rsidRPr="009C0BEE" w:rsidRDefault="00C6356D" w:rsidP="00C6356D">
            <w:pPr>
              <w:rPr>
                <w:color w:val="FF0000"/>
                <w:sz w:val="22"/>
                <w:szCs w:val="22"/>
              </w:rPr>
            </w:pPr>
          </w:p>
          <w:p w:rsidR="00BD0CD3" w:rsidRPr="009C0BEE" w:rsidRDefault="00BD0CD3" w:rsidP="003135B7">
            <w:pPr>
              <w:jc w:val="both"/>
              <w:rPr>
                <w:i/>
                <w:sz w:val="22"/>
                <w:szCs w:val="22"/>
              </w:rPr>
            </w:pPr>
            <w:r w:rsidRPr="009C0BEE">
              <w:rPr>
                <w:i/>
                <w:sz w:val="22"/>
                <w:szCs w:val="22"/>
              </w:rPr>
              <w:t xml:space="preserve">Prilagođavanje doze zbog toksičnosti kada se kapecitabin primjenjuje kontinuirano u kombinaciji sa drugim ljekovima: </w:t>
            </w:r>
          </w:p>
          <w:p w:rsidR="00C6356D" w:rsidRPr="009C0BEE" w:rsidRDefault="00546F76" w:rsidP="00546F76">
            <w:pPr>
              <w:jc w:val="both"/>
              <w:rPr>
                <w:sz w:val="22"/>
                <w:szCs w:val="22"/>
              </w:rPr>
            </w:pPr>
            <w:r w:rsidRPr="009C0BEE">
              <w:rPr>
                <w:sz w:val="22"/>
                <w:szCs w:val="22"/>
              </w:rPr>
              <w:t>Prilagođavanj</w:t>
            </w:r>
            <w:r w:rsidR="00C6356D" w:rsidRPr="009C0BEE">
              <w:rPr>
                <w:sz w:val="22"/>
                <w:szCs w:val="22"/>
              </w:rPr>
              <w:t xml:space="preserve">e doze zbog toksičnosti kada se </w:t>
            </w:r>
            <w:r w:rsidRPr="009C0BEE">
              <w:rPr>
                <w:sz w:val="22"/>
                <w:szCs w:val="22"/>
              </w:rPr>
              <w:t>k</w:t>
            </w:r>
            <w:r w:rsidR="00F91C4D" w:rsidRPr="009C0BEE">
              <w:rPr>
                <w:sz w:val="22"/>
                <w:szCs w:val="22"/>
              </w:rPr>
              <w:t>apecitabin</w:t>
            </w:r>
            <w:r w:rsidRPr="009C0BEE">
              <w:rPr>
                <w:sz w:val="22"/>
                <w:szCs w:val="22"/>
              </w:rPr>
              <w:t xml:space="preserve"> primjenjuje</w:t>
            </w:r>
            <w:r w:rsidR="00C6356D" w:rsidRPr="009C0BEE">
              <w:rPr>
                <w:sz w:val="22"/>
                <w:szCs w:val="22"/>
              </w:rPr>
              <w:t xml:space="preserve"> kontinuir</w:t>
            </w:r>
            <w:r w:rsidRPr="009C0BEE">
              <w:rPr>
                <w:sz w:val="22"/>
                <w:szCs w:val="22"/>
              </w:rPr>
              <w:t>ano u kombinaciji sa drugim ljekov</w:t>
            </w:r>
            <w:r w:rsidR="00C6356D" w:rsidRPr="009C0BEE">
              <w:rPr>
                <w:sz w:val="22"/>
                <w:szCs w:val="22"/>
              </w:rPr>
              <w:t xml:space="preserve">ima treba vršiti u skladu sa </w:t>
            </w:r>
            <w:r w:rsidRPr="009C0BEE">
              <w:rPr>
                <w:sz w:val="22"/>
                <w:szCs w:val="22"/>
              </w:rPr>
              <w:t xml:space="preserve">gore navedenom Tabelom 3 </w:t>
            </w:r>
            <w:r w:rsidR="00C6356D" w:rsidRPr="009C0BEE">
              <w:rPr>
                <w:sz w:val="22"/>
                <w:szCs w:val="22"/>
              </w:rPr>
              <w:t xml:space="preserve">za </w:t>
            </w:r>
            <w:r w:rsidRPr="009C0BEE">
              <w:rPr>
                <w:sz w:val="22"/>
                <w:szCs w:val="22"/>
              </w:rPr>
              <w:t>k</w:t>
            </w:r>
            <w:r w:rsidR="00F91C4D" w:rsidRPr="009C0BEE">
              <w:rPr>
                <w:sz w:val="22"/>
                <w:szCs w:val="22"/>
              </w:rPr>
              <w:t>apecitabin</w:t>
            </w:r>
            <w:r w:rsidRPr="009C0BEE">
              <w:rPr>
                <w:sz w:val="22"/>
                <w:szCs w:val="22"/>
              </w:rPr>
              <w:t xml:space="preserve"> </w:t>
            </w:r>
            <w:r w:rsidR="00C6356D" w:rsidRPr="009C0BEE">
              <w:rPr>
                <w:sz w:val="22"/>
                <w:szCs w:val="22"/>
              </w:rPr>
              <w:t xml:space="preserve">i u skladu sa odgovarajućim </w:t>
            </w:r>
            <w:r w:rsidR="002628C0" w:rsidRPr="009C0BEE">
              <w:rPr>
                <w:sz w:val="22"/>
                <w:szCs w:val="22"/>
              </w:rPr>
              <w:t xml:space="preserve">Sažetkom </w:t>
            </w:r>
            <w:r w:rsidR="00C6356D" w:rsidRPr="009C0BEE">
              <w:rPr>
                <w:sz w:val="22"/>
                <w:szCs w:val="22"/>
              </w:rPr>
              <w:t>karakteristika pr</w:t>
            </w:r>
            <w:r w:rsidR="005E45DA" w:rsidRPr="009C0BEE">
              <w:rPr>
                <w:sz w:val="22"/>
                <w:szCs w:val="22"/>
              </w:rPr>
              <w:t>oizvoda za drugi lijek (druge l</w:t>
            </w:r>
            <w:r w:rsidR="00C6356D" w:rsidRPr="009C0BEE">
              <w:rPr>
                <w:sz w:val="22"/>
                <w:szCs w:val="22"/>
              </w:rPr>
              <w:t xml:space="preserve">jekove). </w:t>
            </w:r>
          </w:p>
          <w:p w:rsidR="00C6356D" w:rsidRPr="009C0BEE" w:rsidRDefault="00C6356D" w:rsidP="00C6356D">
            <w:pPr>
              <w:rPr>
                <w:color w:val="FF0000"/>
                <w:sz w:val="22"/>
                <w:szCs w:val="22"/>
              </w:rPr>
            </w:pPr>
          </w:p>
          <w:p w:rsidR="00C6356D" w:rsidRPr="009C0BEE" w:rsidRDefault="00C6356D" w:rsidP="00C6356D">
            <w:pPr>
              <w:rPr>
                <w:i/>
                <w:sz w:val="22"/>
                <w:szCs w:val="22"/>
                <w:u w:val="single"/>
              </w:rPr>
            </w:pPr>
            <w:r w:rsidRPr="009C0BEE">
              <w:rPr>
                <w:i/>
                <w:sz w:val="22"/>
                <w:szCs w:val="22"/>
                <w:u w:val="single"/>
              </w:rPr>
              <w:t>P</w:t>
            </w:r>
            <w:r w:rsidR="00535254" w:rsidRPr="009C0BEE">
              <w:rPr>
                <w:i/>
                <w:sz w:val="22"/>
                <w:szCs w:val="22"/>
                <w:u w:val="single"/>
              </w:rPr>
              <w:t>rilagođavanje</w:t>
            </w:r>
            <w:r w:rsidRPr="009C0BEE">
              <w:rPr>
                <w:i/>
                <w:sz w:val="22"/>
                <w:szCs w:val="22"/>
                <w:u w:val="single"/>
              </w:rPr>
              <w:t xml:space="preserve"> doz</w:t>
            </w:r>
            <w:r w:rsidR="00535254" w:rsidRPr="009C0BEE">
              <w:rPr>
                <w:i/>
                <w:sz w:val="22"/>
                <w:szCs w:val="22"/>
                <w:u w:val="single"/>
              </w:rPr>
              <w:t>e</w:t>
            </w:r>
            <w:r w:rsidRPr="009C0BEE">
              <w:rPr>
                <w:i/>
                <w:sz w:val="22"/>
                <w:szCs w:val="22"/>
                <w:u w:val="single"/>
              </w:rPr>
              <w:t xml:space="preserve"> za posebne grupe pacijenata </w:t>
            </w:r>
          </w:p>
          <w:p w:rsidR="00C6356D" w:rsidRPr="009C0BEE" w:rsidRDefault="00C6356D" w:rsidP="00C6356D">
            <w:pPr>
              <w:rPr>
                <w:color w:val="FF0000"/>
                <w:sz w:val="22"/>
                <w:szCs w:val="22"/>
                <w:u w:val="single"/>
              </w:rPr>
            </w:pPr>
          </w:p>
          <w:p w:rsidR="00BB0A0F" w:rsidRPr="009C0BEE" w:rsidRDefault="00C6356D" w:rsidP="00C6356D">
            <w:pPr>
              <w:rPr>
                <w:i/>
                <w:sz w:val="22"/>
                <w:szCs w:val="22"/>
              </w:rPr>
            </w:pPr>
            <w:r w:rsidRPr="009C0BEE">
              <w:rPr>
                <w:i/>
                <w:sz w:val="22"/>
                <w:szCs w:val="22"/>
              </w:rPr>
              <w:t xml:space="preserve">Hepatička insuficijencija </w:t>
            </w:r>
          </w:p>
          <w:p w:rsidR="00C6356D" w:rsidRPr="009C0BEE" w:rsidRDefault="002628C0" w:rsidP="00452CE4">
            <w:pPr>
              <w:jc w:val="both"/>
              <w:rPr>
                <w:sz w:val="22"/>
                <w:szCs w:val="22"/>
              </w:rPr>
            </w:pPr>
            <w:r w:rsidRPr="009C0BEE">
              <w:rPr>
                <w:sz w:val="22"/>
                <w:szCs w:val="22"/>
              </w:rPr>
              <w:t xml:space="preserve">Nema </w:t>
            </w:r>
            <w:r w:rsidR="00452CE4" w:rsidRPr="009C0BEE">
              <w:rPr>
                <w:sz w:val="22"/>
                <w:szCs w:val="22"/>
              </w:rPr>
              <w:t>dovoljno</w:t>
            </w:r>
            <w:r w:rsidR="00C6356D" w:rsidRPr="009C0BEE">
              <w:rPr>
                <w:sz w:val="22"/>
                <w:szCs w:val="22"/>
              </w:rPr>
              <w:t xml:space="preserve"> podataka o bezbjednosti i efikasnosti primjene ovog lijeka kod pacijenata sa </w:t>
            </w:r>
            <w:r w:rsidR="00452CE4" w:rsidRPr="009C0BEE">
              <w:rPr>
                <w:sz w:val="22"/>
                <w:szCs w:val="22"/>
              </w:rPr>
              <w:t>oštećenjem funkcije jetre</w:t>
            </w:r>
            <w:r w:rsidR="00C6356D" w:rsidRPr="009C0BEE">
              <w:rPr>
                <w:sz w:val="22"/>
                <w:szCs w:val="22"/>
              </w:rPr>
              <w:t xml:space="preserve"> da bi se mogle </w:t>
            </w:r>
            <w:r w:rsidR="00452CE4" w:rsidRPr="009C0BEE">
              <w:rPr>
                <w:sz w:val="22"/>
                <w:szCs w:val="22"/>
              </w:rPr>
              <w:t xml:space="preserve">dati </w:t>
            </w:r>
            <w:r w:rsidR="00C6356D" w:rsidRPr="009C0BEE">
              <w:rPr>
                <w:sz w:val="22"/>
                <w:szCs w:val="22"/>
              </w:rPr>
              <w:t>preporu</w:t>
            </w:r>
            <w:r w:rsidR="00452CE4" w:rsidRPr="009C0BEE">
              <w:rPr>
                <w:sz w:val="22"/>
                <w:szCs w:val="22"/>
              </w:rPr>
              <w:t xml:space="preserve">ke o </w:t>
            </w:r>
            <w:r w:rsidR="00C6356D" w:rsidRPr="009C0BEE">
              <w:rPr>
                <w:sz w:val="22"/>
                <w:szCs w:val="22"/>
              </w:rPr>
              <w:t>prilagođ</w:t>
            </w:r>
            <w:r w:rsidR="00452CE4" w:rsidRPr="009C0BEE">
              <w:rPr>
                <w:sz w:val="22"/>
                <w:szCs w:val="22"/>
              </w:rPr>
              <w:t>avanju doze. Nisu dostupne informacije za pacijente sa oštećenjem funkcije jetre</w:t>
            </w:r>
            <w:r w:rsidR="00C6356D" w:rsidRPr="009C0BEE">
              <w:rPr>
                <w:sz w:val="22"/>
                <w:szCs w:val="22"/>
              </w:rPr>
              <w:t xml:space="preserve"> </w:t>
            </w:r>
            <w:r w:rsidRPr="009C0BEE">
              <w:rPr>
                <w:sz w:val="22"/>
                <w:szCs w:val="22"/>
              </w:rPr>
              <w:t xml:space="preserve">koje je </w:t>
            </w:r>
            <w:r w:rsidR="00C6356D" w:rsidRPr="009C0BEE">
              <w:rPr>
                <w:sz w:val="22"/>
                <w:szCs w:val="22"/>
              </w:rPr>
              <w:t>izazvano cirozom ili hepatitisom.</w:t>
            </w:r>
          </w:p>
          <w:p w:rsidR="00C6356D" w:rsidRPr="009C0BEE" w:rsidRDefault="00C6356D" w:rsidP="00C6356D">
            <w:pPr>
              <w:rPr>
                <w:color w:val="FF0000"/>
                <w:sz w:val="22"/>
                <w:szCs w:val="22"/>
              </w:rPr>
            </w:pPr>
          </w:p>
          <w:p w:rsidR="00B11779" w:rsidRPr="009C0BEE" w:rsidRDefault="00C6356D" w:rsidP="00C6356D">
            <w:pPr>
              <w:rPr>
                <w:i/>
                <w:sz w:val="22"/>
                <w:szCs w:val="22"/>
              </w:rPr>
            </w:pPr>
            <w:r w:rsidRPr="009C0BEE">
              <w:rPr>
                <w:i/>
                <w:sz w:val="22"/>
                <w:szCs w:val="22"/>
              </w:rPr>
              <w:t>Bubrežna insuficijencija</w:t>
            </w:r>
          </w:p>
          <w:p w:rsidR="00C6356D" w:rsidRPr="009C0BEE" w:rsidRDefault="00EA5FDD" w:rsidP="00EA5FDD">
            <w:pPr>
              <w:jc w:val="both"/>
              <w:rPr>
                <w:sz w:val="22"/>
                <w:szCs w:val="22"/>
              </w:rPr>
            </w:pPr>
            <w:r w:rsidRPr="009C0BEE">
              <w:rPr>
                <w:sz w:val="22"/>
                <w:szCs w:val="22"/>
              </w:rPr>
              <w:t>Primjena k</w:t>
            </w:r>
            <w:r w:rsidR="00F91C4D" w:rsidRPr="009C0BEE">
              <w:rPr>
                <w:sz w:val="22"/>
                <w:szCs w:val="22"/>
              </w:rPr>
              <w:t>apecitabin</w:t>
            </w:r>
            <w:r w:rsidR="00DF7DBB" w:rsidRPr="009C0BEE">
              <w:rPr>
                <w:sz w:val="22"/>
                <w:szCs w:val="22"/>
              </w:rPr>
              <w:t>a</w:t>
            </w:r>
            <w:r w:rsidR="00AB2EB0" w:rsidRPr="009C0BEE">
              <w:rPr>
                <w:sz w:val="22"/>
                <w:szCs w:val="22"/>
              </w:rPr>
              <w:t xml:space="preserve"> je kontraindikovan</w:t>
            </w:r>
            <w:r w:rsidR="00DF7DBB" w:rsidRPr="009C0BEE">
              <w:rPr>
                <w:sz w:val="22"/>
                <w:szCs w:val="22"/>
              </w:rPr>
              <w:t>a</w:t>
            </w:r>
            <w:r w:rsidR="00C6356D" w:rsidRPr="009C0BEE">
              <w:rPr>
                <w:sz w:val="22"/>
                <w:szCs w:val="22"/>
              </w:rPr>
              <w:t xml:space="preserve"> kod pacijenata sa teškom bubrežnom insuficijencijom (klirens kreatinina ispod 30 ml/min</w:t>
            </w:r>
            <w:r w:rsidR="00DF7DBB" w:rsidRPr="009C0BEE">
              <w:rPr>
                <w:sz w:val="22"/>
                <w:szCs w:val="22"/>
              </w:rPr>
              <w:t>, izračunat prema Cockroft-Gault-ovoj formuli</w:t>
            </w:r>
            <w:r w:rsidR="00C6356D" w:rsidRPr="009C0BEE">
              <w:rPr>
                <w:sz w:val="22"/>
                <w:szCs w:val="22"/>
              </w:rPr>
              <w:t>).</w:t>
            </w:r>
            <w:r w:rsidR="00DF7DBB" w:rsidRPr="009C0BEE">
              <w:rPr>
                <w:sz w:val="22"/>
                <w:szCs w:val="22"/>
              </w:rPr>
              <w:t xml:space="preserve"> Incidencija  neželjenih događaj</w:t>
            </w:r>
            <w:r w:rsidR="00C6356D" w:rsidRPr="009C0BEE">
              <w:rPr>
                <w:sz w:val="22"/>
                <w:szCs w:val="22"/>
              </w:rPr>
              <w:t>a stepena 3 ili 4 kod pacijenata sa umjerenom bubrežnom insuficijencijom (</w:t>
            </w:r>
            <w:r w:rsidR="00DF7DBB" w:rsidRPr="009C0BEE">
              <w:rPr>
                <w:sz w:val="22"/>
                <w:szCs w:val="22"/>
              </w:rPr>
              <w:t xml:space="preserve">početni </w:t>
            </w:r>
            <w:r w:rsidR="00C6356D" w:rsidRPr="009C0BEE">
              <w:rPr>
                <w:sz w:val="22"/>
                <w:szCs w:val="22"/>
              </w:rPr>
              <w:t xml:space="preserve">klirens kreatinina 30-50 ml/min) povećana je u odnosu na ukupnu populaciju. Kod pacijenata sa umjerenom bubrežnom insuficijencijom na </w:t>
            </w:r>
            <w:r w:rsidR="00DF7DBB" w:rsidRPr="009C0BEE">
              <w:rPr>
                <w:sz w:val="22"/>
                <w:szCs w:val="22"/>
              </w:rPr>
              <w:t>početku liječenja</w:t>
            </w:r>
            <w:r w:rsidR="00C6356D" w:rsidRPr="009C0BEE">
              <w:rPr>
                <w:sz w:val="22"/>
                <w:szCs w:val="22"/>
              </w:rPr>
              <w:t>, preporu</w:t>
            </w:r>
            <w:r w:rsidR="00DF7DBB" w:rsidRPr="009C0BEE">
              <w:rPr>
                <w:sz w:val="22"/>
                <w:szCs w:val="22"/>
              </w:rPr>
              <w:t>čuje se smanjenje doze na 75%</w:t>
            </w:r>
            <w:r w:rsidR="00C6356D" w:rsidRPr="009C0BEE">
              <w:rPr>
                <w:sz w:val="22"/>
                <w:szCs w:val="22"/>
              </w:rPr>
              <w:t xml:space="preserve"> početne doze od 1250 mg/m</w:t>
            </w:r>
            <w:r w:rsidR="00C6356D" w:rsidRPr="009C0BEE">
              <w:rPr>
                <w:sz w:val="22"/>
                <w:szCs w:val="22"/>
                <w:vertAlign w:val="superscript"/>
              </w:rPr>
              <w:t>2</w:t>
            </w:r>
            <w:r w:rsidR="00C6356D" w:rsidRPr="009C0BEE">
              <w:rPr>
                <w:sz w:val="22"/>
                <w:szCs w:val="22"/>
              </w:rPr>
              <w:t>. Kod pacijenata sa umjerenom  bubrežnom insuficijencijom</w:t>
            </w:r>
            <w:r w:rsidR="002628C0" w:rsidRPr="009C0BEE">
              <w:rPr>
                <w:sz w:val="22"/>
                <w:szCs w:val="22"/>
              </w:rPr>
              <w:t>,</w:t>
            </w:r>
            <w:r w:rsidR="00C6356D" w:rsidRPr="009C0BEE">
              <w:rPr>
                <w:sz w:val="22"/>
                <w:szCs w:val="22"/>
              </w:rPr>
              <w:t xml:space="preserve"> </w:t>
            </w:r>
            <w:r w:rsidR="00DF7DBB" w:rsidRPr="009C0BEE">
              <w:rPr>
                <w:sz w:val="22"/>
                <w:szCs w:val="22"/>
              </w:rPr>
              <w:t>na početku liječenja</w:t>
            </w:r>
            <w:r w:rsidR="00C6356D" w:rsidRPr="009C0BEE">
              <w:rPr>
                <w:sz w:val="22"/>
                <w:szCs w:val="22"/>
              </w:rPr>
              <w:t xml:space="preserve">  nije potrebno smanjenje </w:t>
            </w:r>
            <w:r w:rsidR="00DF7DBB" w:rsidRPr="009C0BEE">
              <w:rPr>
                <w:sz w:val="22"/>
                <w:szCs w:val="22"/>
              </w:rPr>
              <w:t xml:space="preserve">početne </w:t>
            </w:r>
            <w:r w:rsidR="00C6356D" w:rsidRPr="009C0BEE">
              <w:rPr>
                <w:sz w:val="22"/>
                <w:szCs w:val="22"/>
              </w:rPr>
              <w:t>doze ako</w:t>
            </w:r>
            <w:r w:rsidR="002628C0" w:rsidRPr="009C0BEE">
              <w:rPr>
                <w:sz w:val="22"/>
                <w:szCs w:val="22"/>
              </w:rPr>
              <w:t xml:space="preserve"> </w:t>
            </w:r>
            <w:r w:rsidR="00DF7DBB" w:rsidRPr="009C0BEE">
              <w:rPr>
                <w:sz w:val="22"/>
                <w:szCs w:val="22"/>
              </w:rPr>
              <w:t>ona iznosi</w:t>
            </w:r>
            <w:r w:rsidR="00C6356D" w:rsidRPr="009C0BEE">
              <w:rPr>
                <w:sz w:val="22"/>
                <w:szCs w:val="22"/>
              </w:rPr>
              <w:t xml:space="preserve"> 1000 mg/m</w:t>
            </w:r>
            <w:r w:rsidR="00C6356D" w:rsidRPr="009C0BEE">
              <w:rPr>
                <w:sz w:val="22"/>
                <w:szCs w:val="22"/>
                <w:vertAlign w:val="superscript"/>
              </w:rPr>
              <w:t>2</w:t>
            </w:r>
            <w:r w:rsidR="00C6356D" w:rsidRPr="009C0BEE">
              <w:rPr>
                <w:sz w:val="22"/>
                <w:szCs w:val="22"/>
              </w:rPr>
              <w:t>.</w:t>
            </w:r>
            <w:r w:rsidR="00DF7DBB" w:rsidRPr="009C0BEE">
              <w:rPr>
                <w:sz w:val="22"/>
                <w:szCs w:val="22"/>
              </w:rPr>
              <w:t xml:space="preserve"> </w:t>
            </w:r>
            <w:r w:rsidR="00C6356D" w:rsidRPr="009C0BEE">
              <w:rPr>
                <w:sz w:val="22"/>
                <w:szCs w:val="22"/>
              </w:rPr>
              <w:t>Kod pacijenata sa blagom bubrežnom insuficijencijom (</w:t>
            </w:r>
            <w:r w:rsidR="00DF7DBB" w:rsidRPr="009C0BEE">
              <w:rPr>
                <w:sz w:val="22"/>
                <w:szCs w:val="22"/>
              </w:rPr>
              <w:t xml:space="preserve">početnim </w:t>
            </w:r>
            <w:r w:rsidR="00C6356D" w:rsidRPr="009C0BEE">
              <w:rPr>
                <w:sz w:val="22"/>
                <w:szCs w:val="22"/>
              </w:rPr>
              <w:t>klirens</w:t>
            </w:r>
            <w:r w:rsidR="00DF7DBB" w:rsidRPr="009C0BEE">
              <w:rPr>
                <w:sz w:val="22"/>
                <w:szCs w:val="22"/>
              </w:rPr>
              <w:t>om</w:t>
            </w:r>
            <w:r w:rsidR="00C6356D" w:rsidRPr="009C0BEE">
              <w:rPr>
                <w:sz w:val="22"/>
                <w:szCs w:val="22"/>
              </w:rPr>
              <w:t xml:space="preserve"> kreatinina 51-80 ml/min) ne preporučuje se nikakvo podešavanje početne doze. Pažljivo praćenje i </w:t>
            </w:r>
            <w:r w:rsidR="00DF7DBB" w:rsidRPr="009C0BEE">
              <w:rPr>
                <w:sz w:val="22"/>
                <w:szCs w:val="22"/>
              </w:rPr>
              <w:t>odgovarajući</w:t>
            </w:r>
            <w:r w:rsidR="00C6356D" w:rsidRPr="009C0BEE">
              <w:rPr>
                <w:sz w:val="22"/>
                <w:szCs w:val="22"/>
              </w:rPr>
              <w:t xml:space="preserve"> prekid terapije se preporučuju ako pacijent razvije  neželjene događaje stepena 2</w:t>
            </w:r>
            <w:r w:rsidR="00DF7DBB" w:rsidRPr="009C0BEE">
              <w:rPr>
                <w:sz w:val="22"/>
                <w:szCs w:val="22"/>
              </w:rPr>
              <w:t>.</w:t>
            </w:r>
            <w:r w:rsidR="00C6356D" w:rsidRPr="009C0BEE">
              <w:rPr>
                <w:sz w:val="22"/>
                <w:szCs w:val="22"/>
              </w:rPr>
              <w:t>, 3</w:t>
            </w:r>
            <w:r w:rsidR="00DF7DBB" w:rsidRPr="009C0BEE">
              <w:rPr>
                <w:sz w:val="22"/>
                <w:szCs w:val="22"/>
              </w:rPr>
              <w:t>.</w:t>
            </w:r>
            <w:r w:rsidR="00C6356D" w:rsidRPr="009C0BEE">
              <w:rPr>
                <w:sz w:val="22"/>
                <w:szCs w:val="22"/>
              </w:rPr>
              <w:t xml:space="preserve"> ili 4</w:t>
            </w:r>
            <w:r w:rsidR="00DF7DBB" w:rsidRPr="009C0BEE">
              <w:rPr>
                <w:sz w:val="22"/>
                <w:szCs w:val="22"/>
              </w:rPr>
              <w:t>.</w:t>
            </w:r>
            <w:r w:rsidR="00C6356D" w:rsidRPr="009C0BEE">
              <w:rPr>
                <w:sz w:val="22"/>
                <w:szCs w:val="22"/>
              </w:rPr>
              <w:t xml:space="preserve"> tokom terapije, pa se poslije toga preporučuje podešavanje doze ka</w:t>
            </w:r>
            <w:r w:rsidR="00DF7DBB" w:rsidRPr="009C0BEE">
              <w:rPr>
                <w:sz w:val="22"/>
                <w:szCs w:val="22"/>
              </w:rPr>
              <w:t xml:space="preserve">ko je navedeno </w:t>
            </w:r>
            <w:r w:rsidR="002628C0" w:rsidRPr="009C0BEE">
              <w:rPr>
                <w:sz w:val="22"/>
                <w:szCs w:val="22"/>
              </w:rPr>
              <w:t xml:space="preserve">u </w:t>
            </w:r>
            <w:r w:rsidR="00DF7DBB" w:rsidRPr="009C0BEE">
              <w:rPr>
                <w:sz w:val="22"/>
                <w:szCs w:val="22"/>
              </w:rPr>
              <w:t>Tabeli 3</w:t>
            </w:r>
            <w:r w:rsidR="00C6356D" w:rsidRPr="009C0BEE">
              <w:rPr>
                <w:sz w:val="22"/>
                <w:szCs w:val="22"/>
              </w:rPr>
              <w:t xml:space="preserve">. Ako se izračunati klirens kreatinina smanji tokom terapije na vrijednost ispod 30 ml/min, </w:t>
            </w:r>
            <w:r w:rsidR="00902F3A" w:rsidRPr="009C0BEE">
              <w:rPr>
                <w:sz w:val="22"/>
                <w:szCs w:val="22"/>
              </w:rPr>
              <w:t xml:space="preserve">liječenje </w:t>
            </w:r>
            <w:r w:rsidR="00AB2EB0" w:rsidRPr="009C0BEE">
              <w:rPr>
                <w:sz w:val="22"/>
                <w:szCs w:val="22"/>
              </w:rPr>
              <w:t>lijek</w:t>
            </w:r>
            <w:r w:rsidR="00902F3A" w:rsidRPr="009C0BEE">
              <w:rPr>
                <w:sz w:val="22"/>
                <w:szCs w:val="22"/>
              </w:rPr>
              <w:t>om</w:t>
            </w:r>
            <w:r w:rsidR="00AB2EB0" w:rsidRPr="009C0BEE">
              <w:rPr>
                <w:sz w:val="22"/>
                <w:szCs w:val="22"/>
              </w:rPr>
              <w:t xml:space="preserve"> </w:t>
            </w:r>
            <w:r w:rsidR="00F91C4D" w:rsidRPr="009C0BEE">
              <w:rPr>
                <w:sz w:val="22"/>
                <w:szCs w:val="22"/>
              </w:rPr>
              <w:t>Kapecitabin</w:t>
            </w:r>
            <w:r w:rsidR="00AB2EB0" w:rsidRPr="009C0BEE">
              <w:rPr>
                <w:sz w:val="22"/>
                <w:szCs w:val="22"/>
              </w:rPr>
              <w:t xml:space="preserve"> Teva </w:t>
            </w:r>
            <w:r w:rsidR="00902F3A" w:rsidRPr="009C0BEE">
              <w:rPr>
                <w:sz w:val="22"/>
                <w:szCs w:val="22"/>
              </w:rPr>
              <w:t>treba prekinuti. Preporuke za podešavanje doze u slučaju</w:t>
            </w:r>
            <w:r w:rsidR="00C6356D" w:rsidRPr="009C0BEE">
              <w:rPr>
                <w:sz w:val="22"/>
                <w:szCs w:val="22"/>
              </w:rPr>
              <w:t xml:space="preserve"> bubrežne insuficijencije odnose se i na monot</w:t>
            </w:r>
            <w:r w:rsidR="002E0C34" w:rsidRPr="009C0BEE">
              <w:rPr>
                <w:sz w:val="22"/>
                <w:szCs w:val="22"/>
              </w:rPr>
              <w:t>erapiju i na kombinovanu primjen</w:t>
            </w:r>
            <w:r w:rsidR="00C6356D" w:rsidRPr="009C0BEE">
              <w:rPr>
                <w:sz w:val="22"/>
                <w:szCs w:val="22"/>
              </w:rPr>
              <w:t xml:space="preserve">u (vidjeti </w:t>
            </w:r>
            <w:r w:rsidR="002E0C34" w:rsidRPr="009C0BEE">
              <w:rPr>
                <w:sz w:val="22"/>
                <w:szCs w:val="22"/>
              </w:rPr>
              <w:t xml:space="preserve">ispod </w:t>
            </w:r>
            <w:r w:rsidR="00C6356D" w:rsidRPr="009C0BEE">
              <w:rPr>
                <w:sz w:val="22"/>
                <w:szCs w:val="22"/>
              </w:rPr>
              <w:t>odjeljak „</w:t>
            </w:r>
            <w:r w:rsidR="002E0C34" w:rsidRPr="009C0BEE">
              <w:rPr>
                <w:i/>
                <w:sz w:val="22"/>
                <w:szCs w:val="22"/>
              </w:rPr>
              <w:t>Starije osobe</w:t>
            </w:r>
            <w:r w:rsidR="002E0C34" w:rsidRPr="009C0BEE">
              <w:rPr>
                <w:sz w:val="22"/>
                <w:szCs w:val="22"/>
              </w:rPr>
              <w:t>“</w:t>
            </w:r>
            <w:r w:rsidR="00C6356D" w:rsidRPr="009C0BEE">
              <w:rPr>
                <w:sz w:val="22"/>
                <w:szCs w:val="22"/>
              </w:rPr>
              <w:t xml:space="preserve">). </w:t>
            </w:r>
          </w:p>
          <w:p w:rsidR="003E5882" w:rsidRPr="009C0BEE" w:rsidRDefault="003E5882" w:rsidP="00EA5FDD">
            <w:pPr>
              <w:jc w:val="both"/>
              <w:rPr>
                <w:sz w:val="22"/>
                <w:szCs w:val="22"/>
              </w:rPr>
            </w:pPr>
          </w:p>
          <w:p w:rsidR="003E5882" w:rsidRPr="009C0BEE" w:rsidRDefault="003E5882" w:rsidP="003E5882">
            <w:pPr>
              <w:autoSpaceDE w:val="0"/>
              <w:autoSpaceDN w:val="0"/>
              <w:adjustRightInd w:val="0"/>
              <w:rPr>
                <w:i/>
                <w:iCs/>
                <w:sz w:val="22"/>
                <w:szCs w:val="22"/>
              </w:rPr>
            </w:pPr>
            <w:r w:rsidRPr="009C0BEE">
              <w:rPr>
                <w:i/>
                <w:iCs/>
                <w:sz w:val="22"/>
                <w:szCs w:val="22"/>
              </w:rPr>
              <w:t>Starije osobe</w:t>
            </w:r>
          </w:p>
          <w:p w:rsidR="003E5882" w:rsidRPr="009C0BEE" w:rsidRDefault="003E5882" w:rsidP="003E5882">
            <w:pPr>
              <w:jc w:val="both"/>
              <w:rPr>
                <w:sz w:val="22"/>
                <w:szCs w:val="22"/>
              </w:rPr>
            </w:pPr>
            <w:r w:rsidRPr="009C0BEE">
              <w:rPr>
                <w:sz w:val="22"/>
                <w:szCs w:val="22"/>
              </w:rPr>
              <w:t>U monotera</w:t>
            </w:r>
            <w:r w:rsidR="002778B8" w:rsidRPr="009C0BEE">
              <w:rPr>
                <w:sz w:val="22"/>
                <w:szCs w:val="22"/>
              </w:rPr>
              <w:t>piji kapecitabinom nije potrebno prilagođavanje početne doze. Međutim, kod pacijenata starosti</w:t>
            </w:r>
            <w:r w:rsidRPr="009C0BEE">
              <w:rPr>
                <w:sz w:val="22"/>
                <w:szCs w:val="22"/>
              </w:rPr>
              <w:t xml:space="preserve"> ≥ 60 godina češće se razvijaju </w:t>
            </w:r>
            <w:r w:rsidR="002778B8" w:rsidRPr="009C0BEE">
              <w:rPr>
                <w:sz w:val="22"/>
                <w:szCs w:val="22"/>
              </w:rPr>
              <w:t>n</w:t>
            </w:r>
            <w:r w:rsidRPr="009C0BEE">
              <w:rPr>
                <w:sz w:val="22"/>
                <w:szCs w:val="22"/>
              </w:rPr>
              <w:t>e</w:t>
            </w:r>
            <w:r w:rsidR="00B676D5" w:rsidRPr="009C0BEE">
              <w:rPr>
                <w:sz w:val="22"/>
                <w:szCs w:val="22"/>
              </w:rPr>
              <w:t>željene reakcije</w:t>
            </w:r>
            <w:r w:rsidR="002778B8" w:rsidRPr="009C0BEE">
              <w:rPr>
                <w:sz w:val="22"/>
                <w:szCs w:val="22"/>
              </w:rPr>
              <w:t xml:space="preserve"> 3. ili 4. stepena nego kod</w:t>
            </w:r>
            <w:r w:rsidRPr="009C0BEE">
              <w:rPr>
                <w:sz w:val="22"/>
                <w:szCs w:val="22"/>
              </w:rPr>
              <w:t xml:space="preserve"> mlađih </w:t>
            </w:r>
            <w:r w:rsidR="002778B8" w:rsidRPr="009C0BEE">
              <w:rPr>
                <w:sz w:val="22"/>
                <w:szCs w:val="22"/>
              </w:rPr>
              <w:t>pacijenata</w:t>
            </w:r>
            <w:r w:rsidRPr="009C0BEE">
              <w:rPr>
                <w:sz w:val="22"/>
                <w:szCs w:val="22"/>
              </w:rPr>
              <w:t>.</w:t>
            </w:r>
          </w:p>
          <w:p w:rsidR="003E5882" w:rsidRPr="009C0BEE" w:rsidRDefault="003E5882" w:rsidP="003E5882">
            <w:pPr>
              <w:jc w:val="both"/>
              <w:rPr>
                <w:sz w:val="22"/>
                <w:szCs w:val="22"/>
              </w:rPr>
            </w:pPr>
            <w:r w:rsidRPr="009C0BEE">
              <w:rPr>
                <w:sz w:val="22"/>
                <w:szCs w:val="22"/>
              </w:rPr>
              <w:lastRenderedPageBreak/>
              <w:t>Pri primjeni kapecitabina u kombinaciji s</w:t>
            </w:r>
            <w:r w:rsidR="00447BC6" w:rsidRPr="009C0BEE">
              <w:rPr>
                <w:sz w:val="22"/>
                <w:szCs w:val="22"/>
              </w:rPr>
              <w:t>a drugim ljekovima</w:t>
            </w:r>
            <w:r w:rsidR="0038381B" w:rsidRPr="009C0BEE">
              <w:rPr>
                <w:sz w:val="22"/>
                <w:szCs w:val="22"/>
              </w:rPr>
              <w:t>,</w:t>
            </w:r>
            <w:r w:rsidR="00447BC6" w:rsidRPr="009C0BEE">
              <w:rPr>
                <w:sz w:val="22"/>
                <w:szCs w:val="22"/>
              </w:rPr>
              <w:t xml:space="preserve"> stariji pacijent</w:t>
            </w:r>
            <w:r w:rsidRPr="009C0BEE">
              <w:rPr>
                <w:sz w:val="22"/>
                <w:szCs w:val="22"/>
              </w:rPr>
              <w:t xml:space="preserve">i (≥65 godina) su imali </w:t>
            </w:r>
            <w:r w:rsidR="00447BC6" w:rsidRPr="009C0BEE">
              <w:rPr>
                <w:sz w:val="22"/>
                <w:szCs w:val="22"/>
              </w:rPr>
              <w:t>više neželjenih događaja 3. i 4. stepen</w:t>
            </w:r>
            <w:r w:rsidRPr="009C0BEE">
              <w:rPr>
                <w:sz w:val="22"/>
                <w:szCs w:val="22"/>
              </w:rPr>
              <w:t>a nego mlađi, uključujući i one zbog kojih je trebalo prekinuti liječenje.</w:t>
            </w:r>
          </w:p>
          <w:p w:rsidR="003E5882" w:rsidRPr="009C0BEE" w:rsidRDefault="003E5882" w:rsidP="003E5882">
            <w:pPr>
              <w:jc w:val="both"/>
              <w:rPr>
                <w:sz w:val="22"/>
                <w:szCs w:val="22"/>
              </w:rPr>
            </w:pPr>
            <w:r w:rsidRPr="009C0BEE">
              <w:rPr>
                <w:sz w:val="22"/>
                <w:szCs w:val="22"/>
              </w:rPr>
              <w:t>Savjetu</w:t>
            </w:r>
            <w:r w:rsidR="00447BC6" w:rsidRPr="009C0BEE">
              <w:rPr>
                <w:sz w:val="22"/>
                <w:szCs w:val="22"/>
              </w:rPr>
              <w:t>je se pažljivo praćenje pacijenat</w:t>
            </w:r>
            <w:r w:rsidRPr="009C0BEE">
              <w:rPr>
                <w:sz w:val="22"/>
                <w:szCs w:val="22"/>
              </w:rPr>
              <w:t xml:space="preserve">a </w:t>
            </w:r>
            <w:r w:rsidR="00447BC6" w:rsidRPr="009C0BEE">
              <w:rPr>
                <w:sz w:val="22"/>
                <w:szCs w:val="22"/>
              </w:rPr>
              <w:t>starosti</w:t>
            </w:r>
            <w:r w:rsidRPr="009C0BEE">
              <w:rPr>
                <w:sz w:val="22"/>
                <w:szCs w:val="22"/>
              </w:rPr>
              <w:t xml:space="preserve"> ≥60 godina.</w:t>
            </w:r>
          </w:p>
          <w:p w:rsidR="0021150C" w:rsidRPr="009C0BEE" w:rsidRDefault="003E5882" w:rsidP="003E5882">
            <w:pPr>
              <w:jc w:val="both"/>
              <w:rPr>
                <w:sz w:val="22"/>
                <w:szCs w:val="22"/>
              </w:rPr>
            </w:pPr>
            <w:r w:rsidRPr="009C0BEE">
              <w:rPr>
                <w:sz w:val="22"/>
                <w:szCs w:val="22"/>
              </w:rPr>
              <w:t xml:space="preserve">-       U </w:t>
            </w:r>
            <w:r w:rsidRPr="009C0BEE">
              <w:rPr>
                <w:i/>
                <w:sz w:val="22"/>
                <w:szCs w:val="22"/>
              </w:rPr>
              <w:t>kombinaciji s</w:t>
            </w:r>
            <w:r w:rsidR="00B031DB" w:rsidRPr="009C0BEE">
              <w:rPr>
                <w:i/>
                <w:sz w:val="22"/>
                <w:szCs w:val="22"/>
              </w:rPr>
              <w:t>a</w:t>
            </w:r>
            <w:r w:rsidRPr="009C0BEE">
              <w:rPr>
                <w:i/>
                <w:sz w:val="22"/>
                <w:szCs w:val="22"/>
              </w:rPr>
              <w:t xml:space="preserve"> docetakselom</w:t>
            </w:r>
            <w:r w:rsidR="0021150C" w:rsidRPr="009C0BEE">
              <w:rPr>
                <w:sz w:val="22"/>
                <w:szCs w:val="22"/>
              </w:rPr>
              <w:t>: kod pacijenata starosti</w:t>
            </w:r>
            <w:r w:rsidRPr="009C0BEE">
              <w:rPr>
                <w:sz w:val="22"/>
                <w:szCs w:val="22"/>
              </w:rPr>
              <w:t xml:space="preserve"> 60 ili više godina primijećena je povećana </w:t>
            </w:r>
            <w:r w:rsidR="0021150C" w:rsidRPr="009C0BEE">
              <w:rPr>
                <w:sz w:val="22"/>
                <w:szCs w:val="22"/>
              </w:rPr>
              <w:t>incidenca</w:t>
            </w:r>
          </w:p>
          <w:p w:rsidR="0021150C" w:rsidRPr="009C0BEE" w:rsidRDefault="0021150C" w:rsidP="003E5882">
            <w:pPr>
              <w:jc w:val="both"/>
              <w:rPr>
                <w:sz w:val="22"/>
                <w:szCs w:val="22"/>
              </w:rPr>
            </w:pPr>
            <w:r w:rsidRPr="009C0BEE">
              <w:rPr>
                <w:sz w:val="22"/>
                <w:szCs w:val="22"/>
              </w:rPr>
              <w:t xml:space="preserve">          neželjenih događaja</w:t>
            </w:r>
            <w:r w:rsidR="003E5882" w:rsidRPr="009C0BEE">
              <w:rPr>
                <w:sz w:val="22"/>
                <w:szCs w:val="22"/>
              </w:rPr>
              <w:t xml:space="preserve"> 3. ili 4. st</w:t>
            </w:r>
            <w:r w:rsidRPr="009C0BEE">
              <w:rPr>
                <w:sz w:val="22"/>
                <w:szCs w:val="22"/>
              </w:rPr>
              <w:t>epena i ozbiljnih neželjenih dejstava</w:t>
            </w:r>
            <w:r w:rsidR="003E5882" w:rsidRPr="009C0BEE">
              <w:rPr>
                <w:sz w:val="22"/>
                <w:szCs w:val="22"/>
              </w:rPr>
              <w:t xml:space="preserve"> povezanih s</w:t>
            </w:r>
            <w:r w:rsidRPr="009C0BEE">
              <w:rPr>
                <w:sz w:val="22"/>
                <w:szCs w:val="22"/>
              </w:rPr>
              <w:t>a</w:t>
            </w:r>
            <w:r w:rsidR="003E5882" w:rsidRPr="009C0BEE">
              <w:rPr>
                <w:sz w:val="22"/>
                <w:szCs w:val="22"/>
              </w:rPr>
              <w:t xml:space="preserve"> liječenjem</w:t>
            </w:r>
            <w:r w:rsidRPr="009C0BEE">
              <w:rPr>
                <w:sz w:val="22"/>
                <w:szCs w:val="22"/>
              </w:rPr>
              <w:t xml:space="preserve"> </w:t>
            </w:r>
            <w:r w:rsidR="003E5882" w:rsidRPr="009C0BEE">
              <w:rPr>
                <w:sz w:val="22"/>
                <w:szCs w:val="22"/>
              </w:rPr>
              <w:t>(</w:t>
            </w:r>
            <w:r w:rsidRPr="009C0BEE">
              <w:rPr>
                <w:sz w:val="22"/>
                <w:szCs w:val="22"/>
              </w:rPr>
              <w:t xml:space="preserve">vidjeti    </w:t>
            </w:r>
          </w:p>
          <w:p w:rsidR="0021150C" w:rsidRPr="009C0BEE" w:rsidRDefault="0021150C" w:rsidP="003E5882">
            <w:pPr>
              <w:jc w:val="both"/>
              <w:rPr>
                <w:sz w:val="22"/>
                <w:szCs w:val="22"/>
              </w:rPr>
            </w:pPr>
            <w:r w:rsidRPr="009C0BEE">
              <w:rPr>
                <w:sz w:val="22"/>
                <w:szCs w:val="22"/>
              </w:rPr>
              <w:t xml:space="preserve">         </w:t>
            </w:r>
            <w:r w:rsidR="003E5882" w:rsidRPr="009C0BEE">
              <w:rPr>
                <w:sz w:val="22"/>
                <w:szCs w:val="22"/>
              </w:rPr>
              <w:t>o</w:t>
            </w:r>
            <w:r w:rsidRPr="009C0BEE">
              <w:rPr>
                <w:sz w:val="22"/>
                <w:szCs w:val="22"/>
              </w:rPr>
              <w:t>djeljak 5.1). Pacijentima</w:t>
            </w:r>
            <w:r w:rsidR="003E5882" w:rsidRPr="009C0BEE">
              <w:rPr>
                <w:sz w:val="22"/>
                <w:szCs w:val="22"/>
              </w:rPr>
              <w:t xml:space="preserve"> starim 60 ili više godina preporučuje se smanjenje početne doze kapecitabina na </w:t>
            </w:r>
            <w:r w:rsidRPr="009C0BEE">
              <w:rPr>
                <w:sz w:val="22"/>
                <w:szCs w:val="22"/>
              </w:rPr>
              <w:t xml:space="preserve"> </w:t>
            </w:r>
          </w:p>
          <w:p w:rsidR="0021150C" w:rsidRPr="009C0BEE" w:rsidRDefault="0021150C" w:rsidP="003E5882">
            <w:pPr>
              <w:jc w:val="both"/>
              <w:rPr>
                <w:sz w:val="22"/>
                <w:szCs w:val="22"/>
              </w:rPr>
            </w:pPr>
            <w:r w:rsidRPr="009C0BEE">
              <w:rPr>
                <w:sz w:val="22"/>
                <w:szCs w:val="22"/>
              </w:rPr>
              <w:t xml:space="preserve">         </w:t>
            </w:r>
            <w:r w:rsidR="003E5882" w:rsidRPr="009C0BEE">
              <w:rPr>
                <w:sz w:val="22"/>
                <w:szCs w:val="22"/>
              </w:rPr>
              <w:t>75% (950 mg/m</w:t>
            </w:r>
            <w:r w:rsidR="003E5882" w:rsidRPr="009C0BEE">
              <w:rPr>
                <w:sz w:val="22"/>
                <w:szCs w:val="22"/>
                <w:vertAlign w:val="superscript"/>
              </w:rPr>
              <w:t>2</w:t>
            </w:r>
            <w:r w:rsidR="003E5882" w:rsidRPr="009C0BEE">
              <w:rPr>
                <w:sz w:val="22"/>
                <w:szCs w:val="22"/>
              </w:rPr>
              <w:t xml:space="preserve"> dva </w:t>
            </w:r>
            <w:r w:rsidRPr="009C0BEE">
              <w:rPr>
                <w:sz w:val="22"/>
                <w:szCs w:val="22"/>
              </w:rPr>
              <w:t xml:space="preserve">puta </w:t>
            </w:r>
            <w:r w:rsidR="003E5882" w:rsidRPr="009C0BEE">
              <w:rPr>
                <w:sz w:val="22"/>
                <w:szCs w:val="22"/>
              </w:rPr>
              <w:t xml:space="preserve">dnevno). Ako se </w:t>
            </w:r>
            <w:r w:rsidRPr="009C0BEE">
              <w:rPr>
                <w:sz w:val="22"/>
                <w:szCs w:val="22"/>
              </w:rPr>
              <w:t>kod</w:t>
            </w:r>
            <w:r w:rsidR="003E5882" w:rsidRPr="009C0BEE">
              <w:rPr>
                <w:sz w:val="22"/>
                <w:szCs w:val="22"/>
              </w:rPr>
              <w:t xml:space="preserve"> tih </w:t>
            </w:r>
            <w:r w:rsidRPr="009C0BEE">
              <w:rPr>
                <w:sz w:val="22"/>
                <w:szCs w:val="22"/>
              </w:rPr>
              <w:t>pacijenata ne uoče znac</w:t>
            </w:r>
            <w:r w:rsidR="003E5882" w:rsidRPr="009C0BEE">
              <w:rPr>
                <w:sz w:val="22"/>
                <w:szCs w:val="22"/>
              </w:rPr>
              <w:t xml:space="preserve">i toksičnosti pri primjeni </w:t>
            </w:r>
            <w:r w:rsidRPr="009C0BEE">
              <w:rPr>
                <w:sz w:val="22"/>
                <w:szCs w:val="22"/>
              </w:rPr>
              <w:t xml:space="preserve">             </w:t>
            </w:r>
          </w:p>
          <w:p w:rsidR="0021150C" w:rsidRPr="009C0BEE" w:rsidRDefault="0021150C" w:rsidP="003E5882">
            <w:pPr>
              <w:jc w:val="both"/>
              <w:rPr>
                <w:sz w:val="22"/>
                <w:szCs w:val="22"/>
              </w:rPr>
            </w:pPr>
            <w:r w:rsidRPr="009C0BEE">
              <w:rPr>
                <w:sz w:val="22"/>
                <w:szCs w:val="22"/>
              </w:rPr>
              <w:t xml:space="preserve">         smanjene početne doze </w:t>
            </w:r>
            <w:r w:rsidR="003E5882" w:rsidRPr="009C0BEE">
              <w:rPr>
                <w:sz w:val="22"/>
                <w:szCs w:val="22"/>
              </w:rPr>
              <w:t>kapecitabina u kombinaciji s</w:t>
            </w:r>
            <w:r w:rsidRPr="009C0BEE">
              <w:rPr>
                <w:sz w:val="22"/>
                <w:szCs w:val="22"/>
              </w:rPr>
              <w:t>a</w:t>
            </w:r>
            <w:r w:rsidR="003E5882" w:rsidRPr="009C0BEE">
              <w:rPr>
                <w:sz w:val="22"/>
                <w:szCs w:val="22"/>
              </w:rPr>
              <w:t xml:space="preserve"> docetakselom, doza kapecitabina može se oprezno </w:t>
            </w:r>
          </w:p>
          <w:p w:rsidR="00C6356D" w:rsidRPr="009C0BEE" w:rsidRDefault="0021150C" w:rsidP="003E5882">
            <w:pPr>
              <w:jc w:val="both"/>
              <w:rPr>
                <w:sz w:val="22"/>
                <w:szCs w:val="22"/>
              </w:rPr>
            </w:pPr>
            <w:r w:rsidRPr="009C0BEE">
              <w:rPr>
                <w:sz w:val="22"/>
                <w:szCs w:val="22"/>
              </w:rPr>
              <w:t xml:space="preserve">         </w:t>
            </w:r>
            <w:r w:rsidR="003E5882" w:rsidRPr="009C0BEE">
              <w:rPr>
                <w:sz w:val="22"/>
                <w:szCs w:val="22"/>
              </w:rPr>
              <w:t>povećavati do 1250 mg/m</w:t>
            </w:r>
            <w:r w:rsidR="003E5882" w:rsidRPr="009C0BEE">
              <w:rPr>
                <w:sz w:val="22"/>
                <w:szCs w:val="22"/>
                <w:vertAlign w:val="superscript"/>
              </w:rPr>
              <w:t>2</w:t>
            </w:r>
            <w:r w:rsidRPr="009C0BEE">
              <w:rPr>
                <w:sz w:val="22"/>
                <w:szCs w:val="22"/>
              </w:rPr>
              <w:t xml:space="preserve"> </w:t>
            </w:r>
            <w:r w:rsidR="003E5882" w:rsidRPr="009C0BEE">
              <w:rPr>
                <w:sz w:val="22"/>
                <w:szCs w:val="22"/>
              </w:rPr>
              <w:t xml:space="preserve"> dva</w:t>
            </w:r>
            <w:r w:rsidRPr="009C0BEE">
              <w:rPr>
                <w:sz w:val="22"/>
                <w:szCs w:val="22"/>
              </w:rPr>
              <w:t xml:space="preserve"> </w:t>
            </w:r>
            <w:r w:rsidR="003E5882" w:rsidRPr="009C0BEE">
              <w:rPr>
                <w:sz w:val="22"/>
                <w:szCs w:val="22"/>
              </w:rPr>
              <w:t>put</w:t>
            </w:r>
            <w:r w:rsidRPr="009C0BEE">
              <w:rPr>
                <w:sz w:val="22"/>
                <w:szCs w:val="22"/>
              </w:rPr>
              <w:t>a</w:t>
            </w:r>
            <w:r w:rsidR="003E5882" w:rsidRPr="009C0BEE">
              <w:rPr>
                <w:sz w:val="22"/>
                <w:szCs w:val="22"/>
              </w:rPr>
              <w:t xml:space="preserve"> dnevno.</w:t>
            </w:r>
          </w:p>
          <w:p w:rsidR="00B676D5" w:rsidRPr="009C0BEE" w:rsidRDefault="00B676D5" w:rsidP="003E5882">
            <w:pPr>
              <w:jc w:val="both"/>
              <w:rPr>
                <w:sz w:val="22"/>
                <w:szCs w:val="22"/>
              </w:rPr>
            </w:pPr>
          </w:p>
          <w:p w:rsidR="00B676D5" w:rsidRPr="009C0BEE" w:rsidRDefault="00B676D5" w:rsidP="003E5882">
            <w:pPr>
              <w:jc w:val="both"/>
              <w:rPr>
                <w:i/>
                <w:sz w:val="22"/>
                <w:szCs w:val="22"/>
              </w:rPr>
            </w:pPr>
            <w:r w:rsidRPr="009C0BEE">
              <w:rPr>
                <w:i/>
                <w:sz w:val="22"/>
                <w:szCs w:val="22"/>
              </w:rPr>
              <w:t>Pedijatrijska populacija</w:t>
            </w:r>
          </w:p>
          <w:p w:rsidR="00C6356D" w:rsidRPr="009C0BEE" w:rsidRDefault="00B676D5" w:rsidP="00B676D5">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Nema odgovarajućih podataka o primjeni lijeka Kapecitabina Teva u pedijatrijskoj populaciji za indikacije karcinoma kolona, kolorektalnog karcinoma, karcinoma želuca i dojke.</w:t>
            </w:r>
          </w:p>
          <w:p w:rsidR="00B676D5" w:rsidRPr="009C0BEE" w:rsidRDefault="00B676D5" w:rsidP="00B676D5">
            <w:pPr>
              <w:autoSpaceDE w:val="0"/>
              <w:autoSpaceDN w:val="0"/>
              <w:adjustRightInd w:val="0"/>
              <w:jc w:val="both"/>
              <w:rPr>
                <w:rFonts w:ascii="TimesNewRoman" w:hAnsi="TimesNewRoman" w:cs="TimesNewRoman"/>
                <w:sz w:val="22"/>
                <w:szCs w:val="22"/>
              </w:rPr>
            </w:pPr>
          </w:p>
          <w:p w:rsidR="00B676D5" w:rsidRPr="009C0BEE" w:rsidRDefault="00B676D5" w:rsidP="00B676D5">
            <w:pPr>
              <w:autoSpaceDE w:val="0"/>
              <w:autoSpaceDN w:val="0"/>
              <w:adjustRightInd w:val="0"/>
              <w:rPr>
                <w:rFonts w:ascii="TimesNewRoman" w:hAnsi="TimesNewRoman" w:cs="TimesNewRoman"/>
                <w:sz w:val="22"/>
                <w:szCs w:val="22"/>
                <w:u w:val="single"/>
              </w:rPr>
            </w:pPr>
            <w:r w:rsidRPr="009C0BEE">
              <w:rPr>
                <w:rFonts w:ascii="TimesNewRoman" w:hAnsi="TimesNewRoman" w:cs="TimesNewRoman"/>
                <w:sz w:val="22"/>
                <w:szCs w:val="22"/>
                <w:u w:val="single"/>
              </w:rPr>
              <w:t>Način primjene</w:t>
            </w:r>
          </w:p>
          <w:p w:rsidR="00C6356D" w:rsidRPr="009C0BEE" w:rsidRDefault="00B676D5" w:rsidP="00685AFD">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Kapecitabin Teva film tablete treba progutati sa vodom unutar 30 minuta nakon obroka.</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lastRenderedPageBreak/>
              <w:t>4.3. Kontraindikacije</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color w:val="FF0000"/>
                <w:sz w:val="22"/>
                <w:szCs w:val="22"/>
              </w:rPr>
            </w:pPr>
          </w:p>
          <w:p w:rsidR="00407615" w:rsidRPr="009C0BEE" w:rsidRDefault="00407615" w:rsidP="00407615">
            <w:pPr>
              <w:numPr>
                <w:ilvl w:val="0"/>
                <w:numId w:val="1"/>
              </w:num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Istorija teških i neočekivanih reakcija na terapiju fluoropirimidinom,</w:t>
            </w:r>
          </w:p>
          <w:p w:rsidR="00407615" w:rsidRPr="009C0BEE" w:rsidRDefault="00407615" w:rsidP="00407615">
            <w:pPr>
              <w:numPr>
                <w:ilvl w:val="0"/>
                <w:numId w:val="1"/>
              </w:num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Preosjetljivost na kapecitabin ili bilo koju od pomoćnih supstanci navedenu u dijelu 6.1 ili fluorouracil,</w:t>
            </w:r>
          </w:p>
          <w:p w:rsidR="00407615" w:rsidRPr="009C0BEE" w:rsidRDefault="00407615" w:rsidP="00407615">
            <w:pPr>
              <w:numPr>
                <w:ilvl w:val="0"/>
                <w:numId w:val="1"/>
              </w:num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Pacijenti sa poznatim potpunim nedostatkom aktivnosti dihidropirimidin dehidrogenaze (DPD)</w:t>
            </w:r>
          </w:p>
          <w:p w:rsidR="00407615" w:rsidRPr="009C0BEE" w:rsidRDefault="00407615" w:rsidP="00407615">
            <w:pPr>
              <w:pStyle w:val="Header"/>
              <w:tabs>
                <w:tab w:val="left" w:pos="284"/>
              </w:tabs>
              <w:rPr>
                <w:color w:val="FF0000"/>
                <w:sz w:val="22"/>
                <w:szCs w:val="22"/>
              </w:rPr>
            </w:pPr>
            <w:r w:rsidRPr="009C0BEE">
              <w:rPr>
                <w:rFonts w:ascii="TimesNewRoman" w:hAnsi="TimesNewRoman" w:cs="TimesNewRoman"/>
                <w:sz w:val="22"/>
                <w:szCs w:val="22"/>
              </w:rPr>
              <w:t xml:space="preserve">              (vidjeti odjeljak 4.4),</w:t>
            </w:r>
          </w:p>
          <w:p w:rsidR="00C6356D" w:rsidRPr="009C0BEE" w:rsidRDefault="00407615" w:rsidP="00407615">
            <w:pPr>
              <w:numPr>
                <w:ilvl w:val="0"/>
                <w:numId w:val="1"/>
              </w:num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Trudnoća i dojenje,</w:t>
            </w:r>
          </w:p>
          <w:p w:rsidR="00C6356D" w:rsidRPr="009C0BEE" w:rsidRDefault="00E711AA" w:rsidP="00E711AA">
            <w:pPr>
              <w:numPr>
                <w:ilvl w:val="0"/>
                <w:numId w:val="1"/>
              </w:numPr>
              <w:autoSpaceDE w:val="0"/>
              <w:autoSpaceDN w:val="0"/>
              <w:adjustRightInd w:val="0"/>
              <w:rPr>
                <w:rFonts w:ascii="TimesNewRoman" w:hAnsi="TimesNewRoman" w:cs="TimesNewRoman"/>
                <w:sz w:val="22"/>
                <w:szCs w:val="22"/>
              </w:rPr>
            </w:pPr>
            <w:r w:rsidRPr="009C0BEE">
              <w:rPr>
                <w:sz w:val="22"/>
                <w:szCs w:val="22"/>
              </w:rPr>
              <w:t>P</w:t>
            </w:r>
            <w:r w:rsidR="00C6356D" w:rsidRPr="009C0BEE">
              <w:rPr>
                <w:sz w:val="22"/>
                <w:szCs w:val="22"/>
              </w:rPr>
              <w:t>acijent</w:t>
            </w:r>
            <w:r w:rsidRPr="009C0BEE">
              <w:rPr>
                <w:sz w:val="22"/>
                <w:szCs w:val="22"/>
              </w:rPr>
              <w:t>i</w:t>
            </w:r>
            <w:r w:rsidR="00C6356D" w:rsidRPr="009C0BEE">
              <w:rPr>
                <w:sz w:val="22"/>
                <w:szCs w:val="22"/>
              </w:rPr>
              <w:t xml:space="preserve"> sa teškom leukopenijom, neut</w:t>
            </w:r>
            <w:r w:rsidRPr="009C0BEE">
              <w:rPr>
                <w:sz w:val="22"/>
                <w:szCs w:val="22"/>
              </w:rPr>
              <w:t>ropenijom ili trombocitopenijom,</w:t>
            </w:r>
          </w:p>
          <w:p w:rsidR="00C6356D" w:rsidRPr="009C0BEE" w:rsidRDefault="00E711AA" w:rsidP="00E711AA">
            <w:pPr>
              <w:numPr>
                <w:ilvl w:val="0"/>
                <w:numId w:val="1"/>
              </w:numPr>
              <w:autoSpaceDE w:val="0"/>
              <w:autoSpaceDN w:val="0"/>
              <w:adjustRightInd w:val="0"/>
              <w:rPr>
                <w:rFonts w:ascii="TimesNewRoman" w:hAnsi="TimesNewRoman" w:cs="TimesNewRoman"/>
                <w:sz w:val="22"/>
                <w:szCs w:val="22"/>
              </w:rPr>
            </w:pPr>
            <w:r w:rsidRPr="009C0BEE">
              <w:rPr>
                <w:sz w:val="22"/>
                <w:szCs w:val="22"/>
              </w:rPr>
              <w:t>P</w:t>
            </w:r>
            <w:r w:rsidR="00C6356D" w:rsidRPr="009C0BEE">
              <w:rPr>
                <w:sz w:val="22"/>
                <w:szCs w:val="22"/>
              </w:rPr>
              <w:t>acijent</w:t>
            </w:r>
            <w:r w:rsidRPr="009C0BEE">
              <w:rPr>
                <w:sz w:val="22"/>
                <w:szCs w:val="22"/>
              </w:rPr>
              <w:t>i</w:t>
            </w:r>
            <w:r w:rsidR="00C6356D" w:rsidRPr="009C0BEE">
              <w:rPr>
                <w:sz w:val="22"/>
                <w:szCs w:val="22"/>
              </w:rPr>
              <w:t xml:space="preserve"> sa teškom hepatičkom insuficijencijom</w:t>
            </w:r>
            <w:r w:rsidR="00455706" w:rsidRPr="009C0BEE">
              <w:rPr>
                <w:sz w:val="22"/>
                <w:szCs w:val="22"/>
              </w:rPr>
              <w:t>,</w:t>
            </w:r>
          </w:p>
          <w:p w:rsidR="00C6356D" w:rsidRPr="009C0BEE" w:rsidRDefault="00455706" w:rsidP="00455706">
            <w:pPr>
              <w:numPr>
                <w:ilvl w:val="0"/>
                <w:numId w:val="1"/>
              </w:numPr>
              <w:autoSpaceDE w:val="0"/>
              <w:autoSpaceDN w:val="0"/>
              <w:adjustRightInd w:val="0"/>
              <w:rPr>
                <w:rFonts w:ascii="TimesNewRoman" w:hAnsi="TimesNewRoman" w:cs="TimesNewRoman"/>
                <w:sz w:val="22"/>
                <w:szCs w:val="22"/>
              </w:rPr>
            </w:pPr>
            <w:r w:rsidRPr="009C0BEE">
              <w:rPr>
                <w:sz w:val="22"/>
                <w:szCs w:val="22"/>
              </w:rPr>
              <w:t>P</w:t>
            </w:r>
            <w:r w:rsidR="00C6356D" w:rsidRPr="009C0BEE">
              <w:rPr>
                <w:sz w:val="22"/>
                <w:szCs w:val="22"/>
              </w:rPr>
              <w:t>acijent</w:t>
            </w:r>
            <w:r w:rsidRPr="009C0BEE">
              <w:rPr>
                <w:sz w:val="22"/>
                <w:szCs w:val="22"/>
              </w:rPr>
              <w:t>i</w:t>
            </w:r>
            <w:r w:rsidR="00C6356D" w:rsidRPr="009C0BEE">
              <w:rPr>
                <w:sz w:val="22"/>
                <w:szCs w:val="22"/>
              </w:rPr>
              <w:t xml:space="preserve"> sa teškom bubrežnom insuficijencijom (klirens kreatinina &lt;30 ml/min)</w:t>
            </w:r>
            <w:r w:rsidRPr="009C0BEE">
              <w:rPr>
                <w:sz w:val="22"/>
                <w:szCs w:val="22"/>
              </w:rPr>
              <w:t>,</w:t>
            </w:r>
          </w:p>
          <w:p w:rsidR="00C6356D" w:rsidRPr="009C0BEE" w:rsidRDefault="00455706" w:rsidP="00455706">
            <w:pPr>
              <w:numPr>
                <w:ilvl w:val="0"/>
                <w:numId w:val="1"/>
              </w:numPr>
              <w:autoSpaceDE w:val="0"/>
              <w:autoSpaceDN w:val="0"/>
              <w:adjustRightInd w:val="0"/>
              <w:rPr>
                <w:rFonts w:ascii="TimesNewRoman" w:hAnsi="TimesNewRoman" w:cs="TimesNewRoman"/>
                <w:sz w:val="22"/>
                <w:szCs w:val="22"/>
              </w:rPr>
            </w:pPr>
            <w:r w:rsidRPr="009C0BEE">
              <w:rPr>
                <w:sz w:val="22"/>
                <w:szCs w:val="22"/>
              </w:rPr>
              <w:t>T</w:t>
            </w:r>
            <w:r w:rsidR="00C6356D" w:rsidRPr="009C0BEE">
              <w:rPr>
                <w:sz w:val="22"/>
                <w:szCs w:val="22"/>
              </w:rPr>
              <w:t xml:space="preserve">erapija sorivudinom ili </w:t>
            </w:r>
            <w:r w:rsidRPr="009C0BEE">
              <w:rPr>
                <w:sz w:val="22"/>
                <w:szCs w:val="22"/>
              </w:rPr>
              <w:t>njegovim hemijski</w:t>
            </w:r>
            <w:r w:rsidR="00290D9B" w:rsidRPr="009C0BEE">
              <w:rPr>
                <w:sz w:val="22"/>
                <w:szCs w:val="22"/>
              </w:rPr>
              <w:t>m</w:t>
            </w:r>
            <w:r w:rsidRPr="009C0BEE">
              <w:rPr>
                <w:sz w:val="22"/>
                <w:szCs w:val="22"/>
              </w:rPr>
              <w:t xml:space="preserve"> </w:t>
            </w:r>
            <w:r w:rsidR="00C6356D" w:rsidRPr="009C0BEE">
              <w:rPr>
                <w:sz w:val="22"/>
                <w:szCs w:val="22"/>
              </w:rPr>
              <w:t xml:space="preserve">analozima, kao što je </w:t>
            </w:r>
            <w:r w:rsidRPr="009C0BEE">
              <w:rPr>
                <w:sz w:val="22"/>
                <w:szCs w:val="22"/>
              </w:rPr>
              <w:t>brivudin (vidjeti odjeljak 4.5),</w:t>
            </w:r>
          </w:p>
          <w:p w:rsidR="00C6356D" w:rsidRPr="009C0BEE" w:rsidRDefault="00455706" w:rsidP="00455706">
            <w:pPr>
              <w:numPr>
                <w:ilvl w:val="0"/>
                <w:numId w:val="1"/>
              </w:numPr>
              <w:autoSpaceDE w:val="0"/>
              <w:autoSpaceDN w:val="0"/>
              <w:adjustRightInd w:val="0"/>
              <w:rPr>
                <w:rFonts w:ascii="TimesNewRoman" w:hAnsi="TimesNewRoman" w:cs="TimesNewRoman"/>
                <w:sz w:val="22"/>
                <w:szCs w:val="22"/>
              </w:rPr>
            </w:pPr>
            <w:r w:rsidRPr="009C0BEE">
              <w:rPr>
                <w:sz w:val="22"/>
                <w:szCs w:val="22"/>
              </w:rPr>
              <w:t>Ako postoje kontraindikacije z</w:t>
            </w:r>
            <w:r w:rsidR="00C6356D" w:rsidRPr="009C0BEE">
              <w:rPr>
                <w:sz w:val="22"/>
                <w:szCs w:val="22"/>
              </w:rPr>
              <w:t xml:space="preserve">a bilo koji od ljekova koji se </w:t>
            </w:r>
            <w:r w:rsidRPr="009C0BEE">
              <w:rPr>
                <w:sz w:val="22"/>
                <w:szCs w:val="22"/>
              </w:rPr>
              <w:t>primjenjuju</w:t>
            </w:r>
            <w:r w:rsidR="00C6356D" w:rsidRPr="009C0BEE">
              <w:rPr>
                <w:sz w:val="22"/>
                <w:szCs w:val="22"/>
              </w:rPr>
              <w:t xml:space="preserve"> u kombinovanom </w:t>
            </w:r>
            <w:r w:rsidRPr="009C0BEE">
              <w:rPr>
                <w:sz w:val="22"/>
                <w:szCs w:val="22"/>
              </w:rPr>
              <w:t>liječenju, taj</w:t>
            </w:r>
            <w:r w:rsidR="00C6356D" w:rsidRPr="009C0BEE">
              <w:rPr>
                <w:sz w:val="22"/>
                <w:szCs w:val="22"/>
              </w:rPr>
              <w:t xml:space="preserve"> lijek se ne smije koristiti.</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4.4. Posebna upozorenja i mjere opreza pri upotrebi lijeka</w:t>
            </w:r>
          </w:p>
        </w:tc>
      </w:tr>
      <w:tr w:rsidR="00D17F29" w:rsidRPr="009C0BEE" w:rsidTr="005E7E41">
        <w:trPr>
          <w:trHeight w:val="1145"/>
        </w:trPr>
        <w:tc>
          <w:tcPr>
            <w:tcW w:w="5000" w:type="pct"/>
            <w:gridSpan w:val="4"/>
            <w:vAlign w:val="center"/>
          </w:tcPr>
          <w:p w:rsidR="00C6356D" w:rsidRPr="009C0BEE" w:rsidRDefault="00C6356D" w:rsidP="00C6356D">
            <w:pPr>
              <w:rPr>
                <w:color w:val="FF0000"/>
                <w:sz w:val="22"/>
                <w:szCs w:val="22"/>
              </w:rPr>
            </w:pPr>
          </w:p>
          <w:p w:rsidR="00C6356D" w:rsidRPr="009C0BEE" w:rsidRDefault="00D52551" w:rsidP="00D52551">
            <w:pPr>
              <w:jc w:val="both"/>
              <w:rPr>
                <w:sz w:val="22"/>
                <w:szCs w:val="22"/>
              </w:rPr>
            </w:pPr>
            <w:r w:rsidRPr="009C0BEE">
              <w:rPr>
                <w:i/>
                <w:sz w:val="22"/>
                <w:szCs w:val="22"/>
              </w:rPr>
              <w:t>Toksičnost koja</w:t>
            </w:r>
            <w:r w:rsidR="00C6356D" w:rsidRPr="009C0BEE">
              <w:rPr>
                <w:i/>
                <w:sz w:val="22"/>
                <w:szCs w:val="22"/>
              </w:rPr>
              <w:t xml:space="preserve"> ograničava dozu</w:t>
            </w:r>
            <w:r w:rsidR="00C6356D" w:rsidRPr="009C0BEE">
              <w:rPr>
                <w:sz w:val="22"/>
                <w:szCs w:val="22"/>
              </w:rPr>
              <w:t xml:space="preserve"> </w:t>
            </w:r>
            <w:r w:rsidR="0090684B" w:rsidRPr="009C0BEE">
              <w:rPr>
                <w:sz w:val="22"/>
                <w:szCs w:val="22"/>
              </w:rPr>
              <w:t>uključuje dijareju</w:t>
            </w:r>
            <w:r w:rsidR="00C6356D" w:rsidRPr="009C0BEE">
              <w:rPr>
                <w:sz w:val="22"/>
                <w:szCs w:val="22"/>
              </w:rPr>
              <w:t xml:space="preserve">, </w:t>
            </w:r>
            <w:r w:rsidRPr="009C0BEE">
              <w:rPr>
                <w:sz w:val="22"/>
                <w:szCs w:val="22"/>
              </w:rPr>
              <w:t>abdominalni bol</w:t>
            </w:r>
            <w:r w:rsidR="00C6356D" w:rsidRPr="009C0BEE">
              <w:rPr>
                <w:sz w:val="22"/>
                <w:szCs w:val="22"/>
              </w:rPr>
              <w:t xml:space="preserve">, </w:t>
            </w:r>
            <w:r w:rsidR="00290D9B" w:rsidRPr="009C0BEE">
              <w:rPr>
                <w:sz w:val="22"/>
                <w:szCs w:val="22"/>
              </w:rPr>
              <w:t>mučninu</w:t>
            </w:r>
            <w:r w:rsidR="00C6356D" w:rsidRPr="009C0BEE">
              <w:rPr>
                <w:sz w:val="22"/>
                <w:szCs w:val="22"/>
              </w:rPr>
              <w:t>, st</w:t>
            </w:r>
            <w:r w:rsidRPr="009C0BEE">
              <w:rPr>
                <w:sz w:val="22"/>
                <w:szCs w:val="22"/>
              </w:rPr>
              <w:t xml:space="preserve">omatitis i sindrom šaka-stopalo </w:t>
            </w:r>
            <w:r w:rsidR="00C6356D" w:rsidRPr="009C0BEE">
              <w:rPr>
                <w:sz w:val="22"/>
                <w:szCs w:val="22"/>
              </w:rPr>
              <w:t xml:space="preserve">(kožna reakcija </w:t>
            </w:r>
            <w:r w:rsidRPr="009C0BEE">
              <w:rPr>
                <w:sz w:val="22"/>
                <w:szCs w:val="22"/>
              </w:rPr>
              <w:t xml:space="preserve">na </w:t>
            </w:r>
            <w:r w:rsidR="00C6356D" w:rsidRPr="009C0BEE">
              <w:rPr>
                <w:sz w:val="22"/>
                <w:szCs w:val="22"/>
              </w:rPr>
              <w:t>šaka</w:t>
            </w:r>
            <w:r w:rsidRPr="009C0BEE">
              <w:rPr>
                <w:sz w:val="22"/>
                <w:szCs w:val="22"/>
              </w:rPr>
              <w:t xml:space="preserve">ma i </w:t>
            </w:r>
            <w:r w:rsidR="00C6356D" w:rsidRPr="009C0BEE">
              <w:rPr>
                <w:sz w:val="22"/>
                <w:szCs w:val="22"/>
              </w:rPr>
              <w:t>stopal</w:t>
            </w:r>
            <w:r w:rsidRPr="009C0BEE">
              <w:rPr>
                <w:sz w:val="22"/>
                <w:szCs w:val="22"/>
              </w:rPr>
              <w:t>ima</w:t>
            </w:r>
            <w:r w:rsidR="00C6356D" w:rsidRPr="009C0BEE">
              <w:rPr>
                <w:sz w:val="22"/>
                <w:szCs w:val="22"/>
              </w:rPr>
              <w:t xml:space="preserve">, palmarno-plantarna eritrodizestezija). Većina </w:t>
            </w:r>
            <w:r w:rsidRPr="009C0BEE">
              <w:rPr>
                <w:sz w:val="22"/>
                <w:szCs w:val="22"/>
              </w:rPr>
              <w:t xml:space="preserve">ovih </w:t>
            </w:r>
            <w:r w:rsidR="00C6356D" w:rsidRPr="009C0BEE">
              <w:rPr>
                <w:sz w:val="22"/>
                <w:szCs w:val="22"/>
              </w:rPr>
              <w:t xml:space="preserve">neželjenih reakcija je reverzibilna i ne </w:t>
            </w:r>
            <w:r w:rsidRPr="009C0BEE">
              <w:rPr>
                <w:sz w:val="22"/>
                <w:szCs w:val="22"/>
              </w:rPr>
              <w:t>zahtijeva</w:t>
            </w:r>
            <w:r w:rsidR="00C6356D" w:rsidRPr="009C0BEE">
              <w:rPr>
                <w:sz w:val="22"/>
                <w:szCs w:val="22"/>
              </w:rPr>
              <w:t xml:space="preserve"> tr</w:t>
            </w:r>
            <w:r w:rsidRPr="009C0BEE">
              <w:rPr>
                <w:sz w:val="22"/>
                <w:szCs w:val="22"/>
              </w:rPr>
              <w:t xml:space="preserve">ajni prekid terapije, iako </w:t>
            </w:r>
            <w:r w:rsidR="00C6356D" w:rsidRPr="009C0BEE">
              <w:rPr>
                <w:sz w:val="22"/>
                <w:szCs w:val="22"/>
              </w:rPr>
              <w:t>može</w:t>
            </w:r>
            <w:r w:rsidRPr="009C0BEE">
              <w:rPr>
                <w:sz w:val="22"/>
                <w:szCs w:val="22"/>
              </w:rPr>
              <w:t xml:space="preserve"> biti potrebno da se izostavi ili smanji</w:t>
            </w:r>
            <w:r w:rsidR="00C6356D" w:rsidRPr="009C0BEE">
              <w:rPr>
                <w:sz w:val="22"/>
                <w:szCs w:val="22"/>
              </w:rPr>
              <w:t xml:space="preserve"> doz</w:t>
            </w:r>
            <w:r w:rsidRPr="009C0BEE">
              <w:rPr>
                <w:sz w:val="22"/>
                <w:szCs w:val="22"/>
              </w:rPr>
              <w:t>a</w:t>
            </w:r>
            <w:r w:rsidR="00C6356D" w:rsidRPr="009C0BEE">
              <w:rPr>
                <w:sz w:val="22"/>
                <w:szCs w:val="22"/>
              </w:rPr>
              <w:t xml:space="preserve">. </w:t>
            </w:r>
          </w:p>
          <w:p w:rsidR="00C6356D" w:rsidRPr="009C0BEE" w:rsidRDefault="00C6356D" w:rsidP="00C6356D">
            <w:pPr>
              <w:rPr>
                <w:color w:val="FF0000"/>
                <w:sz w:val="22"/>
                <w:szCs w:val="22"/>
              </w:rPr>
            </w:pPr>
          </w:p>
          <w:p w:rsidR="00C6356D" w:rsidRPr="009C0BEE" w:rsidRDefault="00C6356D" w:rsidP="008838B9">
            <w:pPr>
              <w:jc w:val="both"/>
              <w:rPr>
                <w:sz w:val="22"/>
                <w:szCs w:val="22"/>
              </w:rPr>
            </w:pPr>
            <w:r w:rsidRPr="009C0BEE">
              <w:rPr>
                <w:i/>
                <w:sz w:val="22"/>
                <w:szCs w:val="22"/>
              </w:rPr>
              <w:t>Dijareja.</w:t>
            </w:r>
            <w:r w:rsidR="008838B9" w:rsidRPr="009C0BEE">
              <w:rPr>
                <w:color w:val="FF0000"/>
                <w:sz w:val="22"/>
                <w:szCs w:val="22"/>
              </w:rPr>
              <w:t xml:space="preserve"> </w:t>
            </w:r>
            <w:r w:rsidRPr="009C0BEE">
              <w:rPr>
                <w:sz w:val="22"/>
                <w:szCs w:val="22"/>
              </w:rPr>
              <w:t xml:space="preserve">Pacijente sa teškom dijarejom treba pažljivo pratiti, i </w:t>
            </w:r>
            <w:r w:rsidR="008838B9" w:rsidRPr="009C0BEE">
              <w:rPr>
                <w:sz w:val="22"/>
                <w:szCs w:val="22"/>
              </w:rPr>
              <w:t xml:space="preserve">u slučaju dehidracije nadoknađivati tečnost i elektrolite. </w:t>
            </w:r>
            <w:r w:rsidRPr="009C0BEE">
              <w:rPr>
                <w:sz w:val="22"/>
                <w:szCs w:val="22"/>
              </w:rPr>
              <w:t xml:space="preserve">Može se koristiti standardna terapija protiv dijareje (npr. loperamid). Dijareja stepena 2 po NCIC CTC definiše se kao povećanje na 4 do 6 stolica dnevno ili </w:t>
            </w:r>
            <w:r w:rsidR="008838B9" w:rsidRPr="009C0BEE">
              <w:rPr>
                <w:sz w:val="22"/>
                <w:szCs w:val="22"/>
              </w:rPr>
              <w:t>pojava noćnih</w:t>
            </w:r>
            <w:r w:rsidRPr="009C0BEE">
              <w:rPr>
                <w:sz w:val="22"/>
                <w:szCs w:val="22"/>
              </w:rPr>
              <w:t xml:space="preserve"> stolic</w:t>
            </w:r>
            <w:r w:rsidR="008838B9" w:rsidRPr="009C0BEE">
              <w:rPr>
                <w:sz w:val="22"/>
                <w:szCs w:val="22"/>
              </w:rPr>
              <w:t>a</w:t>
            </w:r>
            <w:r w:rsidRPr="009C0BEE">
              <w:rPr>
                <w:sz w:val="22"/>
                <w:szCs w:val="22"/>
              </w:rPr>
              <w:t>, a dijareja stepena 3 kao povećanje na 7 do 9  stoli</w:t>
            </w:r>
            <w:r w:rsidR="008838B9" w:rsidRPr="009C0BEE">
              <w:rPr>
                <w:sz w:val="22"/>
                <w:szCs w:val="22"/>
              </w:rPr>
              <w:t>ca dnevno ili inkontinencija i</w:t>
            </w:r>
            <w:r w:rsidRPr="009C0BEE">
              <w:rPr>
                <w:sz w:val="22"/>
                <w:szCs w:val="22"/>
              </w:rPr>
              <w:t xml:space="preserve"> malapsorpcija. Dijareja ste</w:t>
            </w:r>
            <w:r w:rsidR="008838B9" w:rsidRPr="009C0BEE">
              <w:rPr>
                <w:sz w:val="22"/>
                <w:szCs w:val="22"/>
              </w:rPr>
              <w:t>pena 4 s</w:t>
            </w:r>
            <w:r w:rsidR="00290D9B" w:rsidRPr="009C0BEE">
              <w:rPr>
                <w:sz w:val="22"/>
                <w:szCs w:val="22"/>
              </w:rPr>
              <w:t>e</w:t>
            </w:r>
            <w:r w:rsidR="008838B9" w:rsidRPr="009C0BEE">
              <w:rPr>
                <w:sz w:val="22"/>
                <w:szCs w:val="22"/>
              </w:rPr>
              <w:t xml:space="preserve"> d</w:t>
            </w:r>
            <w:r w:rsidRPr="009C0BEE">
              <w:rPr>
                <w:sz w:val="22"/>
                <w:szCs w:val="22"/>
              </w:rPr>
              <w:t>e</w:t>
            </w:r>
            <w:r w:rsidR="008838B9" w:rsidRPr="009C0BEE">
              <w:rPr>
                <w:sz w:val="22"/>
                <w:szCs w:val="22"/>
              </w:rPr>
              <w:t xml:space="preserve">finiše </w:t>
            </w:r>
            <w:r w:rsidR="008838B9" w:rsidRPr="009C0BEE">
              <w:rPr>
                <w:sz w:val="22"/>
                <w:szCs w:val="22"/>
              </w:rPr>
              <w:lastRenderedPageBreak/>
              <w:t xml:space="preserve">kao </w:t>
            </w:r>
            <w:r w:rsidRPr="009C0BEE">
              <w:rPr>
                <w:sz w:val="22"/>
                <w:szCs w:val="22"/>
              </w:rPr>
              <w:t xml:space="preserve"> povećanje na ≥10 stolica dnevno ili </w:t>
            </w:r>
            <w:r w:rsidR="008838B9" w:rsidRPr="009C0BEE">
              <w:rPr>
                <w:sz w:val="22"/>
                <w:szCs w:val="22"/>
              </w:rPr>
              <w:t>pojava izrazito krvavih</w:t>
            </w:r>
            <w:r w:rsidRPr="009C0BEE">
              <w:rPr>
                <w:sz w:val="22"/>
                <w:szCs w:val="22"/>
              </w:rPr>
              <w:t xml:space="preserve"> dijareja ili potreba za parenteralnom </w:t>
            </w:r>
            <w:r w:rsidR="008838B9" w:rsidRPr="009C0BEE">
              <w:rPr>
                <w:sz w:val="22"/>
                <w:szCs w:val="22"/>
              </w:rPr>
              <w:t>nadoknad</w:t>
            </w:r>
            <w:r w:rsidRPr="009C0BEE">
              <w:rPr>
                <w:sz w:val="22"/>
                <w:szCs w:val="22"/>
              </w:rPr>
              <w:t>om</w:t>
            </w:r>
            <w:r w:rsidR="008838B9" w:rsidRPr="009C0BEE">
              <w:rPr>
                <w:sz w:val="22"/>
                <w:szCs w:val="22"/>
              </w:rPr>
              <w:t xml:space="preserve"> tečnosti. Doza se </w:t>
            </w:r>
            <w:r w:rsidR="00290D9B" w:rsidRPr="009C0BEE">
              <w:rPr>
                <w:sz w:val="22"/>
                <w:szCs w:val="22"/>
              </w:rPr>
              <w:t xml:space="preserve">smanjuje </w:t>
            </w:r>
            <w:r w:rsidR="008838B9" w:rsidRPr="009C0BEE">
              <w:rPr>
                <w:sz w:val="22"/>
                <w:szCs w:val="22"/>
              </w:rPr>
              <w:t>prema</w:t>
            </w:r>
            <w:r w:rsidRPr="009C0BEE">
              <w:rPr>
                <w:sz w:val="22"/>
                <w:szCs w:val="22"/>
              </w:rPr>
              <w:t xml:space="preserve"> potrebi (vidjeti odjeljak 4.2). </w:t>
            </w:r>
          </w:p>
          <w:p w:rsidR="00C6356D" w:rsidRPr="009C0BEE" w:rsidRDefault="00C6356D" w:rsidP="00C6356D">
            <w:pPr>
              <w:rPr>
                <w:i/>
                <w:color w:val="FF0000"/>
                <w:sz w:val="22"/>
                <w:szCs w:val="22"/>
              </w:rPr>
            </w:pPr>
          </w:p>
          <w:p w:rsidR="00C6356D" w:rsidRPr="009C0BEE" w:rsidRDefault="00C6356D" w:rsidP="00524F58">
            <w:pPr>
              <w:autoSpaceDE w:val="0"/>
              <w:autoSpaceDN w:val="0"/>
              <w:adjustRightInd w:val="0"/>
              <w:jc w:val="both"/>
              <w:rPr>
                <w:color w:val="FF0000"/>
                <w:sz w:val="22"/>
                <w:szCs w:val="22"/>
              </w:rPr>
            </w:pPr>
            <w:r w:rsidRPr="009C0BEE">
              <w:rPr>
                <w:i/>
                <w:sz w:val="22"/>
                <w:szCs w:val="22"/>
              </w:rPr>
              <w:t>Dehidracija</w:t>
            </w:r>
            <w:r w:rsidRPr="009C0BEE">
              <w:rPr>
                <w:sz w:val="22"/>
                <w:szCs w:val="22"/>
              </w:rPr>
              <w:t xml:space="preserve">: Dehidraciju treba spriječiti ili korigovati </w:t>
            </w:r>
            <w:r w:rsidR="00636A4C" w:rsidRPr="009C0BEE">
              <w:rPr>
                <w:sz w:val="22"/>
                <w:szCs w:val="22"/>
              </w:rPr>
              <w:t>čim se pojavi</w:t>
            </w:r>
            <w:r w:rsidRPr="009C0BEE">
              <w:rPr>
                <w:sz w:val="22"/>
                <w:szCs w:val="22"/>
              </w:rPr>
              <w:t>. Pacijenti s</w:t>
            </w:r>
            <w:r w:rsidR="00CA784F" w:rsidRPr="009C0BEE">
              <w:rPr>
                <w:sz w:val="22"/>
                <w:szCs w:val="22"/>
              </w:rPr>
              <w:t xml:space="preserve">a anoreksijom, astenijom, </w:t>
            </w:r>
            <w:r w:rsidRPr="009C0BEE">
              <w:rPr>
                <w:sz w:val="22"/>
                <w:szCs w:val="22"/>
              </w:rPr>
              <w:t xml:space="preserve">mučninom, povraćanjem ili dijarejom </w:t>
            </w:r>
            <w:r w:rsidR="00636A4C" w:rsidRPr="009C0BEE">
              <w:rPr>
                <w:sz w:val="22"/>
                <w:szCs w:val="22"/>
              </w:rPr>
              <w:t>podložni su brzoj dehidraciji</w:t>
            </w:r>
            <w:r w:rsidRPr="009C0BEE">
              <w:rPr>
                <w:sz w:val="22"/>
                <w:szCs w:val="22"/>
              </w:rPr>
              <w:t xml:space="preserve">. </w:t>
            </w:r>
            <w:r w:rsidR="00CA784F" w:rsidRPr="009C0BEE">
              <w:rPr>
                <w:rFonts w:ascii="TimesNewRoman" w:hAnsi="TimesNewRoman" w:cs="TimesNewRoman"/>
                <w:sz w:val="22"/>
                <w:szCs w:val="22"/>
              </w:rPr>
              <w:t>Dehidracija može izazvati akutnu insuficijenciju bubrega, posebno kod pacijenata sa od prije kompromitovanom bubrežnom funkcijom ili kada se kapecitabin daje istovremeno sa poznatim nefrotoksič</w:t>
            </w:r>
            <w:r w:rsidR="00524F58" w:rsidRPr="009C0BEE">
              <w:rPr>
                <w:rFonts w:ascii="TimesNewRoman" w:hAnsi="TimesNewRoman" w:cs="TimesNewRoman"/>
                <w:sz w:val="22"/>
                <w:szCs w:val="22"/>
              </w:rPr>
              <w:t xml:space="preserve">nim ljekovima. Akutna insuficijencija bubrega kao </w:t>
            </w:r>
            <w:r w:rsidR="00CA784F" w:rsidRPr="009C0BEE">
              <w:rPr>
                <w:rFonts w:ascii="TimesNewRoman" w:hAnsi="TimesNewRoman" w:cs="TimesNewRoman"/>
                <w:sz w:val="22"/>
                <w:szCs w:val="22"/>
              </w:rPr>
              <w:t>posljedica dehidracije može biti smrtonosn</w:t>
            </w:r>
            <w:r w:rsidR="00524F58" w:rsidRPr="009C0BEE">
              <w:rPr>
                <w:rFonts w:ascii="TimesNewRoman" w:hAnsi="TimesNewRoman" w:cs="TimesNewRoman"/>
                <w:sz w:val="22"/>
                <w:szCs w:val="22"/>
              </w:rPr>
              <w:t>a</w:t>
            </w:r>
            <w:r w:rsidR="00CA784F" w:rsidRPr="009C0BEE">
              <w:rPr>
                <w:rFonts w:ascii="TimesNewRoman" w:hAnsi="TimesNewRoman" w:cs="TimesNewRoman"/>
                <w:sz w:val="22"/>
                <w:szCs w:val="22"/>
              </w:rPr>
              <w:t xml:space="preserve">. </w:t>
            </w:r>
            <w:r w:rsidR="00524F58" w:rsidRPr="009C0BEE">
              <w:rPr>
                <w:sz w:val="22"/>
                <w:szCs w:val="22"/>
              </w:rPr>
              <w:t>Ako dođe do dehidracije stepena 2 (ili još teže)</w:t>
            </w:r>
            <w:r w:rsidR="002B6989" w:rsidRPr="009C0BEE">
              <w:rPr>
                <w:sz w:val="22"/>
                <w:szCs w:val="22"/>
              </w:rPr>
              <w:t>,</w:t>
            </w:r>
            <w:r w:rsidR="00524F58" w:rsidRPr="009C0BEE">
              <w:rPr>
                <w:sz w:val="22"/>
                <w:szCs w:val="22"/>
              </w:rPr>
              <w:t xml:space="preserve"> </w:t>
            </w:r>
            <w:r w:rsidR="00CA784F" w:rsidRPr="009C0BEE">
              <w:rPr>
                <w:rFonts w:ascii="TimesNewRoman" w:hAnsi="TimesNewRoman" w:cs="TimesNewRoman"/>
                <w:sz w:val="22"/>
                <w:szCs w:val="22"/>
              </w:rPr>
              <w:t>potrebno je odmah prekinuti liječenje kapecitabinom i</w:t>
            </w:r>
            <w:r w:rsidR="00524F58" w:rsidRPr="009C0BEE">
              <w:rPr>
                <w:rFonts w:ascii="TimesNewRoman" w:hAnsi="TimesNewRoman" w:cs="TimesNewRoman"/>
                <w:sz w:val="22"/>
                <w:szCs w:val="22"/>
              </w:rPr>
              <w:t xml:space="preserve"> nadoknaditi tečnost</w:t>
            </w:r>
            <w:r w:rsidR="00CA784F" w:rsidRPr="009C0BEE">
              <w:rPr>
                <w:rFonts w:ascii="TimesNewRoman" w:hAnsi="TimesNewRoman" w:cs="TimesNewRoman"/>
                <w:sz w:val="22"/>
                <w:szCs w:val="22"/>
              </w:rPr>
              <w:t>.</w:t>
            </w:r>
            <w:r w:rsidR="00524F58" w:rsidRPr="009C0BEE">
              <w:rPr>
                <w:rFonts w:ascii="TimesNewRoman" w:hAnsi="TimesNewRoman" w:cs="TimesNewRoman"/>
                <w:sz w:val="22"/>
                <w:szCs w:val="22"/>
              </w:rPr>
              <w:t xml:space="preserve"> </w:t>
            </w:r>
            <w:r w:rsidR="00CA784F" w:rsidRPr="009C0BEE">
              <w:rPr>
                <w:rFonts w:ascii="TimesNewRoman" w:hAnsi="TimesNewRoman" w:cs="TimesNewRoman"/>
                <w:sz w:val="22"/>
                <w:szCs w:val="22"/>
              </w:rPr>
              <w:t>Liječ</w:t>
            </w:r>
            <w:r w:rsidR="00524F58" w:rsidRPr="009C0BEE">
              <w:rPr>
                <w:rFonts w:ascii="TimesNewRoman" w:hAnsi="TimesNewRoman" w:cs="TimesNewRoman"/>
                <w:sz w:val="22"/>
                <w:szCs w:val="22"/>
              </w:rPr>
              <w:t>enje ne bi trebalo ponov</w:t>
            </w:r>
            <w:r w:rsidR="00CA784F" w:rsidRPr="009C0BEE">
              <w:rPr>
                <w:rFonts w:ascii="TimesNewRoman" w:hAnsi="TimesNewRoman" w:cs="TimesNewRoman"/>
                <w:sz w:val="22"/>
                <w:szCs w:val="22"/>
              </w:rPr>
              <w:t xml:space="preserve">o započeti dok se </w:t>
            </w:r>
            <w:r w:rsidR="00524F58" w:rsidRPr="009C0BEE">
              <w:rPr>
                <w:rFonts w:ascii="TimesNewRoman" w:hAnsi="TimesNewRoman" w:cs="TimesNewRoman"/>
                <w:sz w:val="22"/>
                <w:szCs w:val="22"/>
              </w:rPr>
              <w:t>pacijent</w:t>
            </w:r>
            <w:r w:rsidR="00CA784F" w:rsidRPr="009C0BEE">
              <w:rPr>
                <w:rFonts w:ascii="TimesNewRoman" w:hAnsi="TimesNewRoman" w:cs="TimesNewRoman"/>
                <w:sz w:val="22"/>
                <w:szCs w:val="22"/>
              </w:rPr>
              <w:t xml:space="preserve"> ne rehidrira i dok uzroci dehidracije ne budu</w:t>
            </w:r>
            <w:r w:rsidR="00524F58" w:rsidRPr="009C0BEE">
              <w:rPr>
                <w:rFonts w:ascii="TimesNewRoman" w:hAnsi="TimesNewRoman" w:cs="TimesNewRoman"/>
                <w:sz w:val="22"/>
                <w:szCs w:val="22"/>
              </w:rPr>
              <w:t xml:space="preserve"> </w:t>
            </w:r>
            <w:r w:rsidR="00CA784F" w:rsidRPr="009C0BEE">
              <w:rPr>
                <w:rFonts w:ascii="TimesNewRoman" w:hAnsi="TimesNewRoman" w:cs="TimesNewRoman"/>
                <w:sz w:val="22"/>
                <w:szCs w:val="22"/>
              </w:rPr>
              <w:t xml:space="preserve">uklonjeni ili pod kontrolom. Ukoliko je potrebno, dozu treba prilagoditi </w:t>
            </w:r>
            <w:r w:rsidR="00524F58" w:rsidRPr="009C0BEE">
              <w:rPr>
                <w:rFonts w:ascii="TimesNewRoman" w:hAnsi="TimesNewRoman" w:cs="TimesNewRoman"/>
                <w:sz w:val="22"/>
                <w:szCs w:val="22"/>
              </w:rPr>
              <w:t>u zavisnosti od neželjene (</w:t>
            </w:r>
            <w:r w:rsidRPr="009C0BEE">
              <w:rPr>
                <w:sz w:val="22"/>
                <w:szCs w:val="22"/>
              </w:rPr>
              <w:t>vidjeti odjeljak 4.2).</w:t>
            </w:r>
            <w:r w:rsidRPr="009C0BEE">
              <w:rPr>
                <w:color w:val="FF0000"/>
                <w:sz w:val="22"/>
                <w:szCs w:val="22"/>
              </w:rPr>
              <w:t xml:space="preserve"> </w:t>
            </w:r>
          </w:p>
          <w:p w:rsidR="00C6356D" w:rsidRPr="009C0BEE" w:rsidRDefault="00C6356D" w:rsidP="00C6356D">
            <w:pPr>
              <w:rPr>
                <w:color w:val="FF0000"/>
                <w:sz w:val="22"/>
                <w:szCs w:val="22"/>
              </w:rPr>
            </w:pPr>
          </w:p>
          <w:p w:rsidR="00C6356D" w:rsidRPr="009C0BEE" w:rsidRDefault="00C6356D" w:rsidP="00F05E32">
            <w:pPr>
              <w:jc w:val="both"/>
              <w:rPr>
                <w:color w:val="FF0000"/>
                <w:sz w:val="22"/>
                <w:szCs w:val="22"/>
              </w:rPr>
            </w:pPr>
            <w:r w:rsidRPr="009C0BEE">
              <w:rPr>
                <w:i/>
                <w:sz w:val="22"/>
                <w:szCs w:val="22"/>
              </w:rPr>
              <w:t>Sindrom šaka-stopalo</w:t>
            </w:r>
            <w:r w:rsidRPr="009C0BEE">
              <w:rPr>
                <w:sz w:val="22"/>
                <w:szCs w:val="22"/>
              </w:rPr>
              <w:t xml:space="preserve"> (poznat i kao </w:t>
            </w:r>
            <w:r w:rsidR="00F05E32" w:rsidRPr="009C0BEE">
              <w:rPr>
                <w:sz w:val="22"/>
                <w:szCs w:val="22"/>
              </w:rPr>
              <w:t xml:space="preserve">kožna </w:t>
            </w:r>
            <w:r w:rsidRPr="009C0BEE">
              <w:rPr>
                <w:sz w:val="22"/>
                <w:szCs w:val="22"/>
              </w:rPr>
              <w:t xml:space="preserve">reakcija </w:t>
            </w:r>
            <w:r w:rsidR="00F05E32" w:rsidRPr="009C0BEE">
              <w:rPr>
                <w:sz w:val="22"/>
                <w:szCs w:val="22"/>
              </w:rPr>
              <w:t xml:space="preserve">na šakama i </w:t>
            </w:r>
            <w:r w:rsidRPr="009C0BEE">
              <w:rPr>
                <w:sz w:val="22"/>
                <w:szCs w:val="22"/>
              </w:rPr>
              <w:t>stopal</w:t>
            </w:r>
            <w:r w:rsidR="00F05E32" w:rsidRPr="009C0BEE">
              <w:rPr>
                <w:sz w:val="22"/>
                <w:szCs w:val="22"/>
              </w:rPr>
              <w:t>ima</w:t>
            </w:r>
            <w:r w:rsidRPr="009C0BEE">
              <w:rPr>
                <w:sz w:val="22"/>
                <w:szCs w:val="22"/>
              </w:rPr>
              <w:t xml:space="preserve"> ili palmarno-plantarna eritrodizestezija ili akralni eritem</w:t>
            </w:r>
            <w:r w:rsidR="00F05E32" w:rsidRPr="009C0BEE">
              <w:rPr>
                <w:sz w:val="22"/>
                <w:szCs w:val="22"/>
              </w:rPr>
              <w:t xml:space="preserve"> izazvan hemoterapijom</w:t>
            </w:r>
            <w:r w:rsidRPr="009C0BEE">
              <w:rPr>
                <w:sz w:val="22"/>
                <w:szCs w:val="22"/>
              </w:rPr>
              <w:t>).</w:t>
            </w:r>
            <w:r w:rsidR="002016FC" w:rsidRPr="009C0BEE">
              <w:rPr>
                <w:sz w:val="22"/>
                <w:szCs w:val="22"/>
              </w:rPr>
              <w:t xml:space="preserve"> Si</w:t>
            </w:r>
            <w:r w:rsidR="00D2487F" w:rsidRPr="009C0BEE">
              <w:rPr>
                <w:sz w:val="22"/>
                <w:szCs w:val="22"/>
              </w:rPr>
              <w:t>n</w:t>
            </w:r>
            <w:r w:rsidR="002016FC" w:rsidRPr="009C0BEE">
              <w:rPr>
                <w:sz w:val="22"/>
                <w:szCs w:val="22"/>
              </w:rPr>
              <w:t xml:space="preserve">drom šaka-stopalo </w:t>
            </w:r>
            <w:r w:rsidRPr="009C0BEE">
              <w:rPr>
                <w:sz w:val="22"/>
                <w:szCs w:val="22"/>
              </w:rPr>
              <w:t>1</w:t>
            </w:r>
            <w:r w:rsidR="002016FC" w:rsidRPr="009C0BEE">
              <w:rPr>
                <w:sz w:val="22"/>
                <w:szCs w:val="22"/>
              </w:rPr>
              <w:t>.</w:t>
            </w:r>
            <w:r w:rsidR="002B6989" w:rsidRPr="009C0BEE">
              <w:rPr>
                <w:sz w:val="22"/>
                <w:szCs w:val="22"/>
              </w:rPr>
              <w:t xml:space="preserve"> </w:t>
            </w:r>
            <w:r w:rsidR="002016FC" w:rsidRPr="009C0BEE">
              <w:rPr>
                <w:sz w:val="22"/>
                <w:szCs w:val="22"/>
              </w:rPr>
              <w:t xml:space="preserve">stepena </w:t>
            </w:r>
            <w:r w:rsidRPr="009C0BEE">
              <w:rPr>
                <w:sz w:val="22"/>
                <w:szCs w:val="22"/>
              </w:rPr>
              <w:t>definiše se kao utrnulost, dizestezija/parestezija, peckanje, bezbolni otok ili eritem šaka i/ili stopala i/ili neprijatnost koja ne utiče na aktivnosti pacijenta u njegovom svakodnevnom životu.</w:t>
            </w:r>
            <w:r w:rsidRPr="009C0BEE">
              <w:rPr>
                <w:color w:val="FF0000"/>
                <w:sz w:val="22"/>
                <w:szCs w:val="22"/>
              </w:rPr>
              <w:t xml:space="preserve"> </w:t>
            </w:r>
          </w:p>
          <w:p w:rsidR="00C6356D" w:rsidRPr="009C0BEE" w:rsidRDefault="00C6356D" w:rsidP="001A4840">
            <w:pPr>
              <w:jc w:val="both"/>
              <w:rPr>
                <w:sz w:val="22"/>
                <w:szCs w:val="22"/>
              </w:rPr>
            </w:pPr>
            <w:r w:rsidRPr="009C0BEE">
              <w:rPr>
                <w:sz w:val="22"/>
                <w:szCs w:val="22"/>
              </w:rPr>
              <w:t>Si</w:t>
            </w:r>
            <w:r w:rsidR="00D2487F" w:rsidRPr="009C0BEE">
              <w:rPr>
                <w:sz w:val="22"/>
                <w:szCs w:val="22"/>
              </w:rPr>
              <w:t>n</w:t>
            </w:r>
            <w:r w:rsidRPr="009C0BEE">
              <w:rPr>
                <w:sz w:val="22"/>
                <w:szCs w:val="22"/>
              </w:rPr>
              <w:t>drom šaka-stopalo 2</w:t>
            </w:r>
            <w:r w:rsidR="001A4840" w:rsidRPr="009C0BEE">
              <w:rPr>
                <w:sz w:val="22"/>
                <w:szCs w:val="22"/>
              </w:rPr>
              <w:t>.</w:t>
            </w:r>
            <w:r w:rsidRPr="009C0BEE">
              <w:rPr>
                <w:sz w:val="22"/>
                <w:szCs w:val="22"/>
              </w:rPr>
              <w:t xml:space="preserve"> </w:t>
            </w:r>
            <w:r w:rsidR="001A4840" w:rsidRPr="009C0BEE">
              <w:rPr>
                <w:sz w:val="22"/>
                <w:szCs w:val="22"/>
              </w:rPr>
              <w:t xml:space="preserve">stepena definiše se kao bolni </w:t>
            </w:r>
            <w:r w:rsidRPr="009C0BEE">
              <w:rPr>
                <w:sz w:val="22"/>
                <w:szCs w:val="22"/>
              </w:rPr>
              <w:t>eritem</w:t>
            </w:r>
            <w:r w:rsidR="001A4840" w:rsidRPr="009C0BEE">
              <w:rPr>
                <w:sz w:val="22"/>
                <w:szCs w:val="22"/>
              </w:rPr>
              <w:t xml:space="preserve"> i oticanje</w:t>
            </w:r>
            <w:r w:rsidRPr="009C0BEE">
              <w:rPr>
                <w:sz w:val="22"/>
                <w:szCs w:val="22"/>
              </w:rPr>
              <w:t xml:space="preserve"> šaka i/ili stopala i/ili neprijatnost koja utiče na aktivnosti pacijenta u njegovom svakodnevnom životu.</w:t>
            </w:r>
          </w:p>
          <w:p w:rsidR="00C6356D" w:rsidRPr="009C0BEE" w:rsidRDefault="00C6356D" w:rsidP="000165FA">
            <w:pPr>
              <w:autoSpaceDE w:val="0"/>
              <w:autoSpaceDN w:val="0"/>
              <w:adjustRightInd w:val="0"/>
              <w:jc w:val="both"/>
              <w:rPr>
                <w:rFonts w:ascii="TimesNewRoman" w:hAnsi="TimesNewRoman" w:cs="TimesNewRoman"/>
                <w:sz w:val="22"/>
                <w:szCs w:val="22"/>
              </w:rPr>
            </w:pPr>
            <w:r w:rsidRPr="009C0BEE">
              <w:rPr>
                <w:sz w:val="22"/>
                <w:szCs w:val="22"/>
              </w:rPr>
              <w:t>Si</w:t>
            </w:r>
            <w:r w:rsidR="00D2487F" w:rsidRPr="009C0BEE">
              <w:rPr>
                <w:sz w:val="22"/>
                <w:szCs w:val="22"/>
              </w:rPr>
              <w:t>n</w:t>
            </w:r>
            <w:r w:rsidRPr="009C0BEE">
              <w:rPr>
                <w:sz w:val="22"/>
                <w:szCs w:val="22"/>
              </w:rPr>
              <w:t>drom šaka-stopalo 3</w:t>
            </w:r>
            <w:r w:rsidR="000165FA" w:rsidRPr="009C0BEE">
              <w:rPr>
                <w:sz w:val="22"/>
                <w:szCs w:val="22"/>
              </w:rPr>
              <w:t>.</w:t>
            </w:r>
            <w:r w:rsidRPr="009C0BEE">
              <w:rPr>
                <w:sz w:val="22"/>
                <w:szCs w:val="22"/>
              </w:rPr>
              <w:t xml:space="preserve"> </w:t>
            </w:r>
            <w:r w:rsidR="000165FA" w:rsidRPr="009C0BEE">
              <w:rPr>
                <w:sz w:val="22"/>
                <w:szCs w:val="22"/>
              </w:rPr>
              <w:t xml:space="preserve">stepena </w:t>
            </w:r>
            <w:r w:rsidRPr="009C0BEE">
              <w:rPr>
                <w:sz w:val="22"/>
                <w:szCs w:val="22"/>
              </w:rPr>
              <w:t xml:space="preserve">je vlažna deskvamacija, ulceracija, pojava plikova i jak bol u </w:t>
            </w:r>
            <w:r w:rsidR="000165FA" w:rsidRPr="009C0BEE">
              <w:rPr>
                <w:sz w:val="22"/>
                <w:szCs w:val="22"/>
              </w:rPr>
              <w:t>šakama i/ili stopalima i/ili izražen</w:t>
            </w:r>
            <w:r w:rsidRPr="009C0BEE">
              <w:rPr>
                <w:sz w:val="22"/>
                <w:szCs w:val="22"/>
              </w:rPr>
              <w:t xml:space="preserve">a neprijatnost koja pacijenta onemogućava da obavlja aktivnosti u njegovom svakodnevnom životu. Ako </w:t>
            </w:r>
            <w:r w:rsidR="000165FA" w:rsidRPr="009C0BEE">
              <w:rPr>
                <w:sz w:val="22"/>
                <w:szCs w:val="22"/>
              </w:rPr>
              <w:t>se razvije</w:t>
            </w:r>
            <w:r w:rsidRPr="009C0BEE">
              <w:rPr>
                <w:sz w:val="22"/>
                <w:szCs w:val="22"/>
              </w:rPr>
              <w:t xml:space="preserve"> sindrom</w:t>
            </w:r>
            <w:r w:rsidR="000165FA" w:rsidRPr="009C0BEE">
              <w:rPr>
                <w:sz w:val="22"/>
                <w:szCs w:val="22"/>
              </w:rPr>
              <w:t xml:space="preserve"> šaka-stopalo </w:t>
            </w:r>
            <w:r w:rsidRPr="009C0BEE">
              <w:rPr>
                <w:sz w:val="22"/>
                <w:szCs w:val="22"/>
              </w:rPr>
              <w:t>2</w:t>
            </w:r>
            <w:r w:rsidR="000165FA" w:rsidRPr="009C0BEE">
              <w:rPr>
                <w:sz w:val="22"/>
                <w:szCs w:val="22"/>
              </w:rPr>
              <w:t>.</w:t>
            </w:r>
            <w:r w:rsidRPr="009C0BEE">
              <w:rPr>
                <w:sz w:val="22"/>
                <w:szCs w:val="22"/>
              </w:rPr>
              <w:t xml:space="preserve"> ili 3</w:t>
            </w:r>
            <w:r w:rsidR="000165FA" w:rsidRPr="009C0BEE">
              <w:rPr>
                <w:sz w:val="22"/>
                <w:szCs w:val="22"/>
              </w:rPr>
              <w:t>. stepena</w:t>
            </w:r>
            <w:r w:rsidR="00D2487F" w:rsidRPr="009C0BEE">
              <w:rPr>
                <w:sz w:val="22"/>
                <w:szCs w:val="22"/>
              </w:rPr>
              <w:t>,</w:t>
            </w:r>
            <w:r w:rsidR="000165FA" w:rsidRPr="009C0BEE">
              <w:rPr>
                <w:sz w:val="22"/>
                <w:szCs w:val="22"/>
              </w:rPr>
              <w:t xml:space="preserve"> liječenje kapecitabinom se mora prekinuti do povlačenja tegoba </w:t>
            </w:r>
            <w:r w:rsidRPr="009C0BEE">
              <w:rPr>
                <w:sz w:val="22"/>
                <w:szCs w:val="22"/>
              </w:rPr>
              <w:t xml:space="preserve">ili </w:t>
            </w:r>
            <w:r w:rsidR="000165FA" w:rsidRPr="009C0BEE">
              <w:rPr>
                <w:sz w:val="22"/>
                <w:szCs w:val="22"/>
              </w:rPr>
              <w:t>smanjenja njihovog</w:t>
            </w:r>
            <w:r w:rsidRPr="009C0BEE">
              <w:rPr>
                <w:sz w:val="22"/>
                <w:szCs w:val="22"/>
              </w:rPr>
              <w:t xml:space="preserve"> intenziteta </w:t>
            </w:r>
            <w:r w:rsidR="000165FA" w:rsidRPr="009C0BEE">
              <w:rPr>
                <w:sz w:val="22"/>
                <w:szCs w:val="22"/>
              </w:rPr>
              <w:t xml:space="preserve">na </w:t>
            </w:r>
            <w:r w:rsidRPr="009C0BEE">
              <w:rPr>
                <w:sz w:val="22"/>
                <w:szCs w:val="22"/>
              </w:rPr>
              <w:t>1.</w:t>
            </w:r>
            <w:r w:rsidR="00D2487F" w:rsidRPr="009C0BEE">
              <w:rPr>
                <w:sz w:val="22"/>
                <w:szCs w:val="22"/>
              </w:rPr>
              <w:t xml:space="preserve"> </w:t>
            </w:r>
            <w:r w:rsidR="000165FA" w:rsidRPr="009C0BEE">
              <w:rPr>
                <w:sz w:val="22"/>
                <w:szCs w:val="22"/>
              </w:rPr>
              <w:t>stepen.</w:t>
            </w:r>
            <w:r w:rsidRPr="009C0BEE">
              <w:rPr>
                <w:sz w:val="22"/>
                <w:szCs w:val="22"/>
              </w:rPr>
              <w:t xml:space="preserve"> </w:t>
            </w:r>
            <w:r w:rsidR="000165FA" w:rsidRPr="009C0BEE">
              <w:rPr>
                <w:sz w:val="22"/>
                <w:szCs w:val="22"/>
              </w:rPr>
              <w:t>Ako se nakon</w:t>
            </w:r>
            <w:r w:rsidRPr="009C0BEE">
              <w:rPr>
                <w:sz w:val="22"/>
                <w:szCs w:val="22"/>
              </w:rPr>
              <w:t xml:space="preserve"> sindroma šaka-stopalo 3</w:t>
            </w:r>
            <w:r w:rsidR="000165FA" w:rsidRPr="009C0BEE">
              <w:rPr>
                <w:sz w:val="22"/>
                <w:szCs w:val="22"/>
              </w:rPr>
              <w:t xml:space="preserve">. stepena nastavlja liječenje kapecitabinom, </w:t>
            </w:r>
            <w:r w:rsidRPr="009C0BEE">
              <w:rPr>
                <w:sz w:val="22"/>
                <w:szCs w:val="22"/>
              </w:rPr>
              <w:t>doz</w:t>
            </w:r>
            <w:r w:rsidR="000165FA" w:rsidRPr="009C0BEE">
              <w:rPr>
                <w:sz w:val="22"/>
                <w:szCs w:val="22"/>
              </w:rPr>
              <w:t>u je pot</w:t>
            </w:r>
            <w:r w:rsidRPr="009C0BEE">
              <w:rPr>
                <w:sz w:val="22"/>
                <w:szCs w:val="22"/>
              </w:rPr>
              <w:t>reb</w:t>
            </w:r>
            <w:r w:rsidR="000165FA" w:rsidRPr="009C0BEE">
              <w:rPr>
                <w:sz w:val="22"/>
                <w:szCs w:val="22"/>
              </w:rPr>
              <w:t>no</w:t>
            </w:r>
            <w:r w:rsidRPr="009C0BEE">
              <w:rPr>
                <w:sz w:val="22"/>
                <w:szCs w:val="22"/>
              </w:rPr>
              <w:t xml:space="preserve"> smanjiti. Kada se </w:t>
            </w:r>
            <w:r w:rsidR="000165FA" w:rsidRPr="009C0BEE">
              <w:rPr>
                <w:sz w:val="22"/>
                <w:szCs w:val="22"/>
              </w:rPr>
              <w:t>k</w:t>
            </w:r>
            <w:r w:rsidR="00F91C4D" w:rsidRPr="009C0BEE">
              <w:rPr>
                <w:sz w:val="22"/>
                <w:szCs w:val="22"/>
              </w:rPr>
              <w:t>apecitabin</w:t>
            </w:r>
            <w:r w:rsidR="004E3DA4" w:rsidRPr="009C0BEE">
              <w:rPr>
                <w:sz w:val="22"/>
                <w:szCs w:val="22"/>
              </w:rPr>
              <w:t xml:space="preserve"> </w:t>
            </w:r>
            <w:r w:rsidR="000165FA" w:rsidRPr="009C0BEE">
              <w:rPr>
                <w:sz w:val="22"/>
                <w:szCs w:val="22"/>
              </w:rPr>
              <w:t>i</w:t>
            </w:r>
            <w:r w:rsidRPr="009C0BEE">
              <w:rPr>
                <w:sz w:val="22"/>
                <w:szCs w:val="22"/>
              </w:rPr>
              <w:t xml:space="preserve"> cisplatin </w:t>
            </w:r>
            <w:r w:rsidR="000165FA" w:rsidRPr="009C0BEE">
              <w:rPr>
                <w:sz w:val="22"/>
                <w:szCs w:val="22"/>
              </w:rPr>
              <w:t>primjenjuju u</w:t>
            </w:r>
            <w:r w:rsidRPr="009C0BEE">
              <w:rPr>
                <w:sz w:val="22"/>
                <w:szCs w:val="22"/>
              </w:rPr>
              <w:t xml:space="preserve"> kombinaciji, </w:t>
            </w:r>
            <w:r w:rsidR="000165FA" w:rsidRPr="009C0BEE">
              <w:rPr>
                <w:sz w:val="22"/>
                <w:szCs w:val="22"/>
              </w:rPr>
              <w:t xml:space="preserve">ne preporučuje se </w:t>
            </w:r>
            <w:r w:rsidRPr="009C0BEE">
              <w:rPr>
                <w:sz w:val="22"/>
                <w:szCs w:val="22"/>
              </w:rPr>
              <w:t xml:space="preserve">upotreba vitamina B6 (piridoksin) </w:t>
            </w:r>
            <w:r w:rsidR="000165FA" w:rsidRPr="009C0BEE">
              <w:rPr>
                <w:sz w:val="22"/>
                <w:szCs w:val="22"/>
              </w:rPr>
              <w:t>za simptomatsko liječenje</w:t>
            </w:r>
            <w:r w:rsidRPr="009C0BEE">
              <w:rPr>
                <w:sz w:val="22"/>
                <w:szCs w:val="22"/>
              </w:rPr>
              <w:t xml:space="preserve"> ili sekundarnu profi</w:t>
            </w:r>
            <w:r w:rsidR="000165FA" w:rsidRPr="009C0BEE">
              <w:rPr>
                <w:sz w:val="22"/>
                <w:szCs w:val="22"/>
              </w:rPr>
              <w:t>laktičku terapiju sindroma šaka-</w:t>
            </w:r>
            <w:r w:rsidRPr="009C0BEE">
              <w:rPr>
                <w:sz w:val="22"/>
                <w:szCs w:val="22"/>
              </w:rPr>
              <w:t>stopalo</w:t>
            </w:r>
            <w:r w:rsidR="00D2487F" w:rsidRPr="009C0BEE">
              <w:rPr>
                <w:sz w:val="22"/>
                <w:szCs w:val="22"/>
              </w:rPr>
              <w:t>,</w:t>
            </w:r>
            <w:r w:rsidRPr="009C0BEE">
              <w:rPr>
                <w:sz w:val="22"/>
                <w:szCs w:val="22"/>
              </w:rPr>
              <w:t xml:space="preserve"> zbog ob</w:t>
            </w:r>
            <w:r w:rsidR="000165FA" w:rsidRPr="009C0BEE">
              <w:rPr>
                <w:sz w:val="22"/>
                <w:szCs w:val="22"/>
              </w:rPr>
              <w:t>javljenih opažanja da to može</w:t>
            </w:r>
            <w:r w:rsidRPr="009C0BEE">
              <w:rPr>
                <w:sz w:val="22"/>
                <w:szCs w:val="22"/>
              </w:rPr>
              <w:t xml:space="preserve"> smanji</w:t>
            </w:r>
            <w:r w:rsidR="000165FA" w:rsidRPr="009C0BEE">
              <w:rPr>
                <w:sz w:val="22"/>
                <w:szCs w:val="22"/>
              </w:rPr>
              <w:t>ti</w:t>
            </w:r>
            <w:r w:rsidRPr="009C0BEE">
              <w:rPr>
                <w:sz w:val="22"/>
                <w:szCs w:val="22"/>
              </w:rPr>
              <w:t xml:space="preserve"> efikasnost cisplatina.</w:t>
            </w:r>
            <w:r w:rsidR="000165FA" w:rsidRPr="009C0BEE">
              <w:rPr>
                <w:sz w:val="22"/>
                <w:szCs w:val="22"/>
              </w:rPr>
              <w:t xml:space="preserve"> </w:t>
            </w:r>
            <w:r w:rsidR="000165FA" w:rsidRPr="009C0BEE">
              <w:rPr>
                <w:rFonts w:ascii="TimesNewRoman" w:hAnsi="TimesNewRoman" w:cs="TimesNewRoman"/>
                <w:sz w:val="22"/>
                <w:szCs w:val="22"/>
              </w:rPr>
              <w:t>Postoje dokazi o tome da je deksapantenol efikasan u profilaksi sindroma šaka-stopalo kod pacijenata liječenih kapecitabinom.</w:t>
            </w:r>
          </w:p>
          <w:p w:rsidR="00C6356D" w:rsidRPr="009C0BEE" w:rsidRDefault="00C6356D" w:rsidP="00C6356D">
            <w:pPr>
              <w:rPr>
                <w:color w:val="FF0000"/>
                <w:sz w:val="22"/>
                <w:szCs w:val="22"/>
              </w:rPr>
            </w:pPr>
          </w:p>
          <w:p w:rsidR="00C6356D" w:rsidRPr="009C0BEE" w:rsidRDefault="00C6356D" w:rsidP="00FB6020">
            <w:pPr>
              <w:jc w:val="both"/>
              <w:rPr>
                <w:sz w:val="22"/>
                <w:szCs w:val="22"/>
              </w:rPr>
            </w:pPr>
            <w:r w:rsidRPr="009C0BEE">
              <w:rPr>
                <w:i/>
                <w:sz w:val="22"/>
                <w:szCs w:val="22"/>
              </w:rPr>
              <w:t>Kardiotoksičnost</w:t>
            </w:r>
            <w:r w:rsidRPr="009C0BEE">
              <w:rPr>
                <w:sz w:val="22"/>
                <w:szCs w:val="22"/>
              </w:rPr>
              <w:t>. Ka</w:t>
            </w:r>
            <w:r w:rsidR="00FB6020" w:rsidRPr="009C0BEE">
              <w:rPr>
                <w:sz w:val="22"/>
                <w:szCs w:val="22"/>
              </w:rPr>
              <w:t>rdiotoksičnost se povezuje</w:t>
            </w:r>
            <w:r w:rsidRPr="009C0BEE">
              <w:rPr>
                <w:sz w:val="22"/>
                <w:szCs w:val="22"/>
              </w:rPr>
              <w:t xml:space="preserve"> sa terapijom </w:t>
            </w:r>
            <w:r w:rsidR="00FB6020" w:rsidRPr="009C0BEE">
              <w:rPr>
                <w:sz w:val="22"/>
                <w:szCs w:val="22"/>
              </w:rPr>
              <w:t>fluoropirimidinom, i uključuje</w:t>
            </w:r>
            <w:r w:rsidRPr="009C0BEE">
              <w:rPr>
                <w:sz w:val="22"/>
                <w:szCs w:val="22"/>
              </w:rPr>
              <w:t xml:space="preserve"> infarkt miokarda, anginu pektoris, disritmije, kardiogeni šok, iznenadnu smrt i elektrokardiografske promjene (uključujući v</w:t>
            </w:r>
            <w:r w:rsidR="00FB6020" w:rsidRPr="009C0BEE">
              <w:rPr>
                <w:sz w:val="22"/>
                <w:szCs w:val="22"/>
              </w:rPr>
              <w:t>eoma rijetke slučajeve produženja</w:t>
            </w:r>
            <w:r w:rsidRPr="009C0BEE">
              <w:rPr>
                <w:sz w:val="22"/>
                <w:szCs w:val="22"/>
              </w:rPr>
              <w:t xml:space="preserve"> QT intervala). Ove neželjene reakcije mogu biti češće kod pacijenata s</w:t>
            </w:r>
            <w:r w:rsidR="00FB6020" w:rsidRPr="009C0BEE">
              <w:rPr>
                <w:sz w:val="22"/>
                <w:szCs w:val="22"/>
              </w:rPr>
              <w:t>a</w:t>
            </w:r>
            <w:r w:rsidRPr="009C0BEE">
              <w:rPr>
                <w:sz w:val="22"/>
                <w:szCs w:val="22"/>
              </w:rPr>
              <w:t xml:space="preserve"> prethodnom istorijom koronarne bolesti. Kod pacijenata koji su primali </w:t>
            </w:r>
            <w:r w:rsidR="00DF32DA" w:rsidRPr="009C0BEE">
              <w:rPr>
                <w:sz w:val="22"/>
                <w:szCs w:val="22"/>
              </w:rPr>
              <w:t>k</w:t>
            </w:r>
            <w:r w:rsidR="00F91C4D" w:rsidRPr="009C0BEE">
              <w:rPr>
                <w:sz w:val="22"/>
                <w:szCs w:val="22"/>
              </w:rPr>
              <w:t>apecitabin</w:t>
            </w:r>
            <w:r w:rsidR="00CA3123" w:rsidRPr="009C0BEE">
              <w:rPr>
                <w:sz w:val="22"/>
                <w:szCs w:val="22"/>
              </w:rPr>
              <w:t xml:space="preserve"> </w:t>
            </w:r>
            <w:r w:rsidRPr="009C0BEE">
              <w:rPr>
                <w:sz w:val="22"/>
                <w:szCs w:val="22"/>
              </w:rPr>
              <w:t>zabilježena je pojava srčanih aritmija (uključuju</w:t>
            </w:r>
            <w:r w:rsidR="00DF32DA" w:rsidRPr="009C0BEE">
              <w:rPr>
                <w:sz w:val="22"/>
                <w:szCs w:val="22"/>
              </w:rPr>
              <w:t>ći ventrikularne fibrilacije, torsade de pointes i bradikardije</w:t>
            </w:r>
            <w:r w:rsidRPr="009C0BEE">
              <w:rPr>
                <w:sz w:val="22"/>
                <w:szCs w:val="22"/>
              </w:rPr>
              <w:t xml:space="preserve">), angine pektoris, infarkta miokarda, srčane insuficijencije i kardiomiopatije. Posebno se mora biti oprezan kod pacijenata </w:t>
            </w:r>
            <w:r w:rsidR="00DF32DA" w:rsidRPr="009C0BEE">
              <w:rPr>
                <w:sz w:val="22"/>
                <w:szCs w:val="22"/>
              </w:rPr>
              <w:t>sa značajnijim srčanim</w:t>
            </w:r>
            <w:r w:rsidRPr="009C0BEE">
              <w:rPr>
                <w:sz w:val="22"/>
                <w:szCs w:val="22"/>
              </w:rPr>
              <w:t xml:space="preserve"> oboljenj</w:t>
            </w:r>
            <w:r w:rsidR="00DF32DA" w:rsidRPr="009C0BEE">
              <w:rPr>
                <w:sz w:val="22"/>
                <w:szCs w:val="22"/>
              </w:rPr>
              <w:t>ima</w:t>
            </w:r>
            <w:r w:rsidRPr="009C0BEE">
              <w:rPr>
                <w:sz w:val="22"/>
                <w:szCs w:val="22"/>
              </w:rPr>
              <w:t>, aritmij</w:t>
            </w:r>
            <w:r w:rsidR="00DF32DA" w:rsidRPr="009C0BEE">
              <w:rPr>
                <w:sz w:val="22"/>
                <w:szCs w:val="22"/>
              </w:rPr>
              <w:t>ama i anginom</w:t>
            </w:r>
            <w:r w:rsidRPr="009C0BEE">
              <w:rPr>
                <w:sz w:val="22"/>
                <w:szCs w:val="22"/>
              </w:rPr>
              <w:t xml:space="preserve"> pektoris </w:t>
            </w:r>
            <w:r w:rsidR="00DF32DA" w:rsidRPr="009C0BEE">
              <w:rPr>
                <w:sz w:val="22"/>
                <w:szCs w:val="22"/>
              </w:rPr>
              <w:t>u anamnezi (vidjeti o</w:t>
            </w:r>
            <w:r w:rsidRPr="009C0BEE">
              <w:rPr>
                <w:sz w:val="22"/>
                <w:szCs w:val="22"/>
              </w:rPr>
              <w:t xml:space="preserve">djeljak 4.8). </w:t>
            </w:r>
          </w:p>
          <w:p w:rsidR="00C6356D" w:rsidRPr="009C0BEE" w:rsidRDefault="00C6356D" w:rsidP="00C6356D">
            <w:pPr>
              <w:rPr>
                <w:sz w:val="22"/>
                <w:szCs w:val="22"/>
              </w:rPr>
            </w:pPr>
          </w:p>
          <w:p w:rsidR="00C6356D" w:rsidRPr="009C0BEE" w:rsidRDefault="00C6356D" w:rsidP="000E5BAE">
            <w:pPr>
              <w:jc w:val="both"/>
              <w:rPr>
                <w:sz w:val="22"/>
                <w:szCs w:val="22"/>
              </w:rPr>
            </w:pPr>
            <w:r w:rsidRPr="009C0BEE">
              <w:rPr>
                <w:i/>
                <w:sz w:val="22"/>
                <w:szCs w:val="22"/>
              </w:rPr>
              <w:t>Hipo</w:t>
            </w:r>
            <w:r w:rsidR="000E5BAE" w:rsidRPr="009C0BEE">
              <w:rPr>
                <w:i/>
                <w:sz w:val="22"/>
                <w:szCs w:val="22"/>
              </w:rPr>
              <w:t>kalc</w:t>
            </w:r>
            <w:r w:rsidR="002810F0" w:rsidRPr="009C0BEE">
              <w:rPr>
                <w:i/>
                <w:sz w:val="22"/>
                <w:szCs w:val="22"/>
              </w:rPr>
              <w:t>ij</w:t>
            </w:r>
            <w:r w:rsidR="000E5BAE" w:rsidRPr="009C0BEE">
              <w:rPr>
                <w:i/>
                <w:sz w:val="22"/>
                <w:szCs w:val="22"/>
              </w:rPr>
              <w:t>emija</w:t>
            </w:r>
            <w:r w:rsidRPr="009C0BEE">
              <w:rPr>
                <w:i/>
                <w:sz w:val="22"/>
                <w:szCs w:val="22"/>
              </w:rPr>
              <w:t xml:space="preserve"> ili hiperkalc</w:t>
            </w:r>
            <w:r w:rsidR="002810F0" w:rsidRPr="009C0BEE">
              <w:rPr>
                <w:i/>
                <w:sz w:val="22"/>
                <w:szCs w:val="22"/>
              </w:rPr>
              <w:t>ij</w:t>
            </w:r>
            <w:r w:rsidRPr="009C0BEE">
              <w:rPr>
                <w:i/>
                <w:sz w:val="22"/>
                <w:szCs w:val="22"/>
              </w:rPr>
              <w:t>emija</w:t>
            </w:r>
            <w:r w:rsidR="000E5BAE" w:rsidRPr="009C0BEE">
              <w:rPr>
                <w:sz w:val="22"/>
                <w:szCs w:val="22"/>
              </w:rPr>
              <w:t>.</w:t>
            </w:r>
            <w:r w:rsidR="00214D1D" w:rsidRPr="009C0BEE">
              <w:rPr>
                <w:sz w:val="22"/>
                <w:szCs w:val="22"/>
              </w:rPr>
              <w:t xml:space="preserve"> </w:t>
            </w:r>
            <w:r w:rsidR="000E5BAE" w:rsidRPr="009C0BEE">
              <w:rPr>
                <w:sz w:val="22"/>
                <w:szCs w:val="22"/>
              </w:rPr>
              <w:t>Pojava hipokalc</w:t>
            </w:r>
            <w:r w:rsidR="002810F0" w:rsidRPr="009C0BEE">
              <w:rPr>
                <w:sz w:val="22"/>
                <w:szCs w:val="22"/>
              </w:rPr>
              <w:t>ij</w:t>
            </w:r>
            <w:r w:rsidR="000E5BAE" w:rsidRPr="009C0BEE">
              <w:rPr>
                <w:sz w:val="22"/>
                <w:szCs w:val="22"/>
              </w:rPr>
              <w:t>emije</w:t>
            </w:r>
            <w:r w:rsidRPr="009C0BEE">
              <w:rPr>
                <w:sz w:val="22"/>
                <w:szCs w:val="22"/>
              </w:rPr>
              <w:t xml:space="preserve"> i</w:t>
            </w:r>
            <w:r w:rsidR="000E5BAE" w:rsidRPr="009C0BEE">
              <w:rPr>
                <w:sz w:val="22"/>
                <w:szCs w:val="22"/>
              </w:rPr>
              <w:t>li hiperkalc</w:t>
            </w:r>
            <w:r w:rsidR="002810F0" w:rsidRPr="009C0BEE">
              <w:rPr>
                <w:sz w:val="22"/>
                <w:szCs w:val="22"/>
              </w:rPr>
              <w:t>ij</w:t>
            </w:r>
            <w:r w:rsidR="000E5BAE" w:rsidRPr="009C0BEE">
              <w:rPr>
                <w:sz w:val="22"/>
                <w:szCs w:val="22"/>
              </w:rPr>
              <w:t>emije je zabilježena</w:t>
            </w:r>
            <w:r w:rsidRPr="009C0BEE">
              <w:rPr>
                <w:sz w:val="22"/>
                <w:szCs w:val="22"/>
              </w:rPr>
              <w:t xml:space="preserve"> tokom </w:t>
            </w:r>
            <w:r w:rsidR="000E5BAE" w:rsidRPr="009C0BEE">
              <w:rPr>
                <w:sz w:val="22"/>
                <w:szCs w:val="22"/>
              </w:rPr>
              <w:t>liječenja kapecitabinom</w:t>
            </w:r>
            <w:r w:rsidRPr="009C0BEE">
              <w:rPr>
                <w:sz w:val="22"/>
                <w:szCs w:val="22"/>
              </w:rPr>
              <w:t>. Mora se biti posebno oprezan kod pa</w:t>
            </w:r>
            <w:r w:rsidR="000E5BAE" w:rsidRPr="009C0BEE">
              <w:rPr>
                <w:sz w:val="22"/>
                <w:szCs w:val="22"/>
              </w:rPr>
              <w:t>cijenata koji su već imali hipokalc</w:t>
            </w:r>
            <w:r w:rsidR="002810F0" w:rsidRPr="009C0BEE">
              <w:rPr>
                <w:sz w:val="22"/>
                <w:szCs w:val="22"/>
              </w:rPr>
              <w:t>ij</w:t>
            </w:r>
            <w:r w:rsidR="000E5BAE" w:rsidRPr="009C0BEE">
              <w:rPr>
                <w:sz w:val="22"/>
                <w:szCs w:val="22"/>
              </w:rPr>
              <w:t>emiju ili hiperkalc</w:t>
            </w:r>
            <w:r w:rsidR="002810F0" w:rsidRPr="009C0BEE">
              <w:rPr>
                <w:sz w:val="22"/>
                <w:szCs w:val="22"/>
              </w:rPr>
              <w:t>ij</w:t>
            </w:r>
            <w:r w:rsidR="000E5BAE" w:rsidRPr="009C0BEE">
              <w:rPr>
                <w:sz w:val="22"/>
                <w:szCs w:val="22"/>
              </w:rPr>
              <w:t>emiju (vidjeti o</w:t>
            </w:r>
            <w:r w:rsidRPr="009C0BEE">
              <w:rPr>
                <w:sz w:val="22"/>
                <w:szCs w:val="22"/>
              </w:rPr>
              <w:t xml:space="preserve">djeljak 4.8). </w:t>
            </w:r>
          </w:p>
          <w:p w:rsidR="00C6356D" w:rsidRPr="009C0BEE" w:rsidRDefault="00C6356D" w:rsidP="00C6356D">
            <w:pPr>
              <w:rPr>
                <w:color w:val="FF0000"/>
                <w:sz w:val="22"/>
                <w:szCs w:val="22"/>
              </w:rPr>
            </w:pPr>
          </w:p>
          <w:p w:rsidR="00C6356D" w:rsidRPr="009C0BEE" w:rsidRDefault="00C6356D" w:rsidP="00A1796F">
            <w:pPr>
              <w:jc w:val="both"/>
              <w:rPr>
                <w:sz w:val="22"/>
                <w:szCs w:val="22"/>
              </w:rPr>
            </w:pPr>
            <w:r w:rsidRPr="009C0BEE">
              <w:rPr>
                <w:i/>
                <w:sz w:val="22"/>
                <w:szCs w:val="22"/>
              </w:rPr>
              <w:t>Oboljenja centralnog ili perifernog nervnog sistema</w:t>
            </w:r>
            <w:r w:rsidRPr="009C0BEE">
              <w:rPr>
                <w:sz w:val="22"/>
                <w:szCs w:val="22"/>
              </w:rPr>
              <w:t xml:space="preserve">. </w:t>
            </w:r>
            <w:r w:rsidRPr="009C0BEE">
              <w:rPr>
                <w:caps/>
                <w:sz w:val="22"/>
                <w:szCs w:val="22"/>
              </w:rPr>
              <w:t>m</w:t>
            </w:r>
            <w:r w:rsidRPr="009C0BEE">
              <w:rPr>
                <w:sz w:val="22"/>
                <w:szCs w:val="22"/>
              </w:rPr>
              <w:t xml:space="preserve">ora se biti oprezan kod pacijenata sa oboljenjima centralnog ili perifernog nervnog sistema, npr. </w:t>
            </w:r>
            <w:r w:rsidR="00A1796F" w:rsidRPr="009C0BEE">
              <w:rPr>
                <w:sz w:val="22"/>
                <w:szCs w:val="22"/>
              </w:rPr>
              <w:t>sa</w:t>
            </w:r>
            <w:r w:rsidRPr="009C0BEE">
              <w:rPr>
                <w:sz w:val="22"/>
                <w:szCs w:val="22"/>
              </w:rPr>
              <w:t xml:space="preserve"> metastaz</w:t>
            </w:r>
            <w:r w:rsidR="00A1796F" w:rsidRPr="009C0BEE">
              <w:rPr>
                <w:sz w:val="22"/>
                <w:szCs w:val="22"/>
              </w:rPr>
              <w:t>ama</w:t>
            </w:r>
            <w:r w:rsidRPr="009C0BEE">
              <w:rPr>
                <w:sz w:val="22"/>
                <w:szCs w:val="22"/>
              </w:rPr>
              <w:t xml:space="preserve"> </w:t>
            </w:r>
            <w:r w:rsidR="00A1796F" w:rsidRPr="009C0BEE">
              <w:rPr>
                <w:sz w:val="22"/>
                <w:szCs w:val="22"/>
              </w:rPr>
              <w:t>u mozgu ili neuropatijom (vidjeti o</w:t>
            </w:r>
            <w:r w:rsidRPr="009C0BEE">
              <w:rPr>
                <w:sz w:val="22"/>
                <w:szCs w:val="22"/>
              </w:rPr>
              <w:t>djeljak 4.8).</w:t>
            </w:r>
          </w:p>
          <w:p w:rsidR="00C6356D" w:rsidRPr="009C0BEE" w:rsidRDefault="00C6356D" w:rsidP="00C6356D">
            <w:pPr>
              <w:rPr>
                <w:color w:val="FF0000"/>
                <w:sz w:val="22"/>
                <w:szCs w:val="22"/>
              </w:rPr>
            </w:pPr>
          </w:p>
          <w:p w:rsidR="00C6356D" w:rsidRPr="009C0BEE" w:rsidRDefault="00C6356D" w:rsidP="00D92143">
            <w:pPr>
              <w:jc w:val="both"/>
              <w:rPr>
                <w:sz w:val="22"/>
                <w:szCs w:val="22"/>
              </w:rPr>
            </w:pPr>
            <w:r w:rsidRPr="009C0BEE">
              <w:rPr>
                <w:i/>
                <w:sz w:val="22"/>
                <w:szCs w:val="22"/>
              </w:rPr>
              <w:t>Dijabetes melitus ili poremećaji</w:t>
            </w:r>
            <w:r w:rsidR="00D92143" w:rsidRPr="009C0BEE">
              <w:rPr>
                <w:i/>
                <w:sz w:val="22"/>
                <w:szCs w:val="22"/>
              </w:rPr>
              <w:t xml:space="preserve"> elektrolita</w:t>
            </w:r>
            <w:r w:rsidRPr="009C0BEE">
              <w:rPr>
                <w:sz w:val="22"/>
                <w:szCs w:val="22"/>
              </w:rPr>
              <w:t xml:space="preserve">. </w:t>
            </w:r>
            <w:r w:rsidRPr="009C0BEE">
              <w:rPr>
                <w:caps/>
                <w:sz w:val="22"/>
                <w:szCs w:val="22"/>
              </w:rPr>
              <w:t>m</w:t>
            </w:r>
            <w:r w:rsidRPr="009C0BEE">
              <w:rPr>
                <w:sz w:val="22"/>
                <w:szCs w:val="22"/>
              </w:rPr>
              <w:t>ora se biti oprezan kod pacijenata sa dijabetes melituso</w:t>
            </w:r>
            <w:r w:rsidR="00D92143" w:rsidRPr="009C0BEE">
              <w:rPr>
                <w:sz w:val="22"/>
                <w:szCs w:val="22"/>
              </w:rPr>
              <w:t>m ili poremećajem elektrolita</w:t>
            </w:r>
            <w:r w:rsidRPr="009C0BEE">
              <w:rPr>
                <w:sz w:val="22"/>
                <w:szCs w:val="22"/>
              </w:rPr>
              <w:t xml:space="preserve">, jer se oni mogu pogoršati tokom terapije </w:t>
            </w:r>
            <w:r w:rsidR="00D92143" w:rsidRPr="009C0BEE">
              <w:rPr>
                <w:sz w:val="22"/>
                <w:szCs w:val="22"/>
              </w:rPr>
              <w:t>liječenja kapecitabinom</w:t>
            </w:r>
            <w:r w:rsidRPr="009C0BEE">
              <w:rPr>
                <w:sz w:val="22"/>
                <w:szCs w:val="22"/>
              </w:rPr>
              <w:t xml:space="preserve">. </w:t>
            </w:r>
          </w:p>
          <w:p w:rsidR="00C6356D" w:rsidRPr="009C0BEE" w:rsidRDefault="00C6356D" w:rsidP="00C6356D">
            <w:pPr>
              <w:rPr>
                <w:color w:val="FF0000"/>
                <w:sz w:val="22"/>
                <w:szCs w:val="22"/>
              </w:rPr>
            </w:pPr>
          </w:p>
          <w:p w:rsidR="00C6356D" w:rsidRPr="009C0BEE" w:rsidRDefault="000E5DD3" w:rsidP="000E5DD3">
            <w:pPr>
              <w:jc w:val="both"/>
              <w:rPr>
                <w:sz w:val="22"/>
                <w:szCs w:val="22"/>
              </w:rPr>
            </w:pPr>
            <w:r w:rsidRPr="009C0BEE">
              <w:rPr>
                <w:i/>
                <w:sz w:val="22"/>
                <w:szCs w:val="22"/>
              </w:rPr>
              <w:lastRenderedPageBreak/>
              <w:t>A</w:t>
            </w:r>
            <w:r w:rsidR="00C6356D" w:rsidRPr="009C0BEE">
              <w:rPr>
                <w:i/>
                <w:sz w:val="22"/>
                <w:szCs w:val="22"/>
              </w:rPr>
              <w:t>ntikogula</w:t>
            </w:r>
            <w:r w:rsidR="0068416F" w:rsidRPr="009C0BEE">
              <w:rPr>
                <w:i/>
                <w:sz w:val="22"/>
                <w:szCs w:val="22"/>
              </w:rPr>
              <w:t>cion</w:t>
            </w:r>
            <w:r w:rsidRPr="009C0BEE">
              <w:rPr>
                <w:i/>
                <w:sz w:val="22"/>
                <w:szCs w:val="22"/>
              </w:rPr>
              <w:t>a terapija derivatima kumarina</w:t>
            </w:r>
            <w:r w:rsidR="00C6356D" w:rsidRPr="009C0BEE">
              <w:rPr>
                <w:sz w:val="22"/>
                <w:szCs w:val="22"/>
              </w:rPr>
              <w:t xml:space="preserve">. </w:t>
            </w:r>
            <w:r w:rsidR="00B8373A" w:rsidRPr="009C0BEE">
              <w:rPr>
                <w:sz w:val="22"/>
                <w:szCs w:val="22"/>
              </w:rPr>
              <w:t>Tokom ispitivanja</w:t>
            </w:r>
            <w:r w:rsidR="00C6356D" w:rsidRPr="009C0BEE">
              <w:rPr>
                <w:sz w:val="22"/>
                <w:szCs w:val="22"/>
              </w:rPr>
              <w:t xml:space="preserve"> interakcije</w:t>
            </w:r>
            <w:r w:rsidR="0068416F" w:rsidRPr="009C0BEE">
              <w:rPr>
                <w:sz w:val="22"/>
                <w:szCs w:val="22"/>
              </w:rPr>
              <w:t xml:space="preserve"> </w:t>
            </w:r>
            <w:r w:rsidR="00C6356D" w:rsidRPr="009C0BEE">
              <w:rPr>
                <w:sz w:val="22"/>
                <w:szCs w:val="22"/>
              </w:rPr>
              <w:t xml:space="preserve">sa </w:t>
            </w:r>
            <w:r w:rsidR="0068416F" w:rsidRPr="009C0BEE">
              <w:rPr>
                <w:sz w:val="22"/>
                <w:szCs w:val="22"/>
              </w:rPr>
              <w:t>pojedinačnom dozom</w:t>
            </w:r>
            <w:r w:rsidR="00C6356D" w:rsidRPr="009C0BEE">
              <w:rPr>
                <w:sz w:val="22"/>
                <w:szCs w:val="22"/>
              </w:rPr>
              <w:t xml:space="preserve"> varfarina, </w:t>
            </w:r>
            <w:r w:rsidR="0068416F" w:rsidRPr="009C0BEE">
              <w:rPr>
                <w:sz w:val="22"/>
                <w:szCs w:val="22"/>
              </w:rPr>
              <w:t>uočeno</w:t>
            </w:r>
            <w:r w:rsidR="00C6356D" w:rsidRPr="009C0BEE">
              <w:rPr>
                <w:sz w:val="22"/>
                <w:szCs w:val="22"/>
              </w:rPr>
              <w:t xml:space="preserve"> je značajno povećanj</w:t>
            </w:r>
            <w:r w:rsidR="0068416F" w:rsidRPr="009C0BEE">
              <w:rPr>
                <w:sz w:val="22"/>
                <w:szCs w:val="22"/>
              </w:rPr>
              <w:t>e</w:t>
            </w:r>
            <w:r w:rsidR="00C6356D" w:rsidRPr="009C0BEE">
              <w:rPr>
                <w:sz w:val="22"/>
                <w:szCs w:val="22"/>
              </w:rPr>
              <w:t xml:space="preserve"> srednje vr</w:t>
            </w:r>
            <w:r w:rsidR="0068416F" w:rsidRPr="009C0BEE">
              <w:rPr>
                <w:sz w:val="22"/>
                <w:szCs w:val="22"/>
              </w:rPr>
              <w:t>ij</w:t>
            </w:r>
            <w:r w:rsidR="00C6356D" w:rsidRPr="009C0BEE">
              <w:rPr>
                <w:sz w:val="22"/>
                <w:szCs w:val="22"/>
              </w:rPr>
              <w:t>ednosti PIK (+57%) S-varfarina. Ovi r</w:t>
            </w:r>
            <w:r w:rsidR="0068416F" w:rsidRPr="009C0BEE">
              <w:rPr>
                <w:sz w:val="22"/>
                <w:szCs w:val="22"/>
              </w:rPr>
              <w:t xml:space="preserve">ezultati ukazuju na interakciju koja je vjerovatno </w:t>
            </w:r>
            <w:r w:rsidR="002810F0" w:rsidRPr="009C0BEE">
              <w:rPr>
                <w:sz w:val="22"/>
                <w:szCs w:val="22"/>
              </w:rPr>
              <w:t xml:space="preserve">posljedica </w:t>
            </w:r>
            <w:r w:rsidR="00C6356D" w:rsidRPr="009C0BEE">
              <w:rPr>
                <w:sz w:val="22"/>
                <w:szCs w:val="22"/>
              </w:rPr>
              <w:t xml:space="preserve">inhibicije sistema  izoenzima citohroma P450 2C9 izazvane kapecitabinom. Kod pacijenata koji </w:t>
            </w:r>
            <w:r w:rsidR="0068416F" w:rsidRPr="009C0BEE">
              <w:rPr>
                <w:sz w:val="22"/>
                <w:szCs w:val="22"/>
              </w:rPr>
              <w:t>istovremeno</w:t>
            </w:r>
            <w:r w:rsidR="00C6356D" w:rsidRPr="009C0BEE">
              <w:rPr>
                <w:sz w:val="22"/>
                <w:szCs w:val="22"/>
              </w:rPr>
              <w:t xml:space="preserve"> primaju </w:t>
            </w:r>
            <w:r w:rsidR="00CA3123" w:rsidRPr="009C0BEE">
              <w:rPr>
                <w:sz w:val="22"/>
                <w:szCs w:val="22"/>
              </w:rPr>
              <w:t>k</w:t>
            </w:r>
            <w:r w:rsidR="00F91C4D" w:rsidRPr="009C0BEE">
              <w:rPr>
                <w:sz w:val="22"/>
                <w:szCs w:val="22"/>
              </w:rPr>
              <w:t>apecitabin</w:t>
            </w:r>
            <w:r w:rsidR="00CA3123" w:rsidRPr="009C0BEE">
              <w:rPr>
                <w:sz w:val="22"/>
                <w:szCs w:val="22"/>
              </w:rPr>
              <w:t xml:space="preserve"> </w:t>
            </w:r>
            <w:r w:rsidR="0068416F" w:rsidRPr="009C0BEE">
              <w:rPr>
                <w:sz w:val="22"/>
                <w:szCs w:val="22"/>
              </w:rPr>
              <w:t xml:space="preserve">i oralnu antikoagulacionu terapiju </w:t>
            </w:r>
            <w:r w:rsidR="00C6356D" w:rsidRPr="009C0BEE">
              <w:rPr>
                <w:sz w:val="22"/>
                <w:szCs w:val="22"/>
              </w:rPr>
              <w:t>deriv</w:t>
            </w:r>
            <w:r w:rsidR="0068416F" w:rsidRPr="009C0BEE">
              <w:rPr>
                <w:sz w:val="22"/>
                <w:szCs w:val="22"/>
              </w:rPr>
              <w:t>atima</w:t>
            </w:r>
            <w:r w:rsidR="00C6356D" w:rsidRPr="009C0BEE">
              <w:rPr>
                <w:sz w:val="22"/>
                <w:szCs w:val="22"/>
              </w:rPr>
              <w:t xml:space="preserve"> kumarina, treba pažljivo pratiti antikoagulacioni odgovor (INR ili protrombinsko vrijeme) i </w:t>
            </w:r>
            <w:r w:rsidR="0068416F" w:rsidRPr="009C0BEE">
              <w:rPr>
                <w:sz w:val="22"/>
                <w:szCs w:val="22"/>
              </w:rPr>
              <w:t>u skladu sa njim</w:t>
            </w:r>
            <w:r w:rsidR="00C6356D" w:rsidRPr="009C0BEE">
              <w:rPr>
                <w:sz w:val="22"/>
                <w:szCs w:val="22"/>
              </w:rPr>
              <w:t xml:space="preserve"> p</w:t>
            </w:r>
            <w:r w:rsidR="0068416F" w:rsidRPr="009C0BEE">
              <w:rPr>
                <w:sz w:val="22"/>
                <w:szCs w:val="22"/>
              </w:rPr>
              <w:t>rilagoditi dozu antikoagulansa (vidjeti o</w:t>
            </w:r>
            <w:r w:rsidR="00C6356D" w:rsidRPr="009C0BEE">
              <w:rPr>
                <w:sz w:val="22"/>
                <w:szCs w:val="22"/>
              </w:rPr>
              <w:t xml:space="preserve">djeljak 4.5). </w:t>
            </w:r>
          </w:p>
          <w:p w:rsidR="00C6356D" w:rsidRPr="009C0BEE" w:rsidRDefault="00C6356D" w:rsidP="00C6356D">
            <w:pPr>
              <w:rPr>
                <w:color w:val="FF0000"/>
                <w:sz w:val="22"/>
                <w:szCs w:val="22"/>
              </w:rPr>
            </w:pPr>
          </w:p>
          <w:p w:rsidR="00C6356D" w:rsidRPr="009C0BEE" w:rsidRDefault="00C6356D" w:rsidP="00214D1D">
            <w:pPr>
              <w:jc w:val="both"/>
              <w:rPr>
                <w:sz w:val="22"/>
                <w:szCs w:val="22"/>
              </w:rPr>
            </w:pPr>
            <w:r w:rsidRPr="009C0BEE">
              <w:rPr>
                <w:i/>
                <w:sz w:val="22"/>
                <w:szCs w:val="22"/>
              </w:rPr>
              <w:t>Hepatička insuficijencija</w:t>
            </w:r>
            <w:r w:rsidRPr="009C0BEE">
              <w:rPr>
                <w:sz w:val="22"/>
                <w:szCs w:val="22"/>
              </w:rPr>
              <w:t xml:space="preserve">. U odsustvu podataka o bezbjednosti i efikasnosti kod pacijenata sa hepatičkom insuficijencijom, </w:t>
            </w:r>
            <w:r w:rsidR="00214D1D" w:rsidRPr="009C0BEE">
              <w:rPr>
                <w:sz w:val="22"/>
                <w:szCs w:val="22"/>
              </w:rPr>
              <w:t>primjenu kapecitabina</w:t>
            </w:r>
            <w:r w:rsidR="00CA3123" w:rsidRPr="009C0BEE">
              <w:rPr>
                <w:sz w:val="22"/>
                <w:szCs w:val="22"/>
              </w:rPr>
              <w:t xml:space="preserve"> </w:t>
            </w:r>
            <w:r w:rsidRPr="009C0BEE">
              <w:rPr>
                <w:sz w:val="22"/>
                <w:szCs w:val="22"/>
              </w:rPr>
              <w:t>treba pažljivo pratiti kod pacijenata s</w:t>
            </w:r>
            <w:r w:rsidR="00214D1D" w:rsidRPr="009C0BEE">
              <w:rPr>
                <w:sz w:val="22"/>
                <w:szCs w:val="22"/>
              </w:rPr>
              <w:t>a</w:t>
            </w:r>
            <w:r w:rsidRPr="009C0BEE">
              <w:rPr>
                <w:sz w:val="22"/>
                <w:szCs w:val="22"/>
              </w:rPr>
              <w:t xml:space="preserve"> blagom do umjerenom hepatičkom insuficijencijom, nezavisno od prisustva ili odsustva metastaza na jetri. </w:t>
            </w:r>
            <w:r w:rsidR="00214D1D" w:rsidRPr="009C0BEE">
              <w:rPr>
                <w:sz w:val="22"/>
                <w:szCs w:val="22"/>
              </w:rPr>
              <w:t>Primjenu kapecitabina</w:t>
            </w:r>
            <w:r w:rsidR="00CA3123" w:rsidRPr="009C0BEE">
              <w:rPr>
                <w:sz w:val="22"/>
                <w:szCs w:val="22"/>
              </w:rPr>
              <w:t xml:space="preserve"> </w:t>
            </w:r>
            <w:r w:rsidRPr="009C0BEE">
              <w:rPr>
                <w:sz w:val="22"/>
                <w:szCs w:val="22"/>
              </w:rPr>
              <w:t xml:space="preserve">treba prekinuti ako </w:t>
            </w:r>
            <w:r w:rsidR="00214D1D" w:rsidRPr="009C0BEE">
              <w:rPr>
                <w:sz w:val="22"/>
                <w:szCs w:val="22"/>
              </w:rPr>
              <w:t>uzimanje lijeka izazove povećanje</w:t>
            </w:r>
            <w:r w:rsidRPr="009C0BEE">
              <w:rPr>
                <w:sz w:val="22"/>
                <w:szCs w:val="22"/>
              </w:rPr>
              <w:t xml:space="preserve"> bilirubina  od &gt;3</w:t>
            </w:r>
            <w:r w:rsidR="002810F0" w:rsidRPr="009C0BEE">
              <w:rPr>
                <w:sz w:val="22"/>
                <w:szCs w:val="22"/>
              </w:rPr>
              <w:t>,</w:t>
            </w:r>
            <w:r w:rsidRPr="009C0BEE">
              <w:rPr>
                <w:sz w:val="22"/>
                <w:szCs w:val="22"/>
              </w:rPr>
              <w:t xml:space="preserve">0 x </w:t>
            </w:r>
            <w:r w:rsidR="00214D1D" w:rsidRPr="009C0BEE">
              <w:rPr>
                <w:sz w:val="22"/>
                <w:szCs w:val="22"/>
              </w:rPr>
              <w:t>iznad gornje granice normale (</w:t>
            </w:r>
            <w:r w:rsidRPr="009C0BEE">
              <w:rPr>
                <w:sz w:val="22"/>
                <w:szCs w:val="22"/>
              </w:rPr>
              <w:t>GGN</w:t>
            </w:r>
            <w:r w:rsidR="00214D1D" w:rsidRPr="009C0BEE">
              <w:rPr>
                <w:sz w:val="22"/>
                <w:szCs w:val="22"/>
              </w:rPr>
              <w:t>)</w:t>
            </w:r>
            <w:r w:rsidRPr="009C0BEE">
              <w:rPr>
                <w:sz w:val="22"/>
                <w:szCs w:val="22"/>
              </w:rPr>
              <w:t xml:space="preserve"> ili hepatičkih aminotransferaza (ALT, AST) od &gt; 2,5 x </w:t>
            </w:r>
            <w:r w:rsidR="00214D1D" w:rsidRPr="009C0BEE">
              <w:rPr>
                <w:sz w:val="22"/>
                <w:szCs w:val="22"/>
              </w:rPr>
              <w:t xml:space="preserve">iznad </w:t>
            </w:r>
            <w:r w:rsidRPr="009C0BEE">
              <w:rPr>
                <w:sz w:val="22"/>
                <w:szCs w:val="22"/>
              </w:rPr>
              <w:t xml:space="preserve">GGN. Monoterapija </w:t>
            </w:r>
            <w:r w:rsidR="00111C60" w:rsidRPr="009C0BEE">
              <w:rPr>
                <w:sz w:val="22"/>
                <w:szCs w:val="22"/>
              </w:rPr>
              <w:t>k</w:t>
            </w:r>
            <w:r w:rsidR="00F91C4D" w:rsidRPr="009C0BEE">
              <w:rPr>
                <w:sz w:val="22"/>
                <w:szCs w:val="22"/>
              </w:rPr>
              <w:t>apecitabin</w:t>
            </w:r>
            <w:r w:rsidR="00111C60" w:rsidRPr="009C0BEE">
              <w:rPr>
                <w:sz w:val="22"/>
                <w:szCs w:val="22"/>
              </w:rPr>
              <w:t>om</w:t>
            </w:r>
            <w:r w:rsidR="00CA3123" w:rsidRPr="009C0BEE">
              <w:rPr>
                <w:sz w:val="22"/>
                <w:szCs w:val="22"/>
              </w:rPr>
              <w:t xml:space="preserve"> </w:t>
            </w:r>
            <w:r w:rsidRPr="009C0BEE">
              <w:rPr>
                <w:sz w:val="22"/>
                <w:szCs w:val="22"/>
              </w:rPr>
              <w:t xml:space="preserve">može se </w:t>
            </w:r>
            <w:r w:rsidR="00111C60" w:rsidRPr="009C0BEE">
              <w:rPr>
                <w:sz w:val="22"/>
                <w:szCs w:val="22"/>
              </w:rPr>
              <w:t>nastavi</w:t>
            </w:r>
            <w:r w:rsidRPr="009C0BEE">
              <w:rPr>
                <w:sz w:val="22"/>
                <w:szCs w:val="22"/>
              </w:rPr>
              <w:t xml:space="preserve">ti kada bilirubin padne na ≤3 x </w:t>
            </w:r>
            <w:r w:rsidR="00111C60" w:rsidRPr="009C0BEE">
              <w:rPr>
                <w:sz w:val="22"/>
                <w:szCs w:val="22"/>
              </w:rPr>
              <w:t xml:space="preserve">iznad </w:t>
            </w:r>
            <w:r w:rsidRPr="009C0BEE">
              <w:rPr>
                <w:sz w:val="22"/>
                <w:szCs w:val="22"/>
              </w:rPr>
              <w:t>GGN</w:t>
            </w:r>
            <w:r w:rsidR="00111C60" w:rsidRPr="009C0BEE">
              <w:rPr>
                <w:sz w:val="22"/>
                <w:szCs w:val="22"/>
              </w:rPr>
              <w:t>, odnosno</w:t>
            </w:r>
            <w:r w:rsidRPr="009C0BEE">
              <w:rPr>
                <w:sz w:val="22"/>
                <w:szCs w:val="22"/>
              </w:rPr>
              <w:t xml:space="preserve"> hepatičke aminotransferaze padnu na ≤2,5 x </w:t>
            </w:r>
            <w:r w:rsidR="00111C60" w:rsidRPr="009C0BEE">
              <w:rPr>
                <w:sz w:val="22"/>
                <w:szCs w:val="22"/>
              </w:rPr>
              <w:t xml:space="preserve">iznad </w:t>
            </w:r>
            <w:r w:rsidRPr="009C0BEE">
              <w:rPr>
                <w:sz w:val="22"/>
                <w:szCs w:val="22"/>
              </w:rPr>
              <w:t xml:space="preserve">GGN. </w:t>
            </w:r>
          </w:p>
          <w:p w:rsidR="00C6356D" w:rsidRPr="009C0BEE" w:rsidRDefault="00C6356D" w:rsidP="00C6356D">
            <w:pPr>
              <w:rPr>
                <w:color w:val="FF0000"/>
                <w:sz w:val="22"/>
                <w:szCs w:val="22"/>
              </w:rPr>
            </w:pPr>
          </w:p>
          <w:p w:rsidR="00C6356D" w:rsidRPr="009C0BEE" w:rsidRDefault="00C6356D" w:rsidP="001108C2">
            <w:pPr>
              <w:jc w:val="both"/>
              <w:rPr>
                <w:sz w:val="22"/>
                <w:szCs w:val="22"/>
              </w:rPr>
            </w:pPr>
            <w:r w:rsidRPr="009C0BEE">
              <w:rPr>
                <w:i/>
                <w:sz w:val="22"/>
                <w:szCs w:val="22"/>
              </w:rPr>
              <w:t>Bubrežna insuficijencija</w:t>
            </w:r>
            <w:r w:rsidRPr="009C0BEE">
              <w:rPr>
                <w:sz w:val="22"/>
                <w:szCs w:val="22"/>
              </w:rPr>
              <w:t>. Incidencija neželjenih dejstava 3</w:t>
            </w:r>
            <w:r w:rsidR="001108C2" w:rsidRPr="009C0BEE">
              <w:rPr>
                <w:sz w:val="22"/>
                <w:szCs w:val="22"/>
              </w:rPr>
              <w:t>.</w:t>
            </w:r>
            <w:r w:rsidRPr="009C0BEE">
              <w:rPr>
                <w:sz w:val="22"/>
                <w:szCs w:val="22"/>
              </w:rPr>
              <w:t xml:space="preserve"> ili 4</w:t>
            </w:r>
            <w:r w:rsidR="001108C2" w:rsidRPr="009C0BEE">
              <w:rPr>
                <w:sz w:val="22"/>
                <w:szCs w:val="22"/>
              </w:rPr>
              <w:t>.</w:t>
            </w:r>
            <w:r w:rsidRPr="009C0BEE">
              <w:rPr>
                <w:sz w:val="22"/>
                <w:szCs w:val="22"/>
              </w:rPr>
              <w:t xml:space="preserve"> </w:t>
            </w:r>
            <w:r w:rsidR="001108C2" w:rsidRPr="009C0BEE">
              <w:rPr>
                <w:sz w:val="22"/>
                <w:szCs w:val="22"/>
              </w:rPr>
              <w:t xml:space="preserve">stepena </w:t>
            </w:r>
            <w:r w:rsidRPr="009C0BEE">
              <w:rPr>
                <w:sz w:val="22"/>
                <w:szCs w:val="22"/>
              </w:rPr>
              <w:t>kod pacijenata sa umjerenom bubrežnom insuficijencijom (kl</w:t>
            </w:r>
            <w:r w:rsidR="001108C2" w:rsidRPr="009C0BEE">
              <w:rPr>
                <w:sz w:val="22"/>
                <w:szCs w:val="22"/>
              </w:rPr>
              <w:t>irens kreatinina 30-50 ml/min) je povećan</w:t>
            </w:r>
            <w:r w:rsidRPr="009C0BEE">
              <w:rPr>
                <w:sz w:val="22"/>
                <w:szCs w:val="22"/>
              </w:rPr>
              <w:t xml:space="preserve">a u poređenju sa ukupnom populacijom (vidjeti </w:t>
            </w:r>
            <w:r w:rsidR="001108C2" w:rsidRPr="009C0BEE">
              <w:rPr>
                <w:sz w:val="22"/>
                <w:szCs w:val="22"/>
              </w:rPr>
              <w:t>o</w:t>
            </w:r>
            <w:r w:rsidRPr="009C0BEE">
              <w:rPr>
                <w:sz w:val="22"/>
                <w:szCs w:val="22"/>
              </w:rPr>
              <w:t xml:space="preserve">djeljke 4.2 i 4.3). </w:t>
            </w:r>
          </w:p>
          <w:p w:rsidR="00004ED6" w:rsidRPr="009C0BEE" w:rsidRDefault="00004ED6" w:rsidP="001108C2">
            <w:pPr>
              <w:jc w:val="both"/>
              <w:rPr>
                <w:sz w:val="22"/>
                <w:szCs w:val="22"/>
              </w:rPr>
            </w:pPr>
          </w:p>
          <w:p w:rsidR="00004ED6" w:rsidRPr="009C0BEE" w:rsidRDefault="00004ED6" w:rsidP="003012F3">
            <w:pPr>
              <w:autoSpaceDE w:val="0"/>
              <w:autoSpaceDN w:val="0"/>
              <w:adjustRightInd w:val="0"/>
              <w:jc w:val="both"/>
              <w:rPr>
                <w:rFonts w:ascii="TimesNewRoman" w:hAnsi="TimesNewRoman" w:cs="TimesNewRoman"/>
                <w:sz w:val="22"/>
                <w:szCs w:val="22"/>
              </w:rPr>
            </w:pPr>
            <w:r w:rsidRPr="009C0BEE">
              <w:rPr>
                <w:i/>
                <w:iCs/>
                <w:sz w:val="22"/>
                <w:szCs w:val="22"/>
              </w:rPr>
              <w:t xml:space="preserve">Deficit dihidropirimidin dehidrogenaze (DPD): </w:t>
            </w:r>
            <w:r w:rsidR="003012F3" w:rsidRPr="009C0BEE">
              <w:rPr>
                <w:i/>
                <w:iCs/>
                <w:sz w:val="22"/>
                <w:szCs w:val="22"/>
              </w:rPr>
              <w:t>R</w:t>
            </w:r>
            <w:r w:rsidRPr="009C0BEE">
              <w:rPr>
                <w:rFonts w:ascii="TimesNewRoman" w:hAnsi="TimesNewRoman" w:cs="TimesNewRoman"/>
                <w:sz w:val="22"/>
                <w:szCs w:val="22"/>
              </w:rPr>
              <w:t>ijetk</w:t>
            </w:r>
            <w:r w:rsidR="003012F3" w:rsidRPr="009C0BEE">
              <w:rPr>
                <w:rFonts w:ascii="TimesNewRoman" w:hAnsi="TimesNewRoman" w:cs="TimesNewRoman"/>
                <w:sz w:val="22"/>
                <w:szCs w:val="22"/>
              </w:rPr>
              <w:t>a, neočekivana,</w:t>
            </w:r>
            <w:r w:rsidRPr="009C0BEE">
              <w:rPr>
                <w:rFonts w:ascii="TimesNewRoman" w:hAnsi="TimesNewRoman" w:cs="TimesNewRoman"/>
                <w:sz w:val="22"/>
                <w:szCs w:val="22"/>
              </w:rPr>
              <w:t xml:space="preserve"> teška</w:t>
            </w:r>
            <w:r w:rsidR="003012F3" w:rsidRPr="009C0BEE">
              <w:rPr>
                <w:rFonts w:ascii="TimesNewRoman" w:hAnsi="TimesNewRoman" w:cs="TimesNewRoman"/>
                <w:sz w:val="22"/>
                <w:szCs w:val="22"/>
              </w:rPr>
              <w:t xml:space="preserve"> </w:t>
            </w:r>
            <w:r w:rsidRPr="009C0BEE">
              <w:rPr>
                <w:rFonts w:ascii="TimesNewRoman" w:hAnsi="TimesNewRoman" w:cs="TimesNewRoman"/>
                <w:sz w:val="22"/>
                <w:szCs w:val="22"/>
              </w:rPr>
              <w:t>toksič</w:t>
            </w:r>
            <w:r w:rsidR="003012F3" w:rsidRPr="009C0BEE">
              <w:rPr>
                <w:rFonts w:ascii="TimesNewRoman" w:hAnsi="TimesNewRoman" w:cs="TimesNewRoman"/>
                <w:sz w:val="22"/>
                <w:szCs w:val="22"/>
              </w:rPr>
              <w:t>nost (npr. stomatitis, dijareja</w:t>
            </w:r>
            <w:r w:rsidRPr="009C0BEE">
              <w:rPr>
                <w:rFonts w:ascii="TimesNewRoman" w:hAnsi="TimesNewRoman" w:cs="TimesNewRoman"/>
                <w:sz w:val="22"/>
                <w:szCs w:val="22"/>
              </w:rPr>
              <w:t>, upala sluznica, neutropenija i neurotoksičnost) povezana s</w:t>
            </w:r>
            <w:r w:rsidR="003012F3" w:rsidRPr="009C0BEE">
              <w:rPr>
                <w:rFonts w:ascii="TimesNewRoman" w:hAnsi="TimesNewRoman" w:cs="TimesNewRoman"/>
                <w:sz w:val="22"/>
                <w:szCs w:val="22"/>
              </w:rPr>
              <w:t xml:space="preserve">a </w:t>
            </w:r>
            <w:r w:rsidRPr="009C0BEE">
              <w:rPr>
                <w:rFonts w:ascii="TimesNewRoman" w:hAnsi="TimesNewRoman" w:cs="TimesNewRoman"/>
                <w:sz w:val="22"/>
                <w:szCs w:val="22"/>
              </w:rPr>
              <w:t xml:space="preserve">primjenom </w:t>
            </w:r>
            <w:r w:rsidR="003012F3" w:rsidRPr="009C0BEE">
              <w:rPr>
                <w:rFonts w:ascii="TimesNewRoman" w:hAnsi="TimesNewRoman" w:cs="TimesNewRoman"/>
                <w:sz w:val="22"/>
                <w:szCs w:val="22"/>
              </w:rPr>
              <w:t>5-</w:t>
            </w:r>
            <w:r w:rsidR="002810F0" w:rsidRPr="009C0BEE">
              <w:rPr>
                <w:rFonts w:ascii="TimesNewRoman" w:hAnsi="TimesNewRoman" w:cs="TimesNewRoman"/>
                <w:sz w:val="22"/>
                <w:szCs w:val="22"/>
              </w:rPr>
              <w:t xml:space="preserve">fluorouracila </w:t>
            </w:r>
            <w:r w:rsidR="003012F3" w:rsidRPr="009C0BEE">
              <w:rPr>
                <w:rFonts w:ascii="TimesNewRoman" w:hAnsi="TimesNewRoman" w:cs="TimesNewRoman"/>
                <w:sz w:val="22"/>
                <w:szCs w:val="22"/>
              </w:rPr>
              <w:t>(</w:t>
            </w:r>
            <w:r w:rsidRPr="009C0BEE">
              <w:rPr>
                <w:rFonts w:ascii="TimesNewRoman" w:hAnsi="TimesNewRoman" w:cs="TimesNewRoman"/>
                <w:sz w:val="22"/>
                <w:szCs w:val="22"/>
              </w:rPr>
              <w:t>5-FU</w:t>
            </w:r>
            <w:r w:rsidR="003012F3" w:rsidRPr="009C0BEE">
              <w:rPr>
                <w:rFonts w:ascii="TimesNewRoman" w:hAnsi="TimesNewRoman" w:cs="TimesNewRoman"/>
                <w:sz w:val="22"/>
                <w:szCs w:val="22"/>
              </w:rPr>
              <w:t>) doprinosi nedostatku</w:t>
            </w:r>
            <w:r w:rsidRPr="009C0BEE">
              <w:rPr>
                <w:rFonts w:ascii="TimesNewRoman" w:hAnsi="TimesNewRoman" w:cs="TimesNewRoman"/>
                <w:sz w:val="22"/>
                <w:szCs w:val="22"/>
              </w:rPr>
              <w:t xml:space="preserve"> aktivnosti </w:t>
            </w:r>
            <w:r w:rsidR="00475C2B" w:rsidRPr="009C0BEE">
              <w:rPr>
                <w:iCs/>
                <w:sz w:val="22"/>
                <w:szCs w:val="22"/>
              </w:rPr>
              <w:t>dihidropirimidin dehidrogenaze</w:t>
            </w:r>
            <w:r w:rsidRPr="009C0BEE">
              <w:rPr>
                <w:rFonts w:ascii="TimesNewRoman" w:hAnsi="TimesNewRoman" w:cs="TimesNewRoman"/>
                <w:sz w:val="22"/>
                <w:szCs w:val="22"/>
              </w:rPr>
              <w:t>.</w:t>
            </w:r>
            <w:r w:rsidR="009C1B1B" w:rsidRPr="009C0BEE">
              <w:rPr>
                <w:rFonts w:ascii="TimesNewRoman" w:hAnsi="TimesNewRoman" w:cs="TimesNewRoman"/>
                <w:sz w:val="22"/>
                <w:szCs w:val="22"/>
              </w:rPr>
              <w:t xml:space="preserve"> </w:t>
            </w:r>
          </w:p>
          <w:p w:rsidR="009C1B1B" w:rsidRPr="009C0BEE" w:rsidRDefault="009C1B1B" w:rsidP="003012F3">
            <w:pPr>
              <w:autoSpaceDE w:val="0"/>
              <w:autoSpaceDN w:val="0"/>
              <w:adjustRightInd w:val="0"/>
              <w:jc w:val="both"/>
              <w:rPr>
                <w:rFonts w:ascii="TimesNewRoman" w:hAnsi="TimesNewRoman" w:cs="TimesNewRoman"/>
                <w:sz w:val="22"/>
                <w:szCs w:val="22"/>
              </w:rPr>
            </w:pPr>
          </w:p>
          <w:p w:rsidR="00004ED6" w:rsidRPr="009C0BEE" w:rsidRDefault="00925401" w:rsidP="00925401">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 xml:space="preserve">Pacijenti </w:t>
            </w:r>
            <w:r w:rsidR="00004ED6" w:rsidRPr="009C0BEE">
              <w:rPr>
                <w:rFonts w:ascii="TimesNewRoman" w:hAnsi="TimesNewRoman" w:cs="TimesNewRoman"/>
                <w:sz w:val="22"/>
                <w:szCs w:val="22"/>
              </w:rPr>
              <w:t>s</w:t>
            </w:r>
            <w:r w:rsidRPr="009C0BEE">
              <w:rPr>
                <w:rFonts w:ascii="TimesNewRoman" w:hAnsi="TimesNewRoman" w:cs="TimesNewRoman"/>
                <w:sz w:val="22"/>
                <w:szCs w:val="22"/>
              </w:rPr>
              <w:t>a</w:t>
            </w:r>
            <w:r w:rsidR="00004ED6" w:rsidRPr="009C0BEE">
              <w:rPr>
                <w:rFonts w:ascii="TimesNewRoman" w:hAnsi="TimesNewRoman" w:cs="TimesNewRoman"/>
                <w:sz w:val="22"/>
                <w:szCs w:val="22"/>
              </w:rPr>
              <w:t xml:space="preserve"> niskom aktivnošću ili izostankom aktivnosti DPD-a, enzim</w:t>
            </w:r>
            <w:r w:rsidRPr="009C0BEE">
              <w:rPr>
                <w:rFonts w:ascii="TimesNewRoman" w:hAnsi="TimesNewRoman" w:cs="TimesNewRoman"/>
                <w:sz w:val="22"/>
                <w:szCs w:val="22"/>
              </w:rPr>
              <w:t>a koji učestvuje</w:t>
            </w:r>
            <w:r w:rsidR="00004ED6" w:rsidRPr="009C0BEE">
              <w:rPr>
                <w:rFonts w:ascii="TimesNewRoman" w:hAnsi="TimesNewRoman" w:cs="TimesNewRoman"/>
                <w:sz w:val="22"/>
                <w:szCs w:val="22"/>
              </w:rPr>
              <w:t xml:space="preserve"> u razgradnji</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fluorouracila, imaju povećan rizik od teških, po život</w:t>
            </w:r>
            <w:r w:rsidRPr="009C0BEE">
              <w:rPr>
                <w:rFonts w:ascii="TimesNewRoman" w:hAnsi="TimesNewRoman" w:cs="TimesNewRoman"/>
                <w:sz w:val="22"/>
                <w:szCs w:val="22"/>
              </w:rPr>
              <w:t xml:space="preserve"> opasnih ili smrtonosnih neželjenih dej</w:t>
            </w:r>
            <w:r w:rsidR="002810F0" w:rsidRPr="009C0BEE">
              <w:rPr>
                <w:rFonts w:ascii="TimesNewRoman" w:hAnsi="TimesNewRoman" w:cs="TimesNewRoman"/>
                <w:sz w:val="22"/>
                <w:szCs w:val="22"/>
              </w:rPr>
              <w:t>s</w:t>
            </w:r>
            <w:r w:rsidRPr="009C0BEE">
              <w:rPr>
                <w:rFonts w:ascii="TimesNewRoman" w:hAnsi="TimesNewRoman" w:cs="TimesNewRoman"/>
                <w:sz w:val="22"/>
                <w:szCs w:val="22"/>
              </w:rPr>
              <w:t>ta</w:t>
            </w:r>
            <w:r w:rsidR="00004ED6" w:rsidRPr="009C0BEE">
              <w:rPr>
                <w:rFonts w:ascii="TimesNewRoman" w:hAnsi="TimesNewRoman" w:cs="TimesNewRoman"/>
                <w:sz w:val="22"/>
                <w:szCs w:val="22"/>
              </w:rPr>
              <w:t>va koje uzrokuje</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fluorouracil. Iako def</w:t>
            </w:r>
            <w:r w:rsidRPr="009C0BEE">
              <w:rPr>
                <w:rFonts w:ascii="TimesNewRoman" w:hAnsi="TimesNewRoman" w:cs="TimesNewRoman"/>
                <w:sz w:val="22"/>
                <w:szCs w:val="22"/>
              </w:rPr>
              <w:t>icit DPD-a nije precizno definisan, poznato je da pacijent</w:t>
            </w:r>
            <w:r w:rsidR="00004ED6" w:rsidRPr="009C0BEE">
              <w:rPr>
                <w:rFonts w:ascii="TimesNewRoman" w:hAnsi="TimesNewRoman" w:cs="TimesNewRoman"/>
                <w:sz w:val="22"/>
                <w:szCs w:val="22"/>
              </w:rPr>
              <w:t>i s</w:t>
            </w:r>
            <w:r w:rsidRPr="009C0BEE">
              <w:rPr>
                <w:rFonts w:ascii="TimesNewRoman" w:hAnsi="TimesNewRoman" w:cs="TimesNewRoman"/>
                <w:sz w:val="22"/>
                <w:szCs w:val="22"/>
              </w:rPr>
              <w:t>a</w:t>
            </w:r>
            <w:r w:rsidR="00004ED6" w:rsidRPr="009C0BEE">
              <w:rPr>
                <w:rFonts w:ascii="TimesNewRoman" w:hAnsi="TimesNewRoman" w:cs="TimesNewRoman"/>
                <w:sz w:val="22"/>
                <w:szCs w:val="22"/>
              </w:rPr>
              <w:t xml:space="preserve"> određenim</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 xml:space="preserve">homozigotnim ili određenim višestrukim heterozigotnim mutacijama u lokusu gena </w:t>
            </w:r>
            <w:r w:rsidR="00004ED6" w:rsidRPr="009C0BEE">
              <w:rPr>
                <w:i/>
                <w:iCs/>
                <w:sz w:val="22"/>
                <w:szCs w:val="22"/>
              </w:rPr>
              <w:t xml:space="preserve">DPYD </w:t>
            </w:r>
            <w:r w:rsidR="00004ED6" w:rsidRPr="009C0BEE">
              <w:rPr>
                <w:rFonts w:ascii="TimesNewRoman" w:hAnsi="TimesNewRoman" w:cs="TimesNewRoman"/>
                <w:sz w:val="22"/>
                <w:szCs w:val="22"/>
              </w:rPr>
              <w:t>koje mogu</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uzrokovati potpun ili gotovo potpun izostanak enzimske aktivnosti DPD-a (određuje se</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 xml:space="preserve">laboratorijskim testovima), imaju najveći rizik od </w:t>
            </w:r>
            <w:r w:rsidRPr="009C0BEE">
              <w:rPr>
                <w:rFonts w:ascii="TimesNewRoman" w:hAnsi="TimesNewRoman" w:cs="TimesNewRoman"/>
                <w:sz w:val="22"/>
                <w:szCs w:val="22"/>
              </w:rPr>
              <w:t>životno-ugrožavajuće</w:t>
            </w:r>
            <w:r w:rsidR="00004ED6" w:rsidRPr="009C0BEE">
              <w:rPr>
                <w:rFonts w:ascii="TimesNewRoman" w:hAnsi="TimesNewRoman" w:cs="TimesNewRoman"/>
                <w:sz w:val="22"/>
                <w:szCs w:val="22"/>
              </w:rPr>
              <w:t xml:space="preserve"> toksič</w:t>
            </w:r>
            <w:r w:rsidRPr="009C0BEE">
              <w:rPr>
                <w:rFonts w:ascii="TimesNewRoman" w:hAnsi="TimesNewRoman" w:cs="TimesNewRoman"/>
                <w:sz w:val="22"/>
                <w:szCs w:val="22"/>
              </w:rPr>
              <w:t>nosti</w:t>
            </w:r>
            <w:r w:rsidR="002810F0" w:rsidRPr="009C0BEE">
              <w:rPr>
                <w:rFonts w:ascii="TimesNewRoman" w:hAnsi="TimesNewRoman" w:cs="TimesNewRoman"/>
                <w:sz w:val="22"/>
                <w:szCs w:val="22"/>
              </w:rPr>
              <w:t>,</w:t>
            </w:r>
            <w:r w:rsidRPr="009C0BEE">
              <w:rPr>
                <w:rFonts w:ascii="TimesNewRoman" w:hAnsi="TimesNewRoman" w:cs="TimesNewRoman"/>
                <w:sz w:val="22"/>
                <w:szCs w:val="22"/>
              </w:rPr>
              <w:t xml:space="preserve"> pa</w:t>
            </w:r>
            <w:r w:rsidR="00004ED6" w:rsidRPr="009C0BEE">
              <w:rPr>
                <w:rFonts w:ascii="TimesNewRoman" w:hAnsi="TimesNewRoman" w:cs="TimesNewRoman"/>
                <w:sz w:val="22"/>
                <w:szCs w:val="22"/>
              </w:rPr>
              <w:t xml:space="preserve"> se ne</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smiju liječ</w:t>
            </w:r>
            <w:r w:rsidRPr="009C0BEE">
              <w:rPr>
                <w:rFonts w:ascii="TimesNewRoman" w:hAnsi="TimesNewRoman" w:cs="TimesNewRoman"/>
                <w:sz w:val="22"/>
                <w:szCs w:val="22"/>
              </w:rPr>
              <w:t>iti k</w:t>
            </w:r>
            <w:r w:rsidR="00004ED6" w:rsidRPr="009C0BEE">
              <w:rPr>
                <w:rFonts w:ascii="TimesNewRoman" w:hAnsi="TimesNewRoman" w:cs="TimesNewRoman"/>
                <w:sz w:val="22"/>
                <w:szCs w:val="22"/>
              </w:rPr>
              <w:t>apecitabin</w:t>
            </w:r>
            <w:r w:rsidRPr="009C0BEE">
              <w:rPr>
                <w:rFonts w:ascii="TimesNewRoman" w:hAnsi="TimesNewRoman" w:cs="TimesNewRoman"/>
                <w:sz w:val="22"/>
                <w:szCs w:val="22"/>
              </w:rPr>
              <w:t xml:space="preserve">om (vidjeti </w:t>
            </w:r>
            <w:r w:rsidR="00004ED6" w:rsidRPr="009C0BEE">
              <w:rPr>
                <w:rFonts w:ascii="TimesNewRoman" w:hAnsi="TimesNewRoman" w:cs="TimesNewRoman"/>
                <w:sz w:val="22"/>
                <w:szCs w:val="22"/>
              </w:rPr>
              <w:t>o</w:t>
            </w:r>
            <w:r w:rsidRPr="009C0BEE">
              <w:rPr>
                <w:rFonts w:ascii="TimesNewRoman" w:hAnsi="TimesNewRoman" w:cs="TimesNewRoman"/>
                <w:sz w:val="22"/>
                <w:szCs w:val="22"/>
              </w:rPr>
              <w:t>djeljak 4.3). Nijedna</w:t>
            </w:r>
            <w:r w:rsidR="00004ED6" w:rsidRPr="009C0BEE">
              <w:rPr>
                <w:rFonts w:ascii="TimesNewRoman" w:hAnsi="TimesNewRoman" w:cs="TimesNewRoman"/>
                <w:sz w:val="22"/>
                <w:szCs w:val="22"/>
              </w:rPr>
              <w:t xml:space="preserve"> doza </w:t>
            </w:r>
            <w:r w:rsidRPr="009C0BEE">
              <w:rPr>
                <w:rFonts w:ascii="TimesNewRoman" w:hAnsi="TimesNewRoman" w:cs="TimesNewRoman"/>
                <w:sz w:val="22"/>
                <w:szCs w:val="22"/>
              </w:rPr>
              <w:t xml:space="preserve">se </w:t>
            </w:r>
            <w:r w:rsidR="00004ED6" w:rsidRPr="009C0BEE">
              <w:rPr>
                <w:rFonts w:ascii="TimesNewRoman" w:hAnsi="TimesNewRoman" w:cs="TimesNewRoman"/>
                <w:sz w:val="22"/>
                <w:szCs w:val="22"/>
              </w:rPr>
              <w:t xml:space="preserve">nije pokazala </w:t>
            </w:r>
            <w:r w:rsidRPr="009C0BEE">
              <w:rPr>
                <w:rFonts w:ascii="TimesNewRoman" w:hAnsi="TimesNewRoman" w:cs="TimesNewRoman"/>
                <w:sz w:val="22"/>
                <w:szCs w:val="22"/>
              </w:rPr>
              <w:t>bezbjedn</w:t>
            </w:r>
            <w:r w:rsidR="00004ED6" w:rsidRPr="009C0BEE">
              <w:rPr>
                <w:rFonts w:ascii="TimesNewRoman" w:hAnsi="TimesNewRoman" w:cs="TimesNewRoman"/>
                <w:sz w:val="22"/>
                <w:szCs w:val="22"/>
              </w:rPr>
              <w:t>om za</w:t>
            </w:r>
            <w:r w:rsidRPr="009C0BEE">
              <w:rPr>
                <w:rFonts w:ascii="TimesNewRoman" w:hAnsi="TimesNewRoman" w:cs="TimesNewRoman"/>
                <w:sz w:val="22"/>
                <w:szCs w:val="22"/>
              </w:rPr>
              <w:t xml:space="preserve"> pacijente</w:t>
            </w:r>
            <w:r w:rsidR="00004ED6" w:rsidRPr="009C0BEE">
              <w:rPr>
                <w:rFonts w:ascii="TimesNewRoman" w:hAnsi="TimesNewRoman" w:cs="TimesNewRoman"/>
                <w:sz w:val="22"/>
                <w:szCs w:val="22"/>
              </w:rPr>
              <w:t xml:space="preserve"> s</w:t>
            </w:r>
            <w:r w:rsidRPr="009C0BEE">
              <w:rPr>
                <w:rFonts w:ascii="TimesNewRoman" w:hAnsi="TimesNewRoman" w:cs="TimesNewRoman"/>
                <w:sz w:val="22"/>
                <w:szCs w:val="22"/>
              </w:rPr>
              <w:t>a</w:t>
            </w:r>
            <w:r w:rsidR="00004ED6" w:rsidRPr="009C0BEE">
              <w:rPr>
                <w:rFonts w:ascii="TimesNewRoman" w:hAnsi="TimesNewRoman" w:cs="TimesNewRoman"/>
                <w:sz w:val="22"/>
                <w:szCs w:val="22"/>
              </w:rPr>
              <w:t xml:space="preserve"> potpunim izostankom aktivnosti DPD-a.</w:t>
            </w:r>
          </w:p>
          <w:p w:rsidR="009C1B1B" w:rsidRPr="009C0BEE" w:rsidRDefault="009C1B1B" w:rsidP="00925401">
            <w:pPr>
              <w:autoSpaceDE w:val="0"/>
              <w:autoSpaceDN w:val="0"/>
              <w:adjustRightInd w:val="0"/>
              <w:jc w:val="both"/>
              <w:rPr>
                <w:rFonts w:ascii="TimesNewRoman" w:hAnsi="TimesNewRoman" w:cs="TimesNewRoman"/>
                <w:sz w:val="22"/>
                <w:szCs w:val="22"/>
              </w:rPr>
            </w:pPr>
          </w:p>
          <w:p w:rsidR="00004ED6" w:rsidRPr="009C0BEE" w:rsidRDefault="00925401" w:rsidP="009C1B1B">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Kod pacijenata</w:t>
            </w:r>
            <w:r w:rsidR="00004ED6" w:rsidRPr="009C0BEE">
              <w:rPr>
                <w:rFonts w:ascii="TimesNewRoman" w:hAnsi="TimesNewRoman" w:cs="TimesNewRoman"/>
                <w:sz w:val="22"/>
                <w:szCs w:val="22"/>
              </w:rPr>
              <w:t xml:space="preserve"> s</w:t>
            </w:r>
            <w:r w:rsidRPr="009C0BEE">
              <w:rPr>
                <w:rFonts w:ascii="TimesNewRoman" w:hAnsi="TimesNewRoman" w:cs="TimesNewRoman"/>
                <w:sz w:val="22"/>
                <w:szCs w:val="22"/>
              </w:rPr>
              <w:t>a</w:t>
            </w:r>
            <w:r w:rsidR="00004ED6" w:rsidRPr="009C0BEE">
              <w:rPr>
                <w:rFonts w:ascii="TimesNewRoman" w:hAnsi="TimesNewRoman" w:cs="TimesNewRoman"/>
                <w:sz w:val="22"/>
                <w:szCs w:val="22"/>
              </w:rPr>
              <w:t xml:space="preserve"> djel</w:t>
            </w:r>
            <w:r w:rsidR="00080AD5" w:rsidRPr="009C0BEE">
              <w:rPr>
                <w:rFonts w:ascii="TimesNewRoman" w:hAnsi="TimesNewRoman" w:cs="TimesNewRoman"/>
                <w:sz w:val="22"/>
                <w:szCs w:val="22"/>
              </w:rPr>
              <w:t>i</w:t>
            </w:r>
            <w:r w:rsidR="00004ED6" w:rsidRPr="009C0BEE">
              <w:rPr>
                <w:rFonts w:ascii="TimesNewRoman" w:hAnsi="TimesNewRoman" w:cs="TimesNewRoman"/>
                <w:sz w:val="22"/>
                <w:szCs w:val="22"/>
              </w:rPr>
              <w:t>mičnim deficitom DPD-a (poput onih s</w:t>
            </w:r>
            <w:r w:rsidRPr="009C0BEE">
              <w:rPr>
                <w:rFonts w:ascii="TimesNewRoman" w:hAnsi="TimesNewRoman" w:cs="TimesNewRoman"/>
                <w:sz w:val="22"/>
                <w:szCs w:val="22"/>
              </w:rPr>
              <w:t>a</w:t>
            </w:r>
            <w:r w:rsidR="00004ED6" w:rsidRPr="009C0BEE">
              <w:rPr>
                <w:rFonts w:ascii="TimesNewRoman" w:hAnsi="TimesNewRoman" w:cs="TimesNewRoman"/>
                <w:sz w:val="22"/>
                <w:szCs w:val="22"/>
              </w:rPr>
              <w:t xml:space="preserve"> heterozigotnim mutacijama u genu </w:t>
            </w:r>
            <w:r w:rsidR="00004ED6" w:rsidRPr="009C0BEE">
              <w:rPr>
                <w:i/>
                <w:iCs/>
                <w:sz w:val="22"/>
                <w:szCs w:val="22"/>
              </w:rPr>
              <w:t>DPYD</w:t>
            </w:r>
            <w:r w:rsidR="00004ED6" w:rsidRPr="009C0BEE">
              <w:rPr>
                <w:rFonts w:ascii="TimesNewRoman" w:hAnsi="TimesNewRoman" w:cs="TimesNewRoman"/>
                <w:sz w:val="22"/>
                <w:szCs w:val="22"/>
              </w:rPr>
              <w:t>)</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i za koje se smatra da koristi liječ</w:t>
            </w:r>
            <w:r w:rsidRPr="009C0BEE">
              <w:rPr>
                <w:rFonts w:ascii="TimesNewRoman" w:hAnsi="TimesNewRoman" w:cs="TimesNewRoman"/>
                <w:sz w:val="22"/>
                <w:szCs w:val="22"/>
              </w:rPr>
              <w:t>enja k</w:t>
            </w:r>
            <w:r w:rsidR="00004ED6" w:rsidRPr="009C0BEE">
              <w:rPr>
                <w:rFonts w:ascii="TimesNewRoman" w:hAnsi="TimesNewRoman" w:cs="TimesNewRoman"/>
                <w:sz w:val="22"/>
                <w:szCs w:val="22"/>
              </w:rPr>
              <w:t>apecitabin</w:t>
            </w:r>
            <w:r w:rsidRPr="009C0BEE">
              <w:rPr>
                <w:rFonts w:ascii="TimesNewRoman" w:hAnsi="TimesNewRoman" w:cs="TimesNewRoman"/>
                <w:sz w:val="22"/>
                <w:szCs w:val="22"/>
              </w:rPr>
              <w:t>om</w:t>
            </w:r>
            <w:r w:rsidR="00004ED6" w:rsidRPr="009C0BEE">
              <w:rPr>
                <w:rFonts w:ascii="TimesNewRoman" w:hAnsi="TimesNewRoman" w:cs="TimesNewRoman"/>
                <w:sz w:val="22"/>
                <w:szCs w:val="22"/>
              </w:rPr>
              <w:t xml:space="preserve"> nadmašuju rizike (uzimajući u obzir</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 xml:space="preserve">prikladnost nekog drugog </w:t>
            </w:r>
            <w:r w:rsidR="009C1B1B" w:rsidRPr="009C0BEE">
              <w:rPr>
                <w:rFonts w:ascii="TimesNewRoman" w:hAnsi="TimesNewRoman" w:cs="TimesNewRoman"/>
                <w:sz w:val="22"/>
                <w:szCs w:val="22"/>
              </w:rPr>
              <w:t>h</w:t>
            </w:r>
            <w:r w:rsidR="00004ED6" w:rsidRPr="009C0BEE">
              <w:rPr>
                <w:rFonts w:ascii="TimesNewRoman" w:hAnsi="TimesNewRoman" w:cs="TimesNewRoman"/>
                <w:sz w:val="22"/>
                <w:szCs w:val="22"/>
              </w:rPr>
              <w:t>emoterapijskog protokola koji ne uključuje fluoropirimidin), liječenje treba</w:t>
            </w:r>
            <w:r w:rsidR="009C1B1B" w:rsidRPr="009C0BEE">
              <w:rPr>
                <w:rFonts w:ascii="TimesNewRoman" w:hAnsi="TimesNewRoman" w:cs="TimesNewRoman"/>
                <w:sz w:val="22"/>
                <w:szCs w:val="22"/>
              </w:rPr>
              <w:t xml:space="preserve"> s</w:t>
            </w:r>
            <w:r w:rsidR="00004ED6" w:rsidRPr="009C0BEE">
              <w:rPr>
                <w:rFonts w:ascii="TimesNewRoman" w:hAnsi="TimesNewRoman" w:cs="TimesNewRoman"/>
                <w:sz w:val="22"/>
                <w:szCs w:val="22"/>
              </w:rPr>
              <w:t>provoditi uz iz</w:t>
            </w:r>
            <w:r w:rsidR="009C1B1B" w:rsidRPr="009C0BEE">
              <w:rPr>
                <w:rFonts w:ascii="TimesNewRoman" w:hAnsi="TimesNewRoman" w:cs="TimesNewRoman"/>
                <w:sz w:val="22"/>
                <w:szCs w:val="22"/>
              </w:rPr>
              <w:t>uzetan</w:t>
            </w:r>
            <w:r w:rsidR="00004ED6" w:rsidRPr="009C0BEE">
              <w:rPr>
                <w:rFonts w:ascii="TimesNewRoman" w:hAnsi="TimesNewRoman" w:cs="TimesNewRoman"/>
                <w:sz w:val="22"/>
                <w:szCs w:val="22"/>
              </w:rPr>
              <w:t xml:space="preserve"> oprez i sa čestim praćenjem</w:t>
            </w:r>
            <w:r w:rsidR="002810F0" w:rsidRPr="009C0BEE">
              <w:rPr>
                <w:rFonts w:ascii="TimesNewRoman" w:hAnsi="TimesNewRoman" w:cs="TimesNewRoman"/>
                <w:sz w:val="22"/>
                <w:szCs w:val="22"/>
              </w:rPr>
              <w:t>,</w:t>
            </w:r>
            <w:r w:rsidR="00004ED6" w:rsidRPr="009C0BEE">
              <w:rPr>
                <w:rFonts w:ascii="TimesNewRoman" w:hAnsi="TimesNewRoman" w:cs="TimesNewRoman"/>
                <w:sz w:val="22"/>
                <w:szCs w:val="22"/>
              </w:rPr>
              <w:t xml:space="preserve"> uz </w:t>
            </w:r>
            <w:r w:rsidR="009C1B1B" w:rsidRPr="009C0BEE">
              <w:rPr>
                <w:rFonts w:ascii="TimesNewRoman" w:hAnsi="TimesNewRoman" w:cs="TimesNewRoman"/>
                <w:sz w:val="22"/>
                <w:szCs w:val="22"/>
              </w:rPr>
              <w:t>prilagođavanje</w:t>
            </w:r>
            <w:r w:rsidR="00004ED6" w:rsidRPr="009C0BEE">
              <w:rPr>
                <w:rFonts w:ascii="TimesNewRoman" w:hAnsi="TimesNewRoman" w:cs="TimesNewRoman"/>
                <w:sz w:val="22"/>
                <w:szCs w:val="22"/>
              </w:rPr>
              <w:t xml:space="preserve"> doze </w:t>
            </w:r>
            <w:r w:rsidR="009C1B1B" w:rsidRPr="009C0BEE">
              <w:rPr>
                <w:rFonts w:ascii="TimesNewRoman" w:hAnsi="TimesNewRoman" w:cs="TimesNewRoman"/>
                <w:sz w:val="22"/>
                <w:szCs w:val="22"/>
              </w:rPr>
              <w:t>prema</w:t>
            </w:r>
            <w:r w:rsidR="00004ED6" w:rsidRPr="009C0BEE">
              <w:rPr>
                <w:rFonts w:ascii="TimesNewRoman" w:hAnsi="TimesNewRoman" w:cs="TimesNewRoman"/>
                <w:sz w:val="22"/>
                <w:szCs w:val="22"/>
              </w:rPr>
              <w:t xml:space="preserve"> toksičnosti. Podaci za</w:t>
            </w:r>
            <w:r w:rsidR="009C1B1B" w:rsidRPr="009C0BEE">
              <w:rPr>
                <w:rFonts w:ascii="TimesNewRoman" w:hAnsi="TimesNewRoman" w:cs="TimesNewRoman"/>
                <w:sz w:val="22"/>
                <w:szCs w:val="22"/>
              </w:rPr>
              <w:t xml:space="preserve"> </w:t>
            </w:r>
            <w:r w:rsidR="00004ED6" w:rsidRPr="009C0BEE">
              <w:rPr>
                <w:rFonts w:ascii="TimesNewRoman" w:hAnsi="TimesNewRoman" w:cs="TimesNewRoman"/>
                <w:sz w:val="22"/>
                <w:szCs w:val="22"/>
              </w:rPr>
              <w:t>preporučenu specifič</w:t>
            </w:r>
            <w:r w:rsidR="009C1B1B" w:rsidRPr="009C0BEE">
              <w:rPr>
                <w:rFonts w:ascii="TimesNewRoman" w:hAnsi="TimesNewRoman" w:cs="TimesNewRoman"/>
                <w:sz w:val="22"/>
                <w:szCs w:val="22"/>
              </w:rPr>
              <w:t>nu dozu kod pacijenat</w:t>
            </w:r>
            <w:r w:rsidR="00004ED6" w:rsidRPr="009C0BEE">
              <w:rPr>
                <w:rFonts w:ascii="TimesNewRoman" w:hAnsi="TimesNewRoman" w:cs="TimesNewRoman"/>
                <w:sz w:val="22"/>
                <w:szCs w:val="22"/>
              </w:rPr>
              <w:t>a s</w:t>
            </w:r>
            <w:r w:rsidR="009C1B1B" w:rsidRPr="009C0BEE">
              <w:rPr>
                <w:rFonts w:ascii="TimesNewRoman" w:hAnsi="TimesNewRoman" w:cs="TimesNewRoman"/>
                <w:sz w:val="22"/>
                <w:szCs w:val="22"/>
              </w:rPr>
              <w:t>a djeli</w:t>
            </w:r>
            <w:r w:rsidR="00004ED6" w:rsidRPr="009C0BEE">
              <w:rPr>
                <w:rFonts w:ascii="TimesNewRoman" w:hAnsi="TimesNewRoman" w:cs="TimesNewRoman"/>
                <w:sz w:val="22"/>
                <w:szCs w:val="22"/>
              </w:rPr>
              <w:t>mičnom aktivnošću DPD-a mjerenom specifičnim</w:t>
            </w:r>
            <w:r w:rsidR="009C1B1B" w:rsidRPr="009C0BEE">
              <w:rPr>
                <w:rFonts w:ascii="TimesNewRoman" w:hAnsi="TimesNewRoman" w:cs="TimesNewRoman"/>
                <w:sz w:val="22"/>
                <w:szCs w:val="22"/>
              </w:rPr>
              <w:t xml:space="preserve"> </w:t>
            </w:r>
            <w:r w:rsidR="00004ED6" w:rsidRPr="009C0BEE">
              <w:rPr>
                <w:rFonts w:ascii="TimesNewRoman" w:hAnsi="TimesNewRoman" w:cs="TimesNewRoman"/>
                <w:sz w:val="22"/>
                <w:szCs w:val="22"/>
              </w:rPr>
              <w:t>testovima su nepotpuni.</w:t>
            </w:r>
          </w:p>
          <w:p w:rsidR="009C1B1B" w:rsidRPr="009C0BEE" w:rsidRDefault="009C1B1B" w:rsidP="009C1B1B">
            <w:pPr>
              <w:autoSpaceDE w:val="0"/>
              <w:autoSpaceDN w:val="0"/>
              <w:adjustRightInd w:val="0"/>
              <w:jc w:val="both"/>
              <w:rPr>
                <w:rFonts w:ascii="TimesNewRoman" w:hAnsi="TimesNewRoman" w:cs="TimesNewRoman"/>
                <w:sz w:val="22"/>
                <w:szCs w:val="22"/>
              </w:rPr>
            </w:pPr>
          </w:p>
          <w:p w:rsidR="00004ED6" w:rsidRPr="009C0BEE" w:rsidRDefault="009C1B1B" w:rsidP="009C1B1B">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Kod pacijenata</w:t>
            </w:r>
            <w:r w:rsidR="00004ED6" w:rsidRPr="009C0BEE">
              <w:rPr>
                <w:rFonts w:ascii="TimesNewRoman" w:hAnsi="TimesNewRoman" w:cs="TimesNewRoman"/>
                <w:sz w:val="22"/>
                <w:szCs w:val="22"/>
              </w:rPr>
              <w:t xml:space="preserve"> </w:t>
            </w:r>
            <w:r w:rsidRPr="009C0BEE">
              <w:rPr>
                <w:rFonts w:ascii="TimesNewRoman" w:hAnsi="TimesNewRoman" w:cs="TimesNewRoman"/>
                <w:sz w:val="22"/>
                <w:szCs w:val="22"/>
              </w:rPr>
              <w:t>liječenih kapecitabinom kod kojih nije prepoznata deficijencija</w:t>
            </w:r>
            <w:r w:rsidR="00004ED6" w:rsidRPr="009C0BEE">
              <w:rPr>
                <w:rFonts w:ascii="TimesNewRoman" w:hAnsi="TimesNewRoman" w:cs="TimesNewRoman"/>
                <w:sz w:val="22"/>
                <w:szCs w:val="22"/>
              </w:rPr>
              <w:t xml:space="preserve"> DPD-a</w:t>
            </w:r>
            <w:r w:rsidR="002810F0" w:rsidRPr="009C0BEE">
              <w:rPr>
                <w:rFonts w:ascii="TimesNewRoman" w:hAnsi="TimesNewRoman" w:cs="TimesNewRoman"/>
                <w:sz w:val="22"/>
                <w:szCs w:val="22"/>
              </w:rPr>
              <w:t>,</w:t>
            </w:r>
            <w:r w:rsidR="00004ED6" w:rsidRPr="009C0BEE">
              <w:rPr>
                <w:rFonts w:ascii="TimesNewRoman" w:hAnsi="TimesNewRoman" w:cs="TimesNewRoman"/>
                <w:sz w:val="22"/>
                <w:szCs w:val="22"/>
              </w:rPr>
              <w:t xml:space="preserve"> može doći do </w:t>
            </w:r>
            <w:r w:rsidRPr="009C0BEE">
              <w:rPr>
                <w:rFonts w:ascii="TimesNewRoman" w:hAnsi="TimesNewRoman" w:cs="TimesNewRoman"/>
                <w:sz w:val="22"/>
                <w:szCs w:val="22"/>
              </w:rPr>
              <w:t xml:space="preserve">pojave </w:t>
            </w:r>
            <w:r w:rsidR="00004ED6" w:rsidRPr="009C0BEE">
              <w:rPr>
                <w:rFonts w:ascii="TimesNewRoman" w:hAnsi="TimesNewRoman" w:cs="TimesNewRoman"/>
                <w:sz w:val="22"/>
                <w:szCs w:val="22"/>
              </w:rPr>
              <w:t>ž</w:t>
            </w:r>
            <w:r w:rsidRPr="009C0BEE">
              <w:rPr>
                <w:rFonts w:ascii="TimesNewRoman" w:hAnsi="TimesNewRoman" w:cs="TimesNewRoman"/>
                <w:sz w:val="22"/>
                <w:szCs w:val="22"/>
              </w:rPr>
              <w:t xml:space="preserve">ivotno-ugrožavajuće </w:t>
            </w:r>
            <w:r w:rsidR="00004ED6" w:rsidRPr="009C0BEE">
              <w:rPr>
                <w:rFonts w:ascii="TimesNewRoman" w:hAnsi="TimesNewRoman" w:cs="TimesNewRoman"/>
                <w:sz w:val="22"/>
                <w:szCs w:val="22"/>
              </w:rPr>
              <w:t>toksič</w:t>
            </w:r>
            <w:r w:rsidRPr="009C0BEE">
              <w:rPr>
                <w:rFonts w:ascii="TimesNewRoman" w:hAnsi="TimesNewRoman" w:cs="TimesNewRoman"/>
                <w:sz w:val="22"/>
                <w:szCs w:val="22"/>
              </w:rPr>
              <w:t>nosti koja se manifestuje</w:t>
            </w:r>
            <w:r w:rsidR="00004ED6" w:rsidRPr="009C0BEE">
              <w:rPr>
                <w:rFonts w:ascii="TimesNewRoman" w:hAnsi="TimesNewRoman" w:cs="TimesNewRoman"/>
                <w:sz w:val="22"/>
                <w:szCs w:val="22"/>
              </w:rPr>
              <w:t xml:space="preserve"> kao</w:t>
            </w:r>
            <w:r w:rsidRPr="009C0BEE">
              <w:rPr>
                <w:rFonts w:ascii="TimesNewRoman" w:hAnsi="TimesNewRoman" w:cs="TimesNewRoman"/>
                <w:sz w:val="22"/>
                <w:szCs w:val="22"/>
              </w:rPr>
              <w:t xml:space="preserve"> akutno predoziranje (vidjeti </w:t>
            </w:r>
            <w:r w:rsidR="00004ED6" w:rsidRPr="009C0BEE">
              <w:rPr>
                <w:rFonts w:ascii="TimesNewRoman" w:hAnsi="TimesNewRoman" w:cs="TimesNewRoman"/>
                <w:sz w:val="22"/>
                <w:szCs w:val="22"/>
              </w:rPr>
              <w:t>o</w:t>
            </w:r>
            <w:r w:rsidRPr="009C0BEE">
              <w:rPr>
                <w:rFonts w:ascii="TimesNewRoman" w:hAnsi="TimesNewRoman" w:cs="TimesNewRoman"/>
                <w:sz w:val="22"/>
                <w:szCs w:val="22"/>
              </w:rPr>
              <w:t>djeljak</w:t>
            </w:r>
            <w:r w:rsidR="00004ED6" w:rsidRPr="009C0BEE">
              <w:rPr>
                <w:rFonts w:ascii="TimesNewRoman" w:hAnsi="TimesNewRoman" w:cs="TimesNewRoman"/>
                <w:sz w:val="22"/>
                <w:szCs w:val="22"/>
              </w:rPr>
              <w:t xml:space="preserve"> 4.9). U slučaju akutne toksičnosti</w:t>
            </w:r>
            <w:r w:rsidRPr="009C0BEE">
              <w:rPr>
                <w:rFonts w:ascii="TimesNewRoman" w:hAnsi="TimesNewRoman" w:cs="TimesNewRoman"/>
                <w:sz w:val="22"/>
                <w:szCs w:val="22"/>
              </w:rPr>
              <w:t xml:space="preserve"> </w:t>
            </w:r>
            <w:r w:rsidR="00004ED6" w:rsidRPr="009C0BEE">
              <w:rPr>
                <w:rFonts w:ascii="TimesNewRoman" w:hAnsi="TimesNewRoman" w:cs="TimesNewRoman"/>
                <w:sz w:val="22"/>
                <w:szCs w:val="22"/>
              </w:rPr>
              <w:t>2.-4. st</w:t>
            </w:r>
            <w:r w:rsidRPr="009C0BEE">
              <w:rPr>
                <w:rFonts w:ascii="TimesNewRoman" w:hAnsi="TimesNewRoman" w:cs="TimesNewRoman"/>
                <w:sz w:val="22"/>
                <w:szCs w:val="22"/>
              </w:rPr>
              <w:t>epena</w:t>
            </w:r>
            <w:r w:rsidR="002810F0" w:rsidRPr="009C0BEE">
              <w:rPr>
                <w:rFonts w:ascii="TimesNewRoman" w:hAnsi="TimesNewRoman" w:cs="TimesNewRoman"/>
                <w:sz w:val="22"/>
                <w:szCs w:val="22"/>
              </w:rPr>
              <w:t>,</w:t>
            </w:r>
            <w:r w:rsidR="00004ED6" w:rsidRPr="009C0BEE">
              <w:rPr>
                <w:rFonts w:ascii="TimesNewRoman" w:hAnsi="TimesNewRoman" w:cs="TimesNewRoman"/>
                <w:sz w:val="22"/>
                <w:szCs w:val="22"/>
              </w:rPr>
              <w:t xml:space="preserve"> liječenje se mora odmah pr</w:t>
            </w:r>
            <w:r w:rsidRPr="009C0BEE">
              <w:rPr>
                <w:rFonts w:ascii="TimesNewRoman" w:hAnsi="TimesNewRoman" w:cs="TimesNewRoman"/>
                <w:sz w:val="22"/>
                <w:szCs w:val="22"/>
              </w:rPr>
              <w:t>ekinuti. Treba razmotriti trajni prekid terapije</w:t>
            </w:r>
            <w:r w:rsidR="00004ED6" w:rsidRPr="009C0BEE">
              <w:rPr>
                <w:rFonts w:ascii="TimesNewRoman" w:hAnsi="TimesNewRoman" w:cs="TimesNewRoman"/>
                <w:sz w:val="22"/>
                <w:szCs w:val="22"/>
              </w:rPr>
              <w:t xml:space="preserve"> na </w:t>
            </w:r>
            <w:r w:rsidRPr="009C0BEE">
              <w:rPr>
                <w:rFonts w:ascii="TimesNewRoman" w:hAnsi="TimesNewRoman" w:cs="TimesNewRoman"/>
                <w:sz w:val="22"/>
                <w:szCs w:val="22"/>
              </w:rPr>
              <w:t xml:space="preserve">osnovu </w:t>
            </w:r>
            <w:r w:rsidR="00004ED6" w:rsidRPr="009C0BEE">
              <w:rPr>
                <w:rFonts w:ascii="TimesNewRoman" w:hAnsi="TimesNewRoman" w:cs="TimesNewRoman"/>
                <w:sz w:val="22"/>
                <w:szCs w:val="22"/>
              </w:rPr>
              <w:t>klinič</w:t>
            </w:r>
            <w:r w:rsidRPr="009C0BEE">
              <w:rPr>
                <w:rFonts w:ascii="TimesNewRoman" w:hAnsi="TimesNewRoman" w:cs="TimesNewRoman"/>
                <w:sz w:val="22"/>
                <w:szCs w:val="22"/>
              </w:rPr>
              <w:t xml:space="preserve">ke procjene </w:t>
            </w:r>
            <w:r w:rsidR="00004ED6" w:rsidRPr="009C0BEE">
              <w:rPr>
                <w:rFonts w:ascii="TimesNewRoman" w:hAnsi="TimesNewRoman" w:cs="TimesNewRoman"/>
                <w:sz w:val="22"/>
                <w:szCs w:val="22"/>
              </w:rPr>
              <w:t>p</w:t>
            </w:r>
            <w:r w:rsidRPr="009C0BEE">
              <w:rPr>
                <w:rFonts w:ascii="TimesNewRoman" w:hAnsi="TimesNewRoman" w:cs="TimesNewRoman"/>
                <w:sz w:val="22"/>
                <w:szCs w:val="22"/>
              </w:rPr>
              <w:t>ojav</w:t>
            </w:r>
            <w:r w:rsidR="00004ED6" w:rsidRPr="009C0BEE">
              <w:rPr>
                <w:rFonts w:ascii="TimesNewRoman" w:hAnsi="TimesNewRoman" w:cs="TimesNewRoman"/>
                <w:sz w:val="22"/>
                <w:szCs w:val="22"/>
              </w:rPr>
              <w:t xml:space="preserve">a, trajanja i težine </w:t>
            </w:r>
            <w:r w:rsidRPr="009C0BEE">
              <w:rPr>
                <w:rFonts w:ascii="TimesNewRoman" w:hAnsi="TimesNewRoman" w:cs="TimesNewRoman"/>
                <w:sz w:val="22"/>
                <w:szCs w:val="22"/>
              </w:rPr>
              <w:t>posmatranog slučaja</w:t>
            </w:r>
            <w:r w:rsidR="00004ED6" w:rsidRPr="009C0BEE">
              <w:rPr>
                <w:rFonts w:ascii="TimesNewRoman" w:hAnsi="TimesNewRoman" w:cs="TimesNewRoman"/>
                <w:sz w:val="22"/>
                <w:szCs w:val="22"/>
              </w:rPr>
              <w:t xml:space="preserve"> toksičnosti.</w:t>
            </w:r>
          </w:p>
          <w:p w:rsidR="009C1B1B" w:rsidRPr="009C0BEE" w:rsidRDefault="009C1B1B" w:rsidP="009C1B1B">
            <w:pPr>
              <w:autoSpaceDE w:val="0"/>
              <w:autoSpaceDN w:val="0"/>
              <w:adjustRightInd w:val="0"/>
              <w:jc w:val="both"/>
              <w:rPr>
                <w:rFonts w:ascii="TimesNewRoman" w:hAnsi="TimesNewRoman" w:cs="TimesNewRoman"/>
                <w:sz w:val="22"/>
                <w:szCs w:val="22"/>
              </w:rPr>
            </w:pPr>
          </w:p>
          <w:p w:rsidR="00004ED6" w:rsidRPr="009C0BEE" w:rsidRDefault="00004ED6" w:rsidP="005B46C7">
            <w:pPr>
              <w:autoSpaceDE w:val="0"/>
              <w:autoSpaceDN w:val="0"/>
              <w:adjustRightInd w:val="0"/>
              <w:jc w:val="both"/>
              <w:rPr>
                <w:rFonts w:ascii="TimesNewRoman" w:hAnsi="TimesNewRoman" w:cs="TimesNewRoman"/>
                <w:sz w:val="22"/>
                <w:szCs w:val="22"/>
              </w:rPr>
            </w:pPr>
            <w:r w:rsidRPr="009C0BEE">
              <w:rPr>
                <w:i/>
                <w:iCs/>
                <w:sz w:val="22"/>
                <w:szCs w:val="22"/>
              </w:rPr>
              <w:t xml:space="preserve">Oftalmološke komplikacije: </w:t>
            </w:r>
            <w:r w:rsidR="005B46C7" w:rsidRPr="009C0BEE">
              <w:rPr>
                <w:rFonts w:ascii="TimesNewRoman" w:hAnsi="TimesNewRoman" w:cs="TimesNewRoman"/>
                <w:sz w:val="22"/>
                <w:szCs w:val="22"/>
              </w:rPr>
              <w:t>P</w:t>
            </w:r>
            <w:r w:rsidR="002810F0" w:rsidRPr="009C0BEE">
              <w:rPr>
                <w:rFonts w:ascii="TimesNewRoman" w:hAnsi="TimesNewRoman" w:cs="TimesNewRoman"/>
                <w:sz w:val="22"/>
                <w:szCs w:val="22"/>
              </w:rPr>
              <w:t>a</w:t>
            </w:r>
            <w:r w:rsidR="005B46C7" w:rsidRPr="009C0BEE">
              <w:rPr>
                <w:rFonts w:ascii="TimesNewRoman" w:hAnsi="TimesNewRoman" w:cs="TimesNewRoman"/>
                <w:sz w:val="22"/>
                <w:szCs w:val="22"/>
              </w:rPr>
              <w:t>cijente treba pažljivo</w:t>
            </w:r>
            <w:r w:rsidRPr="009C0BEE">
              <w:rPr>
                <w:rFonts w:ascii="TimesNewRoman" w:hAnsi="TimesNewRoman" w:cs="TimesNewRoman"/>
                <w:sz w:val="22"/>
                <w:szCs w:val="22"/>
              </w:rPr>
              <w:t xml:space="preserve"> </w:t>
            </w:r>
            <w:r w:rsidR="005B46C7" w:rsidRPr="009C0BEE">
              <w:rPr>
                <w:rFonts w:ascii="TimesNewRoman" w:hAnsi="TimesNewRoman" w:cs="TimesNewRoman"/>
                <w:sz w:val="22"/>
                <w:szCs w:val="22"/>
              </w:rPr>
              <w:t>pratiti</w:t>
            </w:r>
            <w:r w:rsidRPr="009C0BEE">
              <w:rPr>
                <w:rFonts w:ascii="TimesNewRoman" w:hAnsi="TimesNewRoman" w:cs="TimesNewRoman"/>
                <w:sz w:val="22"/>
                <w:szCs w:val="22"/>
              </w:rPr>
              <w:t xml:space="preserve"> zbog moguće pojave oftalmoloških</w:t>
            </w:r>
            <w:r w:rsidR="005B46C7"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komplikacija, </w:t>
            </w:r>
            <w:r w:rsidR="005B46C7" w:rsidRPr="009C0BEE">
              <w:rPr>
                <w:rFonts w:ascii="TimesNewRoman" w:hAnsi="TimesNewRoman" w:cs="TimesNewRoman"/>
                <w:sz w:val="22"/>
                <w:szCs w:val="22"/>
              </w:rPr>
              <w:t>kao što su keratitis</w:t>
            </w:r>
            <w:r w:rsidRPr="009C0BEE">
              <w:rPr>
                <w:rFonts w:ascii="TimesNewRoman" w:hAnsi="TimesNewRoman" w:cs="TimesNewRoman"/>
                <w:sz w:val="22"/>
                <w:szCs w:val="22"/>
              </w:rPr>
              <w:t xml:space="preserve"> i </w:t>
            </w:r>
            <w:r w:rsidR="005B46C7" w:rsidRPr="009C0BEE">
              <w:rPr>
                <w:rFonts w:ascii="TimesNewRoman" w:hAnsi="TimesNewRoman" w:cs="TimesNewRoman"/>
                <w:sz w:val="22"/>
                <w:szCs w:val="22"/>
              </w:rPr>
              <w:t xml:space="preserve">kornealni </w:t>
            </w:r>
            <w:r w:rsidRPr="009C0BEE">
              <w:rPr>
                <w:rFonts w:ascii="TimesNewRoman" w:hAnsi="TimesNewRoman" w:cs="TimesNewRoman"/>
                <w:sz w:val="22"/>
                <w:szCs w:val="22"/>
              </w:rPr>
              <w:t>poremeć</w:t>
            </w:r>
            <w:r w:rsidR="005B46C7" w:rsidRPr="009C0BEE">
              <w:rPr>
                <w:rFonts w:ascii="TimesNewRoman" w:hAnsi="TimesNewRoman" w:cs="TimesNewRoman"/>
                <w:sz w:val="22"/>
                <w:szCs w:val="22"/>
              </w:rPr>
              <w:t>aji</w:t>
            </w:r>
            <w:r w:rsidRPr="009C0BEE">
              <w:rPr>
                <w:rFonts w:ascii="TimesNewRoman" w:hAnsi="TimesNewRoman" w:cs="TimesNewRoman"/>
                <w:sz w:val="22"/>
                <w:szCs w:val="22"/>
              </w:rPr>
              <w:t xml:space="preserve">, </w:t>
            </w:r>
            <w:r w:rsidR="005B46C7" w:rsidRPr="009C0BEE">
              <w:rPr>
                <w:rFonts w:ascii="TimesNewRoman" w:hAnsi="TimesNewRoman" w:cs="TimesNewRoman"/>
                <w:sz w:val="22"/>
                <w:szCs w:val="22"/>
              </w:rPr>
              <w:t>posobn</w:t>
            </w:r>
            <w:r w:rsidRPr="009C0BEE">
              <w:rPr>
                <w:rFonts w:ascii="TimesNewRoman" w:hAnsi="TimesNewRoman" w:cs="TimesNewRoman"/>
                <w:sz w:val="22"/>
                <w:szCs w:val="22"/>
              </w:rPr>
              <w:t>o ako imaju poremećaje oka u anamnezi.</w:t>
            </w:r>
            <w:r w:rsidR="005B46C7"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Liječenje poremećaja </w:t>
            </w:r>
            <w:r w:rsidR="005B46C7" w:rsidRPr="009C0BEE">
              <w:rPr>
                <w:rFonts w:ascii="TimesNewRoman" w:hAnsi="TimesNewRoman" w:cs="TimesNewRoman"/>
                <w:sz w:val="22"/>
                <w:szCs w:val="22"/>
              </w:rPr>
              <w:t xml:space="preserve">na nivou </w:t>
            </w:r>
            <w:r w:rsidRPr="009C0BEE">
              <w:rPr>
                <w:rFonts w:ascii="TimesNewRoman" w:hAnsi="TimesNewRoman" w:cs="TimesNewRoman"/>
                <w:sz w:val="22"/>
                <w:szCs w:val="22"/>
              </w:rPr>
              <w:t xml:space="preserve">oka treba započeti </w:t>
            </w:r>
            <w:r w:rsidR="005B46C7" w:rsidRPr="009C0BEE">
              <w:rPr>
                <w:rFonts w:ascii="TimesNewRoman" w:hAnsi="TimesNewRoman" w:cs="TimesNewRoman"/>
                <w:sz w:val="22"/>
                <w:szCs w:val="22"/>
              </w:rPr>
              <w:t xml:space="preserve">u skladu sa </w:t>
            </w:r>
            <w:r w:rsidRPr="009C0BEE">
              <w:rPr>
                <w:rFonts w:ascii="TimesNewRoman" w:hAnsi="TimesNewRoman" w:cs="TimesNewRoman"/>
                <w:sz w:val="22"/>
                <w:szCs w:val="22"/>
              </w:rPr>
              <w:t>kliničk</w:t>
            </w:r>
            <w:r w:rsidR="005B46C7" w:rsidRPr="009C0BEE">
              <w:rPr>
                <w:rFonts w:ascii="TimesNewRoman" w:hAnsi="TimesNewRoman" w:cs="TimesNewRoman"/>
                <w:sz w:val="22"/>
                <w:szCs w:val="22"/>
              </w:rPr>
              <w:t>im preporukama</w:t>
            </w:r>
            <w:r w:rsidRPr="009C0BEE">
              <w:rPr>
                <w:rFonts w:ascii="TimesNewRoman" w:hAnsi="TimesNewRoman" w:cs="TimesNewRoman"/>
                <w:sz w:val="22"/>
                <w:szCs w:val="22"/>
              </w:rPr>
              <w:t>.</w:t>
            </w:r>
          </w:p>
          <w:p w:rsidR="005B46C7" w:rsidRPr="009C0BEE" w:rsidRDefault="005B46C7" w:rsidP="005B46C7">
            <w:pPr>
              <w:autoSpaceDE w:val="0"/>
              <w:autoSpaceDN w:val="0"/>
              <w:adjustRightInd w:val="0"/>
              <w:jc w:val="both"/>
              <w:rPr>
                <w:rFonts w:ascii="TimesNewRoman" w:hAnsi="TimesNewRoman" w:cs="TimesNewRoman"/>
                <w:sz w:val="22"/>
                <w:szCs w:val="22"/>
              </w:rPr>
            </w:pPr>
          </w:p>
          <w:p w:rsidR="00004ED6" w:rsidRPr="009C0BEE" w:rsidRDefault="00004ED6" w:rsidP="00003729">
            <w:pPr>
              <w:autoSpaceDE w:val="0"/>
              <w:autoSpaceDN w:val="0"/>
              <w:adjustRightInd w:val="0"/>
              <w:jc w:val="both"/>
              <w:rPr>
                <w:sz w:val="22"/>
                <w:szCs w:val="22"/>
              </w:rPr>
            </w:pPr>
            <w:r w:rsidRPr="009C0BEE">
              <w:rPr>
                <w:i/>
                <w:iCs/>
                <w:sz w:val="22"/>
                <w:szCs w:val="22"/>
              </w:rPr>
              <w:lastRenderedPageBreak/>
              <w:t xml:space="preserve">Teške kožne reakcije: </w:t>
            </w:r>
            <w:r w:rsidR="00003729" w:rsidRPr="009C0BEE">
              <w:rPr>
                <w:rFonts w:ascii="TimesNewRoman" w:hAnsi="TimesNewRoman" w:cs="TimesNewRoman"/>
                <w:sz w:val="22"/>
                <w:szCs w:val="22"/>
              </w:rPr>
              <w:t>Kapecitabin</w:t>
            </w:r>
            <w:r w:rsidRPr="009C0BEE">
              <w:rPr>
                <w:rFonts w:ascii="TimesNewRoman" w:hAnsi="TimesNewRoman" w:cs="TimesNewRoman"/>
                <w:sz w:val="22"/>
                <w:szCs w:val="22"/>
              </w:rPr>
              <w:t xml:space="preserve"> može </w:t>
            </w:r>
            <w:r w:rsidR="00003729" w:rsidRPr="009C0BEE">
              <w:rPr>
                <w:rFonts w:ascii="TimesNewRoman" w:hAnsi="TimesNewRoman" w:cs="TimesNewRoman"/>
                <w:sz w:val="22"/>
                <w:szCs w:val="22"/>
              </w:rPr>
              <w:t xml:space="preserve">izazvati </w:t>
            </w:r>
            <w:r w:rsidRPr="009C0BEE">
              <w:rPr>
                <w:rFonts w:ascii="TimesNewRoman" w:hAnsi="TimesNewRoman" w:cs="TimesNewRoman"/>
                <w:sz w:val="22"/>
                <w:szCs w:val="22"/>
              </w:rPr>
              <w:t xml:space="preserve"> teš</w:t>
            </w:r>
            <w:r w:rsidR="00003729" w:rsidRPr="009C0BEE">
              <w:rPr>
                <w:rFonts w:ascii="TimesNewRoman" w:hAnsi="TimesNewRoman" w:cs="TimesNewRoman"/>
                <w:sz w:val="22"/>
                <w:szCs w:val="22"/>
              </w:rPr>
              <w:t>ke</w:t>
            </w:r>
            <w:r w:rsidRPr="009C0BEE">
              <w:rPr>
                <w:rFonts w:ascii="TimesNewRoman" w:hAnsi="TimesNewRoman" w:cs="TimesNewRoman"/>
                <w:sz w:val="22"/>
                <w:szCs w:val="22"/>
              </w:rPr>
              <w:t xml:space="preserve"> kož</w:t>
            </w:r>
            <w:r w:rsidR="00003729" w:rsidRPr="009C0BEE">
              <w:rPr>
                <w:rFonts w:ascii="TimesNewRoman" w:hAnsi="TimesNewRoman" w:cs="TimesNewRoman"/>
                <w:sz w:val="22"/>
                <w:szCs w:val="22"/>
              </w:rPr>
              <w:t>ne reakcije kao što su</w:t>
            </w:r>
            <w:r w:rsidRPr="009C0BEE">
              <w:rPr>
                <w:rFonts w:ascii="TimesNewRoman" w:hAnsi="TimesNewRoman" w:cs="TimesNewRoman"/>
                <w:sz w:val="22"/>
                <w:szCs w:val="22"/>
              </w:rPr>
              <w:t xml:space="preserve"> </w:t>
            </w:r>
            <w:r w:rsidRPr="009C0BEE">
              <w:rPr>
                <w:rFonts w:ascii="TimesNewRoman" w:hAnsi="TimesNewRoman" w:cs="TimesNewRoman"/>
                <w:i/>
                <w:sz w:val="22"/>
                <w:szCs w:val="22"/>
              </w:rPr>
              <w:t>Stevens-</w:t>
            </w:r>
            <w:r w:rsidR="00003729" w:rsidRPr="009C0BEE">
              <w:rPr>
                <w:rFonts w:ascii="TimesNewRoman" w:hAnsi="TimesNewRoman" w:cs="TimesNewRoman"/>
                <w:i/>
                <w:sz w:val="22"/>
                <w:szCs w:val="22"/>
              </w:rPr>
              <w:t xml:space="preserve"> Johnson</w:t>
            </w:r>
            <w:r w:rsidR="002810F0" w:rsidRPr="009C0BEE">
              <w:rPr>
                <w:rFonts w:ascii="TimesNewRoman" w:hAnsi="TimesNewRoman" w:cs="TimesNewRoman"/>
                <w:i/>
                <w:sz w:val="22"/>
                <w:szCs w:val="22"/>
              </w:rPr>
              <w:t>-</w:t>
            </w:r>
            <w:r w:rsidR="00003729" w:rsidRPr="009C0BEE">
              <w:rPr>
                <w:rFonts w:ascii="TimesNewRoman" w:hAnsi="TimesNewRoman" w:cs="TimesNewRoman"/>
                <w:i/>
                <w:sz w:val="22"/>
                <w:szCs w:val="22"/>
              </w:rPr>
              <w:t>ov</w:t>
            </w:r>
            <w:r w:rsidRPr="009C0BEE">
              <w:rPr>
                <w:rFonts w:ascii="TimesNewRoman" w:hAnsi="TimesNewRoman" w:cs="TimesNewRoman"/>
                <w:sz w:val="22"/>
                <w:szCs w:val="22"/>
              </w:rPr>
              <w:t xml:space="preserve"> sindrom i toksič</w:t>
            </w:r>
            <w:r w:rsidR="00003729" w:rsidRPr="009C0BEE">
              <w:rPr>
                <w:rFonts w:ascii="TimesNewRoman" w:hAnsi="TimesNewRoman" w:cs="TimesNewRoman"/>
                <w:sz w:val="22"/>
                <w:szCs w:val="22"/>
              </w:rPr>
              <w:t>nu</w:t>
            </w:r>
            <w:r w:rsidRPr="009C0BEE">
              <w:rPr>
                <w:rFonts w:ascii="TimesNewRoman" w:hAnsi="TimesNewRoman" w:cs="TimesNewRoman"/>
                <w:sz w:val="22"/>
                <w:szCs w:val="22"/>
              </w:rPr>
              <w:t xml:space="preserve"> epidermaln</w:t>
            </w:r>
            <w:r w:rsidR="00003729" w:rsidRPr="009C0BEE">
              <w:rPr>
                <w:rFonts w:ascii="TimesNewRoman" w:hAnsi="TimesNewRoman" w:cs="TimesNewRoman"/>
                <w:sz w:val="22"/>
                <w:szCs w:val="22"/>
              </w:rPr>
              <w:t>u nekrolizu</w:t>
            </w:r>
            <w:r w:rsidRPr="009C0BEE">
              <w:rPr>
                <w:rFonts w:ascii="TimesNewRoman" w:hAnsi="TimesNewRoman" w:cs="TimesNewRoman"/>
                <w:sz w:val="22"/>
                <w:szCs w:val="22"/>
              </w:rPr>
              <w:t xml:space="preserve">. </w:t>
            </w:r>
            <w:r w:rsidR="00003729" w:rsidRPr="009C0BEE">
              <w:rPr>
                <w:rFonts w:ascii="TimesNewRoman" w:hAnsi="TimesNewRoman" w:cs="TimesNewRoman"/>
                <w:sz w:val="22"/>
                <w:szCs w:val="22"/>
              </w:rPr>
              <w:t xml:space="preserve">Kapecitabin </w:t>
            </w:r>
            <w:r w:rsidRPr="009C0BEE">
              <w:rPr>
                <w:rFonts w:ascii="TimesNewRoman" w:hAnsi="TimesNewRoman" w:cs="TimesNewRoman"/>
                <w:sz w:val="22"/>
                <w:szCs w:val="22"/>
              </w:rPr>
              <w:t>treb</w:t>
            </w:r>
            <w:r w:rsidR="00003729" w:rsidRPr="009C0BEE">
              <w:rPr>
                <w:rFonts w:ascii="TimesNewRoman" w:hAnsi="TimesNewRoman" w:cs="TimesNewRoman"/>
                <w:sz w:val="22"/>
                <w:szCs w:val="22"/>
              </w:rPr>
              <w:t xml:space="preserve">a </w:t>
            </w:r>
            <w:r w:rsidRPr="009C0BEE">
              <w:rPr>
                <w:rFonts w:ascii="TimesNewRoman" w:hAnsi="TimesNewRoman" w:cs="TimesNewRoman"/>
                <w:sz w:val="22"/>
                <w:szCs w:val="22"/>
              </w:rPr>
              <w:t xml:space="preserve">trajno obustaviti </w:t>
            </w:r>
            <w:r w:rsidR="00003729" w:rsidRPr="009C0BEE">
              <w:rPr>
                <w:rFonts w:ascii="TimesNewRoman" w:hAnsi="TimesNewRoman" w:cs="TimesNewRoman"/>
                <w:sz w:val="22"/>
                <w:szCs w:val="22"/>
              </w:rPr>
              <w:t>kod pacijenata</w:t>
            </w:r>
            <w:r w:rsidRPr="009C0BEE">
              <w:rPr>
                <w:rFonts w:ascii="TimesNewRoman" w:hAnsi="TimesNewRoman" w:cs="TimesNewRoman"/>
                <w:sz w:val="22"/>
                <w:szCs w:val="22"/>
              </w:rPr>
              <w:t xml:space="preserve"> koji </w:t>
            </w:r>
            <w:r w:rsidR="00003729" w:rsidRPr="009C0BEE">
              <w:rPr>
                <w:rFonts w:ascii="TimesNewRoman" w:hAnsi="TimesNewRoman" w:cs="TimesNewRoman"/>
                <w:sz w:val="22"/>
                <w:szCs w:val="22"/>
              </w:rPr>
              <w:t>dožive</w:t>
            </w:r>
            <w:r w:rsidRPr="009C0BEE">
              <w:rPr>
                <w:rFonts w:ascii="TimesNewRoman" w:hAnsi="TimesNewRoman" w:cs="TimesNewRoman"/>
                <w:sz w:val="22"/>
                <w:szCs w:val="22"/>
              </w:rPr>
              <w:t xml:space="preserve"> tešku kož</w:t>
            </w:r>
            <w:r w:rsidR="00003729" w:rsidRPr="009C0BEE">
              <w:rPr>
                <w:rFonts w:ascii="TimesNewRoman" w:hAnsi="TimesNewRoman" w:cs="TimesNewRoman"/>
                <w:sz w:val="22"/>
                <w:szCs w:val="22"/>
              </w:rPr>
              <w:t>nu reakciju to</w:t>
            </w:r>
            <w:r w:rsidRPr="009C0BEE">
              <w:rPr>
                <w:rFonts w:ascii="TimesNewRoman" w:hAnsi="TimesNewRoman" w:cs="TimesNewRoman"/>
                <w:sz w:val="22"/>
                <w:szCs w:val="22"/>
              </w:rPr>
              <w:t>kom liječenja.</w:t>
            </w:r>
          </w:p>
          <w:p w:rsidR="00C6356D" w:rsidRPr="009C0BEE" w:rsidRDefault="00C6356D" w:rsidP="00C6356D">
            <w:pPr>
              <w:rPr>
                <w:color w:val="FF0000"/>
                <w:sz w:val="22"/>
                <w:szCs w:val="22"/>
              </w:rPr>
            </w:pPr>
          </w:p>
          <w:p w:rsidR="00C6356D" w:rsidRPr="009C0BEE" w:rsidRDefault="002810F0" w:rsidP="00004ED6">
            <w:pPr>
              <w:jc w:val="both"/>
              <w:rPr>
                <w:sz w:val="22"/>
                <w:szCs w:val="22"/>
              </w:rPr>
            </w:pPr>
            <w:r w:rsidRPr="009C0BEE">
              <w:rPr>
                <w:sz w:val="22"/>
                <w:szCs w:val="22"/>
              </w:rPr>
              <w:t xml:space="preserve">S obzirom </w:t>
            </w:r>
            <w:r w:rsidR="00C6356D" w:rsidRPr="009C0BEE">
              <w:rPr>
                <w:sz w:val="22"/>
                <w:szCs w:val="22"/>
              </w:rPr>
              <w:t xml:space="preserve">na to da ovaj lijek </w:t>
            </w:r>
            <w:r w:rsidR="00004ED6" w:rsidRPr="009C0BEE">
              <w:rPr>
                <w:sz w:val="22"/>
                <w:szCs w:val="22"/>
              </w:rPr>
              <w:t xml:space="preserve">kao pomoćnu supstancu </w:t>
            </w:r>
            <w:r w:rsidR="00C6356D" w:rsidRPr="009C0BEE">
              <w:rPr>
                <w:sz w:val="22"/>
                <w:szCs w:val="22"/>
              </w:rPr>
              <w:t>sadrži anhidrovanu laktozu, pacijenti</w:t>
            </w:r>
            <w:r w:rsidR="00004ED6" w:rsidRPr="009C0BEE">
              <w:rPr>
                <w:sz w:val="22"/>
                <w:szCs w:val="22"/>
              </w:rPr>
              <w:t xml:space="preserve"> sa rijetkim nasljednim poremećaje</w:t>
            </w:r>
            <w:r w:rsidR="00C6356D" w:rsidRPr="009C0BEE">
              <w:rPr>
                <w:sz w:val="22"/>
                <w:szCs w:val="22"/>
              </w:rPr>
              <w:t xml:space="preserve">m nepodnošenja galaktoze, deficijencije Lapp laktaze ili malapsorpcije glukoze-galaktoze ne smiju da uzimaju ovaj lijek. </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253823" w:rsidP="00C6356D">
            <w:pPr>
              <w:pStyle w:val="Header"/>
              <w:tabs>
                <w:tab w:val="left" w:pos="284"/>
              </w:tabs>
              <w:spacing w:before="80" w:after="80"/>
              <w:rPr>
                <w:b/>
                <w:bCs/>
                <w:sz w:val="22"/>
                <w:szCs w:val="22"/>
              </w:rPr>
            </w:pPr>
            <w:r w:rsidRPr="009C0BEE">
              <w:rPr>
                <w:b/>
                <w:bCs/>
                <w:sz w:val="22"/>
                <w:szCs w:val="22"/>
              </w:rPr>
              <w:lastRenderedPageBreak/>
              <w:t>4.5. Interakcije sa drugim l</w:t>
            </w:r>
            <w:r w:rsidR="00C6356D" w:rsidRPr="009C0BEE">
              <w:rPr>
                <w:b/>
                <w:bCs/>
                <w:sz w:val="22"/>
                <w:szCs w:val="22"/>
              </w:rPr>
              <w:t>jekovima i druge vrste interakcija</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sz w:val="22"/>
                <w:szCs w:val="22"/>
              </w:rPr>
            </w:pPr>
            <w:r w:rsidRPr="009C0BEE">
              <w:rPr>
                <w:sz w:val="22"/>
                <w:szCs w:val="22"/>
              </w:rPr>
              <w:t>Ispitivanja interakcija rađena su samo na odraslim</w:t>
            </w:r>
            <w:r w:rsidR="00EB3FB1" w:rsidRPr="009C0BEE">
              <w:rPr>
                <w:sz w:val="22"/>
                <w:szCs w:val="22"/>
              </w:rPr>
              <w:t xml:space="preserve"> pacijentima</w:t>
            </w:r>
            <w:r w:rsidRPr="009C0BEE">
              <w:rPr>
                <w:sz w:val="22"/>
                <w:szCs w:val="22"/>
              </w:rPr>
              <w:t>.</w:t>
            </w:r>
          </w:p>
          <w:p w:rsidR="00C6356D" w:rsidRPr="009C0BEE" w:rsidRDefault="00C6356D" w:rsidP="00C6356D">
            <w:pPr>
              <w:pStyle w:val="Header"/>
              <w:tabs>
                <w:tab w:val="left" w:pos="284"/>
              </w:tabs>
              <w:rPr>
                <w:sz w:val="22"/>
                <w:szCs w:val="22"/>
              </w:rPr>
            </w:pPr>
          </w:p>
          <w:p w:rsidR="00C6356D" w:rsidRPr="009C0BEE" w:rsidRDefault="008B6232" w:rsidP="00C6356D">
            <w:pPr>
              <w:pStyle w:val="Header"/>
              <w:tabs>
                <w:tab w:val="left" w:pos="284"/>
              </w:tabs>
              <w:rPr>
                <w:i/>
                <w:color w:val="FF0000"/>
                <w:sz w:val="22"/>
                <w:szCs w:val="22"/>
              </w:rPr>
            </w:pPr>
            <w:r w:rsidRPr="009C0BEE">
              <w:rPr>
                <w:sz w:val="22"/>
                <w:szCs w:val="22"/>
                <w:u w:val="single"/>
              </w:rPr>
              <w:t>Interakcije sa drugim l</w:t>
            </w:r>
            <w:r w:rsidR="00C6356D" w:rsidRPr="009C0BEE">
              <w:rPr>
                <w:sz w:val="22"/>
                <w:szCs w:val="22"/>
                <w:u w:val="single"/>
              </w:rPr>
              <w:t>jekovima</w:t>
            </w:r>
            <w:r w:rsidR="00C6356D" w:rsidRPr="009C0BEE">
              <w:rPr>
                <w:i/>
                <w:color w:val="FF0000"/>
                <w:sz w:val="22"/>
                <w:szCs w:val="22"/>
              </w:rPr>
              <w:t xml:space="preserve"> </w:t>
            </w:r>
          </w:p>
          <w:p w:rsidR="00C6356D" w:rsidRPr="009C0BEE" w:rsidRDefault="00C6356D" w:rsidP="00C6356D">
            <w:pPr>
              <w:pStyle w:val="Header"/>
              <w:tabs>
                <w:tab w:val="left" w:pos="284"/>
              </w:tabs>
              <w:rPr>
                <w:i/>
                <w:color w:val="FF0000"/>
                <w:sz w:val="22"/>
                <w:szCs w:val="22"/>
              </w:rPr>
            </w:pPr>
          </w:p>
          <w:p w:rsidR="00B52729" w:rsidRPr="009C0BEE" w:rsidRDefault="001E4DA1" w:rsidP="008C7B4A">
            <w:pPr>
              <w:autoSpaceDE w:val="0"/>
              <w:autoSpaceDN w:val="0"/>
              <w:adjustRightInd w:val="0"/>
              <w:jc w:val="both"/>
              <w:rPr>
                <w:rFonts w:ascii="TimesNewRoman" w:hAnsi="TimesNewRoman" w:cs="TimesNewRoman"/>
                <w:sz w:val="22"/>
                <w:szCs w:val="22"/>
              </w:rPr>
            </w:pPr>
            <w:r w:rsidRPr="009C0BEE">
              <w:rPr>
                <w:i/>
                <w:iCs/>
                <w:sz w:val="22"/>
                <w:szCs w:val="22"/>
              </w:rPr>
              <w:t>Supstrati izoenzima 2C9 cito</w:t>
            </w:r>
            <w:r w:rsidR="00613E87" w:rsidRPr="009C0BEE">
              <w:rPr>
                <w:i/>
                <w:iCs/>
                <w:sz w:val="22"/>
                <w:szCs w:val="22"/>
              </w:rPr>
              <w:t>h</w:t>
            </w:r>
            <w:r w:rsidRPr="009C0BEE">
              <w:rPr>
                <w:i/>
                <w:iCs/>
                <w:sz w:val="22"/>
                <w:szCs w:val="22"/>
              </w:rPr>
              <w:t xml:space="preserve">roma P450: </w:t>
            </w:r>
            <w:r w:rsidR="00613E87" w:rsidRPr="009C0BEE">
              <w:rPr>
                <w:rFonts w:ascii="TimesNewRoman" w:hAnsi="TimesNewRoman" w:cs="TimesNewRoman"/>
                <w:sz w:val="22"/>
                <w:szCs w:val="22"/>
              </w:rPr>
              <w:t>o</w:t>
            </w:r>
            <w:r w:rsidRPr="009C0BEE">
              <w:rPr>
                <w:rFonts w:ascii="TimesNewRoman" w:hAnsi="TimesNewRoman" w:cs="TimesNewRoman"/>
                <w:sz w:val="22"/>
                <w:szCs w:val="22"/>
              </w:rPr>
              <w:t>sim s</w:t>
            </w:r>
            <w:r w:rsidR="00613E87" w:rsidRPr="009C0BEE">
              <w:rPr>
                <w:rFonts w:ascii="TimesNewRoman" w:hAnsi="TimesNewRoman" w:cs="TimesNewRoman"/>
                <w:sz w:val="22"/>
                <w:szCs w:val="22"/>
              </w:rPr>
              <w:t>a varfarinom, nema sprovedenih</w:t>
            </w:r>
            <w:r w:rsidRPr="009C0BEE">
              <w:rPr>
                <w:rFonts w:ascii="TimesNewRoman" w:hAnsi="TimesNewRoman" w:cs="TimesNewRoman"/>
                <w:sz w:val="22"/>
                <w:szCs w:val="22"/>
              </w:rPr>
              <w:t xml:space="preserve"> ispitivanja</w:t>
            </w:r>
            <w:r w:rsidR="008C7B4A" w:rsidRPr="009C0BEE">
              <w:rPr>
                <w:rFonts w:ascii="TimesNewRoman" w:hAnsi="TimesNewRoman" w:cs="TimesNewRoman"/>
                <w:sz w:val="22"/>
                <w:szCs w:val="22"/>
              </w:rPr>
              <w:t xml:space="preserve"> </w:t>
            </w:r>
            <w:r w:rsidR="00613E87" w:rsidRPr="009C0BEE">
              <w:rPr>
                <w:rFonts w:ascii="TimesNewRoman" w:hAnsi="TimesNewRoman" w:cs="TimesNewRoman"/>
                <w:sz w:val="22"/>
                <w:szCs w:val="22"/>
              </w:rPr>
              <w:t>interakcije l</w:t>
            </w:r>
            <w:r w:rsidRPr="009C0BEE">
              <w:rPr>
                <w:rFonts w:ascii="TimesNewRoman" w:hAnsi="TimesNewRoman" w:cs="TimesNewRoman"/>
                <w:sz w:val="22"/>
                <w:szCs w:val="22"/>
              </w:rPr>
              <w:t xml:space="preserve">jekova između kapecitabina i drugih </w:t>
            </w:r>
            <w:r w:rsidR="00613E87" w:rsidRPr="009C0BEE">
              <w:rPr>
                <w:rFonts w:ascii="TimesNewRoman" w:hAnsi="TimesNewRoman" w:cs="TimesNewRoman"/>
                <w:sz w:val="22"/>
                <w:szCs w:val="22"/>
              </w:rPr>
              <w:t xml:space="preserve">CYP2C9 </w:t>
            </w:r>
            <w:r w:rsidRPr="009C0BEE">
              <w:rPr>
                <w:rFonts w:ascii="TimesNewRoman" w:hAnsi="TimesNewRoman" w:cs="TimesNewRoman"/>
                <w:sz w:val="22"/>
                <w:szCs w:val="22"/>
              </w:rPr>
              <w:t>supstrata</w:t>
            </w:r>
            <w:r w:rsidR="00613E87" w:rsidRPr="009C0BEE">
              <w:rPr>
                <w:rFonts w:ascii="TimesNewRoman" w:hAnsi="TimesNewRoman" w:cs="TimesNewRoman"/>
                <w:sz w:val="22"/>
                <w:szCs w:val="22"/>
              </w:rPr>
              <w:t>. Potreb</w:t>
            </w:r>
            <w:r w:rsidRPr="009C0BEE">
              <w:rPr>
                <w:rFonts w:ascii="TimesNewRoman" w:hAnsi="TimesNewRoman" w:cs="TimesNewRoman"/>
                <w:sz w:val="22"/>
                <w:szCs w:val="22"/>
              </w:rPr>
              <w:t>n</w:t>
            </w:r>
            <w:r w:rsidR="00613E87" w:rsidRPr="009C0BEE">
              <w:rPr>
                <w:rFonts w:ascii="TimesNewRoman" w:hAnsi="TimesNewRoman" w:cs="TimesNewRoman"/>
                <w:sz w:val="22"/>
                <w:szCs w:val="22"/>
              </w:rPr>
              <w:t>o je obratiti pažnju</w:t>
            </w:r>
            <w:r w:rsidRPr="009C0BEE">
              <w:rPr>
                <w:rFonts w:ascii="TimesNewRoman" w:hAnsi="TimesNewRoman" w:cs="TimesNewRoman"/>
                <w:sz w:val="22"/>
                <w:szCs w:val="22"/>
              </w:rPr>
              <w:t xml:space="preserve"> kada se</w:t>
            </w:r>
            <w:r w:rsidR="008C7B4A" w:rsidRPr="009C0BEE">
              <w:rPr>
                <w:rFonts w:ascii="TimesNewRoman" w:hAnsi="TimesNewRoman" w:cs="TimesNewRoman"/>
                <w:sz w:val="22"/>
                <w:szCs w:val="22"/>
              </w:rPr>
              <w:t xml:space="preserve"> </w:t>
            </w:r>
            <w:r w:rsidR="00613E87" w:rsidRPr="009C0BEE">
              <w:rPr>
                <w:rFonts w:ascii="TimesNewRoman" w:hAnsi="TimesNewRoman" w:cs="TimesNewRoman"/>
                <w:sz w:val="22"/>
                <w:szCs w:val="22"/>
              </w:rPr>
              <w:t>kapecitabin primjenjuje istovreme</w:t>
            </w:r>
            <w:r w:rsidRPr="009C0BEE">
              <w:rPr>
                <w:rFonts w:ascii="TimesNewRoman" w:hAnsi="TimesNewRoman" w:cs="TimesNewRoman"/>
                <w:sz w:val="22"/>
                <w:szCs w:val="22"/>
              </w:rPr>
              <w:t xml:space="preserve">no sa </w:t>
            </w:r>
            <w:r w:rsidR="00613E87" w:rsidRPr="009C0BEE">
              <w:rPr>
                <w:rFonts w:ascii="TimesNewRoman" w:hAnsi="TimesNewRoman" w:cs="TimesNewRoman"/>
                <w:sz w:val="22"/>
                <w:szCs w:val="22"/>
              </w:rPr>
              <w:t xml:space="preserve">2C9 </w:t>
            </w:r>
            <w:r w:rsidRPr="009C0BEE">
              <w:rPr>
                <w:rFonts w:ascii="TimesNewRoman" w:hAnsi="TimesNewRoman" w:cs="TimesNewRoman"/>
                <w:sz w:val="22"/>
                <w:szCs w:val="22"/>
              </w:rPr>
              <w:t xml:space="preserve">supstratima </w:t>
            </w:r>
            <w:r w:rsidR="00613E87" w:rsidRPr="009C0BEE">
              <w:rPr>
                <w:rFonts w:ascii="TimesNewRoman" w:hAnsi="TimesNewRoman" w:cs="TimesNewRoman"/>
                <w:sz w:val="22"/>
                <w:szCs w:val="22"/>
              </w:rPr>
              <w:t>(npr. fenitoinom). Vidjeti takođe</w:t>
            </w:r>
            <w:r w:rsidRPr="009C0BEE">
              <w:rPr>
                <w:rFonts w:ascii="TimesNewRoman" w:hAnsi="TimesNewRoman" w:cs="TimesNewRoman"/>
                <w:sz w:val="22"/>
                <w:szCs w:val="22"/>
              </w:rPr>
              <w:t xml:space="preserve"> interakcije s</w:t>
            </w:r>
            <w:r w:rsidR="00613E87" w:rsidRPr="009C0BEE">
              <w:rPr>
                <w:rFonts w:ascii="TimesNewRoman" w:hAnsi="TimesNewRoman" w:cs="TimesNewRoman"/>
                <w:sz w:val="22"/>
                <w:szCs w:val="22"/>
              </w:rPr>
              <w:t>a</w:t>
            </w:r>
            <w:r w:rsidR="008C7B4A" w:rsidRPr="009C0BEE">
              <w:rPr>
                <w:rFonts w:ascii="TimesNewRoman" w:hAnsi="TimesNewRoman" w:cs="TimesNewRoman"/>
                <w:sz w:val="22"/>
                <w:szCs w:val="22"/>
              </w:rPr>
              <w:t xml:space="preserve"> </w:t>
            </w:r>
            <w:r w:rsidR="007E6944" w:rsidRPr="009C0BEE">
              <w:rPr>
                <w:rFonts w:ascii="TimesNewRoman" w:hAnsi="TimesNewRoman" w:cs="TimesNewRoman"/>
                <w:sz w:val="22"/>
                <w:szCs w:val="22"/>
              </w:rPr>
              <w:t>antikoagulansima koji su derivati kumarina</w:t>
            </w:r>
            <w:r w:rsidRPr="009C0BEE">
              <w:rPr>
                <w:rFonts w:ascii="TimesNewRoman" w:hAnsi="TimesNewRoman" w:cs="TimesNewRoman"/>
                <w:sz w:val="22"/>
                <w:szCs w:val="22"/>
              </w:rPr>
              <w:t xml:space="preserve"> </w:t>
            </w:r>
            <w:r w:rsidR="00613E87" w:rsidRPr="009C0BEE">
              <w:rPr>
                <w:rFonts w:ascii="TimesNewRoman" w:hAnsi="TimesNewRoman" w:cs="TimesNewRoman"/>
                <w:sz w:val="22"/>
                <w:szCs w:val="22"/>
              </w:rPr>
              <w:t>niže navedene</w:t>
            </w:r>
            <w:r w:rsidR="00066BCF" w:rsidRPr="009C0BEE">
              <w:rPr>
                <w:rFonts w:ascii="TimesNewRoman" w:hAnsi="TimesNewRoman" w:cs="TimesNewRoman"/>
                <w:sz w:val="22"/>
                <w:szCs w:val="22"/>
              </w:rPr>
              <w:t>,</w:t>
            </w:r>
            <w:r w:rsidR="00613E87" w:rsidRPr="009C0BEE">
              <w:rPr>
                <w:rFonts w:ascii="TimesNewRoman" w:hAnsi="TimesNewRoman" w:cs="TimesNewRoman"/>
                <w:sz w:val="22"/>
                <w:szCs w:val="22"/>
              </w:rPr>
              <w:t xml:space="preserve"> </w:t>
            </w:r>
            <w:r w:rsidR="0068765E" w:rsidRPr="009C0BEE">
              <w:rPr>
                <w:rFonts w:ascii="TimesNewRoman" w:hAnsi="TimesNewRoman" w:cs="TimesNewRoman"/>
                <w:sz w:val="22"/>
                <w:szCs w:val="22"/>
              </w:rPr>
              <w:t>i</w:t>
            </w:r>
            <w:r w:rsidR="00613E87" w:rsidRPr="009C0BEE">
              <w:rPr>
                <w:rFonts w:ascii="TimesNewRoman" w:hAnsi="TimesNewRoman" w:cs="TimesNewRoman"/>
                <w:sz w:val="22"/>
                <w:szCs w:val="22"/>
              </w:rPr>
              <w:t xml:space="preserve"> odjeljak</w:t>
            </w:r>
            <w:r w:rsidRPr="009C0BEE">
              <w:rPr>
                <w:rFonts w:ascii="TimesNewRoman" w:hAnsi="TimesNewRoman" w:cs="TimesNewRoman"/>
                <w:sz w:val="22"/>
                <w:szCs w:val="22"/>
              </w:rPr>
              <w:t xml:space="preserve"> 4.4. </w:t>
            </w:r>
          </w:p>
          <w:p w:rsidR="0068765E" w:rsidRPr="009C0BEE" w:rsidRDefault="0068765E" w:rsidP="008C7B4A">
            <w:pPr>
              <w:autoSpaceDE w:val="0"/>
              <w:autoSpaceDN w:val="0"/>
              <w:adjustRightInd w:val="0"/>
              <w:jc w:val="both"/>
              <w:rPr>
                <w:rFonts w:ascii="TimesNewRoman" w:hAnsi="TimesNewRoman" w:cs="TimesNewRoman"/>
                <w:sz w:val="22"/>
                <w:szCs w:val="22"/>
              </w:rPr>
            </w:pPr>
          </w:p>
          <w:p w:rsidR="00C6356D" w:rsidRPr="009C0BEE" w:rsidRDefault="00C6356D" w:rsidP="00440B02">
            <w:pPr>
              <w:pStyle w:val="Header"/>
              <w:tabs>
                <w:tab w:val="left" w:pos="284"/>
              </w:tabs>
              <w:jc w:val="both"/>
              <w:rPr>
                <w:sz w:val="22"/>
                <w:szCs w:val="22"/>
              </w:rPr>
            </w:pPr>
            <w:r w:rsidRPr="009C0BEE">
              <w:rPr>
                <w:i/>
                <w:sz w:val="22"/>
                <w:szCs w:val="22"/>
              </w:rPr>
              <w:t>Antikoagulansi derivati kumarina</w:t>
            </w:r>
            <w:r w:rsidR="00440B02" w:rsidRPr="009C0BEE">
              <w:rPr>
                <w:sz w:val="22"/>
                <w:szCs w:val="22"/>
              </w:rPr>
              <w:t>: i</w:t>
            </w:r>
            <w:r w:rsidRPr="009C0BEE">
              <w:rPr>
                <w:sz w:val="22"/>
                <w:szCs w:val="22"/>
              </w:rPr>
              <w:t xml:space="preserve">zmijenjeni parametri koagulacije i/ili krvarenja zabilježeni su kod pacijenata koji uzimaju </w:t>
            </w:r>
            <w:r w:rsidR="00440B02" w:rsidRPr="009C0BEE">
              <w:rPr>
                <w:sz w:val="22"/>
                <w:szCs w:val="22"/>
              </w:rPr>
              <w:t>k</w:t>
            </w:r>
            <w:r w:rsidR="00F91C4D" w:rsidRPr="009C0BEE">
              <w:rPr>
                <w:sz w:val="22"/>
                <w:szCs w:val="22"/>
              </w:rPr>
              <w:t>apecitabin</w:t>
            </w:r>
            <w:r w:rsidR="00CA3123" w:rsidRPr="009C0BEE">
              <w:rPr>
                <w:sz w:val="22"/>
                <w:szCs w:val="22"/>
              </w:rPr>
              <w:t xml:space="preserve"> </w:t>
            </w:r>
            <w:r w:rsidR="00440B02" w:rsidRPr="009C0BEE">
              <w:rPr>
                <w:sz w:val="22"/>
                <w:szCs w:val="22"/>
              </w:rPr>
              <w:t>istovreme</w:t>
            </w:r>
            <w:r w:rsidRPr="009C0BEE">
              <w:rPr>
                <w:sz w:val="22"/>
                <w:szCs w:val="22"/>
              </w:rPr>
              <w:t>no sa antikoagulansima koji su derivati kumarina</w:t>
            </w:r>
            <w:r w:rsidR="00440B02" w:rsidRPr="009C0BEE">
              <w:rPr>
                <w:sz w:val="22"/>
                <w:szCs w:val="22"/>
              </w:rPr>
              <w:t>,</w:t>
            </w:r>
            <w:r w:rsidRPr="009C0BEE">
              <w:rPr>
                <w:sz w:val="22"/>
                <w:szCs w:val="22"/>
              </w:rPr>
              <w:t xml:space="preserve"> kao što su varfarin i fenprokumon. Ove reakcije su se javljale nekoliko </w:t>
            </w:r>
            <w:r w:rsidR="00066BCF" w:rsidRPr="009C0BEE">
              <w:rPr>
                <w:sz w:val="22"/>
                <w:szCs w:val="22"/>
              </w:rPr>
              <w:t xml:space="preserve">dana </w:t>
            </w:r>
            <w:r w:rsidRPr="009C0BEE">
              <w:rPr>
                <w:sz w:val="22"/>
                <w:szCs w:val="22"/>
              </w:rPr>
              <w:t xml:space="preserve">do nekoliko mjeseci po započinjanju terapije </w:t>
            </w:r>
            <w:r w:rsidR="00440B02" w:rsidRPr="009C0BEE">
              <w:rPr>
                <w:sz w:val="22"/>
                <w:szCs w:val="22"/>
              </w:rPr>
              <w:t>k</w:t>
            </w:r>
            <w:r w:rsidR="00F91C4D" w:rsidRPr="009C0BEE">
              <w:rPr>
                <w:sz w:val="22"/>
                <w:szCs w:val="22"/>
              </w:rPr>
              <w:t>apecitabin</w:t>
            </w:r>
            <w:r w:rsidR="00440B02" w:rsidRPr="009C0BEE">
              <w:rPr>
                <w:sz w:val="22"/>
                <w:szCs w:val="22"/>
              </w:rPr>
              <w:t>om</w:t>
            </w:r>
            <w:r w:rsidR="00CA3123" w:rsidRPr="009C0BEE">
              <w:rPr>
                <w:sz w:val="22"/>
                <w:szCs w:val="22"/>
              </w:rPr>
              <w:t xml:space="preserve"> </w:t>
            </w:r>
            <w:r w:rsidRPr="009C0BEE">
              <w:rPr>
                <w:sz w:val="22"/>
                <w:szCs w:val="22"/>
              </w:rPr>
              <w:t xml:space="preserve">i, u nekoliko slučajeva, u roku od mjesec dana </w:t>
            </w:r>
            <w:r w:rsidR="00440B02" w:rsidRPr="009C0BEE">
              <w:rPr>
                <w:sz w:val="22"/>
                <w:szCs w:val="22"/>
              </w:rPr>
              <w:t>nakon prestanka primjene k</w:t>
            </w:r>
            <w:r w:rsidR="00F91C4D" w:rsidRPr="009C0BEE">
              <w:rPr>
                <w:sz w:val="22"/>
                <w:szCs w:val="22"/>
              </w:rPr>
              <w:t>apecitabin</w:t>
            </w:r>
            <w:r w:rsidR="00CA3123" w:rsidRPr="009C0BEE">
              <w:rPr>
                <w:sz w:val="22"/>
                <w:szCs w:val="22"/>
              </w:rPr>
              <w:t>a</w:t>
            </w:r>
            <w:r w:rsidRPr="009C0BEE">
              <w:rPr>
                <w:sz w:val="22"/>
                <w:szCs w:val="22"/>
              </w:rPr>
              <w:t xml:space="preserve">. U </w:t>
            </w:r>
            <w:r w:rsidR="00440B02" w:rsidRPr="009C0BEE">
              <w:rPr>
                <w:sz w:val="22"/>
                <w:szCs w:val="22"/>
              </w:rPr>
              <w:t>jednom kliničkom ispitivanju</w:t>
            </w:r>
            <w:r w:rsidRPr="009C0BEE">
              <w:rPr>
                <w:sz w:val="22"/>
                <w:szCs w:val="22"/>
              </w:rPr>
              <w:t xml:space="preserve"> farmakokinetike interakcija, </w:t>
            </w:r>
            <w:r w:rsidR="00440B02" w:rsidRPr="009C0BEE">
              <w:rPr>
                <w:sz w:val="22"/>
                <w:szCs w:val="22"/>
              </w:rPr>
              <w:t>nakon jednokratne doze varfarina od 20 mg</w:t>
            </w:r>
            <w:r w:rsidRPr="009C0BEE">
              <w:rPr>
                <w:sz w:val="22"/>
                <w:szCs w:val="22"/>
              </w:rPr>
              <w:t xml:space="preserve">, terapija </w:t>
            </w:r>
            <w:r w:rsidR="00440B02" w:rsidRPr="009C0BEE">
              <w:rPr>
                <w:sz w:val="22"/>
                <w:szCs w:val="22"/>
              </w:rPr>
              <w:t>k</w:t>
            </w:r>
            <w:r w:rsidR="00F91C4D" w:rsidRPr="009C0BEE">
              <w:rPr>
                <w:sz w:val="22"/>
                <w:szCs w:val="22"/>
              </w:rPr>
              <w:t>apecitabin</w:t>
            </w:r>
            <w:r w:rsidR="00440B02" w:rsidRPr="009C0BEE">
              <w:rPr>
                <w:sz w:val="22"/>
                <w:szCs w:val="22"/>
              </w:rPr>
              <w:t>om</w:t>
            </w:r>
            <w:r w:rsidR="00CA3123" w:rsidRPr="009C0BEE">
              <w:rPr>
                <w:sz w:val="22"/>
                <w:szCs w:val="22"/>
              </w:rPr>
              <w:t xml:space="preserve"> </w:t>
            </w:r>
            <w:r w:rsidRPr="009C0BEE">
              <w:rPr>
                <w:sz w:val="22"/>
                <w:szCs w:val="22"/>
              </w:rPr>
              <w:t>povećava PIK S-varfarina za 57%, a vr</w:t>
            </w:r>
            <w:r w:rsidR="00440B02" w:rsidRPr="009C0BEE">
              <w:rPr>
                <w:sz w:val="22"/>
                <w:szCs w:val="22"/>
              </w:rPr>
              <w:t>ij</w:t>
            </w:r>
            <w:r w:rsidRPr="009C0BEE">
              <w:rPr>
                <w:sz w:val="22"/>
                <w:szCs w:val="22"/>
              </w:rPr>
              <w:t xml:space="preserve">ednost INR </w:t>
            </w:r>
            <w:r w:rsidR="00440B02" w:rsidRPr="009C0BEE">
              <w:rPr>
                <w:sz w:val="22"/>
                <w:szCs w:val="22"/>
              </w:rPr>
              <w:t>za</w:t>
            </w:r>
            <w:r w:rsidRPr="009C0BEE">
              <w:rPr>
                <w:sz w:val="22"/>
                <w:szCs w:val="22"/>
              </w:rPr>
              <w:t xml:space="preserve"> 91%. Budući da metabolizam R-varfarina nije promijenjen, ovi rezultati govore da kapecitabin suprimira izoenzim 2C9, ali nema dejstva na izoenzime 1A2 i 3A4. Pacijente koji uzimaju antikoagulanse koji su derivati kumarina paralelno sa </w:t>
            </w:r>
            <w:r w:rsidR="00440B02" w:rsidRPr="009C0BEE">
              <w:rPr>
                <w:sz w:val="22"/>
                <w:szCs w:val="22"/>
              </w:rPr>
              <w:t>k</w:t>
            </w:r>
            <w:r w:rsidR="00F91C4D" w:rsidRPr="009C0BEE">
              <w:rPr>
                <w:sz w:val="22"/>
                <w:szCs w:val="22"/>
              </w:rPr>
              <w:t>apecitabin</w:t>
            </w:r>
            <w:r w:rsidR="00440B02" w:rsidRPr="009C0BEE">
              <w:rPr>
                <w:sz w:val="22"/>
                <w:szCs w:val="22"/>
              </w:rPr>
              <w:t>om</w:t>
            </w:r>
            <w:r w:rsidRPr="009C0BEE">
              <w:rPr>
                <w:sz w:val="22"/>
                <w:szCs w:val="22"/>
              </w:rPr>
              <w:t xml:space="preserve">, treba </w:t>
            </w:r>
            <w:r w:rsidR="00440B02" w:rsidRPr="009C0BEE">
              <w:rPr>
                <w:sz w:val="22"/>
                <w:szCs w:val="22"/>
              </w:rPr>
              <w:t xml:space="preserve">redovno </w:t>
            </w:r>
            <w:r w:rsidRPr="009C0BEE">
              <w:rPr>
                <w:sz w:val="22"/>
                <w:szCs w:val="22"/>
              </w:rPr>
              <w:t xml:space="preserve">pratiti </w:t>
            </w:r>
            <w:r w:rsidR="00066BCF" w:rsidRPr="009C0BEE">
              <w:rPr>
                <w:sz w:val="22"/>
                <w:szCs w:val="22"/>
              </w:rPr>
              <w:t xml:space="preserve">radi </w:t>
            </w:r>
            <w:r w:rsidR="00440B02" w:rsidRPr="009C0BEE">
              <w:rPr>
                <w:sz w:val="22"/>
                <w:szCs w:val="22"/>
              </w:rPr>
              <w:t>pro</w:t>
            </w:r>
            <w:r w:rsidRPr="009C0BEE">
              <w:rPr>
                <w:sz w:val="22"/>
                <w:szCs w:val="22"/>
              </w:rPr>
              <w:t xml:space="preserve">mjene u njihovim parametrima koagulacije (PT </w:t>
            </w:r>
            <w:r w:rsidR="00440B02" w:rsidRPr="009C0BEE">
              <w:rPr>
                <w:sz w:val="22"/>
                <w:szCs w:val="22"/>
              </w:rPr>
              <w:t>ili INR) i u skladu sa tim prilagodit</w:t>
            </w:r>
            <w:r w:rsidRPr="009C0BEE">
              <w:rPr>
                <w:sz w:val="22"/>
                <w:szCs w:val="22"/>
              </w:rPr>
              <w:t>i doz</w:t>
            </w:r>
            <w:r w:rsidR="00440B02" w:rsidRPr="009C0BEE">
              <w:rPr>
                <w:sz w:val="22"/>
                <w:szCs w:val="22"/>
              </w:rPr>
              <w:t>u</w:t>
            </w:r>
            <w:r w:rsidRPr="009C0BEE">
              <w:rPr>
                <w:sz w:val="22"/>
                <w:szCs w:val="22"/>
              </w:rPr>
              <w:t xml:space="preserve"> antikoagulansa. </w:t>
            </w:r>
          </w:p>
          <w:p w:rsidR="00C6356D" w:rsidRPr="009C0BEE" w:rsidRDefault="00C6356D" w:rsidP="00C6356D">
            <w:pPr>
              <w:pStyle w:val="Header"/>
              <w:tabs>
                <w:tab w:val="left" w:pos="284"/>
              </w:tabs>
              <w:rPr>
                <w:color w:val="FF0000"/>
                <w:sz w:val="22"/>
                <w:szCs w:val="22"/>
              </w:rPr>
            </w:pPr>
          </w:p>
          <w:p w:rsidR="00C6356D" w:rsidRPr="009C0BEE" w:rsidRDefault="00C6356D" w:rsidP="00542F78">
            <w:pPr>
              <w:pStyle w:val="Header"/>
              <w:tabs>
                <w:tab w:val="left" w:pos="284"/>
              </w:tabs>
              <w:jc w:val="both"/>
              <w:rPr>
                <w:sz w:val="22"/>
                <w:szCs w:val="22"/>
              </w:rPr>
            </w:pPr>
            <w:r w:rsidRPr="009C0BEE">
              <w:rPr>
                <w:i/>
                <w:sz w:val="22"/>
                <w:szCs w:val="22"/>
              </w:rPr>
              <w:t>Fenitoin</w:t>
            </w:r>
            <w:r w:rsidR="00542F78" w:rsidRPr="009C0BEE">
              <w:rPr>
                <w:sz w:val="22"/>
                <w:szCs w:val="22"/>
              </w:rPr>
              <w:t>: povećana</w:t>
            </w:r>
            <w:r w:rsidRPr="009C0BEE">
              <w:rPr>
                <w:sz w:val="22"/>
                <w:szCs w:val="22"/>
              </w:rPr>
              <w:t xml:space="preserve"> koncentr</w:t>
            </w:r>
            <w:r w:rsidR="00542F78" w:rsidRPr="009C0BEE">
              <w:rPr>
                <w:sz w:val="22"/>
                <w:szCs w:val="22"/>
              </w:rPr>
              <w:t>acija fenitoina u plazmi koja je</w:t>
            </w:r>
            <w:r w:rsidRPr="009C0BEE">
              <w:rPr>
                <w:sz w:val="22"/>
                <w:szCs w:val="22"/>
              </w:rPr>
              <w:t xml:space="preserve"> </w:t>
            </w:r>
            <w:r w:rsidR="00542F78" w:rsidRPr="009C0BEE">
              <w:rPr>
                <w:sz w:val="22"/>
                <w:szCs w:val="22"/>
              </w:rPr>
              <w:t>u izolovanim slučajevima dovela</w:t>
            </w:r>
            <w:r w:rsidRPr="009C0BEE">
              <w:rPr>
                <w:sz w:val="22"/>
                <w:szCs w:val="22"/>
              </w:rPr>
              <w:t xml:space="preserve"> do simptoma into</w:t>
            </w:r>
            <w:r w:rsidR="00542F78" w:rsidRPr="009C0BEE">
              <w:rPr>
                <w:sz w:val="22"/>
                <w:szCs w:val="22"/>
              </w:rPr>
              <w:t xml:space="preserve">ksikacije fenitoinom zabilježena je </w:t>
            </w:r>
            <w:r w:rsidRPr="009C0BEE">
              <w:rPr>
                <w:sz w:val="22"/>
                <w:szCs w:val="22"/>
              </w:rPr>
              <w:t xml:space="preserve"> </w:t>
            </w:r>
            <w:r w:rsidR="00542F78" w:rsidRPr="009C0BEE">
              <w:rPr>
                <w:sz w:val="22"/>
                <w:szCs w:val="22"/>
              </w:rPr>
              <w:t>tokom istovremene</w:t>
            </w:r>
            <w:r w:rsidRPr="009C0BEE">
              <w:rPr>
                <w:sz w:val="22"/>
                <w:szCs w:val="22"/>
              </w:rPr>
              <w:t xml:space="preserve"> upotrebe </w:t>
            </w:r>
            <w:r w:rsidR="00542F78" w:rsidRPr="009C0BEE">
              <w:rPr>
                <w:sz w:val="22"/>
                <w:szCs w:val="22"/>
              </w:rPr>
              <w:t xml:space="preserve">kapecitabina i </w:t>
            </w:r>
            <w:r w:rsidRPr="009C0BEE">
              <w:rPr>
                <w:sz w:val="22"/>
                <w:szCs w:val="22"/>
              </w:rPr>
              <w:t>fenitoina. Pacijente ko</w:t>
            </w:r>
            <w:r w:rsidR="00E02237" w:rsidRPr="009C0BEE">
              <w:rPr>
                <w:sz w:val="22"/>
                <w:szCs w:val="22"/>
              </w:rPr>
              <w:t>ji uzimaju paralelno kapecitabin i fenitoin treba redovn</w:t>
            </w:r>
            <w:r w:rsidRPr="009C0BEE">
              <w:rPr>
                <w:sz w:val="22"/>
                <w:szCs w:val="22"/>
              </w:rPr>
              <w:t xml:space="preserve">o pratiti </w:t>
            </w:r>
            <w:r w:rsidR="00EF612D" w:rsidRPr="009C0BEE">
              <w:rPr>
                <w:sz w:val="22"/>
                <w:szCs w:val="22"/>
              </w:rPr>
              <w:t xml:space="preserve">radi </w:t>
            </w:r>
            <w:r w:rsidR="00E02237" w:rsidRPr="009C0BEE">
              <w:rPr>
                <w:sz w:val="22"/>
                <w:szCs w:val="22"/>
              </w:rPr>
              <w:t>porast</w:t>
            </w:r>
            <w:r w:rsidR="00EF612D" w:rsidRPr="009C0BEE">
              <w:rPr>
                <w:sz w:val="22"/>
                <w:szCs w:val="22"/>
              </w:rPr>
              <w:t>a</w:t>
            </w:r>
            <w:r w:rsidRPr="009C0BEE">
              <w:rPr>
                <w:sz w:val="22"/>
                <w:szCs w:val="22"/>
              </w:rPr>
              <w:t xml:space="preserve"> koncentracije fenitoina u plazmi. </w:t>
            </w:r>
          </w:p>
          <w:p w:rsidR="00C6356D" w:rsidRPr="009C0BEE" w:rsidRDefault="00C6356D" w:rsidP="00C6356D">
            <w:pPr>
              <w:pStyle w:val="Header"/>
              <w:tabs>
                <w:tab w:val="left" w:pos="284"/>
              </w:tabs>
              <w:rPr>
                <w:color w:val="FF0000"/>
                <w:sz w:val="22"/>
                <w:szCs w:val="22"/>
              </w:rPr>
            </w:pPr>
          </w:p>
          <w:p w:rsidR="00C6356D" w:rsidRPr="009C0BEE" w:rsidRDefault="00DC7827" w:rsidP="005E0515">
            <w:pPr>
              <w:autoSpaceDE w:val="0"/>
              <w:autoSpaceDN w:val="0"/>
              <w:adjustRightInd w:val="0"/>
              <w:jc w:val="both"/>
              <w:rPr>
                <w:rFonts w:ascii="TimesNewRoman" w:hAnsi="TimesNewRoman" w:cs="TimesNewRoman"/>
                <w:sz w:val="22"/>
                <w:szCs w:val="22"/>
              </w:rPr>
            </w:pPr>
            <w:r w:rsidRPr="009C0BEE">
              <w:rPr>
                <w:i/>
                <w:sz w:val="22"/>
                <w:szCs w:val="22"/>
              </w:rPr>
              <w:t>Folinska kiselina/folna kis</w:t>
            </w:r>
            <w:r w:rsidR="00C6356D" w:rsidRPr="009C0BEE">
              <w:rPr>
                <w:i/>
                <w:sz w:val="22"/>
                <w:szCs w:val="22"/>
              </w:rPr>
              <w:t>elina</w:t>
            </w:r>
            <w:r w:rsidRPr="009C0BEE">
              <w:rPr>
                <w:sz w:val="22"/>
                <w:szCs w:val="22"/>
              </w:rPr>
              <w:t>: i</w:t>
            </w:r>
            <w:r w:rsidR="00C6356D" w:rsidRPr="009C0BEE">
              <w:rPr>
                <w:sz w:val="22"/>
                <w:szCs w:val="22"/>
              </w:rPr>
              <w:t xml:space="preserve">spitivanje </w:t>
            </w:r>
            <w:r w:rsidRPr="009C0BEE">
              <w:rPr>
                <w:sz w:val="22"/>
                <w:szCs w:val="22"/>
              </w:rPr>
              <w:t>kombinovane primjene k</w:t>
            </w:r>
            <w:r w:rsidR="00F91C4D" w:rsidRPr="009C0BEE">
              <w:rPr>
                <w:sz w:val="22"/>
                <w:szCs w:val="22"/>
              </w:rPr>
              <w:t>apecitabin</w:t>
            </w:r>
            <w:r w:rsidR="00CA3123" w:rsidRPr="009C0BEE">
              <w:rPr>
                <w:sz w:val="22"/>
                <w:szCs w:val="22"/>
              </w:rPr>
              <w:t xml:space="preserve">a </w:t>
            </w:r>
            <w:r w:rsidR="00C6356D" w:rsidRPr="009C0BEE">
              <w:rPr>
                <w:sz w:val="22"/>
                <w:szCs w:val="22"/>
              </w:rPr>
              <w:t>i fol</w:t>
            </w:r>
            <w:r w:rsidRPr="009C0BEE">
              <w:rPr>
                <w:sz w:val="22"/>
                <w:szCs w:val="22"/>
              </w:rPr>
              <w:t>inske kis</w:t>
            </w:r>
            <w:r w:rsidR="00C6356D" w:rsidRPr="009C0BEE">
              <w:rPr>
                <w:sz w:val="22"/>
                <w:szCs w:val="22"/>
              </w:rPr>
              <w:t xml:space="preserve">eline </w:t>
            </w:r>
            <w:r w:rsidR="00EF612D" w:rsidRPr="009C0BEE">
              <w:rPr>
                <w:sz w:val="22"/>
                <w:szCs w:val="22"/>
              </w:rPr>
              <w:t xml:space="preserve">govori </w:t>
            </w:r>
            <w:r w:rsidR="00C6356D" w:rsidRPr="009C0BEE">
              <w:rPr>
                <w:sz w:val="22"/>
                <w:szCs w:val="22"/>
              </w:rPr>
              <w:t>da fol</w:t>
            </w:r>
            <w:r w:rsidR="005E0515" w:rsidRPr="009C0BEE">
              <w:rPr>
                <w:sz w:val="22"/>
                <w:szCs w:val="22"/>
              </w:rPr>
              <w:t>i</w:t>
            </w:r>
            <w:r w:rsidR="00C6356D" w:rsidRPr="009C0BEE">
              <w:rPr>
                <w:sz w:val="22"/>
                <w:szCs w:val="22"/>
              </w:rPr>
              <w:t>n</w:t>
            </w:r>
            <w:r w:rsidR="005E0515" w:rsidRPr="009C0BEE">
              <w:rPr>
                <w:sz w:val="22"/>
                <w:szCs w:val="22"/>
              </w:rPr>
              <w:t>ska kis</w:t>
            </w:r>
            <w:r w:rsidR="00C6356D" w:rsidRPr="009C0BEE">
              <w:rPr>
                <w:sz w:val="22"/>
                <w:szCs w:val="22"/>
              </w:rPr>
              <w:t xml:space="preserve">elina nema većeg uticaja na farmakokinetiku </w:t>
            </w:r>
            <w:r w:rsidR="00CA3123" w:rsidRPr="009C0BEE">
              <w:rPr>
                <w:sz w:val="22"/>
                <w:szCs w:val="22"/>
              </w:rPr>
              <w:t>ka</w:t>
            </w:r>
            <w:r w:rsidR="00F91C4D" w:rsidRPr="009C0BEE">
              <w:rPr>
                <w:sz w:val="22"/>
                <w:szCs w:val="22"/>
              </w:rPr>
              <w:t>pecitabin</w:t>
            </w:r>
            <w:r w:rsidR="00CA3123" w:rsidRPr="009C0BEE">
              <w:rPr>
                <w:sz w:val="22"/>
                <w:szCs w:val="22"/>
              </w:rPr>
              <w:t xml:space="preserve">a </w:t>
            </w:r>
            <w:r w:rsidR="00C6356D" w:rsidRPr="009C0BEE">
              <w:rPr>
                <w:sz w:val="22"/>
                <w:szCs w:val="22"/>
              </w:rPr>
              <w:t>i njenih metabolita. Međutim, fol</w:t>
            </w:r>
            <w:r w:rsidR="005E0515" w:rsidRPr="009C0BEE">
              <w:rPr>
                <w:sz w:val="22"/>
                <w:szCs w:val="22"/>
              </w:rPr>
              <w:t>i</w:t>
            </w:r>
            <w:r w:rsidR="00C6356D" w:rsidRPr="009C0BEE">
              <w:rPr>
                <w:sz w:val="22"/>
                <w:szCs w:val="22"/>
              </w:rPr>
              <w:t>n</w:t>
            </w:r>
            <w:r w:rsidR="005E0515" w:rsidRPr="009C0BEE">
              <w:rPr>
                <w:sz w:val="22"/>
                <w:szCs w:val="22"/>
              </w:rPr>
              <w:t>ska kis</w:t>
            </w:r>
            <w:r w:rsidR="00C6356D" w:rsidRPr="009C0BEE">
              <w:rPr>
                <w:sz w:val="22"/>
                <w:szCs w:val="22"/>
              </w:rPr>
              <w:t xml:space="preserve">elina ima dejstva na farmakodinamiku </w:t>
            </w:r>
            <w:r w:rsidR="00CA3123" w:rsidRPr="009C0BEE">
              <w:rPr>
                <w:sz w:val="22"/>
                <w:szCs w:val="22"/>
              </w:rPr>
              <w:t>ka</w:t>
            </w:r>
            <w:r w:rsidR="00F91C4D" w:rsidRPr="009C0BEE">
              <w:rPr>
                <w:sz w:val="22"/>
                <w:szCs w:val="22"/>
              </w:rPr>
              <w:t>pecitabin</w:t>
            </w:r>
            <w:r w:rsidR="00CA3123" w:rsidRPr="009C0BEE">
              <w:rPr>
                <w:sz w:val="22"/>
                <w:szCs w:val="22"/>
              </w:rPr>
              <w:t>a</w:t>
            </w:r>
            <w:r w:rsidR="00C6356D" w:rsidRPr="009C0BEE">
              <w:rPr>
                <w:sz w:val="22"/>
                <w:szCs w:val="22"/>
              </w:rPr>
              <w:t>: maksi</w:t>
            </w:r>
            <w:r w:rsidR="00CA3123" w:rsidRPr="009C0BEE">
              <w:rPr>
                <w:sz w:val="22"/>
                <w:szCs w:val="22"/>
              </w:rPr>
              <w:t>malna tolerisana doza (MTD</w:t>
            </w:r>
            <w:r w:rsidR="005E0515" w:rsidRPr="009C0BEE">
              <w:rPr>
                <w:sz w:val="22"/>
                <w:szCs w:val="22"/>
              </w:rPr>
              <w:t>-</w:t>
            </w:r>
            <w:r w:rsidR="005E0515" w:rsidRPr="009C0BEE">
              <w:rPr>
                <w:i/>
                <w:sz w:val="22"/>
                <w:szCs w:val="22"/>
              </w:rPr>
              <w:t>Maximum tolerated</w:t>
            </w:r>
            <w:r w:rsidR="005E0515" w:rsidRPr="009C0BEE">
              <w:rPr>
                <w:sz w:val="22"/>
                <w:szCs w:val="22"/>
              </w:rPr>
              <w:t xml:space="preserve"> </w:t>
            </w:r>
            <w:r w:rsidR="005E0515" w:rsidRPr="009C0BEE">
              <w:rPr>
                <w:i/>
                <w:sz w:val="22"/>
                <w:szCs w:val="22"/>
              </w:rPr>
              <w:t>dose</w:t>
            </w:r>
            <w:r w:rsidR="005E0515" w:rsidRPr="009C0BEE">
              <w:rPr>
                <w:sz w:val="22"/>
                <w:szCs w:val="22"/>
              </w:rPr>
              <w:t xml:space="preserve">) </w:t>
            </w:r>
            <w:r w:rsidR="00CA3123" w:rsidRPr="009C0BEE">
              <w:rPr>
                <w:sz w:val="22"/>
                <w:szCs w:val="22"/>
              </w:rPr>
              <w:t>kapecitabina</w:t>
            </w:r>
            <w:r w:rsidR="00C6356D" w:rsidRPr="009C0BEE">
              <w:rPr>
                <w:sz w:val="22"/>
                <w:szCs w:val="22"/>
              </w:rPr>
              <w:t xml:space="preserve"> </w:t>
            </w:r>
            <w:r w:rsidR="005E0515" w:rsidRPr="009C0BEE">
              <w:rPr>
                <w:sz w:val="22"/>
                <w:szCs w:val="22"/>
              </w:rPr>
              <w:t>u monoterapiji i intermitentnom liječenju</w:t>
            </w:r>
            <w:r w:rsidR="00C6356D" w:rsidRPr="009C0BEE">
              <w:rPr>
                <w:sz w:val="22"/>
                <w:szCs w:val="22"/>
              </w:rPr>
              <w:t xml:space="preserve"> iznosi 3000 mg/m</w:t>
            </w:r>
            <w:r w:rsidR="00C6356D" w:rsidRPr="009C0BEE">
              <w:rPr>
                <w:sz w:val="22"/>
                <w:szCs w:val="22"/>
                <w:vertAlign w:val="superscript"/>
              </w:rPr>
              <w:t>2</w:t>
            </w:r>
            <w:r w:rsidR="005E0515" w:rsidRPr="009C0BEE">
              <w:rPr>
                <w:sz w:val="22"/>
                <w:szCs w:val="22"/>
              </w:rPr>
              <w:t xml:space="preserve"> </w:t>
            </w:r>
            <w:r w:rsidR="00C6356D" w:rsidRPr="009C0BEE">
              <w:rPr>
                <w:sz w:val="22"/>
                <w:szCs w:val="22"/>
              </w:rPr>
              <w:t>dn</w:t>
            </w:r>
            <w:r w:rsidR="005E0515" w:rsidRPr="009C0BEE">
              <w:rPr>
                <w:sz w:val="22"/>
                <w:szCs w:val="22"/>
              </w:rPr>
              <w:t>evno</w:t>
            </w:r>
            <w:r w:rsidR="00C6356D" w:rsidRPr="009C0BEE">
              <w:rPr>
                <w:sz w:val="22"/>
                <w:szCs w:val="22"/>
              </w:rPr>
              <w:t>, dok je samo 2000 mg/m</w:t>
            </w:r>
            <w:r w:rsidR="00C6356D" w:rsidRPr="009C0BEE">
              <w:rPr>
                <w:sz w:val="22"/>
                <w:szCs w:val="22"/>
                <w:vertAlign w:val="superscript"/>
              </w:rPr>
              <w:t>2</w:t>
            </w:r>
            <w:r w:rsidR="00C6356D" w:rsidRPr="009C0BEE">
              <w:rPr>
                <w:sz w:val="22"/>
                <w:szCs w:val="22"/>
              </w:rPr>
              <w:t xml:space="preserve"> </w:t>
            </w:r>
            <w:r w:rsidR="005E0515" w:rsidRPr="009C0BEE">
              <w:rPr>
                <w:sz w:val="22"/>
                <w:szCs w:val="22"/>
              </w:rPr>
              <w:t>dnevno</w:t>
            </w:r>
            <w:r w:rsidR="00C6356D" w:rsidRPr="009C0BEE">
              <w:rPr>
                <w:sz w:val="22"/>
                <w:szCs w:val="22"/>
              </w:rPr>
              <w:t xml:space="preserve"> kada se </w:t>
            </w:r>
            <w:r w:rsidR="005E0515" w:rsidRPr="009C0BEE">
              <w:rPr>
                <w:sz w:val="22"/>
                <w:szCs w:val="22"/>
              </w:rPr>
              <w:t>k</w:t>
            </w:r>
            <w:r w:rsidR="00F91C4D" w:rsidRPr="009C0BEE">
              <w:rPr>
                <w:sz w:val="22"/>
                <w:szCs w:val="22"/>
              </w:rPr>
              <w:t>apecitabin</w:t>
            </w:r>
            <w:r w:rsidR="004E3DA4" w:rsidRPr="009C0BEE">
              <w:rPr>
                <w:sz w:val="22"/>
                <w:szCs w:val="22"/>
              </w:rPr>
              <w:t xml:space="preserve"> </w:t>
            </w:r>
            <w:r w:rsidR="00C6356D" w:rsidRPr="009C0BEE">
              <w:rPr>
                <w:sz w:val="22"/>
                <w:szCs w:val="22"/>
              </w:rPr>
              <w:t>kombinuje sa fol</w:t>
            </w:r>
            <w:r w:rsidR="005E0515" w:rsidRPr="009C0BEE">
              <w:rPr>
                <w:sz w:val="22"/>
                <w:szCs w:val="22"/>
              </w:rPr>
              <w:t>i</w:t>
            </w:r>
            <w:r w:rsidR="00C6356D" w:rsidRPr="009C0BEE">
              <w:rPr>
                <w:sz w:val="22"/>
                <w:szCs w:val="22"/>
              </w:rPr>
              <w:t>n</w:t>
            </w:r>
            <w:r w:rsidR="005E0515" w:rsidRPr="009C0BEE">
              <w:rPr>
                <w:sz w:val="22"/>
                <w:szCs w:val="22"/>
              </w:rPr>
              <w:t>skom kis</w:t>
            </w:r>
            <w:r w:rsidR="00C6356D" w:rsidRPr="009C0BEE">
              <w:rPr>
                <w:sz w:val="22"/>
                <w:szCs w:val="22"/>
              </w:rPr>
              <w:t>elinom (30 mg oralno dva puta dnevno).</w:t>
            </w:r>
            <w:r w:rsidR="00C6356D" w:rsidRPr="009C0BEE">
              <w:rPr>
                <w:color w:val="FF0000"/>
                <w:sz w:val="22"/>
                <w:szCs w:val="22"/>
              </w:rPr>
              <w:t xml:space="preserve"> </w:t>
            </w:r>
            <w:r w:rsidR="005E0515" w:rsidRPr="009C0BEE">
              <w:rPr>
                <w:rFonts w:ascii="TimesNewRoman" w:hAnsi="TimesNewRoman" w:cs="TimesNewRoman"/>
                <w:sz w:val="22"/>
                <w:szCs w:val="22"/>
              </w:rPr>
              <w:t>Povećana toksičnost može biti od značaja kada se prelazi sa režima 5-FU/LV na režim sa kapecitabinom</w:t>
            </w:r>
            <w:r w:rsidR="005A0354" w:rsidRPr="009C0BEE">
              <w:rPr>
                <w:rFonts w:ascii="TimesNewRoman" w:hAnsi="TimesNewRoman" w:cs="TimesNewRoman"/>
                <w:sz w:val="22"/>
                <w:szCs w:val="22"/>
              </w:rPr>
              <w:t>. Ovo takođe može biti od značaja</w:t>
            </w:r>
            <w:r w:rsidR="005E0515" w:rsidRPr="009C0BEE">
              <w:rPr>
                <w:rFonts w:ascii="TimesNewRoman" w:hAnsi="TimesNewRoman" w:cs="TimesNewRoman"/>
                <w:sz w:val="22"/>
                <w:szCs w:val="22"/>
              </w:rPr>
              <w:t xml:space="preserve"> i kod primjene </w:t>
            </w:r>
            <w:r w:rsidR="005A0354" w:rsidRPr="009C0BEE">
              <w:rPr>
                <w:rFonts w:ascii="TimesNewRoman" w:hAnsi="TimesNewRoman" w:cs="TimesNewRoman"/>
                <w:sz w:val="22"/>
                <w:szCs w:val="22"/>
              </w:rPr>
              <w:t>suplemenata</w:t>
            </w:r>
            <w:r w:rsidR="005E0515" w:rsidRPr="009C0BEE">
              <w:rPr>
                <w:rFonts w:ascii="TimesNewRoman" w:hAnsi="TimesNewRoman" w:cs="TimesNewRoman"/>
                <w:sz w:val="22"/>
                <w:szCs w:val="22"/>
              </w:rPr>
              <w:t xml:space="preserve"> folne kiseline zbog deficijencije folata, </w:t>
            </w:r>
            <w:r w:rsidR="005A0354" w:rsidRPr="009C0BEE">
              <w:rPr>
                <w:rFonts w:ascii="TimesNewRoman" w:hAnsi="TimesNewRoman" w:cs="TimesNewRoman"/>
                <w:sz w:val="22"/>
                <w:szCs w:val="22"/>
              </w:rPr>
              <w:t>usl</w:t>
            </w:r>
            <w:r w:rsidR="00EF612D" w:rsidRPr="009C0BEE">
              <w:rPr>
                <w:rFonts w:ascii="TimesNewRoman" w:hAnsi="TimesNewRoman" w:cs="TimesNewRoman"/>
                <w:sz w:val="22"/>
                <w:szCs w:val="22"/>
              </w:rPr>
              <w:t>j</w:t>
            </w:r>
            <w:r w:rsidR="005A0354" w:rsidRPr="009C0BEE">
              <w:rPr>
                <w:rFonts w:ascii="TimesNewRoman" w:hAnsi="TimesNewRoman" w:cs="TimesNewRoman"/>
                <w:sz w:val="22"/>
                <w:szCs w:val="22"/>
              </w:rPr>
              <w:t>ed</w:t>
            </w:r>
            <w:r w:rsidR="005E0515" w:rsidRPr="009C0BEE">
              <w:rPr>
                <w:rFonts w:ascii="TimesNewRoman" w:hAnsi="TimesNewRoman" w:cs="TimesNewRoman"/>
                <w:sz w:val="22"/>
                <w:szCs w:val="22"/>
              </w:rPr>
              <w:t xml:space="preserve"> sličnost</w:t>
            </w:r>
            <w:r w:rsidR="005A0354" w:rsidRPr="009C0BEE">
              <w:rPr>
                <w:rFonts w:ascii="TimesNewRoman" w:hAnsi="TimesNewRoman" w:cs="TimesNewRoman"/>
                <w:sz w:val="22"/>
                <w:szCs w:val="22"/>
              </w:rPr>
              <w:t>i između folinsk</w:t>
            </w:r>
            <w:r w:rsidR="005E0515" w:rsidRPr="009C0BEE">
              <w:rPr>
                <w:rFonts w:ascii="TimesNewRoman" w:hAnsi="TimesNewRoman" w:cs="TimesNewRoman"/>
                <w:sz w:val="22"/>
                <w:szCs w:val="22"/>
              </w:rPr>
              <w:t>e i folne kiseline.</w:t>
            </w:r>
          </w:p>
          <w:p w:rsidR="00C6356D" w:rsidRPr="009C0BEE" w:rsidRDefault="00C6356D" w:rsidP="00C6356D">
            <w:pPr>
              <w:pStyle w:val="Header"/>
              <w:tabs>
                <w:tab w:val="left" w:pos="284"/>
              </w:tabs>
              <w:rPr>
                <w:color w:val="FF0000"/>
                <w:sz w:val="22"/>
                <w:szCs w:val="22"/>
              </w:rPr>
            </w:pPr>
          </w:p>
          <w:p w:rsidR="00C6356D" w:rsidRPr="009C0BEE" w:rsidRDefault="00C6356D" w:rsidP="00A47582">
            <w:pPr>
              <w:pStyle w:val="Header"/>
              <w:tabs>
                <w:tab w:val="left" w:pos="284"/>
              </w:tabs>
              <w:jc w:val="both"/>
              <w:rPr>
                <w:sz w:val="22"/>
                <w:szCs w:val="22"/>
              </w:rPr>
            </w:pPr>
            <w:r w:rsidRPr="009C0BEE">
              <w:rPr>
                <w:i/>
                <w:sz w:val="22"/>
                <w:szCs w:val="22"/>
              </w:rPr>
              <w:t>Sorivudin i analozi</w:t>
            </w:r>
            <w:r w:rsidR="00A47582" w:rsidRPr="009C0BEE">
              <w:rPr>
                <w:sz w:val="22"/>
                <w:szCs w:val="22"/>
              </w:rPr>
              <w:t>: u literaturi je opisana klinički signifikantna interakcija između sorivudina i 5-FU, koja je</w:t>
            </w:r>
            <w:r w:rsidRPr="009C0BEE">
              <w:rPr>
                <w:sz w:val="22"/>
                <w:szCs w:val="22"/>
              </w:rPr>
              <w:t xml:space="preserve"> posl</w:t>
            </w:r>
            <w:r w:rsidR="00A47582" w:rsidRPr="009C0BEE">
              <w:rPr>
                <w:sz w:val="22"/>
                <w:szCs w:val="22"/>
              </w:rPr>
              <w:t>j</w:t>
            </w:r>
            <w:r w:rsidRPr="009C0BEE">
              <w:rPr>
                <w:sz w:val="22"/>
                <w:szCs w:val="22"/>
              </w:rPr>
              <w:t xml:space="preserve">edica inhibicije dihidropirimidin dehidrogenaze </w:t>
            </w:r>
            <w:r w:rsidR="00A47582" w:rsidRPr="009C0BEE">
              <w:rPr>
                <w:sz w:val="22"/>
                <w:szCs w:val="22"/>
              </w:rPr>
              <w:t>sorivudinom</w:t>
            </w:r>
            <w:r w:rsidRPr="009C0BEE">
              <w:rPr>
                <w:sz w:val="22"/>
                <w:szCs w:val="22"/>
              </w:rPr>
              <w:t>. Ova interakcija, koja dovodi do po</w:t>
            </w:r>
            <w:r w:rsidR="00493E1E" w:rsidRPr="009C0BEE">
              <w:rPr>
                <w:sz w:val="22"/>
                <w:szCs w:val="22"/>
              </w:rPr>
              <w:t>većanja</w:t>
            </w:r>
            <w:r w:rsidRPr="009C0BEE">
              <w:rPr>
                <w:sz w:val="22"/>
                <w:szCs w:val="22"/>
              </w:rPr>
              <w:t xml:space="preserve"> toksičnosti fluoropirimidina, potencijalno je fatalna. Prema tome, </w:t>
            </w:r>
            <w:r w:rsidR="00493E1E" w:rsidRPr="009C0BEE">
              <w:rPr>
                <w:sz w:val="22"/>
                <w:szCs w:val="22"/>
              </w:rPr>
              <w:t>k</w:t>
            </w:r>
            <w:r w:rsidR="00F91C4D" w:rsidRPr="009C0BEE">
              <w:rPr>
                <w:sz w:val="22"/>
                <w:szCs w:val="22"/>
              </w:rPr>
              <w:t>apecitabin</w:t>
            </w:r>
            <w:r w:rsidR="00493E1E" w:rsidRPr="009C0BEE">
              <w:rPr>
                <w:sz w:val="22"/>
                <w:szCs w:val="22"/>
              </w:rPr>
              <w:t xml:space="preserve"> </w:t>
            </w:r>
            <w:r w:rsidRPr="009C0BEE">
              <w:rPr>
                <w:sz w:val="22"/>
                <w:szCs w:val="22"/>
              </w:rPr>
              <w:t>se ne smije davati sa sorivudinom ili njegovim hemijski srodnim analozima</w:t>
            </w:r>
            <w:r w:rsidR="00493E1E" w:rsidRPr="009C0BEE">
              <w:rPr>
                <w:sz w:val="22"/>
                <w:szCs w:val="22"/>
              </w:rPr>
              <w:t>, kao što je brivudin (vidjeti o</w:t>
            </w:r>
            <w:r w:rsidRPr="009C0BEE">
              <w:rPr>
                <w:sz w:val="22"/>
                <w:szCs w:val="22"/>
              </w:rPr>
              <w:t>djeljak 4.3). Mora postojati barem četiri ned</w:t>
            </w:r>
            <w:r w:rsidR="00EF612D" w:rsidRPr="009C0BEE">
              <w:rPr>
                <w:sz w:val="22"/>
                <w:szCs w:val="22"/>
              </w:rPr>
              <w:t>j</w:t>
            </w:r>
            <w:r w:rsidRPr="009C0BEE">
              <w:rPr>
                <w:sz w:val="22"/>
                <w:szCs w:val="22"/>
              </w:rPr>
              <w:t xml:space="preserve">elje pauze između završetka terapije sorivudinom ili njegovim hemijskim analozima, kao što je brivudin, i početka terapije </w:t>
            </w:r>
            <w:r w:rsidR="00493E1E" w:rsidRPr="009C0BEE">
              <w:rPr>
                <w:sz w:val="22"/>
                <w:szCs w:val="22"/>
              </w:rPr>
              <w:t>k</w:t>
            </w:r>
            <w:r w:rsidR="00F91C4D" w:rsidRPr="009C0BEE">
              <w:rPr>
                <w:sz w:val="22"/>
                <w:szCs w:val="22"/>
              </w:rPr>
              <w:t>apecitabin</w:t>
            </w:r>
            <w:r w:rsidR="00493E1E" w:rsidRPr="009C0BEE">
              <w:rPr>
                <w:sz w:val="22"/>
                <w:szCs w:val="22"/>
              </w:rPr>
              <w:t>om</w:t>
            </w:r>
            <w:r w:rsidRPr="009C0BEE">
              <w:rPr>
                <w:sz w:val="22"/>
                <w:szCs w:val="22"/>
              </w:rPr>
              <w:t>.</w:t>
            </w:r>
          </w:p>
          <w:p w:rsidR="00C6356D" w:rsidRPr="009C0BEE" w:rsidRDefault="00C6356D" w:rsidP="006F1934">
            <w:pPr>
              <w:pStyle w:val="Header"/>
              <w:tabs>
                <w:tab w:val="left" w:pos="284"/>
              </w:tabs>
              <w:jc w:val="both"/>
              <w:rPr>
                <w:sz w:val="22"/>
                <w:szCs w:val="22"/>
              </w:rPr>
            </w:pPr>
            <w:r w:rsidRPr="009C0BEE">
              <w:rPr>
                <w:i/>
                <w:sz w:val="22"/>
                <w:szCs w:val="22"/>
              </w:rPr>
              <w:lastRenderedPageBreak/>
              <w:t>Antacidi</w:t>
            </w:r>
            <w:r w:rsidR="00516AB9" w:rsidRPr="009C0BEE">
              <w:rPr>
                <w:sz w:val="22"/>
                <w:szCs w:val="22"/>
              </w:rPr>
              <w:t>: i</w:t>
            </w:r>
            <w:r w:rsidRPr="009C0BEE">
              <w:rPr>
                <w:sz w:val="22"/>
                <w:szCs w:val="22"/>
              </w:rPr>
              <w:t xml:space="preserve">spitivano je dejstvo antacida </w:t>
            </w:r>
            <w:r w:rsidR="00516AB9" w:rsidRPr="009C0BEE">
              <w:rPr>
                <w:sz w:val="22"/>
                <w:szCs w:val="22"/>
              </w:rPr>
              <w:t>koji sadrže</w:t>
            </w:r>
            <w:r w:rsidRPr="009C0BEE">
              <w:rPr>
                <w:sz w:val="22"/>
                <w:szCs w:val="22"/>
              </w:rPr>
              <w:t xml:space="preserve"> aluminijum hidroksid</w:t>
            </w:r>
            <w:r w:rsidR="00516AB9" w:rsidRPr="009C0BEE">
              <w:rPr>
                <w:sz w:val="22"/>
                <w:szCs w:val="22"/>
              </w:rPr>
              <w:t xml:space="preserve"> i magnezijum hidroksid</w:t>
            </w:r>
            <w:r w:rsidRPr="009C0BEE">
              <w:rPr>
                <w:sz w:val="22"/>
                <w:szCs w:val="22"/>
              </w:rPr>
              <w:t xml:space="preserve"> na farmak</w:t>
            </w:r>
            <w:r w:rsidR="00516AB9" w:rsidRPr="009C0BEE">
              <w:rPr>
                <w:sz w:val="22"/>
                <w:szCs w:val="22"/>
              </w:rPr>
              <w:t>okinetiku kapecitabina. Uoč</w:t>
            </w:r>
            <w:r w:rsidRPr="009C0BEE">
              <w:rPr>
                <w:sz w:val="22"/>
                <w:szCs w:val="22"/>
              </w:rPr>
              <w:t>eno je malo povećanje koncentracije kapecitabina i jedno</w:t>
            </w:r>
            <w:r w:rsidR="00516AB9" w:rsidRPr="009C0BEE">
              <w:rPr>
                <w:sz w:val="22"/>
                <w:szCs w:val="22"/>
              </w:rPr>
              <w:t xml:space="preserve">g metabolita (5'-DFCR) u plazmi. Na </w:t>
            </w:r>
            <w:r w:rsidRPr="009C0BEE">
              <w:rPr>
                <w:sz w:val="22"/>
                <w:szCs w:val="22"/>
              </w:rPr>
              <w:t xml:space="preserve"> </w:t>
            </w:r>
            <w:r w:rsidR="00516AB9" w:rsidRPr="009C0BEE">
              <w:rPr>
                <w:sz w:val="22"/>
                <w:szCs w:val="22"/>
              </w:rPr>
              <w:t>ostala</w:t>
            </w:r>
            <w:r w:rsidRPr="009C0BEE">
              <w:rPr>
                <w:sz w:val="22"/>
                <w:szCs w:val="22"/>
              </w:rPr>
              <w:t xml:space="preserve"> tri glavna metabolita (5'-DFUR, 5-FU i FBAL)</w:t>
            </w:r>
            <w:r w:rsidR="00516AB9" w:rsidRPr="009C0BEE">
              <w:rPr>
                <w:sz w:val="22"/>
                <w:szCs w:val="22"/>
              </w:rPr>
              <w:t xml:space="preserve"> </w:t>
            </w:r>
            <w:r w:rsidR="00EF612D" w:rsidRPr="009C0BEE">
              <w:rPr>
                <w:sz w:val="22"/>
                <w:szCs w:val="22"/>
              </w:rPr>
              <w:t xml:space="preserve">nema </w:t>
            </w:r>
            <w:r w:rsidR="00516AB9" w:rsidRPr="009C0BEE">
              <w:rPr>
                <w:sz w:val="22"/>
                <w:szCs w:val="22"/>
              </w:rPr>
              <w:t>dejstva</w:t>
            </w:r>
            <w:r w:rsidRPr="009C0BEE">
              <w:rPr>
                <w:sz w:val="22"/>
                <w:szCs w:val="22"/>
              </w:rPr>
              <w:t xml:space="preserve">. </w:t>
            </w:r>
          </w:p>
          <w:p w:rsidR="00C6356D" w:rsidRPr="009C0BEE" w:rsidRDefault="00C6356D" w:rsidP="00C6356D">
            <w:pPr>
              <w:pStyle w:val="Header"/>
              <w:tabs>
                <w:tab w:val="left" w:pos="284"/>
              </w:tabs>
              <w:rPr>
                <w:color w:val="FF0000"/>
                <w:sz w:val="22"/>
                <w:szCs w:val="22"/>
              </w:rPr>
            </w:pPr>
          </w:p>
          <w:p w:rsidR="00C6356D" w:rsidRPr="009C0BEE" w:rsidRDefault="00C6356D" w:rsidP="00387018">
            <w:pPr>
              <w:pStyle w:val="Header"/>
              <w:tabs>
                <w:tab w:val="left" w:pos="284"/>
              </w:tabs>
              <w:jc w:val="both"/>
              <w:rPr>
                <w:sz w:val="22"/>
                <w:szCs w:val="22"/>
              </w:rPr>
            </w:pPr>
            <w:r w:rsidRPr="009C0BEE">
              <w:rPr>
                <w:i/>
                <w:sz w:val="22"/>
                <w:szCs w:val="22"/>
              </w:rPr>
              <w:t>Alopurinol</w:t>
            </w:r>
            <w:r w:rsidRPr="009C0BEE">
              <w:rPr>
                <w:sz w:val="22"/>
                <w:szCs w:val="22"/>
              </w:rPr>
              <w:t>: Zabilježene su interakcije alopurinola sa 5-FU, sa mogućnošću smanje</w:t>
            </w:r>
            <w:r w:rsidR="008D562B" w:rsidRPr="009C0BEE">
              <w:rPr>
                <w:sz w:val="22"/>
                <w:szCs w:val="22"/>
              </w:rPr>
              <w:t>ne efikasnosti 5-FU. Treba izbjegavati istovreme</w:t>
            </w:r>
            <w:r w:rsidRPr="009C0BEE">
              <w:rPr>
                <w:sz w:val="22"/>
                <w:szCs w:val="22"/>
              </w:rPr>
              <w:t xml:space="preserve">nu upotrebu alopurinola </w:t>
            </w:r>
            <w:r w:rsidR="008D562B" w:rsidRPr="009C0BEE">
              <w:rPr>
                <w:sz w:val="22"/>
                <w:szCs w:val="22"/>
              </w:rPr>
              <w:t>i k</w:t>
            </w:r>
            <w:r w:rsidR="00F91C4D" w:rsidRPr="009C0BEE">
              <w:rPr>
                <w:sz w:val="22"/>
                <w:szCs w:val="22"/>
              </w:rPr>
              <w:t>apecitabin</w:t>
            </w:r>
            <w:r w:rsidR="00CA3123" w:rsidRPr="009C0BEE">
              <w:rPr>
                <w:sz w:val="22"/>
                <w:szCs w:val="22"/>
              </w:rPr>
              <w:t>a</w:t>
            </w:r>
            <w:r w:rsidRPr="009C0BEE">
              <w:rPr>
                <w:sz w:val="22"/>
                <w:szCs w:val="22"/>
              </w:rPr>
              <w:t xml:space="preserve">. </w:t>
            </w:r>
          </w:p>
          <w:p w:rsidR="00C6356D" w:rsidRPr="009C0BEE" w:rsidRDefault="00C6356D" w:rsidP="00387018">
            <w:pPr>
              <w:pStyle w:val="Header"/>
              <w:tabs>
                <w:tab w:val="left" w:pos="284"/>
              </w:tabs>
              <w:jc w:val="both"/>
              <w:rPr>
                <w:sz w:val="22"/>
                <w:szCs w:val="22"/>
              </w:rPr>
            </w:pPr>
          </w:p>
          <w:p w:rsidR="00C6356D" w:rsidRPr="009C0BEE" w:rsidRDefault="00C6356D" w:rsidP="00387018">
            <w:pPr>
              <w:pStyle w:val="Header"/>
              <w:tabs>
                <w:tab w:val="left" w:pos="284"/>
              </w:tabs>
              <w:jc w:val="both"/>
              <w:rPr>
                <w:sz w:val="22"/>
                <w:szCs w:val="22"/>
              </w:rPr>
            </w:pPr>
            <w:r w:rsidRPr="009C0BEE">
              <w:rPr>
                <w:i/>
                <w:sz w:val="22"/>
                <w:szCs w:val="22"/>
              </w:rPr>
              <w:t>Interferon alfa</w:t>
            </w:r>
            <w:r w:rsidRPr="009C0BEE">
              <w:rPr>
                <w:sz w:val="22"/>
                <w:szCs w:val="22"/>
              </w:rPr>
              <w:t xml:space="preserve">: MTD </w:t>
            </w:r>
            <w:r w:rsidR="002D745E" w:rsidRPr="009C0BEE">
              <w:rPr>
                <w:sz w:val="22"/>
                <w:szCs w:val="22"/>
              </w:rPr>
              <w:t>kapecitabina</w:t>
            </w:r>
            <w:r w:rsidRPr="009C0BEE">
              <w:rPr>
                <w:sz w:val="22"/>
                <w:szCs w:val="22"/>
              </w:rPr>
              <w:t xml:space="preserve"> je iznosila 2000 mg/m</w:t>
            </w:r>
            <w:r w:rsidRPr="009C0BEE">
              <w:rPr>
                <w:sz w:val="22"/>
                <w:szCs w:val="22"/>
                <w:vertAlign w:val="superscript"/>
              </w:rPr>
              <w:t>2</w:t>
            </w:r>
            <w:r w:rsidR="00957D77" w:rsidRPr="009C0BEE">
              <w:rPr>
                <w:sz w:val="22"/>
                <w:szCs w:val="22"/>
              </w:rPr>
              <w:t xml:space="preserve"> d</w:t>
            </w:r>
            <w:r w:rsidRPr="009C0BEE">
              <w:rPr>
                <w:sz w:val="22"/>
                <w:szCs w:val="22"/>
              </w:rPr>
              <w:t>n</w:t>
            </w:r>
            <w:r w:rsidR="00957D77" w:rsidRPr="009C0BEE">
              <w:rPr>
                <w:sz w:val="22"/>
                <w:szCs w:val="22"/>
              </w:rPr>
              <w:t>evno u kombinaciji sa</w:t>
            </w:r>
            <w:r w:rsidRPr="009C0BEE">
              <w:rPr>
                <w:sz w:val="22"/>
                <w:szCs w:val="22"/>
              </w:rPr>
              <w:t xml:space="preserve"> interferonom alfa-2a (3 MIU/m</w:t>
            </w:r>
            <w:r w:rsidRPr="009C0BEE">
              <w:rPr>
                <w:sz w:val="22"/>
                <w:szCs w:val="22"/>
                <w:vertAlign w:val="superscript"/>
              </w:rPr>
              <w:t>2</w:t>
            </w:r>
            <w:r w:rsidR="00957D77" w:rsidRPr="009C0BEE">
              <w:rPr>
                <w:sz w:val="22"/>
                <w:szCs w:val="22"/>
              </w:rPr>
              <w:t xml:space="preserve"> </w:t>
            </w:r>
            <w:r w:rsidRPr="009C0BEE">
              <w:rPr>
                <w:sz w:val="22"/>
                <w:szCs w:val="22"/>
              </w:rPr>
              <w:t>dn</w:t>
            </w:r>
            <w:r w:rsidR="00957D77" w:rsidRPr="009C0BEE">
              <w:rPr>
                <w:sz w:val="22"/>
                <w:szCs w:val="22"/>
              </w:rPr>
              <w:t>evno</w:t>
            </w:r>
            <w:r w:rsidRPr="009C0BEE">
              <w:rPr>
                <w:sz w:val="22"/>
                <w:szCs w:val="22"/>
              </w:rPr>
              <w:t>) u poređenju sa 3000  mg/m</w:t>
            </w:r>
            <w:r w:rsidRPr="009C0BEE">
              <w:rPr>
                <w:sz w:val="22"/>
                <w:szCs w:val="22"/>
                <w:vertAlign w:val="superscript"/>
              </w:rPr>
              <w:t>2</w:t>
            </w:r>
            <w:r w:rsidR="00957D77" w:rsidRPr="009C0BEE">
              <w:rPr>
                <w:sz w:val="22"/>
                <w:szCs w:val="22"/>
              </w:rPr>
              <w:t xml:space="preserve"> d</w:t>
            </w:r>
            <w:r w:rsidRPr="009C0BEE">
              <w:rPr>
                <w:sz w:val="22"/>
                <w:szCs w:val="22"/>
              </w:rPr>
              <w:t>n</w:t>
            </w:r>
            <w:r w:rsidR="00957D77" w:rsidRPr="009C0BEE">
              <w:rPr>
                <w:sz w:val="22"/>
                <w:szCs w:val="22"/>
              </w:rPr>
              <w:t>evno</w:t>
            </w:r>
            <w:r w:rsidRPr="009C0BEE">
              <w:rPr>
                <w:sz w:val="22"/>
                <w:szCs w:val="22"/>
              </w:rPr>
              <w:t xml:space="preserve"> kada se </w:t>
            </w:r>
            <w:r w:rsidR="00957D77" w:rsidRPr="009C0BEE">
              <w:rPr>
                <w:sz w:val="22"/>
                <w:szCs w:val="22"/>
              </w:rPr>
              <w:t>k</w:t>
            </w:r>
            <w:r w:rsidR="00F91C4D" w:rsidRPr="009C0BEE">
              <w:rPr>
                <w:sz w:val="22"/>
                <w:szCs w:val="22"/>
              </w:rPr>
              <w:t>apecitabin</w:t>
            </w:r>
            <w:r w:rsidR="00957D77" w:rsidRPr="009C0BEE">
              <w:rPr>
                <w:sz w:val="22"/>
                <w:szCs w:val="22"/>
              </w:rPr>
              <w:t xml:space="preserve"> primjenjivao sam</w:t>
            </w:r>
            <w:r w:rsidRPr="009C0BEE">
              <w:rPr>
                <w:sz w:val="22"/>
                <w:szCs w:val="22"/>
              </w:rPr>
              <w:t xml:space="preserve">. </w:t>
            </w:r>
          </w:p>
          <w:p w:rsidR="00C6356D" w:rsidRPr="009C0BEE" w:rsidRDefault="00C6356D" w:rsidP="00C6356D">
            <w:pPr>
              <w:pStyle w:val="Header"/>
              <w:tabs>
                <w:tab w:val="left" w:pos="284"/>
              </w:tabs>
              <w:rPr>
                <w:color w:val="FF0000"/>
                <w:sz w:val="22"/>
                <w:szCs w:val="22"/>
              </w:rPr>
            </w:pPr>
          </w:p>
          <w:p w:rsidR="00C6356D" w:rsidRPr="009C0BEE" w:rsidRDefault="00C6356D" w:rsidP="00387018">
            <w:pPr>
              <w:pStyle w:val="Header"/>
              <w:tabs>
                <w:tab w:val="left" w:pos="284"/>
              </w:tabs>
              <w:jc w:val="both"/>
              <w:rPr>
                <w:sz w:val="22"/>
                <w:szCs w:val="22"/>
              </w:rPr>
            </w:pPr>
            <w:r w:rsidRPr="009C0BEE">
              <w:rPr>
                <w:i/>
                <w:sz w:val="22"/>
                <w:szCs w:val="22"/>
              </w:rPr>
              <w:t>Radioterapija</w:t>
            </w:r>
            <w:r w:rsidRPr="009C0BEE">
              <w:rPr>
                <w:sz w:val="22"/>
                <w:szCs w:val="22"/>
              </w:rPr>
              <w:t xml:space="preserve">: MTD </w:t>
            </w:r>
            <w:r w:rsidR="00DD4C46" w:rsidRPr="009C0BEE">
              <w:rPr>
                <w:sz w:val="22"/>
                <w:szCs w:val="22"/>
              </w:rPr>
              <w:t xml:space="preserve">kapecitabina </w:t>
            </w:r>
            <w:r w:rsidRPr="009C0BEE">
              <w:rPr>
                <w:sz w:val="22"/>
                <w:szCs w:val="22"/>
              </w:rPr>
              <w:t>u</w:t>
            </w:r>
            <w:r w:rsidR="00771B38" w:rsidRPr="009C0BEE">
              <w:rPr>
                <w:sz w:val="22"/>
                <w:szCs w:val="22"/>
              </w:rPr>
              <w:t xml:space="preserve"> monoterapiji i</w:t>
            </w:r>
            <w:r w:rsidRPr="009C0BEE">
              <w:rPr>
                <w:sz w:val="22"/>
                <w:szCs w:val="22"/>
              </w:rPr>
              <w:t xml:space="preserve"> intermitentnom režimu iznosi 3000  mg/m</w:t>
            </w:r>
            <w:r w:rsidRPr="009C0BEE">
              <w:rPr>
                <w:sz w:val="22"/>
                <w:szCs w:val="22"/>
                <w:vertAlign w:val="superscript"/>
              </w:rPr>
              <w:t>2</w:t>
            </w:r>
            <w:r w:rsidRPr="009C0BEE">
              <w:rPr>
                <w:sz w:val="22"/>
                <w:szCs w:val="22"/>
              </w:rPr>
              <w:t xml:space="preserve"> </w:t>
            </w:r>
            <w:r w:rsidR="00771B38" w:rsidRPr="009C0BEE">
              <w:rPr>
                <w:sz w:val="22"/>
                <w:szCs w:val="22"/>
              </w:rPr>
              <w:t>dnevno</w:t>
            </w:r>
            <w:r w:rsidRPr="009C0BEE">
              <w:rPr>
                <w:sz w:val="22"/>
                <w:szCs w:val="22"/>
              </w:rPr>
              <w:t xml:space="preserve">, dok u kombinaciji sa radioterapijom rektalnog kancera MTD </w:t>
            </w:r>
            <w:r w:rsidR="002D021D" w:rsidRPr="009C0BEE">
              <w:rPr>
                <w:sz w:val="22"/>
                <w:szCs w:val="22"/>
              </w:rPr>
              <w:t xml:space="preserve">kapecitabina </w:t>
            </w:r>
            <w:r w:rsidRPr="009C0BEE">
              <w:rPr>
                <w:sz w:val="22"/>
                <w:szCs w:val="22"/>
              </w:rPr>
              <w:t>iznosi 2000 mg/m</w:t>
            </w:r>
            <w:r w:rsidRPr="009C0BEE">
              <w:rPr>
                <w:sz w:val="22"/>
                <w:szCs w:val="22"/>
                <w:vertAlign w:val="superscript"/>
              </w:rPr>
              <w:t>2</w:t>
            </w:r>
            <w:r w:rsidRPr="009C0BEE">
              <w:rPr>
                <w:sz w:val="22"/>
                <w:szCs w:val="22"/>
              </w:rPr>
              <w:t xml:space="preserve"> </w:t>
            </w:r>
            <w:r w:rsidR="00771B38" w:rsidRPr="009C0BEE">
              <w:rPr>
                <w:sz w:val="22"/>
                <w:szCs w:val="22"/>
              </w:rPr>
              <w:t>dnevno</w:t>
            </w:r>
            <w:r w:rsidRPr="009C0BEE">
              <w:rPr>
                <w:sz w:val="22"/>
                <w:szCs w:val="22"/>
              </w:rPr>
              <w:t xml:space="preserve"> </w:t>
            </w:r>
            <w:r w:rsidR="00771B38" w:rsidRPr="009C0BEE">
              <w:rPr>
                <w:sz w:val="22"/>
                <w:szCs w:val="22"/>
              </w:rPr>
              <w:t>pri kontinuiranoj (svakodnevnoj)</w:t>
            </w:r>
            <w:r w:rsidRPr="009C0BEE">
              <w:rPr>
                <w:sz w:val="22"/>
                <w:szCs w:val="22"/>
              </w:rPr>
              <w:t xml:space="preserve"> </w:t>
            </w:r>
            <w:r w:rsidR="00771B38" w:rsidRPr="009C0BEE">
              <w:rPr>
                <w:sz w:val="22"/>
                <w:szCs w:val="22"/>
              </w:rPr>
              <w:t>primjeni</w:t>
            </w:r>
            <w:r w:rsidRPr="009C0BEE">
              <w:rPr>
                <w:sz w:val="22"/>
                <w:szCs w:val="22"/>
              </w:rPr>
              <w:t xml:space="preserve"> ili </w:t>
            </w:r>
            <w:r w:rsidR="00771B38" w:rsidRPr="009C0BEE">
              <w:rPr>
                <w:sz w:val="22"/>
                <w:szCs w:val="22"/>
              </w:rPr>
              <w:t>pri uzimanju tokom 5 dana o</w:t>
            </w:r>
            <w:r w:rsidRPr="009C0BEE">
              <w:rPr>
                <w:sz w:val="22"/>
                <w:szCs w:val="22"/>
              </w:rPr>
              <w:t>d poned</w:t>
            </w:r>
            <w:r w:rsidR="00CC2213" w:rsidRPr="009C0BEE">
              <w:rPr>
                <w:sz w:val="22"/>
                <w:szCs w:val="22"/>
              </w:rPr>
              <w:t>j</w:t>
            </w:r>
            <w:r w:rsidRPr="009C0BEE">
              <w:rPr>
                <w:sz w:val="22"/>
                <w:szCs w:val="22"/>
              </w:rPr>
              <w:t>eljka do petka</w:t>
            </w:r>
            <w:r w:rsidR="00771B38" w:rsidRPr="009C0BEE">
              <w:rPr>
                <w:sz w:val="22"/>
                <w:szCs w:val="22"/>
              </w:rPr>
              <w:t>, uz radioterapiju u trajanju od 6 nedjelja</w:t>
            </w:r>
            <w:r w:rsidRPr="009C0BEE">
              <w:rPr>
                <w:sz w:val="22"/>
                <w:szCs w:val="22"/>
              </w:rPr>
              <w:t xml:space="preserve">. </w:t>
            </w:r>
          </w:p>
          <w:p w:rsidR="00C6356D" w:rsidRPr="009C0BEE" w:rsidRDefault="00C6356D" w:rsidP="00C6356D">
            <w:pPr>
              <w:pStyle w:val="Header"/>
              <w:tabs>
                <w:tab w:val="left" w:pos="284"/>
              </w:tabs>
              <w:rPr>
                <w:color w:val="FF0000"/>
                <w:sz w:val="22"/>
                <w:szCs w:val="22"/>
              </w:rPr>
            </w:pPr>
          </w:p>
          <w:p w:rsidR="00C6356D" w:rsidRPr="009C0BEE" w:rsidRDefault="00C6356D" w:rsidP="00387018">
            <w:pPr>
              <w:pStyle w:val="Header"/>
              <w:tabs>
                <w:tab w:val="left" w:pos="284"/>
              </w:tabs>
              <w:jc w:val="both"/>
              <w:rPr>
                <w:sz w:val="22"/>
                <w:szCs w:val="22"/>
              </w:rPr>
            </w:pPr>
            <w:r w:rsidRPr="009C0BEE">
              <w:rPr>
                <w:i/>
                <w:sz w:val="22"/>
                <w:szCs w:val="22"/>
              </w:rPr>
              <w:t>Oksaliplatin</w:t>
            </w:r>
            <w:r w:rsidR="008E2EDA" w:rsidRPr="009C0BEE">
              <w:rPr>
                <w:sz w:val="22"/>
                <w:szCs w:val="22"/>
              </w:rPr>
              <w:t>: n</w:t>
            </w:r>
            <w:r w:rsidRPr="009C0BEE">
              <w:rPr>
                <w:sz w:val="22"/>
                <w:szCs w:val="22"/>
              </w:rPr>
              <w:t>isu zabilježene klinički značajne razlike u izlaganju kapecitabinu ili njegovim metabolitima, slobodnoj platini ili ukupnoj platini kada je kapecitabin davan u kombinaciji sa oksaliplatinom ili u kombinaciji sa oksaliplatinom i bevacizumabom.</w:t>
            </w:r>
          </w:p>
          <w:p w:rsidR="00C6356D" w:rsidRPr="009C0BEE" w:rsidRDefault="00C6356D" w:rsidP="00C6356D">
            <w:pPr>
              <w:pStyle w:val="Header"/>
              <w:tabs>
                <w:tab w:val="left" w:pos="284"/>
              </w:tabs>
              <w:rPr>
                <w:color w:val="FF0000"/>
                <w:sz w:val="22"/>
                <w:szCs w:val="22"/>
              </w:rPr>
            </w:pPr>
          </w:p>
          <w:p w:rsidR="00C6356D" w:rsidRPr="009C0BEE" w:rsidRDefault="00C6356D" w:rsidP="00387018">
            <w:pPr>
              <w:pStyle w:val="Header"/>
              <w:tabs>
                <w:tab w:val="left" w:pos="284"/>
              </w:tabs>
              <w:jc w:val="both"/>
              <w:rPr>
                <w:sz w:val="22"/>
                <w:szCs w:val="22"/>
              </w:rPr>
            </w:pPr>
            <w:r w:rsidRPr="009C0BEE">
              <w:rPr>
                <w:i/>
                <w:sz w:val="22"/>
                <w:szCs w:val="22"/>
              </w:rPr>
              <w:t>Bevacizumab</w:t>
            </w:r>
            <w:r w:rsidRPr="009C0BEE">
              <w:rPr>
                <w:sz w:val="22"/>
                <w:szCs w:val="22"/>
              </w:rPr>
              <w:t xml:space="preserve">: </w:t>
            </w:r>
            <w:r w:rsidR="00FB751C" w:rsidRPr="009C0BEE">
              <w:rPr>
                <w:sz w:val="22"/>
                <w:szCs w:val="22"/>
              </w:rPr>
              <w:t>nisu uočena klinički značajna</w:t>
            </w:r>
            <w:r w:rsidRPr="009C0BEE">
              <w:rPr>
                <w:sz w:val="22"/>
                <w:szCs w:val="22"/>
              </w:rPr>
              <w:t xml:space="preserve"> dejstva bevacizumaba na farmakokinetičke parametre kapecitabina ili njegovih metabolita u prisustvu oksaliplatina. </w:t>
            </w:r>
          </w:p>
          <w:p w:rsidR="00C6356D" w:rsidRPr="009C0BEE" w:rsidRDefault="00C6356D" w:rsidP="00C6356D">
            <w:pPr>
              <w:pStyle w:val="Header"/>
              <w:tabs>
                <w:tab w:val="left" w:pos="284"/>
              </w:tabs>
              <w:rPr>
                <w:color w:val="FF0000"/>
                <w:sz w:val="22"/>
                <w:szCs w:val="22"/>
              </w:rPr>
            </w:pPr>
          </w:p>
          <w:p w:rsidR="004657FC" w:rsidRPr="009C0BEE" w:rsidRDefault="00C6356D" w:rsidP="00387018">
            <w:pPr>
              <w:pStyle w:val="Header"/>
              <w:tabs>
                <w:tab w:val="left" w:pos="284"/>
              </w:tabs>
              <w:jc w:val="both"/>
              <w:rPr>
                <w:sz w:val="22"/>
                <w:szCs w:val="22"/>
              </w:rPr>
            </w:pPr>
            <w:r w:rsidRPr="009C0BEE">
              <w:rPr>
                <w:sz w:val="22"/>
                <w:szCs w:val="22"/>
                <w:u w:val="single"/>
              </w:rPr>
              <w:t>Interakcije sa hranom</w:t>
            </w:r>
          </w:p>
          <w:p w:rsidR="00C6356D" w:rsidRPr="009C0BEE" w:rsidRDefault="00C6356D" w:rsidP="007051E0">
            <w:pPr>
              <w:pStyle w:val="Header"/>
              <w:tabs>
                <w:tab w:val="left" w:pos="284"/>
              </w:tabs>
              <w:jc w:val="both"/>
              <w:rPr>
                <w:sz w:val="22"/>
                <w:szCs w:val="22"/>
              </w:rPr>
            </w:pPr>
            <w:r w:rsidRPr="009C0BEE">
              <w:rPr>
                <w:sz w:val="22"/>
                <w:szCs w:val="22"/>
              </w:rPr>
              <w:t>U svim kliničkim ispitivanjima</w:t>
            </w:r>
            <w:r w:rsidR="00CC2213" w:rsidRPr="009C0BEE">
              <w:rPr>
                <w:sz w:val="22"/>
                <w:szCs w:val="22"/>
              </w:rPr>
              <w:t>,</w:t>
            </w:r>
            <w:r w:rsidRPr="009C0BEE">
              <w:rPr>
                <w:sz w:val="22"/>
                <w:szCs w:val="22"/>
              </w:rPr>
              <w:t xml:space="preserve"> pacijentima je savjetovano da </w:t>
            </w:r>
            <w:r w:rsidR="002D021D" w:rsidRPr="009C0BEE">
              <w:rPr>
                <w:sz w:val="22"/>
                <w:szCs w:val="22"/>
              </w:rPr>
              <w:t xml:space="preserve">kapecitabin </w:t>
            </w:r>
            <w:r w:rsidRPr="009C0BEE">
              <w:rPr>
                <w:sz w:val="22"/>
                <w:szCs w:val="22"/>
              </w:rPr>
              <w:t xml:space="preserve">uzimaju u roku od 30 minuta po obroku. Budući da su svi </w:t>
            </w:r>
            <w:r w:rsidR="00370BEB" w:rsidRPr="009C0BEE">
              <w:rPr>
                <w:sz w:val="22"/>
                <w:szCs w:val="22"/>
              </w:rPr>
              <w:t>postoje</w:t>
            </w:r>
            <w:r w:rsidRPr="009C0BEE">
              <w:rPr>
                <w:sz w:val="22"/>
                <w:szCs w:val="22"/>
              </w:rPr>
              <w:t xml:space="preserve">ći podaci o bezbjednosti i efikasnosti bazirani </w:t>
            </w:r>
            <w:r w:rsidR="00370BEB" w:rsidRPr="009C0BEE">
              <w:rPr>
                <w:sz w:val="22"/>
                <w:szCs w:val="22"/>
              </w:rPr>
              <w:t>na primjeni lijeka</w:t>
            </w:r>
            <w:r w:rsidRPr="009C0BEE">
              <w:rPr>
                <w:sz w:val="22"/>
                <w:szCs w:val="22"/>
              </w:rPr>
              <w:t xml:space="preserve"> sa hranom, preporučuje se da se </w:t>
            </w:r>
            <w:r w:rsidR="00370BEB" w:rsidRPr="009C0BEE">
              <w:rPr>
                <w:sz w:val="22"/>
                <w:szCs w:val="22"/>
              </w:rPr>
              <w:t>k</w:t>
            </w:r>
            <w:r w:rsidR="00F91C4D" w:rsidRPr="009C0BEE">
              <w:rPr>
                <w:sz w:val="22"/>
                <w:szCs w:val="22"/>
              </w:rPr>
              <w:t>apecitabin</w:t>
            </w:r>
            <w:r w:rsidR="004E3DA4" w:rsidRPr="009C0BEE">
              <w:rPr>
                <w:sz w:val="22"/>
                <w:szCs w:val="22"/>
              </w:rPr>
              <w:t xml:space="preserve"> </w:t>
            </w:r>
            <w:r w:rsidRPr="009C0BEE">
              <w:rPr>
                <w:sz w:val="22"/>
                <w:szCs w:val="22"/>
              </w:rPr>
              <w:t>uzima sa hranom. Uzimanje sa hranom usporava brzinu re</w:t>
            </w:r>
            <w:r w:rsidR="00370BEB" w:rsidRPr="009C0BEE">
              <w:rPr>
                <w:sz w:val="22"/>
                <w:szCs w:val="22"/>
              </w:rPr>
              <w:t>sorpcije kapecitabina (vidjeti o</w:t>
            </w:r>
            <w:r w:rsidR="007051E0" w:rsidRPr="009C0BEE">
              <w:rPr>
                <w:sz w:val="22"/>
                <w:szCs w:val="22"/>
              </w:rPr>
              <w:t>djeljak 5.2).</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lastRenderedPageBreak/>
              <w:t>4.6. Primjena u periodu trudnoće i dojenja</w:t>
            </w:r>
          </w:p>
        </w:tc>
      </w:tr>
      <w:tr w:rsidR="00D17F29" w:rsidRPr="009C0BEE" w:rsidTr="005E7E41">
        <w:trPr>
          <w:trHeight w:val="1145"/>
        </w:trPr>
        <w:tc>
          <w:tcPr>
            <w:tcW w:w="5000" w:type="pct"/>
            <w:gridSpan w:val="4"/>
            <w:vAlign w:val="center"/>
          </w:tcPr>
          <w:p w:rsidR="00C6356D" w:rsidRPr="009C0BEE" w:rsidRDefault="00C6356D" w:rsidP="00C6356D">
            <w:pPr>
              <w:rPr>
                <w:sz w:val="22"/>
                <w:szCs w:val="22"/>
                <w:u w:val="single"/>
              </w:rPr>
            </w:pPr>
            <w:r w:rsidRPr="009C0BEE">
              <w:rPr>
                <w:sz w:val="22"/>
                <w:szCs w:val="22"/>
                <w:u w:val="single"/>
              </w:rPr>
              <w:t>Žene u reproduktivnom periodu</w:t>
            </w:r>
            <w:r w:rsidR="00AE15EF" w:rsidRPr="009C0BEE">
              <w:rPr>
                <w:sz w:val="22"/>
                <w:szCs w:val="22"/>
                <w:u w:val="single"/>
              </w:rPr>
              <w:t>/kontracepcija kod muškaraca i žena</w:t>
            </w:r>
          </w:p>
          <w:p w:rsidR="00C6356D" w:rsidRPr="009C0BEE" w:rsidRDefault="00AE15EF" w:rsidP="00AE15EF">
            <w:pPr>
              <w:jc w:val="both"/>
              <w:rPr>
                <w:sz w:val="22"/>
                <w:szCs w:val="22"/>
              </w:rPr>
            </w:pPr>
            <w:r w:rsidRPr="009C0BEE">
              <w:rPr>
                <w:sz w:val="22"/>
                <w:szCs w:val="22"/>
              </w:rPr>
              <w:t>Ženama u reproduktivnom period</w:t>
            </w:r>
            <w:r w:rsidR="00C6356D" w:rsidRPr="009C0BEE">
              <w:rPr>
                <w:sz w:val="22"/>
                <w:szCs w:val="22"/>
              </w:rPr>
              <w:t xml:space="preserve">u treba savjetovati da </w:t>
            </w:r>
            <w:r w:rsidRPr="009C0BEE">
              <w:rPr>
                <w:sz w:val="22"/>
                <w:szCs w:val="22"/>
              </w:rPr>
              <w:t xml:space="preserve">tokom liječenja kapecitabinom </w:t>
            </w:r>
            <w:r w:rsidR="00C6356D" w:rsidRPr="009C0BEE">
              <w:rPr>
                <w:sz w:val="22"/>
                <w:szCs w:val="22"/>
              </w:rPr>
              <w:t>izbjegavaju trudnoću</w:t>
            </w:r>
            <w:r w:rsidRPr="009C0BEE">
              <w:rPr>
                <w:sz w:val="22"/>
                <w:szCs w:val="22"/>
              </w:rPr>
              <w:t>.</w:t>
            </w:r>
            <w:r w:rsidR="00C6356D" w:rsidRPr="009C0BEE">
              <w:rPr>
                <w:sz w:val="22"/>
                <w:szCs w:val="22"/>
              </w:rPr>
              <w:t xml:space="preserve"> Ukoliko ostanu trudne tokom </w:t>
            </w:r>
            <w:r w:rsidRPr="009C0BEE">
              <w:rPr>
                <w:sz w:val="22"/>
                <w:szCs w:val="22"/>
              </w:rPr>
              <w:t>liječenja k</w:t>
            </w:r>
            <w:r w:rsidR="00F91C4D" w:rsidRPr="009C0BEE">
              <w:rPr>
                <w:sz w:val="22"/>
                <w:szCs w:val="22"/>
              </w:rPr>
              <w:t>apecitabin</w:t>
            </w:r>
            <w:r w:rsidRPr="009C0BEE">
              <w:rPr>
                <w:sz w:val="22"/>
                <w:szCs w:val="22"/>
              </w:rPr>
              <w:t>om</w:t>
            </w:r>
            <w:r w:rsidR="00C6356D" w:rsidRPr="009C0BEE">
              <w:rPr>
                <w:sz w:val="22"/>
                <w:szCs w:val="22"/>
              </w:rPr>
              <w:t xml:space="preserve">, mora im se </w:t>
            </w:r>
            <w:r w:rsidRPr="009C0BEE">
              <w:rPr>
                <w:sz w:val="22"/>
                <w:szCs w:val="22"/>
              </w:rPr>
              <w:t>ukaza</w:t>
            </w:r>
            <w:r w:rsidR="00C6356D" w:rsidRPr="009C0BEE">
              <w:rPr>
                <w:sz w:val="22"/>
                <w:szCs w:val="22"/>
              </w:rPr>
              <w:t xml:space="preserve">ti </w:t>
            </w:r>
            <w:r w:rsidRPr="009C0BEE">
              <w:rPr>
                <w:sz w:val="22"/>
                <w:szCs w:val="22"/>
              </w:rPr>
              <w:t xml:space="preserve">na </w:t>
            </w:r>
            <w:r w:rsidR="00C6356D" w:rsidRPr="009C0BEE">
              <w:rPr>
                <w:sz w:val="22"/>
                <w:szCs w:val="22"/>
              </w:rPr>
              <w:t>potencijalni rizik za fetus.</w:t>
            </w:r>
            <w:r w:rsidRPr="009C0BEE">
              <w:rPr>
                <w:sz w:val="22"/>
                <w:szCs w:val="22"/>
              </w:rPr>
              <w:t xml:space="preserve"> Tokom liječenja se mora primjenjivati efikasna metoda kontracepcije.</w:t>
            </w:r>
          </w:p>
          <w:p w:rsidR="00C6356D" w:rsidRPr="009C0BEE" w:rsidRDefault="00C6356D" w:rsidP="00C6356D">
            <w:pPr>
              <w:rPr>
                <w:color w:val="FF0000"/>
                <w:sz w:val="22"/>
                <w:szCs w:val="22"/>
              </w:rPr>
            </w:pPr>
          </w:p>
          <w:p w:rsidR="00C6356D" w:rsidRPr="009C0BEE" w:rsidRDefault="00C6356D" w:rsidP="00C6356D">
            <w:pPr>
              <w:rPr>
                <w:sz w:val="22"/>
                <w:szCs w:val="22"/>
                <w:u w:val="single"/>
              </w:rPr>
            </w:pPr>
            <w:r w:rsidRPr="009C0BEE">
              <w:rPr>
                <w:sz w:val="22"/>
                <w:szCs w:val="22"/>
                <w:u w:val="single"/>
              </w:rPr>
              <w:t>Trudnoća</w:t>
            </w:r>
          </w:p>
          <w:p w:rsidR="00C6356D" w:rsidRPr="009C0BEE" w:rsidRDefault="00E61946" w:rsidP="00E61946">
            <w:pPr>
              <w:jc w:val="both"/>
              <w:rPr>
                <w:sz w:val="22"/>
                <w:szCs w:val="22"/>
              </w:rPr>
            </w:pPr>
            <w:r w:rsidRPr="009C0BEE">
              <w:rPr>
                <w:sz w:val="22"/>
                <w:szCs w:val="22"/>
              </w:rPr>
              <w:t xml:space="preserve">Nisu rađena ispitivanja o djelovanju </w:t>
            </w:r>
            <w:r w:rsidR="00CA3123" w:rsidRPr="009C0BEE">
              <w:rPr>
                <w:sz w:val="22"/>
                <w:szCs w:val="22"/>
              </w:rPr>
              <w:t>kapecitabina</w:t>
            </w:r>
            <w:r w:rsidRPr="009C0BEE">
              <w:rPr>
                <w:sz w:val="22"/>
                <w:szCs w:val="22"/>
              </w:rPr>
              <w:t xml:space="preserve"> kod trudnica. M</w:t>
            </w:r>
            <w:r w:rsidR="00C6356D" w:rsidRPr="009C0BEE">
              <w:rPr>
                <w:sz w:val="22"/>
                <w:szCs w:val="22"/>
              </w:rPr>
              <w:t xml:space="preserve">ože se pretpostaviti da </w:t>
            </w:r>
            <w:r w:rsidRPr="009C0BEE">
              <w:rPr>
                <w:sz w:val="22"/>
                <w:szCs w:val="22"/>
              </w:rPr>
              <w:t>k</w:t>
            </w:r>
            <w:r w:rsidR="00F91C4D" w:rsidRPr="009C0BEE">
              <w:rPr>
                <w:sz w:val="22"/>
                <w:szCs w:val="22"/>
              </w:rPr>
              <w:t>apecitabin</w:t>
            </w:r>
            <w:r w:rsidR="00C6356D" w:rsidRPr="009C0BEE">
              <w:rPr>
                <w:sz w:val="22"/>
                <w:szCs w:val="22"/>
              </w:rPr>
              <w:t xml:space="preserve"> može da nanese štetu fetusu ako se daje trudnicama. U ispitivanjima reproduktivne tok</w:t>
            </w:r>
            <w:r w:rsidRPr="009C0BEE">
              <w:rPr>
                <w:sz w:val="22"/>
                <w:szCs w:val="22"/>
              </w:rPr>
              <w:t xml:space="preserve">sičnosti na životinjama, primjena </w:t>
            </w:r>
            <w:r w:rsidR="00CA3123" w:rsidRPr="009C0BEE">
              <w:rPr>
                <w:sz w:val="22"/>
                <w:szCs w:val="22"/>
              </w:rPr>
              <w:t xml:space="preserve">kapecitabina </w:t>
            </w:r>
            <w:r w:rsidR="00C6356D" w:rsidRPr="009C0BEE">
              <w:rPr>
                <w:sz w:val="22"/>
                <w:szCs w:val="22"/>
              </w:rPr>
              <w:t>d</w:t>
            </w:r>
            <w:r w:rsidRPr="009C0BEE">
              <w:rPr>
                <w:sz w:val="22"/>
                <w:szCs w:val="22"/>
              </w:rPr>
              <w:t xml:space="preserve">jelovala je </w:t>
            </w:r>
            <w:r w:rsidR="00C6356D" w:rsidRPr="009C0BEE">
              <w:rPr>
                <w:sz w:val="22"/>
                <w:szCs w:val="22"/>
              </w:rPr>
              <w:t xml:space="preserve">embrioletalno i teratogeno. Ovi nalazi su očekivana dejstva derivata fluoropirimidina. </w:t>
            </w:r>
            <w:r w:rsidR="00F91C4D" w:rsidRPr="009C0BEE">
              <w:rPr>
                <w:sz w:val="22"/>
                <w:szCs w:val="22"/>
              </w:rPr>
              <w:t>Kapecitabin</w:t>
            </w:r>
            <w:r w:rsidRPr="009C0BEE">
              <w:rPr>
                <w:sz w:val="22"/>
                <w:szCs w:val="22"/>
              </w:rPr>
              <w:t xml:space="preserve"> se ne smije primjenjivati</w:t>
            </w:r>
            <w:r w:rsidR="00C6356D" w:rsidRPr="009C0BEE">
              <w:rPr>
                <w:sz w:val="22"/>
                <w:szCs w:val="22"/>
              </w:rPr>
              <w:t xml:space="preserve"> tokom trudnoće. </w:t>
            </w:r>
          </w:p>
          <w:p w:rsidR="00C6356D" w:rsidRPr="009C0BEE" w:rsidRDefault="00C6356D" w:rsidP="00C6356D">
            <w:pPr>
              <w:rPr>
                <w:color w:val="FF0000"/>
                <w:sz w:val="22"/>
                <w:szCs w:val="22"/>
              </w:rPr>
            </w:pPr>
          </w:p>
          <w:p w:rsidR="00C6356D" w:rsidRPr="009C0BEE" w:rsidRDefault="00C6356D" w:rsidP="00C6356D">
            <w:pPr>
              <w:rPr>
                <w:i/>
                <w:sz w:val="22"/>
                <w:szCs w:val="22"/>
              </w:rPr>
            </w:pPr>
            <w:r w:rsidRPr="009C0BEE">
              <w:rPr>
                <w:i/>
                <w:sz w:val="22"/>
                <w:szCs w:val="22"/>
              </w:rPr>
              <w:t>Dojenje</w:t>
            </w:r>
          </w:p>
          <w:p w:rsidR="00C6356D" w:rsidRPr="009C0BEE" w:rsidRDefault="00C6356D" w:rsidP="009E4D27">
            <w:pPr>
              <w:jc w:val="both"/>
              <w:rPr>
                <w:sz w:val="22"/>
                <w:szCs w:val="22"/>
              </w:rPr>
            </w:pPr>
            <w:r w:rsidRPr="009C0BEE">
              <w:rPr>
                <w:sz w:val="22"/>
                <w:szCs w:val="22"/>
              </w:rPr>
              <w:t xml:space="preserve">Nije poznato da li se </w:t>
            </w:r>
            <w:r w:rsidR="009E4D27" w:rsidRPr="009C0BEE">
              <w:rPr>
                <w:sz w:val="22"/>
                <w:szCs w:val="22"/>
              </w:rPr>
              <w:t>k</w:t>
            </w:r>
            <w:r w:rsidR="00F91C4D" w:rsidRPr="009C0BEE">
              <w:rPr>
                <w:sz w:val="22"/>
                <w:szCs w:val="22"/>
              </w:rPr>
              <w:t>apecitabin</w:t>
            </w:r>
            <w:r w:rsidRPr="009C0BEE">
              <w:rPr>
                <w:sz w:val="22"/>
                <w:szCs w:val="22"/>
              </w:rPr>
              <w:t xml:space="preserve"> izlučuje u </w:t>
            </w:r>
            <w:r w:rsidR="009E4D27" w:rsidRPr="009C0BEE">
              <w:rPr>
                <w:sz w:val="22"/>
                <w:szCs w:val="22"/>
              </w:rPr>
              <w:t xml:space="preserve">majčino </w:t>
            </w:r>
            <w:r w:rsidRPr="009C0BEE">
              <w:rPr>
                <w:sz w:val="22"/>
                <w:szCs w:val="22"/>
              </w:rPr>
              <w:t>mlijek</w:t>
            </w:r>
            <w:r w:rsidR="009E4D27" w:rsidRPr="009C0BEE">
              <w:rPr>
                <w:sz w:val="22"/>
                <w:szCs w:val="22"/>
              </w:rPr>
              <w:t>o. U mlijeku</w:t>
            </w:r>
            <w:r w:rsidRPr="009C0BEE">
              <w:rPr>
                <w:sz w:val="22"/>
                <w:szCs w:val="22"/>
              </w:rPr>
              <w:t xml:space="preserve"> ženki miš</w:t>
            </w:r>
            <w:r w:rsidR="009E4D27" w:rsidRPr="009C0BEE">
              <w:rPr>
                <w:sz w:val="22"/>
                <w:szCs w:val="22"/>
              </w:rPr>
              <w:t>ev</w:t>
            </w:r>
            <w:r w:rsidRPr="009C0BEE">
              <w:rPr>
                <w:sz w:val="22"/>
                <w:szCs w:val="22"/>
              </w:rPr>
              <w:t>a</w:t>
            </w:r>
            <w:r w:rsidR="009E4D27" w:rsidRPr="009C0BEE">
              <w:rPr>
                <w:sz w:val="22"/>
                <w:szCs w:val="22"/>
              </w:rPr>
              <w:t xml:space="preserve"> u fazi laktacije je nađena znatna</w:t>
            </w:r>
            <w:r w:rsidRPr="009C0BEE">
              <w:rPr>
                <w:sz w:val="22"/>
                <w:szCs w:val="22"/>
              </w:rPr>
              <w:t xml:space="preserve"> količine kapecitabina i njegovih metabolita. </w:t>
            </w:r>
            <w:r w:rsidR="009E4D27" w:rsidRPr="009C0BEE">
              <w:rPr>
                <w:sz w:val="22"/>
                <w:szCs w:val="22"/>
              </w:rPr>
              <w:t>Dojenje treba prekinuti</w:t>
            </w:r>
            <w:r w:rsidRPr="009C0BEE">
              <w:rPr>
                <w:sz w:val="22"/>
                <w:szCs w:val="22"/>
              </w:rPr>
              <w:t xml:space="preserve"> dok </w:t>
            </w:r>
            <w:r w:rsidR="009E4D27" w:rsidRPr="009C0BEE">
              <w:rPr>
                <w:sz w:val="22"/>
                <w:szCs w:val="22"/>
              </w:rPr>
              <w:t>traje</w:t>
            </w:r>
            <w:r w:rsidRPr="009C0BEE">
              <w:rPr>
                <w:sz w:val="22"/>
                <w:szCs w:val="22"/>
              </w:rPr>
              <w:t xml:space="preserve"> </w:t>
            </w:r>
            <w:r w:rsidR="009E4D27" w:rsidRPr="009C0BEE">
              <w:rPr>
                <w:sz w:val="22"/>
                <w:szCs w:val="22"/>
              </w:rPr>
              <w:t>liječenje k</w:t>
            </w:r>
            <w:r w:rsidR="00F91C4D" w:rsidRPr="009C0BEE">
              <w:rPr>
                <w:sz w:val="22"/>
                <w:szCs w:val="22"/>
              </w:rPr>
              <w:t>apecitabin</w:t>
            </w:r>
            <w:r w:rsidR="009E4D27" w:rsidRPr="009C0BEE">
              <w:rPr>
                <w:sz w:val="22"/>
                <w:szCs w:val="22"/>
              </w:rPr>
              <w:t>om</w:t>
            </w:r>
            <w:r w:rsidRPr="009C0BEE">
              <w:rPr>
                <w:sz w:val="22"/>
                <w:szCs w:val="22"/>
              </w:rPr>
              <w:t>.</w:t>
            </w:r>
          </w:p>
          <w:p w:rsidR="00C6356D" w:rsidRPr="009C0BEE" w:rsidRDefault="00C6356D" w:rsidP="00C6356D">
            <w:pPr>
              <w:pStyle w:val="Header"/>
              <w:tabs>
                <w:tab w:val="left" w:pos="284"/>
              </w:tabs>
              <w:rPr>
                <w:color w:val="FF0000"/>
                <w:sz w:val="22"/>
                <w:szCs w:val="22"/>
              </w:rPr>
            </w:pPr>
          </w:p>
          <w:p w:rsidR="009A501C" w:rsidRPr="009C0BEE" w:rsidRDefault="009A501C" w:rsidP="009A501C">
            <w:pPr>
              <w:rPr>
                <w:i/>
                <w:sz w:val="22"/>
                <w:szCs w:val="22"/>
              </w:rPr>
            </w:pPr>
            <w:r w:rsidRPr="009C0BEE">
              <w:rPr>
                <w:i/>
                <w:sz w:val="22"/>
                <w:szCs w:val="22"/>
              </w:rPr>
              <w:t>Plodnost</w:t>
            </w:r>
          </w:p>
          <w:p w:rsidR="009A501C" w:rsidRPr="009C0BEE" w:rsidRDefault="009A501C" w:rsidP="009A501C">
            <w:pPr>
              <w:jc w:val="both"/>
              <w:rPr>
                <w:sz w:val="22"/>
                <w:szCs w:val="22"/>
              </w:rPr>
            </w:pPr>
            <w:r w:rsidRPr="009C0BEE">
              <w:rPr>
                <w:sz w:val="22"/>
                <w:szCs w:val="22"/>
              </w:rPr>
              <w:lastRenderedPageBreak/>
              <w:t xml:space="preserve">Nema podataka o uticaju kapecitabina na plodnost. Pivotalne studije sa kapecitabinom uključivale su samo pacijente u reproduktivnom periodu koji su prihvatili metod kontrole rađanja tj. pacijentkinje koje su izbjegavale trudnoću tokom trajanja studija i u razumnom roku nakon toga. </w:t>
            </w:r>
          </w:p>
          <w:p w:rsidR="009A501C" w:rsidRPr="009C0BEE" w:rsidRDefault="009A501C" w:rsidP="009A501C">
            <w:pPr>
              <w:jc w:val="both"/>
              <w:rPr>
                <w:sz w:val="22"/>
                <w:szCs w:val="22"/>
              </w:rPr>
            </w:pPr>
            <w:r w:rsidRPr="009C0BEE">
              <w:rPr>
                <w:sz w:val="22"/>
                <w:szCs w:val="22"/>
              </w:rPr>
              <w:t>U studijama na životinjama uočen je uticaj lijeka na fertilitet (vid</w:t>
            </w:r>
            <w:r w:rsidR="00A8681D" w:rsidRPr="009C0BEE">
              <w:rPr>
                <w:sz w:val="22"/>
                <w:szCs w:val="22"/>
              </w:rPr>
              <w:t>j</w:t>
            </w:r>
            <w:r w:rsidRPr="009C0BEE">
              <w:rPr>
                <w:sz w:val="22"/>
                <w:szCs w:val="22"/>
              </w:rPr>
              <w:t>eti odeljak 5.3).</w:t>
            </w:r>
          </w:p>
          <w:p w:rsidR="009A501C" w:rsidRPr="009C0BEE" w:rsidRDefault="009A501C" w:rsidP="009A501C">
            <w:pPr>
              <w:jc w:val="both"/>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pacing w:val="-8"/>
                <w:sz w:val="22"/>
                <w:szCs w:val="22"/>
              </w:rPr>
            </w:pPr>
            <w:r w:rsidRPr="009C0BEE">
              <w:rPr>
                <w:b/>
                <w:bCs/>
                <w:spacing w:val="-8"/>
                <w:sz w:val="22"/>
                <w:szCs w:val="22"/>
              </w:rPr>
              <w:lastRenderedPageBreak/>
              <w:t>4.7. Uticaj na psihofizičke sposobnosti pril</w:t>
            </w:r>
            <w:r w:rsidR="003A6FFB" w:rsidRPr="009C0BEE">
              <w:rPr>
                <w:b/>
                <w:bCs/>
                <w:spacing w:val="-8"/>
                <w:sz w:val="22"/>
                <w:szCs w:val="22"/>
              </w:rPr>
              <w:t>ikom upravljanja motornim vozili</w:t>
            </w:r>
            <w:r w:rsidRPr="009C0BEE">
              <w:rPr>
                <w:b/>
                <w:bCs/>
                <w:spacing w:val="-8"/>
                <w:sz w:val="22"/>
                <w:szCs w:val="22"/>
              </w:rPr>
              <w:t>m</w:t>
            </w:r>
            <w:r w:rsidR="003A6FFB" w:rsidRPr="009C0BEE">
              <w:rPr>
                <w:b/>
                <w:bCs/>
                <w:spacing w:val="-8"/>
                <w:sz w:val="22"/>
                <w:szCs w:val="22"/>
              </w:rPr>
              <w:t>a</w:t>
            </w:r>
            <w:r w:rsidRPr="009C0BEE">
              <w:rPr>
                <w:b/>
                <w:bCs/>
                <w:spacing w:val="-8"/>
                <w:sz w:val="22"/>
                <w:szCs w:val="22"/>
              </w:rPr>
              <w:t xml:space="preserve"> i rukovanja mašinama</w:t>
            </w:r>
          </w:p>
        </w:tc>
      </w:tr>
      <w:tr w:rsidR="00D17F29" w:rsidRPr="009C0BEE" w:rsidTr="005E7E41">
        <w:trPr>
          <w:trHeight w:val="1197"/>
        </w:trPr>
        <w:tc>
          <w:tcPr>
            <w:tcW w:w="5000" w:type="pct"/>
            <w:gridSpan w:val="4"/>
            <w:vAlign w:val="center"/>
          </w:tcPr>
          <w:p w:rsidR="00C6356D" w:rsidRPr="009C0BEE" w:rsidRDefault="00F91C4D" w:rsidP="009C12AB">
            <w:pPr>
              <w:pStyle w:val="Header"/>
              <w:tabs>
                <w:tab w:val="left" w:pos="284"/>
              </w:tabs>
              <w:jc w:val="both"/>
              <w:rPr>
                <w:sz w:val="22"/>
                <w:szCs w:val="22"/>
              </w:rPr>
            </w:pPr>
            <w:r w:rsidRPr="009C0BEE">
              <w:rPr>
                <w:sz w:val="22"/>
                <w:szCs w:val="22"/>
              </w:rPr>
              <w:t>Kapecitabin</w:t>
            </w:r>
            <w:r w:rsidR="00C6356D" w:rsidRPr="009C0BEE">
              <w:rPr>
                <w:sz w:val="22"/>
                <w:szCs w:val="22"/>
              </w:rPr>
              <w:t xml:space="preserve"> ima mali do umjereni uticaj na sposobnost za upravljanje vozilima i </w:t>
            </w:r>
            <w:r w:rsidR="009C12AB" w:rsidRPr="009C0BEE">
              <w:rPr>
                <w:sz w:val="22"/>
                <w:szCs w:val="22"/>
              </w:rPr>
              <w:t xml:space="preserve">rada na </w:t>
            </w:r>
            <w:r w:rsidR="00C6356D" w:rsidRPr="009C0BEE">
              <w:rPr>
                <w:sz w:val="22"/>
                <w:szCs w:val="22"/>
              </w:rPr>
              <w:t xml:space="preserve">mašinama. </w:t>
            </w:r>
            <w:r w:rsidRPr="009C0BEE">
              <w:rPr>
                <w:sz w:val="22"/>
                <w:szCs w:val="22"/>
              </w:rPr>
              <w:t>Kapecitabin</w:t>
            </w:r>
            <w:r w:rsidR="004E3DA4" w:rsidRPr="009C0BEE">
              <w:rPr>
                <w:sz w:val="22"/>
                <w:szCs w:val="22"/>
              </w:rPr>
              <w:t xml:space="preserve"> </w:t>
            </w:r>
            <w:r w:rsidR="00C6356D" w:rsidRPr="009C0BEE">
              <w:rPr>
                <w:sz w:val="22"/>
                <w:szCs w:val="22"/>
              </w:rPr>
              <w:t>može da izazove vrtoglavicu, umor i mučninu.</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4.8. Neželjena dejstva</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i/>
                <w:iCs/>
                <w:color w:val="FF0000"/>
                <w:sz w:val="22"/>
                <w:szCs w:val="22"/>
              </w:rPr>
            </w:pPr>
          </w:p>
          <w:p w:rsidR="00C6356D" w:rsidRPr="009C0BEE" w:rsidRDefault="00A26409" w:rsidP="00C6356D">
            <w:pPr>
              <w:pStyle w:val="Header"/>
              <w:tabs>
                <w:tab w:val="left" w:pos="284"/>
              </w:tabs>
              <w:rPr>
                <w:iCs/>
                <w:sz w:val="22"/>
                <w:szCs w:val="22"/>
                <w:u w:val="single"/>
              </w:rPr>
            </w:pPr>
            <w:r w:rsidRPr="009C0BEE">
              <w:rPr>
                <w:iCs/>
                <w:sz w:val="22"/>
                <w:szCs w:val="22"/>
                <w:u w:val="single"/>
              </w:rPr>
              <w:t>Sažetak</w:t>
            </w:r>
            <w:r w:rsidR="00C6356D" w:rsidRPr="009C0BEE">
              <w:rPr>
                <w:iCs/>
                <w:sz w:val="22"/>
                <w:szCs w:val="22"/>
                <w:u w:val="single"/>
              </w:rPr>
              <w:t xml:space="preserve"> b</w:t>
            </w:r>
            <w:r w:rsidRPr="009C0BEE">
              <w:rPr>
                <w:iCs/>
                <w:sz w:val="22"/>
                <w:szCs w:val="22"/>
                <w:u w:val="single"/>
              </w:rPr>
              <w:t>ezbjednosnog</w:t>
            </w:r>
            <w:r w:rsidR="00C6356D" w:rsidRPr="009C0BEE">
              <w:rPr>
                <w:iCs/>
                <w:sz w:val="22"/>
                <w:szCs w:val="22"/>
                <w:u w:val="single"/>
              </w:rPr>
              <w:t xml:space="preserve"> profil</w:t>
            </w:r>
            <w:r w:rsidRPr="009C0BEE">
              <w:rPr>
                <w:iCs/>
                <w:sz w:val="22"/>
                <w:szCs w:val="22"/>
                <w:u w:val="single"/>
              </w:rPr>
              <w:t>a</w:t>
            </w:r>
            <w:r w:rsidR="00C6356D" w:rsidRPr="009C0BEE">
              <w:rPr>
                <w:iCs/>
                <w:sz w:val="22"/>
                <w:szCs w:val="22"/>
                <w:u w:val="single"/>
              </w:rPr>
              <w:t xml:space="preserve"> </w:t>
            </w:r>
          </w:p>
          <w:p w:rsidR="00C6356D" w:rsidRPr="009C0BEE" w:rsidRDefault="00C6356D" w:rsidP="00C6356D">
            <w:pPr>
              <w:pStyle w:val="Header"/>
              <w:tabs>
                <w:tab w:val="left" w:pos="284"/>
              </w:tabs>
              <w:rPr>
                <w:i/>
                <w:iCs/>
                <w:color w:val="FF0000"/>
                <w:sz w:val="22"/>
                <w:szCs w:val="22"/>
              </w:rPr>
            </w:pPr>
          </w:p>
          <w:p w:rsidR="00C6356D" w:rsidRPr="009C0BEE" w:rsidRDefault="00C6356D" w:rsidP="0041353F">
            <w:pPr>
              <w:pStyle w:val="Header"/>
              <w:tabs>
                <w:tab w:val="left" w:pos="284"/>
              </w:tabs>
              <w:jc w:val="both"/>
              <w:rPr>
                <w:sz w:val="22"/>
                <w:szCs w:val="22"/>
              </w:rPr>
            </w:pPr>
            <w:r w:rsidRPr="009C0BEE">
              <w:rPr>
                <w:sz w:val="22"/>
                <w:szCs w:val="22"/>
              </w:rPr>
              <w:t xml:space="preserve">Ukupan bezbjednosni profil lijeka </w:t>
            </w:r>
            <w:r w:rsidR="00A26409" w:rsidRPr="009C0BEE">
              <w:rPr>
                <w:sz w:val="22"/>
                <w:szCs w:val="22"/>
              </w:rPr>
              <w:t>k</w:t>
            </w:r>
            <w:r w:rsidR="00F91C4D" w:rsidRPr="009C0BEE">
              <w:rPr>
                <w:sz w:val="22"/>
                <w:szCs w:val="22"/>
              </w:rPr>
              <w:t>apecitabin</w:t>
            </w:r>
            <w:r w:rsidRPr="009C0BEE">
              <w:rPr>
                <w:sz w:val="22"/>
                <w:szCs w:val="22"/>
              </w:rPr>
              <w:t xml:space="preserve"> zasnovan je na podacima od preko 3000 pacijenata liječenih </w:t>
            </w:r>
            <w:r w:rsidR="00A26409" w:rsidRPr="009C0BEE">
              <w:rPr>
                <w:sz w:val="22"/>
                <w:szCs w:val="22"/>
              </w:rPr>
              <w:t>k</w:t>
            </w:r>
            <w:r w:rsidR="00F91C4D" w:rsidRPr="009C0BEE">
              <w:rPr>
                <w:sz w:val="22"/>
                <w:szCs w:val="22"/>
              </w:rPr>
              <w:t>apecitabin</w:t>
            </w:r>
            <w:r w:rsidR="00A26409" w:rsidRPr="009C0BEE">
              <w:rPr>
                <w:sz w:val="22"/>
                <w:szCs w:val="22"/>
              </w:rPr>
              <w:t>om kao monoterapijom ili k</w:t>
            </w:r>
            <w:r w:rsidR="00F91C4D" w:rsidRPr="009C0BEE">
              <w:rPr>
                <w:sz w:val="22"/>
                <w:szCs w:val="22"/>
              </w:rPr>
              <w:t>apecitabin</w:t>
            </w:r>
            <w:r w:rsidR="00A26409" w:rsidRPr="009C0BEE">
              <w:rPr>
                <w:sz w:val="22"/>
                <w:szCs w:val="22"/>
              </w:rPr>
              <w:t>om</w:t>
            </w:r>
            <w:r w:rsidRPr="009C0BEE">
              <w:rPr>
                <w:sz w:val="22"/>
                <w:szCs w:val="22"/>
              </w:rPr>
              <w:t xml:space="preserve"> u kombinaciji sa različitim hemioterapijskim režim</w:t>
            </w:r>
            <w:r w:rsidR="00A26409" w:rsidRPr="009C0BEE">
              <w:rPr>
                <w:sz w:val="22"/>
                <w:szCs w:val="22"/>
              </w:rPr>
              <w:t>ima u različitim indikacijama. Ukupni b</w:t>
            </w:r>
            <w:r w:rsidRPr="009C0BEE">
              <w:rPr>
                <w:sz w:val="22"/>
                <w:szCs w:val="22"/>
              </w:rPr>
              <w:t xml:space="preserve">ezbjednosni profili </w:t>
            </w:r>
            <w:r w:rsidR="00A26409" w:rsidRPr="009C0BEE">
              <w:rPr>
                <w:sz w:val="22"/>
                <w:szCs w:val="22"/>
              </w:rPr>
              <w:t>k</w:t>
            </w:r>
            <w:r w:rsidR="00F91C4D" w:rsidRPr="009C0BEE">
              <w:rPr>
                <w:sz w:val="22"/>
                <w:szCs w:val="22"/>
              </w:rPr>
              <w:t>apecitabin</w:t>
            </w:r>
            <w:r w:rsidR="004E3DA4" w:rsidRPr="009C0BEE">
              <w:rPr>
                <w:sz w:val="22"/>
                <w:szCs w:val="22"/>
              </w:rPr>
              <w:t xml:space="preserve"> </w:t>
            </w:r>
            <w:r w:rsidR="00A26409" w:rsidRPr="009C0BEE">
              <w:rPr>
                <w:sz w:val="22"/>
                <w:szCs w:val="22"/>
              </w:rPr>
              <w:t>m</w:t>
            </w:r>
            <w:r w:rsidRPr="009C0BEE">
              <w:rPr>
                <w:sz w:val="22"/>
                <w:szCs w:val="22"/>
              </w:rPr>
              <w:t xml:space="preserve">onoterapije za populacije pacijenata sa metastatskim karcinomom dojke, metastatskim kolorektalnim karcinomom i adjuvantnim karcinomom kolona su uporedivi. </w:t>
            </w:r>
            <w:r w:rsidR="008D082F" w:rsidRPr="009C0BEE">
              <w:rPr>
                <w:sz w:val="22"/>
                <w:szCs w:val="22"/>
              </w:rPr>
              <w:t xml:space="preserve">Pogledajte </w:t>
            </w:r>
            <w:r w:rsidRPr="009C0BEE">
              <w:rPr>
                <w:sz w:val="22"/>
                <w:szCs w:val="22"/>
              </w:rPr>
              <w:t xml:space="preserve">odjeljak 5.1 za detalje </w:t>
            </w:r>
            <w:r w:rsidR="00A26409" w:rsidRPr="009C0BEE">
              <w:rPr>
                <w:sz w:val="22"/>
                <w:szCs w:val="22"/>
              </w:rPr>
              <w:t>najvažnij</w:t>
            </w:r>
            <w:r w:rsidRPr="009C0BEE">
              <w:rPr>
                <w:sz w:val="22"/>
                <w:szCs w:val="22"/>
              </w:rPr>
              <w:t xml:space="preserve">ih studija, uključujući </w:t>
            </w:r>
            <w:r w:rsidR="00A26409" w:rsidRPr="009C0BEE">
              <w:rPr>
                <w:sz w:val="22"/>
                <w:szCs w:val="22"/>
              </w:rPr>
              <w:t xml:space="preserve">njihov </w:t>
            </w:r>
            <w:r w:rsidRPr="009C0BEE">
              <w:rPr>
                <w:sz w:val="22"/>
                <w:szCs w:val="22"/>
              </w:rPr>
              <w:t xml:space="preserve">dizajn i glavne rezultate efikasnosti.  </w:t>
            </w:r>
          </w:p>
          <w:p w:rsidR="00C6356D" w:rsidRPr="009C0BEE" w:rsidRDefault="00C6356D" w:rsidP="00C6356D">
            <w:pPr>
              <w:pStyle w:val="Header"/>
              <w:tabs>
                <w:tab w:val="left" w:pos="284"/>
              </w:tabs>
              <w:rPr>
                <w:color w:val="FF0000"/>
                <w:sz w:val="22"/>
                <w:szCs w:val="22"/>
              </w:rPr>
            </w:pPr>
          </w:p>
          <w:p w:rsidR="00C6356D" w:rsidRPr="009C0BEE" w:rsidRDefault="00C6356D" w:rsidP="0041353F">
            <w:pPr>
              <w:pStyle w:val="Header"/>
              <w:tabs>
                <w:tab w:val="left" w:pos="284"/>
              </w:tabs>
              <w:jc w:val="both"/>
              <w:rPr>
                <w:sz w:val="22"/>
                <w:szCs w:val="22"/>
              </w:rPr>
            </w:pPr>
            <w:r w:rsidRPr="009C0BEE">
              <w:rPr>
                <w:sz w:val="22"/>
                <w:szCs w:val="22"/>
              </w:rPr>
              <w:t>Najčešće prijavljene i/ili klinički relevantne neželjene reakcije na lijek povezane sa terapijom bili su gastrointestinalni poremećaji (naročit</w:t>
            </w:r>
            <w:r w:rsidR="008D082F" w:rsidRPr="009C0BEE">
              <w:rPr>
                <w:sz w:val="22"/>
                <w:szCs w:val="22"/>
              </w:rPr>
              <w:t>o</w:t>
            </w:r>
            <w:r w:rsidRPr="009C0BEE">
              <w:rPr>
                <w:sz w:val="22"/>
                <w:szCs w:val="22"/>
              </w:rPr>
              <w:t xml:space="preserve"> dijareja, mučnina, povraćanje, bol u abdomenu, stomatitis), sindrom šaka-stopalo (palmarno-plantarna eritrodisestezija), umor, astenija, anoreksija,</w:t>
            </w:r>
            <w:r w:rsidRPr="009C0BEE">
              <w:rPr>
                <w:i/>
                <w:iCs/>
                <w:sz w:val="22"/>
                <w:szCs w:val="22"/>
              </w:rPr>
              <w:t xml:space="preserve"> </w:t>
            </w:r>
            <w:r w:rsidRPr="009C0BEE">
              <w:rPr>
                <w:sz w:val="22"/>
                <w:szCs w:val="22"/>
              </w:rPr>
              <w:t>kardiotoksičnost, po</w:t>
            </w:r>
            <w:r w:rsidR="00CF77D3" w:rsidRPr="009C0BEE">
              <w:rPr>
                <w:sz w:val="22"/>
                <w:szCs w:val="22"/>
              </w:rPr>
              <w:t>goršanje</w:t>
            </w:r>
            <w:r w:rsidRPr="009C0BEE">
              <w:rPr>
                <w:sz w:val="22"/>
                <w:szCs w:val="22"/>
              </w:rPr>
              <w:t xml:space="preserve"> </w:t>
            </w:r>
            <w:r w:rsidR="00CF77D3" w:rsidRPr="009C0BEE">
              <w:rPr>
                <w:sz w:val="22"/>
                <w:szCs w:val="22"/>
              </w:rPr>
              <w:t>bubrežne funkcije</w:t>
            </w:r>
            <w:r w:rsidRPr="009C0BEE">
              <w:rPr>
                <w:sz w:val="22"/>
                <w:szCs w:val="22"/>
              </w:rPr>
              <w:t xml:space="preserve"> kod pacijenata sa već postojećom kompromitovanom bubrežnom funkcijom, i tromboza/embolija. </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Cs/>
                <w:sz w:val="22"/>
                <w:szCs w:val="22"/>
                <w:u w:val="single"/>
              </w:rPr>
            </w:pPr>
            <w:r w:rsidRPr="009C0BEE">
              <w:rPr>
                <w:iCs/>
                <w:sz w:val="22"/>
                <w:szCs w:val="22"/>
                <w:u w:val="single"/>
              </w:rPr>
              <w:t xml:space="preserve">Tabelarni prikaz neželjenih reakcija </w:t>
            </w:r>
          </w:p>
          <w:p w:rsidR="00C6356D" w:rsidRPr="009C0BEE" w:rsidRDefault="00C6356D" w:rsidP="00C6356D">
            <w:pPr>
              <w:pStyle w:val="Header"/>
              <w:tabs>
                <w:tab w:val="left" w:pos="284"/>
              </w:tabs>
              <w:rPr>
                <w:sz w:val="22"/>
                <w:szCs w:val="22"/>
                <w:u w:val="single"/>
              </w:rPr>
            </w:pPr>
          </w:p>
          <w:p w:rsidR="00913D1F" w:rsidRPr="009C0BEE" w:rsidRDefault="00C6356D" w:rsidP="0041353F">
            <w:pPr>
              <w:pStyle w:val="Header"/>
              <w:tabs>
                <w:tab w:val="left" w:pos="284"/>
              </w:tabs>
              <w:jc w:val="both"/>
              <w:rPr>
                <w:sz w:val="22"/>
                <w:szCs w:val="22"/>
              </w:rPr>
            </w:pPr>
            <w:r w:rsidRPr="009C0BEE">
              <w:rPr>
                <w:sz w:val="22"/>
                <w:szCs w:val="22"/>
              </w:rPr>
              <w:t xml:space="preserve">Neželjene reakcije na lijek koje su istraživači </w:t>
            </w:r>
            <w:r w:rsidR="00913D1F" w:rsidRPr="009C0BEE">
              <w:rPr>
                <w:sz w:val="22"/>
                <w:szCs w:val="22"/>
              </w:rPr>
              <w:t>naveli kao moguće,</w:t>
            </w:r>
            <w:r w:rsidRPr="009C0BEE">
              <w:rPr>
                <w:sz w:val="22"/>
                <w:szCs w:val="22"/>
              </w:rPr>
              <w:t xml:space="preserve"> vjerovatno </w:t>
            </w:r>
            <w:r w:rsidR="00913D1F" w:rsidRPr="009C0BEE">
              <w:rPr>
                <w:sz w:val="22"/>
                <w:szCs w:val="22"/>
              </w:rPr>
              <w:t xml:space="preserve">ili slabo povezane sa primjenom </w:t>
            </w:r>
            <w:r w:rsidRPr="009C0BEE">
              <w:rPr>
                <w:sz w:val="22"/>
                <w:szCs w:val="22"/>
              </w:rPr>
              <w:t>k</w:t>
            </w:r>
            <w:r w:rsidR="00F91C4D" w:rsidRPr="009C0BEE">
              <w:rPr>
                <w:sz w:val="22"/>
                <w:szCs w:val="22"/>
              </w:rPr>
              <w:t>apecitabin</w:t>
            </w:r>
            <w:r w:rsidR="004E3DA4" w:rsidRPr="009C0BEE">
              <w:rPr>
                <w:sz w:val="22"/>
                <w:szCs w:val="22"/>
              </w:rPr>
              <w:t>a</w:t>
            </w:r>
            <w:r w:rsidRPr="009C0BEE">
              <w:rPr>
                <w:sz w:val="22"/>
                <w:szCs w:val="22"/>
              </w:rPr>
              <w:t xml:space="preserve"> prikazane su u tabeli 4 </w:t>
            </w:r>
            <w:r w:rsidR="00913D1F" w:rsidRPr="009C0BEE">
              <w:rPr>
                <w:sz w:val="22"/>
                <w:szCs w:val="22"/>
              </w:rPr>
              <w:t>za</w:t>
            </w:r>
            <w:r w:rsidRPr="009C0BEE">
              <w:rPr>
                <w:sz w:val="22"/>
                <w:szCs w:val="22"/>
              </w:rPr>
              <w:t xml:space="preserve"> </w:t>
            </w:r>
            <w:r w:rsidR="00913D1F" w:rsidRPr="009C0BEE">
              <w:rPr>
                <w:sz w:val="22"/>
                <w:szCs w:val="22"/>
              </w:rPr>
              <w:t>k</w:t>
            </w:r>
            <w:r w:rsidR="00F91C4D" w:rsidRPr="009C0BEE">
              <w:rPr>
                <w:sz w:val="22"/>
                <w:szCs w:val="22"/>
              </w:rPr>
              <w:t>apecitabin</w:t>
            </w:r>
            <w:r w:rsidR="00913D1F" w:rsidRPr="009C0BEE">
              <w:rPr>
                <w:sz w:val="22"/>
                <w:szCs w:val="22"/>
              </w:rPr>
              <w:t xml:space="preserve"> u monoterapiji</w:t>
            </w:r>
            <w:r w:rsidRPr="009C0BEE">
              <w:rPr>
                <w:sz w:val="22"/>
                <w:szCs w:val="22"/>
              </w:rPr>
              <w:t xml:space="preserve"> i u tabeli 5 </w:t>
            </w:r>
            <w:r w:rsidR="00913D1F" w:rsidRPr="009C0BEE">
              <w:rPr>
                <w:sz w:val="22"/>
                <w:szCs w:val="22"/>
              </w:rPr>
              <w:t>za</w:t>
            </w:r>
            <w:r w:rsidRPr="009C0BEE">
              <w:rPr>
                <w:sz w:val="22"/>
                <w:szCs w:val="22"/>
              </w:rPr>
              <w:t xml:space="preserve"> </w:t>
            </w:r>
            <w:r w:rsidR="00913D1F" w:rsidRPr="009C0BEE">
              <w:rPr>
                <w:sz w:val="22"/>
                <w:szCs w:val="22"/>
              </w:rPr>
              <w:t>k</w:t>
            </w:r>
            <w:r w:rsidR="00F91C4D" w:rsidRPr="009C0BEE">
              <w:rPr>
                <w:sz w:val="22"/>
                <w:szCs w:val="22"/>
              </w:rPr>
              <w:t>apecitabin</w:t>
            </w:r>
            <w:r w:rsidR="004E3DA4" w:rsidRPr="009C0BEE">
              <w:rPr>
                <w:sz w:val="22"/>
                <w:szCs w:val="22"/>
              </w:rPr>
              <w:t xml:space="preserve"> </w:t>
            </w:r>
            <w:r w:rsidR="00913D1F" w:rsidRPr="009C0BEE">
              <w:rPr>
                <w:sz w:val="22"/>
                <w:szCs w:val="22"/>
              </w:rPr>
              <w:t>u kombinaciji sa različitim hem</w:t>
            </w:r>
            <w:r w:rsidRPr="009C0BEE">
              <w:rPr>
                <w:sz w:val="22"/>
                <w:szCs w:val="22"/>
              </w:rPr>
              <w:t xml:space="preserve">oterapijskim režimima u različitim indikacijama. </w:t>
            </w:r>
          </w:p>
          <w:p w:rsidR="00C6356D" w:rsidRPr="009C0BEE" w:rsidRDefault="00913D1F" w:rsidP="0041353F">
            <w:pPr>
              <w:pStyle w:val="Header"/>
              <w:tabs>
                <w:tab w:val="left" w:pos="284"/>
              </w:tabs>
              <w:jc w:val="both"/>
              <w:rPr>
                <w:sz w:val="22"/>
                <w:szCs w:val="22"/>
              </w:rPr>
            </w:pPr>
            <w:r w:rsidRPr="009C0BEE">
              <w:rPr>
                <w:sz w:val="22"/>
                <w:szCs w:val="22"/>
              </w:rPr>
              <w:t>Neželjena dejstva</w:t>
            </w:r>
            <w:r w:rsidR="008D082F" w:rsidRPr="009C0BEE">
              <w:rPr>
                <w:sz w:val="22"/>
                <w:szCs w:val="22"/>
              </w:rPr>
              <w:t xml:space="preserve"> su</w:t>
            </w:r>
            <w:r w:rsidRPr="009C0BEE">
              <w:rPr>
                <w:sz w:val="22"/>
                <w:szCs w:val="22"/>
              </w:rPr>
              <w:t xml:space="preserve"> prema učestalosti </w:t>
            </w:r>
            <w:r w:rsidR="008D082F" w:rsidRPr="009C0BEE">
              <w:rPr>
                <w:sz w:val="22"/>
                <w:szCs w:val="22"/>
              </w:rPr>
              <w:t>ispoljavanja</w:t>
            </w:r>
            <w:r w:rsidRPr="009C0BEE">
              <w:rPr>
                <w:sz w:val="22"/>
                <w:szCs w:val="22"/>
              </w:rPr>
              <w:t xml:space="preserve"> razvrstana na sljedeći način: veoma često</w:t>
            </w:r>
            <w:r w:rsidR="00C6356D" w:rsidRPr="009C0BEE">
              <w:rPr>
                <w:sz w:val="22"/>
                <w:szCs w:val="22"/>
              </w:rPr>
              <w:t xml:space="preserve"> (</w:t>
            </w:r>
            <w:r w:rsidR="00C6356D" w:rsidRPr="009C0BEE">
              <w:rPr>
                <w:sz w:val="22"/>
                <w:szCs w:val="22"/>
              </w:rPr>
              <w:sym w:font="Symbol" w:char="F0B3"/>
            </w:r>
            <w:r w:rsidRPr="009C0BEE">
              <w:rPr>
                <w:sz w:val="22"/>
                <w:szCs w:val="22"/>
              </w:rPr>
              <w:t> 1/10), često</w:t>
            </w:r>
            <w:r w:rsidR="00C6356D" w:rsidRPr="009C0BEE">
              <w:rPr>
                <w:sz w:val="22"/>
                <w:szCs w:val="22"/>
              </w:rPr>
              <w:t xml:space="preserve"> (</w:t>
            </w:r>
            <w:r w:rsidR="00C6356D" w:rsidRPr="009C0BEE">
              <w:rPr>
                <w:sz w:val="22"/>
                <w:szCs w:val="22"/>
              </w:rPr>
              <w:sym w:font="Symbol" w:char="F0B3"/>
            </w:r>
            <w:r w:rsidRPr="009C0BEE">
              <w:rPr>
                <w:sz w:val="22"/>
                <w:szCs w:val="22"/>
              </w:rPr>
              <w:t> 1/100, &lt; 1/10), povremeno</w:t>
            </w:r>
            <w:r w:rsidR="00C6356D" w:rsidRPr="009C0BEE">
              <w:rPr>
                <w:sz w:val="22"/>
                <w:szCs w:val="22"/>
              </w:rPr>
              <w:t xml:space="preserve"> (</w:t>
            </w:r>
            <w:r w:rsidR="00C6356D" w:rsidRPr="009C0BEE">
              <w:rPr>
                <w:sz w:val="22"/>
                <w:szCs w:val="22"/>
              </w:rPr>
              <w:sym w:font="Symbol" w:char="F0B3"/>
            </w:r>
            <w:r w:rsidRPr="009C0BEE">
              <w:rPr>
                <w:sz w:val="22"/>
                <w:szCs w:val="22"/>
              </w:rPr>
              <w:t> 1/1</w:t>
            </w:r>
            <w:r w:rsidR="00C6356D" w:rsidRPr="009C0BEE">
              <w:rPr>
                <w:sz w:val="22"/>
                <w:szCs w:val="22"/>
              </w:rPr>
              <w:t>000, &lt; 1/100)</w:t>
            </w:r>
            <w:r w:rsidRPr="009C0BEE">
              <w:rPr>
                <w:sz w:val="22"/>
                <w:szCs w:val="22"/>
              </w:rPr>
              <w:t>, rijetko (≥1/10 000, &lt;1/1000) i vrlo rijetko (&lt;1/10 000)</w:t>
            </w:r>
            <w:r w:rsidR="00C6356D" w:rsidRPr="009C0BEE">
              <w:rPr>
                <w:sz w:val="22"/>
                <w:szCs w:val="22"/>
              </w:rPr>
              <w:t>. Unutar sv</w:t>
            </w:r>
            <w:r w:rsidRPr="009C0BEE">
              <w:rPr>
                <w:sz w:val="22"/>
                <w:szCs w:val="22"/>
              </w:rPr>
              <w:t xml:space="preserve">ake grupe učestalosti, neželjena dejstva su prikazana </w:t>
            </w:r>
            <w:r w:rsidR="00C6356D" w:rsidRPr="009C0BEE">
              <w:rPr>
                <w:sz w:val="22"/>
                <w:szCs w:val="22"/>
              </w:rPr>
              <w:t xml:space="preserve">po </w:t>
            </w:r>
            <w:r w:rsidRPr="009C0BEE">
              <w:rPr>
                <w:sz w:val="22"/>
                <w:szCs w:val="22"/>
              </w:rPr>
              <w:t xml:space="preserve">opadajućem </w:t>
            </w:r>
            <w:r w:rsidR="008D082F" w:rsidRPr="009C0BEE">
              <w:rPr>
                <w:sz w:val="22"/>
                <w:szCs w:val="22"/>
              </w:rPr>
              <w:t>stepenu</w:t>
            </w:r>
            <w:r w:rsidR="00C6356D" w:rsidRPr="009C0BEE">
              <w:rPr>
                <w:sz w:val="22"/>
                <w:szCs w:val="22"/>
              </w:rPr>
              <w:t xml:space="preserve"> ozbiljnosti. </w:t>
            </w:r>
          </w:p>
          <w:p w:rsidR="00C6356D" w:rsidRPr="009C0BEE" w:rsidRDefault="00C6356D" w:rsidP="00C6356D">
            <w:pPr>
              <w:pStyle w:val="Header"/>
              <w:tabs>
                <w:tab w:val="left" w:pos="284"/>
              </w:tabs>
              <w:rPr>
                <w:color w:val="FF0000"/>
                <w:sz w:val="22"/>
                <w:szCs w:val="22"/>
              </w:rPr>
            </w:pPr>
          </w:p>
          <w:p w:rsidR="00C6356D" w:rsidRPr="009C0BEE" w:rsidRDefault="0061031C" w:rsidP="00C6356D">
            <w:pPr>
              <w:pStyle w:val="Header"/>
              <w:tabs>
                <w:tab w:val="left" w:pos="284"/>
              </w:tabs>
              <w:rPr>
                <w:sz w:val="22"/>
                <w:szCs w:val="22"/>
              </w:rPr>
            </w:pPr>
            <w:r w:rsidRPr="009C0BEE">
              <w:rPr>
                <w:sz w:val="22"/>
                <w:szCs w:val="22"/>
                <w:u w:val="single"/>
              </w:rPr>
              <w:t>M</w:t>
            </w:r>
            <w:r w:rsidR="00C6356D" w:rsidRPr="009C0BEE">
              <w:rPr>
                <w:sz w:val="22"/>
                <w:szCs w:val="22"/>
                <w:u w:val="single"/>
              </w:rPr>
              <w:t>onoterapija</w:t>
            </w:r>
            <w:r w:rsidRPr="009C0BEE">
              <w:rPr>
                <w:sz w:val="22"/>
                <w:szCs w:val="22"/>
                <w:u w:val="single"/>
              </w:rPr>
              <w:t xml:space="preserve"> kapecitabinom</w:t>
            </w:r>
            <w:r w:rsidR="00C6356D" w:rsidRPr="009C0BEE">
              <w:rPr>
                <w:sz w:val="22"/>
                <w:szCs w:val="22"/>
                <w:u w:val="single"/>
              </w:rPr>
              <w:t xml:space="preserve">: </w:t>
            </w:r>
          </w:p>
          <w:p w:rsidR="00C6356D" w:rsidRPr="009C0BEE" w:rsidRDefault="00C6356D" w:rsidP="00C6356D">
            <w:pPr>
              <w:pStyle w:val="Header"/>
              <w:tabs>
                <w:tab w:val="left" w:pos="284"/>
              </w:tabs>
              <w:rPr>
                <w:color w:val="FF0000"/>
                <w:sz w:val="22"/>
                <w:szCs w:val="22"/>
              </w:rPr>
            </w:pPr>
          </w:p>
          <w:p w:rsidR="00C6356D" w:rsidRPr="009C0BEE" w:rsidRDefault="00C6356D" w:rsidP="009949E3">
            <w:pPr>
              <w:pStyle w:val="Header"/>
              <w:tabs>
                <w:tab w:val="left" w:pos="284"/>
              </w:tabs>
              <w:jc w:val="both"/>
              <w:rPr>
                <w:sz w:val="22"/>
                <w:szCs w:val="22"/>
              </w:rPr>
            </w:pPr>
            <w:r w:rsidRPr="009C0BEE">
              <w:rPr>
                <w:sz w:val="22"/>
                <w:szCs w:val="22"/>
              </w:rPr>
              <w:t>U</w:t>
            </w:r>
            <w:r w:rsidR="00431110" w:rsidRPr="009C0BEE">
              <w:rPr>
                <w:sz w:val="22"/>
                <w:szCs w:val="22"/>
              </w:rPr>
              <w:t xml:space="preserve"> tabeli 4 prikazan</w:t>
            </w:r>
            <w:r w:rsidR="006F634A" w:rsidRPr="009C0BEE">
              <w:rPr>
                <w:sz w:val="22"/>
                <w:szCs w:val="22"/>
              </w:rPr>
              <w:t>a</w:t>
            </w:r>
            <w:r w:rsidR="00431110" w:rsidRPr="009C0BEE">
              <w:rPr>
                <w:sz w:val="22"/>
                <w:szCs w:val="22"/>
              </w:rPr>
              <w:t xml:space="preserve"> su neželjena dejstva povezana</w:t>
            </w:r>
            <w:r w:rsidRPr="009C0BEE">
              <w:rPr>
                <w:sz w:val="22"/>
                <w:szCs w:val="22"/>
              </w:rPr>
              <w:t xml:space="preserve"> sa primjenom monoterapije</w:t>
            </w:r>
            <w:r w:rsidR="00431110" w:rsidRPr="009C0BEE">
              <w:rPr>
                <w:sz w:val="22"/>
                <w:szCs w:val="22"/>
              </w:rPr>
              <w:t xml:space="preserve"> kapecitabinom</w:t>
            </w:r>
            <w:r w:rsidRPr="009C0BEE">
              <w:rPr>
                <w:sz w:val="22"/>
                <w:szCs w:val="22"/>
              </w:rPr>
              <w:t>, a na osnovu zbirne analize bezbjednosnih podataka iz tri velike studije koje su obuhvatile preko 1900 pacijenata (studije M66001</w:t>
            </w:r>
            <w:r w:rsidR="009949E3" w:rsidRPr="009C0BEE">
              <w:rPr>
                <w:sz w:val="22"/>
                <w:szCs w:val="22"/>
              </w:rPr>
              <w:t>, SO14695, i SO14796). Neželjena dejstva su svrstana</w:t>
            </w:r>
            <w:r w:rsidRPr="009C0BEE">
              <w:rPr>
                <w:sz w:val="22"/>
                <w:szCs w:val="22"/>
              </w:rPr>
              <w:t xml:space="preserve"> u odgovarajuću grupu učestalosti na osnovu ukupne incidence iz zbirne analize.</w:t>
            </w:r>
          </w:p>
          <w:p w:rsidR="00C6356D" w:rsidRPr="009C0BEE" w:rsidRDefault="00C6356D" w:rsidP="00C6356D">
            <w:pPr>
              <w:pStyle w:val="Header"/>
              <w:tabs>
                <w:tab w:val="left" w:pos="284"/>
              </w:tabs>
              <w:rPr>
                <w:sz w:val="22"/>
                <w:szCs w:val="22"/>
              </w:rPr>
            </w:pPr>
          </w:p>
          <w:p w:rsidR="00C6356D" w:rsidRPr="009C0BEE" w:rsidRDefault="00C6356D" w:rsidP="009229C2">
            <w:pPr>
              <w:pStyle w:val="Header"/>
              <w:tabs>
                <w:tab w:val="left" w:pos="284"/>
              </w:tabs>
              <w:jc w:val="both"/>
              <w:rPr>
                <w:sz w:val="22"/>
                <w:szCs w:val="22"/>
              </w:rPr>
            </w:pPr>
            <w:r w:rsidRPr="009C0BEE">
              <w:rPr>
                <w:sz w:val="22"/>
                <w:szCs w:val="22"/>
              </w:rPr>
              <w:t xml:space="preserve">Tabela 4. Rezime neželjenih reakcija na lijek zabilježenih kod pacijenata koji su </w:t>
            </w:r>
            <w:r w:rsidR="009229C2" w:rsidRPr="009C0BEE">
              <w:rPr>
                <w:sz w:val="22"/>
                <w:szCs w:val="22"/>
              </w:rPr>
              <w:t>liječeni</w:t>
            </w:r>
            <w:r w:rsidRPr="009C0BEE">
              <w:rPr>
                <w:sz w:val="22"/>
                <w:szCs w:val="22"/>
              </w:rPr>
              <w:t xml:space="preserve"> </w:t>
            </w:r>
            <w:r w:rsidR="009229C2" w:rsidRPr="009C0BEE">
              <w:rPr>
                <w:sz w:val="22"/>
                <w:szCs w:val="22"/>
              </w:rPr>
              <w:t>k</w:t>
            </w:r>
            <w:r w:rsidR="00F91C4D" w:rsidRPr="009C0BEE">
              <w:rPr>
                <w:sz w:val="22"/>
                <w:szCs w:val="22"/>
              </w:rPr>
              <w:t>apecitabin</w:t>
            </w:r>
            <w:r w:rsidR="009229C2" w:rsidRPr="009C0BEE">
              <w:rPr>
                <w:sz w:val="22"/>
                <w:szCs w:val="22"/>
              </w:rPr>
              <w:t xml:space="preserve">om kao </w:t>
            </w:r>
            <w:r w:rsidRPr="009C0BEE">
              <w:rPr>
                <w:sz w:val="22"/>
                <w:szCs w:val="22"/>
              </w:rPr>
              <w:t xml:space="preserve"> </w:t>
            </w:r>
            <w:r w:rsidR="006F634A" w:rsidRPr="009C0BEE">
              <w:rPr>
                <w:sz w:val="22"/>
                <w:szCs w:val="22"/>
              </w:rPr>
              <w:t xml:space="preserve">monoterapijom </w:t>
            </w:r>
          </w:p>
          <w:p w:rsidR="00880205" w:rsidRPr="009C0BEE" w:rsidRDefault="00880205" w:rsidP="00C6356D">
            <w:pPr>
              <w:pStyle w:val="Header"/>
              <w:tabs>
                <w:tab w:val="left" w:pos="284"/>
              </w:tabs>
              <w:rPr>
                <w:color w:val="FF0000"/>
                <w:sz w:val="22"/>
                <w:szCs w:val="22"/>
              </w:rPr>
            </w:pPr>
          </w:p>
          <w:p w:rsidR="005E7E41" w:rsidRPr="009C0BEE" w:rsidRDefault="005E7E41" w:rsidP="00C6356D">
            <w:pPr>
              <w:pStyle w:val="Header"/>
              <w:tabs>
                <w:tab w:val="left" w:pos="284"/>
              </w:tabs>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641"/>
              <w:gridCol w:w="1970"/>
              <w:gridCol w:w="2025"/>
              <w:gridCol w:w="1942"/>
            </w:tblGrid>
            <w:tr w:rsidR="0023431E" w:rsidRPr="009C0BEE" w:rsidTr="005E7E41">
              <w:tc>
                <w:tcPr>
                  <w:tcW w:w="1991" w:type="dxa"/>
                  <w:shd w:val="clear" w:color="auto" w:fill="auto"/>
                </w:tcPr>
                <w:p w:rsidR="001262E5" w:rsidRPr="009C0BEE" w:rsidRDefault="001262E5" w:rsidP="0023431E">
                  <w:pPr>
                    <w:pStyle w:val="Header"/>
                    <w:tabs>
                      <w:tab w:val="left" w:pos="284"/>
                    </w:tabs>
                    <w:rPr>
                      <w:rFonts w:eastAsia="PMingLiU"/>
                      <w:b/>
                      <w:sz w:val="22"/>
                      <w:szCs w:val="22"/>
                    </w:rPr>
                  </w:pPr>
                  <w:r w:rsidRPr="009C0BEE">
                    <w:rPr>
                      <w:rFonts w:eastAsia="PMingLiU"/>
                      <w:b/>
                      <w:sz w:val="22"/>
                      <w:szCs w:val="22"/>
                    </w:rPr>
                    <w:lastRenderedPageBreak/>
                    <w:t>Sistem organ</w:t>
                  </w:r>
                  <w:r w:rsidR="006F634A" w:rsidRPr="009C0BEE">
                    <w:rPr>
                      <w:rFonts w:eastAsia="PMingLiU"/>
                      <w:b/>
                      <w:sz w:val="22"/>
                      <w:szCs w:val="22"/>
                    </w:rPr>
                    <w:t>a</w:t>
                  </w:r>
                </w:p>
              </w:tc>
              <w:tc>
                <w:tcPr>
                  <w:tcW w:w="1991" w:type="dxa"/>
                  <w:shd w:val="clear" w:color="auto" w:fill="auto"/>
                </w:tcPr>
                <w:p w:rsidR="001262E5" w:rsidRPr="009C0BEE" w:rsidRDefault="009229C2" w:rsidP="0023431E">
                  <w:pPr>
                    <w:pStyle w:val="Header"/>
                    <w:tabs>
                      <w:tab w:val="left" w:pos="284"/>
                    </w:tabs>
                    <w:rPr>
                      <w:rFonts w:eastAsia="PMingLiU"/>
                      <w:b/>
                      <w:sz w:val="22"/>
                      <w:szCs w:val="22"/>
                    </w:rPr>
                  </w:pPr>
                  <w:r w:rsidRPr="009C0BEE">
                    <w:rPr>
                      <w:rFonts w:eastAsia="PMingLiU"/>
                      <w:b/>
                      <w:sz w:val="22"/>
                      <w:szCs w:val="22"/>
                    </w:rPr>
                    <w:t xml:space="preserve">Veoma često </w:t>
                  </w:r>
                </w:p>
                <w:p w:rsidR="00F56873" w:rsidRPr="009C0BEE" w:rsidRDefault="00F56873" w:rsidP="0023431E">
                  <w:pPr>
                    <w:pStyle w:val="Header"/>
                    <w:tabs>
                      <w:tab w:val="left" w:pos="284"/>
                    </w:tabs>
                    <w:rPr>
                      <w:rFonts w:eastAsia="PMingLiU"/>
                      <w:b/>
                      <w:i/>
                      <w:sz w:val="22"/>
                      <w:szCs w:val="22"/>
                    </w:rPr>
                  </w:pPr>
                </w:p>
                <w:p w:rsidR="001262E5" w:rsidRPr="009C0BEE" w:rsidRDefault="001262E5" w:rsidP="0023431E">
                  <w:pPr>
                    <w:pStyle w:val="Header"/>
                    <w:tabs>
                      <w:tab w:val="left" w:pos="284"/>
                    </w:tabs>
                    <w:rPr>
                      <w:rFonts w:eastAsia="PMingLiU"/>
                      <w:b/>
                      <w:i/>
                      <w:sz w:val="22"/>
                      <w:szCs w:val="22"/>
                    </w:rPr>
                  </w:pPr>
                  <w:r w:rsidRPr="009C0BEE">
                    <w:rPr>
                      <w:rFonts w:eastAsia="PMingLiU"/>
                      <w:b/>
                      <w:i/>
                      <w:sz w:val="22"/>
                      <w:szCs w:val="22"/>
                    </w:rPr>
                    <w:t>Svi stepeni</w:t>
                  </w:r>
                </w:p>
              </w:tc>
              <w:tc>
                <w:tcPr>
                  <w:tcW w:w="1953" w:type="dxa"/>
                  <w:shd w:val="clear" w:color="auto" w:fill="auto"/>
                </w:tcPr>
                <w:p w:rsidR="009229C2" w:rsidRPr="009C0BEE" w:rsidRDefault="009229C2" w:rsidP="0023431E">
                  <w:pPr>
                    <w:pStyle w:val="Header"/>
                    <w:tabs>
                      <w:tab w:val="left" w:pos="284"/>
                    </w:tabs>
                    <w:rPr>
                      <w:rFonts w:eastAsia="PMingLiU"/>
                      <w:b/>
                      <w:sz w:val="22"/>
                      <w:szCs w:val="22"/>
                    </w:rPr>
                  </w:pPr>
                  <w:r w:rsidRPr="009C0BEE">
                    <w:rPr>
                      <w:rFonts w:eastAsia="PMingLiU"/>
                      <w:b/>
                      <w:sz w:val="22"/>
                      <w:szCs w:val="22"/>
                    </w:rPr>
                    <w:t>Često</w:t>
                  </w:r>
                  <w:r w:rsidR="001262E5" w:rsidRPr="009C0BEE">
                    <w:rPr>
                      <w:rFonts w:eastAsia="PMingLiU"/>
                      <w:b/>
                      <w:sz w:val="22"/>
                      <w:szCs w:val="22"/>
                    </w:rPr>
                    <w:t xml:space="preserve"> </w:t>
                  </w:r>
                </w:p>
                <w:p w:rsidR="00F56873" w:rsidRPr="009C0BEE" w:rsidRDefault="00F56873" w:rsidP="0023431E">
                  <w:pPr>
                    <w:pStyle w:val="Header"/>
                    <w:tabs>
                      <w:tab w:val="left" w:pos="284"/>
                    </w:tabs>
                    <w:rPr>
                      <w:rFonts w:eastAsia="PMingLiU"/>
                      <w:b/>
                      <w:i/>
                      <w:sz w:val="22"/>
                      <w:szCs w:val="22"/>
                    </w:rPr>
                  </w:pPr>
                </w:p>
                <w:p w:rsidR="001262E5" w:rsidRPr="009C0BEE" w:rsidRDefault="001262E5" w:rsidP="0023431E">
                  <w:pPr>
                    <w:pStyle w:val="Header"/>
                    <w:tabs>
                      <w:tab w:val="left" w:pos="284"/>
                    </w:tabs>
                    <w:rPr>
                      <w:rFonts w:eastAsia="PMingLiU"/>
                      <w:b/>
                      <w:color w:val="FF0000"/>
                      <w:sz w:val="22"/>
                      <w:szCs w:val="22"/>
                    </w:rPr>
                  </w:pPr>
                  <w:r w:rsidRPr="009C0BEE">
                    <w:rPr>
                      <w:rFonts w:eastAsia="PMingLiU"/>
                      <w:b/>
                      <w:i/>
                      <w:sz w:val="22"/>
                      <w:szCs w:val="22"/>
                    </w:rPr>
                    <w:t>Svi stepeni</w:t>
                  </w:r>
                </w:p>
              </w:tc>
              <w:tc>
                <w:tcPr>
                  <w:tcW w:w="2030" w:type="dxa"/>
                  <w:shd w:val="clear" w:color="auto" w:fill="auto"/>
                </w:tcPr>
                <w:p w:rsidR="009229C2" w:rsidRPr="009C0BEE" w:rsidRDefault="009229C2" w:rsidP="0023431E">
                  <w:pPr>
                    <w:pStyle w:val="Header"/>
                    <w:tabs>
                      <w:tab w:val="left" w:pos="284"/>
                    </w:tabs>
                    <w:rPr>
                      <w:rFonts w:eastAsia="PMingLiU"/>
                      <w:b/>
                      <w:sz w:val="22"/>
                      <w:szCs w:val="22"/>
                    </w:rPr>
                  </w:pPr>
                  <w:r w:rsidRPr="009C0BEE">
                    <w:rPr>
                      <w:rFonts w:eastAsia="PMingLiU"/>
                      <w:b/>
                      <w:sz w:val="22"/>
                      <w:szCs w:val="22"/>
                    </w:rPr>
                    <w:t>Povremeno</w:t>
                  </w:r>
                  <w:r w:rsidR="001262E5" w:rsidRPr="009C0BEE">
                    <w:rPr>
                      <w:rFonts w:eastAsia="PMingLiU"/>
                      <w:b/>
                      <w:sz w:val="22"/>
                      <w:szCs w:val="22"/>
                    </w:rPr>
                    <w:t xml:space="preserve"> </w:t>
                  </w:r>
                </w:p>
                <w:p w:rsidR="001262E5" w:rsidRPr="009C0BEE" w:rsidRDefault="001262E5" w:rsidP="0023431E">
                  <w:pPr>
                    <w:pStyle w:val="Header"/>
                    <w:tabs>
                      <w:tab w:val="left" w:pos="284"/>
                    </w:tabs>
                    <w:rPr>
                      <w:rFonts w:eastAsia="PMingLiU"/>
                      <w:b/>
                      <w:i/>
                      <w:color w:val="FF0000"/>
                      <w:sz w:val="22"/>
                      <w:szCs w:val="22"/>
                    </w:rPr>
                  </w:pPr>
                  <w:r w:rsidRPr="009C0BEE">
                    <w:rPr>
                      <w:rFonts w:eastAsia="PMingLiU"/>
                      <w:b/>
                      <w:i/>
                      <w:sz w:val="22"/>
                      <w:szCs w:val="22"/>
                    </w:rPr>
                    <w:t>Teške i/ili opasne po život (stepen 3-4) ili koje se smatraju medicinski relevantnima</w:t>
                  </w:r>
                </w:p>
              </w:tc>
              <w:tc>
                <w:tcPr>
                  <w:tcW w:w="1992" w:type="dxa"/>
                  <w:shd w:val="clear" w:color="auto" w:fill="auto"/>
                </w:tcPr>
                <w:p w:rsidR="009229C2" w:rsidRPr="009C0BEE" w:rsidRDefault="009229C2" w:rsidP="0023431E">
                  <w:pPr>
                    <w:autoSpaceDE w:val="0"/>
                    <w:autoSpaceDN w:val="0"/>
                    <w:adjustRightInd w:val="0"/>
                    <w:rPr>
                      <w:rFonts w:eastAsia="PMingLiU"/>
                      <w:b/>
                      <w:sz w:val="22"/>
                      <w:szCs w:val="22"/>
                    </w:rPr>
                  </w:pPr>
                  <w:r w:rsidRPr="009C0BEE">
                    <w:rPr>
                      <w:rFonts w:eastAsia="PMingLiU"/>
                      <w:b/>
                      <w:sz w:val="22"/>
                      <w:szCs w:val="22"/>
                    </w:rPr>
                    <w:t>Rijetko/v</w:t>
                  </w:r>
                  <w:r w:rsidR="006F634A" w:rsidRPr="009C0BEE">
                    <w:rPr>
                      <w:rFonts w:eastAsia="PMingLiU"/>
                      <w:b/>
                      <w:sz w:val="22"/>
                      <w:szCs w:val="22"/>
                    </w:rPr>
                    <w:t>eoma</w:t>
                  </w:r>
                </w:p>
                <w:p w:rsidR="009229C2" w:rsidRPr="009C0BEE" w:rsidRDefault="009229C2" w:rsidP="0023431E">
                  <w:pPr>
                    <w:autoSpaceDE w:val="0"/>
                    <w:autoSpaceDN w:val="0"/>
                    <w:adjustRightInd w:val="0"/>
                    <w:rPr>
                      <w:rFonts w:eastAsia="PMingLiU"/>
                      <w:b/>
                      <w:sz w:val="22"/>
                      <w:szCs w:val="22"/>
                    </w:rPr>
                  </w:pPr>
                  <w:r w:rsidRPr="009C0BEE">
                    <w:rPr>
                      <w:rFonts w:eastAsia="PMingLiU"/>
                      <w:b/>
                      <w:sz w:val="22"/>
                      <w:szCs w:val="22"/>
                    </w:rPr>
                    <w:t>rijetko</w:t>
                  </w:r>
                </w:p>
                <w:p w:rsidR="009229C2" w:rsidRPr="009C0BEE" w:rsidRDefault="009229C2" w:rsidP="0023431E">
                  <w:pPr>
                    <w:autoSpaceDE w:val="0"/>
                    <w:autoSpaceDN w:val="0"/>
                    <w:adjustRightInd w:val="0"/>
                    <w:rPr>
                      <w:rFonts w:eastAsia="PMingLiU"/>
                      <w:b/>
                      <w:sz w:val="22"/>
                      <w:szCs w:val="22"/>
                    </w:rPr>
                  </w:pPr>
                  <w:r w:rsidRPr="009C0BEE">
                    <w:rPr>
                      <w:rFonts w:eastAsia="PMingLiU"/>
                      <w:b/>
                      <w:sz w:val="22"/>
                      <w:szCs w:val="22"/>
                    </w:rPr>
                    <w:t>(iskustvo nakon</w:t>
                  </w:r>
                </w:p>
                <w:p w:rsidR="009229C2" w:rsidRPr="009C0BEE" w:rsidRDefault="009229C2" w:rsidP="0023431E">
                  <w:pPr>
                    <w:autoSpaceDE w:val="0"/>
                    <w:autoSpaceDN w:val="0"/>
                    <w:adjustRightInd w:val="0"/>
                    <w:rPr>
                      <w:rFonts w:eastAsia="PMingLiU"/>
                      <w:b/>
                      <w:sz w:val="22"/>
                      <w:szCs w:val="22"/>
                    </w:rPr>
                  </w:pPr>
                  <w:r w:rsidRPr="009C0BEE">
                    <w:rPr>
                      <w:rFonts w:eastAsia="PMingLiU"/>
                      <w:b/>
                      <w:sz w:val="22"/>
                      <w:szCs w:val="22"/>
                    </w:rPr>
                    <w:t>stavljanja</w:t>
                  </w:r>
                </w:p>
                <w:p w:rsidR="009229C2" w:rsidRPr="009C0BEE" w:rsidRDefault="009229C2" w:rsidP="0023431E">
                  <w:pPr>
                    <w:autoSpaceDE w:val="0"/>
                    <w:autoSpaceDN w:val="0"/>
                    <w:adjustRightInd w:val="0"/>
                    <w:rPr>
                      <w:rFonts w:eastAsia="PMingLiU"/>
                      <w:b/>
                      <w:sz w:val="22"/>
                      <w:szCs w:val="22"/>
                    </w:rPr>
                  </w:pPr>
                  <w:r w:rsidRPr="009C0BEE">
                    <w:rPr>
                      <w:rFonts w:eastAsia="PMingLiU"/>
                      <w:b/>
                      <w:sz w:val="22"/>
                      <w:szCs w:val="22"/>
                    </w:rPr>
                    <w:t>lijeka u</w:t>
                  </w:r>
                </w:p>
                <w:p w:rsidR="001262E5" w:rsidRPr="009C0BEE" w:rsidRDefault="009229C2" w:rsidP="0023431E">
                  <w:pPr>
                    <w:pStyle w:val="Header"/>
                    <w:tabs>
                      <w:tab w:val="left" w:pos="284"/>
                    </w:tabs>
                    <w:rPr>
                      <w:color w:val="FF0000"/>
                      <w:sz w:val="22"/>
                      <w:szCs w:val="22"/>
                    </w:rPr>
                  </w:pPr>
                  <w:r w:rsidRPr="009C0BEE">
                    <w:rPr>
                      <w:rFonts w:eastAsia="PMingLiU"/>
                      <w:b/>
                      <w:sz w:val="22"/>
                      <w:szCs w:val="22"/>
                    </w:rPr>
                    <w:t>promet)</w:t>
                  </w:r>
                </w:p>
              </w:tc>
            </w:tr>
            <w:tr w:rsidR="0023431E" w:rsidRPr="009C0BEE" w:rsidTr="005E7E41">
              <w:tc>
                <w:tcPr>
                  <w:tcW w:w="1991" w:type="dxa"/>
                  <w:shd w:val="clear" w:color="auto" w:fill="auto"/>
                </w:tcPr>
                <w:p w:rsidR="00880205" w:rsidRPr="009C0BEE" w:rsidRDefault="00485DDC" w:rsidP="0023431E">
                  <w:pPr>
                    <w:pStyle w:val="Header"/>
                    <w:tabs>
                      <w:tab w:val="left" w:pos="284"/>
                    </w:tabs>
                    <w:rPr>
                      <w:sz w:val="22"/>
                      <w:szCs w:val="22"/>
                    </w:rPr>
                  </w:pPr>
                  <w:r w:rsidRPr="009C0BEE">
                    <w:rPr>
                      <w:rFonts w:eastAsia="PMingLiU"/>
                      <w:i/>
                      <w:sz w:val="22"/>
                      <w:szCs w:val="22"/>
                    </w:rPr>
                    <w:t>Infekcije i infestacije</w:t>
                  </w:r>
                </w:p>
              </w:tc>
              <w:tc>
                <w:tcPr>
                  <w:tcW w:w="1991" w:type="dxa"/>
                  <w:shd w:val="clear" w:color="auto" w:fill="auto"/>
                </w:tcPr>
                <w:p w:rsidR="00880205" w:rsidRPr="009C0BEE" w:rsidRDefault="00880205" w:rsidP="0023431E">
                  <w:pPr>
                    <w:pStyle w:val="Header"/>
                    <w:tabs>
                      <w:tab w:val="left" w:pos="284"/>
                    </w:tabs>
                    <w:rPr>
                      <w:color w:val="FF0000"/>
                      <w:sz w:val="22"/>
                      <w:szCs w:val="22"/>
                    </w:rPr>
                  </w:pPr>
                </w:p>
              </w:tc>
              <w:tc>
                <w:tcPr>
                  <w:tcW w:w="1953" w:type="dxa"/>
                  <w:shd w:val="clear" w:color="auto" w:fill="auto"/>
                </w:tcPr>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infekcija herpes</w:t>
                  </w:r>
                </w:p>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virusom, nazofaringitis,</w:t>
                  </w:r>
                </w:p>
                <w:p w:rsidR="00880205" w:rsidRPr="009C0BEE" w:rsidRDefault="0072082F" w:rsidP="0023431E">
                  <w:pPr>
                    <w:autoSpaceDE w:val="0"/>
                    <w:autoSpaceDN w:val="0"/>
                    <w:adjustRightInd w:val="0"/>
                    <w:rPr>
                      <w:color w:val="FF0000"/>
                      <w:sz w:val="22"/>
                      <w:szCs w:val="22"/>
                    </w:rPr>
                  </w:pPr>
                  <w:r w:rsidRPr="009C0BEE">
                    <w:rPr>
                      <w:rFonts w:ascii="TimesNewRoman" w:hAnsi="TimesNewRoman" w:cs="TimesNewRoman"/>
                      <w:sz w:val="22"/>
                      <w:szCs w:val="22"/>
                    </w:rPr>
                    <w:t>infekcija donjih disajnih puteva</w:t>
                  </w:r>
                </w:p>
              </w:tc>
              <w:tc>
                <w:tcPr>
                  <w:tcW w:w="2030" w:type="dxa"/>
                  <w:shd w:val="clear" w:color="auto" w:fill="auto"/>
                </w:tcPr>
                <w:p w:rsidR="0072082F" w:rsidRPr="009C0BEE" w:rsidRDefault="0073316E" w:rsidP="0023431E">
                  <w:pPr>
                    <w:pStyle w:val="Header"/>
                    <w:tabs>
                      <w:tab w:val="left" w:pos="284"/>
                    </w:tabs>
                    <w:rPr>
                      <w:rFonts w:eastAsia="PMingLiU"/>
                      <w:sz w:val="22"/>
                      <w:szCs w:val="22"/>
                    </w:rPr>
                  </w:pPr>
                  <w:r w:rsidRPr="009C0BEE">
                    <w:rPr>
                      <w:rFonts w:eastAsia="PMingLiU"/>
                      <w:sz w:val="22"/>
                      <w:szCs w:val="22"/>
                    </w:rPr>
                    <w:t>s</w:t>
                  </w:r>
                  <w:r w:rsidR="0072082F" w:rsidRPr="009C0BEE">
                    <w:rPr>
                      <w:rFonts w:eastAsia="PMingLiU"/>
                      <w:sz w:val="22"/>
                      <w:szCs w:val="22"/>
                    </w:rPr>
                    <w:t>epsa, infekcije urinarnog trakta,</w:t>
                  </w:r>
                </w:p>
                <w:p w:rsidR="0072082F" w:rsidRPr="009C0BEE" w:rsidRDefault="0072082F" w:rsidP="0023431E">
                  <w:pPr>
                    <w:pStyle w:val="Header"/>
                    <w:tabs>
                      <w:tab w:val="left" w:pos="284"/>
                    </w:tabs>
                    <w:rPr>
                      <w:rFonts w:eastAsia="PMingLiU"/>
                      <w:sz w:val="22"/>
                      <w:szCs w:val="22"/>
                    </w:rPr>
                  </w:pPr>
                  <w:r w:rsidRPr="009C0BEE">
                    <w:rPr>
                      <w:rFonts w:eastAsia="PMingLiU"/>
                      <w:sz w:val="22"/>
                      <w:szCs w:val="22"/>
                    </w:rPr>
                    <w:t xml:space="preserve">celulitis, tonzilitis, </w:t>
                  </w:r>
                </w:p>
                <w:p w:rsidR="0072082F" w:rsidRPr="009C0BEE" w:rsidRDefault="0072082F" w:rsidP="0023431E">
                  <w:pPr>
                    <w:pStyle w:val="Header"/>
                    <w:tabs>
                      <w:tab w:val="left" w:pos="284"/>
                    </w:tabs>
                    <w:rPr>
                      <w:rFonts w:eastAsia="PMingLiU"/>
                      <w:sz w:val="22"/>
                      <w:szCs w:val="22"/>
                    </w:rPr>
                  </w:pPr>
                  <w:r w:rsidRPr="009C0BEE">
                    <w:rPr>
                      <w:rFonts w:eastAsia="PMingLiU"/>
                      <w:sz w:val="22"/>
                      <w:szCs w:val="22"/>
                    </w:rPr>
                    <w:t xml:space="preserve">faringitis, oralna kandidijaza, grip, </w:t>
                  </w:r>
                </w:p>
                <w:p w:rsidR="0072082F" w:rsidRPr="009C0BEE" w:rsidRDefault="0072082F" w:rsidP="0023431E">
                  <w:pPr>
                    <w:pStyle w:val="Header"/>
                    <w:tabs>
                      <w:tab w:val="left" w:pos="284"/>
                    </w:tabs>
                    <w:rPr>
                      <w:rFonts w:eastAsia="PMingLiU"/>
                      <w:sz w:val="22"/>
                      <w:szCs w:val="22"/>
                    </w:rPr>
                  </w:pPr>
                  <w:r w:rsidRPr="009C0BEE">
                    <w:rPr>
                      <w:rFonts w:eastAsia="PMingLiU"/>
                      <w:sz w:val="22"/>
                      <w:szCs w:val="22"/>
                    </w:rPr>
                    <w:t xml:space="preserve">gastroenteritis, </w:t>
                  </w:r>
                </w:p>
                <w:p w:rsidR="0072082F" w:rsidRPr="009C0BEE" w:rsidRDefault="0072082F" w:rsidP="0023431E">
                  <w:pPr>
                    <w:pStyle w:val="Header"/>
                    <w:tabs>
                      <w:tab w:val="left" w:pos="284"/>
                    </w:tabs>
                    <w:rPr>
                      <w:rFonts w:eastAsia="PMingLiU"/>
                      <w:sz w:val="22"/>
                      <w:szCs w:val="22"/>
                    </w:rPr>
                  </w:pPr>
                  <w:r w:rsidRPr="009C0BEE">
                    <w:rPr>
                      <w:rFonts w:eastAsia="PMingLiU"/>
                      <w:sz w:val="22"/>
                      <w:szCs w:val="22"/>
                    </w:rPr>
                    <w:t xml:space="preserve">gljivična infekcija, </w:t>
                  </w:r>
                </w:p>
                <w:p w:rsidR="00880205" w:rsidRPr="009C0BEE" w:rsidRDefault="0072082F" w:rsidP="0023431E">
                  <w:pPr>
                    <w:pStyle w:val="Header"/>
                    <w:tabs>
                      <w:tab w:val="left" w:pos="284"/>
                    </w:tabs>
                    <w:rPr>
                      <w:color w:val="FF0000"/>
                      <w:sz w:val="22"/>
                      <w:szCs w:val="22"/>
                    </w:rPr>
                  </w:pPr>
                  <w:r w:rsidRPr="009C0BEE">
                    <w:rPr>
                      <w:rFonts w:eastAsia="PMingLiU"/>
                      <w:sz w:val="22"/>
                      <w:szCs w:val="22"/>
                    </w:rPr>
                    <w:t>infekcija, apsces zuba</w:t>
                  </w:r>
                </w:p>
              </w:tc>
              <w:tc>
                <w:tcPr>
                  <w:tcW w:w="1992" w:type="dxa"/>
                  <w:shd w:val="clear" w:color="auto" w:fill="auto"/>
                </w:tcPr>
                <w:p w:rsidR="00880205" w:rsidRPr="009C0BEE" w:rsidRDefault="00880205" w:rsidP="0023431E">
                  <w:pPr>
                    <w:pStyle w:val="Header"/>
                    <w:tabs>
                      <w:tab w:val="left" w:pos="284"/>
                    </w:tabs>
                    <w:rPr>
                      <w:color w:val="FF0000"/>
                      <w:sz w:val="22"/>
                      <w:szCs w:val="22"/>
                    </w:rPr>
                  </w:pPr>
                </w:p>
              </w:tc>
            </w:tr>
            <w:tr w:rsidR="0023431E" w:rsidRPr="009C0BEE" w:rsidTr="005E7E41">
              <w:tc>
                <w:tcPr>
                  <w:tcW w:w="1991" w:type="dxa"/>
                  <w:shd w:val="clear" w:color="auto" w:fill="auto"/>
                </w:tcPr>
                <w:p w:rsidR="00485DDC" w:rsidRPr="009C0BEE" w:rsidRDefault="00485DDC" w:rsidP="0023431E">
                  <w:pPr>
                    <w:pStyle w:val="Header"/>
                    <w:tabs>
                      <w:tab w:val="left" w:pos="284"/>
                    </w:tabs>
                    <w:rPr>
                      <w:rFonts w:eastAsia="PMingLiU"/>
                      <w:i/>
                      <w:sz w:val="22"/>
                      <w:szCs w:val="22"/>
                    </w:rPr>
                  </w:pPr>
                  <w:r w:rsidRPr="009C0BEE">
                    <w:rPr>
                      <w:rFonts w:eastAsia="PMingLiU"/>
                      <w:i/>
                      <w:sz w:val="22"/>
                      <w:szCs w:val="22"/>
                    </w:rPr>
                    <w:t>Neoplazme benigne, maligne i neodređene</w:t>
                  </w:r>
                </w:p>
              </w:tc>
              <w:tc>
                <w:tcPr>
                  <w:tcW w:w="1991" w:type="dxa"/>
                  <w:shd w:val="clear" w:color="auto" w:fill="auto"/>
                </w:tcPr>
                <w:p w:rsidR="00485DDC" w:rsidRPr="009C0BEE" w:rsidRDefault="00485DDC" w:rsidP="0023431E">
                  <w:pPr>
                    <w:pStyle w:val="Header"/>
                    <w:tabs>
                      <w:tab w:val="left" w:pos="284"/>
                    </w:tabs>
                    <w:rPr>
                      <w:sz w:val="22"/>
                      <w:szCs w:val="22"/>
                    </w:rPr>
                  </w:pPr>
                </w:p>
              </w:tc>
              <w:tc>
                <w:tcPr>
                  <w:tcW w:w="1953" w:type="dxa"/>
                  <w:shd w:val="clear" w:color="auto" w:fill="auto"/>
                </w:tcPr>
                <w:p w:rsidR="00485DDC" w:rsidRPr="009C0BEE" w:rsidRDefault="00485DDC" w:rsidP="0023431E">
                  <w:pPr>
                    <w:pStyle w:val="Header"/>
                    <w:tabs>
                      <w:tab w:val="left" w:pos="284"/>
                    </w:tabs>
                    <w:rPr>
                      <w:sz w:val="22"/>
                      <w:szCs w:val="22"/>
                    </w:rPr>
                  </w:pPr>
                </w:p>
              </w:tc>
              <w:tc>
                <w:tcPr>
                  <w:tcW w:w="2030" w:type="dxa"/>
                  <w:shd w:val="clear" w:color="auto" w:fill="auto"/>
                </w:tcPr>
                <w:p w:rsidR="00485DDC" w:rsidRPr="009C0BEE" w:rsidRDefault="0072082F" w:rsidP="0023431E">
                  <w:pPr>
                    <w:pStyle w:val="Header"/>
                    <w:tabs>
                      <w:tab w:val="left" w:pos="284"/>
                    </w:tabs>
                    <w:rPr>
                      <w:sz w:val="22"/>
                      <w:szCs w:val="22"/>
                    </w:rPr>
                  </w:pPr>
                  <w:r w:rsidRPr="009C0BEE">
                    <w:rPr>
                      <w:sz w:val="22"/>
                      <w:szCs w:val="22"/>
                    </w:rPr>
                    <w:t>lipom</w:t>
                  </w:r>
                </w:p>
              </w:tc>
              <w:tc>
                <w:tcPr>
                  <w:tcW w:w="1992" w:type="dxa"/>
                  <w:shd w:val="clear" w:color="auto" w:fill="auto"/>
                </w:tcPr>
                <w:p w:rsidR="00485DDC" w:rsidRPr="009C0BEE" w:rsidRDefault="00485DDC" w:rsidP="0023431E">
                  <w:pPr>
                    <w:pStyle w:val="Header"/>
                    <w:tabs>
                      <w:tab w:val="left" w:pos="284"/>
                    </w:tabs>
                    <w:rPr>
                      <w:color w:val="FF0000"/>
                      <w:sz w:val="22"/>
                      <w:szCs w:val="22"/>
                    </w:rPr>
                  </w:pPr>
                </w:p>
              </w:tc>
            </w:tr>
            <w:tr w:rsidR="0023431E" w:rsidRPr="009C0BEE" w:rsidTr="005E7E41">
              <w:tc>
                <w:tcPr>
                  <w:tcW w:w="1991" w:type="dxa"/>
                  <w:shd w:val="clear" w:color="auto" w:fill="auto"/>
                </w:tcPr>
                <w:p w:rsidR="00485DDC" w:rsidRPr="009C0BEE" w:rsidRDefault="00485DDC" w:rsidP="0023431E">
                  <w:pPr>
                    <w:pStyle w:val="Header"/>
                    <w:tabs>
                      <w:tab w:val="left" w:pos="284"/>
                    </w:tabs>
                    <w:rPr>
                      <w:rFonts w:eastAsia="PMingLiU"/>
                      <w:i/>
                      <w:sz w:val="22"/>
                      <w:szCs w:val="22"/>
                    </w:rPr>
                  </w:pPr>
                  <w:r w:rsidRPr="009C0BEE">
                    <w:rPr>
                      <w:rFonts w:eastAsia="PMingLiU"/>
                      <w:i/>
                      <w:sz w:val="22"/>
                      <w:szCs w:val="22"/>
                    </w:rPr>
                    <w:t>Poremećaji krvi i limfnog sistema</w:t>
                  </w:r>
                </w:p>
              </w:tc>
              <w:tc>
                <w:tcPr>
                  <w:tcW w:w="1991" w:type="dxa"/>
                  <w:shd w:val="clear" w:color="auto" w:fill="auto"/>
                </w:tcPr>
                <w:p w:rsidR="00485DDC" w:rsidRPr="009C0BEE" w:rsidRDefault="00485DDC" w:rsidP="0023431E">
                  <w:pPr>
                    <w:pStyle w:val="Header"/>
                    <w:tabs>
                      <w:tab w:val="left" w:pos="284"/>
                    </w:tabs>
                    <w:rPr>
                      <w:color w:val="FF0000"/>
                      <w:sz w:val="22"/>
                      <w:szCs w:val="22"/>
                    </w:rPr>
                  </w:pPr>
                </w:p>
              </w:tc>
              <w:tc>
                <w:tcPr>
                  <w:tcW w:w="1953" w:type="dxa"/>
                  <w:shd w:val="clear" w:color="auto" w:fill="auto"/>
                </w:tcPr>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neutropenija,</w:t>
                  </w:r>
                </w:p>
                <w:p w:rsidR="00485DDC" w:rsidRPr="009C0BEE" w:rsidRDefault="0072082F" w:rsidP="0023431E">
                  <w:pPr>
                    <w:pStyle w:val="Header"/>
                    <w:tabs>
                      <w:tab w:val="left" w:pos="284"/>
                    </w:tabs>
                    <w:rPr>
                      <w:color w:val="FF0000"/>
                      <w:sz w:val="22"/>
                      <w:szCs w:val="22"/>
                    </w:rPr>
                  </w:pPr>
                  <w:r w:rsidRPr="009C0BEE">
                    <w:rPr>
                      <w:rFonts w:ascii="TimesNewRoman" w:hAnsi="TimesNewRoman" w:cs="TimesNewRoman"/>
                      <w:sz w:val="22"/>
                      <w:szCs w:val="22"/>
                    </w:rPr>
                    <w:t>anemija</w:t>
                  </w:r>
                </w:p>
              </w:tc>
              <w:tc>
                <w:tcPr>
                  <w:tcW w:w="2030" w:type="dxa"/>
                  <w:shd w:val="clear" w:color="auto" w:fill="auto"/>
                </w:tcPr>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febrilna neutropenija,</w:t>
                  </w:r>
                </w:p>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pancitopenija,</w:t>
                  </w:r>
                </w:p>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granulocitopenija,</w:t>
                  </w:r>
                </w:p>
                <w:p w:rsidR="0072082F" w:rsidRPr="009C0BEE" w:rsidRDefault="0072082F"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trombocitopenija, leukopenija,</w:t>
                  </w:r>
                </w:p>
                <w:p w:rsidR="00485DDC" w:rsidRPr="009C0BEE" w:rsidRDefault="0072082F" w:rsidP="0023431E">
                  <w:pPr>
                    <w:pStyle w:val="Header"/>
                    <w:tabs>
                      <w:tab w:val="left" w:pos="284"/>
                    </w:tabs>
                    <w:rPr>
                      <w:color w:val="FF0000"/>
                      <w:sz w:val="22"/>
                      <w:szCs w:val="22"/>
                    </w:rPr>
                  </w:pPr>
                  <w:r w:rsidRPr="009C0BEE">
                    <w:rPr>
                      <w:rFonts w:ascii="TimesNewRoman" w:hAnsi="TimesNewRoman" w:cs="TimesNewRoman"/>
                      <w:sz w:val="22"/>
                      <w:szCs w:val="22"/>
                    </w:rPr>
                    <w:t xml:space="preserve">hemolitička anemija, </w:t>
                  </w:r>
                  <w:r w:rsidRPr="009C0BEE">
                    <w:rPr>
                      <w:rFonts w:eastAsia="PMingLiU"/>
                      <w:sz w:val="22"/>
                      <w:szCs w:val="22"/>
                    </w:rPr>
                    <w:t>povećanje INR (International normalised Ratio) /produženje protrombinskog vremena</w:t>
                  </w:r>
                </w:p>
              </w:tc>
              <w:tc>
                <w:tcPr>
                  <w:tcW w:w="1992" w:type="dxa"/>
                  <w:shd w:val="clear" w:color="auto" w:fill="auto"/>
                </w:tcPr>
                <w:p w:rsidR="00485DDC" w:rsidRPr="009C0BEE" w:rsidRDefault="00485DDC" w:rsidP="0023431E">
                  <w:pPr>
                    <w:pStyle w:val="Header"/>
                    <w:tabs>
                      <w:tab w:val="left" w:pos="284"/>
                    </w:tabs>
                    <w:rPr>
                      <w:color w:val="FF0000"/>
                      <w:sz w:val="22"/>
                      <w:szCs w:val="22"/>
                    </w:rPr>
                  </w:pPr>
                </w:p>
              </w:tc>
            </w:tr>
            <w:tr w:rsidR="0023431E" w:rsidRPr="009C0BEE" w:rsidTr="005E7E41">
              <w:tc>
                <w:tcPr>
                  <w:tcW w:w="1991" w:type="dxa"/>
                  <w:shd w:val="clear" w:color="auto" w:fill="auto"/>
                </w:tcPr>
                <w:p w:rsidR="00485DDC" w:rsidRPr="009C0BEE" w:rsidRDefault="0095031F" w:rsidP="0023431E">
                  <w:pPr>
                    <w:pStyle w:val="Header"/>
                    <w:tabs>
                      <w:tab w:val="left" w:pos="284"/>
                    </w:tabs>
                    <w:rPr>
                      <w:rFonts w:eastAsia="PMingLiU"/>
                      <w:i/>
                      <w:sz w:val="22"/>
                      <w:szCs w:val="22"/>
                    </w:rPr>
                  </w:pPr>
                  <w:r w:rsidRPr="009C0BEE">
                    <w:rPr>
                      <w:rFonts w:eastAsia="PMingLiU"/>
                      <w:i/>
                      <w:sz w:val="22"/>
                      <w:szCs w:val="22"/>
                    </w:rPr>
                    <w:t>Imunološki p</w:t>
                  </w:r>
                  <w:r w:rsidR="00485DDC" w:rsidRPr="009C0BEE">
                    <w:rPr>
                      <w:rFonts w:eastAsia="PMingLiU"/>
                      <w:i/>
                      <w:sz w:val="22"/>
                      <w:szCs w:val="22"/>
                    </w:rPr>
                    <w:t xml:space="preserve">oremećaji </w:t>
                  </w:r>
                </w:p>
              </w:tc>
              <w:tc>
                <w:tcPr>
                  <w:tcW w:w="1991" w:type="dxa"/>
                  <w:shd w:val="clear" w:color="auto" w:fill="auto"/>
                </w:tcPr>
                <w:p w:rsidR="00485DDC" w:rsidRPr="009C0BEE" w:rsidRDefault="00485DDC" w:rsidP="0023431E">
                  <w:pPr>
                    <w:pStyle w:val="Header"/>
                    <w:tabs>
                      <w:tab w:val="left" w:pos="284"/>
                    </w:tabs>
                    <w:rPr>
                      <w:sz w:val="22"/>
                      <w:szCs w:val="22"/>
                    </w:rPr>
                  </w:pPr>
                </w:p>
              </w:tc>
              <w:tc>
                <w:tcPr>
                  <w:tcW w:w="1953" w:type="dxa"/>
                  <w:shd w:val="clear" w:color="auto" w:fill="auto"/>
                </w:tcPr>
                <w:p w:rsidR="00485DDC" w:rsidRPr="009C0BEE" w:rsidRDefault="00485DDC" w:rsidP="0023431E">
                  <w:pPr>
                    <w:pStyle w:val="Header"/>
                    <w:tabs>
                      <w:tab w:val="left" w:pos="284"/>
                    </w:tabs>
                    <w:rPr>
                      <w:sz w:val="22"/>
                      <w:szCs w:val="22"/>
                    </w:rPr>
                  </w:pPr>
                </w:p>
              </w:tc>
              <w:tc>
                <w:tcPr>
                  <w:tcW w:w="2030" w:type="dxa"/>
                  <w:shd w:val="clear" w:color="auto" w:fill="auto"/>
                </w:tcPr>
                <w:p w:rsidR="00485DDC" w:rsidRPr="009C0BEE" w:rsidRDefault="005B356B" w:rsidP="0023431E">
                  <w:pPr>
                    <w:pStyle w:val="Header"/>
                    <w:tabs>
                      <w:tab w:val="left" w:pos="284"/>
                    </w:tabs>
                    <w:rPr>
                      <w:sz w:val="22"/>
                      <w:szCs w:val="22"/>
                    </w:rPr>
                  </w:pPr>
                  <w:r w:rsidRPr="009C0BEE">
                    <w:rPr>
                      <w:sz w:val="22"/>
                      <w:szCs w:val="22"/>
                    </w:rPr>
                    <w:t>preosjetljivost</w:t>
                  </w:r>
                </w:p>
              </w:tc>
              <w:tc>
                <w:tcPr>
                  <w:tcW w:w="1992" w:type="dxa"/>
                  <w:shd w:val="clear" w:color="auto" w:fill="auto"/>
                </w:tcPr>
                <w:p w:rsidR="00485DDC" w:rsidRPr="009C0BEE" w:rsidRDefault="00485DDC" w:rsidP="0023431E">
                  <w:pPr>
                    <w:pStyle w:val="Header"/>
                    <w:tabs>
                      <w:tab w:val="left" w:pos="284"/>
                    </w:tabs>
                    <w:rPr>
                      <w:color w:val="FF0000"/>
                      <w:sz w:val="22"/>
                      <w:szCs w:val="22"/>
                    </w:rPr>
                  </w:pPr>
                </w:p>
              </w:tc>
            </w:tr>
            <w:tr w:rsidR="0023431E" w:rsidRPr="009C0BEE" w:rsidTr="005E7E41">
              <w:tc>
                <w:tcPr>
                  <w:tcW w:w="1991" w:type="dxa"/>
                  <w:shd w:val="clear" w:color="auto" w:fill="auto"/>
                </w:tcPr>
                <w:p w:rsidR="00485DDC" w:rsidRPr="009C0BEE" w:rsidRDefault="0095031F" w:rsidP="0023431E">
                  <w:pPr>
                    <w:pStyle w:val="Header"/>
                    <w:tabs>
                      <w:tab w:val="left" w:pos="284"/>
                    </w:tabs>
                    <w:rPr>
                      <w:rFonts w:eastAsia="PMingLiU"/>
                      <w:i/>
                      <w:sz w:val="22"/>
                      <w:szCs w:val="22"/>
                    </w:rPr>
                  </w:pPr>
                  <w:r w:rsidRPr="009C0BEE">
                    <w:rPr>
                      <w:rFonts w:eastAsia="PMingLiU"/>
                      <w:i/>
                      <w:sz w:val="22"/>
                      <w:szCs w:val="22"/>
                    </w:rPr>
                    <w:t>P</w:t>
                  </w:r>
                  <w:r w:rsidR="00485DDC" w:rsidRPr="009C0BEE">
                    <w:rPr>
                      <w:rFonts w:eastAsia="PMingLiU"/>
                      <w:i/>
                      <w:sz w:val="22"/>
                      <w:szCs w:val="22"/>
                    </w:rPr>
                    <w:t>oremećaji</w:t>
                  </w:r>
                  <w:r w:rsidR="00865622" w:rsidRPr="009C0BEE">
                    <w:rPr>
                      <w:rFonts w:eastAsia="PMingLiU"/>
                      <w:i/>
                      <w:sz w:val="22"/>
                      <w:szCs w:val="22"/>
                    </w:rPr>
                    <w:t xml:space="preserve"> </w:t>
                  </w:r>
                  <w:r w:rsidRPr="009C0BEE">
                    <w:rPr>
                      <w:rFonts w:eastAsia="PMingLiU"/>
                      <w:i/>
                      <w:sz w:val="22"/>
                      <w:szCs w:val="22"/>
                    </w:rPr>
                    <w:t>metabolizma i ishrane</w:t>
                  </w:r>
                </w:p>
              </w:tc>
              <w:tc>
                <w:tcPr>
                  <w:tcW w:w="1991" w:type="dxa"/>
                  <w:shd w:val="clear" w:color="auto" w:fill="auto"/>
                </w:tcPr>
                <w:p w:rsidR="00485DDC" w:rsidRPr="009C0BEE" w:rsidRDefault="00865622" w:rsidP="0023431E">
                  <w:pPr>
                    <w:pStyle w:val="Header"/>
                    <w:tabs>
                      <w:tab w:val="left" w:pos="284"/>
                    </w:tabs>
                    <w:rPr>
                      <w:color w:val="FF0000"/>
                      <w:sz w:val="22"/>
                      <w:szCs w:val="22"/>
                    </w:rPr>
                  </w:pPr>
                  <w:r w:rsidRPr="009C0BEE">
                    <w:rPr>
                      <w:rFonts w:ascii="TimesNewRoman" w:hAnsi="TimesNewRoman" w:cs="TimesNewRoman"/>
                      <w:sz w:val="22"/>
                      <w:szCs w:val="22"/>
                    </w:rPr>
                    <w:t>anoreksija</w:t>
                  </w:r>
                </w:p>
              </w:tc>
              <w:tc>
                <w:tcPr>
                  <w:tcW w:w="1953" w:type="dxa"/>
                  <w:shd w:val="clear" w:color="auto" w:fill="auto"/>
                </w:tcPr>
                <w:p w:rsidR="00865622" w:rsidRPr="009C0BEE" w:rsidRDefault="00865622"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dehidracija, gubitak</w:t>
                  </w:r>
                </w:p>
                <w:p w:rsidR="00485DDC" w:rsidRPr="009C0BEE" w:rsidRDefault="00865622" w:rsidP="0023431E">
                  <w:pPr>
                    <w:pStyle w:val="Header"/>
                    <w:tabs>
                      <w:tab w:val="left" w:pos="284"/>
                    </w:tabs>
                    <w:rPr>
                      <w:color w:val="FF0000"/>
                      <w:sz w:val="22"/>
                      <w:szCs w:val="22"/>
                    </w:rPr>
                  </w:pPr>
                  <w:r w:rsidRPr="009C0BEE">
                    <w:rPr>
                      <w:rFonts w:ascii="TimesNewRoman" w:hAnsi="TimesNewRoman" w:cs="TimesNewRoman"/>
                      <w:sz w:val="22"/>
                      <w:szCs w:val="22"/>
                    </w:rPr>
                    <w:t>tjelesne težine</w:t>
                  </w:r>
                </w:p>
              </w:tc>
              <w:tc>
                <w:tcPr>
                  <w:tcW w:w="2030" w:type="dxa"/>
                  <w:shd w:val="clear" w:color="auto" w:fill="auto"/>
                </w:tcPr>
                <w:p w:rsidR="00865622" w:rsidRPr="009C0BEE" w:rsidRDefault="00865622"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šećerna bolest, hipokalemija,</w:t>
                  </w:r>
                </w:p>
                <w:p w:rsidR="00865622" w:rsidRPr="009C0BEE" w:rsidRDefault="00865622"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 xml:space="preserve">poremećaj </w:t>
                  </w:r>
                  <w:r w:rsidR="006F634A" w:rsidRPr="009C0BEE">
                    <w:rPr>
                      <w:rFonts w:ascii="TimesNewRoman" w:hAnsi="TimesNewRoman" w:cs="TimesNewRoman"/>
                      <w:sz w:val="22"/>
                      <w:szCs w:val="22"/>
                    </w:rPr>
                    <w:t>apetita</w:t>
                  </w:r>
                  <w:r w:rsidRPr="009C0BEE">
                    <w:rPr>
                      <w:rFonts w:ascii="TimesNewRoman" w:hAnsi="TimesNewRoman" w:cs="TimesNewRoman"/>
                      <w:sz w:val="22"/>
                      <w:szCs w:val="22"/>
                    </w:rPr>
                    <w:t>, malnutricija,</w:t>
                  </w:r>
                </w:p>
                <w:p w:rsidR="00485DDC" w:rsidRPr="009C0BEE" w:rsidRDefault="00865622" w:rsidP="0023431E">
                  <w:pPr>
                    <w:pStyle w:val="Header"/>
                    <w:tabs>
                      <w:tab w:val="left" w:pos="284"/>
                    </w:tabs>
                    <w:rPr>
                      <w:color w:val="FF0000"/>
                      <w:sz w:val="22"/>
                      <w:szCs w:val="22"/>
                    </w:rPr>
                  </w:pPr>
                  <w:r w:rsidRPr="009C0BEE">
                    <w:rPr>
                      <w:rFonts w:ascii="TimesNewRoman" w:hAnsi="TimesNewRoman" w:cs="TimesNewRoman"/>
                      <w:sz w:val="22"/>
                      <w:szCs w:val="22"/>
                    </w:rPr>
                    <w:t>hipertrigliceridemija</w:t>
                  </w:r>
                </w:p>
              </w:tc>
              <w:tc>
                <w:tcPr>
                  <w:tcW w:w="1992" w:type="dxa"/>
                  <w:shd w:val="clear" w:color="auto" w:fill="auto"/>
                </w:tcPr>
                <w:p w:rsidR="00485DDC" w:rsidRPr="009C0BEE" w:rsidRDefault="00485DDC" w:rsidP="0023431E">
                  <w:pPr>
                    <w:pStyle w:val="Header"/>
                    <w:tabs>
                      <w:tab w:val="left" w:pos="284"/>
                    </w:tabs>
                    <w:rPr>
                      <w:color w:val="FF0000"/>
                      <w:sz w:val="22"/>
                      <w:szCs w:val="22"/>
                    </w:rPr>
                  </w:pPr>
                </w:p>
              </w:tc>
            </w:tr>
            <w:tr w:rsidR="0023431E" w:rsidRPr="009C0BEE" w:rsidTr="005E7E41">
              <w:tc>
                <w:tcPr>
                  <w:tcW w:w="1991" w:type="dxa"/>
                  <w:shd w:val="clear" w:color="auto" w:fill="auto"/>
                </w:tcPr>
                <w:p w:rsidR="00485DDC" w:rsidRPr="009C0BEE" w:rsidRDefault="00485DDC" w:rsidP="0023431E">
                  <w:pPr>
                    <w:pStyle w:val="Header"/>
                    <w:tabs>
                      <w:tab w:val="left" w:pos="284"/>
                    </w:tabs>
                    <w:rPr>
                      <w:rFonts w:eastAsia="PMingLiU"/>
                      <w:i/>
                      <w:sz w:val="22"/>
                      <w:szCs w:val="22"/>
                    </w:rPr>
                  </w:pPr>
                  <w:r w:rsidRPr="009C0BEE">
                    <w:rPr>
                      <w:rFonts w:eastAsia="PMingLiU"/>
                      <w:i/>
                      <w:sz w:val="22"/>
                      <w:szCs w:val="22"/>
                    </w:rPr>
                    <w:t>Psihijatrijski poremećaji</w:t>
                  </w:r>
                </w:p>
              </w:tc>
              <w:tc>
                <w:tcPr>
                  <w:tcW w:w="1991" w:type="dxa"/>
                  <w:shd w:val="clear" w:color="auto" w:fill="auto"/>
                </w:tcPr>
                <w:p w:rsidR="00485DDC" w:rsidRPr="009C0BEE" w:rsidRDefault="00485DDC" w:rsidP="0023431E">
                  <w:pPr>
                    <w:pStyle w:val="Header"/>
                    <w:tabs>
                      <w:tab w:val="left" w:pos="284"/>
                    </w:tabs>
                    <w:rPr>
                      <w:color w:val="FF0000"/>
                      <w:sz w:val="22"/>
                      <w:szCs w:val="22"/>
                    </w:rPr>
                  </w:pPr>
                </w:p>
              </w:tc>
              <w:tc>
                <w:tcPr>
                  <w:tcW w:w="1953" w:type="dxa"/>
                  <w:shd w:val="clear" w:color="auto" w:fill="auto"/>
                </w:tcPr>
                <w:p w:rsidR="004D1A55" w:rsidRPr="009C0BEE" w:rsidRDefault="004D1A55" w:rsidP="0023431E">
                  <w:pPr>
                    <w:autoSpaceDE w:val="0"/>
                    <w:autoSpaceDN w:val="0"/>
                    <w:adjustRightInd w:val="0"/>
                    <w:rPr>
                      <w:color w:val="FF0000"/>
                      <w:sz w:val="22"/>
                      <w:szCs w:val="22"/>
                    </w:rPr>
                  </w:pPr>
                  <w:r w:rsidRPr="009C0BEE">
                    <w:rPr>
                      <w:rFonts w:ascii="TimesNewRoman" w:hAnsi="TimesNewRoman" w:cs="TimesNewRoman"/>
                      <w:sz w:val="22"/>
                      <w:szCs w:val="22"/>
                    </w:rPr>
                    <w:t xml:space="preserve">nesanica, depresija </w:t>
                  </w:r>
                </w:p>
                <w:p w:rsidR="00485DDC" w:rsidRPr="009C0BEE" w:rsidRDefault="00485DDC" w:rsidP="0023431E">
                  <w:pPr>
                    <w:pStyle w:val="Header"/>
                    <w:tabs>
                      <w:tab w:val="left" w:pos="284"/>
                    </w:tabs>
                    <w:rPr>
                      <w:color w:val="FF0000"/>
                      <w:sz w:val="22"/>
                      <w:szCs w:val="22"/>
                    </w:rPr>
                  </w:pPr>
                </w:p>
              </w:tc>
              <w:tc>
                <w:tcPr>
                  <w:tcW w:w="2030" w:type="dxa"/>
                  <w:shd w:val="clear" w:color="auto" w:fill="auto"/>
                </w:tcPr>
                <w:p w:rsidR="004D1A55" w:rsidRPr="009C0BEE" w:rsidRDefault="008D1355"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stanje konfuzije</w:t>
                  </w:r>
                  <w:r w:rsidR="004D1A55" w:rsidRPr="009C0BEE">
                    <w:rPr>
                      <w:rFonts w:ascii="TimesNewRoman" w:hAnsi="TimesNewRoman" w:cs="TimesNewRoman"/>
                      <w:sz w:val="22"/>
                      <w:szCs w:val="22"/>
                    </w:rPr>
                    <w:t>, napad</w:t>
                  </w:r>
                </w:p>
                <w:p w:rsidR="004D1A55" w:rsidRPr="009C0BEE" w:rsidRDefault="004D1A55"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panike, depresivno</w:t>
                  </w:r>
                </w:p>
                <w:p w:rsidR="00485DDC" w:rsidRPr="009C0BEE" w:rsidRDefault="004D1A55" w:rsidP="0023431E">
                  <w:pPr>
                    <w:pStyle w:val="Header"/>
                    <w:tabs>
                      <w:tab w:val="left" w:pos="284"/>
                    </w:tabs>
                    <w:rPr>
                      <w:color w:val="FF0000"/>
                      <w:sz w:val="22"/>
                      <w:szCs w:val="22"/>
                    </w:rPr>
                  </w:pPr>
                  <w:r w:rsidRPr="009C0BEE">
                    <w:rPr>
                      <w:rFonts w:ascii="TimesNewRoman" w:hAnsi="TimesNewRoman" w:cs="TimesNewRoman"/>
                      <w:sz w:val="22"/>
                      <w:szCs w:val="22"/>
                    </w:rPr>
                    <w:t>raspoloženje, smanjen libido</w:t>
                  </w:r>
                </w:p>
              </w:tc>
              <w:tc>
                <w:tcPr>
                  <w:tcW w:w="1992" w:type="dxa"/>
                  <w:shd w:val="clear" w:color="auto" w:fill="auto"/>
                </w:tcPr>
                <w:p w:rsidR="00485DDC" w:rsidRPr="009C0BEE" w:rsidRDefault="00485DDC" w:rsidP="0023431E">
                  <w:pPr>
                    <w:pStyle w:val="Header"/>
                    <w:tabs>
                      <w:tab w:val="left" w:pos="284"/>
                    </w:tabs>
                    <w:rPr>
                      <w:color w:val="FF0000"/>
                      <w:sz w:val="22"/>
                      <w:szCs w:val="22"/>
                    </w:rPr>
                  </w:pPr>
                </w:p>
              </w:tc>
            </w:tr>
            <w:tr w:rsidR="0023431E" w:rsidRPr="009C0BEE" w:rsidTr="005E7E41">
              <w:tc>
                <w:tcPr>
                  <w:tcW w:w="1991" w:type="dxa"/>
                  <w:shd w:val="clear" w:color="auto" w:fill="auto"/>
                </w:tcPr>
                <w:p w:rsidR="000C2234" w:rsidRPr="009C0BEE" w:rsidRDefault="000C2234" w:rsidP="0023431E">
                  <w:pPr>
                    <w:pStyle w:val="Header"/>
                    <w:tabs>
                      <w:tab w:val="left" w:pos="284"/>
                    </w:tabs>
                    <w:rPr>
                      <w:rFonts w:eastAsia="PMingLiU"/>
                      <w:i/>
                      <w:sz w:val="22"/>
                      <w:szCs w:val="22"/>
                    </w:rPr>
                  </w:pPr>
                  <w:r w:rsidRPr="009C0BEE">
                    <w:rPr>
                      <w:rFonts w:eastAsia="PMingLiU"/>
                      <w:i/>
                      <w:sz w:val="22"/>
                      <w:szCs w:val="22"/>
                    </w:rPr>
                    <w:t>Poremećaji nervnog sistema</w:t>
                  </w:r>
                </w:p>
              </w:tc>
              <w:tc>
                <w:tcPr>
                  <w:tcW w:w="1991" w:type="dxa"/>
                  <w:shd w:val="clear" w:color="auto" w:fill="auto"/>
                </w:tcPr>
                <w:p w:rsidR="000C2234" w:rsidRPr="009C0BEE" w:rsidRDefault="000C2234" w:rsidP="0023431E">
                  <w:pPr>
                    <w:pStyle w:val="Header"/>
                    <w:tabs>
                      <w:tab w:val="left" w:pos="284"/>
                    </w:tabs>
                    <w:rPr>
                      <w:sz w:val="22"/>
                      <w:szCs w:val="22"/>
                    </w:rPr>
                  </w:pPr>
                </w:p>
              </w:tc>
              <w:tc>
                <w:tcPr>
                  <w:tcW w:w="1953" w:type="dxa"/>
                  <w:shd w:val="clear" w:color="auto" w:fill="auto"/>
                </w:tcPr>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glavobolja,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letargija,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vrtoglavic</w:t>
                  </w:r>
                  <w:r w:rsidR="006F634A" w:rsidRPr="009C0BEE">
                    <w:rPr>
                      <w:rFonts w:eastAsia="PMingLiU"/>
                      <w:sz w:val="22"/>
                      <w:szCs w:val="22"/>
                    </w:rPr>
                    <w:t>a</w:t>
                  </w:r>
                  <w:r w:rsidRPr="009C0BEE">
                    <w:rPr>
                      <w:rFonts w:eastAsia="PMingLiU"/>
                      <w:sz w:val="22"/>
                      <w:szCs w:val="22"/>
                    </w:rPr>
                    <w:t xml:space="preserve">,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parestezija,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lastRenderedPageBreak/>
                    <w:t xml:space="preserve">disgeuzija </w:t>
                  </w:r>
                </w:p>
                <w:p w:rsidR="000C2234" w:rsidRPr="009C0BEE" w:rsidRDefault="000C2234" w:rsidP="0023431E">
                  <w:pPr>
                    <w:pStyle w:val="Header"/>
                    <w:tabs>
                      <w:tab w:val="left" w:pos="284"/>
                    </w:tabs>
                    <w:rPr>
                      <w:rFonts w:eastAsia="PMingLiU"/>
                      <w:sz w:val="22"/>
                      <w:szCs w:val="22"/>
                    </w:rPr>
                  </w:pPr>
                </w:p>
              </w:tc>
              <w:tc>
                <w:tcPr>
                  <w:tcW w:w="2030" w:type="dxa"/>
                  <w:shd w:val="clear" w:color="auto" w:fill="auto"/>
                </w:tcPr>
                <w:p w:rsidR="000C2234" w:rsidRPr="009C0BEE" w:rsidRDefault="000C2234" w:rsidP="0023431E">
                  <w:pPr>
                    <w:pStyle w:val="Header"/>
                    <w:tabs>
                      <w:tab w:val="left" w:pos="284"/>
                    </w:tabs>
                    <w:rPr>
                      <w:rFonts w:eastAsia="PMingLiU"/>
                      <w:sz w:val="22"/>
                      <w:szCs w:val="22"/>
                    </w:rPr>
                  </w:pPr>
                  <w:r w:rsidRPr="009C0BEE">
                    <w:rPr>
                      <w:rFonts w:eastAsia="PMingLiU"/>
                      <w:sz w:val="22"/>
                      <w:szCs w:val="22"/>
                    </w:rPr>
                    <w:lastRenderedPageBreak/>
                    <w:t xml:space="preserve">afazija,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poremećaj pamćenja,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ataksija,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lastRenderedPageBreak/>
                    <w:t xml:space="preserve">sinkopa,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poremećaj ravnoteže,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senzorni poremećaj,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periferna neuropatija</w:t>
                  </w:r>
                </w:p>
              </w:tc>
              <w:tc>
                <w:tcPr>
                  <w:tcW w:w="1992" w:type="dxa"/>
                  <w:shd w:val="clear" w:color="auto" w:fill="auto"/>
                </w:tcPr>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lastRenderedPageBreak/>
                    <w:t>toksična</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leukoencefalopatija</w:t>
                  </w:r>
                </w:p>
                <w:p w:rsidR="000C2234" w:rsidRPr="009C0BEE" w:rsidRDefault="000C2234">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(v</w:t>
                  </w:r>
                  <w:r w:rsidR="006F634A" w:rsidRPr="009C0BEE">
                    <w:rPr>
                      <w:rFonts w:ascii="TimesNewRoman" w:hAnsi="TimesNewRoman" w:cs="TimesNewRoman"/>
                      <w:sz w:val="22"/>
                      <w:szCs w:val="22"/>
                    </w:rPr>
                    <w:t>eoma</w:t>
                  </w:r>
                  <w:r w:rsidRPr="009C0BEE">
                    <w:rPr>
                      <w:rFonts w:ascii="TimesNewRoman" w:hAnsi="TimesNewRoman" w:cs="TimesNewRoman"/>
                      <w:sz w:val="22"/>
                      <w:szCs w:val="22"/>
                    </w:rPr>
                    <w:t xml:space="preserve"> rijetko)</w:t>
                  </w:r>
                </w:p>
              </w:tc>
            </w:tr>
            <w:tr w:rsidR="0023431E" w:rsidRPr="009C0BEE" w:rsidTr="005E7E41">
              <w:tc>
                <w:tcPr>
                  <w:tcW w:w="1991" w:type="dxa"/>
                  <w:shd w:val="clear" w:color="auto" w:fill="auto"/>
                </w:tcPr>
                <w:p w:rsidR="000C2234" w:rsidRPr="009C0BEE" w:rsidRDefault="000C2234" w:rsidP="0023431E">
                  <w:pPr>
                    <w:pStyle w:val="Header"/>
                    <w:tabs>
                      <w:tab w:val="left" w:pos="284"/>
                    </w:tabs>
                    <w:rPr>
                      <w:rFonts w:eastAsia="PMingLiU"/>
                      <w:i/>
                      <w:sz w:val="22"/>
                      <w:szCs w:val="22"/>
                    </w:rPr>
                  </w:pPr>
                  <w:r w:rsidRPr="009C0BEE">
                    <w:rPr>
                      <w:rFonts w:eastAsia="PMingLiU"/>
                      <w:i/>
                      <w:sz w:val="22"/>
                      <w:szCs w:val="22"/>
                    </w:rPr>
                    <w:t>Poremećaji na nivou oka</w:t>
                  </w:r>
                </w:p>
              </w:tc>
              <w:tc>
                <w:tcPr>
                  <w:tcW w:w="1991" w:type="dxa"/>
                  <w:shd w:val="clear" w:color="auto" w:fill="auto"/>
                </w:tcPr>
                <w:p w:rsidR="000C2234" w:rsidRPr="009C0BEE" w:rsidRDefault="000C2234" w:rsidP="0023431E">
                  <w:pPr>
                    <w:pStyle w:val="Header"/>
                    <w:tabs>
                      <w:tab w:val="left" w:pos="284"/>
                    </w:tabs>
                    <w:rPr>
                      <w:sz w:val="22"/>
                      <w:szCs w:val="22"/>
                    </w:rPr>
                  </w:pPr>
                </w:p>
              </w:tc>
              <w:tc>
                <w:tcPr>
                  <w:tcW w:w="1953" w:type="dxa"/>
                  <w:shd w:val="clear" w:color="auto" w:fill="auto"/>
                </w:tcPr>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pojačano suzenje,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konjunktivitis, </w:t>
                  </w:r>
                </w:p>
                <w:p w:rsidR="000C2234" w:rsidRPr="009C0BEE" w:rsidRDefault="000C2234" w:rsidP="0023431E">
                  <w:pPr>
                    <w:pStyle w:val="Header"/>
                    <w:tabs>
                      <w:tab w:val="left" w:pos="284"/>
                    </w:tabs>
                    <w:rPr>
                      <w:rFonts w:eastAsia="PMingLiU"/>
                      <w:sz w:val="22"/>
                      <w:szCs w:val="22"/>
                    </w:rPr>
                  </w:pPr>
                  <w:r w:rsidRPr="009C0BEE">
                    <w:rPr>
                      <w:rFonts w:eastAsia="PMingLiU"/>
                      <w:sz w:val="22"/>
                      <w:szCs w:val="22"/>
                    </w:rPr>
                    <w:t xml:space="preserve">iritacija očiju </w:t>
                  </w:r>
                </w:p>
              </w:tc>
              <w:tc>
                <w:tcPr>
                  <w:tcW w:w="2030" w:type="dxa"/>
                  <w:shd w:val="clear" w:color="auto" w:fill="auto"/>
                </w:tcPr>
                <w:p w:rsidR="000C2234" w:rsidRPr="009C0BEE" w:rsidRDefault="000C2234" w:rsidP="0023431E">
                  <w:pPr>
                    <w:pStyle w:val="Header"/>
                    <w:tabs>
                      <w:tab w:val="left" w:pos="284"/>
                    </w:tabs>
                    <w:rPr>
                      <w:rFonts w:eastAsia="PMingLiU"/>
                      <w:sz w:val="22"/>
                      <w:szCs w:val="22"/>
                    </w:rPr>
                  </w:pPr>
                  <w:r w:rsidRPr="009C0BEE">
                    <w:rPr>
                      <w:rFonts w:eastAsia="PMingLiU"/>
                      <w:sz w:val="22"/>
                      <w:szCs w:val="22"/>
                    </w:rPr>
                    <w:t>smanjena oštrina vida, diplopija</w:t>
                  </w:r>
                </w:p>
              </w:tc>
              <w:tc>
                <w:tcPr>
                  <w:tcW w:w="1992" w:type="dxa"/>
                  <w:shd w:val="clear" w:color="auto" w:fill="auto"/>
                </w:tcPr>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stenoza</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lakrimalnog</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kanala</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(rijetko),</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poremećaji</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rožnjače</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(rijetko),</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keratitis</w:t>
                  </w:r>
                </w:p>
                <w:p w:rsidR="000C2234" w:rsidRPr="009C0BEE" w:rsidRDefault="000C22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(rijetko),</w:t>
                  </w:r>
                </w:p>
                <w:p w:rsidR="000C2234" w:rsidRPr="009C0BEE" w:rsidRDefault="000C2234" w:rsidP="0023431E">
                  <w:pPr>
                    <w:autoSpaceDE w:val="0"/>
                    <w:autoSpaceDN w:val="0"/>
                    <w:adjustRightInd w:val="0"/>
                    <w:rPr>
                      <w:i/>
                      <w:iCs/>
                      <w:sz w:val="22"/>
                      <w:szCs w:val="22"/>
                    </w:rPr>
                  </w:pPr>
                  <w:r w:rsidRPr="009C0BEE">
                    <w:rPr>
                      <w:i/>
                      <w:iCs/>
                      <w:sz w:val="22"/>
                      <w:szCs w:val="22"/>
                    </w:rPr>
                    <w:t>keratitis</w:t>
                  </w:r>
                </w:p>
                <w:p w:rsidR="000C2234" w:rsidRPr="009C0BEE" w:rsidRDefault="000C2234" w:rsidP="0023431E">
                  <w:pPr>
                    <w:autoSpaceDE w:val="0"/>
                    <w:autoSpaceDN w:val="0"/>
                    <w:adjustRightInd w:val="0"/>
                    <w:rPr>
                      <w:i/>
                      <w:iCs/>
                      <w:sz w:val="22"/>
                      <w:szCs w:val="22"/>
                    </w:rPr>
                  </w:pPr>
                  <w:r w:rsidRPr="009C0BEE">
                    <w:rPr>
                      <w:i/>
                      <w:iCs/>
                      <w:sz w:val="22"/>
                      <w:szCs w:val="22"/>
                    </w:rPr>
                    <w:t>punctata</w:t>
                  </w:r>
                </w:p>
                <w:p w:rsidR="000C2234" w:rsidRPr="009C0BEE" w:rsidRDefault="000C2234" w:rsidP="0023431E">
                  <w:pPr>
                    <w:pStyle w:val="Header"/>
                    <w:tabs>
                      <w:tab w:val="left" w:pos="284"/>
                    </w:tabs>
                    <w:rPr>
                      <w:sz w:val="22"/>
                      <w:szCs w:val="22"/>
                    </w:rPr>
                  </w:pPr>
                  <w:r w:rsidRPr="009C0BEE">
                    <w:rPr>
                      <w:rFonts w:ascii="TimesNewRoman" w:hAnsi="TimesNewRoman" w:cs="TimesNewRoman"/>
                      <w:sz w:val="22"/>
                      <w:szCs w:val="22"/>
                    </w:rPr>
                    <w:t>(rijetko)</w:t>
                  </w:r>
                </w:p>
              </w:tc>
            </w:tr>
            <w:tr w:rsidR="0023431E" w:rsidRPr="009C0BEE" w:rsidTr="005E7E41">
              <w:tc>
                <w:tcPr>
                  <w:tcW w:w="1991" w:type="dxa"/>
                  <w:shd w:val="clear" w:color="auto" w:fill="auto"/>
                </w:tcPr>
                <w:p w:rsidR="00485DDC" w:rsidRPr="009C0BEE" w:rsidRDefault="00485DDC" w:rsidP="0023431E">
                  <w:pPr>
                    <w:pStyle w:val="Header"/>
                    <w:tabs>
                      <w:tab w:val="left" w:pos="284"/>
                    </w:tabs>
                    <w:rPr>
                      <w:rFonts w:eastAsia="PMingLiU"/>
                      <w:i/>
                      <w:sz w:val="22"/>
                      <w:szCs w:val="22"/>
                    </w:rPr>
                  </w:pPr>
                  <w:r w:rsidRPr="009C0BEE">
                    <w:rPr>
                      <w:rFonts w:eastAsia="PMingLiU"/>
                      <w:i/>
                      <w:sz w:val="22"/>
                      <w:szCs w:val="22"/>
                    </w:rPr>
                    <w:t xml:space="preserve">Poremećaji </w:t>
                  </w:r>
                  <w:r w:rsidR="0095031F" w:rsidRPr="009C0BEE">
                    <w:rPr>
                      <w:rFonts w:eastAsia="PMingLiU"/>
                      <w:i/>
                      <w:sz w:val="22"/>
                      <w:szCs w:val="22"/>
                    </w:rPr>
                    <w:t xml:space="preserve">na nivou </w:t>
                  </w:r>
                  <w:r w:rsidRPr="009C0BEE">
                    <w:rPr>
                      <w:rFonts w:eastAsia="PMingLiU"/>
                      <w:i/>
                      <w:sz w:val="22"/>
                      <w:szCs w:val="22"/>
                    </w:rPr>
                    <w:t>uha i</w:t>
                  </w:r>
                  <w:r w:rsidR="0095031F" w:rsidRPr="009C0BEE">
                    <w:rPr>
                      <w:rFonts w:eastAsia="PMingLiU"/>
                      <w:i/>
                      <w:sz w:val="22"/>
                      <w:szCs w:val="22"/>
                    </w:rPr>
                    <w:t xml:space="preserve"> centra za ravnotežu</w:t>
                  </w:r>
                </w:p>
              </w:tc>
              <w:tc>
                <w:tcPr>
                  <w:tcW w:w="1991" w:type="dxa"/>
                  <w:shd w:val="clear" w:color="auto" w:fill="auto"/>
                </w:tcPr>
                <w:p w:rsidR="00485DDC" w:rsidRPr="009C0BEE" w:rsidRDefault="00485DDC" w:rsidP="0023431E">
                  <w:pPr>
                    <w:pStyle w:val="Header"/>
                    <w:tabs>
                      <w:tab w:val="left" w:pos="284"/>
                    </w:tabs>
                    <w:rPr>
                      <w:color w:val="FF0000"/>
                      <w:sz w:val="22"/>
                      <w:szCs w:val="22"/>
                    </w:rPr>
                  </w:pPr>
                </w:p>
              </w:tc>
              <w:tc>
                <w:tcPr>
                  <w:tcW w:w="1953" w:type="dxa"/>
                  <w:shd w:val="clear" w:color="auto" w:fill="auto"/>
                </w:tcPr>
                <w:p w:rsidR="00485DDC" w:rsidRPr="009C0BEE" w:rsidRDefault="00485DDC" w:rsidP="0023431E">
                  <w:pPr>
                    <w:pStyle w:val="Header"/>
                    <w:tabs>
                      <w:tab w:val="left" w:pos="284"/>
                    </w:tabs>
                    <w:rPr>
                      <w:color w:val="FF0000"/>
                      <w:sz w:val="22"/>
                      <w:szCs w:val="22"/>
                    </w:rPr>
                  </w:pPr>
                </w:p>
              </w:tc>
              <w:tc>
                <w:tcPr>
                  <w:tcW w:w="2030" w:type="dxa"/>
                  <w:shd w:val="clear" w:color="auto" w:fill="auto"/>
                </w:tcPr>
                <w:p w:rsidR="003C6D34" w:rsidRPr="009C0BEE" w:rsidRDefault="006F634A" w:rsidP="0023431E">
                  <w:pPr>
                    <w:pStyle w:val="Header"/>
                    <w:tabs>
                      <w:tab w:val="left" w:pos="284"/>
                    </w:tabs>
                    <w:rPr>
                      <w:rFonts w:eastAsia="PMingLiU"/>
                      <w:sz w:val="22"/>
                      <w:szCs w:val="22"/>
                    </w:rPr>
                  </w:pPr>
                  <w:r w:rsidRPr="009C0BEE">
                    <w:rPr>
                      <w:rFonts w:eastAsia="PMingLiU"/>
                      <w:sz w:val="22"/>
                      <w:szCs w:val="22"/>
                    </w:rPr>
                    <w:t>vertigo</w:t>
                  </w:r>
                  <w:r w:rsidR="003C6D34" w:rsidRPr="009C0BEE">
                    <w:rPr>
                      <w:rFonts w:eastAsia="PMingLiU"/>
                      <w:sz w:val="22"/>
                      <w:szCs w:val="22"/>
                    </w:rPr>
                    <w:t xml:space="preserve">, </w:t>
                  </w:r>
                </w:p>
                <w:p w:rsidR="00485DDC" w:rsidRPr="009C0BEE" w:rsidRDefault="006F634A" w:rsidP="0023431E">
                  <w:pPr>
                    <w:pStyle w:val="Header"/>
                    <w:tabs>
                      <w:tab w:val="left" w:pos="284"/>
                    </w:tabs>
                    <w:rPr>
                      <w:color w:val="FF0000"/>
                      <w:sz w:val="22"/>
                      <w:szCs w:val="22"/>
                    </w:rPr>
                  </w:pPr>
                  <w:r w:rsidRPr="009C0BEE">
                    <w:rPr>
                      <w:rFonts w:eastAsia="PMingLiU"/>
                      <w:sz w:val="22"/>
                      <w:szCs w:val="22"/>
                    </w:rPr>
                    <w:t>b</w:t>
                  </w:r>
                  <w:r w:rsidR="003C6D34" w:rsidRPr="009C0BEE">
                    <w:rPr>
                      <w:rFonts w:eastAsia="PMingLiU"/>
                      <w:sz w:val="22"/>
                      <w:szCs w:val="22"/>
                    </w:rPr>
                    <w:t>ol u uhu</w:t>
                  </w:r>
                </w:p>
              </w:tc>
              <w:tc>
                <w:tcPr>
                  <w:tcW w:w="1992" w:type="dxa"/>
                  <w:shd w:val="clear" w:color="auto" w:fill="auto"/>
                </w:tcPr>
                <w:p w:rsidR="00485DDC" w:rsidRPr="009C0BEE" w:rsidRDefault="00485DDC" w:rsidP="0023431E">
                  <w:pPr>
                    <w:pStyle w:val="Header"/>
                    <w:tabs>
                      <w:tab w:val="left" w:pos="284"/>
                    </w:tabs>
                    <w:rPr>
                      <w:color w:val="FF0000"/>
                      <w:sz w:val="22"/>
                      <w:szCs w:val="22"/>
                    </w:rPr>
                  </w:pPr>
                </w:p>
              </w:tc>
            </w:tr>
            <w:tr w:rsidR="0023431E" w:rsidRPr="009C0BEE" w:rsidTr="005E7E41">
              <w:tc>
                <w:tcPr>
                  <w:tcW w:w="1991" w:type="dxa"/>
                  <w:shd w:val="clear" w:color="auto" w:fill="auto"/>
                </w:tcPr>
                <w:p w:rsidR="00880205" w:rsidRPr="009C0BEE" w:rsidRDefault="0095031F" w:rsidP="0023431E">
                  <w:pPr>
                    <w:pStyle w:val="Header"/>
                    <w:tabs>
                      <w:tab w:val="left" w:pos="284"/>
                    </w:tabs>
                    <w:rPr>
                      <w:sz w:val="22"/>
                      <w:szCs w:val="22"/>
                    </w:rPr>
                  </w:pPr>
                  <w:r w:rsidRPr="009C0BEE">
                    <w:rPr>
                      <w:rFonts w:eastAsia="PMingLiU"/>
                      <w:i/>
                      <w:sz w:val="22"/>
                      <w:szCs w:val="22"/>
                    </w:rPr>
                    <w:t>Kardiološki poremećaji</w:t>
                  </w:r>
                </w:p>
              </w:tc>
              <w:tc>
                <w:tcPr>
                  <w:tcW w:w="1991" w:type="dxa"/>
                  <w:shd w:val="clear" w:color="auto" w:fill="auto"/>
                </w:tcPr>
                <w:p w:rsidR="00880205" w:rsidRPr="009C0BEE" w:rsidRDefault="00880205" w:rsidP="0023431E">
                  <w:pPr>
                    <w:pStyle w:val="Header"/>
                    <w:tabs>
                      <w:tab w:val="left" w:pos="284"/>
                    </w:tabs>
                    <w:rPr>
                      <w:sz w:val="22"/>
                      <w:szCs w:val="22"/>
                    </w:rPr>
                  </w:pPr>
                </w:p>
              </w:tc>
              <w:tc>
                <w:tcPr>
                  <w:tcW w:w="1953" w:type="dxa"/>
                  <w:shd w:val="clear" w:color="auto" w:fill="auto"/>
                </w:tcPr>
                <w:p w:rsidR="00880205" w:rsidRPr="009C0BEE" w:rsidRDefault="00880205" w:rsidP="0023431E">
                  <w:pPr>
                    <w:pStyle w:val="Header"/>
                    <w:tabs>
                      <w:tab w:val="left" w:pos="284"/>
                    </w:tabs>
                    <w:rPr>
                      <w:sz w:val="22"/>
                      <w:szCs w:val="22"/>
                    </w:rPr>
                  </w:pPr>
                </w:p>
              </w:tc>
              <w:tc>
                <w:tcPr>
                  <w:tcW w:w="2030" w:type="dxa"/>
                  <w:shd w:val="clear" w:color="auto" w:fill="auto"/>
                </w:tcPr>
                <w:p w:rsidR="003C6D34" w:rsidRPr="009C0BEE" w:rsidRDefault="003C6D34" w:rsidP="0023431E">
                  <w:pPr>
                    <w:pStyle w:val="Header"/>
                    <w:tabs>
                      <w:tab w:val="left" w:pos="284"/>
                    </w:tabs>
                    <w:rPr>
                      <w:rFonts w:eastAsia="PMingLiU"/>
                      <w:sz w:val="22"/>
                      <w:szCs w:val="22"/>
                    </w:rPr>
                  </w:pPr>
                  <w:r w:rsidRPr="009C0BEE">
                    <w:rPr>
                      <w:rFonts w:eastAsia="PMingLiU"/>
                      <w:sz w:val="22"/>
                      <w:szCs w:val="22"/>
                    </w:rPr>
                    <w:t xml:space="preserve">nestabilna angina, </w:t>
                  </w:r>
                </w:p>
                <w:p w:rsidR="003C6D34" w:rsidRPr="009C0BEE" w:rsidRDefault="003C6D34" w:rsidP="0023431E">
                  <w:pPr>
                    <w:pStyle w:val="Header"/>
                    <w:tabs>
                      <w:tab w:val="left" w:pos="284"/>
                    </w:tabs>
                    <w:rPr>
                      <w:rFonts w:eastAsia="PMingLiU"/>
                      <w:sz w:val="22"/>
                      <w:szCs w:val="22"/>
                    </w:rPr>
                  </w:pPr>
                  <w:r w:rsidRPr="009C0BEE">
                    <w:rPr>
                      <w:rFonts w:eastAsia="PMingLiU"/>
                      <w:sz w:val="22"/>
                      <w:szCs w:val="22"/>
                    </w:rPr>
                    <w:t xml:space="preserve">angina pektoris, </w:t>
                  </w:r>
                </w:p>
                <w:p w:rsidR="003C6D34" w:rsidRPr="009C0BEE" w:rsidRDefault="003C6D34" w:rsidP="0023431E">
                  <w:pPr>
                    <w:pStyle w:val="Header"/>
                    <w:tabs>
                      <w:tab w:val="left" w:pos="284"/>
                    </w:tabs>
                    <w:rPr>
                      <w:rFonts w:eastAsia="PMingLiU"/>
                      <w:sz w:val="22"/>
                      <w:szCs w:val="22"/>
                    </w:rPr>
                  </w:pPr>
                  <w:r w:rsidRPr="009C0BEE">
                    <w:rPr>
                      <w:rFonts w:eastAsia="PMingLiU"/>
                      <w:sz w:val="22"/>
                      <w:szCs w:val="22"/>
                    </w:rPr>
                    <w:t xml:space="preserve">ishemija miokarda, </w:t>
                  </w:r>
                </w:p>
                <w:p w:rsidR="003C6D34" w:rsidRPr="009C0BEE" w:rsidRDefault="003C6D34" w:rsidP="0023431E">
                  <w:pPr>
                    <w:pStyle w:val="Header"/>
                    <w:tabs>
                      <w:tab w:val="left" w:pos="284"/>
                    </w:tabs>
                    <w:rPr>
                      <w:rFonts w:eastAsia="PMingLiU"/>
                      <w:sz w:val="22"/>
                      <w:szCs w:val="22"/>
                    </w:rPr>
                  </w:pPr>
                  <w:r w:rsidRPr="009C0BEE">
                    <w:rPr>
                      <w:rFonts w:eastAsia="PMingLiU"/>
                      <w:sz w:val="22"/>
                      <w:szCs w:val="22"/>
                    </w:rPr>
                    <w:t xml:space="preserve">atrijalna fibrilacija, </w:t>
                  </w:r>
                </w:p>
                <w:p w:rsidR="003C6D34" w:rsidRPr="009C0BEE" w:rsidRDefault="003C6D34" w:rsidP="0023431E">
                  <w:pPr>
                    <w:pStyle w:val="Header"/>
                    <w:tabs>
                      <w:tab w:val="left" w:pos="284"/>
                    </w:tabs>
                    <w:rPr>
                      <w:rFonts w:eastAsia="PMingLiU"/>
                      <w:sz w:val="22"/>
                      <w:szCs w:val="22"/>
                    </w:rPr>
                  </w:pPr>
                  <w:r w:rsidRPr="009C0BEE">
                    <w:rPr>
                      <w:rFonts w:eastAsia="PMingLiU"/>
                      <w:sz w:val="22"/>
                      <w:szCs w:val="22"/>
                    </w:rPr>
                    <w:t xml:space="preserve">aritmija, tahikardija, </w:t>
                  </w:r>
                </w:p>
                <w:p w:rsidR="00880205" w:rsidRPr="009C0BEE" w:rsidRDefault="003C6D34" w:rsidP="0023431E">
                  <w:pPr>
                    <w:pStyle w:val="Header"/>
                    <w:tabs>
                      <w:tab w:val="left" w:pos="284"/>
                    </w:tabs>
                    <w:rPr>
                      <w:sz w:val="22"/>
                      <w:szCs w:val="22"/>
                    </w:rPr>
                  </w:pPr>
                  <w:r w:rsidRPr="009C0BEE">
                    <w:rPr>
                      <w:rFonts w:eastAsia="PMingLiU"/>
                      <w:sz w:val="22"/>
                      <w:szCs w:val="22"/>
                    </w:rPr>
                    <w:t>sinusna tahikardija, palpitacije</w:t>
                  </w:r>
                </w:p>
              </w:tc>
              <w:tc>
                <w:tcPr>
                  <w:tcW w:w="1992" w:type="dxa"/>
                  <w:shd w:val="clear" w:color="auto" w:fill="auto"/>
                </w:tcPr>
                <w:p w:rsidR="003C6D34" w:rsidRPr="009C0BEE" w:rsidRDefault="003C6D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fibrilacija ventrikula (rijetko),</w:t>
                  </w:r>
                </w:p>
                <w:p w:rsidR="003C6D34" w:rsidRPr="009C0BEE" w:rsidRDefault="003C6D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produženje QT interval</w:t>
                  </w:r>
                  <w:r w:rsidR="006F634A" w:rsidRPr="009C0BEE">
                    <w:rPr>
                      <w:rFonts w:ascii="TimesNewRoman" w:hAnsi="TimesNewRoman" w:cs="TimesNewRoman"/>
                      <w:sz w:val="22"/>
                      <w:szCs w:val="22"/>
                    </w:rPr>
                    <w:t>a</w:t>
                  </w:r>
                  <w:r w:rsidRPr="009C0BEE">
                    <w:rPr>
                      <w:rFonts w:ascii="TimesNewRoman" w:hAnsi="TimesNewRoman" w:cs="TimesNewRoman"/>
                      <w:sz w:val="22"/>
                      <w:szCs w:val="22"/>
                    </w:rPr>
                    <w:t xml:space="preserve"> (rijetko),</w:t>
                  </w:r>
                </w:p>
                <w:p w:rsidR="003C6D34" w:rsidRPr="009C0BEE" w:rsidRDefault="003C6D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Torsade de</w:t>
                  </w:r>
                </w:p>
                <w:p w:rsidR="003C6D34" w:rsidRPr="009C0BEE" w:rsidRDefault="003C6D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Pointes (rijetko),</w:t>
                  </w:r>
                </w:p>
                <w:p w:rsidR="003C6D34" w:rsidRPr="009C0BEE" w:rsidRDefault="006F634A"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b</w:t>
                  </w:r>
                  <w:r w:rsidR="003C6D34" w:rsidRPr="009C0BEE">
                    <w:rPr>
                      <w:rFonts w:ascii="TimesNewRoman" w:hAnsi="TimesNewRoman" w:cs="TimesNewRoman"/>
                      <w:sz w:val="22"/>
                      <w:szCs w:val="22"/>
                    </w:rPr>
                    <w:t>radikardija</w:t>
                  </w:r>
                  <w:r w:rsidRPr="009C0BEE">
                    <w:rPr>
                      <w:rFonts w:ascii="TimesNewRoman" w:hAnsi="TimesNewRoman" w:cs="TimesNewRoman"/>
                      <w:sz w:val="22"/>
                      <w:szCs w:val="22"/>
                    </w:rPr>
                    <w:t xml:space="preserve"> (rijetko)</w:t>
                  </w:r>
                  <w:r w:rsidR="003C6D34" w:rsidRPr="009C0BEE">
                    <w:rPr>
                      <w:rFonts w:ascii="TimesNewRoman" w:hAnsi="TimesNewRoman" w:cs="TimesNewRoman"/>
                      <w:sz w:val="22"/>
                      <w:szCs w:val="22"/>
                    </w:rPr>
                    <w:t>,</w:t>
                  </w:r>
                </w:p>
                <w:p w:rsidR="003C6D34" w:rsidRPr="009C0BEE" w:rsidRDefault="003C6D34"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vazospazam</w:t>
                  </w:r>
                </w:p>
                <w:p w:rsidR="00880205" w:rsidRPr="009C0BEE" w:rsidRDefault="003C6D34" w:rsidP="0023431E">
                  <w:pPr>
                    <w:pStyle w:val="Header"/>
                    <w:tabs>
                      <w:tab w:val="left" w:pos="284"/>
                    </w:tabs>
                    <w:rPr>
                      <w:color w:val="FF0000"/>
                      <w:sz w:val="22"/>
                      <w:szCs w:val="22"/>
                    </w:rPr>
                  </w:pPr>
                  <w:r w:rsidRPr="009C0BEE">
                    <w:rPr>
                      <w:rFonts w:ascii="TimesNewRoman" w:hAnsi="TimesNewRoman" w:cs="TimesNewRoman"/>
                      <w:sz w:val="22"/>
                      <w:szCs w:val="22"/>
                    </w:rPr>
                    <w:t>(rijetko)</w:t>
                  </w:r>
                </w:p>
              </w:tc>
            </w:tr>
            <w:tr w:rsidR="0023431E" w:rsidRPr="009C0BEE" w:rsidTr="005E7E41">
              <w:tc>
                <w:tcPr>
                  <w:tcW w:w="1991" w:type="dxa"/>
                  <w:shd w:val="clear" w:color="auto" w:fill="auto"/>
                </w:tcPr>
                <w:p w:rsidR="00E31DA5" w:rsidRPr="009C0BEE" w:rsidRDefault="00E31DA5" w:rsidP="0023431E">
                  <w:pPr>
                    <w:pStyle w:val="Header"/>
                    <w:tabs>
                      <w:tab w:val="left" w:pos="284"/>
                    </w:tabs>
                    <w:rPr>
                      <w:sz w:val="22"/>
                      <w:szCs w:val="22"/>
                    </w:rPr>
                  </w:pPr>
                  <w:r w:rsidRPr="009C0BEE">
                    <w:rPr>
                      <w:rFonts w:eastAsia="PMingLiU"/>
                      <w:i/>
                      <w:sz w:val="22"/>
                      <w:szCs w:val="22"/>
                    </w:rPr>
                    <w:t>Vaskularni poremećaji</w:t>
                  </w:r>
                </w:p>
              </w:tc>
              <w:tc>
                <w:tcPr>
                  <w:tcW w:w="1991" w:type="dxa"/>
                  <w:shd w:val="clear" w:color="auto" w:fill="auto"/>
                </w:tcPr>
                <w:p w:rsidR="00E31DA5" w:rsidRPr="009C0BEE" w:rsidRDefault="00E31DA5" w:rsidP="0023431E">
                  <w:pPr>
                    <w:pStyle w:val="Header"/>
                    <w:tabs>
                      <w:tab w:val="left" w:pos="284"/>
                    </w:tabs>
                    <w:rPr>
                      <w:sz w:val="22"/>
                      <w:szCs w:val="22"/>
                    </w:rPr>
                  </w:pPr>
                </w:p>
              </w:tc>
              <w:tc>
                <w:tcPr>
                  <w:tcW w:w="1953" w:type="dxa"/>
                  <w:shd w:val="clear" w:color="auto" w:fill="auto"/>
                </w:tcPr>
                <w:p w:rsidR="00E31DA5" w:rsidRPr="009C0BEE" w:rsidRDefault="0013192F" w:rsidP="0023431E">
                  <w:pPr>
                    <w:pStyle w:val="Header"/>
                    <w:tabs>
                      <w:tab w:val="left" w:pos="284"/>
                    </w:tabs>
                    <w:rPr>
                      <w:rFonts w:eastAsia="PMingLiU"/>
                      <w:sz w:val="22"/>
                      <w:szCs w:val="22"/>
                    </w:rPr>
                  </w:pPr>
                  <w:r w:rsidRPr="009C0BEE">
                    <w:rPr>
                      <w:rFonts w:eastAsia="PMingLiU"/>
                      <w:sz w:val="22"/>
                      <w:szCs w:val="22"/>
                    </w:rPr>
                    <w:t>t</w:t>
                  </w:r>
                  <w:r w:rsidR="00E31DA5" w:rsidRPr="009C0BEE">
                    <w:rPr>
                      <w:rFonts w:eastAsia="PMingLiU"/>
                      <w:sz w:val="22"/>
                      <w:szCs w:val="22"/>
                    </w:rPr>
                    <w:t>romboflebitis</w:t>
                  </w:r>
                </w:p>
              </w:tc>
              <w:tc>
                <w:tcPr>
                  <w:tcW w:w="2030" w:type="dxa"/>
                  <w:shd w:val="clear" w:color="auto" w:fill="auto"/>
                </w:tcPr>
                <w:p w:rsidR="00E31DA5" w:rsidRPr="009C0BEE" w:rsidRDefault="0013192F" w:rsidP="0023431E">
                  <w:pPr>
                    <w:pStyle w:val="Header"/>
                    <w:tabs>
                      <w:tab w:val="left" w:pos="284"/>
                    </w:tabs>
                    <w:rPr>
                      <w:rFonts w:eastAsia="PMingLiU"/>
                      <w:sz w:val="22"/>
                      <w:szCs w:val="22"/>
                    </w:rPr>
                  </w:pPr>
                  <w:r w:rsidRPr="009C0BEE">
                    <w:rPr>
                      <w:rFonts w:eastAsia="PMingLiU"/>
                      <w:sz w:val="22"/>
                      <w:szCs w:val="22"/>
                    </w:rPr>
                    <w:t>t</w:t>
                  </w:r>
                  <w:r w:rsidR="00E31DA5" w:rsidRPr="009C0BEE">
                    <w:rPr>
                      <w:rFonts w:eastAsia="PMingLiU"/>
                      <w:sz w:val="22"/>
                      <w:szCs w:val="22"/>
                    </w:rPr>
                    <w:t xml:space="preserve">romboza dubokih vena, hipertenzija, </w:t>
                  </w:r>
                </w:p>
                <w:p w:rsidR="00E31DA5" w:rsidRPr="009C0BEE" w:rsidRDefault="00E31DA5" w:rsidP="0023431E">
                  <w:pPr>
                    <w:pStyle w:val="Header"/>
                    <w:tabs>
                      <w:tab w:val="left" w:pos="284"/>
                    </w:tabs>
                    <w:rPr>
                      <w:rFonts w:eastAsia="PMingLiU"/>
                      <w:sz w:val="22"/>
                      <w:szCs w:val="22"/>
                    </w:rPr>
                  </w:pPr>
                  <w:r w:rsidRPr="009C0BEE">
                    <w:rPr>
                      <w:rFonts w:eastAsia="PMingLiU"/>
                      <w:sz w:val="22"/>
                      <w:szCs w:val="22"/>
                    </w:rPr>
                    <w:t xml:space="preserve">petehije, hipotenzija, </w:t>
                  </w:r>
                </w:p>
                <w:p w:rsidR="00E31DA5" w:rsidRPr="009C0BEE" w:rsidRDefault="00E31DA5" w:rsidP="0023431E">
                  <w:pPr>
                    <w:pStyle w:val="Header"/>
                    <w:tabs>
                      <w:tab w:val="left" w:pos="284"/>
                    </w:tabs>
                    <w:rPr>
                      <w:rFonts w:eastAsia="PMingLiU"/>
                      <w:sz w:val="22"/>
                      <w:szCs w:val="22"/>
                    </w:rPr>
                  </w:pPr>
                  <w:r w:rsidRPr="009C0BEE">
                    <w:rPr>
                      <w:rFonts w:eastAsia="PMingLiU"/>
                      <w:sz w:val="22"/>
                      <w:szCs w:val="22"/>
                    </w:rPr>
                    <w:t>valunzi, hladnoća perifernih djelova tijela</w:t>
                  </w:r>
                </w:p>
              </w:tc>
              <w:tc>
                <w:tcPr>
                  <w:tcW w:w="1992" w:type="dxa"/>
                  <w:shd w:val="clear" w:color="auto" w:fill="auto"/>
                </w:tcPr>
                <w:p w:rsidR="00E31DA5" w:rsidRPr="009C0BEE" w:rsidRDefault="00E31DA5" w:rsidP="0023431E">
                  <w:pPr>
                    <w:pStyle w:val="Header"/>
                    <w:tabs>
                      <w:tab w:val="left" w:pos="284"/>
                    </w:tabs>
                    <w:rPr>
                      <w:color w:val="FF0000"/>
                      <w:sz w:val="22"/>
                      <w:szCs w:val="22"/>
                    </w:rPr>
                  </w:pPr>
                </w:p>
              </w:tc>
            </w:tr>
            <w:tr w:rsidR="0023431E" w:rsidRPr="009C0BEE" w:rsidTr="005E7E41">
              <w:tc>
                <w:tcPr>
                  <w:tcW w:w="1991" w:type="dxa"/>
                  <w:shd w:val="clear" w:color="auto" w:fill="auto"/>
                </w:tcPr>
                <w:p w:rsidR="00130265" w:rsidRPr="009C0BEE" w:rsidRDefault="00130265" w:rsidP="0023431E">
                  <w:pPr>
                    <w:pStyle w:val="Header"/>
                    <w:tabs>
                      <w:tab w:val="left" w:pos="284"/>
                    </w:tabs>
                    <w:rPr>
                      <w:sz w:val="22"/>
                      <w:szCs w:val="22"/>
                    </w:rPr>
                  </w:pPr>
                  <w:r w:rsidRPr="009C0BEE">
                    <w:rPr>
                      <w:rFonts w:eastAsia="PMingLiU"/>
                      <w:i/>
                      <w:sz w:val="22"/>
                      <w:szCs w:val="22"/>
                    </w:rPr>
                    <w:t>Poremećaji respiratornog sistema, toraksa i medijastinuma</w:t>
                  </w:r>
                </w:p>
              </w:tc>
              <w:tc>
                <w:tcPr>
                  <w:tcW w:w="1991" w:type="dxa"/>
                  <w:shd w:val="clear" w:color="auto" w:fill="auto"/>
                </w:tcPr>
                <w:p w:rsidR="00130265" w:rsidRPr="009C0BEE" w:rsidRDefault="00130265" w:rsidP="0023431E">
                  <w:pPr>
                    <w:pStyle w:val="Header"/>
                    <w:tabs>
                      <w:tab w:val="left" w:pos="284"/>
                    </w:tabs>
                    <w:rPr>
                      <w:sz w:val="22"/>
                      <w:szCs w:val="22"/>
                    </w:rPr>
                  </w:pPr>
                </w:p>
              </w:tc>
              <w:tc>
                <w:tcPr>
                  <w:tcW w:w="1953" w:type="dxa"/>
                  <w:shd w:val="clear" w:color="auto" w:fill="auto"/>
                </w:tcPr>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dispneja, </w:t>
                  </w:r>
                </w:p>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epistaksis, </w:t>
                  </w:r>
                </w:p>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kašalj, </w:t>
                  </w:r>
                </w:p>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rinoreja </w:t>
                  </w:r>
                </w:p>
              </w:tc>
              <w:tc>
                <w:tcPr>
                  <w:tcW w:w="2030" w:type="dxa"/>
                  <w:shd w:val="clear" w:color="auto" w:fill="auto"/>
                </w:tcPr>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plućna embolija, </w:t>
                  </w:r>
                </w:p>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pneumotoraks, </w:t>
                  </w:r>
                </w:p>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hemoptiza, </w:t>
                  </w:r>
                </w:p>
                <w:p w:rsidR="00130265" w:rsidRPr="009C0BEE" w:rsidRDefault="00130265" w:rsidP="0023431E">
                  <w:pPr>
                    <w:pStyle w:val="Header"/>
                    <w:tabs>
                      <w:tab w:val="left" w:pos="284"/>
                    </w:tabs>
                    <w:rPr>
                      <w:rFonts w:eastAsia="PMingLiU"/>
                      <w:sz w:val="22"/>
                      <w:szCs w:val="22"/>
                    </w:rPr>
                  </w:pPr>
                  <w:r w:rsidRPr="009C0BEE">
                    <w:rPr>
                      <w:rFonts w:eastAsia="PMingLiU"/>
                      <w:sz w:val="22"/>
                      <w:szCs w:val="22"/>
                    </w:rPr>
                    <w:t xml:space="preserve">astma, </w:t>
                  </w:r>
                </w:p>
                <w:p w:rsidR="00130265" w:rsidRPr="009C0BEE" w:rsidRDefault="0009726A" w:rsidP="0023431E">
                  <w:pPr>
                    <w:pStyle w:val="Header"/>
                    <w:tabs>
                      <w:tab w:val="left" w:pos="284"/>
                    </w:tabs>
                    <w:rPr>
                      <w:rFonts w:eastAsia="PMingLiU"/>
                      <w:sz w:val="22"/>
                      <w:szCs w:val="22"/>
                    </w:rPr>
                  </w:pPr>
                  <w:r w:rsidRPr="009C0BEE">
                    <w:rPr>
                      <w:rFonts w:eastAsia="PMingLiU"/>
                      <w:sz w:val="22"/>
                      <w:szCs w:val="22"/>
                    </w:rPr>
                    <w:t>d</w:t>
                  </w:r>
                  <w:r w:rsidR="00130265" w:rsidRPr="009C0BEE">
                    <w:rPr>
                      <w:rFonts w:eastAsia="PMingLiU"/>
                      <w:sz w:val="22"/>
                      <w:szCs w:val="22"/>
                    </w:rPr>
                    <w:t>ispneja pri naporu</w:t>
                  </w:r>
                </w:p>
              </w:tc>
              <w:tc>
                <w:tcPr>
                  <w:tcW w:w="1992" w:type="dxa"/>
                  <w:shd w:val="clear" w:color="auto" w:fill="auto"/>
                </w:tcPr>
                <w:p w:rsidR="00130265" w:rsidRPr="009C0BEE" w:rsidRDefault="00130265" w:rsidP="0023431E">
                  <w:pPr>
                    <w:pStyle w:val="Header"/>
                    <w:tabs>
                      <w:tab w:val="left" w:pos="284"/>
                    </w:tabs>
                    <w:rPr>
                      <w:color w:val="FF0000"/>
                      <w:sz w:val="22"/>
                      <w:szCs w:val="22"/>
                    </w:rPr>
                  </w:pPr>
                </w:p>
              </w:tc>
            </w:tr>
            <w:tr w:rsidR="0023431E" w:rsidRPr="009C0BEE" w:rsidTr="005E7E41">
              <w:tc>
                <w:tcPr>
                  <w:tcW w:w="1991" w:type="dxa"/>
                  <w:shd w:val="clear" w:color="auto" w:fill="auto"/>
                </w:tcPr>
                <w:p w:rsidR="008F639F" w:rsidRPr="009C0BEE" w:rsidRDefault="008F639F" w:rsidP="0023431E">
                  <w:pPr>
                    <w:pStyle w:val="Header"/>
                    <w:tabs>
                      <w:tab w:val="left" w:pos="284"/>
                    </w:tabs>
                    <w:rPr>
                      <w:sz w:val="22"/>
                      <w:szCs w:val="22"/>
                    </w:rPr>
                  </w:pPr>
                  <w:r w:rsidRPr="009C0BEE">
                    <w:rPr>
                      <w:rFonts w:eastAsia="PMingLiU"/>
                      <w:i/>
                      <w:sz w:val="22"/>
                      <w:szCs w:val="22"/>
                    </w:rPr>
                    <w:t>Gastrointestinalni poremećaji</w:t>
                  </w:r>
                </w:p>
              </w:tc>
              <w:tc>
                <w:tcPr>
                  <w:tcW w:w="1991" w:type="dxa"/>
                  <w:shd w:val="clear" w:color="auto" w:fill="auto"/>
                </w:tcPr>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dijareja,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povraćanje,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mučnina,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stomatitis,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bol u stomaku </w:t>
                  </w:r>
                </w:p>
              </w:tc>
              <w:tc>
                <w:tcPr>
                  <w:tcW w:w="1953" w:type="dxa"/>
                  <w:shd w:val="clear" w:color="auto" w:fill="auto"/>
                </w:tcPr>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gastrointestinalna hemoragija,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opstipacija,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bol u gornjem dijelu stomaka,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dispepsija,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lastRenderedPageBreak/>
                    <w:t xml:space="preserve">nadutost,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suva usta </w:t>
                  </w:r>
                </w:p>
                <w:p w:rsidR="008F639F" w:rsidRPr="009C0BEE" w:rsidRDefault="008F639F" w:rsidP="0023431E">
                  <w:pPr>
                    <w:pStyle w:val="Header"/>
                    <w:tabs>
                      <w:tab w:val="left" w:pos="284"/>
                    </w:tabs>
                    <w:rPr>
                      <w:rFonts w:eastAsia="PMingLiU"/>
                      <w:sz w:val="22"/>
                      <w:szCs w:val="22"/>
                    </w:rPr>
                  </w:pPr>
                </w:p>
              </w:tc>
              <w:tc>
                <w:tcPr>
                  <w:tcW w:w="2030" w:type="dxa"/>
                  <w:shd w:val="clear" w:color="auto" w:fill="auto"/>
                </w:tcPr>
                <w:p w:rsidR="008F639F" w:rsidRPr="009C0BEE" w:rsidRDefault="008F639F" w:rsidP="0023431E">
                  <w:pPr>
                    <w:pStyle w:val="Header"/>
                    <w:tabs>
                      <w:tab w:val="left" w:pos="284"/>
                    </w:tabs>
                    <w:rPr>
                      <w:rFonts w:eastAsia="PMingLiU"/>
                      <w:sz w:val="22"/>
                      <w:szCs w:val="22"/>
                    </w:rPr>
                  </w:pPr>
                  <w:r w:rsidRPr="009C0BEE">
                    <w:rPr>
                      <w:rFonts w:eastAsia="PMingLiU"/>
                      <w:sz w:val="22"/>
                      <w:szCs w:val="22"/>
                    </w:rPr>
                    <w:lastRenderedPageBreak/>
                    <w:t xml:space="preserve">opstrukcija crijeva,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ascites, enteritis,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gastritis, disfagija,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t xml:space="preserve">bol u donjem dijelu stomaka, ezofagitis, </w:t>
                  </w:r>
                </w:p>
                <w:p w:rsidR="008F639F" w:rsidRPr="009C0BEE" w:rsidRDefault="008F639F" w:rsidP="0023431E">
                  <w:pPr>
                    <w:pStyle w:val="Header"/>
                    <w:tabs>
                      <w:tab w:val="left" w:pos="284"/>
                    </w:tabs>
                    <w:rPr>
                      <w:rFonts w:eastAsia="PMingLiU"/>
                      <w:sz w:val="22"/>
                      <w:szCs w:val="22"/>
                    </w:rPr>
                  </w:pPr>
                  <w:r w:rsidRPr="009C0BEE">
                    <w:rPr>
                      <w:rFonts w:eastAsia="PMingLiU"/>
                      <w:sz w:val="22"/>
                      <w:szCs w:val="22"/>
                    </w:rPr>
                    <w:lastRenderedPageBreak/>
                    <w:t>nelagodnost u stomaku, gastroezofagealni refluks, kolitis, krv u stolici</w:t>
                  </w:r>
                </w:p>
              </w:tc>
              <w:tc>
                <w:tcPr>
                  <w:tcW w:w="1992" w:type="dxa"/>
                  <w:shd w:val="clear" w:color="auto" w:fill="auto"/>
                </w:tcPr>
                <w:p w:rsidR="008F639F" w:rsidRPr="009C0BEE" w:rsidRDefault="008F639F" w:rsidP="0023431E">
                  <w:pPr>
                    <w:pStyle w:val="Header"/>
                    <w:tabs>
                      <w:tab w:val="left" w:pos="284"/>
                    </w:tabs>
                    <w:rPr>
                      <w:color w:val="FF0000"/>
                      <w:sz w:val="22"/>
                      <w:szCs w:val="22"/>
                    </w:rPr>
                  </w:pPr>
                </w:p>
              </w:tc>
            </w:tr>
            <w:tr w:rsidR="0023431E" w:rsidRPr="009C0BEE" w:rsidTr="005E7E41">
              <w:tc>
                <w:tcPr>
                  <w:tcW w:w="1991" w:type="dxa"/>
                  <w:shd w:val="clear" w:color="auto" w:fill="auto"/>
                </w:tcPr>
                <w:p w:rsidR="009C5D16" w:rsidRPr="009C0BEE" w:rsidRDefault="009C5D16" w:rsidP="0023431E">
                  <w:pPr>
                    <w:pStyle w:val="Header"/>
                    <w:tabs>
                      <w:tab w:val="left" w:pos="284"/>
                    </w:tabs>
                    <w:rPr>
                      <w:i/>
                      <w:sz w:val="22"/>
                      <w:szCs w:val="22"/>
                    </w:rPr>
                  </w:pPr>
                  <w:r w:rsidRPr="009C0BEE">
                    <w:rPr>
                      <w:i/>
                      <w:sz w:val="22"/>
                      <w:szCs w:val="22"/>
                    </w:rPr>
                    <w:t>Hepatobilijarni poremećaji</w:t>
                  </w:r>
                </w:p>
              </w:tc>
              <w:tc>
                <w:tcPr>
                  <w:tcW w:w="1991" w:type="dxa"/>
                  <w:shd w:val="clear" w:color="auto" w:fill="auto"/>
                </w:tcPr>
                <w:p w:rsidR="009C5D16" w:rsidRPr="009C0BEE" w:rsidRDefault="009C5D16" w:rsidP="0023431E">
                  <w:pPr>
                    <w:pStyle w:val="Header"/>
                    <w:tabs>
                      <w:tab w:val="left" w:pos="284"/>
                    </w:tabs>
                    <w:rPr>
                      <w:sz w:val="22"/>
                      <w:szCs w:val="22"/>
                    </w:rPr>
                  </w:pPr>
                </w:p>
              </w:tc>
              <w:tc>
                <w:tcPr>
                  <w:tcW w:w="1953" w:type="dxa"/>
                  <w:shd w:val="clear" w:color="auto" w:fill="auto"/>
                </w:tcPr>
                <w:p w:rsidR="009C5D16" w:rsidRPr="009C0BEE" w:rsidRDefault="0013192F" w:rsidP="0023431E">
                  <w:pPr>
                    <w:pStyle w:val="Header"/>
                    <w:tabs>
                      <w:tab w:val="left" w:pos="284"/>
                    </w:tabs>
                    <w:rPr>
                      <w:rFonts w:eastAsia="PMingLiU"/>
                      <w:sz w:val="22"/>
                      <w:szCs w:val="22"/>
                    </w:rPr>
                  </w:pPr>
                  <w:r w:rsidRPr="009C0BEE">
                    <w:rPr>
                      <w:rFonts w:eastAsia="PMingLiU"/>
                      <w:sz w:val="22"/>
                      <w:szCs w:val="22"/>
                    </w:rPr>
                    <w:t>h</w:t>
                  </w:r>
                  <w:r w:rsidR="009C5D16" w:rsidRPr="009C0BEE">
                    <w:rPr>
                      <w:rFonts w:eastAsia="PMingLiU"/>
                      <w:sz w:val="22"/>
                      <w:szCs w:val="22"/>
                    </w:rPr>
                    <w:t>iperbilirubinemija</w:t>
                  </w:r>
                  <w:r w:rsidR="006F634A" w:rsidRPr="009C0BEE">
                    <w:rPr>
                      <w:rFonts w:eastAsia="PMingLiU"/>
                      <w:sz w:val="22"/>
                      <w:szCs w:val="22"/>
                    </w:rPr>
                    <w:t>,</w:t>
                  </w:r>
                  <w:r w:rsidR="009C5D16" w:rsidRPr="009C0BEE">
                    <w:rPr>
                      <w:rFonts w:eastAsia="PMingLiU"/>
                      <w:sz w:val="22"/>
                      <w:szCs w:val="22"/>
                    </w:rPr>
                    <w:t xml:space="preserve"> abnormalnosti u laboratorijskim testovima funkcije jetre</w:t>
                  </w:r>
                </w:p>
              </w:tc>
              <w:tc>
                <w:tcPr>
                  <w:tcW w:w="2030" w:type="dxa"/>
                  <w:shd w:val="clear" w:color="auto" w:fill="auto"/>
                </w:tcPr>
                <w:p w:rsidR="009C5D16" w:rsidRPr="009C0BEE" w:rsidRDefault="009C5D16" w:rsidP="0023431E">
                  <w:pPr>
                    <w:pStyle w:val="Header"/>
                    <w:tabs>
                      <w:tab w:val="left" w:pos="284"/>
                    </w:tabs>
                    <w:rPr>
                      <w:rFonts w:eastAsia="PMingLiU"/>
                      <w:sz w:val="22"/>
                      <w:szCs w:val="22"/>
                    </w:rPr>
                  </w:pPr>
                  <w:r w:rsidRPr="009C0BEE">
                    <w:rPr>
                      <w:rFonts w:eastAsia="PMingLiU"/>
                      <w:sz w:val="22"/>
                      <w:szCs w:val="22"/>
                    </w:rPr>
                    <w:t>žutica</w:t>
                  </w:r>
                </w:p>
              </w:tc>
              <w:tc>
                <w:tcPr>
                  <w:tcW w:w="1992" w:type="dxa"/>
                  <w:shd w:val="clear" w:color="auto" w:fill="auto"/>
                </w:tcPr>
                <w:p w:rsidR="009C5D16" w:rsidRPr="009C0BEE" w:rsidRDefault="006F634A" w:rsidP="0023431E">
                  <w:pPr>
                    <w:pStyle w:val="Header"/>
                    <w:tabs>
                      <w:tab w:val="left" w:pos="284"/>
                    </w:tabs>
                    <w:rPr>
                      <w:color w:val="FF0000"/>
                      <w:sz w:val="22"/>
                      <w:szCs w:val="22"/>
                    </w:rPr>
                  </w:pPr>
                  <w:r w:rsidRPr="009C0BEE">
                    <w:rPr>
                      <w:sz w:val="22"/>
                      <w:szCs w:val="22"/>
                    </w:rPr>
                    <w:t>Insuficijencija jetre (rijetko), holestatski hepatitis (rijetko)</w:t>
                  </w:r>
                </w:p>
              </w:tc>
            </w:tr>
            <w:tr w:rsidR="0023431E" w:rsidRPr="009C0BEE" w:rsidTr="005E7E41">
              <w:tc>
                <w:tcPr>
                  <w:tcW w:w="1991" w:type="dxa"/>
                  <w:shd w:val="clear" w:color="auto" w:fill="auto"/>
                </w:tcPr>
                <w:p w:rsidR="00C435B8" w:rsidRPr="009C0BEE" w:rsidRDefault="00C435B8" w:rsidP="0023431E">
                  <w:pPr>
                    <w:pStyle w:val="Header"/>
                    <w:tabs>
                      <w:tab w:val="left" w:pos="284"/>
                    </w:tabs>
                    <w:rPr>
                      <w:sz w:val="22"/>
                      <w:szCs w:val="22"/>
                    </w:rPr>
                  </w:pPr>
                  <w:r w:rsidRPr="009C0BEE">
                    <w:rPr>
                      <w:i/>
                      <w:sz w:val="22"/>
                      <w:szCs w:val="22"/>
                    </w:rPr>
                    <w:t>Poremećaji na novou kože i potkožnog tkiva</w:t>
                  </w:r>
                </w:p>
              </w:tc>
              <w:tc>
                <w:tcPr>
                  <w:tcW w:w="1991" w:type="dxa"/>
                  <w:shd w:val="clear" w:color="auto" w:fill="auto"/>
                </w:tcPr>
                <w:p w:rsidR="00C435B8" w:rsidRPr="009C0BEE" w:rsidRDefault="00C435B8" w:rsidP="0023431E">
                  <w:pPr>
                    <w:pStyle w:val="Header"/>
                    <w:tabs>
                      <w:tab w:val="left" w:pos="284"/>
                    </w:tabs>
                    <w:rPr>
                      <w:rFonts w:eastAsia="PMingLiU"/>
                      <w:sz w:val="22"/>
                      <w:szCs w:val="22"/>
                    </w:rPr>
                  </w:pPr>
                  <w:r w:rsidRPr="009C0BEE">
                    <w:rPr>
                      <w:rFonts w:eastAsia="PMingLiU"/>
                      <w:sz w:val="22"/>
                      <w:szCs w:val="22"/>
                    </w:rPr>
                    <w:t>sindrom palmarno-plantarne eritrodizestezije</w:t>
                  </w:r>
                </w:p>
              </w:tc>
              <w:tc>
                <w:tcPr>
                  <w:tcW w:w="1953" w:type="dxa"/>
                  <w:shd w:val="clear" w:color="auto" w:fill="auto"/>
                </w:tcPr>
                <w:p w:rsidR="00C435B8" w:rsidRPr="009C0BEE" w:rsidRDefault="00C435B8" w:rsidP="0023431E">
                  <w:pPr>
                    <w:pStyle w:val="Header"/>
                    <w:tabs>
                      <w:tab w:val="left" w:pos="284"/>
                    </w:tabs>
                    <w:rPr>
                      <w:rFonts w:eastAsia="PMingLiU"/>
                      <w:sz w:val="22"/>
                      <w:szCs w:val="22"/>
                    </w:rPr>
                  </w:pPr>
                  <w:r w:rsidRPr="009C0BEE">
                    <w:rPr>
                      <w:rFonts w:eastAsia="PMingLiU"/>
                      <w:sz w:val="22"/>
                      <w:szCs w:val="22"/>
                    </w:rPr>
                    <w:t xml:space="preserve">osip, alopecija,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 xml:space="preserve">eritem, suva koža,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pruritus,</w:t>
                  </w:r>
                  <w:r w:rsidR="006F634A" w:rsidRPr="009C0BEE">
                    <w:rPr>
                      <w:rFonts w:eastAsia="PMingLiU"/>
                      <w:sz w:val="22"/>
                      <w:szCs w:val="22"/>
                    </w:rPr>
                    <w:t xml:space="preserve"> </w:t>
                  </w:r>
                  <w:r w:rsidRPr="009C0BEE">
                    <w:rPr>
                      <w:rFonts w:eastAsia="PMingLiU"/>
                      <w:sz w:val="22"/>
                      <w:szCs w:val="22"/>
                    </w:rPr>
                    <w:t xml:space="preserve">hiperpigmentacija kože,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makularn</w:t>
                  </w:r>
                  <w:r w:rsidR="000F7C82" w:rsidRPr="009C0BEE">
                    <w:rPr>
                      <w:rFonts w:eastAsia="PMingLiU"/>
                      <w:sz w:val="22"/>
                      <w:szCs w:val="22"/>
                    </w:rPr>
                    <w:t>i</w:t>
                  </w:r>
                  <w:r w:rsidRPr="009C0BEE">
                    <w:rPr>
                      <w:rFonts w:eastAsia="PMingLiU"/>
                      <w:sz w:val="22"/>
                      <w:szCs w:val="22"/>
                    </w:rPr>
                    <w:t xml:space="preserve"> osip,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 xml:space="preserve">deskvamacija kože,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 xml:space="preserve">dermatitis, poremećaj pigmentacije,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promjene na noktima</w:t>
                  </w:r>
                </w:p>
              </w:tc>
              <w:tc>
                <w:tcPr>
                  <w:tcW w:w="2030" w:type="dxa"/>
                  <w:shd w:val="clear" w:color="auto" w:fill="auto"/>
                </w:tcPr>
                <w:p w:rsidR="00C435B8" w:rsidRPr="009C0BEE" w:rsidRDefault="00C435B8" w:rsidP="0023431E">
                  <w:pPr>
                    <w:pStyle w:val="Header"/>
                    <w:tabs>
                      <w:tab w:val="left" w:pos="284"/>
                    </w:tabs>
                    <w:rPr>
                      <w:rFonts w:eastAsia="PMingLiU"/>
                      <w:sz w:val="22"/>
                      <w:szCs w:val="22"/>
                    </w:rPr>
                  </w:pPr>
                  <w:r w:rsidRPr="009C0BEE">
                    <w:rPr>
                      <w:rFonts w:eastAsia="PMingLiU"/>
                      <w:sz w:val="22"/>
                      <w:szCs w:val="22"/>
                    </w:rPr>
                    <w:t>pli</w:t>
                  </w:r>
                  <w:r w:rsidR="006F634A" w:rsidRPr="009C0BEE">
                    <w:rPr>
                      <w:rFonts w:eastAsia="PMingLiU"/>
                      <w:sz w:val="22"/>
                      <w:szCs w:val="22"/>
                    </w:rPr>
                    <w:t>h</w:t>
                  </w:r>
                  <w:r w:rsidRPr="009C0BEE">
                    <w:rPr>
                      <w:rFonts w:eastAsia="PMingLiU"/>
                      <w:sz w:val="22"/>
                      <w:szCs w:val="22"/>
                    </w:rPr>
                    <w:t xml:space="preserve">ovi, ulceracije kože, osip, urtikarija, reakcija osjetljivosti na svjetlost, eritem dlana, otok lica, </w:t>
                  </w:r>
                </w:p>
                <w:p w:rsidR="00C435B8" w:rsidRPr="009C0BEE" w:rsidRDefault="00C435B8" w:rsidP="0023431E">
                  <w:pPr>
                    <w:pStyle w:val="Header"/>
                    <w:tabs>
                      <w:tab w:val="left" w:pos="284"/>
                    </w:tabs>
                    <w:rPr>
                      <w:rFonts w:eastAsia="PMingLiU"/>
                      <w:sz w:val="22"/>
                      <w:szCs w:val="22"/>
                    </w:rPr>
                  </w:pPr>
                  <w:r w:rsidRPr="009C0BEE">
                    <w:rPr>
                      <w:rFonts w:eastAsia="PMingLiU"/>
                      <w:sz w:val="22"/>
                      <w:szCs w:val="22"/>
                    </w:rPr>
                    <w:t>purpura, sindrom radijacijskog zračenja (“radiation recall“)</w:t>
                  </w:r>
                </w:p>
              </w:tc>
              <w:tc>
                <w:tcPr>
                  <w:tcW w:w="1992" w:type="dxa"/>
                  <w:shd w:val="clear" w:color="auto" w:fill="auto"/>
                </w:tcPr>
                <w:p w:rsidR="00C435B8" w:rsidRPr="009C0BEE" w:rsidRDefault="00C435B8"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kožni lupus eritematozus</w:t>
                  </w:r>
                </w:p>
                <w:p w:rsidR="00C435B8" w:rsidRPr="009C0BEE" w:rsidRDefault="00C435B8"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(rijetko), teške kožne reakcije</w:t>
                  </w:r>
                </w:p>
                <w:p w:rsidR="00C435B8" w:rsidRPr="009C0BEE" w:rsidRDefault="00C435B8" w:rsidP="0023431E">
                  <w:pPr>
                    <w:autoSpaceDE w:val="0"/>
                    <w:autoSpaceDN w:val="0"/>
                    <w:adjustRightInd w:val="0"/>
                    <w:rPr>
                      <w:rFonts w:ascii="TimesNewRoman" w:hAnsi="TimesNewRoman" w:cs="TimesNewRoman"/>
                      <w:i/>
                      <w:sz w:val="22"/>
                      <w:szCs w:val="22"/>
                    </w:rPr>
                  </w:pPr>
                  <w:r w:rsidRPr="009C0BEE">
                    <w:rPr>
                      <w:rFonts w:ascii="TimesNewRoman" w:hAnsi="TimesNewRoman" w:cs="TimesNewRoman"/>
                      <w:sz w:val="22"/>
                      <w:szCs w:val="22"/>
                    </w:rPr>
                    <w:t xml:space="preserve">poput </w:t>
                  </w:r>
                  <w:r w:rsidRPr="009C0BEE">
                    <w:rPr>
                      <w:rFonts w:ascii="TimesNewRoman" w:hAnsi="TimesNewRoman" w:cs="TimesNewRoman"/>
                      <w:i/>
                      <w:sz w:val="22"/>
                      <w:szCs w:val="22"/>
                    </w:rPr>
                    <w:t>Stevens-</w:t>
                  </w:r>
                </w:p>
                <w:p w:rsidR="00C435B8" w:rsidRPr="009C0BEE" w:rsidRDefault="00C435B8" w:rsidP="0023431E">
                  <w:pPr>
                    <w:autoSpaceDE w:val="0"/>
                    <w:autoSpaceDN w:val="0"/>
                    <w:adjustRightInd w:val="0"/>
                    <w:rPr>
                      <w:rFonts w:ascii="TimesNewRoman" w:hAnsi="TimesNewRoman" w:cs="TimesNewRoman"/>
                      <w:sz w:val="22"/>
                      <w:szCs w:val="22"/>
                    </w:rPr>
                  </w:pPr>
                  <w:r w:rsidRPr="009C0BEE">
                    <w:rPr>
                      <w:rFonts w:ascii="TimesNewRoman" w:hAnsi="TimesNewRoman" w:cs="TimesNewRoman"/>
                      <w:i/>
                      <w:sz w:val="22"/>
                      <w:szCs w:val="22"/>
                    </w:rPr>
                    <w:t>Johnson</w:t>
                  </w:r>
                  <w:r w:rsidRPr="009C0BEE">
                    <w:rPr>
                      <w:rFonts w:ascii="TimesNewRoman" w:hAnsi="TimesNewRoman" w:cs="TimesNewRoman"/>
                      <w:sz w:val="22"/>
                      <w:szCs w:val="22"/>
                    </w:rPr>
                    <w:t>-ovog</w:t>
                  </w:r>
                </w:p>
                <w:p w:rsidR="00C435B8" w:rsidRPr="009C0BEE" w:rsidRDefault="00C435B8"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sindroma i toksične</w:t>
                  </w:r>
                </w:p>
                <w:p w:rsidR="00C435B8" w:rsidRPr="009C0BEE" w:rsidRDefault="00C435B8"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epidermalne nekrolize (v</w:t>
                  </w:r>
                  <w:r w:rsidR="000F7C82" w:rsidRPr="009C0BEE">
                    <w:rPr>
                      <w:rFonts w:ascii="TimesNewRoman" w:hAnsi="TimesNewRoman" w:cs="TimesNewRoman"/>
                      <w:sz w:val="22"/>
                      <w:szCs w:val="22"/>
                    </w:rPr>
                    <w:t>eoma</w:t>
                  </w:r>
                </w:p>
                <w:p w:rsidR="00C435B8" w:rsidRPr="009C0BEE" w:rsidRDefault="00C435B8"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rijetko) (vidjeti odjeljak 4.4)</w:t>
                  </w:r>
                </w:p>
              </w:tc>
            </w:tr>
            <w:tr w:rsidR="0023431E" w:rsidRPr="009C0BEE" w:rsidTr="005E7E41">
              <w:tc>
                <w:tcPr>
                  <w:tcW w:w="1991" w:type="dxa"/>
                  <w:shd w:val="clear" w:color="auto" w:fill="auto"/>
                </w:tcPr>
                <w:p w:rsidR="005E77D7" w:rsidRPr="009C0BEE" w:rsidRDefault="005E77D7" w:rsidP="0023431E">
                  <w:pPr>
                    <w:pStyle w:val="Header"/>
                    <w:tabs>
                      <w:tab w:val="left" w:pos="284"/>
                    </w:tabs>
                    <w:rPr>
                      <w:sz w:val="22"/>
                      <w:szCs w:val="22"/>
                    </w:rPr>
                  </w:pPr>
                  <w:r w:rsidRPr="009C0BEE">
                    <w:rPr>
                      <w:i/>
                      <w:sz w:val="22"/>
                      <w:szCs w:val="22"/>
                    </w:rPr>
                    <w:t>Poremećaji mišićno-skeletnog, vezivnog i koštanog tkiva</w:t>
                  </w:r>
                </w:p>
              </w:tc>
              <w:tc>
                <w:tcPr>
                  <w:tcW w:w="1991" w:type="dxa"/>
                  <w:shd w:val="clear" w:color="auto" w:fill="auto"/>
                </w:tcPr>
                <w:p w:rsidR="005E77D7" w:rsidRPr="009C0BEE" w:rsidRDefault="005E77D7" w:rsidP="0023431E">
                  <w:pPr>
                    <w:pStyle w:val="Header"/>
                    <w:tabs>
                      <w:tab w:val="left" w:pos="284"/>
                    </w:tabs>
                    <w:rPr>
                      <w:sz w:val="22"/>
                      <w:szCs w:val="22"/>
                    </w:rPr>
                  </w:pPr>
                </w:p>
              </w:tc>
              <w:tc>
                <w:tcPr>
                  <w:tcW w:w="1953" w:type="dxa"/>
                  <w:shd w:val="clear" w:color="auto" w:fill="auto"/>
                </w:tcPr>
                <w:p w:rsidR="005E77D7" w:rsidRPr="009C0BEE" w:rsidRDefault="005E77D7" w:rsidP="0023431E">
                  <w:pPr>
                    <w:pStyle w:val="Header"/>
                    <w:tabs>
                      <w:tab w:val="left" w:pos="284"/>
                    </w:tabs>
                    <w:rPr>
                      <w:rFonts w:eastAsia="PMingLiU"/>
                      <w:sz w:val="22"/>
                      <w:szCs w:val="22"/>
                    </w:rPr>
                  </w:pPr>
                  <w:r w:rsidRPr="009C0BEE">
                    <w:rPr>
                      <w:rFonts w:eastAsia="PMingLiU"/>
                      <w:sz w:val="22"/>
                      <w:szCs w:val="22"/>
                    </w:rPr>
                    <w:t xml:space="preserve">bol u udovima, bol u leđima, artralgija </w:t>
                  </w:r>
                </w:p>
              </w:tc>
              <w:tc>
                <w:tcPr>
                  <w:tcW w:w="2030" w:type="dxa"/>
                  <w:shd w:val="clear" w:color="auto" w:fill="auto"/>
                </w:tcPr>
                <w:p w:rsidR="005E77D7" w:rsidRPr="009C0BEE" w:rsidRDefault="005E77D7" w:rsidP="0023431E">
                  <w:pPr>
                    <w:pStyle w:val="Header"/>
                    <w:tabs>
                      <w:tab w:val="left" w:pos="284"/>
                    </w:tabs>
                    <w:rPr>
                      <w:rFonts w:eastAsia="PMingLiU"/>
                      <w:sz w:val="22"/>
                      <w:szCs w:val="22"/>
                    </w:rPr>
                  </w:pPr>
                  <w:r w:rsidRPr="009C0BEE">
                    <w:rPr>
                      <w:rFonts w:eastAsia="PMingLiU"/>
                      <w:sz w:val="22"/>
                      <w:szCs w:val="22"/>
                    </w:rPr>
                    <w:t xml:space="preserve">otečeni zglobovi, </w:t>
                  </w:r>
                </w:p>
                <w:p w:rsidR="005E77D7" w:rsidRPr="009C0BEE" w:rsidRDefault="005E77D7" w:rsidP="0023431E">
                  <w:pPr>
                    <w:pStyle w:val="Header"/>
                    <w:tabs>
                      <w:tab w:val="left" w:pos="284"/>
                    </w:tabs>
                    <w:rPr>
                      <w:rFonts w:eastAsia="PMingLiU"/>
                      <w:sz w:val="22"/>
                      <w:szCs w:val="22"/>
                    </w:rPr>
                  </w:pPr>
                  <w:r w:rsidRPr="009C0BEE">
                    <w:rPr>
                      <w:rFonts w:eastAsia="PMingLiU"/>
                      <w:sz w:val="22"/>
                      <w:szCs w:val="22"/>
                    </w:rPr>
                    <w:t xml:space="preserve">bol u kostima, bolno lice, koštanomišićna ukočenost, </w:t>
                  </w:r>
                  <w:r w:rsidR="001C07B2" w:rsidRPr="009C0BEE">
                    <w:rPr>
                      <w:rFonts w:eastAsia="PMingLiU"/>
                      <w:sz w:val="22"/>
                      <w:szCs w:val="22"/>
                    </w:rPr>
                    <w:t>m</w:t>
                  </w:r>
                  <w:r w:rsidRPr="009C0BEE">
                    <w:rPr>
                      <w:rFonts w:eastAsia="PMingLiU"/>
                      <w:sz w:val="22"/>
                      <w:szCs w:val="22"/>
                    </w:rPr>
                    <w:t xml:space="preserve">išićna slabost </w:t>
                  </w:r>
                </w:p>
              </w:tc>
              <w:tc>
                <w:tcPr>
                  <w:tcW w:w="1992" w:type="dxa"/>
                  <w:shd w:val="clear" w:color="auto" w:fill="auto"/>
                </w:tcPr>
                <w:p w:rsidR="005E77D7" w:rsidRPr="009C0BEE" w:rsidRDefault="005E77D7" w:rsidP="0023431E">
                  <w:pPr>
                    <w:pStyle w:val="Header"/>
                    <w:tabs>
                      <w:tab w:val="left" w:pos="284"/>
                    </w:tabs>
                    <w:rPr>
                      <w:color w:val="FF0000"/>
                      <w:sz w:val="22"/>
                      <w:szCs w:val="22"/>
                    </w:rPr>
                  </w:pPr>
                </w:p>
              </w:tc>
            </w:tr>
            <w:tr w:rsidR="0023431E" w:rsidRPr="009C0BEE" w:rsidTr="005E7E41">
              <w:tc>
                <w:tcPr>
                  <w:tcW w:w="1991" w:type="dxa"/>
                  <w:shd w:val="clear" w:color="auto" w:fill="auto"/>
                </w:tcPr>
                <w:p w:rsidR="00C646BC" w:rsidRPr="009C0BEE" w:rsidRDefault="00C646BC" w:rsidP="0023431E">
                  <w:pPr>
                    <w:pStyle w:val="Header"/>
                    <w:tabs>
                      <w:tab w:val="left" w:pos="284"/>
                    </w:tabs>
                    <w:rPr>
                      <w:sz w:val="22"/>
                      <w:szCs w:val="22"/>
                    </w:rPr>
                  </w:pPr>
                  <w:r w:rsidRPr="009C0BEE">
                    <w:rPr>
                      <w:i/>
                      <w:sz w:val="22"/>
                      <w:szCs w:val="22"/>
                    </w:rPr>
                    <w:t>Poremećaji na nivou bubrega i urinarnog sistema</w:t>
                  </w:r>
                </w:p>
              </w:tc>
              <w:tc>
                <w:tcPr>
                  <w:tcW w:w="1991" w:type="dxa"/>
                  <w:shd w:val="clear" w:color="auto" w:fill="auto"/>
                </w:tcPr>
                <w:p w:rsidR="00C646BC" w:rsidRPr="009C0BEE" w:rsidRDefault="00C646BC" w:rsidP="0023431E">
                  <w:pPr>
                    <w:pStyle w:val="Header"/>
                    <w:tabs>
                      <w:tab w:val="left" w:pos="284"/>
                    </w:tabs>
                    <w:rPr>
                      <w:rFonts w:eastAsia="PMingLiU"/>
                      <w:sz w:val="22"/>
                      <w:szCs w:val="22"/>
                    </w:rPr>
                  </w:pPr>
                </w:p>
              </w:tc>
              <w:tc>
                <w:tcPr>
                  <w:tcW w:w="1953" w:type="dxa"/>
                  <w:shd w:val="clear" w:color="auto" w:fill="auto"/>
                </w:tcPr>
                <w:p w:rsidR="00C646BC" w:rsidRPr="009C0BEE" w:rsidRDefault="00C646BC" w:rsidP="0023431E">
                  <w:pPr>
                    <w:pStyle w:val="Header"/>
                    <w:tabs>
                      <w:tab w:val="left" w:pos="284"/>
                    </w:tabs>
                    <w:rPr>
                      <w:rFonts w:eastAsia="PMingLiU"/>
                      <w:sz w:val="22"/>
                      <w:szCs w:val="22"/>
                    </w:rPr>
                  </w:pPr>
                </w:p>
              </w:tc>
              <w:tc>
                <w:tcPr>
                  <w:tcW w:w="2030" w:type="dxa"/>
                  <w:shd w:val="clear" w:color="auto" w:fill="auto"/>
                </w:tcPr>
                <w:p w:rsidR="00C646BC" w:rsidRPr="009C0BEE" w:rsidRDefault="00C646BC" w:rsidP="0023431E">
                  <w:pPr>
                    <w:pStyle w:val="Header"/>
                    <w:tabs>
                      <w:tab w:val="left" w:pos="284"/>
                    </w:tabs>
                    <w:rPr>
                      <w:rFonts w:eastAsia="PMingLiU"/>
                      <w:sz w:val="22"/>
                      <w:szCs w:val="22"/>
                    </w:rPr>
                  </w:pPr>
                  <w:r w:rsidRPr="009C0BEE">
                    <w:rPr>
                      <w:rFonts w:eastAsia="PMingLiU"/>
                      <w:sz w:val="22"/>
                      <w:szCs w:val="22"/>
                    </w:rPr>
                    <w:t>hidronefroza,</w:t>
                  </w:r>
                </w:p>
                <w:p w:rsidR="00C646BC" w:rsidRPr="009C0BEE" w:rsidRDefault="00C646BC" w:rsidP="0023431E">
                  <w:pPr>
                    <w:pStyle w:val="Header"/>
                    <w:tabs>
                      <w:tab w:val="left" w:pos="284"/>
                    </w:tabs>
                    <w:rPr>
                      <w:rFonts w:eastAsia="PMingLiU"/>
                      <w:sz w:val="22"/>
                      <w:szCs w:val="22"/>
                    </w:rPr>
                  </w:pPr>
                  <w:r w:rsidRPr="009C0BEE">
                    <w:rPr>
                      <w:rFonts w:eastAsia="PMingLiU"/>
                      <w:sz w:val="22"/>
                      <w:szCs w:val="22"/>
                    </w:rPr>
                    <w:t xml:space="preserve">urinarna inkontinencija, </w:t>
                  </w:r>
                </w:p>
                <w:p w:rsidR="00C646BC" w:rsidRPr="009C0BEE" w:rsidRDefault="00C646BC" w:rsidP="0023431E">
                  <w:pPr>
                    <w:pStyle w:val="Header"/>
                    <w:tabs>
                      <w:tab w:val="left" w:pos="284"/>
                    </w:tabs>
                    <w:rPr>
                      <w:rFonts w:eastAsia="PMingLiU"/>
                      <w:sz w:val="22"/>
                      <w:szCs w:val="22"/>
                    </w:rPr>
                  </w:pPr>
                  <w:r w:rsidRPr="009C0BEE">
                    <w:rPr>
                      <w:rFonts w:eastAsia="PMingLiU"/>
                      <w:sz w:val="22"/>
                      <w:szCs w:val="22"/>
                    </w:rPr>
                    <w:t xml:space="preserve">hematurija, </w:t>
                  </w:r>
                </w:p>
                <w:p w:rsidR="00C646BC" w:rsidRPr="009C0BEE" w:rsidRDefault="00C646BC" w:rsidP="0023431E">
                  <w:pPr>
                    <w:pStyle w:val="Header"/>
                    <w:tabs>
                      <w:tab w:val="left" w:pos="284"/>
                    </w:tabs>
                    <w:rPr>
                      <w:rFonts w:eastAsia="PMingLiU"/>
                      <w:sz w:val="22"/>
                      <w:szCs w:val="22"/>
                    </w:rPr>
                  </w:pPr>
                  <w:r w:rsidRPr="009C0BEE">
                    <w:rPr>
                      <w:rFonts w:eastAsia="PMingLiU"/>
                      <w:sz w:val="22"/>
                      <w:szCs w:val="22"/>
                    </w:rPr>
                    <w:t>noćno mokrenje,</w:t>
                  </w:r>
                </w:p>
                <w:p w:rsidR="00C646BC" w:rsidRPr="009C0BEE" w:rsidRDefault="00C646BC" w:rsidP="0023431E">
                  <w:pPr>
                    <w:pStyle w:val="Header"/>
                    <w:tabs>
                      <w:tab w:val="left" w:pos="284"/>
                    </w:tabs>
                    <w:rPr>
                      <w:rFonts w:eastAsia="PMingLiU"/>
                      <w:sz w:val="22"/>
                      <w:szCs w:val="22"/>
                    </w:rPr>
                  </w:pPr>
                  <w:r w:rsidRPr="009C0BEE">
                    <w:rPr>
                      <w:rFonts w:eastAsia="PMingLiU"/>
                      <w:sz w:val="22"/>
                      <w:szCs w:val="22"/>
                    </w:rPr>
                    <w:t>povećanje vrijednosti kreatinina u krvi</w:t>
                  </w:r>
                </w:p>
              </w:tc>
              <w:tc>
                <w:tcPr>
                  <w:tcW w:w="1992" w:type="dxa"/>
                  <w:shd w:val="clear" w:color="auto" w:fill="auto"/>
                </w:tcPr>
                <w:p w:rsidR="00C646BC" w:rsidRPr="009C0BEE" w:rsidRDefault="00C646BC" w:rsidP="0023431E">
                  <w:pPr>
                    <w:pStyle w:val="Header"/>
                    <w:tabs>
                      <w:tab w:val="left" w:pos="284"/>
                    </w:tabs>
                    <w:rPr>
                      <w:color w:val="FF0000"/>
                      <w:sz w:val="22"/>
                      <w:szCs w:val="22"/>
                    </w:rPr>
                  </w:pPr>
                </w:p>
              </w:tc>
            </w:tr>
            <w:tr w:rsidR="0023431E" w:rsidRPr="009C0BEE" w:rsidTr="005E7E41">
              <w:tc>
                <w:tcPr>
                  <w:tcW w:w="1991" w:type="dxa"/>
                  <w:shd w:val="clear" w:color="auto" w:fill="auto"/>
                </w:tcPr>
                <w:p w:rsidR="00C646BC" w:rsidRPr="009C0BEE" w:rsidRDefault="00C646BC" w:rsidP="0023431E">
                  <w:pPr>
                    <w:pStyle w:val="Header"/>
                    <w:tabs>
                      <w:tab w:val="left" w:pos="284"/>
                    </w:tabs>
                    <w:rPr>
                      <w:sz w:val="22"/>
                      <w:szCs w:val="22"/>
                    </w:rPr>
                  </w:pPr>
                  <w:r w:rsidRPr="009C0BEE">
                    <w:rPr>
                      <w:i/>
                      <w:sz w:val="22"/>
                      <w:szCs w:val="22"/>
                    </w:rPr>
                    <w:t>Poremećaji reproduktivnog sistema i na nivou dojki</w:t>
                  </w:r>
                </w:p>
              </w:tc>
              <w:tc>
                <w:tcPr>
                  <w:tcW w:w="1991" w:type="dxa"/>
                  <w:shd w:val="clear" w:color="auto" w:fill="auto"/>
                </w:tcPr>
                <w:p w:rsidR="00C646BC" w:rsidRPr="009C0BEE" w:rsidRDefault="00C646BC" w:rsidP="0023431E">
                  <w:pPr>
                    <w:pStyle w:val="Header"/>
                    <w:tabs>
                      <w:tab w:val="left" w:pos="284"/>
                    </w:tabs>
                    <w:rPr>
                      <w:rFonts w:eastAsia="PMingLiU"/>
                      <w:sz w:val="22"/>
                      <w:szCs w:val="22"/>
                    </w:rPr>
                  </w:pPr>
                </w:p>
              </w:tc>
              <w:tc>
                <w:tcPr>
                  <w:tcW w:w="1953" w:type="dxa"/>
                  <w:shd w:val="clear" w:color="auto" w:fill="auto"/>
                </w:tcPr>
                <w:p w:rsidR="00C646BC" w:rsidRPr="009C0BEE" w:rsidRDefault="00C646BC" w:rsidP="0023431E">
                  <w:pPr>
                    <w:pStyle w:val="Header"/>
                    <w:tabs>
                      <w:tab w:val="left" w:pos="284"/>
                    </w:tabs>
                    <w:rPr>
                      <w:rFonts w:eastAsia="PMingLiU"/>
                      <w:sz w:val="22"/>
                      <w:szCs w:val="22"/>
                    </w:rPr>
                  </w:pPr>
                </w:p>
              </w:tc>
              <w:tc>
                <w:tcPr>
                  <w:tcW w:w="2030" w:type="dxa"/>
                  <w:shd w:val="clear" w:color="auto" w:fill="auto"/>
                </w:tcPr>
                <w:p w:rsidR="00C646BC" w:rsidRPr="009C0BEE" w:rsidRDefault="00D05AFF" w:rsidP="0023431E">
                  <w:pPr>
                    <w:pStyle w:val="Header"/>
                    <w:tabs>
                      <w:tab w:val="left" w:pos="284"/>
                    </w:tabs>
                    <w:rPr>
                      <w:rFonts w:eastAsia="PMingLiU"/>
                      <w:sz w:val="22"/>
                      <w:szCs w:val="22"/>
                    </w:rPr>
                  </w:pPr>
                  <w:r w:rsidRPr="009C0BEE">
                    <w:rPr>
                      <w:rFonts w:eastAsia="PMingLiU"/>
                      <w:sz w:val="22"/>
                      <w:szCs w:val="22"/>
                    </w:rPr>
                    <w:t>v</w:t>
                  </w:r>
                  <w:r w:rsidR="00C646BC" w:rsidRPr="009C0BEE">
                    <w:rPr>
                      <w:rFonts w:eastAsia="PMingLiU"/>
                      <w:sz w:val="22"/>
                      <w:szCs w:val="22"/>
                    </w:rPr>
                    <w:t>aginalna hemoragija</w:t>
                  </w:r>
                </w:p>
              </w:tc>
              <w:tc>
                <w:tcPr>
                  <w:tcW w:w="1992" w:type="dxa"/>
                  <w:shd w:val="clear" w:color="auto" w:fill="auto"/>
                </w:tcPr>
                <w:p w:rsidR="00C646BC" w:rsidRPr="009C0BEE" w:rsidRDefault="00C646BC" w:rsidP="0023431E">
                  <w:pPr>
                    <w:pStyle w:val="Header"/>
                    <w:tabs>
                      <w:tab w:val="left" w:pos="284"/>
                    </w:tabs>
                    <w:rPr>
                      <w:color w:val="FF0000"/>
                      <w:sz w:val="22"/>
                      <w:szCs w:val="22"/>
                    </w:rPr>
                  </w:pPr>
                </w:p>
              </w:tc>
            </w:tr>
            <w:tr w:rsidR="0023431E" w:rsidRPr="009C0BEE" w:rsidTr="005E7E41">
              <w:tc>
                <w:tcPr>
                  <w:tcW w:w="1991" w:type="dxa"/>
                  <w:shd w:val="clear" w:color="auto" w:fill="auto"/>
                </w:tcPr>
                <w:p w:rsidR="00C646BC" w:rsidRPr="009C0BEE" w:rsidRDefault="00C646BC" w:rsidP="0023431E">
                  <w:pPr>
                    <w:pStyle w:val="Header"/>
                    <w:tabs>
                      <w:tab w:val="left" w:pos="284"/>
                    </w:tabs>
                    <w:rPr>
                      <w:sz w:val="22"/>
                      <w:szCs w:val="22"/>
                    </w:rPr>
                  </w:pPr>
                  <w:r w:rsidRPr="009C0BEE">
                    <w:rPr>
                      <w:i/>
                      <w:sz w:val="22"/>
                      <w:szCs w:val="22"/>
                    </w:rPr>
                    <w:t>Opšti poremećaji i reakcije na mjestu primjene</w:t>
                  </w:r>
                </w:p>
              </w:tc>
              <w:tc>
                <w:tcPr>
                  <w:tcW w:w="1991" w:type="dxa"/>
                  <w:shd w:val="clear" w:color="auto" w:fill="auto"/>
                </w:tcPr>
                <w:p w:rsidR="00C646BC" w:rsidRPr="009C0BEE" w:rsidRDefault="00287F8C" w:rsidP="0023431E">
                  <w:pPr>
                    <w:pStyle w:val="Header"/>
                    <w:tabs>
                      <w:tab w:val="left" w:pos="284"/>
                    </w:tabs>
                    <w:rPr>
                      <w:rFonts w:eastAsia="PMingLiU"/>
                      <w:sz w:val="22"/>
                      <w:szCs w:val="22"/>
                    </w:rPr>
                  </w:pPr>
                  <w:r w:rsidRPr="009C0BEE">
                    <w:rPr>
                      <w:rFonts w:eastAsia="PMingLiU"/>
                      <w:sz w:val="22"/>
                      <w:szCs w:val="22"/>
                    </w:rPr>
                    <w:t>u</w:t>
                  </w:r>
                  <w:r w:rsidR="00C646BC" w:rsidRPr="009C0BEE">
                    <w:rPr>
                      <w:rFonts w:eastAsia="PMingLiU"/>
                      <w:sz w:val="22"/>
                      <w:szCs w:val="22"/>
                    </w:rPr>
                    <w:t xml:space="preserve">mor, </w:t>
                  </w:r>
                  <w:r w:rsidRPr="009C0BEE">
                    <w:rPr>
                      <w:rFonts w:eastAsia="PMingLiU"/>
                      <w:sz w:val="22"/>
                      <w:szCs w:val="22"/>
                    </w:rPr>
                    <w:t>a</w:t>
                  </w:r>
                  <w:r w:rsidR="00C646BC" w:rsidRPr="009C0BEE">
                    <w:rPr>
                      <w:rFonts w:eastAsia="PMingLiU"/>
                      <w:sz w:val="22"/>
                      <w:szCs w:val="22"/>
                    </w:rPr>
                    <w:t xml:space="preserve">stenija </w:t>
                  </w:r>
                </w:p>
              </w:tc>
              <w:tc>
                <w:tcPr>
                  <w:tcW w:w="1953" w:type="dxa"/>
                  <w:shd w:val="clear" w:color="auto" w:fill="auto"/>
                </w:tcPr>
                <w:p w:rsidR="00C646BC" w:rsidRPr="009C0BEE" w:rsidRDefault="00287F8C" w:rsidP="0023431E">
                  <w:pPr>
                    <w:pStyle w:val="Header"/>
                    <w:tabs>
                      <w:tab w:val="left" w:pos="284"/>
                    </w:tabs>
                    <w:rPr>
                      <w:rFonts w:eastAsia="PMingLiU"/>
                      <w:sz w:val="22"/>
                      <w:szCs w:val="22"/>
                    </w:rPr>
                  </w:pPr>
                  <w:r w:rsidRPr="009C0BEE">
                    <w:rPr>
                      <w:rFonts w:eastAsia="PMingLiU"/>
                      <w:sz w:val="22"/>
                      <w:szCs w:val="22"/>
                    </w:rPr>
                    <w:t>p</w:t>
                  </w:r>
                  <w:r w:rsidR="00C646BC" w:rsidRPr="009C0BEE">
                    <w:rPr>
                      <w:rFonts w:eastAsia="PMingLiU"/>
                      <w:sz w:val="22"/>
                      <w:szCs w:val="22"/>
                    </w:rPr>
                    <w:t xml:space="preserve">ireksija, </w:t>
                  </w:r>
                  <w:r w:rsidRPr="009C0BEE">
                    <w:rPr>
                      <w:rFonts w:eastAsia="PMingLiU"/>
                      <w:sz w:val="22"/>
                      <w:szCs w:val="22"/>
                    </w:rPr>
                    <w:t>periferni edem, opšta slabost</w:t>
                  </w:r>
                  <w:r w:rsidR="00C646BC" w:rsidRPr="009C0BEE">
                    <w:rPr>
                      <w:rFonts w:eastAsia="PMingLiU"/>
                      <w:sz w:val="22"/>
                      <w:szCs w:val="22"/>
                    </w:rPr>
                    <w:t xml:space="preserve">, </w:t>
                  </w:r>
                </w:p>
                <w:p w:rsidR="00C646BC" w:rsidRPr="009C0BEE" w:rsidRDefault="00287F8C" w:rsidP="0023431E">
                  <w:pPr>
                    <w:pStyle w:val="Header"/>
                    <w:tabs>
                      <w:tab w:val="left" w:pos="284"/>
                    </w:tabs>
                    <w:rPr>
                      <w:rFonts w:eastAsia="PMingLiU"/>
                      <w:sz w:val="22"/>
                      <w:szCs w:val="22"/>
                    </w:rPr>
                  </w:pPr>
                  <w:r w:rsidRPr="009C0BEE">
                    <w:rPr>
                      <w:rFonts w:eastAsia="PMingLiU"/>
                      <w:sz w:val="22"/>
                      <w:szCs w:val="22"/>
                    </w:rPr>
                    <w:t>b</w:t>
                  </w:r>
                  <w:r w:rsidR="00C646BC" w:rsidRPr="009C0BEE">
                    <w:rPr>
                      <w:rFonts w:eastAsia="PMingLiU"/>
                      <w:sz w:val="22"/>
                      <w:szCs w:val="22"/>
                    </w:rPr>
                    <w:t xml:space="preserve">ol u grudima </w:t>
                  </w:r>
                </w:p>
              </w:tc>
              <w:tc>
                <w:tcPr>
                  <w:tcW w:w="2030" w:type="dxa"/>
                  <w:shd w:val="clear" w:color="auto" w:fill="auto"/>
                </w:tcPr>
                <w:p w:rsidR="00C646BC" w:rsidRPr="009C0BEE" w:rsidRDefault="00287F8C" w:rsidP="0023431E">
                  <w:pPr>
                    <w:pStyle w:val="Header"/>
                    <w:tabs>
                      <w:tab w:val="left" w:pos="284"/>
                    </w:tabs>
                    <w:rPr>
                      <w:rFonts w:eastAsia="PMingLiU"/>
                      <w:sz w:val="22"/>
                      <w:szCs w:val="22"/>
                    </w:rPr>
                  </w:pPr>
                  <w:r w:rsidRPr="009C0BEE">
                    <w:rPr>
                      <w:rFonts w:eastAsia="PMingLiU"/>
                      <w:sz w:val="22"/>
                      <w:szCs w:val="22"/>
                    </w:rPr>
                    <w:t>e</w:t>
                  </w:r>
                  <w:r w:rsidR="00C646BC" w:rsidRPr="009C0BEE">
                    <w:rPr>
                      <w:rFonts w:eastAsia="PMingLiU"/>
                      <w:sz w:val="22"/>
                      <w:szCs w:val="22"/>
                    </w:rPr>
                    <w:t xml:space="preserve">dem, </w:t>
                  </w:r>
                  <w:r w:rsidRPr="009C0BEE">
                    <w:rPr>
                      <w:rFonts w:eastAsia="PMingLiU"/>
                      <w:sz w:val="22"/>
                      <w:szCs w:val="22"/>
                    </w:rPr>
                    <w:t>d</w:t>
                  </w:r>
                  <w:r w:rsidR="00C646BC" w:rsidRPr="009C0BEE">
                    <w:rPr>
                      <w:rFonts w:eastAsia="PMingLiU"/>
                      <w:sz w:val="22"/>
                      <w:szCs w:val="22"/>
                    </w:rPr>
                    <w:t xml:space="preserve">rhtavica/jeza, </w:t>
                  </w:r>
                </w:p>
                <w:p w:rsidR="00C646BC" w:rsidRPr="009C0BEE" w:rsidRDefault="00287F8C" w:rsidP="0023431E">
                  <w:pPr>
                    <w:pStyle w:val="Header"/>
                    <w:tabs>
                      <w:tab w:val="left" w:pos="284"/>
                    </w:tabs>
                    <w:rPr>
                      <w:rFonts w:eastAsia="PMingLiU"/>
                      <w:sz w:val="22"/>
                      <w:szCs w:val="22"/>
                    </w:rPr>
                  </w:pPr>
                  <w:r w:rsidRPr="009C0BEE">
                    <w:rPr>
                      <w:rFonts w:eastAsia="PMingLiU"/>
                      <w:sz w:val="22"/>
                      <w:szCs w:val="22"/>
                    </w:rPr>
                    <w:t>b</w:t>
                  </w:r>
                  <w:r w:rsidR="00C646BC" w:rsidRPr="009C0BEE">
                    <w:rPr>
                      <w:rFonts w:eastAsia="PMingLiU"/>
                      <w:sz w:val="22"/>
                      <w:szCs w:val="22"/>
                    </w:rPr>
                    <w:t xml:space="preserve">olest slična gripu, </w:t>
                  </w:r>
                </w:p>
                <w:p w:rsidR="00C646BC" w:rsidRPr="009C0BEE" w:rsidRDefault="00C646BC" w:rsidP="0023431E">
                  <w:pPr>
                    <w:pStyle w:val="Header"/>
                    <w:tabs>
                      <w:tab w:val="left" w:pos="284"/>
                    </w:tabs>
                    <w:rPr>
                      <w:rFonts w:eastAsia="PMingLiU"/>
                      <w:sz w:val="22"/>
                      <w:szCs w:val="22"/>
                    </w:rPr>
                  </w:pPr>
                  <w:r w:rsidRPr="009C0BEE">
                    <w:rPr>
                      <w:rFonts w:eastAsia="PMingLiU"/>
                      <w:sz w:val="22"/>
                      <w:szCs w:val="22"/>
                    </w:rPr>
                    <w:t>ukočeno</w:t>
                  </w:r>
                  <w:r w:rsidR="00287F8C" w:rsidRPr="009C0BEE">
                    <w:rPr>
                      <w:rFonts w:eastAsia="PMingLiU"/>
                      <w:sz w:val="22"/>
                      <w:szCs w:val="22"/>
                    </w:rPr>
                    <w:t>st, p</w:t>
                  </w:r>
                  <w:r w:rsidRPr="009C0BEE">
                    <w:rPr>
                      <w:rFonts w:eastAsia="PMingLiU"/>
                      <w:sz w:val="22"/>
                      <w:szCs w:val="22"/>
                    </w:rPr>
                    <w:t>ovišena tjelesna temperatura</w:t>
                  </w:r>
                </w:p>
              </w:tc>
              <w:tc>
                <w:tcPr>
                  <w:tcW w:w="1992" w:type="dxa"/>
                  <w:shd w:val="clear" w:color="auto" w:fill="auto"/>
                </w:tcPr>
                <w:p w:rsidR="00C646BC" w:rsidRPr="009C0BEE" w:rsidRDefault="00C646BC" w:rsidP="0023431E">
                  <w:pPr>
                    <w:pStyle w:val="Header"/>
                    <w:tabs>
                      <w:tab w:val="left" w:pos="284"/>
                    </w:tabs>
                    <w:rPr>
                      <w:color w:val="FF0000"/>
                      <w:sz w:val="22"/>
                      <w:szCs w:val="22"/>
                    </w:rPr>
                  </w:pPr>
                </w:p>
              </w:tc>
            </w:tr>
          </w:tbl>
          <w:p w:rsidR="00880205" w:rsidRPr="009C0BEE" w:rsidRDefault="00880205" w:rsidP="00C6356D">
            <w:pPr>
              <w:pStyle w:val="Header"/>
              <w:tabs>
                <w:tab w:val="left" w:pos="284"/>
              </w:tabs>
              <w:rPr>
                <w:color w:val="FF0000"/>
                <w:sz w:val="22"/>
                <w:szCs w:val="22"/>
              </w:rPr>
            </w:pP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color w:val="FF0000"/>
                <w:sz w:val="22"/>
                <w:szCs w:val="22"/>
              </w:rPr>
            </w:pPr>
          </w:p>
          <w:p w:rsidR="005E7E41" w:rsidRPr="009C0BEE" w:rsidRDefault="005E7E41" w:rsidP="00C6356D">
            <w:pPr>
              <w:pStyle w:val="Header"/>
              <w:tabs>
                <w:tab w:val="left" w:pos="284"/>
              </w:tabs>
              <w:rPr>
                <w:i/>
                <w:sz w:val="22"/>
                <w:szCs w:val="22"/>
                <w:u w:val="single"/>
              </w:rPr>
            </w:pPr>
          </w:p>
          <w:p w:rsidR="005E7E41" w:rsidRPr="009C0BEE" w:rsidRDefault="005E7E41" w:rsidP="00C6356D">
            <w:pPr>
              <w:pStyle w:val="Header"/>
              <w:tabs>
                <w:tab w:val="left" w:pos="284"/>
              </w:tabs>
              <w:rPr>
                <w:i/>
                <w:sz w:val="22"/>
                <w:szCs w:val="22"/>
                <w:u w:val="single"/>
              </w:rPr>
            </w:pPr>
          </w:p>
          <w:p w:rsidR="00C6356D" w:rsidRPr="009C0BEE" w:rsidRDefault="00F91C4D" w:rsidP="00C6356D">
            <w:pPr>
              <w:pStyle w:val="Header"/>
              <w:tabs>
                <w:tab w:val="left" w:pos="284"/>
              </w:tabs>
              <w:rPr>
                <w:i/>
                <w:sz w:val="22"/>
                <w:szCs w:val="22"/>
              </w:rPr>
            </w:pPr>
            <w:r w:rsidRPr="009C0BEE">
              <w:rPr>
                <w:i/>
                <w:sz w:val="22"/>
                <w:szCs w:val="22"/>
                <w:u w:val="single"/>
              </w:rPr>
              <w:lastRenderedPageBreak/>
              <w:t>Kapecitabin</w:t>
            </w:r>
            <w:r w:rsidR="00C6356D" w:rsidRPr="009C0BEE">
              <w:rPr>
                <w:i/>
                <w:sz w:val="22"/>
                <w:szCs w:val="22"/>
                <w:u w:val="single"/>
              </w:rPr>
              <w:t xml:space="preserve"> u kombinovanoj terapiji</w:t>
            </w:r>
            <w:r w:rsidR="00C6356D" w:rsidRPr="009C0BEE">
              <w:rPr>
                <w:i/>
                <w:sz w:val="22"/>
                <w:szCs w:val="22"/>
              </w:rPr>
              <w:t xml:space="preserve">: </w:t>
            </w:r>
          </w:p>
          <w:p w:rsidR="000F7C82" w:rsidRPr="009C0BEE" w:rsidRDefault="000F7C82" w:rsidP="003B52C8">
            <w:pPr>
              <w:pStyle w:val="Header"/>
              <w:tabs>
                <w:tab w:val="left" w:pos="284"/>
              </w:tabs>
              <w:jc w:val="both"/>
              <w:rPr>
                <w:sz w:val="22"/>
                <w:szCs w:val="22"/>
              </w:rPr>
            </w:pPr>
          </w:p>
          <w:p w:rsidR="00C6356D" w:rsidRPr="009C0BEE" w:rsidRDefault="000F7C82" w:rsidP="003B52C8">
            <w:pPr>
              <w:pStyle w:val="Header"/>
              <w:tabs>
                <w:tab w:val="left" w:pos="284"/>
              </w:tabs>
              <w:jc w:val="both"/>
              <w:rPr>
                <w:sz w:val="22"/>
                <w:szCs w:val="22"/>
              </w:rPr>
            </w:pPr>
            <w:r w:rsidRPr="009C0BEE">
              <w:rPr>
                <w:sz w:val="22"/>
                <w:szCs w:val="22"/>
              </w:rPr>
              <w:t>U</w:t>
            </w:r>
            <w:r w:rsidR="00C6356D" w:rsidRPr="009C0BEE">
              <w:rPr>
                <w:sz w:val="22"/>
                <w:szCs w:val="22"/>
              </w:rPr>
              <w:t xml:space="preserve"> Tabeli 5 prikazane su neželjene reakcije na</w:t>
            </w:r>
            <w:r w:rsidR="0073759F" w:rsidRPr="009C0BEE">
              <w:rPr>
                <w:sz w:val="22"/>
                <w:szCs w:val="22"/>
              </w:rPr>
              <w:t xml:space="preserve"> lijek povezane sa primjenom </w:t>
            </w:r>
            <w:r w:rsidR="00C6356D" w:rsidRPr="009C0BEE">
              <w:rPr>
                <w:sz w:val="22"/>
                <w:szCs w:val="22"/>
              </w:rPr>
              <w:t>ka</w:t>
            </w:r>
            <w:r w:rsidR="00F91C4D" w:rsidRPr="009C0BEE">
              <w:rPr>
                <w:sz w:val="22"/>
                <w:szCs w:val="22"/>
              </w:rPr>
              <w:t>pecitabin</w:t>
            </w:r>
            <w:r w:rsidR="004E3DA4" w:rsidRPr="009C0BEE">
              <w:rPr>
                <w:sz w:val="22"/>
                <w:szCs w:val="22"/>
              </w:rPr>
              <w:t>a</w:t>
            </w:r>
            <w:r w:rsidR="00C6356D" w:rsidRPr="009C0BEE">
              <w:rPr>
                <w:sz w:val="22"/>
                <w:szCs w:val="22"/>
              </w:rPr>
              <w:t xml:space="preserve"> u kombinaciji sa različitim hemioterapijskim režimima u različitim indikacijama, na osnovu bezbjednosnih podataka dobijenih od preko 3000 pacijenata.  Neželjene reakcije na lijek svrstane su u odgovarajuće grupe po učestalosti </w:t>
            </w:r>
            <w:r w:rsidR="00A93EEA" w:rsidRPr="009C0BEE">
              <w:rPr>
                <w:sz w:val="22"/>
                <w:szCs w:val="22"/>
              </w:rPr>
              <w:t>ispoljavanja</w:t>
            </w:r>
            <w:r w:rsidR="00C6356D" w:rsidRPr="009C0BEE">
              <w:rPr>
                <w:sz w:val="22"/>
                <w:szCs w:val="22"/>
              </w:rPr>
              <w:t xml:space="preserve"> (v</w:t>
            </w:r>
            <w:r w:rsidRPr="009C0BEE">
              <w:rPr>
                <w:sz w:val="22"/>
                <w:szCs w:val="22"/>
              </w:rPr>
              <w:t>eoma</w:t>
            </w:r>
            <w:r w:rsidR="00C6356D" w:rsidRPr="009C0BEE">
              <w:rPr>
                <w:sz w:val="22"/>
                <w:szCs w:val="22"/>
              </w:rPr>
              <w:t xml:space="preserve"> česte ili česte) na osnovu najviše incidence zabilježene u bilo kojoj od velikih kliničkih studija i </w:t>
            </w:r>
            <w:r w:rsidR="0073759F" w:rsidRPr="009C0BEE">
              <w:rPr>
                <w:sz w:val="22"/>
                <w:szCs w:val="22"/>
              </w:rPr>
              <w:t xml:space="preserve">navode se samo ako su </w:t>
            </w:r>
            <w:r w:rsidR="0073759F" w:rsidRPr="009C0BEE">
              <w:rPr>
                <w:b/>
                <w:sz w:val="22"/>
                <w:szCs w:val="22"/>
              </w:rPr>
              <w:t>dodatno</w:t>
            </w:r>
            <w:r w:rsidR="0073759F" w:rsidRPr="009C0BEE">
              <w:rPr>
                <w:sz w:val="22"/>
                <w:szCs w:val="22"/>
              </w:rPr>
              <w:t xml:space="preserve"> primijećene uz one već zabilježene kod monoterapije</w:t>
            </w:r>
            <w:r w:rsidR="00C6356D" w:rsidRPr="009C0BEE">
              <w:rPr>
                <w:sz w:val="22"/>
                <w:szCs w:val="22"/>
              </w:rPr>
              <w:t xml:space="preserve"> ili </w:t>
            </w:r>
            <w:r w:rsidR="0073759F" w:rsidRPr="009C0BEE">
              <w:rPr>
                <w:sz w:val="22"/>
                <w:szCs w:val="22"/>
              </w:rPr>
              <w:t xml:space="preserve">ako je njihova </w:t>
            </w:r>
            <w:r w:rsidR="0073759F" w:rsidRPr="009C0BEE">
              <w:rPr>
                <w:b/>
                <w:sz w:val="22"/>
                <w:szCs w:val="22"/>
              </w:rPr>
              <w:t>učestalost veća</w:t>
            </w:r>
            <w:r w:rsidR="00C6356D" w:rsidRPr="009C0BEE">
              <w:rPr>
                <w:b/>
                <w:sz w:val="22"/>
                <w:szCs w:val="22"/>
              </w:rPr>
              <w:t xml:space="preserve"> </w:t>
            </w:r>
            <w:r w:rsidR="0073759F" w:rsidRPr="009C0BEE">
              <w:rPr>
                <w:sz w:val="22"/>
                <w:szCs w:val="22"/>
              </w:rPr>
              <w:t>u poređenju sa kapecitabinom kada se</w:t>
            </w:r>
            <w:r w:rsidR="00C6356D" w:rsidRPr="009C0BEE">
              <w:rPr>
                <w:sz w:val="22"/>
                <w:szCs w:val="22"/>
              </w:rPr>
              <w:t xml:space="preserve"> koristi kao monoterapija (vidjeti Tabelu 4). Povremene neželjene reakcije prijavljene pri primjeni</w:t>
            </w:r>
            <w:r w:rsidR="00312CA8" w:rsidRPr="009C0BEE">
              <w:rPr>
                <w:sz w:val="22"/>
                <w:szCs w:val="22"/>
              </w:rPr>
              <w:t xml:space="preserve"> kombinovane terapije sa k</w:t>
            </w:r>
            <w:r w:rsidR="00F91C4D" w:rsidRPr="009C0BEE">
              <w:rPr>
                <w:sz w:val="22"/>
                <w:szCs w:val="22"/>
              </w:rPr>
              <w:t>apecitabin</w:t>
            </w:r>
            <w:r w:rsidR="00312CA8" w:rsidRPr="009C0BEE">
              <w:rPr>
                <w:sz w:val="22"/>
                <w:szCs w:val="22"/>
              </w:rPr>
              <w:t>om</w:t>
            </w:r>
            <w:r w:rsidR="00C6356D" w:rsidRPr="009C0BEE">
              <w:rPr>
                <w:sz w:val="22"/>
                <w:szCs w:val="22"/>
              </w:rPr>
              <w:t xml:space="preserve"> su u saglasnosti sa neželjenim reakcijama prijavljenim za </w:t>
            </w:r>
            <w:r w:rsidR="00312CA8" w:rsidRPr="009C0BEE">
              <w:rPr>
                <w:sz w:val="22"/>
                <w:szCs w:val="22"/>
              </w:rPr>
              <w:t>k</w:t>
            </w:r>
            <w:r w:rsidR="00F91C4D" w:rsidRPr="009C0BEE">
              <w:rPr>
                <w:sz w:val="22"/>
                <w:szCs w:val="22"/>
              </w:rPr>
              <w:t>apecitabin</w:t>
            </w:r>
            <w:r w:rsidR="004E3DA4" w:rsidRPr="009C0BEE">
              <w:rPr>
                <w:sz w:val="22"/>
                <w:szCs w:val="22"/>
              </w:rPr>
              <w:t xml:space="preserve"> </w:t>
            </w:r>
            <w:r w:rsidR="00C6356D" w:rsidRPr="009C0BEE">
              <w:rPr>
                <w:sz w:val="22"/>
                <w:szCs w:val="22"/>
              </w:rPr>
              <w:t xml:space="preserve">monoterapiju ili prijavljenim </w:t>
            </w:r>
            <w:r w:rsidR="00312CA8" w:rsidRPr="009C0BEE">
              <w:rPr>
                <w:sz w:val="22"/>
                <w:szCs w:val="22"/>
              </w:rPr>
              <w:t>kod monoterapije lijekom koji se može primjenjivati</w:t>
            </w:r>
            <w:r w:rsidR="00C6356D" w:rsidRPr="009C0BEE">
              <w:rPr>
                <w:sz w:val="22"/>
                <w:szCs w:val="22"/>
              </w:rPr>
              <w:t xml:space="preserve"> u kombinaciji </w:t>
            </w:r>
            <w:r w:rsidR="00312CA8" w:rsidRPr="009C0BEE">
              <w:rPr>
                <w:sz w:val="22"/>
                <w:szCs w:val="22"/>
              </w:rPr>
              <w:t xml:space="preserve">sa kapecitabinom (kombinacijski lijek) </w:t>
            </w:r>
            <w:r w:rsidR="00C6356D" w:rsidRPr="009C0BEE">
              <w:rPr>
                <w:sz w:val="22"/>
                <w:szCs w:val="22"/>
              </w:rPr>
              <w:t>(u literaturi i/ili odgovarajućem Sažetku karakteristika lijeka).</w:t>
            </w:r>
          </w:p>
          <w:p w:rsidR="00E4789E" w:rsidRPr="009C0BEE" w:rsidRDefault="00E4789E" w:rsidP="003B52C8">
            <w:pPr>
              <w:pStyle w:val="Header"/>
              <w:tabs>
                <w:tab w:val="left" w:pos="284"/>
              </w:tabs>
              <w:jc w:val="both"/>
              <w:rPr>
                <w:sz w:val="22"/>
                <w:szCs w:val="22"/>
              </w:rPr>
            </w:pPr>
          </w:p>
          <w:p w:rsidR="00C6356D" w:rsidRPr="009C0BEE" w:rsidRDefault="00C6356D" w:rsidP="00E4789E">
            <w:pPr>
              <w:pStyle w:val="Header"/>
              <w:tabs>
                <w:tab w:val="left" w:pos="284"/>
              </w:tabs>
              <w:jc w:val="both"/>
              <w:rPr>
                <w:sz w:val="22"/>
                <w:szCs w:val="22"/>
              </w:rPr>
            </w:pPr>
            <w:r w:rsidRPr="009C0BEE">
              <w:rPr>
                <w:sz w:val="22"/>
                <w:szCs w:val="22"/>
              </w:rPr>
              <w:t xml:space="preserve">Neke od neželjenih reakcija su reakcije uobičajeno zabilježene za lijek sa kojim se terapija kombinuje (npr. </w:t>
            </w:r>
            <w:r w:rsidR="000F7C82" w:rsidRPr="009C0BEE">
              <w:rPr>
                <w:sz w:val="22"/>
                <w:szCs w:val="22"/>
              </w:rPr>
              <w:t>p</w:t>
            </w:r>
            <w:r w:rsidRPr="009C0BEE">
              <w:rPr>
                <w:sz w:val="22"/>
                <w:szCs w:val="22"/>
              </w:rPr>
              <w:t xml:space="preserve">eriferna senzorna neuropatija sa docetakselom ili oksaliplatinom, hipertenzija zabilježena sa bevacizumabom); ipak, egzacerbacija </w:t>
            </w:r>
            <w:r w:rsidR="00E4789E" w:rsidRPr="009C0BEE">
              <w:rPr>
                <w:sz w:val="22"/>
                <w:szCs w:val="22"/>
              </w:rPr>
              <w:t xml:space="preserve">istih zbog primjene </w:t>
            </w:r>
            <w:r w:rsidR="00CA3123" w:rsidRPr="009C0BEE">
              <w:rPr>
                <w:sz w:val="22"/>
                <w:szCs w:val="22"/>
              </w:rPr>
              <w:t>ka</w:t>
            </w:r>
            <w:r w:rsidR="00E4789E" w:rsidRPr="009C0BEE">
              <w:rPr>
                <w:sz w:val="22"/>
                <w:szCs w:val="22"/>
              </w:rPr>
              <w:t>pecitabina</w:t>
            </w:r>
            <w:r w:rsidR="00CA3123" w:rsidRPr="009C0BEE">
              <w:rPr>
                <w:sz w:val="22"/>
                <w:szCs w:val="22"/>
              </w:rPr>
              <w:t xml:space="preserve"> </w:t>
            </w:r>
            <w:r w:rsidRPr="009C0BEE">
              <w:rPr>
                <w:sz w:val="22"/>
                <w:szCs w:val="22"/>
              </w:rPr>
              <w:t>ne može se isključiti.</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
                <w:color w:val="FF0000"/>
                <w:sz w:val="22"/>
                <w:szCs w:val="22"/>
              </w:rPr>
            </w:pPr>
          </w:p>
          <w:p w:rsidR="00C6356D" w:rsidRPr="009C0BEE" w:rsidRDefault="00C6356D" w:rsidP="00E026BB">
            <w:pPr>
              <w:pStyle w:val="Header"/>
              <w:tabs>
                <w:tab w:val="left" w:pos="284"/>
              </w:tabs>
              <w:jc w:val="both"/>
              <w:rPr>
                <w:sz w:val="22"/>
                <w:szCs w:val="22"/>
              </w:rPr>
            </w:pPr>
            <w:r w:rsidRPr="009C0BEE">
              <w:rPr>
                <w:sz w:val="22"/>
                <w:szCs w:val="22"/>
              </w:rPr>
              <w:t>Tabela 5.</w:t>
            </w:r>
            <w:r w:rsidRPr="009C0BEE">
              <w:rPr>
                <w:sz w:val="22"/>
                <w:szCs w:val="22"/>
              </w:rPr>
              <w:tab/>
              <w:t xml:space="preserve"> Rezime neželjenih reakcija na lijek prijavljenih kod pacijenata liječenih</w:t>
            </w:r>
            <w:r w:rsidR="00CA3123" w:rsidRPr="009C0BEE">
              <w:rPr>
                <w:sz w:val="22"/>
                <w:szCs w:val="22"/>
              </w:rPr>
              <w:t xml:space="preserve"> </w:t>
            </w:r>
            <w:r w:rsidR="00E026BB" w:rsidRPr="009C0BEE">
              <w:rPr>
                <w:sz w:val="22"/>
                <w:szCs w:val="22"/>
              </w:rPr>
              <w:t>k</w:t>
            </w:r>
            <w:r w:rsidR="00F91C4D" w:rsidRPr="009C0BEE">
              <w:rPr>
                <w:sz w:val="22"/>
                <w:szCs w:val="22"/>
              </w:rPr>
              <w:t>apecitabin</w:t>
            </w:r>
            <w:r w:rsidR="00E026BB" w:rsidRPr="009C0BEE">
              <w:rPr>
                <w:sz w:val="22"/>
                <w:szCs w:val="22"/>
              </w:rPr>
              <w:t>om</w:t>
            </w:r>
            <w:r w:rsidRPr="009C0BEE">
              <w:rPr>
                <w:sz w:val="22"/>
                <w:szCs w:val="22"/>
              </w:rPr>
              <w:t xml:space="preserve"> u kombinovanoj terapiji</w:t>
            </w:r>
            <w:r w:rsidR="00E026BB" w:rsidRPr="009C0BEE">
              <w:rPr>
                <w:sz w:val="22"/>
                <w:szCs w:val="22"/>
              </w:rPr>
              <w:t xml:space="preserve">, a </w:t>
            </w:r>
            <w:r w:rsidRPr="009C0BEE">
              <w:rPr>
                <w:sz w:val="22"/>
                <w:szCs w:val="22"/>
              </w:rPr>
              <w:t xml:space="preserve">koje </w:t>
            </w:r>
            <w:r w:rsidR="00E026BB" w:rsidRPr="009C0BEE">
              <w:rPr>
                <w:sz w:val="22"/>
                <w:szCs w:val="22"/>
              </w:rPr>
              <w:t xml:space="preserve">su </w:t>
            </w:r>
            <w:r w:rsidR="00E026BB" w:rsidRPr="009C0BEE">
              <w:rPr>
                <w:b/>
                <w:sz w:val="22"/>
                <w:szCs w:val="22"/>
              </w:rPr>
              <w:t xml:space="preserve">dodatno </w:t>
            </w:r>
            <w:r w:rsidR="00E026BB" w:rsidRPr="009C0BEE">
              <w:rPr>
                <w:sz w:val="22"/>
                <w:szCs w:val="22"/>
              </w:rPr>
              <w:t>primijećene uz one već zabilježene kod monoterapije kape</w:t>
            </w:r>
            <w:r w:rsidR="00F91C4D" w:rsidRPr="009C0BEE">
              <w:rPr>
                <w:sz w:val="22"/>
                <w:szCs w:val="22"/>
              </w:rPr>
              <w:t>citabin</w:t>
            </w:r>
            <w:r w:rsidR="00E026BB" w:rsidRPr="009C0BEE">
              <w:rPr>
                <w:sz w:val="22"/>
                <w:szCs w:val="22"/>
              </w:rPr>
              <w:t>om</w:t>
            </w:r>
            <w:r w:rsidR="00CA3123" w:rsidRPr="009C0BEE">
              <w:rPr>
                <w:sz w:val="22"/>
                <w:szCs w:val="22"/>
              </w:rPr>
              <w:t xml:space="preserve"> </w:t>
            </w:r>
            <w:r w:rsidRPr="009C0BEE">
              <w:rPr>
                <w:sz w:val="22"/>
                <w:szCs w:val="22"/>
              </w:rPr>
              <w:t xml:space="preserve">ili </w:t>
            </w:r>
            <w:r w:rsidR="00E026BB" w:rsidRPr="009C0BEE">
              <w:rPr>
                <w:sz w:val="22"/>
                <w:szCs w:val="22"/>
              </w:rPr>
              <w:t xml:space="preserve">su </w:t>
            </w:r>
            <w:r w:rsidRPr="009C0BEE">
              <w:rPr>
                <w:sz w:val="22"/>
                <w:szCs w:val="22"/>
              </w:rPr>
              <w:t xml:space="preserve">se </w:t>
            </w:r>
            <w:r w:rsidR="00E026BB" w:rsidRPr="009C0BEE">
              <w:rPr>
                <w:sz w:val="22"/>
                <w:szCs w:val="22"/>
              </w:rPr>
              <w:t>javljale</w:t>
            </w:r>
            <w:r w:rsidRPr="009C0BEE">
              <w:rPr>
                <w:b/>
                <w:sz w:val="22"/>
                <w:szCs w:val="22"/>
              </w:rPr>
              <w:t xml:space="preserve"> </w:t>
            </w:r>
            <w:r w:rsidR="000F7C82" w:rsidRPr="009C0BEE">
              <w:rPr>
                <w:b/>
                <w:sz w:val="22"/>
                <w:szCs w:val="22"/>
              </w:rPr>
              <w:t xml:space="preserve">sa </w:t>
            </w:r>
            <w:r w:rsidRPr="009C0BEE">
              <w:rPr>
                <w:b/>
                <w:sz w:val="22"/>
                <w:szCs w:val="22"/>
              </w:rPr>
              <w:t>većom učestalošću</w:t>
            </w:r>
            <w:r w:rsidRPr="009C0BEE">
              <w:rPr>
                <w:sz w:val="22"/>
                <w:szCs w:val="22"/>
              </w:rPr>
              <w:t xml:space="preserve"> nego kada se </w:t>
            </w:r>
            <w:r w:rsidR="00E026BB" w:rsidRPr="009C0BEE">
              <w:rPr>
                <w:sz w:val="22"/>
                <w:szCs w:val="22"/>
              </w:rPr>
              <w:t>k</w:t>
            </w:r>
            <w:r w:rsidR="00F91C4D" w:rsidRPr="009C0BEE">
              <w:rPr>
                <w:sz w:val="22"/>
                <w:szCs w:val="22"/>
              </w:rPr>
              <w:t>apecitabin</w:t>
            </w:r>
            <w:r w:rsidR="004E3DA4" w:rsidRPr="009C0BEE">
              <w:rPr>
                <w:sz w:val="22"/>
                <w:szCs w:val="22"/>
              </w:rPr>
              <w:t xml:space="preserve"> </w:t>
            </w:r>
            <w:r w:rsidR="00E026BB" w:rsidRPr="009C0BEE">
              <w:rPr>
                <w:sz w:val="22"/>
                <w:szCs w:val="22"/>
              </w:rPr>
              <w:t>koris</w:t>
            </w:r>
            <w:r w:rsidRPr="009C0BEE">
              <w:rPr>
                <w:sz w:val="22"/>
                <w:szCs w:val="22"/>
              </w:rPr>
              <w:t xml:space="preserve">ti kao monoterapija </w:t>
            </w:r>
          </w:p>
          <w:p w:rsidR="00C11E16" w:rsidRPr="009C0BEE" w:rsidRDefault="00C11E16" w:rsidP="00E026BB">
            <w:pPr>
              <w:pStyle w:val="Header"/>
              <w:tabs>
                <w:tab w:val="left" w:pos="284"/>
              </w:tabs>
              <w:jc w:val="both"/>
              <w:rPr>
                <w:sz w:val="22"/>
                <w:szCs w:val="22"/>
              </w:rPr>
            </w:pPr>
          </w:p>
          <w:p w:rsidR="00C6356D" w:rsidRPr="009C0BEE" w:rsidRDefault="00C6356D" w:rsidP="00C6356D">
            <w:pPr>
              <w:pStyle w:val="Header"/>
              <w:tabs>
                <w:tab w:val="left" w:pos="284"/>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050"/>
              <w:gridCol w:w="2735"/>
              <w:gridCol w:w="2744"/>
            </w:tblGrid>
            <w:tr w:rsidR="0044480B" w:rsidRPr="009C0BEE" w:rsidTr="005E7E41">
              <w:trPr>
                <w:trHeight w:val="432"/>
              </w:trPr>
              <w:tc>
                <w:tcPr>
                  <w:tcW w:w="997" w:type="pct"/>
                  <w:shd w:val="clear" w:color="auto" w:fill="auto"/>
                </w:tcPr>
                <w:p w:rsidR="002C44B0" w:rsidRPr="009C0BEE" w:rsidRDefault="002C44B0" w:rsidP="0023431E">
                  <w:pPr>
                    <w:pStyle w:val="Header"/>
                    <w:tabs>
                      <w:tab w:val="left" w:pos="284"/>
                    </w:tabs>
                    <w:rPr>
                      <w:rFonts w:eastAsia="PMingLiU"/>
                      <w:b/>
                      <w:sz w:val="22"/>
                      <w:szCs w:val="22"/>
                    </w:rPr>
                  </w:pPr>
                  <w:r w:rsidRPr="009C0BEE">
                    <w:rPr>
                      <w:rFonts w:eastAsia="PMingLiU"/>
                      <w:b/>
                      <w:sz w:val="22"/>
                      <w:szCs w:val="22"/>
                    </w:rPr>
                    <w:t>Sistem organa</w:t>
                  </w:r>
                </w:p>
              </w:tc>
              <w:tc>
                <w:tcPr>
                  <w:tcW w:w="1090" w:type="pct"/>
                  <w:shd w:val="clear" w:color="auto" w:fill="auto"/>
                </w:tcPr>
                <w:p w:rsidR="002C44B0" w:rsidRPr="009C0BEE" w:rsidRDefault="002C44B0" w:rsidP="0023431E">
                  <w:pPr>
                    <w:pStyle w:val="Header"/>
                    <w:tabs>
                      <w:tab w:val="left" w:pos="284"/>
                    </w:tabs>
                    <w:rPr>
                      <w:rFonts w:eastAsia="PMingLiU"/>
                      <w:b/>
                      <w:sz w:val="22"/>
                      <w:szCs w:val="22"/>
                    </w:rPr>
                  </w:pPr>
                  <w:r w:rsidRPr="009C0BEE">
                    <w:rPr>
                      <w:rFonts w:eastAsia="PMingLiU"/>
                      <w:b/>
                      <w:sz w:val="22"/>
                      <w:szCs w:val="22"/>
                    </w:rPr>
                    <w:t xml:space="preserve">Veoma česte </w:t>
                  </w:r>
                </w:p>
                <w:p w:rsidR="002C44B0" w:rsidRPr="009C0BEE" w:rsidRDefault="002C44B0" w:rsidP="0023431E">
                  <w:pPr>
                    <w:pStyle w:val="Header"/>
                    <w:tabs>
                      <w:tab w:val="left" w:pos="284"/>
                    </w:tabs>
                    <w:rPr>
                      <w:rFonts w:eastAsia="PMingLiU"/>
                      <w:b/>
                      <w:i/>
                      <w:sz w:val="22"/>
                      <w:szCs w:val="22"/>
                    </w:rPr>
                  </w:pPr>
                  <w:r w:rsidRPr="009C0BEE">
                    <w:rPr>
                      <w:rFonts w:eastAsia="PMingLiU"/>
                      <w:b/>
                      <w:i/>
                      <w:sz w:val="22"/>
                      <w:szCs w:val="22"/>
                    </w:rPr>
                    <w:t>Svi stepeni</w:t>
                  </w:r>
                </w:p>
              </w:tc>
              <w:tc>
                <w:tcPr>
                  <w:tcW w:w="1454" w:type="pct"/>
                  <w:shd w:val="clear" w:color="auto" w:fill="auto"/>
                </w:tcPr>
                <w:p w:rsidR="002C44B0" w:rsidRPr="009C0BEE" w:rsidRDefault="002C44B0" w:rsidP="0023431E">
                  <w:pPr>
                    <w:pStyle w:val="Header"/>
                    <w:tabs>
                      <w:tab w:val="left" w:pos="284"/>
                    </w:tabs>
                    <w:rPr>
                      <w:rFonts w:eastAsia="PMingLiU"/>
                      <w:b/>
                      <w:sz w:val="22"/>
                      <w:szCs w:val="22"/>
                    </w:rPr>
                  </w:pPr>
                  <w:r w:rsidRPr="009C0BEE">
                    <w:rPr>
                      <w:rFonts w:eastAsia="PMingLiU"/>
                      <w:b/>
                      <w:sz w:val="22"/>
                      <w:szCs w:val="22"/>
                    </w:rPr>
                    <w:t xml:space="preserve">Česte </w:t>
                  </w:r>
                </w:p>
                <w:p w:rsidR="002C44B0" w:rsidRPr="009C0BEE" w:rsidRDefault="002C44B0" w:rsidP="0023431E">
                  <w:pPr>
                    <w:pStyle w:val="Header"/>
                    <w:tabs>
                      <w:tab w:val="left" w:pos="284"/>
                    </w:tabs>
                    <w:rPr>
                      <w:rFonts w:eastAsia="PMingLiU"/>
                      <w:b/>
                      <w:i/>
                      <w:sz w:val="22"/>
                      <w:szCs w:val="22"/>
                    </w:rPr>
                  </w:pPr>
                  <w:r w:rsidRPr="009C0BEE">
                    <w:rPr>
                      <w:rFonts w:eastAsia="PMingLiU"/>
                      <w:b/>
                      <w:i/>
                      <w:sz w:val="22"/>
                      <w:szCs w:val="22"/>
                    </w:rPr>
                    <w:t>Svi stepeni</w:t>
                  </w:r>
                </w:p>
              </w:tc>
              <w:tc>
                <w:tcPr>
                  <w:tcW w:w="1459" w:type="pct"/>
                  <w:shd w:val="clear" w:color="auto" w:fill="auto"/>
                </w:tcPr>
                <w:p w:rsidR="00FF5B71" w:rsidRPr="009C0BEE" w:rsidRDefault="00FF5B71" w:rsidP="0023431E">
                  <w:pPr>
                    <w:autoSpaceDE w:val="0"/>
                    <w:autoSpaceDN w:val="0"/>
                    <w:adjustRightInd w:val="0"/>
                    <w:rPr>
                      <w:b/>
                      <w:bCs/>
                      <w:sz w:val="22"/>
                      <w:szCs w:val="22"/>
                    </w:rPr>
                  </w:pPr>
                  <w:r w:rsidRPr="009C0BEE">
                    <w:rPr>
                      <w:b/>
                      <w:bCs/>
                      <w:sz w:val="22"/>
                      <w:szCs w:val="22"/>
                    </w:rPr>
                    <w:t>Rijetko/v</w:t>
                  </w:r>
                  <w:r w:rsidR="000F7C82" w:rsidRPr="009C0BEE">
                    <w:rPr>
                      <w:b/>
                      <w:bCs/>
                      <w:sz w:val="22"/>
                      <w:szCs w:val="22"/>
                    </w:rPr>
                    <w:t>eoma</w:t>
                  </w:r>
                </w:p>
                <w:p w:rsidR="00FF5B71" w:rsidRPr="009C0BEE" w:rsidRDefault="00FF5B71" w:rsidP="0023431E">
                  <w:pPr>
                    <w:autoSpaceDE w:val="0"/>
                    <w:autoSpaceDN w:val="0"/>
                    <w:adjustRightInd w:val="0"/>
                    <w:rPr>
                      <w:b/>
                      <w:bCs/>
                      <w:sz w:val="22"/>
                      <w:szCs w:val="22"/>
                    </w:rPr>
                  </w:pPr>
                  <w:r w:rsidRPr="009C0BEE">
                    <w:rPr>
                      <w:b/>
                      <w:bCs/>
                      <w:sz w:val="22"/>
                      <w:szCs w:val="22"/>
                    </w:rPr>
                    <w:t>rijetko</w:t>
                  </w:r>
                </w:p>
                <w:p w:rsidR="00FF5B71" w:rsidRPr="009C0BEE" w:rsidRDefault="00FF5B71" w:rsidP="0023431E">
                  <w:pPr>
                    <w:autoSpaceDE w:val="0"/>
                    <w:autoSpaceDN w:val="0"/>
                    <w:adjustRightInd w:val="0"/>
                    <w:rPr>
                      <w:b/>
                      <w:bCs/>
                      <w:sz w:val="22"/>
                      <w:szCs w:val="22"/>
                    </w:rPr>
                  </w:pPr>
                  <w:r w:rsidRPr="009C0BEE">
                    <w:rPr>
                      <w:b/>
                      <w:bCs/>
                      <w:sz w:val="22"/>
                      <w:szCs w:val="22"/>
                    </w:rPr>
                    <w:t>(iskustvo nakon</w:t>
                  </w:r>
                </w:p>
                <w:p w:rsidR="00FF5B71" w:rsidRPr="009C0BEE" w:rsidRDefault="00FF5B71" w:rsidP="0023431E">
                  <w:pPr>
                    <w:autoSpaceDE w:val="0"/>
                    <w:autoSpaceDN w:val="0"/>
                    <w:adjustRightInd w:val="0"/>
                    <w:rPr>
                      <w:b/>
                      <w:bCs/>
                      <w:sz w:val="22"/>
                      <w:szCs w:val="22"/>
                    </w:rPr>
                  </w:pPr>
                  <w:r w:rsidRPr="009C0BEE">
                    <w:rPr>
                      <w:b/>
                      <w:bCs/>
                      <w:sz w:val="22"/>
                      <w:szCs w:val="22"/>
                    </w:rPr>
                    <w:t>stavljanja lijeka</w:t>
                  </w:r>
                </w:p>
                <w:p w:rsidR="002C44B0" w:rsidRPr="009C0BEE" w:rsidRDefault="00FF5B71" w:rsidP="0023431E">
                  <w:pPr>
                    <w:pStyle w:val="Header"/>
                    <w:tabs>
                      <w:tab w:val="left" w:pos="284"/>
                    </w:tabs>
                    <w:rPr>
                      <w:rFonts w:eastAsia="PMingLiU"/>
                      <w:b/>
                      <w:color w:val="FF0000"/>
                      <w:sz w:val="22"/>
                      <w:szCs w:val="22"/>
                    </w:rPr>
                  </w:pPr>
                  <w:r w:rsidRPr="009C0BEE">
                    <w:rPr>
                      <w:b/>
                      <w:bCs/>
                      <w:sz w:val="22"/>
                      <w:szCs w:val="22"/>
                    </w:rPr>
                    <w:t>u promet</w:t>
                  </w:r>
                  <w:r w:rsidR="000F7C82" w:rsidRPr="009C0BEE">
                    <w:rPr>
                      <w:b/>
                      <w:bCs/>
                      <w:sz w:val="22"/>
                      <w:szCs w:val="22"/>
                    </w:rPr>
                    <w:t>)</w:t>
                  </w:r>
                </w:p>
              </w:tc>
            </w:tr>
            <w:tr w:rsidR="0044480B" w:rsidRPr="009C0BEE" w:rsidTr="005E7E41">
              <w:tc>
                <w:tcPr>
                  <w:tcW w:w="997" w:type="pct"/>
                  <w:shd w:val="clear" w:color="auto" w:fill="auto"/>
                </w:tcPr>
                <w:p w:rsidR="002C44B0" w:rsidRPr="009C0BEE" w:rsidRDefault="002C44B0" w:rsidP="0023431E">
                  <w:pPr>
                    <w:pStyle w:val="Header"/>
                    <w:tabs>
                      <w:tab w:val="left" w:pos="284"/>
                    </w:tabs>
                    <w:rPr>
                      <w:rFonts w:eastAsia="PMingLiU"/>
                      <w:i/>
                      <w:sz w:val="22"/>
                      <w:szCs w:val="22"/>
                    </w:rPr>
                  </w:pPr>
                  <w:r w:rsidRPr="009C0BEE">
                    <w:rPr>
                      <w:rFonts w:eastAsia="PMingLiU"/>
                      <w:i/>
                      <w:sz w:val="22"/>
                      <w:szCs w:val="22"/>
                    </w:rPr>
                    <w:t>Infekcije i infestacije</w:t>
                  </w:r>
                </w:p>
              </w:tc>
              <w:tc>
                <w:tcPr>
                  <w:tcW w:w="1090" w:type="pct"/>
                  <w:shd w:val="clear" w:color="auto" w:fill="auto"/>
                </w:tcPr>
                <w:p w:rsidR="002C44B0" w:rsidRPr="009C0BEE" w:rsidRDefault="002C44B0" w:rsidP="0023431E">
                  <w:pPr>
                    <w:pStyle w:val="Header"/>
                    <w:tabs>
                      <w:tab w:val="left" w:pos="284"/>
                    </w:tabs>
                    <w:rPr>
                      <w:rFonts w:eastAsia="PMingLiU"/>
                      <w:sz w:val="22"/>
                      <w:szCs w:val="22"/>
                    </w:rPr>
                  </w:pPr>
                </w:p>
              </w:tc>
              <w:tc>
                <w:tcPr>
                  <w:tcW w:w="1454" w:type="pct"/>
                  <w:shd w:val="clear" w:color="auto" w:fill="auto"/>
                </w:tcPr>
                <w:p w:rsidR="002C44B0" w:rsidRPr="009C0BEE" w:rsidRDefault="0044480B" w:rsidP="0023431E">
                  <w:pPr>
                    <w:pStyle w:val="Header"/>
                    <w:tabs>
                      <w:tab w:val="left" w:pos="284"/>
                    </w:tabs>
                    <w:rPr>
                      <w:rFonts w:eastAsia="PMingLiU"/>
                      <w:sz w:val="22"/>
                      <w:szCs w:val="22"/>
                    </w:rPr>
                  </w:pPr>
                  <w:r w:rsidRPr="009C0BEE">
                    <w:rPr>
                      <w:rFonts w:eastAsia="PMingLiU"/>
                      <w:sz w:val="22"/>
                      <w:szCs w:val="22"/>
                    </w:rPr>
                    <w:t>h</w:t>
                  </w:r>
                  <w:r w:rsidR="002C44B0" w:rsidRPr="009C0BEE">
                    <w:rPr>
                      <w:rFonts w:eastAsia="PMingLiU"/>
                      <w:sz w:val="22"/>
                      <w:szCs w:val="22"/>
                    </w:rPr>
                    <w:t>erpes zoster,</w:t>
                  </w:r>
                  <w:r w:rsidRPr="009C0BEE">
                    <w:rPr>
                      <w:rFonts w:eastAsia="PMingLiU"/>
                      <w:sz w:val="22"/>
                      <w:szCs w:val="22"/>
                    </w:rPr>
                    <w:t xml:space="preserve"> i</w:t>
                  </w:r>
                  <w:r w:rsidR="002C44B0" w:rsidRPr="009C0BEE">
                    <w:rPr>
                      <w:rFonts w:eastAsia="PMingLiU"/>
                      <w:sz w:val="22"/>
                      <w:szCs w:val="22"/>
                    </w:rPr>
                    <w:t>nfekcije urinarnog trakta, oralna kandidijaza, infekcije gornjeg respiratornig trakta</w:t>
                  </w:r>
                  <w:r w:rsidRPr="009C0BEE">
                    <w:rPr>
                      <w:rFonts w:eastAsia="PMingLiU"/>
                      <w:sz w:val="22"/>
                      <w:szCs w:val="22"/>
                    </w:rPr>
                    <w:t>, rinitis, grip</w:t>
                  </w:r>
                  <w:r w:rsidR="002C44B0" w:rsidRPr="009C0BEE">
                    <w:rPr>
                      <w:rFonts w:eastAsia="PMingLiU"/>
                      <w:sz w:val="22"/>
                      <w:szCs w:val="22"/>
                    </w:rPr>
                    <w:t xml:space="preserve">, </w:t>
                  </w:r>
                  <w:r w:rsidR="00595691" w:rsidRPr="009C0BEE">
                    <w:rPr>
                      <w:sz w:val="22"/>
                      <w:szCs w:val="22"/>
                      <w:vertAlign w:val="superscript"/>
                    </w:rPr>
                    <w:t>+</w:t>
                  </w:r>
                  <w:r w:rsidR="002C44B0" w:rsidRPr="009C0BEE">
                    <w:rPr>
                      <w:rFonts w:eastAsia="PMingLiU"/>
                      <w:sz w:val="22"/>
                      <w:szCs w:val="22"/>
                    </w:rPr>
                    <w:t>infekcija, oralni herpes</w:t>
                  </w:r>
                </w:p>
              </w:tc>
              <w:tc>
                <w:tcPr>
                  <w:tcW w:w="1459" w:type="pct"/>
                  <w:shd w:val="clear" w:color="auto" w:fill="auto"/>
                </w:tcPr>
                <w:p w:rsidR="002C44B0" w:rsidRPr="009C0BEE" w:rsidRDefault="002C44B0" w:rsidP="0023431E">
                  <w:pPr>
                    <w:pStyle w:val="Header"/>
                    <w:tabs>
                      <w:tab w:val="left" w:pos="284"/>
                    </w:tabs>
                    <w:rPr>
                      <w:rFonts w:eastAsia="PMingLiU"/>
                      <w:color w:val="FF0000"/>
                      <w:sz w:val="22"/>
                      <w:szCs w:val="22"/>
                    </w:rPr>
                  </w:pPr>
                </w:p>
              </w:tc>
            </w:tr>
            <w:tr w:rsidR="0044480B" w:rsidRPr="009C0BEE" w:rsidTr="005E7E41">
              <w:tc>
                <w:tcPr>
                  <w:tcW w:w="997" w:type="pct"/>
                  <w:shd w:val="clear" w:color="auto" w:fill="auto"/>
                </w:tcPr>
                <w:p w:rsidR="002C44B0" w:rsidRPr="009C0BEE" w:rsidRDefault="00B47BBA" w:rsidP="0023431E">
                  <w:pPr>
                    <w:pStyle w:val="Header"/>
                    <w:tabs>
                      <w:tab w:val="left" w:pos="284"/>
                    </w:tabs>
                    <w:rPr>
                      <w:rFonts w:eastAsia="PMingLiU"/>
                      <w:i/>
                      <w:color w:val="FF0000"/>
                      <w:sz w:val="22"/>
                      <w:szCs w:val="22"/>
                    </w:rPr>
                  </w:pPr>
                  <w:r w:rsidRPr="009C0BEE">
                    <w:rPr>
                      <w:rFonts w:eastAsia="PMingLiU"/>
                      <w:i/>
                      <w:sz w:val="22"/>
                      <w:szCs w:val="22"/>
                    </w:rPr>
                    <w:t>Poremećaji krvi i limfnog sistema</w:t>
                  </w:r>
                </w:p>
              </w:tc>
              <w:tc>
                <w:tcPr>
                  <w:tcW w:w="1090" w:type="pct"/>
                  <w:shd w:val="clear" w:color="auto" w:fill="auto"/>
                </w:tcPr>
                <w:p w:rsidR="002C44B0" w:rsidRPr="009C0BEE" w:rsidRDefault="002C44B0" w:rsidP="0023431E">
                  <w:pPr>
                    <w:pStyle w:val="Header"/>
                    <w:tabs>
                      <w:tab w:val="left" w:pos="284"/>
                    </w:tabs>
                    <w:rPr>
                      <w:rFonts w:eastAsia="PMingLiU"/>
                      <w:sz w:val="22"/>
                      <w:szCs w:val="22"/>
                    </w:rPr>
                  </w:pPr>
                  <w:r w:rsidRPr="009C0BEE">
                    <w:rPr>
                      <w:rFonts w:eastAsia="PMingLiU"/>
                      <w:sz w:val="22"/>
                      <w:szCs w:val="22"/>
                      <w:vertAlign w:val="superscript"/>
                    </w:rPr>
                    <w:t>+</w:t>
                  </w:r>
                  <w:r w:rsidR="00C22F2D" w:rsidRPr="009C0BEE">
                    <w:rPr>
                      <w:rFonts w:eastAsia="PMingLiU"/>
                      <w:sz w:val="22"/>
                      <w:szCs w:val="22"/>
                    </w:rPr>
                    <w:t>n</w:t>
                  </w:r>
                  <w:r w:rsidRPr="009C0BEE">
                    <w:rPr>
                      <w:rFonts w:eastAsia="PMingLiU"/>
                      <w:sz w:val="22"/>
                      <w:szCs w:val="22"/>
                    </w:rPr>
                    <w:t xml:space="preserve">eutropenija, </w:t>
                  </w:r>
                </w:p>
                <w:p w:rsidR="002C44B0" w:rsidRPr="009C0BEE" w:rsidRDefault="002C44B0" w:rsidP="0023431E">
                  <w:pPr>
                    <w:pStyle w:val="Header"/>
                    <w:tabs>
                      <w:tab w:val="left" w:pos="284"/>
                    </w:tabs>
                    <w:rPr>
                      <w:rFonts w:eastAsia="PMingLiU"/>
                      <w:sz w:val="22"/>
                      <w:szCs w:val="22"/>
                    </w:rPr>
                  </w:pPr>
                  <w:r w:rsidRPr="009C0BEE">
                    <w:rPr>
                      <w:rFonts w:eastAsia="PMingLiU"/>
                      <w:sz w:val="22"/>
                      <w:szCs w:val="22"/>
                      <w:vertAlign w:val="superscript"/>
                    </w:rPr>
                    <w:t>+</w:t>
                  </w:r>
                  <w:r w:rsidR="00C22F2D" w:rsidRPr="009C0BEE">
                    <w:rPr>
                      <w:rFonts w:eastAsia="PMingLiU"/>
                      <w:sz w:val="22"/>
                      <w:szCs w:val="22"/>
                    </w:rPr>
                    <w:t>l</w:t>
                  </w:r>
                  <w:r w:rsidRPr="009C0BEE">
                    <w:rPr>
                      <w:rFonts w:eastAsia="PMingLiU"/>
                      <w:sz w:val="22"/>
                      <w:szCs w:val="22"/>
                    </w:rPr>
                    <w:t>eukopenija</w:t>
                  </w:r>
                </w:p>
                <w:p w:rsidR="002C44B0" w:rsidRPr="009C0BEE" w:rsidRDefault="002C44B0" w:rsidP="0023431E">
                  <w:pPr>
                    <w:pStyle w:val="Header"/>
                    <w:tabs>
                      <w:tab w:val="left" w:pos="284"/>
                    </w:tabs>
                    <w:rPr>
                      <w:rFonts w:eastAsia="PMingLiU"/>
                      <w:sz w:val="22"/>
                      <w:szCs w:val="22"/>
                    </w:rPr>
                  </w:pPr>
                  <w:r w:rsidRPr="009C0BEE">
                    <w:rPr>
                      <w:rFonts w:eastAsia="PMingLiU"/>
                      <w:sz w:val="22"/>
                      <w:szCs w:val="22"/>
                      <w:vertAlign w:val="superscript"/>
                    </w:rPr>
                    <w:t>+</w:t>
                  </w:r>
                  <w:r w:rsidR="00C22F2D" w:rsidRPr="009C0BEE">
                    <w:rPr>
                      <w:rFonts w:eastAsia="PMingLiU"/>
                      <w:sz w:val="22"/>
                      <w:szCs w:val="22"/>
                    </w:rPr>
                    <w:t>a</w:t>
                  </w:r>
                  <w:r w:rsidRPr="009C0BEE">
                    <w:rPr>
                      <w:rFonts w:eastAsia="PMingLiU"/>
                      <w:sz w:val="22"/>
                      <w:szCs w:val="22"/>
                    </w:rPr>
                    <w:t xml:space="preserve">nemija, </w:t>
                  </w:r>
                  <w:r w:rsidRPr="009C0BEE">
                    <w:rPr>
                      <w:rFonts w:eastAsia="PMingLiU"/>
                      <w:sz w:val="22"/>
                      <w:szCs w:val="22"/>
                      <w:vertAlign w:val="superscript"/>
                    </w:rPr>
                    <w:t>+</w:t>
                  </w:r>
                  <w:r w:rsidR="00C22F2D" w:rsidRPr="009C0BEE">
                    <w:rPr>
                      <w:rFonts w:eastAsia="PMingLiU"/>
                      <w:sz w:val="22"/>
                      <w:szCs w:val="22"/>
                    </w:rPr>
                    <w:t>neutropenijska groznica, t</w:t>
                  </w:r>
                  <w:r w:rsidRPr="009C0BEE">
                    <w:rPr>
                      <w:rFonts w:eastAsia="PMingLiU"/>
                      <w:sz w:val="22"/>
                      <w:szCs w:val="22"/>
                    </w:rPr>
                    <w:t>rombocitopenija</w:t>
                  </w:r>
                </w:p>
              </w:tc>
              <w:tc>
                <w:tcPr>
                  <w:tcW w:w="1454" w:type="pct"/>
                  <w:shd w:val="clear" w:color="auto" w:fill="auto"/>
                </w:tcPr>
                <w:p w:rsidR="002C44B0" w:rsidRPr="009C0BEE" w:rsidRDefault="00C22F2D" w:rsidP="0023431E">
                  <w:pPr>
                    <w:pStyle w:val="Header"/>
                    <w:tabs>
                      <w:tab w:val="left" w:pos="284"/>
                    </w:tabs>
                    <w:rPr>
                      <w:rFonts w:eastAsia="PMingLiU"/>
                      <w:sz w:val="22"/>
                      <w:szCs w:val="22"/>
                    </w:rPr>
                  </w:pPr>
                  <w:r w:rsidRPr="009C0BEE">
                    <w:rPr>
                      <w:rFonts w:eastAsia="PMingLiU"/>
                      <w:sz w:val="22"/>
                      <w:szCs w:val="22"/>
                    </w:rPr>
                    <w:t>d</w:t>
                  </w:r>
                  <w:r w:rsidR="002C44B0" w:rsidRPr="009C0BEE">
                    <w:rPr>
                      <w:rFonts w:eastAsia="PMingLiU"/>
                      <w:sz w:val="22"/>
                      <w:szCs w:val="22"/>
                    </w:rPr>
                    <w:t>epresija koštane srži</w:t>
                  </w:r>
                  <w:r w:rsidRPr="009C0BEE">
                    <w:rPr>
                      <w:rFonts w:eastAsia="PMingLiU"/>
                      <w:sz w:val="22"/>
                      <w:szCs w:val="22"/>
                    </w:rPr>
                    <w:t>,</w:t>
                  </w:r>
                </w:p>
                <w:p w:rsidR="002C44B0" w:rsidRPr="009C0BEE" w:rsidRDefault="002C44B0" w:rsidP="0023431E">
                  <w:pPr>
                    <w:pStyle w:val="Header"/>
                    <w:tabs>
                      <w:tab w:val="left" w:pos="284"/>
                    </w:tabs>
                    <w:rPr>
                      <w:rFonts w:eastAsia="PMingLiU"/>
                      <w:sz w:val="22"/>
                      <w:szCs w:val="22"/>
                    </w:rPr>
                  </w:pPr>
                  <w:r w:rsidRPr="009C0BEE">
                    <w:rPr>
                      <w:rFonts w:eastAsia="PMingLiU"/>
                      <w:sz w:val="22"/>
                      <w:szCs w:val="22"/>
                      <w:vertAlign w:val="superscript"/>
                    </w:rPr>
                    <w:t>+</w:t>
                  </w:r>
                  <w:r w:rsidR="00C22F2D" w:rsidRPr="009C0BEE">
                    <w:rPr>
                      <w:rFonts w:eastAsia="PMingLiU"/>
                      <w:sz w:val="22"/>
                      <w:szCs w:val="22"/>
                    </w:rPr>
                    <w:t>f</w:t>
                  </w:r>
                  <w:r w:rsidRPr="009C0BEE">
                    <w:rPr>
                      <w:rFonts w:eastAsia="PMingLiU"/>
                      <w:sz w:val="22"/>
                      <w:szCs w:val="22"/>
                    </w:rPr>
                    <w:t>ebrilna neutropenija</w:t>
                  </w:r>
                </w:p>
              </w:tc>
              <w:tc>
                <w:tcPr>
                  <w:tcW w:w="1459" w:type="pct"/>
                  <w:shd w:val="clear" w:color="auto" w:fill="auto"/>
                </w:tcPr>
                <w:p w:rsidR="002C44B0" w:rsidRPr="009C0BEE" w:rsidRDefault="002C44B0" w:rsidP="0023431E">
                  <w:pPr>
                    <w:pStyle w:val="Header"/>
                    <w:tabs>
                      <w:tab w:val="left" w:pos="284"/>
                    </w:tabs>
                    <w:rPr>
                      <w:rFonts w:eastAsia="PMingLiU"/>
                      <w:color w:val="FF0000"/>
                      <w:sz w:val="22"/>
                      <w:szCs w:val="22"/>
                    </w:rPr>
                  </w:pPr>
                </w:p>
              </w:tc>
            </w:tr>
            <w:tr w:rsidR="0044480B" w:rsidRPr="009C0BEE" w:rsidTr="005E7E41">
              <w:tc>
                <w:tcPr>
                  <w:tcW w:w="997" w:type="pct"/>
                  <w:shd w:val="clear" w:color="auto" w:fill="auto"/>
                </w:tcPr>
                <w:p w:rsidR="002C44B0" w:rsidRPr="009C0BEE" w:rsidRDefault="00CF59F9" w:rsidP="0023431E">
                  <w:pPr>
                    <w:pStyle w:val="Header"/>
                    <w:tabs>
                      <w:tab w:val="left" w:pos="284"/>
                    </w:tabs>
                    <w:rPr>
                      <w:rFonts w:eastAsia="PMingLiU"/>
                      <w:i/>
                      <w:color w:val="FF0000"/>
                      <w:sz w:val="22"/>
                      <w:szCs w:val="22"/>
                    </w:rPr>
                  </w:pPr>
                  <w:r w:rsidRPr="009C0BEE">
                    <w:rPr>
                      <w:rFonts w:eastAsia="PMingLiU"/>
                      <w:i/>
                      <w:sz w:val="22"/>
                      <w:szCs w:val="22"/>
                    </w:rPr>
                    <w:t>Imunološki poremećaji</w:t>
                  </w:r>
                </w:p>
              </w:tc>
              <w:tc>
                <w:tcPr>
                  <w:tcW w:w="1090" w:type="pct"/>
                  <w:shd w:val="clear" w:color="auto" w:fill="auto"/>
                </w:tcPr>
                <w:p w:rsidR="002C44B0" w:rsidRPr="009C0BEE" w:rsidRDefault="002C44B0" w:rsidP="0023431E">
                  <w:pPr>
                    <w:pStyle w:val="Header"/>
                    <w:tabs>
                      <w:tab w:val="left" w:pos="284"/>
                    </w:tabs>
                    <w:rPr>
                      <w:rFonts w:eastAsia="PMingLiU"/>
                      <w:color w:val="FF0000"/>
                      <w:sz w:val="22"/>
                      <w:szCs w:val="22"/>
                    </w:rPr>
                  </w:pPr>
                </w:p>
              </w:tc>
              <w:tc>
                <w:tcPr>
                  <w:tcW w:w="1454" w:type="pct"/>
                  <w:shd w:val="clear" w:color="auto" w:fill="auto"/>
                </w:tcPr>
                <w:p w:rsidR="002C44B0" w:rsidRPr="009C0BEE" w:rsidRDefault="00C22F2D" w:rsidP="0023431E">
                  <w:pPr>
                    <w:pStyle w:val="Header"/>
                    <w:tabs>
                      <w:tab w:val="left" w:pos="284"/>
                    </w:tabs>
                    <w:rPr>
                      <w:rFonts w:eastAsia="PMingLiU"/>
                      <w:sz w:val="22"/>
                      <w:szCs w:val="22"/>
                    </w:rPr>
                  </w:pPr>
                  <w:r w:rsidRPr="009C0BEE">
                    <w:rPr>
                      <w:rFonts w:eastAsia="PMingLiU"/>
                      <w:sz w:val="22"/>
                      <w:szCs w:val="22"/>
                    </w:rPr>
                    <w:t>pre</w:t>
                  </w:r>
                  <w:r w:rsidR="002C44B0" w:rsidRPr="009C0BEE">
                    <w:rPr>
                      <w:rFonts w:eastAsia="PMingLiU"/>
                      <w:sz w:val="22"/>
                      <w:szCs w:val="22"/>
                    </w:rPr>
                    <w:t>osjetljivost</w:t>
                  </w:r>
                </w:p>
              </w:tc>
              <w:tc>
                <w:tcPr>
                  <w:tcW w:w="1459" w:type="pct"/>
                  <w:shd w:val="clear" w:color="auto" w:fill="auto"/>
                </w:tcPr>
                <w:p w:rsidR="002C44B0" w:rsidRPr="009C0BEE" w:rsidRDefault="002C44B0" w:rsidP="0023431E">
                  <w:pPr>
                    <w:pStyle w:val="Header"/>
                    <w:tabs>
                      <w:tab w:val="left" w:pos="284"/>
                    </w:tabs>
                    <w:rPr>
                      <w:rFonts w:eastAsia="PMingLiU"/>
                      <w:color w:val="FF0000"/>
                      <w:sz w:val="22"/>
                      <w:szCs w:val="22"/>
                    </w:rPr>
                  </w:pPr>
                </w:p>
              </w:tc>
            </w:tr>
            <w:tr w:rsidR="0044480B" w:rsidRPr="009C0BEE" w:rsidTr="005E7E41">
              <w:tc>
                <w:tcPr>
                  <w:tcW w:w="997" w:type="pct"/>
                  <w:shd w:val="clear" w:color="auto" w:fill="auto"/>
                </w:tcPr>
                <w:p w:rsidR="002C44B0" w:rsidRPr="009C0BEE" w:rsidRDefault="00191EB0" w:rsidP="0023431E">
                  <w:pPr>
                    <w:pStyle w:val="Header"/>
                    <w:tabs>
                      <w:tab w:val="left" w:pos="284"/>
                    </w:tabs>
                    <w:rPr>
                      <w:rFonts w:eastAsia="PMingLiU"/>
                      <w:i/>
                      <w:color w:val="FF0000"/>
                      <w:sz w:val="22"/>
                      <w:szCs w:val="22"/>
                    </w:rPr>
                  </w:pPr>
                  <w:r w:rsidRPr="009C0BEE">
                    <w:rPr>
                      <w:rFonts w:eastAsia="PMingLiU"/>
                      <w:i/>
                      <w:sz w:val="22"/>
                      <w:szCs w:val="22"/>
                    </w:rPr>
                    <w:t>Poremećaji metabolizma i ishrane</w:t>
                  </w:r>
                </w:p>
              </w:tc>
              <w:tc>
                <w:tcPr>
                  <w:tcW w:w="1090" w:type="pct"/>
                  <w:shd w:val="clear" w:color="auto" w:fill="auto"/>
                </w:tcPr>
                <w:p w:rsidR="002C44B0" w:rsidRPr="009C0BEE" w:rsidRDefault="00C22F2D" w:rsidP="0023431E">
                  <w:pPr>
                    <w:pStyle w:val="Header"/>
                    <w:tabs>
                      <w:tab w:val="left" w:pos="284"/>
                    </w:tabs>
                    <w:rPr>
                      <w:rFonts w:eastAsia="PMingLiU"/>
                      <w:sz w:val="22"/>
                      <w:szCs w:val="22"/>
                    </w:rPr>
                  </w:pPr>
                  <w:r w:rsidRPr="009C0BEE">
                    <w:rPr>
                      <w:rFonts w:eastAsia="PMingLiU"/>
                      <w:sz w:val="22"/>
                      <w:szCs w:val="22"/>
                    </w:rPr>
                    <w:t>s</w:t>
                  </w:r>
                  <w:r w:rsidR="002C44B0" w:rsidRPr="009C0BEE">
                    <w:rPr>
                      <w:rFonts w:eastAsia="PMingLiU"/>
                      <w:sz w:val="22"/>
                      <w:szCs w:val="22"/>
                    </w:rPr>
                    <w:t>manjen apetit</w:t>
                  </w:r>
                </w:p>
              </w:tc>
              <w:tc>
                <w:tcPr>
                  <w:tcW w:w="1454" w:type="pct"/>
                  <w:shd w:val="clear" w:color="auto" w:fill="auto"/>
                </w:tcPr>
                <w:p w:rsidR="002C44B0" w:rsidRPr="009C0BEE" w:rsidRDefault="00C22F2D" w:rsidP="0023431E">
                  <w:pPr>
                    <w:pStyle w:val="Header"/>
                    <w:tabs>
                      <w:tab w:val="left" w:pos="284"/>
                    </w:tabs>
                    <w:rPr>
                      <w:rFonts w:eastAsia="PMingLiU"/>
                      <w:sz w:val="22"/>
                      <w:szCs w:val="22"/>
                    </w:rPr>
                  </w:pPr>
                  <w:r w:rsidRPr="009C0BEE">
                    <w:rPr>
                      <w:rFonts w:eastAsia="PMingLiU"/>
                      <w:sz w:val="22"/>
                      <w:szCs w:val="22"/>
                    </w:rPr>
                    <w:t>h</w:t>
                  </w:r>
                  <w:r w:rsidR="002C44B0" w:rsidRPr="009C0BEE">
                    <w:rPr>
                      <w:rFonts w:eastAsia="PMingLiU"/>
                      <w:sz w:val="22"/>
                      <w:szCs w:val="22"/>
                    </w:rPr>
                    <w:t>ipokalemija,</w:t>
                  </w:r>
                  <w:r w:rsidRPr="009C0BEE">
                    <w:rPr>
                      <w:rFonts w:eastAsia="PMingLiU"/>
                      <w:sz w:val="22"/>
                      <w:szCs w:val="22"/>
                    </w:rPr>
                    <w:t xml:space="preserve"> hiponatremija,  h</w:t>
                  </w:r>
                  <w:r w:rsidR="002C44B0" w:rsidRPr="009C0BEE">
                    <w:rPr>
                      <w:rFonts w:eastAsia="PMingLiU"/>
                      <w:sz w:val="22"/>
                      <w:szCs w:val="22"/>
                    </w:rPr>
                    <w:t xml:space="preserve">ipomagnezijemija, </w:t>
                  </w:r>
                  <w:r w:rsidRPr="009C0BEE">
                    <w:rPr>
                      <w:rFonts w:eastAsia="PMingLiU"/>
                      <w:sz w:val="22"/>
                      <w:szCs w:val="22"/>
                    </w:rPr>
                    <w:t>h</w:t>
                  </w:r>
                  <w:r w:rsidR="002C44B0" w:rsidRPr="009C0BEE">
                    <w:rPr>
                      <w:rFonts w:eastAsia="PMingLiU"/>
                      <w:sz w:val="22"/>
                      <w:szCs w:val="22"/>
                    </w:rPr>
                    <w:t>ipokalcemij</w:t>
                  </w:r>
                  <w:r w:rsidRPr="009C0BEE">
                    <w:rPr>
                      <w:rFonts w:eastAsia="PMingLiU"/>
                      <w:sz w:val="22"/>
                      <w:szCs w:val="22"/>
                    </w:rPr>
                    <w:t>a</w:t>
                  </w:r>
                  <w:r w:rsidR="002C44B0" w:rsidRPr="009C0BEE">
                    <w:rPr>
                      <w:rFonts w:eastAsia="PMingLiU"/>
                      <w:sz w:val="22"/>
                      <w:szCs w:val="22"/>
                    </w:rPr>
                    <w:t xml:space="preserve">, </w:t>
                  </w:r>
                  <w:r w:rsidRPr="009C0BEE">
                    <w:rPr>
                      <w:rFonts w:eastAsia="PMingLiU"/>
                      <w:sz w:val="22"/>
                      <w:szCs w:val="22"/>
                    </w:rPr>
                    <w:t>h</w:t>
                  </w:r>
                  <w:r w:rsidR="002C44B0" w:rsidRPr="009C0BEE">
                    <w:rPr>
                      <w:rFonts w:eastAsia="PMingLiU"/>
                      <w:sz w:val="22"/>
                      <w:szCs w:val="22"/>
                    </w:rPr>
                    <w:t>iperglikemija</w:t>
                  </w:r>
                </w:p>
              </w:tc>
              <w:tc>
                <w:tcPr>
                  <w:tcW w:w="1459" w:type="pct"/>
                  <w:shd w:val="clear" w:color="auto" w:fill="auto"/>
                </w:tcPr>
                <w:p w:rsidR="002C44B0" w:rsidRPr="009C0BEE" w:rsidRDefault="002C44B0" w:rsidP="0023431E">
                  <w:pPr>
                    <w:pStyle w:val="Header"/>
                    <w:tabs>
                      <w:tab w:val="left" w:pos="284"/>
                    </w:tabs>
                    <w:rPr>
                      <w:rFonts w:eastAsia="PMingLiU"/>
                      <w:color w:val="FF0000"/>
                      <w:sz w:val="22"/>
                      <w:szCs w:val="22"/>
                    </w:rPr>
                  </w:pPr>
                </w:p>
              </w:tc>
            </w:tr>
            <w:tr w:rsidR="0058320F" w:rsidRPr="009C0BEE" w:rsidTr="005E7E41">
              <w:tc>
                <w:tcPr>
                  <w:tcW w:w="997" w:type="pct"/>
                  <w:shd w:val="clear" w:color="auto" w:fill="auto"/>
                </w:tcPr>
                <w:p w:rsidR="0058320F" w:rsidRPr="009C0BEE" w:rsidRDefault="0058320F" w:rsidP="0023431E">
                  <w:pPr>
                    <w:pStyle w:val="Header"/>
                    <w:tabs>
                      <w:tab w:val="left" w:pos="284"/>
                    </w:tabs>
                    <w:rPr>
                      <w:rFonts w:eastAsia="PMingLiU"/>
                      <w:i/>
                      <w:sz w:val="22"/>
                      <w:szCs w:val="22"/>
                    </w:rPr>
                  </w:pPr>
                  <w:r w:rsidRPr="009C0BEE">
                    <w:rPr>
                      <w:rFonts w:eastAsia="PMingLiU"/>
                      <w:i/>
                      <w:sz w:val="22"/>
                      <w:szCs w:val="22"/>
                    </w:rPr>
                    <w:t>Psihijatrijski poremećaji</w:t>
                  </w:r>
                </w:p>
              </w:tc>
              <w:tc>
                <w:tcPr>
                  <w:tcW w:w="1090" w:type="pct"/>
                  <w:shd w:val="clear" w:color="auto" w:fill="auto"/>
                </w:tcPr>
                <w:p w:rsidR="0058320F" w:rsidRPr="009C0BEE" w:rsidRDefault="0058320F" w:rsidP="0023431E">
                  <w:pPr>
                    <w:pStyle w:val="Header"/>
                    <w:tabs>
                      <w:tab w:val="left" w:pos="284"/>
                    </w:tabs>
                    <w:rPr>
                      <w:rFonts w:eastAsia="PMingLiU"/>
                      <w:color w:val="FF0000"/>
                      <w:sz w:val="22"/>
                      <w:szCs w:val="22"/>
                    </w:rPr>
                  </w:pPr>
                </w:p>
              </w:tc>
              <w:tc>
                <w:tcPr>
                  <w:tcW w:w="1454" w:type="pct"/>
                  <w:shd w:val="clear" w:color="auto" w:fill="auto"/>
                </w:tcPr>
                <w:p w:rsidR="0058320F" w:rsidRPr="009C0BEE" w:rsidRDefault="0058320F" w:rsidP="0023431E">
                  <w:pPr>
                    <w:pStyle w:val="Header"/>
                    <w:tabs>
                      <w:tab w:val="left" w:pos="284"/>
                    </w:tabs>
                    <w:rPr>
                      <w:rFonts w:eastAsia="PMingLiU"/>
                      <w:sz w:val="22"/>
                      <w:szCs w:val="22"/>
                    </w:rPr>
                  </w:pPr>
                  <w:r w:rsidRPr="009C0BEE">
                    <w:rPr>
                      <w:rFonts w:eastAsia="PMingLiU"/>
                      <w:sz w:val="22"/>
                      <w:szCs w:val="22"/>
                    </w:rPr>
                    <w:t>poremećaji spavanja, anksioznost</w:t>
                  </w:r>
                </w:p>
              </w:tc>
              <w:tc>
                <w:tcPr>
                  <w:tcW w:w="1459" w:type="pct"/>
                  <w:shd w:val="clear" w:color="auto" w:fill="auto"/>
                </w:tcPr>
                <w:p w:rsidR="0058320F" w:rsidRPr="009C0BEE" w:rsidRDefault="0058320F" w:rsidP="0023431E">
                  <w:pPr>
                    <w:pStyle w:val="Header"/>
                    <w:tabs>
                      <w:tab w:val="left" w:pos="284"/>
                    </w:tabs>
                    <w:rPr>
                      <w:rFonts w:eastAsia="PMingLiU"/>
                      <w:color w:val="FF0000"/>
                      <w:sz w:val="22"/>
                      <w:szCs w:val="22"/>
                    </w:rPr>
                  </w:pPr>
                </w:p>
              </w:tc>
            </w:tr>
            <w:tr w:rsidR="0058320F" w:rsidRPr="009C0BEE" w:rsidTr="005E7E41">
              <w:tc>
                <w:tcPr>
                  <w:tcW w:w="997" w:type="pct"/>
                  <w:shd w:val="clear" w:color="auto" w:fill="auto"/>
                </w:tcPr>
                <w:p w:rsidR="0058320F" w:rsidRPr="009C0BEE" w:rsidRDefault="0058320F" w:rsidP="0023431E">
                  <w:pPr>
                    <w:pStyle w:val="Header"/>
                    <w:tabs>
                      <w:tab w:val="left" w:pos="284"/>
                    </w:tabs>
                    <w:rPr>
                      <w:rFonts w:eastAsia="PMingLiU"/>
                      <w:i/>
                      <w:sz w:val="22"/>
                      <w:szCs w:val="22"/>
                    </w:rPr>
                  </w:pPr>
                  <w:r w:rsidRPr="009C0BEE">
                    <w:rPr>
                      <w:rFonts w:eastAsia="PMingLiU"/>
                      <w:i/>
                      <w:sz w:val="22"/>
                      <w:szCs w:val="22"/>
                    </w:rPr>
                    <w:lastRenderedPageBreak/>
                    <w:t>Poremećaji nervnog sistema</w:t>
                  </w:r>
                </w:p>
              </w:tc>
              <w:tc>
                <w:tcPr>
                  <w:tcW w:w="1090" w:type="pct"/>
                  <w:shd w:val="clear" w:color="auto" w:fill="auto"/>
                </w:tcPr>
                <w:p w:rsidR="0058320F" w:rsidRPr="009C0BEE" w:rsidRDefault="0058320F" w:rsidP="0023431E">
                  <w:pPr>
                    <w:pStyle w:val="Header"/>
                    <w:tabs>
                      <w:tab w:val="left" w:pos="284"/>
                    </w:tabs>
                    <w:rPr>
                      <w:rFonts w:eastAsia="PMingLiU"/>
                      <w:sz w:val="22"/>
                      <w:szCs w:val="22"/>
                    </w:rPr>
                  </w:pPr>
                  <w:r w:rsidRPr="009C0BEE">
                    <w:rPr>
                      <w:rFonts w:eastAsia="PMingLiU"/>
                      <w:sz w:val="22"/>
                      <w:szCs w:val="22"/>
                    </w:rPr>
                    <w:t xml:space="preserve">parestezija, disestezija, periferna neuropatija, periferna senzorna neuropatija, disgeuzija, glavobolja </w:t>
                  </w:r>
                </w:p>
              </w:tc>
              <w:tc>
                <w:tcPr>
                  <w:tcW w:w="1454" w:type="pct"/>
                  <w:shd w:val="clear" w:color="auto" w:fill="auto"/>
                </w:tcPr>
                <w:p w:rsidR="0058320F" w:rsidRPr="009C0BEE" w:rsidRDefault="0058320F">
                  <w:pPr>
                    <w:pStyle w:val="Header"/>
                    <w:tabs>
                      <w:tab w:val="left" w:pos="284"/>
                    </w:tabs>
                    <w:rPr>
                      <w:rFonts w:eastAsia="PMingLiU"/>
                      <w:sz w:val="22"/>
                      <w:szCs w:val="22"/>
                    </w:rPr>
                  </w:pPr>
                  <w:r w:rsidRPr="009C0BEE">
                    <w:rPr>
                      <w:rFonts w:eastAsia="PMingLiU"/>
                      <w:sz w:val="22"/>
                      <w:szCs w:val="22"/>
                    </w:rPr>
                    <w:t>neurotoksičnost, tremor, neuralgija, reakcija preosjetljivosti, hipoestezija</w:t>
                  </w:r>
                </w:p>
              </w:tc>
              <w:tc>
                <w:tcPr>
                  <w:tcW w:w="1459" w:type="pct"/>
                  <w:shd w:val="clear" w:color="auto" w:fill="auto"/>
                </w:tcPr>
                <w:p w:rsidR="0058320F" w:rsidRPr="009C0BEE" w:rsidRDefault="0058320F" w:rsidP="0023431E">
                  <w:pPr>
                    <w:pStyle w:val="Header"/>
                    <w:tabs>
                      <w:tab w:val="left" w:pos="284"/>
                    </w:tabs>
                    <w:rPr>
                      <w:rFonts w:eastAsia="PMingLiU"/>
                      <w:color w:val="FF0000"/>
                      <w:sz w:val="22"/>
                      <w:szCs w:val="22"/>
                    </w:rPr>
                  </w:pPr>
                </w:p>
              </w:tc>
            </w:tr>
            <w:tr w:rsidR="0058320F" w:rsidRPr="009C0BEE" w:rsidTr="005E7E41">
              <w:tc>
                <w:tcPr>
                  <w:tcW w:w="997" w:type="pct"/>
                  <w:shd w:val="clear" w:color="auto" w:fill="auto"/>
                </w:tcPr>
                <w:p w:rsidR="0058320F" w:rsidRPr="009C0BEE" w:rsidRDefault="0058320F" w:rsidP="0023431E">
                  <w:pPr>
                    <w:pStyle w:val="Header"/>
                    <w:tabs>
                      <w:tab w:val="left" w:pos="284"/>
                    </w:tabs>
                    <w:rPr>
                      <w:rFonts w:eastAsia="PMingLiU"/>
                      <w:i/>
                      <w:sz w:val="22"/>
                      <w:szCs w:val="22"/>
                    </w:rPr>
                  </w:pPr>
                  <w:r w:rsidRPr="009C0BEE">
                    <w:rPr>
                      <w:rFonts w:eastAsia="PMingLiU"/>
                      <w:i/>
                      <w:sz w:val="22"/>
                      <w:szCs w:val="22"/>
                    </w:rPr>
                    <w:t>Poremećaji na nivou oka</w:t>
                  </w:r>
                </w:p>
              </w:tc>
              <w:tc>
                <w:tcPr>
                  <w:tcW w:w="1090" w:type="pct"/>
                  <w:shd w:val="clear" w:color="auto" w:fill="auto"/>
                </w:tcPr>
                <w:p w:rsidR="0058320F" w:rsidRPr="009C0BEE" w:rsidRDefault="0058320F" w:rsidP="0023431E">
                  <w:pPr>
                    <w:pStyle w:val="Header"/>
                    <w:tabs>
                      <w:tab w:val="left" w:pos="284"/>
                    </w:tabs>
                    <w:rPr>
                      <w:rFonts w:eastAsia="PMingLiU"/>
                      <w:sz w:val="22"/>
                      <w:szCs w:val="22"/>
                    </w:rPr>
                  </w:pPr>
                  <w:r w:rsidRPr="009C0BEE">
                    <w:rPr>
                      <w:rFonts w:eastAsia="PMingLiU"/>
                      <w:sz w:val="22"/>
                      <w:szCs w:val="22"/>
                    </w:rPr>
                    <w:t xml:space="preserve">pojačano suzenje </w:t>
                  </w:r>
                </w:p>
              </w:tc>
              <w:tc>
                <w:tcPr>
                  <w:tcW w:w="1454" w:type="pct"/>
                  <w:shd w:val="clear" w:color="auto" w:fill="auto"/>
                </w:tcPr>
                <w:p w:rsidR="0058320F" w:rsidRPr="009C0BEE" w:rsidRDefault="0058320F">
                  <w:pPr>
                    <w:pStyle w:val="Header"/>
                    <w:tabs>
                      <w:tab w:val="left" w:pos="284"/>
                    </w:tabs>
                    <w:rPr>
                      <w:rFonts w:eastAsia="PMingLiU"/>
                      <w:sz w:val="22"/>
                      <w:szCs w:val="22"/>
                    </w:rPr>
                  </w:pPr>
                  <w:r w:rsidRPr="009C0BEE">
                    <w:rPr>
                      <w:rFonts w:eastAsia="PMingLiU"/>
                      <w:sz w:val="22"/>
                      <w:szCs w:val="22"/>
                    </w:rPr>
                    <w:t>poremećaji vida, suvoća oka, bol u oku, oštećenje vida, zamagljen vid</w:t>
                  </w:r>
                </w:p>
              </w:tc>
              <w:tc>
                <w:tcPr>
                  <w:tcW w:w="1459" w:type="pct"/>
                  <w:shd w:val="clear" w:color="auto" w:fill="auto"/>
                </w:tcPr>
                <w:p w:rsidR="0058320F" w:rsidRPr="009C0BEE" w:rsidRDefault="0058320F" w:rsidP="0023431E">
                  <w:pPr>
                    <w:pStyle w:val="Header"/>
                    <w:tabs>
                      <w:tab w:val="left" w:pos="284"/>
                    </w:tabs>
                    <w:rPr>
                      <w:rFonts w:eastAsia="PMingLiU"/>
                      <w:color w:val="FF0000"/>
                      <w:sz w:val="22"/>
                      <w:szCs w:val="22"/>
                    </w:rPr>
                  </w:pPr>
                </w:p>
              </w:tc>
            </w:tr>
            <w:tr w:rsidR="0058320F" w:rsidRPr="009C0BEE" w:rsidTr="005E7E41">
              <w:tc>
                <w:tcPr>
                  <w:tcW w:w="997" w:type="pct"/>
                  <w:shd w:val="clear" w:color="auto" w:fill="auto"/>
                </w:tcPr>
                <w:p w:rsidR="0058320F" w:rsidRPr="009C0BEE" w:rsidRDefault="0058320F" w:rsidP="0023431E">
                  <w:pPr>
                    <w:pStyle w:val="Header"/>
                    <w:tabs>
                      <w:tab w:val="left" w:pos="284"/>
                    </w:tabs>
                    <w:rPr>
                      <w:rFonts w:eastAsia="PMingLiU"/>
                      <w:i/>
                      <w:sz w:val="22"/>
                      <w:szCs w:val="22"/>
                    </w:rPr>
                  </w:pPr>
                  <w:r w:rsidRPr="009C0BEE">
                    <w:rPr>
                      <w:rFonts w:eastAsia="PMingLiU"/>
                      <w:i/>
                      <w:sz w:val="22"/>
                      <w:szCs w:val="22"/>
                    </w:rPr>
                    <w:t>Poremećaji na nivou uha i centra za ravnotežu</w:t>
                  </w:r>
                </w:p>
              </w:tc>
              <w:tc>
                <w:tcPr>
                  <w:tcW w:w="1090" w:type="pct"/>
                  <w:shd w:val="clear" w:color="auto" w:fill="auto"/>
                </w:tcPr>
                <w:p w:rsidR="0058320F" w:rsidRPr="009C0BEE" w:rsidRDefault="0058320F" w:rsidP="0023431E">
                  <w:pPr>
                    <w:pStyle w:val="Header"/>
                    <w:tabs>
                      <w:tab w:val="left" w:pos="284"/>
                    </w:tabs>
                    <w:rPr>
                      <w:rFonts w:eastAsia="PMingLiU"/>
                      <w:color w:val="FF0000"/>
                      <w:sz w:val="22"/>
                      <w:szCs w:val="22"/>
                    </w:rPr>
                  </w:pPr>
                </w:p>
              </w:tc>
              <w:tc>
                <w:tcPr>
                  <w:tcW w:w="1454" w:type="pct"/>
                  <w:shd w:val="clear" w:color="auto" w:fill="auto"/>
                </w:tcPr>
                <w:p w:rsidR="0058320F" w:rsidRPr="009C0BEE" w:rsidRDefault="0058320F" w:rsidP="0023431E">
                  <w:pPr>
                    <w:pStyle w:val="Header"/>
                    <w:tabs>
                      <w:tab w:val="left" w:pos="284"/>
                    </w:tabs>
                    <w:rPr>
                      <w:rFonts w:eastAsia="PMingLiU"/>
                      <w:sz w:val="22"/>
                      <w:szCs w:val="22"/>
                    </w:rPr>
                  </w:pPr>
                  <w:r w:rsidRPr="009C0BEE">
                    <w:rPr>
                      <w:rFonts w:eastAsia="PMingLiU"/>
                      <w:sz w:val="22"/>
                      <w:szCs w:val="22"/>
                    </w:rPr>
                    <w:t xml:space="preserve">tinitus, oslabljen sluh </w:t>
                  </w:r>
                </w:p>
              </w:tc>
              <w:tc>
                <w:tcPr>
                  <w:tcW w:w="1459" w:type="pct"/>
                  <w:shd w:val="clear" w:color="auto" w:fill="auto"/>
                </w:tcPr>
                <w:p w:rsidR="0058320F" w:rsidRPr="009C0BEE" w:rsidRDefault="0058320F" w:rsidP="0023431E">
                  <w:pPr>
                    <w:pStyle w:val="Header"/>
                    <w:tabs>
                      <w:tab w:val="left" w:pos="284"/>
                    </w:tabs>
                    <w:rPr>
                      <w:rFonts w:eastAsia="PMingLiU"/>
                      <w:color w:val="FF0000"/>
                      <w:sz w:val="22"/>
                      <w:szCs w:val="22"/>
                    </w:rPr>
                  </w:pPr>
                </w:p>
              </w:tc>
            </w:tr>
            <w:tr w:rsidR="0058320F" w:rsidRPr="009C0BEE" w:rsidTr="005E7E41">
              <w:tc>
                <w:tcPr>
                  <w:tcW w:w="997" w:type="pct"/>
                  <w:shd w:val="clear" w:color="auto" w:fill="auto"/>
                </w:tcPr>
                <w:p w:rsidR="0058320F" w:rsidRPr="009C0BEE" w:rsidRDefault="0058320F" w:rsidP="0023431E">
                  <w:pPr>
                    <w:pStyle w:val="Header"/>
                    <w:tabs>
                      <w:tab w:val="left" w:pos="284"/>
                    </w:tabs>
                    <w:rPr>
                      <w:sz w:val="22"/>
                      <w:szCs w:val="22"/>
                    </w:rPr>
                  </w:pPr>
                  <w:r w:rsidRPr="009C0BEE">
                    <w:rPr>
                      <w:rFonts w:eastAsia="PMingLiU"/>
                      <w:i/>
                      <w:sz w:val="22"/>
                      <w:szCs w:val="22"/>
                    </w:rPr>
                    <w:t>Kardiološki poremećaji</w:t>
                  </w:r>
                </w:p>
              </w:tc>
              <w:tc>
                <w:tcPr>
                  <w:tcW w:w="1090" w:type="pct"/>
                  <w:shd w:val="clear" w:color="auto" w:fill="auto"/>
                </w:tcPr>
                <w:p w:rsidR="0058320F" w:rsidRPr="009C0BEE" w:rsidRDefault="0058320F" w:rsidP="0023431E">
                  <w:pPr>
                    <w:pStyle w:val="Header"/>
                    <w:tabs>
                      <w:tab w:val="left" w:pos="284"/>
                    </w:tabs>
                    <w:rPr>
                      <w:rFonts w:eastAsia="PMingLiU"/>
                      <w:color w:val="FF0000"/>
                      <w:sz w:val="22"/>
                      <w:szCs w:val="22"/>
                    </w:rPr>
                  </w:pPr>
                </w:p>
              </w:tc>
              <w:tc>
                <w:tcPr>
                  <w:tcW w:w="1454" w:type="pct"/>
                  <w:shd w:val="clear" w:color="auto" w:fill="auto"/>
                </w:tcPr>
                <w:p w:rsidR="0058320F" w:rsidRPr="009C0BEE" w:rsidRDefault="0058320F" w:rsidP="0023431E">
                  <w:pPr>
                    <w:pStyle w:val="Header"/>
                    <w:tabs>
                      <w:tab w:val="left" w:pos="284"/>
                    </w:tabs>
                    <w:rPr>
                      <w:rFonts w:eastAsia="PMingLiU"/>
                      <w:sz w:val="22"/>
                      <w:szCs w:val="22"/>
                    </w:rPr>
                  </w:pPr>
                  <w:r w:rsidRPr="009C0BEE">
                    <w:rPr>
                      <w:rFonts w:eastAsia="PMingLiU"/>
                      <w:sz w:val="22"/>
                      <w:szCs w:val="22"/>
                    </w:rPr>
                    <w:t xml:space="preserve">atrijalna fibrilacija, srčana  ishemija/infarkt </w:t>
                  </w:r>
                </w:p>
              </w:tc>
              <w:tc>
                <w:tcPr>
                  <w:tcW w:w="1459" w:type="pct"/>
                  <w:shd w:val="clear" w:color="auto" w:fill="auto"/>
                </w:tcPr>
                <w:p w:rsidR="0058320F" w:rsidRPr="009C0BEE" w:rsidRDefault="0058320F" w:rsidP="0023431E">
                  <w:pPr>
                    <w:pStyle w:val="Header"/>
                    <w:tabs>
                      <w:tab w:val="left" w:pos="284"/>
                    </w:tabs>
                    <w:rPr>
                      <w:rFonts w:eastAsia="PMingLiU"/>
                      <w:color w:val="FF0000"/>
                      <w:sz w:val="22"/>
                      <w:szCs w:val="22"/>
                    </w:rPr>
                  </w:pPr>
                </w:p>
              </w:tc>
            </w:tr>
            <w:tr w:rsidR="0058320F" w:rsidRPr="009C0BEE" w:rsidTr="005E7E41">
              <w:tc>
                <w:tcPr>
                  <w:tcW w:w="997" w:type="pct"/>
                  <w:shd w:val="clear" w:color="auto" w:fill="auto"/>
                </w:tcPr>
                <w:p w:rsidR="0058320F" w:rsidRPr="009C0BEE" w:rsidRDefault="0058320F" w:rsidP="0023431E">
                  <w:pPr>
                    <w:pStyle w:val="Header"/>
                    <w:tabs>
                      <w:tab w:val="left" w:pos="284"/>
                    </w:tabs>
                    <w:rPr>
                      <w:sz w:val="22"/>
                      <w:szCs w:val="22"/>
                    </w:rPr>
                  </w:pPr>
                  <w:r w:rsidRPr="009C0BEE">
                    <w:rPr>
                      <w:rFonts w:eastAsia="PMingLiU"/>
                      <w:i/>
                      <w:sz w:val="22"/>
                      <w:szCs w:val="22"/>
                    </w:rPr>
                    <w:t>Vaskularni poremećaji</w:t>
                  </w:r>
                </w:p>
              </w:tc>
              <w:tc>
                <w:tcPr>
                  <w:tcW w:w="1090" w:type="pct"/>
                  <w:shd w:val="clear" w:color="auto" w:fill="auto"/>
                </w:tcPr>
                <w:p w:rsidR="0058320F" w:rsidRPr="009C0BEE" w:rsidRDefault="0058320F" w:rsidP="0023431E">
                  <w:pPr>
                    <w:pStyle w:val="Header"/>
                    <w:tabs>
                      <w:tab w:val="left" w:pos="284"/>
                    </w:tabs>
                    <w:rPr>
                      <w:rFonts w:eastAsia="PMingLiU"/>
                      <w:sz w:val="22"/>
                      <w:szCs w:val="22"/>
                    </w:rPr>
                  </w:pPr>
                  <w:r w:rsidRPr="009C0BEE">
                    <w:rPr>
                      <w:rFonts w:eastAsia="PMingLiU"/>
                      <w:sz w:val="22"/>
                      <w:szCs w:val="22"/>
                    </w:rPr>
                    <w:t xml:space="preserve">edem donjih ekstremiteta, hipertenzija, </w:t>
                  </w:r>
                  <w:r w:rsidRPr="009C0BEE">
                    <w:rPr>
                      <w:rFonts w:eastAsia="PMingLiU"/>
                      <w:sz w:val="22"/>
                      <w:szCs w:val="22"/>
                      <w:vertAlign w:val="superscript"/>
                    </w:rPr>
                    <w:t>+</w:t>
                  </w:r>
                  <w:r w:rsidRPr="009C0BEE">
                    <w:rPr>
                      <w:rFonts w:eastAsia="PMingLiU"/>
                      <w:sz w:val="22"/>
                      <w:szCs w:val="22"/>
                    </w:rPr>
                    <w:t>embolija i tromboza</w:t>
                  </w:r>
                </w:p>
              </w:tc>
              <w:tc>
                <w:tcPr>
                  <w:tcW w:w="1454" w:type="pct"/>
                  <w:shd w:val="clear" w:color="auto" w:fill="auto"/>
                </w:tcPr>
                <w:p w:rsidR="0058320F" w:rsidRPr="009C0BEE" w:rsidRDefault="00251D3E" w:rsidP="0023431E">
                  <w:pPr>
                    <w:pStyle w:val="Header"/>
                    <w:tabs>
                      <w:tab w:val="left" w:pos="284"/>
                    </w:tabs>
                    <w:rPr>
                      <w:rFonts w:eastAsia="PMingLiU"/>
                      <w:sz w:val="22"/>
                      <w:szCs w:val="22"/>
                    </w:rPr>
                  </w:pPr>
                  <w:r w:rsidRPr="009C0BEE">
                    <w:rPr>
                      <w:rFonts w:eastAsia="PMingLiU"/>
                      <w:sz w:val="22"/>
                      <w:szCs w:val="22"/>
                    </w:rPr>
                    <w:t>c</w:t>
                  </w:r>
                  <w:r w:rsidR="0058320F" w:rsidRPr="009C0BEE">
                    <w:rPr>
                      <w:rFonts w:eastAsia="PMingLiU"/>
                      <w:sz w:val="22"/>
                      <w:szCs w:val="22"/>
                    </w:rPr>
                    <w:t>rvenilo uz osjećaj vrućine, hipotenzija, hipertenzivna kriza, napad vrućine, flebitis</w:t>
                  </w:r>
                </w:p>
              </w:tc>
              <w:tc>
                <w:tcPr>
                  <w:tcW w:w="1459" w:type="pct"/>
                  <w:shd w:val="clear" w:color="auto" w:fill="auto"/>
                </w:tcPr>
                <w:p w:rsidR="0058320F" w:rsidRPr="009C0BEE" w:rsidRDefault="0058320F" w:rsidP="0023431E">
                  <w:pPr>
                    <w:pStyle w:val="Header"/>
                    <w:tabs>
                      <w:tab w:val="left" w:pos="284"/>
                    </w:tabs>
                    <w:rPr>
                      <w:rFonts w:eastAsia="PMingLiU"/>
                      <w:color w:val="FF0000"/>
                      <w:sz w:val="22"/>
                      <w:szCs w:val="22"/>
                    </w:rPr>
                  </w:pPr>
                </w:p>
              </w:tc>
            </w:tr>
            <w:tr w:rsidR="001B7706" w:rsidRPr="009C0BEE" w:rsidTr="005E7E41">
              <w:tc>
                <w:tcPr>
                  <w:tcW w:w="997" w:type="pct"/>
                  <w:shd w:val="clear" w:color="auto" w:fill="auto"/>
                </w:tcPr>
                <w:p w:rsidR="001B7706" w:rsidRPr="009C0BEE" w:rsidRDefault="001B7706" w:rsidP="0023431E">
                  <w:pPr>
                    <w:pStyle w:val="Header"/>
                    <w:tabs>
                      <w:tab w:val="left" w:pos="284"/>
                    </w:tabs>
                    <w:rPr>
                      <w:sz w:val="22"/>
                      <w:szCs w:val="22"/>
                    </w:rPr>
                  </w:pPr>
                  <w:r w:rsidRPr="009C0BEE">
                    <w:rPr>
                      <w:rFonts w:eastAsia="PMingLiU"/>
                      <w:i/>
                      <w:sz w:val="22"/>
                      <w:szCs w:val="22"/>
                    </w:rPr>
                    <w:t>Poremećaji respiratornog sistema, toraksa i medijastinuma</w:t>
                  </w:r>
                </w:p>
              </w:tc>
              <w:tc>
                <w:tcPr>
                  <w:tcW w:w="1090"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bol u grlu, disestezija ždr</w:t>
                  </w:r>
                  <w:r w:rsidR="00251D3E" w:rsidRPr="009C0BEE">
                    <w:rPr>
                      <w:rFonts w:eastAsia="PMingLiU"/>
                      <w:sz w:val="22"/>
                      <w:szCs w:val="22"/>
                    </w:rPr>
                    <w:t>ij</w:t>
                  </w:r>
                  <w:r w:rsidRPr="009C0BEE">
                    <w:rPr>
                      <w:rFonts w:eastAsia="PMingLiU"/>
                      <w:sz w:val="22"/>
                      <w:szCs w:val="22"/>
                    </w:rPr>
                    <w:t xml:space="preserve">ela </w:t>
                  </w:r>
                </w:p>
              </w:tc>
              <w:tc>
                <w:tcPr>
                  <w:tcW w:w="1454"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štucanje, faringolaringealni bol, disfonija</w:t>
                  </w:r>
                </w:p>
              </w:tc>
              <w:tc>
                <w:tcPr>
                  <w:tcW w:w="1459" w:type="pct"/>
                  <w:shd w:val="clear" w:color="auto" w:fill="auto"/>
                </w:tcPr>
                <w:p w:rsidR="001B7706" w:rsidRPr="009C0BEE" w:rsidRDefault="001B7706" w:rsidP="0023431E">
                  <w:pPr>
                    <w:pStyle w:val="Header"/>
                    <w:tabs>
                      <w:tab w:val="left" w:pos="284"/>
                    </w:tabs>
                    <w:rPr>
                      <w:rFonts w:eastAsia="PMingLiU"/>
                      <w:color w:val="FF0000"/>
                      <w:sz w:val="22"/>
                      <w:szCs w:val="22"/>
                    </w:rPr>
                  </w:pPr>
                </w:p>
              </w:tc>
            </w:tr>
            <w:tr w:rsidR="001B7706" w:rsidRPr="009C0BEE" w:rsidTr="005E7E41">
              <w:tc>
                <w:tcPr>
                  <w:tcW w:w="997" w:type="pct"/>
                  <w:shd w:val="clear" w:color="auto" w:fill="auto"/>
                </w:tcPr>
                <w:p w:rsidR="001B7706" w:rsidRPr="009C0BEE" w:rsidRDefault="001B7706" w:rsidP="0023431E">
                  <w:pPr>
                    <w:pStyle w:val="Header"/>
                    <w:tabs>
                      <w:tab w:val="left" w:pos="284"/>
                    </w:tabs>
                    <w:rPr>
                      <w:sz w:val="22"/>
                      <w:szCs w:val="22"/>
                    </w:rPr>
                  </w:pPr>
                  <w:r w:rsidRPr="009C0BEE">
                    <w:rPr>
                      <w:rFonts w:eastAsia="PMingLiU"/>
                      <w:i/>
                      <w:sz w:val="22"/>
                      <w:szCs w:val="22"/>
                    </w:rPr>
                    <w:t>Gastrointestinalni poremećaji</w:t>
                  </w:r>
                </w:p>
              </w:tc>
              <w:tc>
                <w:tcPr>
                  <w:tcW w:w="1090"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 xml:space="preserve">opstipacija, dispepsija </w:t>
                  </w:r>
                </w:p>
              </w:tc>
              <w:tc>
                <w:tcPr>
                  <w:tcW w:w="1454"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 xml:space="preserve">hemoragija u gornjem dijelu gastrointestinalnog trakta, </w:t>
                  </w:r>
                </w:p>
                <w:p w:rsidR="001B7706" w:rsidRPr="009C0BEE" w:rsidRDefault="001B7706" w:rsidP="0023431E">
                  <w:pPr>
                    <w:pStyle w:val="Header"/>
                    <w:tabs>
                      <w:tab w:val="left" w:pos="284"/>
                    </w:tabs>
                    <w:rPr>
                      <w:rFonts w:eastAsia="PMingLiU"/>
                      <w:sz w:val="22"/>
                      <w:szCs w:val="22"/>
                    </w:rPr>
                  </w:pPr>
                  <w:r w:rsidRPr="009C0BEE">
                    <w:rPr>
                      <w:rFonts w:eastAsia="PMingLiU"/>
                      <w:sz w:val="22"/>
                      <w:szCs w:val="22"/>
                    </w:rPr>
                    <w:t xml:space="preserve">ulceracija usta, </w:t>
                  </w:r>
                </w:p>
                <w:p w:rsidR="001B7706" w:rsidRPr="009C0BEE" w:rsidRDefault="001B7706" w:rsidP="0023431E">
                  <w:pPr>
                    <w:pStyle w:val="Header"/>
                    <w:tabs>
                      <w:tab w:val="left" w:pos="284"/>
                    </w:tabs>
                    <w:rPr>
                      <w:rFonts w:eastAsia="PMingLiU"/>
                      <w:color w:val="FF0000"/>
                      <w:sz w:val="22"/>
                      <w:szCs w:val="22"/>
                    </w:rPr>
                  </w:pPr>
                  <w:r w:rsidRPr="009C0BEE">
                    <w:rPr>
                      <w:rFonts w:eastAsia="PMingLiU"/>
                      <w:sz w:val="22"/>
                      <w:szCs w:val="22"/>
                    </w:rPr>
                    <w:t>gastritis, abdominalna distenzija, gastroezofagealna refluksna bolest, bol u ustima, disfagija, rektalna hemoragija, bol u donjem dijelu abdomena, oralna disestezija, oralna parestezija, oralna hipostezija, neugodan osjećaj u abdomenu</w:t>
                  </w:r>
                </w:p>
              </w:tc>
              <w:tc>
                <w:tcPr>
                  <w:tcW w:w="1459" w:type="pct"/>
                  <w:shd w:val="clear" w:color="auto" w:fill="auto"/>
                </w:tcPr>
                <w:p w:rsidR="001B7706" w:rsidRPr="009C0BEE" w:rsidRDefault="001B7706" w:rsidP="0023431E">
                  <w:pPr>
                    <w:pStyle w:val="Header"/>
                    <w:tabs>
                      <w:tab w:val="left" w:pos="284"/>
                    </w:tabs>
                    <w:rPr>
                      <w:rFonts w:eastAsia="PMingLiU"/>
                      <w:color w:val="FF0000"/>
                      <w:sz w:val="22"/>
                      <w:szCs w:val="22"/>
                    </w:rPr>
                  </w:pPr>
                </w:p>
              </w:tc>
            </w:tr>
            <w:tr w:rsidR="001B7706" w:rsidRPr="009C0BEE" w:rsidTr="005E7E41">
              <w:tc>
                <w:tcPr>
                  <w:tcW w:w="997" w:type="pct"/>
                  <w:shd w:val="clear" w:color="auto" w:fill="auto"/>
                </w:tcPr>
                <w:p w:rsidR="001B7706" w:rsidRPr="009C0BEE" w:rsidRDefault="001B7706" w:rsidP="0023431E">
                  <w:pPr>
                    <w:pStyle w:val="Header"/>
                    <w:tabs>
                      <w:tab w:val="left" w:pos="284"/>
                    </w:tabs>
                    <w:rPr>
                      <w:i/>
                      <w:sz w:val="22"/>
                      <w:szCs w:val="22"/>
                    </w:rPr>
                  </w:pPr>
                  <w:r w:rsidRPr="009C0BEE">
                    <w:rPr>
                      <w:i/>
                      <w:sz w:val="22"/>
                      <w:szCs w:val="22"/>
                    </w:rPr>
                    <w:t>Hepatobilijarni poremećaji</w:t>
                  </w:r>
                </w:p>
              </w:tc>
              <w:tc>
                <w:tcPr>
                  <w:tcW w:w="1090" w:type="pct"/>
                  <w:shd w:val="clear" w:color="auto" w:fill="auto"/>
                </w:tcPr>
                <w:p w:rsidR="001B7706" w:rsidRPr="009C0BEE" w:rsidRDefault="001B7706" w:rsidP="0023431E">
                  <w:pPr>
                    <w:pStyle w:val="Header"/>
                    <w:tabs>
                      <w:tab w:val="left" w:pos="284"/>
                    </w:tabs>
                    <w:rPr>
                      <w:rFonts w:eastAsia="PMingLiU"/>
                      <w:color w:val="FF0000"/>
                      <w:sz w:val="22"/>
                      <w:szCs w:val="22"/>
                    </w:rPr>
                  </w:pPr>
                </w:p>
              </w:tc>
              <w:tc>
                <w:tcPr>
                  <w:tcW w:w="1454"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poremećaji hepatičke funkcije</w:t>
                  </w:r>
                </w:p>
              </w:tc>
              <w:tc>
                <w:tcPr>
                  <w:tcW w:w="1459" w:type="pct"/>
                  <w:shd w:val="clear" w:color="auto" w:fill="auto"/>
                </w:tcPr>
                <w:p w:rsidR="001B7706" w:rsidRPr="009C0BEE" w:rsidRDefault="001B7706" w:rsidP="0023431E">
                  <w:pPr>
                    <w:pStyle w:val="Header"/>
                    <w:tabs>
                      <w:tab w:val="left" w:pos="284"/>
                    </w:tabs>
                    <w:rPr>
                      <w:rFonts w:eastAsia="PMingLiU"/>
                      <w:color w:val="FF0000"/>
                      <w:sz w:val="22"/>
                      <w:szCs w:val="22"/>
                    </w:rPr>
                  </w:pPr>
                </w:p>
              </w:tc>
            </w:tr>
            <w:tr w:rsidR="001B7706" w:rsidRPr="009C0BEE" w:rsidTr="005E7E41">
              <w:tc>
                <w:tcPr>
                  <w:tcW w:w="997" w:type="pct"/>
                  <w:shd w:val="clear" w:color="auto" w:fill="auto"/>
                </w:tcPr>
                <w:p w:rsidR="001B7706" w:rsidRPr="009C0BEE" w:rsidRDefault="001B7706" w:rsidP="0023431E">
                  <w:pPr>
                    <w:pStyle w:val="Header"/>
                    <w:tabs>
                      <w:tab w:val="left" w:pos="284"/>
                    </w:tabs>
                    <w:rPr>
                      <w:sz w:val="22"/>
                      <w:szCs w:val="22"/>
                    </w:rPr>
                  </w:pPr>
                  <w:r w:rsidRPr="009C0BEE">
                    <w:rPr>
                      <w:i/>
                      <w:sz w:val="22"/>
                      <w:szCs w:val="22"/>
                    </w:rPr>
                    <w:t>Poremećaji na novou kože i potkožnog tkiva</w:t>
                  </w:r>
                </w:p>
              </w:tc>
              <w:tc>
                <w:tcPr>
                  <w:tcW w:w="1090"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alopecija, promjene na noktima</w:t>
                  </w:r>
                </w:p>
              </w:tc>
              <w:tc>
                <w:tcPr>
                  <w:tcW w:w="1454"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 xml:space="preserve">hiperhidroza, eritematozni osip, urtikarija, noćno znojenje </w:t>
                  </w:r>
                </w:p>
              </w:tc>
              <w:tc>
                <w:tcPr>
                  <w:tcW w:w="1459" w:type="pct"/>
                  <w:shd w:val="clear" w:color="auto" w:fill="auto"/>
                </w:tcPr>
                <w:p w:rsidR="001B7706" w:rsidRPr="009C0BEE" w:rsidRDefault="001B7706" w:rsidP="0023431E">
                  <w:pPr>
                    <w:pStyle w:val="Header"/>
                    <w:tabs>
                      <w:tab w:val="left" w:pos="284"/>
                    </w:tabs>
                    <w:rPr>
                      <w:rFonts w:eastAsia="PMingLiU"/>
                      <w:color w:val="FF0000"/>
                      <w:sz w:val="22"/>
                      <w:szCs w:val="22"/>
                    </w:rPr>
                  </w:pPr>
                </w:p>
              </w:tc>
            </w:tr>
            <w:tr w:rsidR="001B7706" w:rsidRPr="009C0BEE" w:rsidTr="005E7E41">
              <w:tc>
                <w:tcPr>
                  <w:tcW w:w="997" w:type="pct"/>
                  <w:shd w:val="clear" w:color="auto" w:fill="auto"/>
                </w:tcPr>
                <w:p w:rsidR="001B7706" w:rsidRPr="009C0BEE" w:rsidRDefault="001B7706" w:rsidP="0023431E">
                  <w:pPr>
                    <w:pStyle w:val="Header"/>
                    <w:tabs>
                      <w:tab w:val="left" w:pos="284"/>
                    </w:tabs>
                    <w:rPr>
                      <w:sz w:val="22"/>
                      <w:szCs w:val="22"/>
                    </w:rPr>
                  </w:pPr>
                  <w:r w:rsidRPr="009C0BEE">
                    <w:rPr>
                      <w:i/>
                      <w:sz w:val="22"/>
                      <w:szCs w:val="22"/>
                    </w:rPr>
                    <w:t>Poremećaji mišićno-skeletnog, vezivnog i koštanog tkiva</w:t>
                  </w:r>
                </w:p>
              </w:tc>
              <w:tc>
                <w:tcPr>
                  <w:tcW w:w="1090"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mialgija, artralgija, bol u  ekstremitetima</w:t>
                  </w:r>
                </w:p>
              </w:tc>
              <w:tc>
                <w:tcPr>
                  <w:tcW w:w="1454"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 xml:space="preserve">bol u vilici, grčevi u mišićima,  trizmus, slabost mišića </w:t>
                  </w:r>
                </w:p>
              </w:tc>
              <w:tc>
                <w:tcPr>
                  <w:tcW w:w="1459" w:type="pct"/>
                  <w:shd w:val="clear" w:color="auto" w:fill="auto"/>
                </w:tcPr>
                <w:p w:rsidR="001B7706" w:rsidRPr="009C0BEE" w:rsidRDefault="001B7706" w:rsidP="0023431E">
                  <w:pPr>
                    <w:pStyle w:val="Header"/>
                    <w:tabs>
                      <w:tab w:val="left" w:pos="284"/>
                    </w:tabs>
                    <w:rPr>
                      <w:rFonts w:eastAsia="PMingLiU"/>
                      <w:color w:val="FF0000"/>
                      <w:sz w:val="22"/>
                      <w:szCs w:val="22"/>
                    </w:rPr>
                  </w:pPr>
                </w:p>
              </w:tc>
            </w:tr>
            <w:tr w:rsidR="001B7706" w:rsidRPr="009C0BEE" w:rsidTr="005E7E41">
              <w:tc>
                <w:tcPr>
                  <w:tcW w:w="997" w:type="pct"/>
                  <w:shd w:val="clear" w:color="auto" w:fill="auto"/>
                </w:tcPr>
                <w:p w:rsidR="001B7706" w:rsidRPr="009C0BEE" w:rsidRDefault="001B7706" w:rsidP="0023431E">
                  <w:pPr>
                    <w:pStyle w:val="Header"/>
                    <w:tabs>
                      <w:tab w:val="left" w:pos="284"/>
                    </w:tabs>
                    <w:rPr>
                      <w:sz w:val="22"/>
                      <w:szCs w:val="22"/>
                    </w:rPr>
                  </w:pPr>
                  <w:r w:rsidRPr="009C0BEE">
                    <w:rPr>
                      <w:i/>
                      <w:sz w:val="22"/>
                      <w:szCs w:val="22"/>
                    </w:rPr>
                    <w:lastRenderedPageBreak/>
                    <w:t>Poremećaji na nivou bubrega i urinarnog sistema</w:t>
                  </w:r>
                </w:p>
              </w:tc>
              <w:tc>
                <w:tcPr>
                  <w:tcW w:w="1090" w:type="pct"/>
                  <w:shd w:val="clear" w:color="auto" w:fill="auto"/>
                </w:tcPr>
                <w:p w:rsidR="001B7706" w:rsidRPr="009C0BEE" w:rsidRDefault="001B7706" w:rsidP="0023431E">
                  <w:pPr>
                    <w:pStyle w:val="Header"/>
                    <w:tabs>
                      <w:tab w:val="left" w:pos="284"/>
                    </w:tabs>
                    <w:rPr>
                      <w:rFonts w:eastAsia="PMingLiU"/>
                      <w:color w:val="FF0000"/>
                      <w:sz w:val="22"/>
                      <w:szCs w:val="22"/>
                    </w:rPr>
                  </w:pPr>
                </w:p>
              </w:tc>
              <w:tc>
                <w:tcPr>
                  <w:tcW w:w="1454" w:type="pct"/>
                  <w:shd w:val="clear" w:color="auto" w:fill="auto"/>
                </w:tcPr>
                <w:p w:rsidR="001B7706" w:rsidRPr="009C0BEE" w:rsidRDefault="001B7706" w:rsidP="0023431E">
                  <w:pPr>
                    <w:pStyle w:val="Header"/>
                    <w:tabs>
                      <w:tab w:val="left" w:pos="284"/>
                    </w:tabs>
                    <w:rPr>
                      <w:rFonts w:eastAsia="PMingLiU"/>
                      <w:sz w:val="22"/>
                      <w:szCs w:val="22"/>
                    </w:rPr>
                  </w:pPr>
                  <w:r w:rsidRPr="009C0BEE">
                    <w:rPr>
                      <w:rFonts w:eastAsia="PMingLiU"/>
                      <w:sz w:val="22"/>
                      <w:szCs w:val="22"/>
                    </w:rPr>
                    <w:t>hematurija, proteinurija, smanjenje klirensa kreatinina, bolno i otežano mokrenje</w:t>
                  </w:r>
                </w:p>
              </w:tc>
              <w:tc>
                <w:tcPr>
                  <w:tcW w:w="1459" w:type="pct"/>
                  <w:shd w:val="clear" w:color="auto" w:fill="auto"/>
                </w:tcPr>
                <w:p w:rsidR="001B7706" w:rsidRPr="009C0BEE" w:rsidRDefault="00E315DC"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a</w:t>
                  </w:r>
                  <w:r w:rsidR="001B7706" w:rsidRPr="009C0BEE">
                    <w:rPr>
                      <w:rFonts w:ascii="TimesNewRoman" w:hAnsi="TimesNewRoman" w:cs="TimesNewRoman"/>
                      <w:sz w:val="22"/>
                      <w:szCs w:val="22"/>
                    </w:rPr>
                    <w:t>kutna insuficijencija</w:t>
                  </w:r>
                </w:p>
                <w:p w:rsidR="001B7706" w:rsidRPr="009C0BEE" w:rsidRDefault="001B7706"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bubrega kao</w:t>
                  </w:r>
                </w:p>
                <w:p w:rsidR="001B7706" w:rsidRPr="009C0BEE" w:rsidRDefault="001B7706"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posljedica</w:t>
                  </w:r>
                </w:p>
                <w:p w:rsidR="001B7706" w:rsidRPr="009C0BEE" w:rsidRDefault="001B7706" w:rsidP="0023431E">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dehidracije</w:t>
                  </w:r>
                </w:p>
                <w:p w:rsidR="001B7706" w:rsidRPr="009C0BEE" w:rsidRDefault="001B7706" w:rsidP="0023431E">
                  <w:pPr>
                    <w:pStyle w:val="Header"/>
                    <w:tabs>
                      <w:tab w:val="left" w:pos="284"/>
                    </w:tabs>
                    <w:rPr>
                      <w:rFonts w:eastAsia="PMingLiU"/>
                      <w:sz w:val="22"/>
                      <w:szCs w:val="22"/>
                    </w:rPr>
                  </w:pPr>
                  <w:r w:rsidRPr="009C0BEE">
                    <w:rPr>
                      <w:rFonts w:ascii="TimesNewRoman" w:hAnsi="TimesNewRoman" w:cs="TimesNewRoman"/>
                      <w:sz w:val="22"/>
                      <w:szCs w:val="22"/>
                    </w:rPr>
                    <w:t>(rijetko)</w:t>
                  </w:r>
                </w:p>
              </w:tc>
            </w:tr>
            <w:tr w:rsidR="0044480B" w:rsidRPr="009C0BEE" w:rsidTr="005E7E41">
              <w:tc>
                <w:tcPr>
                  <w:tcW w:w="997" w:type="pct"/>
                  <w:shd w:val="clear" w:color="auto" w:fill="auto"/>
                </w:tcPr>
                <w:p w:rsidR="002C44B0" w:rsidRPr="009C0BEE" w:rsidRDefault="002C44B0" w:rsidP="0023431E">
                  <w:pPr>
                    <w:pStyle w:val="Header"/>
                    <w:tabs>
                      <w:tab w:val="left" w:pos="284"/>
                    </w:tabs>
                    <w:rPr>
                      <w:rFonts w:eastAsia="PMingLiU"/>
                      <w:i/>
                      <w:sz w:val="22"/>
                      <w:szCs w:val="22"/>
                    </w:rPr>
                  </w:pPr>
                  <w:r w:rsidRPr="009C0BEE">
                    <w:rPr>
                      <w:rFonts w:eastAsia="PMingLiU"/>
                      <w:i/>
                      <w:sz w:val="22"/>
                      <w:szCs w:val="22"/>
                    </w:rPr>
                    <w:t>Opšti poremećaji i stanja na mjestu primjene</w:t>
                  </w:r>
                </w:p>
              </w:tc>
              <w:tc>
                <w:tcPr>
                  <w:tcW w:w="1090" w:type="pct"/>
                  <w:shd w:val="clear" w:color="auto" w:fill="auto"/>
                </w:tcPr>
                <w:p w:rsidR="002C44B0" w:rsidRPr="009C0BEE" w:rsidRDefault="005E2EA4" w:rsidP="0023431E">
                  <w:pPr>
                    <w:pStyle w:val="Header"/>
                    <w:tabs>
                      <w:tab w:val="left" w:pos="284"/>
                    </w:tabs>
                    <w:rPr>
                      <w:rFonts w:eastAsia="PMingLiU"/>
                      <w:sz w:val="22"/>
                      <w:szCs w:val="22"/>
                    </w:rPr>
                  </w:pPr>
                  <w:r w:rsidRPr="009C0BEE">
                    <w:rPr>
                      <w:rFonts w:eastAsia="PMingLiU"/>
                      <w:sz w:val="22"/>
                      <w:szCs w:val="22"/>
                    </w:rPr>
                    <w:t>povišena temperatura, s</w:t>
                  </w:r>
                  <w:r w:rsidR="002C44B0" w:rsidRPr="009C0BEE">
                    <w:rPr>
                      <w:rFonts w:eastAsia="PMingLiU"/>
                      <w:sz w:val="22"/>
                      <w:szCs w:val="22"/>
                    </w:rPr>
                    <w:t xml:space="preserve">labost, </w:t>
                  </w:r>
                  <w:r w:rsidR="002C44B0" w:rsidRPr="009C0BEE">
                    <w:rPr>
                      <w:rFonts w:eastAsia="PMingLiU"/>
                      <w:sz w:val="22"/>
                      <w:szCs w:val="22"/>
                      <w:vertAlign w:val="superscript"/>
                    </w:rPr>
                    <w:t>+</w:t>
                  </w:r>
                  <w:r w:rsidRPr="009C0BEE">
                    <w:rPr>
                      <w:rFonts w:eastAsia="PMingLiU"/>
                      <w:sz w:val="22"/>
                      <w:szCs w:val="22"/>
                    </w:rPr>
                    <w:t>l</w:t>
                  </w:r>
                  <w:r w:rsidR="002C44B0" w:rsidRPr="009C0BEE">
                    <w:rPr>
                      <w:rFonts w:eastAsia="PMingLiU"/>
                      <w:sz w:val="22"/>
                      <w:szCs w:val="22"/>
                    </w:rPr>
                    <w:t>etargija, osjetljivost na promjene temperature okoline</w:t>
                  </w:r>
                </w:p>
              </w:tc>
              <w:tc>
                <w:tcPr>
                  <w:tcW w:w="1454" w:type="pct"/>
                  <w:shd w:val="clear" w:color="auto" w:fill="auto"/>
                </w:tcPr>
                <w:p w:rsidR="002C44B0" w:rsidRPr="009C0BEE" w:rsidRDefault="005E2EA4" w:rsidP="0023431E">
                  <w:pPr>
                    <w:pStyle w:val="Header"/>
                    <w:tabs>
                      <w:tab w:val="left" w:pos="284"/>
                    </w:tabs>
                    <w:rPr>
                      <w:rFonts w:eastAsia="PMingLiU"/>
                      <w:sz w:val="22"/>
                      <w:szCs w:val="22"/>
                    </w:rPr>
                  </w:pPr>
                  <w:r w:rsidRPr="009C0BEE">
                    <w:rPr>
                      <w:rFonts w:eastAsia="PMingLiU"/>
                      <w:sz w:val="22"/>
                      <w:szCs w:val="22"/>
                    </w:rPr>
                    <w:t>u</w:t>
                  </w:r>
                  <w:r w:rsidR="002C44B0" w:rsidRPr="009C0BEE">
                    <w:rPr>
                      <w:rFonts w:eastAsia="PMingLiU"/>
                      <w:sz w:val="22"/>
                      <w:szCs w:val="22"/>
                    </w:rPr>
                    <w:t xml:space="preserve">pala sluznice, </w:t>
                  </w:r>
                  <w:r w:rsidRPr="009C0BEE">
                    <w:rPr>
                      <w:rFonts w:eastAsia="PMingLiU"/>
                      <w:sz w:val="22"/>
                      <w:szCs w:val="22"/>
                    </w:rPr>
                    <w:t>b</w:t>
                  </w:r>
                  <w:r w:rsidR="002C44B0" w:rsidRPr="009C0BEE">
                    <w:rPr>
                      <w:rFonts w:eastAsia="PMingLiU"/>
                      <w:sz w:val="22"/>
                      <w:szCs w:val="22"/>
                    </w:rPr>
                    <w:t xml:space="preserve">ol u </w:t>
                  </w:r>
                  <w:r w:rsidRPr="009C0BEE">
                    <w:rPr>
                      <w:rFonts w:eastAsia="PMingLiU"/>
                      <w:sz w:val="22"/>
                      <w:szCs w:val="22"/>
                    </w:rPr>
                    <w:t>ekstremitetima, bol, d</w:t>
                  </w:r>
                  <w:r w:rsidR="002C44B0" w:rsidRPr="009C0BEE">
                    <w:rPr>
                      <w:rFonts w:eastAsia="PMingLiU"/>
                      <w:sz w:val="22"/>
                      <w:szCs w:val="22"/>
                    </w:rPr>
                    <w:t xml:space="preserve">rhtavica, </w:t>
                  </w:r>
                  <w:r w:rsidRPr="009C0BEE">
                    <w:rPr>
                      <w:rFonts w:eastAsia="PMingLiU"/>
                      <w:sz w:val="22"/>
                      <w:szCs w:val="22"/>
                    </w:rPr>
                    <w:t>bol u grudima, b</w:t>
                  </w:r>
                  <w:r w:rsidR="002C44B0" w:rsidRPr="009C0BEE">
                    <w:rPr>
                      <w:rFonts w:eastAsia="PMingLiU"/>
                      <w:sz w:val="22"/>
                      <w:szCs w:val="22"/>
                    </w:rPr>
                    <w:t xml:space="preserve">olest slična gripu, </w:t>
                  </w:r>
                  <w:r w:rsidR="002C44B0" w:rsidRPr="009C0BEE">
                    <w:rPr>
                      <w:rFonts w:eastAsia="PMingLiU"/>
                      <w:sz w:val="22"/>
                      <w:szCs w:val="22"/>
                      <w:vertAlign w:val="superscript"/>
                    </w:rPr>
                    <w:t>+</w:t>
                  </w:r>
                  <w:r w:rsidRPr="009C0BEE">
                    <w:rPr>
                      <w:rFonts w:eastAsia="PMingLiU"/>
                      <w:sz w:val="22"/>
                      <w:szCs w:val="22"/>
                    </w:rPr>
                    <w:t>g</w:t>
                  </w:r>
                  <w:r w:rsidR="002C44B0" w:rsidRPr="009C0BEE">
                    <w:rPr>
                      <w:rFonts w:eastAsia="PMingLiU"/>
                      <w:sz w:val="22"/>
                      <w:szCs w:val="22"/>
                    </w:rPr>
                    <w:t>roznica</w:t>
                  </w:r>
                  <w:r w:rsidR="00251D3E" w:rsidRPr="009C0BEE">
                    <w:rPr>
                      <w:rFonts w:eastAsia="PMingLiU"/>
                      <w:sz w:val="22"/>
                      <w:szCs w:val="22"/>
                    </w:rPr>
                    <w:t>,</w:t>
                  </w:r>
                  <w:r w:rsidR="002C44B0" w:rsidRPr="009C0BEE">
                    <w:rPr>
                      <w:rFonts w:eastAsia="PMingLiU"/>
                      <w:sz w:val="22"/>
                      <w:szCs w:val="22"/>
                    </w:rPr>
                    <w:t xml:space="preserve"> reakcije na infuziju, reakcije na mjestu uboda, bol na mjestu primjene infuzije, bol na mjestu uboda</w:t>
                  </w:r>
                </w:p>
              </w:tc>
              <w:tc>
                <w:tcPr>
                  <w:tcW w:w="1459" w:type="pct"/>
                  <w:shd w:val="clear" w:color="auto" w:fill="auto"/>
                </w:tcPr>
                <w:p w:rsidR="002C44B0" w:rsidRPr="009C0BEE" w:rsidRDefault="002C44B0" w:rsidP="0023431E">
                  <w:pPr>
                    <w:pStyle w:val="Header"/>
                    <w:tabs>
                      <w:tab w:val="left" w:pos="284"/>
                    </w:tabs>
                    <w:rPr>
                      <w:rFonts w:eastAsia="PMingLiU"/>
                      <w:color w:val="FF0000"/>
                      <w:sz w:val="22"/>
                      <w:szCs w:val="22"/>
                    </w:rPr>
                  </w:pPr>
                </w:p>
              </w:tc>
            </w:tr>
            <w:tr w:rsidR="0044480B" w:rsidRPr="009C0BEE" w:rsidTr="005E7E41">
              <w:tc>
                <w:tcPr>
                  <w:tcW w:w="997" w:type="pct"/>
                  <w:shd w:val="clear" w:color="auto" w:fill="auto"/>
                </w:tcPr>
                <w:p w:rsidR="002C44B0" w:rsidRPr="009C0BEE" w:rsidRDefault="002C44B0" w:rsidP="0023431E">
                  <w:pPr>
                    <w:pStyle w:val="Header"/>
                    <w:tabs>
                      <w:tab w:val="left" w:pos="284"/>
                    </w:tabs>
                    <w:rPr>
                      <w:rFonts w:eastAsia="PMingLiU"/>
                      <w:i/>
                      <w:sz w:val="22"/>
                      <w:szCs w:val="22"/>
                    </w:rPr>
                  </w:pPr>
                  <w:r w:rsidRPr="009C0BEE">
                    <w:rPr>
                      <w:rFonts w:eastAsia="PMingLiU"/>
                      <w:i/>
                      <w:sz w:val="22"/>
                      <w:szCs w:val="22"/>
                    </w:rPr>
                    <w:t>Povrede, trovanja i proceduralne komplikacije</w:t>
                  </w:r>
                </w:p>
              </w:tc>
              <w:tc>
                <w:tcPr>
                  <w:tcW w:w="1090" w:type="pct"/>
                  <w:shd w:val="clear" w:color="auto" w:fill="auto"/>
                </w:tcPr>
                <w:p w:rsidR="002C44B0" w:rsidRPr="009C0BEE" w:rsidRDefault="002C44B0" w:rsidP="0023431E">
                  <w:pPr>
                    <w:pStyle w:val="Header"/>
                    <w:tabs>
                      <w:tab w:val="left" w:pos="284"/>
                    </w:tabs>
                    <w:rPr>
                      <w:rFonts w:eastAsia="PMingLiU"/>
                      <w:color w:val="FF0000"/>
                      <w:sz w:val="22"/>
                      <w:szCs w:val="22"/>
                    </w:rPr>
                  </w:pPr>
                </w:p>
              </w:tc>
              <w:tc>
                <w:tcPr>
                  <w:tcW w:w="1454" w:type="pct"/>
                  <w:shd w:val="clear" w:color="auto" w:fill="auto"/>
                </w:tcPr>
                <w:p w:rsidR="002C44B0" w:rsidRPr="009C0BEE" w:rsidRDefault="00792E05" w:rsidP="0023431E">
                  <w:pPr>
                    <w:pStyle w:val="Header"/>
                    <w:tabs>
                      <w:tab w:val="left" w:pos="284"/>
                    </w:tabs>
                    <w:rPr>
                      <w:rFonts w:eastAsia="PMingLiU"/>
                      <w:sz w:val="22"/>
                      <w:szCs w:val="22"/>
                    </w:rPr>
                  </w:pPr>
                  <w:r w:rsidRPr="009C0BEE">
                    <w:rPr>
                      <w:rFonts w:eastAsia="PMingLiU"/>
                      <w:sz w:val="22"/>
                      <w:szCs w:val="22"/>
                    </w:rPr>
                    <w:t>k</w:t>
                  </w:r>
                  <w:r w:rsidR="002C44B0" w:rsidRPr="009C0BEE">
                    <w:rPr>
                      <w:rFonts w:eastAsia="PMingLiU"/>
                      <w:sz w:val="22"/>
                      <w:szCs w:val="22"/>
                    </w:rPr>
                    <w:t>ontuzija</w:t>
                  </w:r>
                </w:p>
                <w:p w:rsidR="002C44B0" w:rsidRPr="009C0BEE" w:rsidRDefault="002C44B0" w:rsidP="0023431E">
                  <w:pPr>
                    <w:pStyle w:val="Header"/>
                    <w:tabs>
                      <w:tab w:val="left" w:pos="284"/>
                    </w:tabs>
                    <w:rPr>
                      <w:rFonts w:eastAsia="PMingLiU"/>
                      <w:color w:val="FF0000"/>
                      <w:sz w:val="22"/>
                      <w:szCs w:val="22"/>
                    </w:rPr>
                  </w:pPr>
                </w:p>
              </w:tc>
              <w:tc>
                <w:tcPr>
                  <w:tcW w:w="1459" w:type="pct"/>
                  <w:shd w:val="clear" w:color="auto" w:fill="auto"/>
                </w:tcPr>
                <w:p w:rsidR="002C44B0" w:rsidRPr="009C0BEE" w:rsidRDefault="002C44B0" w:rsidP="0023431E">
                  <w:pPr>
                    <w:pStyle w:val="Header"/>
                    <w:tabs>
                      <w:tab w:val="left" w:pos="284"/>
                    </w:tabs>
                    <w:rPr>
                      <w:rFonts w:eastAsia="PMingLiU"/>
                      <w:color w:val="FF0000"/>
                      <w:sz w:val="22"/>
                      <w:szCs w:val="22"/>
                    </w:rPr>
                  </w:pPr>
                </w:p>
              </w:tc>
            </w:tr>
          </w:tbl>
          <w:p w:rsidR="00C6356D" w:rsidRPr="009C0BEE" w:rsidRDefault="00C6356D" w:rsidP="001528DA">
            <w:pPr>
              <w:pStyle w:val="Header"/>
              <w:tabs>
                <w:tab w:val="left" w:pos="284"/>
              </w:tabs>
              <w:jc w:val="both"/>
              <w:rPr>
                <w:sz w:val="22"/>
                <w:szCs w:val="22"/>
              </w:rPr>
            </w:pPr>
            <w:r w:rsidRPr="009C0BEE">
              <w:rPr>
                <w:sz w:val="22"/>
                <w:szCs w:val="22"/>
                <w:vertAlign w:val="superscript"/>
              </w:rPr>
              <w:t>+</w:t>
            </w:r>
            <w:r w:rsidR="003D6ABD" w:rsidRPr="009C0BEE">
              <w:rPr>
                <w:sz w:val="22"/>
                <w:szCs w:val="22"/>
              </w:rPr>
              <w:t xml:space="preserve"> za svaki po</w:t>
            </w:r>
            <w:r w:rsidRPr="009C0BEE">
              <w:rPr>
                <w:sz w:val="22"/>
                <w:szCs w:val="22"/>
              </w:rPr>
              <w:t>j</w:t>
            </w:r>
            <w:r w:rsidR="003D6ABD" w:rsidRPr="009C0BEE">
              <w:rPr>
                <w:sz w:val="22"/>
                <w:szCs w:val="22"/>
              </w:rPr>
              <w:t>am</w:t>
            </w:r>
            <w:r w:rsidRPr="009C0BEE">
              <w:rPr>
                <w:sz w:val="22"/>
                <w:szCs w:val="22"/>
              </w:rPr>
              <w:t xml:space="preserve">, učestalost javljanja procijenjena je na osnovu prijavljenih neželjenih reakcija svih stepena. Za poremećaje označene sa “+”, učestalost javljanja procijenjena je na osnovu </w:t>
            </w:r>
            <w:r w:rsidR="003D6ABD" w:rsidRPr="009C0BEE">
              <w:rPr>
                <w:sz w:val="22"/>
                <w:szCs w:val="22"/>
              </w:rPr>
              <w:t>neželjenih reakcija 3.-4. stepena</w:t>
            </w:r>
            <w:r w:rsidR="00251D3E" w:rsidRPr="009C0BEE">
              <w:rPr>
                <w:sz w:val="22"/>
                <w:szCs w:val="22"/>
              </w:rPr>
              <w:t>.</w:t>
            </w:r>
            <w:r w:rsidR="003D6ABD" w:rsidRPr="009C0BEE">
              <w:rPr>
                <w:sz w:val="22"/>
                <w:szCs w:val="22"/>
              </w:rPr>
              <w:t xml:space="preserve"> </w:t>
            </w:r>
            <w:r w:rsidRPr="009C0BEE">
              <w:rPr>
                <w:sz w:val="22"/>
                <w:szCs w:val="22"/>
              </w:rPr>
              <w:t xml:space="preserve">Neželjene reakcije bilježene su na osnovu najviše incidence prijavljene u bilo kojoj od velikih kombinovanih studija. </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bCs/>
                <w:iCs/>
                <w:sz w:val="22"/>
                <w:szCs w:val="22"/>
                <w:u w:val="single"/>
              </w:rPr>
            </w:pPr>
            <w:r w:rsidRPr="009C0BEE">
              <w:rPr>
                <w:bCs/>
                <w:iCs/>
                <w:sz w:val="22"/>
                <w:szCs w:val="22"/>
                <w:u w:val="single"/>
              </w:rPr>
              <w:t xml:space="preserve">Opis odabranih neželjenih reakcija </w:t>
            </w:r>
          </w:p>
          <w:p w:rsidR="00C6356D" w:rsidRPr="009C0BEE" w:rsidRDefault="00C6356D" w:rsidP="00C6356D">
            <w:pPr>
              <w:pStyle w:val="Header"/>
              <w:tabs>
                <w:tab w:val="left" w:pos="284"/>
              </w:tabs>
              <w:rPr>
                <w:bCs/>
                <w:i/>
                <w:iCs/>
                <w:color w:val="FF0000"/>
                <w:sz w:val="22"/>
                <w:szCs w:val="22"/>
                <w:u w:val="single"/>
              </w:rPr>
            </w:pPr>
          </w:p>
          <w:p w:rsidR="001528DA" w:rsidRPr="009C0BEE" w:rsidRDefault="00C6356D" w:rsidP="00C6356D">
            <w:pPr>
              <w:pStyle w:val="Header"/>
              <w:tabs>
                <w:tab w:val="left" w:pos="284"/>
              </w:tabs>
              <w:rPr>
                <w:color w:val="FF0000"/>
                <w:sz w:val="22"/>
                <w:szCs w:val="22"/>
              </w:rPr>
            </w:pPr>
            <w:r w:rsidRPr="009C0BEE">
              <w:rPr>
                <w:bCs/>
                <w:i/>
                <w:iCs/>
                <w:sz w:val="22"/>
                <w:szCs w:val="22"/>
              </w:rPr>
              <w:t>Sindrom šaka-stopalo (vidjeti odjeljak  4.4)</w:t>
            </w:r>
          </w:p>
          <w:p w:rsidR="00C6356D" w:rsidRPr="009C0BEE" w:rsidRDefault="00C6356D" w:rsidP="000177E3">
            <w:pPr>
              <w:pStyle w:val="Header"/>
              <w:tabs>
                <w:tab w:val="left" w:pos="284"/>
              </w:tabs>
              <w:jc w:val="both"/>
              <w:rPr>
                <w:sz w:val="22"/>
                <w:szCs w:val="22"/>
              </w:rPr>
            </w:pPr>
            <w:r w:rsidRPr="009C0BEE">
              <w:rPr>
                <w:sz w:val="22"/>
                <w:szCs w:val="22"/>
              </w:rPr>
              <w:t>Pri primjeni kapecitabina u dozi od 1250 mg/m</w:t>
            </w:r>
            <w:r w:rsidRPr="009C0BEE">
              <w:rPr>
                <w:sz w:val="22"/>
                <w:szCs w:val="22"/>
                <w:vertAlign w:val="superscript"/>
              </w:rPr>
              <w:t>2</w:t>
            </w:r>
            <w:r w:rsidRPr="009C0BEE">
              <w:rPr>
                <w:sz w:val="22"/>
                <w:szCs w:val="22"/>
              </w:rPr>
              <w:t xml:space="preserve"> dva puta dnevno </w:t>
            </w:r>
            <w:r w:rsidR="00E675C5" w:rsidRPr="009C0BEE">
              <w:rPr>
                <w:sz w:val="22"/>
                <w:szCs w:val="22"/>
              </w:rPr>
              <w:t>od prvog do</w:t>
            </w:r>
            <w:r w:rsidRPr="009C0BEE">
              <w:rPr>
                <w:sz w:val="22"/>
                <w:szCs w:val="22"/>
              </w:rPr>
              <w:t xml:space="preserve"> 14. dana </w:t>
            </w:r>
            <w:r w:rsidR="00E675C5" w:rsidRPr="009C0BEE">
              <w:rPr>
                <w:sz w:val="22"/>
                <w:szCs w:val="22"/>
              </w:rPr>
              <w:t xml:space="preserve">ciklusa </w:t>
            </w:r>
            <w:r w:rsidRPr="009C0BEE">
              <w:rPr>
                <w:sz w:val="22"/>
                <w:szCs w:val="22"/>
              </w:rPr>
              <w:t>svake 3 ned</w:t>
            </w:r>
            <w:r w:rsidR="00E675C5" w:rsidRPr="009C0BEE">
              <w:rPr>
                <w:sz w:val="22"/>
                <w:szCs w:val="22"/>
              </w:rPr>
              <w:t>j</w:t>
            </w:r>
            <w:r w:rsidRPr="009C0BEE">
              <w:rPr>
                <w:sz w:val="22"/>
                <w:szCs w:val="22"/>
              </w:rPr>
              <w:t>elje, učestalost od 53% do 60% sindroma ša</w:t>
            </w:r>
            <w:r w:rsidR="008B408C" w:rsidRPr="009C0BEE">
              <w:rPr>
                <w:sz w:val="22"/>
                <w:szCs w:val="22"/>
              </w:rPr>
              <w:t>k</w:t>
            </w:r>
            <w:r w:rsidRPr="009C0BEE">
              <w:rPr>
                <w:sz w:val="22"/>
                <w:szCs w:val="22"/>
              </w:rPr>
              <w:t>a-stopalo svih stepena prijavljena je u kliničkim studijama pri primjeni monoterapije kapecitabinom (obuhvaćene su studije adjuvantne terapije karcinoma kolona, liječenja metastatskog kolorektalnog karcinom</w:t>
            </w:r>
            <w:r w:rsidR="00E675C5" w:rsidRPr="009C0BEE">
              <w:rPr>
                <w:sz w:val="22"/>
                <w:szCs w:val="22"/>
              </w:rPr>
              <w:t>a</w:t>
            </w:r>
            <w:r w:rsidRPr="009C0BEE">
              <w:rPr>
                <w:sz w:val="22"/>
                <w:szCs w:val="22"/>
              </w:rPr>
              <w:t xml:space="preserve"> i karcinoma dojke), a učestalost od 63% prijavljena je kod pacijenata sa metastatskim karcinomom dojke liječenih kombinovanom terapijom kapecitabin/docetaksel. Pri primjeni kapecitabina u dozi od 1000 mg/m</w:t>
            </w:r>
            <w:r w:rsidRPr="009C0BEE">
              <w:rPr>
                <w:sz w:val="22"/>
                <w:szCs w:val="22"/>
                <w:vertAlign w:val="superscript"/>
              </w:rPr>
              <w:t>2</w:t>
            </w:r>
            <w:r w:rsidRPr="009C0BEE">
              <w:rPr>
                <w:sz w:val="22"/>
                <w:szCs w:val="22"/>
              </w:rPr>
              <w:t xml:space="preserve"> dva puta dnevno</w:t>
            </w:r>
            <w:r w:rsidR="00E675C5" w:rsidRPr="009C0BEE">
              <w:rPr>
                <w:sz w:val="22"/>
                <w:szCs w:val="22"/>
              </w:rPr>
              <w:t xml:space="preserve"> od</w:t>
            </w:r>
            <w:r w:rsidRPr="009C0BEE">
              <w:rPr>
                <w:sz w:val="22"/>
                <w:szCs w:val="22"/>
              </w:rPr>
              <w:t xml:space="preserve"> prvog </w:t>
            </w:r>
            <w:r w:rsidR="00E675C5" w:rsidRPr="009C0BEE">
              <w:rPr>
                <w:sz w:val="22"/>
                <w:szCs w:val="22"/>
              </w:rPr>
              <w:t>do</w:t>
            </w:r>
            <w:r w:rsidRPr="009C0BEE">
              <w:rPr>
                <w:sz w:val="22"/>
                <w:szCs w:val="22"/>
              </w:rPr>
              <w:t xml:space="preserve"> 14. dana </w:t>
            </w:r>
            <w:r w:rsidR="00E675C5" w:rsidRPr="009C0BEE">
              <w:rPr>
                <w:sz w:val="22"/>
                <w:szCs w:val="22"/>
              </w:rPr>
              <w:t xml:space="preserve">ciklusa </w:t>
            </w:r>
            <w:r w:rsidRPr="009C0BEE">
              <w:rPr>
                <w:sz w:val="22"/>
                <w:szCs w:val="22"/>
              </w:rPr>
              <w:t>svake 3 ned</w:t>
            </w:r>
            <w:r w:rsidR="00E675C5" w:rsidRPr="009C0BEE">
              <w:rPr>
                <w:sz w:val="22"/>
                <w:szCs w:val="22"/>
              </w:rPr>
              <w:t>j</w:t>
            </w:r>
            <w:r w:rsidRPr="009C0BEE">
              <w:rPr>
                <w:sz w:val="22"/>
                <w:szCs w:val="22"/>
              </w:rPr>
              <w:t xml:space="preserve">elje, učestalost od 22% do 30% svih stepena </w:t>
            </w:r>
            <w:r w:rsidR="00E675C5" w:rsidRPr="009C0BEE">
              <w:rPr>
                <w:sz w:val="22"/>
                <w:szCs w:val="22"/>
              </w:rPr>
              <w:t>sindroma ša</w:t>
            </w:r>
            <w:r w:rsidR="008B408C" w:rsidRPr="009C0BEE">
              <w:rPr>
                <w:sz w:val="22"/>
                <w:szCs w:val="22"/>
              </w:rPr>
              <w:t>k</w:t>
            </w:r>
            <w:r w:rsidR="00E675C5" w:rsidRPr="009C0BEE">
              <w:rPr>
                <w:sz w:val="22"/>
                <w:szCs w:val="22"/>
              </w:rPr>
              <w:t xml:space="preserve">a-stopalo </w:t>
            </w:r>
            <w:r w:rsidRPr="009C0BEE">
              <w:rPr>
                <w:sz w:val="22"/>
                <w:szCs w:val="22"/>
              </w:rPr>
              <w:t xml:space="preserve">prijavljena je pri primjeni kombinovane terapije sa kapecitabinom. </w:t>
            </w:r>
          </w:p>
          <w:p w:rsidR="00C6356D" w:rsidRPr="009C0BEE" w:rsidRDefault="00C6356D" w:rsidP="00C6356D">
            <w:pPr>
              <w:pStyle w:val="Header"/>
              <w:tabs>
                <w:tab w:val="left" w:pos="284"/>
              </w:tabs>
              <w:rPr>
                <w:color w:val="FF0000"/>
                <w:sz w:val="22"/>
                <w:szCs w:val="22"/>
              </w:rPr>
            </w:pPr>
          </w:p>
          <w:p w:rsidR="00C6356D" w:rsidRPr="009C0BEE" w:rsidRDefault="00C6356D" w:rsidP="001969F1">
            <w:pPr>
              <w:pStyle w:val="Header"/>
              <w:tabs>
                <w:tab w:val="left" w:pos="284"/>
              </w:tabs>
              <w:jc w:val="both"/>
              <w:rPr>
                <w:sz w:val="22"/>
                <w:szCs w:val="22"/>
              </w:rPr>
            </w:pPr>
            <w:r w:rsidRPr="009C0BEE">
              <w:rPr>
                <w:sz w:val="22"/>
                <w:szCs w:val="22"/>
              </w:rPr>
              <w:t xml:space="preserve">Meta-analiza podataka iz 14 kliničkih studija sa preko 4700 pacijenata liječenih kapecitabin monoterapijom ili kapecitabinom </w:t>
            </w:r>
            <w:r w:rsidR="009407AD" w:rsidRPr="009C0BEE">
              <w:rPr>
                <w:sz w:val="22"/>
                <w:szCs w:val="22"/>
              </w:rPr>
              <w:t>u kombinaciji sa različitim hem</w:t>
            </w:r>
            <w:r w:rsidRPr="009C0BEE">
              <w:rPr>
                <w:sz w:val="22"/>
                <w:szCs w:val="22"/>
              </w:rPr>
              <w:t>oterapijskim režimima u različitim indikacijama (karcinom kolona, kolorekt</w:t>
            </w:r>
            <w:r w:rsidR="009407AD" w:rsidRPr="009C0BEE">
              <w:rPr>
                <w:sz w:val="22"/>
                <w:szCs w:val="22"/>
              </w:rPr>
              <w:t>alni karcinom</w:t>
            </w:r>
            <w:r w:rsidRPr="009C0BEE">
              <w:rPr>
                <w:sz w:val="22"/>
                <w:szCs w:val="22"/>
              </w:rPr>
              <w:t xml:space="preserve">, </w:t>
            </w:r>
            <w:r w:rsidR="009407AD" w:rsidRPr="009C0BEE">
              <w:rPr>
                <w:sz w:val="22"/>
                <w:szCs w:val="22"/>
              </w:rPr>
              <w:t xml:space="preserve">karcinom </w:t>
            </w:r>
            <w:r w:rsidRPr="009C0BEE">
              <w:rPr>
                <w:sz w:val="22"/>
                <w:szCs w:val="22"/>
              </w:rPr>
              <w:t xml:space="preserve">želuca i </w:t>
            </w:r>
            <w:r w:rsidR="009407AD" w:rsidRPr="009C0BEE">
              <w:rPr>
                <w:sz w:val="22"/>
                <w:szCs w:val="22"/>
              </w:rPr>
              <w:t xml:space="preserve">karcinom </w:t>
            </w:r>
            <w:r w:rsidRPr="009C0BEE">
              <w:rPr>
                <w:sz w:val="22"/>
                <w:szCs w:val="22"/>
              </w:rPr>
              <w:t>dojke) pokazala je da se sindrom ša</w:t>
            </w:r>
            <w:r w:rsidR="008B408C" w:rsidRPr="009C0BEE">
              <w:rPr>
                <w:sz w:val="22"/>
                <w:szCs w:val="22"/>
              </w:rPr>
              <w:t>k</w:t>
            </w:r>
            <w:r w:rsidRPr="009C0BEE">
              <w:rPr>
                <w:sz w:val="22"/>
                <w:szCs w:val="22"/>
              </w:rPr>
              <w:t>a-stopalo (svih stepena) javio kod 2066 (43%) pacijenata nakon srednjeg vremena od 239 dana [95% CI 201, 288] nakon početka terapije kapecitabinom. U svim analiziranim studijama, sl</w:t>
            </w:r>
            <w:r w:rsidR="008B408C" w:rsidRPr="009C0BEE">
              <w:rPr>
                <w:sz w:val="22"/>
                <w:szCs w:val="22"/>
              </w:rPr>
              <w:t>j</w:t>
            </w:r>
            <w:r w:rsidRPr="009C0BEE">
              <w:rPr>
                <w:sz w:val="22"/>
                <w:szCs w:val="22"/>
              </w:rPr>
              <w:t>edeći parametri bili su statistički značajno povezani sa povećanim rizikom od nastanka sindroma šaka-stopalo: povećanje početn</w:t>
            </w:r>
            <w:r w:rsidR="008B408C" w:rsidRPr="009C0BEE">
              <w:rPr>
                <w:sz w:val="22"/>
                <w:szCs w:val="22"/>
              </w:rPr>
              <w:t>e</w:t>
            </w:r>
            <w:r w:rsidRPr="009C0BEE">
              <w:rPr>
                <w:sz w:val="22"/>
                <w:szCs w:val="22"/>
              </w:rPr>
              <w:t xml:space="preserve"> doz</w:t>
            </w:r>
            <w:r w:rsidR="008B408C" w:rsidRPr="009C0BEE">
              <w:rPr>
                <w:sz w:val="22"/>
                <w:szCs w:val="22"/>
              </w:rPr>
              <w:t>e</w:t>
            </w:r>
            <w:r w:rsidRPr="009C0BEE">
              <w:rPr>
                <w:sz w:val="22"/>
                <w:szCs w:val="22"/>
              </w:rPr>
              <w:t xml:space="preserve"> kapecitabina (gram), smanjenje kumulativne doze kapecitabina (0.1*kg), povećanje intenziteta relativne doze tokom prvih šest ned</w:t>
            </w:r>
            <w:r w:rsidR="009407AD" w:rsidRPr="009C0BEE">
              <w:rPr>
                <w:sz w:val="22"/>
                <w:szCs w:val="22"/>
              </w:rPr>
              <w:t>j</w:t>
            </w:r>
            <w:r w:rsidRPr="009C0BEE">
              <w:rPr>
                <w:sz w:val="22"/>
                <w:szCs w:val="22"/>
              </w:rPr>
              <w:t>elja, produženo trajanje liječenja u studiji (ned</w:t>
            </w:r>
            <w:r w:rsidR="009407AD" w:rsidRPr="009C0BEE">
              <w:rPr>
                <w:sz w:val="22"/>
                <w:szCs w:val="22"/>
              </w:rPr>
              <w:t>j</w:t>
            </w:r>
            <w:r w:rsidRPr="009C0BEE">
              <w:rPr>
                <w:sz w:val="22"/>
                <w:szCs w:val="22"/>
              </w:rPr>
              <w:t xml:space="preserve">elje), povećanje godina starosti (na po 10 godina), ženski pol, dobar ECOG status na uključenju u studiju (0 </w:t>
            </w:r>
            <w:r w:rsidR="009407AD" w:rsidRPr="009C0BEE">
              <w:rPr>
                <w:sz w:val="22"/>
                <w:szCs w:val="22"/>
              </w:rPr>
              <w:t>nasuprot</w:t>
            </w:r>
            <w:r w:rsidRPr="009C0BEE">
              <w:rPr>
                <w:sz w:val="22"/>
                <w:szCs w:val="22"/>
              </w:rPr>
              <w:t xml:space="preserve"> </w:t>
            </w:r>
            <w:r w:rsidRPr="009C0BEE">
              <w:rPr>
                <w:sz w:val="22"/>
                <w:szCs w:val="22"/>
              </w:rPr>
              <w:sym w:font="Symbol" w:char="F0B3"/>
            </w:r>
            <w:r w:rsidRPr="009C0BEE">
              <w:rPr>
                <w:sz w:val="22"/>
                <w:szCs w:val="22"/>
              </w:rPr>
              <w:t>1).</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Cs/>
                <w:color w:val="FF0000"/>
                <w:sz w:val="22"/>
                <w:szCs w:val="22"/>
              </w:rPr>
            </w:pPr>
            <w:r w:rsidRPr="009C0BEE">
              <w:rPr>
                <w:i/>
                <w:iCs/>
                <w:sz w:val="22"/>
                <w:szCs w:val="22"/>
              </w:rPr>
              <w:t>Dijareja (</w:t>
            </w:r>
            <w:r w:rsidRPr="009C0BEE">
              <w:rPr>
                <w:bCs/>
                <w:i/>
                <w:iCs/>
                <w:sz w:val="22"/>
                <w:szCs w:val="22"/>
              </w:rPr>
              <w:t xml:space="preserve">vidjeti odjeljak  </w:t>
            </w:r>
            <w:r w:rsidRPr="009C0BEE">
              <w:rPr>
                <w:i/>
                <w:iCs/>
                <w:sz w:val="22"/>
                <w:szCs w:val="22"/>
              </w:rPr>
              <w:t>4.4):</w:t>
            </w:r>
          </w:p>
          <w:p w:rsidR="00C6356D" w:rsidRPr="009C0BEE" w:rsidRDefault="00F91C4D" w:rsidP="00AF74BF">
            <w:pPr>
              <w:pStyle w:val="Header"/>
              <w:tabs>
                <w:tab w:val="left" w:pos="284"/>
              </w:tabs>
              <w:jc w:val="both"/>
              <w:rPr>
                <w:sz w:val="22"/>
                <w:szCs w:val="22"/>
              </w:rPr>
            </w:pPr>
            <w:r w:rsidRPr="009C0BEE">
              <w:rPr>
                <w:sz w:val="22"/>
                <w:szCs w:val="22"/>
              </w:rPr>
              <w:t>Kapecitabin</w:t>
            </w:r>
            <w:r w:rsidR="004E3DA4" w:rsidRPr="009C0BEE">
              <w:rPr>
                <w:sz w:val="22"/>
                <w:szCs w:val="22"/>
              </w:rPr>
              <w:t xml:space="preserve"> </w:t>
            </w:r>
            <w:r w:rsidR="00C6356D" w:rsidRPr="009C0BEE">
              <w:rPr>
                <w:sz w:val="22"/>
                <w:szCs w:val="22"/>
              </w:rPr>
              <w:t xml:space="preserve">može da izazove pojavu dijareje, koja je zabilježena kod do 50% pacijenata. </w:t>
            </w:r>
          </w:p>
          <w:p w:rsidR="00C6356D" w:rsidRPr="009C0BEE" w:rsidRDefault="00C6356D" w:rsidP="00AF74BF">
            <w:pPr>
              <w:pStyle w:val="Header"/>
              <w:tabs>
                <w:tab w:val="left" w:pos="284"/>
              </w:tabs>
              <w:jc w:val="both"/>
              <w:rPr>
                <w:sz w:val="22"/>
                <w:szCs w:val="22"/>
              </w:rPr>
            </w:pPr>
            <w:r w:rsidRPr="009C0BEE">
              <w:rPr>
                <w:sz w:val="22"/>
                <w:szCs w:val="22"/>
              </w:rPr>
              <w:t>Rezultati meta-analize podataka iz 14 kliničkih studija sa preko 4700 pacijenata liječenih kapecitabinom pokazali su da su u svim analiziranim studijama sl</w:t>
            </w:r>
            <w:r w:rsidR="00AF74BF" w:rsidRPr="009C0BEE">
              <w:rPr>
                <w:sz w:val="22"/>
                <w:szCs w:val="22"/>
              </w:rPr>
              <w:t>j</w:t>
            </w:r>
            <w:r w:rsidRPr="009C0BEE">
              <w:rPr>
                <w:sz w:val="22"/>
                <w:szCs w:val="22"/>
              </w:rPr>
              <w:t xml:space="preserve">edeći parametri statistički značajno povezani sa povećanim rizikom od nastanka dijareje: povećanje početne doze kapecitabina (gram), produženo trajanje </w:t>
            </w:r>
            <w:r w:rsidRPr="009C0BEE">
              <w:rPr>
                <w:sz w:val="22"/>
                <w:szCs w:val="22"/>
              </w:rPr>
              <w:lastRenderedPageBreak/>
              <w:t>liječenja u studiji (ned</w:t>
            </w:r>
            <w:r w:rsidR="00AF74BF" w:rsidRPr="009C0BEE">
              <w:rPr>
                <w:sz w:val="22"/>
                <w:szCs w:val="22"/>
              </w:rPr>
              <w:t>j</w:t>
            </w:r>
            <w:r w:rsidRPr="009C0BEE">
              <w:rPr>
                <w:sz w:val="22"/>
                <w:szCs w:val="22"/>
              </w:rPr>
              <w:t>elje), povećanje godina starosti (za po 10 godina) i ženski pol. Sl</w:t>
            </w:r>
            <w:r w:rsidR="00AF74BF" w:rsidRPr="009C0BEE">
              <w:rPr>
                <w:sz w:val="22"/>
                <w:szCs w:val="22"/>
              </w:rPr>
              <w:t>j</w:t>
            </w:r>
            <w:r w:rsidRPr="009C0BEE">
              <w:rPr>
                <w:sz w:val="22"/>
                <w:szCs w:val="22"/>
              </w:rPr>
              <w:t>edeći parametri bili su statistički značajno povezani sa smanjenjem rizika od nastanka dijareje: povećanje kumulativne doze kapecitabina (0.1*kg) i povećanje intenziteta relativne doze tokom prvih šest ned</w:t>
            </w:r>
            <w:r w:rsidR="00AF74BF" w:rsidRPr="009C0BEE">
              <w:rPr>
                <w:sz w:val="22"/>
                <w:szCs w:val="22"/>
              </w:rPr>
              <w:t>j</w:t>
            </w:r>
            <w:r w:rsidRPr="009C0BEE">
              <w:rPr>
                <w:sz w:val="22"/>
                <w:szCs w:val="22"/>
              </w:rPr>
              <w:t>elja.</w:t>
            </w:r>
          </w:p>
          <w:p w:rsidR="00C6356D" w:rsidRPr="009C0BEE" w:rsidRDefault="00C6356D" w:rsidP="00C6356D">
            <w:pPr>
              <w:pStyle w:val="Header"/>
              <w:tabs>
                <w:tab w:val="left" w:pos="284"/>
              </w:tabs>
              <w:rPr>
                <w:color w:val="FF0000"/>
                <w:sz w:val="22"/>
                <w:szCs w:val="22"/>
              </w:rPr>
            </w:pPr>
          </w:p>
          <w:p w:rsidR="008B408C" w:rsidRPr="009C0BEE" w:rsidRDefault="00C6356D" w:rsidP="00C6356D">
            <w:pPr>
              <w:pStyle w:val="Header"/>
              <w:tabs>
                <w:tab w:val="left" w:pos="284"/>
              </w:tabs>
              <w:rPr>
                <w:i/>
                <w:iCs/>
                <w:sz w:val="22"/>
                <w:szCs w:val="22"/>
              </w:rPr>
            </w:pPr>
            <w:r w:rsidRPr="009C0BEE">
              <w:rPr>
                <w:i/>
                <w:iCs/>
                <w:sz w:val="22"/>
                <w:szCs w:val="22"/>
              </w:rPr>
              <w:t>Kardiotoksičnost (</w:t>
            </w:r>
            <w:r w:rsidRPr="009C0BEE">
              <w:rPr>
                <w:bCs/>
                <w:i/>
                <w:iCs/>
                <w:sz w:val="22"/>
                <w:szCs w:val="22"/>
              </w:rPr>
              <w:t>videti od</w:t>
            </w:r>
            <w:r w:rsidR="00272744" w:rsidRPr="009C0BEE">
              <w:rPr>
                <w:bCs/>
                <w:i/>
                <w:iCs/>
                <w:sz w:val="22"/>
                <w:szCs w:val="22"/>
              </w:rPr>
              <w:t>j</w:t>
            </w:r>
            <w:r w:rsidRPr="009C0BEE">
              <w:rPr>
                <w:bCs/>
                <w:i/>
                <w:iCs/>
                <w:sz w:val="22"/>
                <w:szCs w:val="22"/>
              </w:rPr>
              <w:t xml:space="preserve">eljak  </w:t>
            </w:r>
            <w:r w:rsidRPr="009C0BEE">
              <w:rPr>
                <w:i/>
                <w:iCs/>
                <w:sz w:val="22"/>
                <w:szCs w:val="22"/>
              </w:rPr>
              <w:t>4.4):</w:t>
            </w:r>
          </w:p>
          <w:p w:rsidR="00C6356D" w:rsidRPr="009C0BEE" w:rsidRDefault="00C6356D" w:rsidP="008C2210">
            <w:pPr>
              <w:pStyle w:val="Header"/>
              <w:tabs>
                <w:tab w:val="left" w:pos="284"/>
              </w:tabs>
              <w:jc w:val="both"/>
              <w:rPr>
                <w:iCs/>
                <w:sz w:val="22"/>
                <w:szCs w:val="22"/>
              </w:rPr>
            </w:pPr>
            <w:r w:rsidRPr="009C0BEE">
              <w:rPr>
                <w:iCs/>
                <w:sz w:val="22"/>
                <w:szCs w:val="22"/>
              </w:rPr>
              <w:t>Osim neželjenih reakcija opisanih u tabelama 4 i 5, i sl</w:t>
            </w:r>
            <w:r w:rsidR="008C2210" w:rsidRPr="009C0BEE">
              <w:rPr>
                <w:iCs/>
                <w:sz w:val="22"/>
                <w:szCs w:val="22"/>
              </w:rPr>
              <w:t>j</w:t>
            </w:r>
            <w:r w:rsidRPr="009C0BEE">
              <w:rPr>
                <w:iCs/>
                <w:sz w:val="22"/>
                <w:szCs w:val="22"/>
              </w:rPr>
              <w:t>edeć</w:t>
            </w:r>
            <w:r w:rsidR="008C2210" w:rsidRPr="009C0BEE">
              <w:rPr>
                <w:iCs/>
                <w:sz w:val="22"/>
                <w:szCs w:val="22"/>
              </w:rPr>
              <w:t>a</w:t>
            </w:r>
            <w:r w:rsidRPr="009C0BEE">
              <w:rPr>
                <w:iCs/>
                <w:sz w:val="22"/>
                <w:szCs w:val="22"/>
              </w:rPr>
              <w:t xml:space="preserve"> neželjen</w:t>
            </w:r>
            <w:r w:rsidR="008C2210" w:rsidRPr="009C0BEE">
              <w:rPr>
                <w:iCs/>
                <w:sz w:val="22"/>
                <w:szCs w:val="22"/>
              </w:rPr>
              <w:t>a dejstva</w:t>
            </w:r>
            <w:r w:rsidRPr="009C0BEE">
              <w:rPr>
                <w:iCs/>
                <w:sz w:val="22"/>
                <w:szCs w:val="22"/>
              </w:rPr>
              <w:t xml:space="preserve"> sa incidencom manjom od 0.1%  su</w:t>
            </w:r>
            <w:r w:rsidR="008B408C" w:rsidRPr="009C0BEE">
              <w:rPr>
                <w:iCs/>
                <w:sz w:val="22"/>
                <w:szCs w:val="22"/>
              </w:rPr>
              <w:t xml:space="preserve"> </w:t>
            </w:r>
            <w:r w:rsidR="008C2210" w:rsidRPr="009C0BEE">
              <w:rPr>
                <w:iCs/>
                <w:sz w:val="22"/>
                <w:szCs w:val="22"/>
              </w:rPr>
              <w:t xml:space="preserve">bila </w:t>
            </w:r>
            <w:r w:rsidRPr="009C0BEE">
              <w:rPr>
                <w:iCs/>
                <w:sz w:val="22"/>
                <w:szCs w:val="22"/>
              </w:rPr>
              <w:t xml:space="preserve"> povezan</w:t>
            </w:r>
            <w:r w:rsidR="008B408C" w:rsidRPr="009C0BEE">
              <w:rPr>
                <w:iCs/>
                <w:sz w:val="22"/>
                <w:szCs w:val="22"/>
              </w:rPr>
              <w:t>a</w:t>
            </w:r>
            <w:r w:rsidRPr="009C0BEE">
              <w:rPr>
                <w:iCs/>
                <w:sz w:val="22"/>
                <w:szCs w:val="22"/>
              </w:rPr>
              <w:t xml:space="preserve"> sa upotrebom </w:t>
            </w:r>
            <w:r w:rsidR="008C2210" w:rsidRPr="009C0BEE">
              <w:rPr>
                <w:iCs/>
                <w:sz w:val="22"/>
                <w:szCs w:val="22"/>
              </w:rPr>
              <w:t>k</w:t>
            </w:r>
            <w:r w:rsidR="00F91C4D" w:rsidRPr="009C0BEE">
              <w:rPr>
                <w:iCs/>
                <w:sz w:val="22"/>
                <w:szCs w:val="22"/>
              </w:rPr>
              <w:t>apecitabin</w:t>
            </w:r>
            <w:r w:rsidR="004E3DA4" w:rsidRPr="009C0BEE">
              <w:rPr>
                <w:iCs/>
                <w:sz w:val="22"/>
                <w:szCs w:val="22"/>
              </w:rPr>
              <w:t>a</w:t>
            </w:r>
            <w:r w:rsidR="008C2210" w:rsidRPr="009C0BEE">
              <w:rPr>
                <w:iCs/>
                <w:sz w:val="22"/>
                <w:szCs w:val="22"/>
              </w:rPr>
              <w:t xml:space="preserve"> kao</w:t>
            </w:r>
            <w:r w:rsidRPr="009C0BEE">
              <w:rPr>
                <w:iCs/>
                <w:sz w:val="22"/>
                <w:szCs w:val="22"/>
              </w:rPr>
              <w:t xml:space="preserve"> monoterapije, na osnovu zbirne analize podataka o kliničkoj bezbjednosti iz 7 kliničkih studija sa 949 pacijenata (2 kliničke studije faze III i 5 studija faze II u metastatskom kolorektalnom i metastatskom karcinomu dojke): kardiomiopatija, srčana insuficijencija, iznenadna smrt i ventrikularne ekstrasistole. </w:t>
            </w:r>
          </w:p>
          <w:p w:rsidR="00C6356D" w:rsidRPr="009C0BEE" w:rsidRDefault="00C6356D" w:rsidP="00C6356D">
            <w:pPr>
              <w:pStyle w:val="Header"/>
              <w:tabs>
                <w:tab w:val="left" w:pos="284"/>
              </w:tabs>
              <w:rPr>
                <w:iCs/>
                <w:color w:val="FF0000"/>
                <w:sz w:val="22"/>
                <w:szCs w:val="22"/>
              </w:rPr>
            </w:pPr>
            <w:r w:rsidRPr="009C0BEE">
              <w:rPr>
                <w:iCs/>
                <w:color w:val="FF0000"/>
                <w:sz w:val="22"/>
                <w:szCs w:val="22"/>
              </w:rPr>
              <w:t xml:space="preserve"> </w:t>
            </w:r>
          </w:p>
          <w:p w:rsidR="008B408C" w:rsidRPr="009C0BEE" w:rsidRDefault="00C6356D" w:rsidP="00C6356D">
            <w:pPr>
              <w:pStyle w:val="Header"/>
              <w:tabs>
                <w:tab w:val="left" w:pos="284"/>
              </w:tabs>
              <w:rPr>
                <w:i/>
                <w:iCs/>
                <w:sz w:val="22"/>
                <w:szCs w:val="22"/>
              </w:rPr>
            </w:pPr>
            <w:r w:rsidRPr="009C0BEE">
              <w:rPr>
                <w:i/>
                <w:iCs/>
                <w:sz w:val="22"/>
                <w:szCs w:val="22"/>
              </w:rPr>
              <w:t>Encefalopatija:</w:t>
            </w:r>
          </w:p>
          <w:p w:rsidR="00C6356D" w:rsidRPr="009C0BEE" w:rsidRDefault="00C6356D" w:rsidP="009C5753">
            <w:pPr>
              <w:pStyle w:val="Header"/>
              <w:tabs>
                <w:tab w:val="left" w:pos="284"/>
              </w:tabs>
              <w:jc w:val="both"/>
              <w:rPr>
                <w:sz w:val="22"/>
                <w:szCs w:val="22"/>
              </w:rPr>
            </w:pPr>
            <w:r w:rsidRPr="009C0BEE">
              <w:rPr>
                <w:iCs/>
                <w:sz w:val="22"/>
                <w:szCs w:val="22"/>
              </w:rPr>
              <w:t>Osim neželjenih reakcija opisanih u tabelama 4 i 5,</w:t>
            </w:r>
            <w:r w:rsidR="008B408C" w:rsidRPr="009C0BEE">
              <w:rPr>
                <w:iCs/>
                <w:sz w:val="22"/>
                <w:szCs w:val="22"/>
              </w:rPr>
              <w:t xml:space="preserve"> </w:t>
            </w:r>
            <w:r w:rsidRPr="009C0BEE">
              <w:rPr>
                <w:iCs/>
                <w:sz w:val="22"/>
                <w:szCs w:val="22"/>
              </w:rPr>
              <w:t>a na osnovu gore navedene zbirne analize podataka o kliničkoj bezbjednosti iz 7 kliničkih studija</w:t>
            </w:r>
            <w:r w:rsidRPr="009C0BEE">
              <w:rPr>
                <w:sz w:val="22"/>
                <w:szCs w:val="22"/>
              </w:rPr>
              <w:t xml:space="preserve">, encefalopatija je takođe bila povezana sa primjenom </w:t>
            </w:r>
            <w:r w:rsidR="009C5753" w:rsidRPr="009C0BEE">
              <w:rPr>
                <w:sz w:val="22"/>
                <w:szCs w:val="22"/>
              </w:rPr>
              <w:t>k</w:t>
            </w:r>
            <w:r w:rsidR="00F91C4D" w:rsidRPr="009C0BEE">
              <w:rPr>
                <w:sz w:val="22"/>
                <w:szCs w:val="22"/>
              </w:rPr>
              <w:t>apecitabin</w:t>
            </w:r>
            <w:r w:rsidR="004E3DA4" w:rsidRPr="009C0BEE">
              <w:rPr>
                <w:sz w:val="22"/>
                <w:szCs w:val="22"/>
              </w:rPr>
              <w:t>a</w:t>
            </w:r>
            <w:r w:rsidR="009C5753" w:rsidRPr="009C0BEE">
              <w:rPr>
                <w:sz w:val="22"/>
                <w:szCs w:val="22"/>
              </w:rPr>
              <w:t xml:space="preserve"> kao</w:t>
            </w:r>
            <w:r w:rsidRPr="009C0BEE">
              <w:rPr>
                <w:sz w:val="22"/>
                <w:szCs w:val="22"/>
              </w:rPr>
              <w:t xml:space="preserve"> monoterapije sa incidencom manjom od 0.1%.  </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Cs/>
                <w:sz w:val="22"/>
                <w:szCs w:val="22"/>
                <w:u w:val="single"/>
              </w:rPr>
            </w:pPr>
            <w:r w:rsidRPr="009C0BEE">
              <w:rPr>
                <w:iCs/>
                <w:sz w:val="22"/>
                <w:szCs w:val="22"/>
                <w:u w:val="single"/>
              </w:rPr>
              <w:t xml:space="preserve">Posebne grupe pacijenata </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
                <w:iCs/>
                <w:sz w:val="22"/>
                <w:szCs w:val="22"/>
              </w:rPr>
            </w:pPr>
            <w:r w:rsidRPr="009C0BEE">
              <w:rPr>
                <w:i/>
                <w:iCs/>
                <w:sz w:val="22"/>
                <w:szCs w:val="22"/>
              </w:rPr>
              <w:t>Stariji pacijenti (</w:t>
            </w:r>
            <w:r w:rsidRPr="009C0BEE">
              <w:rPr>
                <w:bCs/>
                <w:i/>
                <w:iCs/>
                <w:sz w:val="22"/>
                <w:szCs w:val="22"/>
              </w:rPr>
              <w:t xml:space="preserve">videti odeljak  </w:t>
            </w:r>
            <w:r w:rsidRPr="009C0BEE">
              <w:rPr>
                <w:i/>
                <w:iCs/>
                <w:sz w:val="22"/>
                <w:szCs w:val="22"/>
              </w:rPr>
              <w:t>4.2):</w:t>
            </w:r>
          </w:p>
          <w:p w:rsidR="00C6356D" w:rsidRPr="009C0BEE" w:rsidRDefault="00C6356D" w:rsidP="004C74A0">
            <w:pPr>
              <w:pStyle w:val="Header"/>
              <w:tabs>
                <w:tab w:val="left" w:pos="284"/>
              </w:tabs>
              <w:jc w:val="both"/>
              <w:rPr>
                <w:sz w:val="22"/>
                <w:szCs w:val="22"/>
              </w:rPr>
            </w:pPr>
            <w:r w:rsidRPr="009C0BEE">
              <w:rPr>
                <w:iCs/>
                <w:sz w:val="22"/>
                <w:szCs w:val="22"/>
              </w:rPr>
              <w:t xml:space="preserve">Analiza bezbjednosnih podataka kod pacijenata starosti </w:t>
            </w:r>
            <w:r w:rsidRPr="009C0BEE">
              <w:rPr>
                <w:iCs/>
                <w:sz w:val="22"/>
                <w:szCs w:val="22"/>
              </w:rPr>
              <w:sym w:font="Symbol" w:char="F0B3"/>
            </w:r>
            <w:r w:rsidRPr="009C0BEE">
              <w:rPr>
                <w:iCs/>
                <w:sz w:val="22"/>
                <w:szCs w:val="22"/>
              </w:rPr>
              <w:t xml:space="preserve">60 godina liječenih </w:t>
            </w:r>
            <w:r w:rsidR="004C74A0" w:rsidRPr="009C0BEE">
              <w:rPr>
                <w:iCs/>
                <w:sz w:val="22"/>
                <w:szCs w:val="22"/>
              </w:rPr>
              <w:t>k</w:t>
            </w:r>
            <w:r w:rsidR="00F91C4D" w:rsidRPr="009C0BEE">
              <w:rPr>
                <w:iCs/>
                <w:sz w:val="22"/>
                <w:szCs w:val="22"/>
              </w:rPr>
              <w:t>apecitabin</w:t>
            </w:r>
            <w:r w:rsidR="004C74A0" w:rsidRPr="009C0BEE">
              <w:rPr>
                <w:iCs/>
                <w:sz w:val="22"/>
                <w:szCs w:val="22"/>
              </w:rPr>
              <w:t>om kao</w:t>
            </w:r>
            <w:r w:rsidRPr="009C0BEE">
              <w:rPr>
                <w:iCs/>
                <w:sz w:val="22"/>
                <w:szCs w:val="22"/>
              </w:rPr>
              <w:t xml:space="preserve"> monoterapijom i analiza podataka kod pacijenata liječenih kombinovanom terapijom </w:t>
            </w:r>
            <w:r w:rsidR="004C74A0" w:rsidRPr="009C0BEE">
              <w:rPr>
                <w:iCs/>
                <w:sz w:val="22"/>
                <w:szCs w:val="22"/>
              </w:rPr>
              <w:t>k</w:t>
            </w:r>
            <w:r w:rsidR="00F91C4D" w:rsidRPr="009C0BEE">
              <w:rPr>
                <w:iCs/>
                <w:sz w:val="22"/>
                <w:szCs w:val="22"/>
              </w:rPr>
              <w:t>apecitabin</w:t>
            </w:r>
            <w:r w:rsidR="004C74A0" w:rsidRPr="009C0BEE">
              <w:rPr>
                <w:iCs/>
                <w:sz w:val="22"/>
                <w:szCs w:val="22"/>
              </w:rPr>
              <w:t>om</w:t>
            </w:r>
            <w:r w:rsidRPr="009C0BEE">
              <w:rPr>
                <w:iCs/>
                <w:sz w:val="22"/>
                <w:szCs w:val="22"/>
              </w:rPr>
              <w:t xml:space="preserve"> i docetakselom pokazala je povećanje incidence neželjenih rea</w:t>
            </w:r>
            <w:r w:rsidR="004C74A0" w:rsidRPr="009C0BEE">
              <w:rPr>
                <w:iCs/>
                <w:sz w:val="22"/>
                <w:szCs w:val="22"/>
              </w:rPr>
              <w:t>kcija na terapiju stepena 3 i 4</w:t>
            </w:r>
            <w:r w:rsidRPr="009C0BEE">
              <w:rPr>
                <w:iCs/>
                <w:sz w:val="22"/>
                <w:szCs w:val="22"/>
              </w:rPr>
              <w:t xml:space="preserve"> i ozbiljnih neželjenih reakcija na terapiju u poređenju sa pacijentima starosti </w:t>
            </w:r>
            <w:r w:rsidRPr="009C0BEE">
              <w:rPr>
                <w:sz w:val="22"/>
                <w:szCs w:val="22"/>
              </w:rPr>
              <w:t xml:space="preserve">&lt;60 godina. Pacijenti starosti </w:t>
            </w:r>
            <w:r w:rsidRPr="009C0BEE">
              <w:rPr>
                <w:iCs/>
                <w:sz w:val="22"/>
                <w:szCs w:val="22"/>
              </w:rPr>
              <w:sym w:font="Symbol" w:char="F0B3"/>
            </w:r>
            <w:r w:rsidRPr="009C0BEE">
              <w:rPr>
                <w:iCs/>
                <w:sz w:val="22"/>
                <w:szCs w:val="22"/>
              </w:rPr>
              <w:t xml:space="preserve">60 godina liječeni kombinovanom terapijom </w:t>
            </w:r>
            <w:r w:rsidR="004C74A0" w:rsidRPr="009C0BEE">
              <w:rPr>
                <w:iCs/>
                <w:sz w:val="22"/>
                <w:szCs w:val="22"/>
              </w:rPr>
              <w:t>k</w:t>
            </w:r>
            <w:r w:rsidR="00F91C4D" w:rsidRPr="009C0BEE">
              <w:rPr>
                <w:iCs/>
                <w:sz w:val="22"/>
                <w:szCs w:val="22"/>
              </w:rPr>
              <w:t>apecitabin</w:t>
            </w:r>
            <w:r w:rsidR="004C74A0" w:rsidRPr="009C0BEE">
              <w:rPr>
                <w:iCs/>
                <w:sz w:val="22"/>
                <w:szCs w:val="22"/>
              </w:rPr>
              <w:t>a i docetaksela</w:t>
            </w:r>
            <w:r w:rsidRPr="009C0BEE">
              <w:rPr>
                <w:iCs/>
                <w:sz w:val="22"/>
                <w:szCs w:val="22"/>
              </w:rPr>
              <w:t xml:space="preserve"> imali su takođe i više ranijih prekida terapije zbog neželjenih reakcija u poređenju sa pacijentima starosti </w:t>
            </w:r>
            <w:r w:rsidRPr="009C0BEE">
              <w:rPr>
                <w:sz w:val="22"/>
                <w:szCs w:val="22"/>
              </w:rPr>
              <w:t>&lt;60 godina.</w:t>
            </w:r>
          </w:p>
          <w:p w:rsidR="00877898" w:rsidRPr="009C0BEE" w:rsidRDefault="00877898" w:rsidP="004C74A0">
            <w:pPr>
              <w:pStyle w:val="Header"/>
              <w:tabs>
                <w:tab w:val="left" w:pos="284"/>
              </w:tabs>
              <w:jc w:val="both"/>
              <w:rPr>
                <w:iCs/>
                <w:sz w:val="22"/>
                <w:szCs w:val="22"/>
              </w:rPr>
            </w:pPr>
          </w:p>
          <w:p w:rsidR="00C6356D" w:rsidRPr="009C0BEE" w:rsidRDefault="00C6356D" w:rsidP="00CB6A57">
            <w:pPr>
              <w:pStyle w:val="Header"/>
              <w:tabs>
                <w:tab w:val="left" w:pos="284"/>
              </w:tabs>
              <w:jc w:val="both"/>
              <w:rPr>
                <w:sz w:val="22"/>
                <w:szCs w:val="22"/>
              </w:rPr>
            </w:pPr>
            <w:r w:rsidRPr="009C0BEE">
              <w:rPr>
                <w:sz w:val="22"/>
                <w:szCs w:val="22"/>
              </w:rPr>
              <w:t>Rezul</w:t>
            </w:r>
            <w:r w:rsidR="00877898" w:rsidRPr="009C0BEE">
              <w:rPr>
                <w:sz w:val="22"/>
                <w:szCs w:val="22"/>
              </w:rPr>
              <w:t>tati meta-analize podataka iz 14 kliničkih studija sa preko 47</w:t>
            </w:r>
            <w:r w:rsidRPr="009C0BEE">
              <w:rPr>
                <w:sz w:val="22"/>
                <w:szCs w:val="22"/>
              </w:rPr>
              <w:t xml:space="preserve">00 pacijenata liječenih kapecitabinom pokazali su da je u svim analiziranim studijama povećanje godina starosti (za po 10 godina) bilo statistički značajno povezano sa povećanim rizikom od nastanka sinroma šaka-stopalo i dijareje, i sa smanjenim rizikom od nastanka neutropenije. </w:t>
            </w:r>
          </w:p>
          <w:p w:rsidR="00CB6A57" w:rsidRPr="009C0BEE" w:rsidRDefault="00CB6A57" w:rsidP="00CB6A57">
            <w:pPr>
              <w:pStyle w:val="Header"/>
              <w:tabs>
                <w:tab w:val="left" w:pos="284"/>
              </w:tabs>
              <w:jc w:val="both"/>
              <w:rPr>
                <w:sz w:val="22"/>
                <w:szCs w:val="22"/>
              </w:rPr>
            </w:pPr>
          </w:p>
          <w:p w:rsidR="00C6356D" w:rsidRPr="009C0BEE" w:rsidRDefault="00C6356D" w:rsidP="00C6356D">
            <w:pPr>
              <w:pStyle w:val="Header"/>
              <w:tabs>
                <w:tab w:val="left" w:pos="284"/>
              </w:tabs>
              <w:rPr>
                <w:i/>
                <w:sz w:val="22"/>
                <w:szCs w:val="22"/>
              </w:rPr>
            </w:pPr>
            <w:r w:rsidRPr="009C0BEE">
              <w:rPr>
                <w:i/>
                <w:sz w:val="22"/>
                <w:szCs w:val="22"/>
              </w:rPr>
              <w:t>Pol</w:t>
            </w:r>
          </w:p>
          <w:p w:rsidR="00C6356D" w:rsidRPr="009C0BEE" w:rsidRDefault="00C6356D" w:rsidP="00CB6A57">
            <w:pPr>
              <w:pStyle w:val="Header"/>
              <w:tabs>
                <w:tab w:val="left" w:pos="284"/>
              </w:tabs>
              <w:jc w:val="both"/>
              <w:rPr>
                <w:i/>
                <w:sz w:val="22"/>
                <w:szCs w:val="22"/>
              </w:rPr>
            </w:pPr>
            <w:r w:rsidRPr="009C0BEE">
              <w:rPr>
                <w:sz w:val="22"/>
                <w:szCs w:val="22"/>
              </w:rPr>
              <w:t>Rezultati meta-analize podataka iz 14 kliničkih studija sa preko 4700 pacijenata liječenih kapecitabinom pokazali su da je u svim analiziranim studijama ženski pol bio statistički značajno povezan sa povećanim rizikom od nastanka sindroma šaka-stopa</w:t>
            </w:r>
            <w:r w:rsidR="004F506F" w:rsidRPr="009C0BEE">
              <w:rPr>
                <w:sz w:val="22"/>
                <w:szCs w:val="22"/>
              </w:rPr>
              <w:t xml:space="preserve">lo i dijareje, kao </w:t>
            </w:r>
            <w:r w:rsidRPr="009C0BEE">
              <w:rPr>
                <w:sz w:val="22"/>
                <w:szCs w:val="22"/>
              </w:rPr>
              <w:t>i sa smanjenim rizikom od nastanka neutropenije.</w:t>
            </w:r>
          </w:p>
          <w:p w:rsidR="00C6356D" w:rsidRPr="009C0BEE" w:rsidRDefault="00C6356D" w:rsidP="00C6356D">
            <w:pPr>
              <w:pStyle w:val="Header"/>
              <w:tabs>
                <w:tab w:val="left" w:pos="284"/>
              </w:tabs>
              <w:rPr>
                <w:i/>
                <w:color w:val="FF0000"/>
                <w:sz w:val="22"/>
                <w:szCs w:val="22"/>
              </w:rPr>
            </w:pPr>
          </w:p>
          <w:p w:rsidR="00C6356D" w:rsidRPr="009C0BEE" w:rsidRDefault="00C6356D" w:rsidP="00C6356D">
            <w:pPr>
              <w:pStyle w:val="Header"/>
              <w:tabs>
                <w:tab w:val="left" w:pos="284"/>
              </w:tabs>
              <w:rPr>
                <w:i/>
                <w:iCs/>
                <w:sz w:val="22"/>
                <w:szCs w:val="22"/>
              </w:rPr>
            </w:pPr>
            <w:r w:rsidRPr="009C0BEE">
              <w:rPr>
                <w:i/>
                <w:iCs/>
                <w:sz w:val="22"/>
                <w:szCs w:val="22"/>
              </w:rPr>
              <w:t>Pacijenti sa oštećenjem bubrega (vidjeti odjeljke 4.2,  4.4 i 5.2):</w:t>
            </w:r>
          </w:p>
          <w:p w:rsidR="00C6356D" w:rsidRPr="009C0BEE" w:rsidRDefault="00C6356D" w:rsidP="0088039E">
            <w:pPr>
              <w:pStyle w:val="Header"/>
              <w:tabs>
                <w:tab w:val="left" w:pos="284"/>
              </w:tabs>
              <w:jc w:val="both"/>
              <w:rPr>
                <w:sz w:val="22"/>
                <w:szCs w:val="22"/>
              </w:rPr>
            </w:pPr>
            <w:r w:rsidRPr="009C0BEE">
              <w:rPr>
                <w:sz w:val="22"/>
                <w:szCs w:val="22"/>
              </w:rPr>
              <w:t xml:space="preserve">Analiza bezbjednosnih podataka kod pacijenata liječenih </w:t>
            </w:r>
            <w:r w:rsidR="00210321" w:rsidRPr="009C0BEE">
              <w:rPr>
                <w:sz w:val="22"/>
                <w:szCs w:val="22"/>
              </w:rPr>
              <w:t>k</w:t>
            </w:r>
            <w:r w:rsidR="00F91C4D" w:rsidRPr="009C0BEE">
              <w:rPr>
                <w:sz w:val="22"/>
                <w:szCs w:val="22"/>
              </w:rPr>
              <w:t>apecitabin</w:t>
            </w:r>
            <w:r w:rsidR="00210321" w:rsidRPr="009C0BEE">
              <w:rPr>
                <w:sz w:val="22"/>
                <w:szCs w:val="22"/>
              </w:rPr>
              <w:t>om kao</w:t>
            </w:r>
            <w:r w:rsidRPr="009C0BEE">
              <w:rPr>
                <w:sz w:val="22"/>
                <w:szCs w:val="22"/>
              </w:rPr>
              <w:t xml:space="preserve"> monoterapijom (kolorektalni karcinom), </w:t>
            </w:r>
            <w:r w:rsidR="00210321" w:rsidRPr="009C0BEE">
              <w:rPr>
                <w:sz w:val="22"/>
                <w:szCs w:val="22"/>
              </w:rPr>
              <w:t>sa postojećim</w:t>
            </w:r>
            <w:r w:rsidRPr="009C0BEE">
              <w:rPr>
                <w:sz w:val="22"/>
                <w:szCs w:val="22"/>
              </w:rPr>
              <w:t xml:space="preserve"> oštećenje</w:t>
            </w:r>
            <w:r w:rsidR="00210321" w:rsidRPr="009C0BEE">
              <w:rPr>
                <w:sz w:val="22"/>
                <w:szCs w:val="22"/>
              </w:rPr>
              <w:t>m bubrežne funkcije</w:t>
            </w:r>
            <w:r w:rsidRPr="009C0BEE">
              <w:rPr>
                <w:sz w:val="22"/>
                <w:szCs w:val="22"/>
              </w:rPr>
              <w:t xml:space="preserve">, pokazala je povećanje incidence nastanka </w:t>
            </w:r>
            <w:r w:rsidRPr="009C0BEE">
              <w:rPr>
                <w:iCs/>
                <w:sz w:val="22"/>
                <w:szCs w:val="22"/>
              </w:rPr>
              <w:t xml:space="preserve">neželjenih reakcija na terapiju stepena 3 i 4, u poređenju sa pacijentima koji su imali normalnu bubrežnu </w:t>
            </w:r>
            <w:r w:rsidR="00210321" w:rsidRPr="009C0BEE">
              <w:rPr>
                <w:iCs/>
                <w:sz w:val="22"/>
                <w:szCs w:val="22"/>
              </w:rPr>
              <w:t xml:space="preserve">funkciju </w:t>
            </w:r>
            <w:r w:rsidRPr="009C0BEE">
              <w:rPr>
                <w:sz w:val="22"/>
                <w:szCs w:val="22"/>
              </w:rPr>
              <w:t xml:space="preserve">(36% kod pacijenata </w:t>
            </w:r>
            <w:r w:rsidR="00210321" w:rsidRPr="009C0BEE">
              <w:rPr>
                <w:sz w:val="22"/>
                <w:szCs w:val="22"/>
              </w:rPr>
              <w:t>bez oštećenja bubrega n=268, nasuprot</w:t>
            </w:r>
            <w:r w:rsidRPr="009C0BEE">
              <w:rPr>
                <w:sz w:val="22"/>
                <w:szCs w:val="22"/>
              </w:rPr>
              <w:t xml:space="preserve"> 41% kod pacijenata sa blagim oštećenjem n=257 i 54% kod pacijenata sa umjerenim oštećenjem n=59) (vidjeti odjeljak 5.2). Pacijenti sa umjerenim oštećenjem bubrežne funkcije ispoljili su povećan stepen smanjenja doze (44%) u odnosu na 33% i 32% kod pacijenata bez ili sa blagim oštećenjem bubrežne funkcije, kao i povećanu incidenc</w:t>
            </w:r>
            <w:r w:rsidR="00210321" w:rsidRPr="009C0BEE">
              <w:rPr>
                <w:sz w:val="22"/>
                <w:szCs w:val="22"/>
              </w:rPr>
              <w:t>u ranijeg prekida terapije (21%</w:t>
            </w:r>
            <w:r w:rsidRPr="009C0BEE">
              <w:rPr>
                <w:sz w:val="22"/>
                <w:szCs w:val="22"/>
              </w:rPr>
              <w:t xml:space="preserve"> tokom prva dva ciklusa) u odnosu na 5% i 8% kod pacijenata bez ili sa blagim oštećenjem bubrežne funkcije.</w:t>
            </w:r>
          </w:p>
          <w:p w:rsidR="00EF649B" w:rsidRPr="009C0BEE" w:rsidRDefault="00EF649B" w:rsidP="0088039E">
            <w:pPr>
              <w:pStyle w:val="Header"/>
              <w:tabs>
                <w:tab w:val="left" w:pos="284"/>
              </w:tabs>
              <w:jc w:val="both"/>
              <w:rPr>
                <w:sz w:val="22"/>
                <w:szCs w:val="22"/>
              </w:rPr>
            </w:pPr>
          </w:p>
          <w:p w:rsidR="00DD66CF" w:rsidRPr="009C0BEE" w:rsidRDefault="00DD66CF" w:rsidP="00DD66CF">
            <w:pPr>
              <w:spacing w:after="200" w:line="276" w:lineRule="auto"/>
              <w:rPr>
                <w:rFonts w:eastAsia="Calibri"/>
                <w:sz w:val="22"/>
                <w:szCs w:val="22"/>
                <w:u w:val="single"/>
              </w:rPr>
            </w:pPr>
            <w:r w:rsidRPr="009C0BEE">
              <w:rPr>
                <w:rFonts w:eastAsia="Calibri"/>
                <w:sz w:val="22"/>
                <w:szCs w:val="22"/>
                <w:u w:val="single"/>
              </w:rPr>
              <w:t>Prijavljivanje sumnji na neželjena dejstva</w:t>
            </w:r>
          </w:p>
          <w:p w:rsidR="00DD66CF" w:rsidRPr="009C0BEE" w:rsidRDefault="00DD66CF" w:rsidP="00DD66CF">
            <w:pPr>
              <w:spacing w:after="200"/>
              <w:jc w:val="both"/>
              <w:rPr>
                <w:rFonts w:eastAsia="Calibri"/>
                <w:sz w:val="22"/>
                <w:szCs w:val="22"/>
              </w:rPr>
            </w:pPr>
            <w:r w:rsidRPr="009C0BEE">
              <w:rPr>
                <w:rFonts w:eastAsia="Calibri"/>
                <w:sz w:val="22"/>
                <w:szCs w:val="22"/>
              </w:rPr>
              <w:lastRenderedPageBreak/>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D66CF" w:rsidRPr="009C0BEE" w:rsidRDefault="00DD66CF" w:rsidP="00DD66CF">
            <w:pPr>
              <w:pStyle w:val="NoSpacing"/>
              <w:jc w:val="both"/>
              <w:rPr>
                <w:rFonts w:ascii="Times New Roman" w:eastAsia="Calibri" w:hAnsi="Times New Roman"/>
                <w:noProof/>
                <w:lang w:val="sr-Latn-ME"/>
              </w:rPr>
            </w:pPr>
            <w:r w:rsidRPr="009C0BEE">
              <w:rPr>
                <w:rFonts w:ascii="Times New Roman" w:eastAsia="Calibri" w:hAnsi="Times New Roman"/>
                <w:noProof/>
                <w:lang w:val="sr-Latn-ME"/>
              </w:rPr>
              <w:t>Agencija za ljekove i medicinska sredstva Crne Gore</w:t>
            </w:r>
          </w:p>
          <w:p w:rsidR="00DD66CF" w:rsidRPr="009C0BEE" w:rsidRDefault="00DD66CF" w:rsidP="00DD66CF">
            <w:pPr>
              <w:pStyle w:val="NoSpacing"/>
              <w:jc w:val="both"/>
              <w:rPr>
                <w:rFonts w:ascii="Times New Roman" w:eastAsia="Calibri" w:hAnsi="Times New Roman"/>
                <w:noProof/>
                <w:lang w:val="sr-Latn-ME"/>
              </w:rPr>
            </w:pPr>
            <w:r w:rsidRPr="009C0BEE">
              <w:rPr>
                <w:rFonts w:ascii="Times New Roman" w:eastAsia="Calibri" w:hAnsi="Times New Roman"/>
                <w:noProof/>
                <w:lang w:val="sr-Latn-ME"/>
              </w:rPr>
              <w:t>Odjeljenje za farmakovigilancu</w:t>
            </w:r>
          </w:p>
          <w:p w:rsidR="00DD66CF" w:rsidRPr="009C0BEE" w:rsidRDefault="00DD66CF" w:rsidP="00DD66CF">
            <w:pPr>
              <w:pStyle w:val="NoSpacing"/>
              <w:jc w:val="both"/>
              <w:rPr>
                <w:rFonts w:ascii="Times New Roman" w:eastAsia="Calibri" w:hAnsi="Times New Roman"/>
                <w:noProof/>
                <w:lang w:val="sr-Latn-ME"/>
              </w:rPr>
            </w:pPr>
            <w:r w:rsidRPr="009C0BEE">
              <w:rPr>
                <w:rFonts w:ascii="Times New Roman" w:eastAsia="Calibri" w:hAnsi="Times New Roman"/>
                <w:noProof/>
                <w:lang w:val="sr-Latn-ME"/>
              </w:rPr>
              <w:t>Bulevar Ivana Crnojevića 64a, 81000 Podgorica</w:t>
            </w:r>
          </w:p>
          <w:p w:rsidR="00DD66CF" w:rsidRPr="009C0BEE" w:rsidRDefault="00DD66CF" w:rsidP="00DD66CF">
            <w:pPr>
              <w:pStyle w:val="NoSpacing"/>
              <w:rPr>
                <w:rFonts w:eastAsia="Calibri"/>
                <w:noProof/>
                <w:lang w:val="sr-Latn-ME"/>
              </w:rPr>
            </w:pPr>
          </w:p>
          <w:p w:rsidR="00DD66CF" w:rsidRPr="009C0BEE" w:rsidRDefault="00DD66CF" w:rsidP="00DD66CF">
            <w:pPr>
              <w:pStyle w:val="NoSpacing"/>
              <w:jc w:val="both"/>
              <w:rPr>
                <w:rFonts w:ascii="Times New Roman" w:eastAsia="Calibri" w:hAnsi="Times New Roman"/>
                <w:noProof/>
                <w:lang w:val="sr-Latn-ME"/>
              </w:rPr>
            </w:pPr>
            <w:r w:rsidRPr="009C0BEE">
              <w:rPr>
                <w:rFonts w:ascii="Times New Roman" w:eastAsia="Calibri" w:hAnsi="Times New Roman"/>
                <w:noProof/>
                <w:lang w:val="sr-Latn-ME"/>
              </w:rPr>
              <w:t>tel: +382 (0) 20 310 280</w:t>
            </w:r>
          </w:p>
          <w:p w:rsidR="00DD66CF" w:rsidRPr="009C0BEE" w:rsidRDefault="00DD66CF" w:rsidP="00DD66CF">
            <w:pPr>
              <w:pStyle w:val="NoSpacing"/>
              <w:jc w:val="both"/>
              <w:rPr>
                <w:rFonts w:ascii="Times New Roman" w:eastAsia="Calibri" w:hAnsi="Times New Roman"/>
                <w:noProof/>
                <w:lang w:val="sr-Latn-ME"/>
              </w:rPr>
            </w:pPr>
            <w:r w:rsidRPr="009C0BEE">
              <w:rPr>
                <w:rFonts w:ascii="Times New Roman" w:eastAsia="Calibri" w:hAnsi="Times New Roman"/>
                <w:noProof/>
                <w:lang w:val="sr-Latn-ME"/>
              </w:rPr>
              <w:t>fax: +382 (0) 20 310 581</w:t>
            </w:r>
          </w:p>
          <w:p w:rsidR="00DD66CF" w:rsidRPr="009C0BEE" w:rsidRDefault="009967F7" w:rsidP="00DD66CF">
            <w:pPr>
              <w:pStyle w:val="NoSpacing"/>
              <w:jc w:val="both"/>
              <w:rPr>
                <w:rFonts w:ascii="Times New Roman" w:eastAsia="Calibri" w:hAnsi="Times New Roman"/>
                <w:noProof/>
                <w:lang w:val="sr-Latn-ME"/>
              </w:rPr>
            </w:pPr>
            <w:hyperlink r:id="rId8" w:history="1">
              <w:r w:rsidR="00DD66CF" w:rsidRPr="009C0BEE">
                <w:rPr>
                  <w:rFonts w:ascii="Times New Roman" w:eastAsia="Calibri" w:hAnsi="Times New Roman"/>
                  <w:noProof/>
                  <w:lang w:val="sr-Latn-ME"/>
                </w:rPr>
                <w:t>www.calims.me</w:t>
              </w:r>
            </w:hyperlink>
          </w:p>
          <w:p w:rsidR="00DD66CF" w:rsidRPr="009C0BEE" w:rsidRDefault="009967F7" w:rsidP="00DD66CF">
            <w:pPr>
              <w:pStyle w:val="NoSpacing"/>
              <w:jc w:val="both"/>
              <w:rPr>
                <w:rFonts w:ascii="Times New Roman" w:eastAsia="Calibri" w:hAnsi="Times New Roman"/>
                <w:noProof/>
                <w:lang w:val="sr-Latn-ME"/>
              </w:rPr>
            </w:pPr>
            <w:hyperlink r:id="rId9" w:history="1">
              <w:r w:rsidR="00DD66CF" w:rsidRPr="009C0BEE">
                <w:rPr>
                  <w:rFonts w:ascii="Times New Roman" w:eastAsia="Calibri" w:hAnsi="Times New Roman"/>
                  <w:noProof/>
                  <w:lang w:val="sr-Latn-ME"/>
                </w:rPr>
                <w:t>nezeljenadejstva@calims.me</w:t>
              </w:r>
            </w:hyperlink>
          </w:p>
          <w:p w:rsidR="00DD66CF" w:rsidRPr="009C0BEE" w:rsidRDefault="00DD66CF" w:rsidP="00DD66CF">
            <w:pPr>
              <w:pStyle w:val="NoSpacing"/>
              <w:jc w:val="both"/>
              <w:rPr>
                <w:rFonts w:ascii="Times New Roman" w:eastAsia="Calibri" w:hAnsi="Times New Roman"/>
                <w:noProof/>
                <w:lang w:val="sr-Latn-ME"/>
              </w:rPr>
            </w:pPr>
            <w:r w:rsidRPr="009C0BEE">
              <w:rPr>
                <w:rFonts w:ascii="Times New Roman" w:eastAsia="Calibri" w:hAnsi="Times New Roman"/>
                <w:noProof/>
                <w:lang w:val="sr-Latn-ME"/>
              </w:rPr>
              <w:t>putem IS zdravstvene zaštite</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lastRenderedPageBreak/>
              <w:t>4.9. Predoziranje</w:t>
            </w:r>
            <w:r w:rsidR="00DC12F5" w:rsidRPr="009C0BEE">
              <w:rPr>
                <w:b/>
                <w:bCs/>
                <w:sz w:val="22"/>
                <w:szCs w:val="22"/>
              </w:rPr>
              <w:t xml:space="preserve"> i mjere koje je potrebno preduzeti</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color w:val="FF0000"/>
                <w:sz w:val="22"/>
                <w:szCs w:val="22"/>
              </w:rPr>
            </w:pPr>
          </w:p>
          <w:p w:rsidR="00C6356D" w:rsidRPr="009C0BEE" w:rsidRDefault="00C6356D" w:rsidP="00CA479A">
            <w:pPr>
              <w:pStyle w:val="Header"/>
              <w:tabs>
                <w:tab w:val="left" w:pos="284"/>
              </w:tabs>
              <w:jc w:val="both"/>
              <w:rPr>
                <w:sz w:val="22"/>
                <w:szCs w:val="22"/>
              </w:rPr>
            </w:pPr>
            <w:r w:rsidRPr="009C0BEE">
              <w:rPr>
                <w:sz w:val="22"/>
                <w:szCs w:val="22"/>
              </w:rPr>
              <w:t xml:space="preserve">Manifestacije akutnog predoziranja uključuju: mučninu, povraćanje, dijareju, mukozitis, gastrointestinalnu iritaciju i krvarenje, depresiju </w:t>
            </w:r>
            <w:r w:rsidR="00A8681D" w:rsidRPr="009C0BEE">
              <w:rPr>
                <w:sz w:val="22"/>
                <w:szCs w:val="22"/>
              </w:rPr>
              <w:t xml:space="preserve">kostne </w:t>
            </w:r>
            <w:r w:rsidRPr="009C0BEE">
              <w:rPr>
                <w:sz w:val="22"/>
                <w:szCs w:val="22"/>
              </w:rPr>
              <w:t xml:space="preserve">srži. U medikamentozno zbrinjavanje slučajeva predoziranja spadaju </w:t>
            </w:r>
            <w:r w:rsidR="007A1AE7" w:rsidRPr="009C0BEE">
              <w:rPr>
                <w:sz w:val="22"/>
                <w:szCs w:val="22"/>
              </w:rPr>
              <w:t xml:space="preserve">sve </w:t>
            </w:r>
            <w:r w:rsidRPr="009C0BEE">
              <w:rPr>
                <w:sz w:val="22"/>
                <w:szCs w:val="22"/>
              </w:rPr>
              <w:t xml:space="preserve">uobičajene terapijske i potporne medicinske intervencije sa ciljem da se koriguju kliničke manifestacije i </w:t>
            </w:r>
            <w:r w:rsidR="00A8681D" w:rsidRPr="009C0BEE">
              <w:rPr>
                <w:sz w:val="22"/>
                <w:szCs w:val="22"/>
              </w:rPr>
              <w:t>spriječe njihove eventualne komplikacije</w:t>
            </w:r>
            <w:r w:rsidRPr="009C0BEE">
              <w:rPr>
                <w:sz w:val="22"/>
                <w:szCs w:val="22"/>
              </w:rPr>
              <w:t xml:space="preserve">. </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t>5. FARMAKOLOŠKI PODACI</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5.1. Farmakodinamski podaci</w:t>
            </w:r>
          </w:p>
        </w:tc>
      </w:tr>
      <w:tr w:rsidR="00D17F29" w:rsidRPr="009C0BEE" w:rsidTr="005E7E41">
        <w:trPr>
          <w:trHeight w:val="576"/>
        </w:trPr>
        <w:tc>
          <w:tcPr>
            <w:tcW w:w="1378" w:type="pct"/>
            <w:gridSpan w:val="3"/>
            <w:vAlign w:val="center"/>
          </w:tcPr>
          <w:p w:rsidR="00C6356D" w:rsidRPr="009C0BEE" w:rsidRDefault="00C6356D" w:rsidP="00C6356D">
            <w:pPr>
              <w:pStyle w:val="Header"/>
              <w:tabs>
                <w:tab w:val="left" w:pos="284"/>
              </w:tabs>
              <w:rPr>
                <w:b/>
                <w:bCs/>
                <w:sz w:val="22"/>
                <w:szCs w:val="22"/>
              </w:rPr>
            </w:pPr>
            <w:r w:rsidRPr="009C0BEE">
              <w:rPr>
                <w:b/>
                <w:bCs/>
                <w:sz w:val="22"/>
                <w:szCs w:val="22"/>
              </w:rPr>
              <w:t>Farmakoterapijska grupa:</w:t>
            </w:r>
          </w:p>
        </w:tc>
        <w:tc>
          <w:tcPr>
            <w:tcW w:w="3622" w:type="pct"/>
            <w:vAlign w:val="center"/>
          </w:tcPr>
          <w:p w:rsidR="00C6356D" w:rsidRPr="009C0BEE" w:rsidRDefault="00C6356D" w:rsidP="00C6356D">
            <w:pPr>
              <w:pStyle w:val="Header"/>
              <w:tabs>
                <w:tab w:val="left" w:pos="284"/>
              </w:tabs>
              <w:rPr>
                <w:sz w:val="22"/>
                <w:szCs w:val="22"/>
              </w:rPr>
            </w:pPr>
            <w:r w:rsidRPr="009C0BEE">
              <w:rPr>
                <w:sz w:val="22"/>
                <w:szCs w:val="22"/>
              </w:rPr>
              <w:t>citostatik (antimetabolit)</w:t>
            </w:r>
          </w:p>
        </w:tc>
      </w:tr>
      <w:tr w:rsidR="00D17F29" w:rsidRPr="009C0BEE" w:rsidTr="005E7E41">
        <w:trPr>
          <w:trHeight w:val="542"/>
        </w:trPr>
        <w:tc>
          <w:tcPr>
            <w:tcW w:w="583" w:type="pct"/>
            <w:gridSpan w:val="2"/>
            <w:vAlign w:val="center"/>
          </w:tcPr>
          <w:p w:rsidR="00C6356D" w:rsidRPr="009C0BEE" w:rsidRDefault="00C6356D" w:rsidP="00C6356D">
            <w:pPr>
              <w:pStyle w:val="Header"/>
              <w:tabs>
                <w:tab w:val="left" w:pos="284"/>
              </w:tabs>
              <w:rPr>
                <w:b/>
                <w:bCs/>
                <w:sz w:val="22"/>
                <w:szCs w:val="22"/>
              </w:rPr>
            </w:pPr>
            <w:r w:rsidRPr="009C0BEE">
              <w:rPr>
                <w:b/>
                <w:bCs/>
                <w:sz w:val="22"/>
                <w:szCs w:val="22"/>
              </w:rPr>
              <w:t>ATC kod:</w:t>
            </w:r>
          </w:p>
        </w:tc>
        <w:tc>
          <w:tcPr>
            <w:tcW w:w="4417" w:type="pct"/>
            <w:gridSpan w:val="2"/>
            <w:vAlign w:val="center"/>
          </w:tcPr>
          <w:p w:rsidR="00C6356D" w:rsidRPr="009C0BEE" w:rsidRDefault="00C6356D" w:rsidP="00C6356D">
            <w:pPr>
              <w:pStyle w:val="Header"/>
              <w:tabs>
                <w:tab w:val="left" w:pos="284"/>
              </w:tabs>
              <w:rPr>
                <w:sz w:val="22"/>
                <w:szCs w:val="22"/>
              </w:rPr>
            </w:pPr>
            <w:r w:rsidRPr="009C0BEE">
              <w:rPr>
                <w:sz w:val="22"/>
                <w:szCs w:val="22"/>
              </w:rPr>
              <w:t>L01BC06</w:t>
            </w:r>
          </w:p>
        </w:tc>
      </w:tr>
      <w:tr w:rsidR="00D17F29" w:rsidRPr="009C0BEE" w:rsidTr="005E7E41">
        <w:trPr>
          <w:trHeight w:val="834"/>
        </w:trPr>
        <w:tc>
          <w:tcPr>
            <w:tcW w:w="5000" w:type="pct"/>
            <w:gridSpan w:val="4"/>
            <w:vAlign w:val="center"/>
          </w:tcPr>
          <w:p w:rsidR="00C6356D" w:rsidRPr="009C0BEE" w:rsidRDefault="00236202" w:rsidP="00236202">
            <w:pPr>
              <w:pStyle w:val="Header"/>
              <w:tabs>
                <w:tab w:val="left" w:pos="284"/>
              </w:tabs>
              <w:jc w:val="both"/>
              <w:rPr>
                <w:sz w:val="22"/>
                <w:szCs w:val="22"/>
              </w:rPr>
            </w:pPr>
            <w:r w:rsidRPr="009C0BEE">
              <w:rPr>
                <w:sz w:val="22"/>
                <w:szCs w:val="22"/>
              </w:rPr>
              <w:t>Kapecitabin je ne</w:t>
            </w:r>
            <w:r w:rsidR="00C6356D" w:rsidRPr="009C0BEE">
              <w:rPr>
                <w:sz w:val="22"/>
                <w:szCs w:val="22"/>
              </w:rPr>
              <w:t xml:space="preserve">citotoksični fluoropirimidin karbamat koji funkcioniše kao oralno primijenjeni prekursor citotoksične čestice 5-fluorouracila (5-FU). Kapecitabin se aktivira preko nekoliko enzimskih koraka (vidjeti odjeljak 5.2). Enzim koji je uključen u finalnu konverziju 5-FU, timidin fosforilaza </w:t>
            </w:r>
            <w:r w:rsidRPr="009C0BEE">
              <w:rPr>
                <w:sz w:val="22"/>
                <w:szCs w:val="22"/>
              </w:rPr>
              <w:t>(ThyPase), nalazi se u tumorskom tkivu, ali i u zdrav</w:t>
            </w:r>
            <w:r w:rsidR="00C6356D" w:rsidRPr="009C0BEE">
              <w:rPr>
                <w:sz w:val="22"/>
                <w:szCs w:val="22"/>
              </w:rPr>
              <w:t xml:space="preserve">im tkivima, iako u nižim nivoima. U ksenograft modelu humanog karcinoma kapecitabin je pokazao sinergističko dejstvo u kombinaciji sa docetakselom, što </w:t>
            </w:r>
            <w:r w:rsidRPr="009C0BEE">
              <w:rPr>
                <w:sz w:val="22"/>
                <w:szCs w:val="22"/>
              </w:rPr>
              <w:t>se može dovesti u vezu sa povećan</w:t>
            </w:r>
            <w:r w:rsidR="0011318A" w:rsidRPr="009C0BEE">
              <w:rPr>
                <w:sz w:val="22"/>
                <w:szCs w:val="22"/>
              </w:rPr>
              <w:t>j</w:t>
            </w:r>
            <w:r w:rsidRPr="009C0BEE">
              <w:rPr>
                <w:sz w:val="22"/>
                <w:szCs w:val="22"/>
              </w:rPr>
              <w:t>em aktivnosti</w:t>
            </w:r>
            <w:r w:rsidR="00C6356D" w:rsidRPr="009C0BEE">
              <w:rPr>
                <w:sz w:val="22"/>
                <w:szCs w:val="22"/>
              </w:rPr>
              <w:t xml:space="preserve"> timidin fosforilaze </w:t>
            </w:r>
            <w:r w:rsidRPr="009C0BEE">
              <w:rPr>
                <w:sz w:val="22"/>
                <w:szCs w:val="22"/>
              </w:rPr>
              <w:t xml:space="preserve">uzrokovane </w:t>
            </w:r>
            <w:r w:rsidR="00C6356D" w:rsidRPr="009C0BEE">
              <w:rPr>
                <w:sz w:val="22"/>
                <w:szCs w:val="22"/>
              </w:rPr>
              <w:t xml:space="preserve">docetakselom. </w:t>
            </w:r>
          </w:p>
          <w:p w:rsidR="00C6356D" w:rsidRPr="009C0BEE" w:rsidRDefault="00C6356D" w:rsidP="00C6356D">
            <w:pPr>
              <w:pStyle w:val="Header"/>
              <w:tabs>
                <w:tab w:val="left" w:pos="284"/>
              </w:tabs>
              <w:rPr>
                <w:color w:val="FF0000"/>
                <w:sz w:val="22"/>
                <w:szCs w:val="22"/>
              </w:rPr>
            </w:pPr>
          </w:p>
          <w:p w:rsidR="00C6356D" w:rsidRPr="009C0BEE" w:rsidRDefault="00C6356D" w:rsidP="001F4A9E">
            <w:pPr>
              <w:pStyle w:val="Header"/>
              <w:tabs>
                <w:tab w:val="left" w:pos="284"/>
              </w:tabs>
              <w:jc w:val="both"/>
              <w:rPr>
                <w:sz w:val="22"/>
                <w:szCs w:val="22"/>
              </w:rPr>
            </w:pPr>
            <w:r w:rsidRPr="009C0BEE">
              <w:rPr>
                <w:sz w:val="22"/>
                <w:szCs w:val="22"/>
              </w:rPr>
              <w:t xml:space="preserve">Postoje dokazi da </w:t>
            </w:r>
            <w:r w:rsidR="001F4A9E" w:rsidRPr="009C0BEE">
              <w:rPr>
                <w:sz w:val="22"/>
                <w:szCs w:val="22"/>
              </w:rPr>
              <w:t>u anaboličkom putu metaboliz</w:t>
            </w:r>
            <w:r w:rsidRPr="009C0BEE">
              <w:rPr>
                <w:sz w:val="22"/>
                <w:szCs w:val="22"/>
              </w:rPr>
              <w:t>m</w:t>
            </w:r>
            <w:r w:rsidR="001F4A9E" w:rsidRPr="009C0BEE">
              <w:rPr>
                <w:sz w:val="22"/>
                <w:szCs w:val="22"/>
              </w:rPr>
              <w:t>a</w:t>
            </w:r>
            <w:r w:rsidRPr="009C0BEE">
              <w:rPr>
                <w:sz w:val="22"/>
                <w:szCs w:val="22"/>
              </w:rPr>
              <w:t xml:space="preserve"> 5-FU blokira metilacionu</w:t>
            </w:r>
            <w:r w:rsidR="001F4A9E" w:rsidRPr="009C0BEE">
              <w:rPr>
                <w:sz w:val="22"/>
                <w:szCs w:val="22"/>
              </w:rPr>
              <w:t xml:space="preserve"> reakciju dezoksiuridilične kiseline u timidiličnu kis</w:t>
            </w:r>
            <w:r w:rsidRPr="009C0BEE">
              <w:rPr>
                <w:sz w:val="22"/>
                <w:szCs w:val="22"/>
              </w:rPr>
              <w:t>elinu, na taj način utičući na si</w:t>
            </w:r>
            <w:r w:rsidR="001F4A9E" w:rsidRPr="009C0BEE">
              <w:rPr>
                <w:sz w:val="22"/>
                <w:szCs w:val="22"/>
              </w:rPr>
              <w:t>ntezu dezoksiribonukleinske kis</w:t>
            </w:r>
            <w:r w:rsidRPr="009C0BEE">
              <w:rPr>
                <w:sz w:val="22"/>
                <w:szCs w:val="22"/>
              </w:rPr>
              <w:t xml:space="preserve">eline (DNK). Inkorporacija 5-FU dovodi i do inhibicije </w:t>
            </w:r>
            <w:r w:rsidR="001F4A9E" w:rsidRPr="009C0BEE">
              <w:rPr>
                <w:sz w:val="22"/>
                <w:szCs w:val="22"/>
              </w:rPr>
              <w:t>sinteze RNK i</w:t>
            </w:r>
            <w:r w:rsidRPr="009C0BEE">
              <w:rPr>
                <w:sz w:val="22"/>
                <w:szCs w:val="22"/>
              </w:rPr>
              <w:t xml:space="preserve"> proteina. Budući da su DNK i RNK </w:t>
            </w:r>
            <w:r w:rsidR="001F4A9E" w:rsidRPr="009C0BEE">
              <w:rPr>
                <w:sz w:val="22"/>
                <w:szCs w:val="22"/>
              </w:rPr>
              <w:t>neophodne</w:t>
            </w:r>
            <w:r w:rsidRPr="009C0BEE">
              <w:rPr>
                <w:sz w:val="22"/>
                <w:szCs w:val="22"/>
              </w:rPr>
              <w:t xml:space="preserve"> za ćelijsku diobu i rast, dejstvo 5-FU može da dovede do timidinske deficijencije koja izaziva neuravnoteženi rast i smrt ćelija. Dejstvo deprivacije DNK i RNK najizraženije je na onim ćelijama koje proliferišu brže i koje brže metabolizuju 5-FU.</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u w:val="single"/>
              </w:rPr>
            </w:pPr>
            <w:r w:rsidRPr="009C0BEE">
              <w:rPr>
                <w:sz w:val="22"/>
                <w:szCs w:val="22"/>
                <w:u w:val="single"/>
              </w:rPr>
              <w:t>Karcinom kolona i kolorektalni karcinom:</w:t>
            </w:r>
          </w:p>
          <w:p w:rsidR="00C6356D" w:rsidRPr="009C0BEE" w:rsidRDefault="00C6356D" w:rsidP="00C6356D">
            <w:pPr>
              <w:pStyle w:val="Header"/>
              <w:tabs>
                <w:tab w:val="left" w:pos="284"/>
              </w:tabs>
              <w:rPr>
                <w:color w:val="FF0000"/>
                <w:sz w:val="22"/>
                <w:szCs w:val="22"/>
                <w:u w:val="single"/>
              </w:rPr>
            </w:pPr>
          </w:p>
          <w:p w:rsidR="00C6356D" w:rsidRPr="009C0BEE" w:rsidRDefault="00C6356D" w:rsidP="00C6356D">
            <w:pPr>
              <w:pStyle w:val="Header"/>
              <w:tabs>
                <w:tab w:val="left" w:pos="284"/>
              </w:tabs>
              <w:rPr>
                <w:i/>
                <w:sz w:val="22"/>
                <w:szCs w:val="22"/>
                <w:u w:val="single"/>
              </w:rPr>
            </w:pPr>
            <w:r w:rsidRPr="009C0BEE">
              <w:rPr>
                <w:i/>
                <w:sz w:val="22"/>
                <w:szCs w:val="22"/>
                <w:u w:val="single"/>
              </w:rPr>
              <w:t xml:space="preserve">Monoterapija </w:t>
            </w:r>
            <w:r w:rsidR="001F4A9E" w:rsidRPr="009C0BEE">
              <w:rPr>
                <w:i/>
                <w:sz w:val="22"/>
                <w:szCs w:val="22"/>
                <w:u w:val="single"/>
              </w:rPr>
              <w:t>k</w:t>
            </w:r>
            <w:r w:rsidR="00F91C4D" w:rsidRPr="009C0BEE">
              <w:rPr>
                <w:i/>
                <w:sz w:val="22"/>
                <w:szCs w:val="22"/>
                <w:u w:val="single"/>
              </w:rPr>
              <w:t>apecitabin</w:t>
            </w:r>
            <w:r w:rsidR="001F4A9E" w:rsidRPr="009C0BEE">
              <w:rPr>
                <w:i/>
                <w:sz w:val="22"/>
                <w:szCs w:val="22"/>
                <w:u w:val="single"/>
              </w:rPr>
              <w:t>om u adjuvantnom liječenju</w:t>
            </w:r>
            <w:r w:rsidRPr="009C0BEE">
              <w:rPr>
                <w:i/>
                <w:sz w:val="22"/>
                <w:szCs w:val="22"/>
                <w:u w:val="single"/>
              </w:rPr>
              <w:t xml:space="preserve"> karcinoma </w:t>
            </w:r>
            <w:r w:rsidR="001F4A9E" w:rsidRPr="009C0BEE">
              <w:rPr>
                <w:i/>
                <w:sz w:val="22"/>
                <w:szCs w:val="22"/>
                <w:u w:val="single"/>
              </w:rPr>
              <w:t>kolona</w:t>
            </w:r>
          </w:p>
          <w:p w:rsidR="00C6356D" w:rsidRPr="009C0BEE" w:rsidRDefault="00C6356D" w:rsidP="001F4A9E">
            <w:pPr>
              <w:pStyle w:val="Header"/>
              <w:tabs>
                <w:tab w:val="left" w:pos="284"/>
              </w:tabs>
              <w:jc w:val="both"/>
              <w:rPr>
                <w:sz w:val="22"/>
                <w:szCs w:val="22"/>
              </w:rPr>
            </w:pPr>
            <w:r w:rsidRPr="009C0BEE">
              <w:rPr>
                <w:sz w:val="22"/>
                <w:szCs w:val="22"/>
              </w:rPr>
              <w:t>Podaci iz</w:t>
            </w:r>
            <w:r w:rsidR="0039224A" w:rsidRPr="009C0BEE">
              <w:rPr>
                <w:sz w:val="22"/>
                <w:szCs w:val="22"/>
              </w:rPr>
              <w:t xml:space="preserve"> jedne multicentrične randomizov</w:t>
            </w:r>
            <w:r w:rsidRPr="009C0BEE">
              <w:rPr>
                <w:sz w:val="22"/>
                <w:szCs w:val="22"/>
              </w:rPr>
              <w:t xml:space="preserve">ane, kontrolisane kliničke studije faze III kod pacijenata sa stadijumom III (Djuksov stadijum C) karcinoma </w:t>
            </w:r>
            <w:r w:rsidR="005A455B" w:rsidRPr="009C0BEE">
              <w:rPr>
                <w:sz w:val="22"/>
                <w:szCs w:val="22"/>
              </w:rPr>
              <w:t>kolona</w:t>
            </w:r>
            <w:r w:rsidRPr="009C0BEE">
              <w:rPr>
                <w:sz w:val="22"/>
                <w:szCs w:val="22"/>
              </w:rPr>
              <w:t xml:space="preserve"> podržava</w:t>
            </w:r>
            <w:r w:rsidR="00CA3123" w:rsidRPr="009C0BEE">
              <w:rPr>
                <w:sz w:val="22"/>
                <w:szCs w:val="22"/>
              </w:rPr>
              <w:t>ju</w:t>
            </w:r>
            <w:r w:rsidRPr="009C0BEE">
              <w:rPr>
                <w:sz w:val="22"/>
                <w:szCs w:val="22"/>
              </w:rPr>
              <w:t xml:space="preserve"> upotrebu </w:t>
            </w:r>
            <w:r w:rsidR="0039224A" w:rsidRPr="009C0BEE">
              <w:rPr>
                <w:sz w:val="22"/>
                <w:szCs w:val="22"/>
              </w:rPr>
              <w:t>k</w:t>
            </w:r>
            <w:r w:rsidR="00F91C4D" w:rsidRPr="009C0BEE">
              <w:rPr>
                <w:sz w:val="22"/>
                <w:szCs w:val="22"/>
              </w:rPr>
              <w:t>apecitabin</w:t>
            </w:r>
            <w:r w:rsidR="00CA3123" w:rsidRPr="009C0BEE">
              <w:rPr>
                <w:sz w:val="22"/>
                <w:szCs w:val="22"/>
              </w:rPr>
              <w:t xml:space="preserve">a </w:t>
            </w:r>
            <w:r w:rsidRPr="009C0BEE">
              <w:rPr>
                <w:sz w:val="22"/>
                <w:szCs w:val="22"/>
              </w:rPr>
              <w:t xml:space="preserve">kao adjuvantne terapije za liječenje pacijenata sa karcinomom kolona (Studija XACT; M66001). U ovom ispitivanju, 1987 </w:t>
            </w:r>
            <w:r w:rsidRPr="009C0BEE">
              <w:rPr>
                <w:sz w:val="22"/>
                <w:szCs w:val="22"/>
              </w:rPr>
              <w:lastRenderedPageBreak/>
              <w:t xml:space="preserve">pacijenata je slučajnim odabirom podijeljeno u grupe, jednu koja je </w:t>
            </w:r>
            <w:r w:rsidR="0039224A" w:rsidRPr="009C0BEE">
              <w:rPr>
                <w:sz w:val="22"/>
                <w:szCs w:val="22"/>
              </w:rPr>
              <w:t>liječena</w:t>
            </w:r>
            <w:r w:rsidR="00CA3123" w:rsidRPr="009C0BEE">
              <w:rPr>
                <w:sz w:val="22"/>
                <w:szCs w:val="22"/>
              </w:rPr>
              <w:t xml:space="preserve"> </w:t>
            </w:r>
            <w:r w:rsidR="0039224A" w:rsidRPr="009C0BEE">
              <w:rPr>
                <w:sz w:val="22"/>
                <w:szCs w:val="22"/>
              </w:rPr>
              <w:t>k</w:t>
            </w:r>
            <w:r w:rsidR="00F91C4D" w:rsidRPr="009C0BEE">
              <w:rPr>
                <w:sz w:val="22"/>
                <w:szCs w:val="22"/>
              </w:rPr>
              <w:t>apecitabin</w:t>
            </w:r>
            <w:r w:rsidR="0039224A" w:rsidRPr="009C0BEE">
              <w:rPr>
                <w:sz w:val="22"/>
                <w:szCs w:val="22"/>
              </w:rPr>
              <w:t>om</w:t>
            </w:r>
            <w:r w:rsidRPr="009C0BEE">
              <w:rPr>
                <w:sz w:val="22"/>
                <w:szCs w:val="22"/>
              </w:rPr>
              <w:t xml:space="preserve"> (1250 mg/m</w:t>
            </w:r>
            <w:r w:rsidRPr="009C0BEE">
              <w:rPr>
                <w:sz w:val="22"/>
                <w:szCs w:val="22"/>
                <w:vertAlign w:val="superscript"/>
              </w:rPr>
              <w:t>2</w:t>
            </w:r>
            <w:r w:rsidRPr="009C0BEE">
              <w:rPr>
                <w:sz w:val="22"/>
                <w:szCs w:val="22"/>
              </w:rPr>
              <w:t xml:space="preserve"> dva puta dnevno u trajanju od 2 ned</w:t>
            </w:r>
            <w:r w:rsidR="0039224A" w:rsidRPr="009C0BEE">
              <w:rPr>
                <w:sz w:val="22"/>
                <w:szCs w:val="22"/>
              </w:rPr>
              <w:t>j</w:t>
            </w:r>
            <w:r w:rsidRPr="009C0BEE">
              <w:rPr>
                <w:sz w:val="22"/>
                <w:szCs w:val="22"/>
              </w:rPr>
              <w:t>elje</w:t>
            </w:r>
            <w:r w:rsidR="0011318A" w:rsidRPr="009C0BEE">
              <w:rPr>
                <w:sz w:val="22"/>
                <w:szCs w:val="22"/>
              </w:rPr>
              <w:t>,</w:t>
            </w:r>
            <w:r w:rsidRPr="009C0BEE">
              <w:rPr>
                <w:sz w:val="22"/>
                <w:szCs w:val="22"/>
              </w:rPr>
              <w:t xml:space="preserve"> posl</w:t>
            </w:r>
            <w:r w:rsidR="0011318A" w:rsidRPr="009C0BEE">
              <w:rPr>
                <w:sz w:val="22"/>
                <w:szCs w:val="22"/>
              </w:rPr>
              <w:t>ij</w:t>
            </w:r>
            <w:r w:rsidRPr="009C0BEE">
              <w:rPr>
                <w:sz w:val="22"/>
                <w:szCs w:val="22"/>
              </w:rPr>
              <w:t>e čega slijedi ned</w:t>
            </w:r>
            <w:r w:rsidR="0039224A" w:rsidRPr="009C0BEE">
              <w:rPr>
                <w:sz w:val="22"/>
                <w:szCs w:val="22"/>
              </w:rPr>
              <w:t>j</w:t>
            </w:r>
            <w:r w:rsidRPr="009C0BEE">
              <w:rPr>
                <w:sz w:val="22"/>
                <w:szCs w:val="22"/>
              </w:rPr>
              <w:t>elju dana odmora, što se u vidu tromjesečnog ciklusa ponavlja tokom 24 ned</w:t>
            </w:r>
            <w:r w:rsidR="0039224A" w:rsidRPr="009C0BEE">
              <w:rPr>
                <w:sz w:val="22"/>
                <w:szCs w:val="22"/>
              </w:rPr>
              <w:t>j</w:t>
            </w:r>
            <w:r w:rsidRPr="009C0BEE">
              <w:rPr>
                <w:sz w:val="22"/>
                <w:szCs w:val="22"/>
              </w:rPr>
              <w:t>elje) ili drugu, koja je primala 5-FU i leukovorin (režim klinike Mejo: 20 mg/m</w:t>
            </w:r>
            <w:r w:rsidRPr="009C0BEE">
              <w:rPr>
                <w:sz w:val="22"/>
                <w:szCs w:val="22"/>
                <w:vertAlign w:val="superscript"/>
              </w:rPr>
              <w:t>2</w:t>
            </w:r>
            <w:r w:rsidRPr="009C0BEE">
              <w:rPr>
                <w:sz w:val="22"/>
                <w:szCs w:val="22"/>
              </w:rPr>
              <w:t xml:space="preserve"> leukovorina i.v. praćeno 425 mg/m</w:t>
            </w:r>
            <w:r w:rsidRPr="009C0BEE">
              <w:rPr>
                <w:sz w:val="22"/>
                <w:szCs w:val="22"/>
                <w:vertAlign w:val="superscript"/>
              </w:rPr>
              <w:t>2</w:t>
            </w:r>
            <w:r w:rsidRPr="009C0BEE">
              <w:rPr>
                <w:sz w:val="22"/>
                <w:szCs w:val="22"/>
              </w:rPr>
              <w:t xml:space="preserve"> i.v bolus 5-FU, od prvog do petog dana, svakih 28 dana u t</w:t>
            </w:r>
            <w:r w:rsidR="00A57C95" w:rsidRPr="009C0BEE">
              <w:rPr>
                <w:sz w:val="22"/>
                <w:szCs w:val="22"/>
              </w:rPr>
              <w:t>r</w:t>
            </w:r>
            <w:r w:rsidRPr="009C0BEE">
              <w:rPr>
                <w:sz w:val="22"/>
                <w:szCs w:val="22"/>
              </w:rPr>
              <w:t>ajanju od 24 ned</w:t>
            </w:r>
            <w:r w:rsidR="00A57C95" w:rsidRPr="009C0BEE">
              <w:rPr>
                <w:sz w:val="22"/>
                <w:szCs w:val="22"/>
              </w:rPr>
              <w:t>j</w:t>
            </w:r>
            <w:r w:rsidRPr="009C0BEE">
              <w:rPr>
                <w:sz w:val="22"/>
                <w:szCs w:val="22"/>
              </w:rPr>
              <w:t xml:space="preserve">elje). </w:t>
            </w:r>
            <w:r w:rsidR="00CA3123" w:rsidRPr="009C0BEE">
              <w:rPr>
                <w:sz w:val="22"/>
                <w:szCs w:val="22"/>
              </w:rPr>
              <w:t>Kapecitabin</w:t>
            </w:r>
            <w:r w:rsidR="004E3DA4" w:rsidRPr="009C0BEE">
              <w:rPr>
                <w:sz w:val="22"/>
                <w:szCs w:val="22"/>
              </w:rPr>
              <w:t xml:space="preserve"> </w:t>
            </w:r>
            <w:r w:rsidRPr="009C0BEE">
              <w:rPr>
                <w:sz w:val="22"/>
                <w:szCs w:val="22"/>
              </w:rPr>
              <w:t>je b</w:t>
            </w:r>
            <w:r w:rsidR="00CA3123" w:rsidRPr="009C0BEE">
              <w:rPr>
                <w:sz w:val="22"/>
                <w:szCs w:val="22"/>
              </w:rPr>
              <w:t>io</w:t>
            </w:r>
            <w:r w:rsidRPr="009C0BEE">
              <w:rPr>
                <w:sz w:val="22"/>
                <w:szCs w:val="22"/>
              </w:rPr>
              <w:t xml:space="preserve"> </w:t>
            </w:r>
            <w:r w:rsidR="00821F0D" w:rsidRPr="009C0BEE">
              <w:rPr>
                <w:sz w:val="22"/>
                <w:szCs w:val="22"/>
              </w:rPr>
              <w:t>najmanje jednako efikasan kao</w:t>
            </w:r>
            <w:r w:rsidRPr="009C0BEE">
              <w:rPr>
                <w:sz w:val="22"/>
                <w:szCs w:val="22"/>
              </w:rPr>
              <w:t xml:space="preserve"> i.v 5-FU/LV u trajanju preživljavanja bez bolesti u populacijama u ovom protokolu </w:t>
            </w:r>
            <w:r w:rsidR="00821F0D" w:rsidRPr="009C0BEE">
              <w:rPr>
                <w:sz w:val="22"/>
                <w:szCs w:val="22"/>
              </w:rPr>
              <w:t>(koeficijent rizika 0,92; 95%CI 0,80</w:t>
            </w:r>
            <w:r w:rsidRPr="009C0BEE">
              <w:rPr>
                <w:sz w:val="22"/>
                <w:szCs w:val="22"/>
              </w:rPr>
              <w:t>-1,0</w:t>
            </w:r>
            <w:r w:rsidR="00821F0D" w:rsidRPr="009C0BEE">
              <w:rPr>
                <w:sz w:val="22"/>
                <w:szCs w:val="22"/>
              </w:rPr>
              <w:t>6). U cijeloj randomizov</w:t>
            </w:r>
            <w:r w:rsidRPr="009C0BEE">
              <w:rPr>
                <w:sz w:val="22"/>
                <w:szCs w:val="22"/>
              </w:rPr>
              <w:t>anoj populaciji,</w:t>
            </w:r>
            <w:r w:rsidRPr="009C0BEE">
              <w:rPr>
                <w:color w:val="FF0000"/>
                <w:sz w:val="22"/>
                <w:szCs w:val="22"/>
              </w:rPr>
              <w:t xml:space="preserve"> </w:t>
            </w:r>
            <w:r w:rsidRPr="009C0BEE">
              <w:rPr>
                <w:sz w:val="22"/>
                <w:szCs w:val="22"/>
              </w:rPr>
              <w:t xml:space="preserve">testiranje za razliku između </w:t>
            </w:r>
            <w:r w:rsidR="00CA3123" w:rsidRPr="009C0BEE">
              <w:rPr>
                <w:sz w:val="22"/>
                <w:szCs w:val="22"/>
              </w:rPr>
              <w:t>ka</w:t>
            </w:r>
            <w:r w:rsidR="00F97A6E" w:rsidRPr="009C0BEE">
              <w:rPr>
                <w:sz w:val="22"/>
                <w:szCs w:val="22"/>
              </w:rPr>
              <w:t>pecitabin</w:t>
            </w:r>
            <w:r w:rsidR="00CA3123" w:rsidRPr="009C0BEE">
              <w:rPr>
                <w:sz w:val="22"/>
                <w:szCs w:val="22"/>
              </w:rPr>
              <w:t xml:space="preserve">a </w:t>
            </w:r>
            <w:r w:rsidRPr="009C0BEE">
              <w:rPr>
                <w:sz w:val="22"/>
                <w:szCs w:val="22"/>
              </w:rPr>
              <w:t>i 5-FU/LV  kada se radi o preživljavanju bez bolesti i ukupnom preživljavanju pokazalo je koeficijent rizika od 0,88 (95%CI 0,77 – 1,01; p=0,068) odnosno 0,86 (95%CI 0,77 –</w:t>
            </w:r>
            <w:r w:rsidRPr="009C0BEE">
              <w:rPr>
                <w:color w:val="FF0000"/>
                <w:sz w:val="22"/>
                <w:szCs w:val="22"/>
              </w:rPr>
              <w:t xml:space="preserve"> </w:t>
            </w:r>
            <w:r w:rsidRPr="009C0BEE">
              <w:rPr>
                <w:sz w:val="22"/>
                <w:szCs w:val="22"/>
              </w:rPr>
              <w:t>1,01; p=0,060), za ova dva parametra. Srednje trajanje praćenja u trenutku analize iznosilo je 6,9 godina. U prethodno planiranoj multivarijantnoj Koks analizi, pokazana je superiornost</w:t>
            </w:r>
            <w:r w:rsidR="00CA3123" w:rsidRPr="009C0BEE">
              <w:rPr>
                <w:sz w:val="22"/>
                <w:szCs w:val="22"/>
              </w:rPr>
              <w:t xml:space="preserve"> kapecitabina </w:t>
            </w:r>
            <w:r w:rsidRPr="009C0BEE">
              <w:rPr>
                <w:sz w:val="22"/>
                <w:szCs w:val="22"/>
              </w:rPr>
              <w:t>u poređenju sa bolusom 5-FU/LV. Za uključivanje u ovaj model sljedeći faktori su bili prethodno određeni za statističku analizu: godine starosti, vrijeme od operacije do randomizacije, pol, nivoi CEA</w:t>
            </w:r>
            <w:r w:rsidR="006C08B6" w:rsidRPr="009C0BEE">
              <w:rPr>
                <w:sz w:val="22"/>
                <w:szCs w:val="22"/>
              </w:rPr>
              <w:t xml:space="preserve"> (karcinoembrionalni antigen)</w:t>
            </w:r>
            <w:r w:rsidRPr="009C0BEE">
              <w:rPr>
                <w:sz w:val="22"/>
                <w:szCs w:val="22"/>
              </w:rPr>
              <w:t xml:space="preserve"> prije početka terapije (bazalni nivo), </w:t>
            </w:r>
            <w:r w:rsidR="006C08B6" w:rsidRPr="009C0BEE">
              <w:rPr>
                <w:sz w:val="22"/>
                <w:szCs w:val="22"/>
              </w:rPr>
              <w:t xml:space="preserve">status </w:t>
            </w:r>
            <w:r w:rsidRPr="009C0BEE">
              <w:rPr>
                <w:sz w:val="22"/>
                <w:szCs w:val="22"/>
              </w:rPr>
              <w:t>limfni</w:t>
            </w:r>
            <w:r w:rsidR="006C08B6" w:rsidRPr="009C0BEE">
              <w:rPr>
                <w:sz w:val="22"/>
                <w:szCs w:val="22"/>
              </w:rPr>
              <w:t>h čvorova</w:t>
            </w:r>
            <w:r w:rsidRPr="009C0BEE">
              <w:rPr>
                <w:sz w:val="22"/>
                <w:szCs w:val="22"/>
              </w:rPr>
              <w:t xml:space="preserve"> prije is</w:t>
            </w:r>
            <w:r w:rsidR="006C08B6" w:rsidRPr="009C0BEE">
              <w:rPr>
                <w:sz w:val="22"/>
                <w:szCs w:val="22"/>
              </w:rPr>
              <w:t>pitivane terapije</w:t>
            </w:r>
            <w:r w:rsidRPr="009C0BEE">
              <w:rPr>
                <w:sz w:val="22"/>
                <w:szCs w:val="22"/>
              </w:rPr>
              <w:t xml:space="preserve"> i </w:t>
            </w:r>
            <w:r w:rsidR="006C08B6" w:rsidRPr="009C0BEE">
              <w:rPr>
                <w:sz w:val="22"/>
                <w:szCs w:val="22"/>
              </w:rPr>
              <w:t>zemlja porijekla</w:t>
            </w:r>
            <w:r w:rsidRPr="009C0BEE">
              <w:rPr>
                <w:sz w:val="22"/>
                <w:szCs w:val="22"/>
              </w:rPr>
              <w:t xml:space="preserve">. U ukupnoj randomiziranoj populaciji pokazano je da je </w:t>
            </w:r>
            <w:r w:rsidR="006C08B6" w:rsidRPr="009C0BEE">
              <w:rPr>
                <w:sz w:val="22"/>
                <w:szCs w:val="22"/>
              </w:rPr>
              <w:t>k</w:t>
            </w:r>
            <w:r w:rsidR="00F91C4D" w:rsidRPr="009C0BEE">
              <w:rPr>
                <w:sz w:val="22"/>
                <w:szCs w:val="22"/>
              </w:rPr>
              <w:t>apecitabin</w:t>
            </w:r>
            <w:r w:rsidR="004E3DA4" w:rsidRPr="009C0BEE">
              <w:rPr>
                <w:sz w:val="22"/>
                <w:szCs w:val="22"/>
              </w:rPr>
              <w:t xml:space="preserve"> </w:t>
            </w:r>
            <w:r w:rsidR="006C08B6" w:rsidRPr="009C0BEE">
              <w:rPr>
                <w:sz w:val="22"/>
                <w:szCs w:val="22"/>
              </w:rPr>
              <w:t>superiorniji</w:t>
            </w:r>
            <w:r w:rsidRPr="009C0BEE">
              <w:rPr>
                <w:sz w:val="22"/>
                <w:szCs w:val="22"/>
              </w:rPr>
              <w:t xml:space="preserve"> od 5-FU/LV kada se radi o preživljavanju bez bolesti  [</w:t>
            </w:r>
            <w:r w:rsidR="007D3EC3" w:rsidRPr="009C0BEE">
              <w:rPr>
                <w:sz w:val="22"/>
                <w:szCs w:val="22"/>
              </w:rPr>
              <w:t xml:space="preserve">koeficijent </w:t>
            </w:r>
            <w:r w:rsidRPr="009C0BEE">
              <w:rPr>
                <w:sz w:val="22"/>
                <w:szCs w:val="22"/>
              </w:rPr>
              <w:t>rizika 0,849 (95%CI 0,739 – 0,976; p=0,0212)], kao i za ukupno preživljavanje [</w:t>
            </w:r>
            <w:r w:rsidR="007D3EC3" w:rsidRPr="009C0BEE">
              <w:rPr>
                <w:sz w:val="22"/>
                <w:szCs w:val="22"/>
              </w:rPr>
              <w:t xml:space="preserve">koeficijent </w:t>
            </w:r>
            <w:r w:rsidRPr="009C0BEE">
              <w:rPr>
                <w:sz w:val="22"/>
                <w:szCs w:val="22"/>
              </w:rPr>
              <w:t xml:space="preserve">rizika 0,828 (95%CI 0,705 – 0,971; p=0,0203)]. </w:t>
            </w:r>
          </w:p>
          <w:p w:rsidR="00C6356D" w:rsidRPr="009C0BEE" w:rsidRDefault="00C6356D" w:rsidP="00C6356D">
            <w:pPr>
              <w:pStyle w:val="Header"/>
              <w:tabs>
                <w:tab w:val="left" w:pos="284"/>
              </w:tabs>
              <w:rPr>
                <w:i/>
                <w:color w:val="FF0000"/>
                <w:sz w:val="22"/>
                <w:szCs w:val="22"/>
                <w:u w:val="single"/>
              </w:rPr>
            </w:pPr>
          </w:p>
          <w:p w:rsidR="00C6356D" w:rsidRPr="009C0BEE" w:rsidRDefault="00C6356D" w:rsidP="00C6356D">
            <w:pPr>
              <w:pStyle w:val="Header"/>
              <w:tabs>
                <w:tab w:val="left" w:pos="284"/>
              </w:tabs>
              <w:rPr>
                <w:i/>
                <w:sz w:val="22"/>
                <w:szCs w:val="22"/>
                <w:u w:val="single"/>
              </w:rPr>
            </w:pPr>
            <w:r w:rsidRPr="009C0BEE">
              <w:rPr>
                <w:i/>
                <w:sz w:val="22"/>
                <w:szCs w:val="22"/>
                <w:u w:val="single"/>
              </w:rPr>
              <w:t xml:space="preserve">Kombinovana terapija </w:t>
            </w:r>
            <w:r w:rsidR="00E56B13" w:rsidRPr="009C0BEE">
              <w:rPr>
                <w:i/>
                <w:sz w:val="22"/>
                <w:szCs w:val="22"/>
                <w:u w:val="single"/>
              </w:rPr>
              <w:t>u adjuvantnom liječenju</w:t>
            </w:r>
            <w:r w:rsidRPr="009C0BEE">
              <w:rPr>
                <w:i/>
                <w:sz w:val="22"/>
                <w:szCs w:val="22"/>
                <w:u w:val="single"/>
              </w:rPr>
              <w:t xml:space="preserve"> karcinoma </w:t>
            </w:r>
            <w:r w:rsidR="005A455B" w:rsidRPr="009C0BEE">
              <w:rPr>
                <w:i/>
                <w:sz w:val="22"/>
                <w:szCs w:val="22"/>
                <w:u w:val="single"/>
              </w:rPr>
              <w:t>kolona</w:t>
            </w:r>
          </w:p>
          <w:p w:rsidR="00C6356D" w:rsidRPr="009C0BEE" w:rsidRDefault="00C6356D" w:rsidP="00B91221">
            <w:pPr>
              <w:pStyle w:val="Header"/>
              <w:tabs>
                <w:tab w:val="left" w:pos="284"/>
              </w:tabs>
              <w:jc w:val="both"/>
              <w:rPr>
                <w:sz w:val="22"/>
                <w:szCs w:val="22"/>
              </w:rPr>
            </w:pPr>
            <w:r w:rsidRPr="009C0BEE">
              <w:rPr>
                <w:sz w:val="22"/>
                <w:szCs w:val="22"/>
              </w:rPr>
              <w:t>Podaci iz</w:t>
            </w:r>
            <w:r w:rsidR="005A455B" w:rsidRPr="009C0BEE">
              <w:rPr>
                <w:sz w:val="22"/>
                <w:szCs w:val="22"/>
              </w:rPr>
              <w:t xml:space="preserve"> jedne multicentrične, randomizov</w:t>
            </w:r>
            <w:r w:rsidRPr="009C0BEE">
              <w:rPr>
                <w:sz w:val="22"/>
                <w:szCs w:val="22"/>
              </w:rPr>
              <w:t xml:space="preserve">ane, kontrolisane studije faze 3 kod pacijenata sa stadijumom III (Djuksov stadijum C) karcinoma </w:t>
            </w:r>
            <w:r w:rsidR="005A455B" w:rsidRPr="009C0BEE">
              <w:rPr>
                <w:sz w:val="22"/>
                <w:szCs w:val="22"/>
              </w:rPr>
              <w:t>kolona</w:t>
            </w:r>
            <w:r w:rsidRPr="009C0BEE">
              <w:rPr>
                <w:sz w:val="22"/>
                <w:szCs w:val="22"/>
              </w:rPr>
              <w:t xml:space="preserve"> podržavaju upotrebu </w:t>
            </w:r>
            <w:r w:rsidR="0013161C" w:rsidRPr="009C0BEE">
              <w:rPr>
                <w:sz w:val="22"/>
                <w:szCs w:val="22"/>
              </w:rPr>
              <w:t>kapecitabina</w:t>
            </w:r>
            <w:r w:rsidRPr="009C0BEE">
              <w:rPr>
                <w:sz w:val="22"/>
                <w:szCs w:val="22"/>
              </w:rPr>
              <w:t xml:space="preserve"> u kombinaciji sa oksaliplatinom (XELOX) kao adjuvantne terapije za liječenje pacijenata sa karcinomom </w:t>
            </w:r>
            <w:r w:rsidR="005A455B" w:rsidRPr="009C0BEE">
              <w:rPr>
                <w:sz w:val="22"/>
                <w:szCs w:val="22"/>
              </w:rPr>
              <w:t>kolona</w:t>
            </w:r>
            <w:r w:rsidRPr="009C0BEE">
              <w:rPr>
                <w:sz w:val="22"/>
                <w:szCs w:val="22"/>
              </w:rPr>
              <w:t xml:space="preserve"> (studija NO16968).</w:t>
            </w:r>
            <w:r w:rsidRPr="009C0BEE">
              <w:rPr>
                <w:color w:val="FF0000"/>
                <w:sz w:val="22"/>
                <w:szCs w:val="22"/>
              </w:rPr>
              <w:t xml:space="preserve"> </w:t>
            </w:r>
            <w:r w:rsidRPr="009C0BEE">
              <w:rPr>
                <w:sz w:val="22"/>
                <w:szCs w:val="22"/>
              </w:rPr>
              <w:t>U tom ispitivanju</w:t>
            </w:r>
            <w:r w:rsidR="007D3EC3" w:rsidRPr="009C0BEE">
              <w:rPr>
                <w:sz w:val="22"/>
                <w:szCs w:val="22"/>
              </w:rPr>
              <w:t>,</w:t>
            </w:r>
            <w:r w:rsidRPr="009C0BEE">
              <w:rPr>
                <w:sz w:val="22"/>
                <w:szCs w:val="22"/>
              </w:rPr>
              <w:t xml:space="preserve"> 944 pacijenta je randomizovano za liječenje 3-ned</w:t>
            </w:r>
            <w:r w:rsidR="00B91221" w:rsidRPr="009C0BEE">
              <w:rPr>
                <w:sz w:val="22"/>
                <w:szCs w:val="22"/>
              </w:rPr>
              <w:t>j</w:t>
            </w:r>
            <w:r w:rsidRPr="009C0BEE">
              <w:rPr>
                <w:sz w:val="22"/>
                <w:szCs w:val="22"/>
              </w:rPr>
              <w:t>eljnim ciklusima tokom 24 ned</w:t>
            </w:r>
            <w:r w:rsidR="00B91221" w:rsidRPr="009C0BEE">
              <w:rPr>
                <w:sz w:val="22"/>
                <w:szCs w:val="22"/>
              </w:rPr>
              <w:t>j</w:t>
            </w:r>
            <w:r w:rsidRPr="009C0BEE">
              <w:rPr>
                <w:sz w:val="22"/>
                <w:szCs w:val="22"/>
              </w:rPr>
              <w:t xml:space="preserve">elje  </w:t>
            </w:r>
            <w:r w:rsidR="0013161C" w:rsidRPr="009C0BEE">
              <w:rPr>
                <w:sz w:val="22"/>
                <w:szCs w:val="22"/>
              </w:rPr>
              <w:t>kapecitabinom</w:t>
            </w:r>
            <w:r w:rsidRPr="009C0BEE">
              <w:rPr>
                <w:sz w:val="22"/>
                <w:szCs w:val="22"/>
              </w:rPr>
              <w:t xml:space="preserve"> (1000 mg/m</w:t>
            </w:r>
            <w:r w:rsidRPr="009C0BEE">
              <w:rPr>
                <w:sz w:val="22"/>
                <w:szCs w:val="22"/>
                <w:vertAlign w:val="superscript"/>
              </w:rPr>
              <w:t>2</w:t>
            </w:r>
            <w:r w:rsidRPr="009C0BEE">
              <w:rPr>
                <w:sz w:val="22"/>
                <w:szCs w:val="22"/>
              </w:rPr>
              <w:t xml:space="preserve"> dva puta dnevno tokom dvije ned</w:t>
            </w:r>
            <w:r w:rsidR="00B91221" w:rsidRPr="009C0BEE">
              <w:rPr>
                <w:sz w:val="22"/>
                <w:szCs w:val="22"/>
              </w:rPr>
              <w:t>j</w:t>
            </w:r>
            <w:r w:rsidRPr="009C0BEE">
              <w:rPr>
                <w:sz w:val="22"/>
                <w:szCs w:val="22"/>
              </w:rPr>
              <w:t>elje, nakon čega slijedi ned</w:t>
            </w:r>
            <w:r w:rsidR="00B91221" w:rsidRPr="009C0BEE">
              <w:rPr>
                <w:sz w:val="22"/>
                <w:szCs w:val="22"/>
              </w:rPr>
              <w:t>j</w:t>
            </w:r>
            <w:r w:rsidRPr="009C0BEE">
              <w:rPr>
                <w:sz w:val="22"/>
                <w:szCs w:val="22"/>
              </w:rPr>
              <w:t>elja dana odmora) u kombinaciji sa oksaliplatinom (130 mg/m</w:t>
            </w:r>
            <w:r w:rsidRPr="009C0BEE">
              <w:rPr>
                <w:sz w:val="22"/>
                <w:szCs w:val="22"/>
                <w:vertAlign w:val="superscript"/>
              </w:rPr>
              <w:t xml:space="preserve">2  </w:t>
            </w:r>
            <w:r w:rsidRPr="009C0BEE">
              <w:rPr>
                <w:sz w:val="22"/>
                <w:szCs w:val="22"/>
              </w:rPr>
              <w:t>dva sata prvog dana, svake 3 ned</w:t>
            </w:r>
            <w:r w:rsidR="00B91221" w:rsidRPr="009C0BEE">
              <w:rPr>
                <w:sz w:val="22"/>
                <w:szCs w:val="22"/>
              </w:rPr>
              <w:t>j</w:t>
            </w:r>
            <w:r w:rsidRPr="009C0BEE">
              <w:rPr>
                <w:sz w:val="22"/>
                <w:szCs w:val="22"/>
              </w:rPr>
              <w:t>elje); 942 pacijenta je</w:t>
            </w:r>
            <w:r w:rsidRPr="009C0BEE">
              <w:rPr>
                <w:color w:val="FF0000"/>
                <w:sz w:val="22"/>
                <w:szCs w:val="22"/>
              </w:rPr>
              <w:t xml:space="preserve"> </w:t>
            </w:r>
            <w:r w:rsidRPr="009C0BEE">
              <w:rPr>
                <w:sz w:val="22"/>
                <w:szCs w:val="22"/>
              </w:rPr>
              <w:t>randomizovano za liječenje bolusom 5-FU i leukovorin. Primarnom analizom, preživljavanje bez znakov</w:t>
            </w:r>
            <w:r w:rsidR="00E56B13" w:rsidRPr="009C0BEE">
              <w:rPr>
                <w:sz w:val="22"/>
                <w:szCs w:val="22"/>
              </w:rPr>
              <w:t>a bolesti u populaciji  pacijenata predviđ</w:t>
            </w:r>
            <w:r w:rsidRPr="009C0BEE">
              <w:rPr>
                <w:sz w:val="22"/>
                <w:szCs w:val="22"/>
              </w:rPr>
              <w:t>enih za liječenje XELOX</w:t>
            </w:r>
            <w:r w:rsidR="00E56B13" w:rsidRPr="009C0BEE">
              <w:rPr>
                <w:sz w:val="22"/>
                <w:szCs w:val="22"/>
              </w:rPr>
              <w:t>-</w:t>
            </w:r>
            <w:r w:rsidRPr="009C0BEE">
              <w:rPr>
                <w:sz w:val="22"/>
                <w:szCs w:val="22"/>
              </w:rPr>
              <w:t>om se pokazalo značajno superiornijim u</w:t>
            </w:r>
            <w:r w:rsidRPr="009C0BEE">
              <w:rPr>
                <w:color w:val="FF0000"/>
                <w:sz w:val="22"/>
                <w:szCs w:val="22"/>
              </w:rPr>
              <w:t xml:space="preserve"> </w:t>
            </w:r>
            <w:r w:rsidRPr="009C0BEE">
              <w:rPr>
                <w:sz w:val="22"/>
                <w:szCs w:val="22"/>
              </w:rPr>
              <w:t>odnosu na 5-FU/LV (koeficijent rizika 0</w:t>
            </w:r>
            <w:r w:rsidR="007D3EC3" w:rsidRPr="009C0BEE">
              <w:rPr>
                <w:sz w:val="22"/>
                <w:szCs w:val="22"/>
              </w:rPr>
              <w:t>,</w:t>
            </w:r>
            <w:r w:rsidRPr="009C0BEE">
              <w:rPr>
                <w:sz w:val="22"/>
                <w:szCs w:val="22"/>
              </w:rPr>
              <w:t>80, 95% CI=[0</w:t>
            </w:r>
            <w:r w:rsidR="007D3EC3" w:rsidRPr="009C0BEE">
              <w:rPr>
                <w:sz w:val="22"/>
                <w:szCs w:val="22"/>
              </w:rPr>
              <w:t>,</w:t>
            </w:r>
            <w:r w:rsidRPr="009C0BEE">
              <w:rPr>
                <w:sz w:val="22"/>
                <w:szCs w:val="22"/>
              </w:rPr>
              <w:t>69; 0.93]; p=0</w:t>
            </w:r>
            <w:r w:rsidR="007D3EC3" w:rsidRPr="009C0BEE">
              <w:rPr>
                <w:sz w:val="22"/>
                <w:szCs w:val="22"/>
              </w:rPr>
              <w:t>,</w:t>
            </w:r>
            <w:r w:rsidRPr="009C0BEE">
              <w:rPr>
                <w:sz w:val="22"/>
                <w:szCs w:val="22"/>
              </w:rPr>
              <w:t>0045). Trogodišnja stopa preživljavanja bez znakova bolesti bila je 71% za XELOX nasuprot 67% za 5-FU/LV. Analiza sekundarnog cilja, preživljavanje bez znakova relapsa, podržava ove rezultate sa koeficijentom rizika 0</w:t>
            </w:r>
            <w:r w:rsidR="007D3EC3" w:rsidRPr="009C0BEE">
              <w:rPr>
                <w:sz w:val="22"/>
                <w:szCs w:val="22"/>
              </w:rPr>
              <w:t>,</w:t>
            </w:r>
            <w:r w:rsidRPr="009C0BEE">
              <w:rPr>
                <w:sz w:val="22"/>
                <w:szCs w:val="22"/>
              </w:rPr>
              <w:t>78 ( 95% CI=[0</w:t>
            </w:r>
            <w:r w:rsidR="007D3EC3" w:rsidRPr="009C0BEE">
              <w:rPr>
                <w:sz w:val="22"/>
                <w:szCs w:val="22"/>
              </w:rPr>
              <w:t>,</w:t>
            </w:r>
            <w:r w:rsidRPr="009C0BEE">
              <w:rPr>
                <w:sz w:val="22"/>
                <w:szCs w:val="22"/>
              </w:rPr>
              <w:t>67; 0.92]; p=0</w:t>
            </w:r>
            <w:r w:rsidR="007D3EC3" w:rsidRPr="009C0BEE">
              <w:rPr>
                <w:sz w:val="22"/>
                <w:szCs w:val="22"/>
              </w:rPr>
              <w:t>,</w:t>
            </w:r>
            <w:r w:rsidRPr="009C0BEE">
              <w:rPr>
                <w:sz w:val="22"/>
                <w:szCs w:val="22"/>
              </w:rPr>
              <w:t>0024) za XELOX u odnosu na 5-FU/LV. XELOX je pokazao superiornost u ukupnom preživljavanju uz koeficijent rizika  od 0</w:t>
            </w:r>
            <w:r w:rsidR="007D3EC3" w:rsidRPr="009C0BEE">
              <w:rPr>
                <w:sz w:val="22"/>
                <w:szCs w:val="22"/>
              </w:rPr>
              <w:t>,</w:t>
            </w:r>
            <w:r w:rsidRPr="009C0BEE">
              <w:rPr>
                <w:sz w:val="22"/>
                <w:szCs w:val="22"/>
              </w:rPr>
              <w:t>87 ( 95% CI=[0</w:t>
            </w:r>
            <w:r w:rsidR="007D3EC3" w:rsidRPr="009C0BEE">
              <w:rPr>
                <w:sz w:val="22"/>
                <w:szCs w:val="22"/>
              </w:rPr>
              <w:t>,</w:t>
            </w:r>
            <w:r w:rsidRPr="009C0BEE">
              <w:rPr>
                <w:sz w:val="22"/>
                <w:szCs w:val="22"/>
              </w:rPr>
              <w:t>72; 1</w:t>
            </w:r>
            <w:r w:rsidR="007D3EC3" w:rsidRPr="009C0BEE">
              <w:rPr>
                <w:sz w:val="22"/>
                <w:szCs w:val="22"/>
              </w:rPr>
              <w:t>,</w:t>
            </w:r>
            <w:r w:rsidRPr="009C0BEE">
              <w:rPr>
                <w:sz w:val="22"/>
                <w:szCs w:val="22"/>
              </w:rPr>
              <w:t>05]; p=0.1486), što znači 13% smanjenje rizika od smrti. Petogodišnja stopa ukupnog preživljavanja bila je 78% za XELOX nasuprot 74 % za 5-FU/LV. Podaci o efikasnosti baziraju se na medijani vremena praćenja od 59 mjeseci za ukupno preživljavanje</w:t>
            </w:r>
            <w:r w:rsidR="007D3EC3" w:rsidRPr="009C0BEE">
              <w:rPr>
                <w:sz w:val="22"/>
                <w:szCs w:val="22"/>
              </w:rPr>
              <w:t>,</w:t>
            </w:r>
            <w:r w:rsidRPr="009C0BEE">
              <w:rPr>
                <w:sz w:val="22"/>
                <w:szCs w:val="22"/>
              </w:rPr>
              <w:t xml:space="preserve">  i 57 mjeseci za preživljavanje bez znakova bolesti. Stopa prekida usl</w:t>
            </w:r>
            <w:r w:rsidR="007D3EC3" w:rsidRPr="009C0BEE">
              <w:rPr>
                <w:sz w:val="22"/>
                <w:szCs w:val="22"/>
              </w:rPr>
              <w:t>j</w:t>
            </w:r>
            <w:r w:rsidRPr="009C0BEE">
              <w:rPr>
                <w:sz w:val="22"/>
                <w:szCs w:val="22"/>
              </w:rPr>
              <w:t>ed pojave neželjenih doga</w:t>
            </w:r>
            <w:r w:rsidR="00080AD5" w:rsidRPr="009C0BEE">
              <w:rPr>
                <w:sz w:val="22"/>
                <w:szCs w:val="22"/>
              </w:rPr>
              <w:t>đ</w:t>
            </w:r>
            <w:r w:rsidRPr="009C0BEE">
              <w:rPr>
                <w:sz w:val="22"/>
                <w:szCs w:val="22"/>
              </w:rPr>
              <w:t>aja je bila veća u grupi koja je prima</w:t>
            </w:r>
            <w:r w:rsidR="00620E1E" w:rsidRPr="009C0BEE">
              <w:rPr>
                <w:sz w:val="22"/>
                <w:szCs w:val="22"/>
              </w:rPr>
              <w:t>la XELOX protokol (21%) u poređ</w:t>
            </w:r>
            <w:r w:rsidRPr="009C0BEE">
              <w:rPr>
                <w:sz w:val="22"/>
                <w:szCs w:val="22"/>
              </w:rPr>
              <w:t xml:space="preserve">enju sa grupom koja je primala 5-FU/LV monoterapiju (9%) </w:t>
            </w:r>
            <w:r w:rsidR="00620E1E" w:rsidRPr="009C0BEE">
              <w:rPr>
                <w:sz w:val="22"/>
                <w:szCs w:val="22"/>
              </w:rPr>
              <w:t>u populaciji pacijenata predviđ</w:t>
            </w:r>
            <w:r w:rsidRPr="009C0BEE">
              <w:rPr>
                <w:sz w:val="22"/>
                <w:szCs w:val="22"/>
              </w:rPr>
              <w:t>enih za liječenje.</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
                <w:sz w:val="22"/>
                <w:szCs w:val="22"/>
                <w:u w:val="single"/>
              </w:rPr>
            </w:pPr>
            <w:r w:rsidRPr="009C0BEE">
              <w:rPr>
                <w:i/>
                <w:sz w:val="22"/>
                <w:szCs w:val="22"/>
                <w:u w:val="single"/>
              </w:rPr>
              <w:t xml:space="preserve">Monoterapija </w:t>
            </w:r>
            <w:r w:rsidR="0017311B" w:rsidRPr="009C0BEE">
              <w:rPr>
                <w:i/>
                <w:sz w:val="22"/>
                <w:szCs w:val="22"/>
                <w:u w:val="single"/>
              </w:rPr>
              <w:t>k</w:t>
            </w:r>
            <w:r w:rsidR="00F91C4D" w:rsidRPr="009C0BEE">
              <w:rPr>
                <w:i/>
                <w:sz w:val="22"/>
                <w:szCs w:val="22"/>
                <w:u w:val="single"/>
              </w:rPr>
              <w:t>apecitabin</w:t>
            </w:r>
            <w:r w:rsidR="0017311B" w:rsidRPr="009C0BEE">
              <w:rPr>
                <w:i/>
                <w:sz w:val="22"/>
                <w:szCs w:val="22"/>
                <w:u w:val="single"/>
              </w:rPr>
              <w:t>om</w:t>
            </w:r>
            <w:r w:rsidRPr="009C0BEE">
              <w:rPr>
                <w:i/>
                <w:sz w:val="22"/>
                <w:szCs w:val="22"/>
                <w:u w:val="single"/>
              </w:rPr>
              <w:t xml:space="preserve"> </w:t>
            </w:r>
            <w:r w:rsidR="00D652D5" w:rsidRPr="009C0BEE">
              <w:rPr>
                <w:i/>
                <w:sz w:val="22"/>
                <w:szCs w:val="22"/>
                <w:u w:val="single"/>
              </w:rPr>
              <w:t>u liječenju</w:t>
            </w:r>
            <w:r w:rsidRPr="009C0BEE">
              <w:rPr>
                <w:i/>
                <w:sz w:val="22"/>
                <w:szCs w:val="22"/>
                <w:u w:val="single"/>
              </w:rPr>
              <w:t xml:space="preserve"> metastatskog kolorektalnog karcinoma</w:t>
            </w:r>
          </w:p>
          <w:p w:rsidR="00C6356D" w:rsidRPr="009C0BEE" w:rsidRDefault="00C6356D" w:rsidP="002B5C93">
            <w:pPr>
              <w:pStyle w:val="Header"/>
              <w:tabs>
                <w:tab w:val="left" w:pos="284"/>
              </w:tabs>
              <w:jc w:val="both"/>
              <w:rPr>
                <w:color w:val="FF0000"/>
                <w:sz w:val="22"/>
                <w:szCs w:val="22"/>
              </w:rPr>
            </w:pPr>
            <w:r w:rsidRPr="009C0BEE">
              <w:rPr>
                <w:sz w:val="22"/>
                <w:szCs w:val="22"/>
              </w:rPr>
              <w:t>Podaci iz dvije identično dizajni</w:t>
            </w:r>
            <w:r w:rsidR="002B5C93" w:rsidRPr="009C0BEE">
              <w:rPr>
                <w:sz w:val="22"/>
                <w:szCs w:val="22"/>
              </w:rPr>
              <w:t>rane, multicentrične, randomizov</w:t>
            </w:r>
            <w:r w:rsidRPr="009C0BEE">
              <w:rPr>
                <w:sz w:val="22"/>
                <w:szCs w:val="22"/>
              </w:rPr>
              <w:t xml:space="preserve">ane kliničke studije treće faze  (SO14695; SO14796) podržavaju upotrebu </w:t>
            </w:r>
            <w:r w:rsidR="00637B9A" w:rsidRPr="009C0BEE">
              <w:rPr>
                <w:sz w:val="22"/>
                <w:szCs w:val="22"/>
              </w:rPr>
              <w:t>kapecitabina</w:t>
            </w:r>
            <w:r w:rsidRPr="009C0BEE">
              <w:rPr>
                <w:color w:val="FF0000"/>
                <w:sz w:val="22"/>
                <w:szCs w:val="22"/>
              </w:rPr>
              <w:t xml:space="preserve"> </w:t>
            </w:r>
            <w:r w:rsidRPr="009C0BEE">
              <w:rPr>
                <w:sz w:val="22"/>
                <w:szCs w:val="22"/>
              </w:rPr>
              <w:t xml:space="preserve">kao prve linije terapije za metastatski kolorektalni karcinom. U ovim ispitivanjima, 603 pacijenta su nasumično dodijeljena u grupu da primaju terapiju </w:t>
            </w:r>
            <w:r w:rsidR="00CA3123" w:rsidRPr="009C0BEE">
              <w:rPr>
                <w:sz w:val="22"/>
                <w:szCs w:val="22"/>
              </w:rPr>
              <w:t xml:space="preserve">lijekom </w:t>
            </w:r>
            <w:r w:rsidR="0028138D" w:rsidRPr="009C0BEE">
              <w:rPr>
                <w:sz w:val="22"/>
                <w:szCs w:val="22"/>
              </w:rPr>
              <w:t>kapecitabin</w:t>
            </w:r>
            <w:r w:rsidRPr="009C0BEE">
              <w:rPr>
                <w:sz w:val="22"/>
                <w:szCs w:val="22"/>
              </w:rPr>
              <w:t xml:space="preserve"> (1250 mg/m</w:t>
            </w:r>
            <w:r w:rsidRPr="009C0BEE">
              <w:rPr>
                <w:sz w:val="22"/>
                <w:szCs w:val="22"/>
                <w:vertAlign w:val="superscript"/>
              </w:rPr>
              <w:t>2</w:t>
            </w:r>
            <w:r w:rsidRPr="009C0BEE">
              <w:rPr>
                <w:sz w:val="22"/>
                <w:szCs w:val="22"/>
              </w:rPr>
              <w:t xml:space="preserve"> dva puta dnevno tokom 2 ned</w:t>
            </w:r>
            <w:r w:rsidR="002B5C93" w:rsidRPr="009C0BEE">
              <w:rPr>
                <w:sz w:val="22"/>
                <w:szCs w:val="22"/>
              </w:rPr>
              <w:t>j</w:t>
            </w:r>
            <w:r w:rsidRPr="009C0BEE">
              <w:rPr>
                <w:sz w:val="22"/>
                <w:szCs w:val="22"/>
              </w:rPr>
              <w:t>elje</w:t>
            </w:r>
            <w:r w:rsidR="00D30231" w:rsidRPr="009C0BEE">
              <w:rPr>
                <w:sz w:val="22"/>
                <w:szCs w:val="22"/>
              </w:rPr>
              <w:t>,</w:t>
            </w:r>
            <w:r w:rsidRPr="009C0BEE">
              <w:rPr>
                <w:sz w:val="22"/>
                <w:szCs w:val="22"/>
              </w:rPr>
              <w:t xml:space="preserve"> poslije čega slijedi jednoned</w:t>
            </w:r>
            <w:r w:rsidR="002B5C93" w:rsidRPr="009C0BEE">
              <w:rPr>
                <w:sz w:val="22"/>
                <w:szCs w:val="22"/>
              </w:rPr>
              <w:t>j</w:t>
            </w:r>
            <w:r w:rsidRPr="009C0BEE">
              <w:rPr>
                <w:sz w:val="22"/>
                <w:szCs w:val="22"/>
              </w:rPr>
              <w:t>eljni period odmora</w:t>
            </w:r>
            <w:r w:rsidR="00D30231" w:rsidRPr="009C0BEE">
              <w:rPr>
                <w:sz w:val="22"/>
                <w:szCs w:val="22"/>
              </w:rPr>
              <w:t>,</w:t>
            </w:r>
            <w:r w:rsidRPr="009C0BEE">
              <w:rPr>
                <w:sz w:val="22"/>
                <w:szCs w:val="22"/>
              </w:rPr>
              <w:t xml:space="preserve"> sa ukupno tri ovakva ciklusa),</w:t>
            </w:r>
            <w:r w:rsidRPr="009C0BEE">
              <w:rPr>
                <w:color w:val="FF0000"/>
                <w:sz w:val="22"/>
                <w:szCs w:val="22"/>
              </w:rPr>
              <w:t xml:space="preserve"> </w:t>
            </w:r>
            <w:r w:rsidRPr="009C0BEE">
              <w:rPr>
                <w:sz w:val="22"/>
                <w:szCs w:val="22"/>
              </w:rPr>
              <w:t>a  604 pacijenta 5-FU i leukovorin</w:t>
            </w:r>
            <w:r w:rsidRPr="009C0BEE">
              <w:rPr>
                <w:color w:val="FF0000"/>
                <w:sz w:val="22"/>
                <w:szCs w:val="22"/>
              </w:rPr>
              <w:t xml:space="preserve"> </w:t>
            </w:r>
            <w:r w:rsidRPr="009C0BEE">
              <w:rPr>
                <w:sz w:val="22"/>
                <w:szCs w:val="22"/>
              </w:rPr>
              <w:t>(režim klinike Mejo: 20 mg/m</w:t>
            </w:r>
            <w:r w:rsidRPr="009C0BEE">
              <w:rPr>
                <w:sz w:val="22"/>
                <w:szCs w:val="22"/>
                <w:vertAlign w:val="superscript"/>
              </w:rPr>
              <w:t>2</w:t>
            </w:r>
            <w:r w:rsidRPr="009C0BEE">
              <w:rPr>
                <w:sz w:val="22"/>
                <w:szCs w:val="22"/>
              </w:rPr>
              <w:t xml:space="preserve"> leukovorina IV praćeno 425 mg/m</w:t>
            </w:r>
            <w:r w:rsidRPr="009C0BEE">
              <w:rPr>
                <w:sz w:val="22"/>
                <w:szCs w:val="22"/>
                <w:vertAlign w:val="superscript"/>
              </w:rPr>
              <w:t>2</w:t>
            </w:r>
            <w:r w:rsidRPr="009C0BEE">
              <w:rPr>
                <w:sz w:val="22"/>
                <w:szCs w:val="22"/>
              </w:rPr>
              <w:t xml:space="preserve"> IV bolus 5-FU, od prvog do petog dana, svakih 28 dana). </w:t>
            </w:r>
            <w:r w:rsidR="005010D7" w:rsidRPr="009C0BEE">
              <w:rPr>
                <w:sz w:val="22"/>
                <w:szCs w:val="22"/>
              </w:rPr>
              <w:t>Ukupne objektivne stope</w:t>
            </w:r>
            <w:r w:rsidRPr="009C0BEE">
              <w:rPr>
                <w:sz w:val="22"/>
                <w:szCs w:val="22"/>
              </w:rPr>
              <w:t xml:space="preserve"> o</w:t>
            </w:r>
            <w:r w:rsidR="002B5C93" w:rsidRPr="009C0BEE">
              <w:rPr>
                <w:sz w:val="22"/>
                <w:szCs w:val="22"/>
              </w:rPr>
              <w:t>dgovora u cjelokupnoj randomizov</w:t>
            </w:r>
            <w:r w:rsidRPr="009C0BEE">
              <w:rPr>
                <w:sz w:val="22"/>
                <w:szCs w:val="22"/>
              </w:rPr>
              <w:t>anoj populaciji (procjena istraživača) iznosile su 25,7% (</w:t>
            </w:r>
            <w:r w:rsidR="00637B9A" w:rsidRPr="009C0BEE">
              <w:rPr>
                <w:sz w:val="22"/>
                <w:szCs w:val="22"/>
              </w:rPr>
              <w:t>kapecitabin</w:t>
            </w:r>
            <w:r w:rsidRPr="009C0BEE">
              <w:rPr>
                <w:sz w:val="22"/>
                <w:szCs w:val="22"/>
              </w:rPr>
              <w:t>) prema 16,7% (režim klinike Mejo); p&lt;0,0002. Srednje vrijeme do progresije bolesti iznosilo je 140 dana (</w:t>
            </w:r>
            <w:r w:rsidR="00637B9A" w:rsidRPr="009C0BEE">
              <w:rPr>
                <w:sz w:val="22"/>
                <w:szCs w:val="22"/>
              </w:rPr>
              <w:t>kapecitabin</w:t>
            </w:r>
            <w:r w:rsidRPr="009C0BEE">
              <w:rPr>
                <w:sz w:val="22"/>
                <w:szCs w:val="22"/>
              </w:rPr>
              <w:t>) prema 144 dana (režim klinike Mejo). Srednje vrijeme preživljavanja iznosilo je 392 dana (</w:t>
            </w:r>
            <w:r w:rsidR="00637B9A" w:rsidRPr="009C0BEE">
              <w:rPr>
                <w:sz w:val="22"/>
                <w:szCs w:val="22"/>
              </w:rPr>
              <w:t>kapecitabin</w:t>
            </w:r>
            <w:r w:rsidRPr="009C0BEE">
              <w:rPr>
                <w:sz w:val="22"/>
                <w:szCs w:val="22"/>
              </w:rPr>
              <w:t xml:space="preserve">) prema 391 dan (režim klinike Mejo). </w:t>
            </w:r>
            <w:r w:rsidR="00E60418" w:rsidRPr="009C0BEE">
              <w:rPr>
                <w:sz w:val="22"/>
                <w:szCs w:val="22"/>
              </w:rPr>
              <w:t>Za sada</w:t>
            </w:r>
            <w:r w:rsidRPr="009C0BEE">
              <w:rPr>
                <w:sz w:val="22"/>
                <w:szCs w:val="22"/>
              </w:rPr>
              <w:t xml:space="preserve"> nema uporednih podataka </w:t>
            </w:r>
            <w:r w:rsidRPr="009C0BEE">
              <w:rPr>
                <w:sz w:val="22"/>
                <w:szCs w:val="22"/>
              </w:rPr>
              <w:lastRenderedPageBreak/>
              <w:t xml:space="preserve">o monoterapiji </w:t>
            </w:r>
            <w:r w:rsidR="00E60418" w:rsidRPr="009C0BEE">
              <w:rPr>
                <w:sz w:val="22"/>
                <w:szCs w:val="22"/>
              </w:rPr>
              <w:t>k</w:t>
            </w:r>
            <w:r w:rsidR="00F91C4D" w:rsidRPr="009C0BEE">
              <w:rPr>
                <w:sz w:val="22"/>
                <w:szCs w:val="22"/>
              </w:rPr>
              <w:t>apecitabin</w:t>
            </w:r>
            <w:r w:rsidR="00E60418" w:rsidRPr="009C0BEE">
              <w:rPr>
                <w:sz w:val="22"/>
                <w:szCs w:val="22"/>
              </w:rPr>
              <w:t>om</w:t>
            </w:r>
            <w:r w:rsidRPr="009C0BEE">
              <w:rPr>
                <w:sz w:val="22"/>
                <w:szCs w:val="22"/>
              </w:rPr>
              <w:t xml:space="preserve"> kod kolorektalnog karcinoma u poređenju sa kombinovanim režimom prve linije terapije.</w:t>
            </w:r>
            <w:r w:rsidRPr="009C0BEE">
              <w:rPr>
                <w:color w:val="FF0000"/>
                <w:sz w:val="22"/>
                <w:szCs w:val="22"/>
              </w:rPr>
              <w:t xml:space="preserve"> </w:t>
            </w:r>
          </w:p>
          <w:p w:rsidR="00C6356D" w:rsidRPr="009C0BEE" w:rsidRDefault="00C6356D" w:rsidP="00C6356D">
            <w:pPr>
              <w:pStyle w:val="Header"/>
              <w:tabs>
                <w:tab w:val="left" w:pos="284"/>
              </w:tabs>
              <w:rPr>
                <w:i/>
                <w:color w:val="FF0000"/>
                <w:sz w:val="22"/>
                <w:szCs w:val="22"/>
                <w:u w:val="single"/>
              </w:rPr>
            </w:pPr>
          </w:p>
          <w:p w:rsidR="00C6356D" w:rsidRPr="009C0BEE" w:rsidRDefault="00C6356D" w:rsidP="00C6356D">
            <w:pPr>
              <w:pStyle w:val="Header"/>
              <w:tabs>
                <w:tab w:val="left" w:pos="284"/>
              </w:tabs>
              <w:rPr>
                <w:i/>
                <w:sz w:val="22"/>
                <w:szCs w:val="22"/>
                <w:u w:val="single"/>
              </w:rPr>
            </w:pPr>
            <w:r w:rsidRPr="009C0BEE">
              <w:rPr>
                <w:i/>
                <w:sz w:val="22"/>
                <w:szCs w:val="22"/>
                <w:u w:val="single"/>
              </w:rPr>
              <w:t>Kombinovana terapija u prvoj liniji terapije metastatskog kolorektalnog karcinoma</w:t>
            </w:r>
          </w:p>
          <w:p w:rsidR="00C6356D" w:rsidRPr="009C0BEE" w:rsidRDefault="00C6356D" w:rsidP="009517B8">
            <w:pPr>
              <w:pStyle w:val="Header"/>
              <w:tabs>
                <w:tab w:val="left" w:pos="284"/>
              </w:tabs>
              <w:jc w:val="both"/>
              <w:rPr>
                <w:i/>
                <w:sz w:val="22"/>
                <w:szCs w:val="22"/>
                <w:u w:val="single"/>
              </w:rPr>
            </w:pPr>
            <w:r w:rsidRPr="009C0BEE">
              <w:rPr>
                <w:sz w:val="22"/>
                <w:szCs w:val="22"/>
              </w:rPr>
              <w:t xml:space="preserve">Podaci iz </w:t>
            </w:r>
            <w:r w:rsidR="006F1B5E" w:rsidRPr="009C0BEE">
              <w:rPr>
                <w:sz w:val="22"/>
                <w:szCs w:val="22"/>
              </w:rPr>
              <w:t>jedne multicentrične, randomizov</w:t>
            </w:r>
            <w:r w:rsidRPr="009C0BEE">
              <w:rPr>
                <w:sz w:val="22"/>
                <w:szCs w:val="22"/>
              </w:rPr>
              <w:t xml:space="preserve">ane, kontrolisane kliničke studije faze III (NO16966) podržavaju upotrebu </w:t>
            </w:r>
            <w:r w:rsidR="0028138D" w:rsidRPr="009C0BEE">
              <w:rPr>
                <w:sz w:val="22"/>
                <w:szCs w:val="22"/>
              </w:rPr>
              <w:t xml:space="preserve">kapecitabina </w:t>
            </w:r>
            <w:r w:rsidRPr="009C0BEE">
              <w:rPr>
                <w:sz w:val="22"/>
                <w:szCs w:val="22"/>
              </w:rPr>
              <w:t xml:space="preserve">u kombinaciji sa oksaliplatinom ili u kombinaciji sa oksaliplatinom </w:t>
            </w:r>
            <w:r w:rsidR="006F1B5E" w:rsidRPr="009C0BEE">
              <w:rPr>
                <w:sz w:val="22"/>
                <w:szCs w:val="22"/>
              </w:rPr>
              <w:t>i</w:t>
            </w:r>
            <w:r w:rsidRPr="009C0BEE">
              <w:rPr>
                <w:sz w:val="22"/>
                <w:szCs w:val="22"/>
              </w:rPr>
              <w:t xml:space="preserve"> bevacizumab</w:t>
            </w:r>
            <w:r w:rsidR="006F1B5E" w:rsidRPr="009C0BEE">
              <w:rPr>
                <w:sz w:val="22"/>
                <w:szCs w:val="22"/>
              </w:rPr>
              <w:t>om</w:t>
            </w:r>
            <w:r w:rsidRPr="009C0BEE">
              <w:rPr>
                <w:sz w:val="22"/>
                <w:szCs w:val="22"/>
              </w:rPr>
              <w:t xml:space="preserve"> za prvu liniju terapije metastatskog kolorektalnog karcinoma. Ova studija je imala dva dijela: prvi dio u dvije grupe u k</w:t>
            </w:r>
            <w:r w:rsidR="006F1B5E" w:rsidRPr="009C0BEE">
              <w:rPr>
                <w:sz w:val="22"/>
                <w:szCs w:val="22"/>
              </w:rPr>
              <w:t>ome je 634 pacijenata randomizov</w:t>
            </w:r>
            <w:r w:rsidRPr="009C0BEE">
              <w:rPr>
                <w:sz w:val="22"/>
                <w:szCs w:val="22"/>
              </w:rPr>
              <w:t xml:space="preserve">ano u dvije različite terapijske grupe, uključujući  XELOX ili  FOLFOX-4, i potom faktorski dio 2x2 u kome je  1401 pacijenata randomizirano u četiri različite terapijske grupe, uključujući XELOX plus placebo, FOLFOX-4 plus placebo, XELOX plus bevacizumab, i FOLFOX-4 plus bevacizumab. </w:t>
            </w:r>
            <w:r w:rsidR="005010D7" w:rsidRPr="009C0BEE">
              <w:rPr>
                <w:sz w:val="22"/>
                <w:szCs w:val="22"/>
              </w:rPr>
              <w:t xml:space="preserve">U </w:t>
            </w:r>
            <w:r w:rsidRPr="009C0BEE">
              <w:rPr>
                <w:sz w:val="22"/>
                <w:szCs w:val="22"/>
              </w:rPr>
              <w:t>Tabeli 6. su prikazani ovi terapijski režimi.</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rPr>
            </w:pPr>
            <w:r w:rsidRPr="009C0BEE">
              <w:rPr>
                <w:sz w:val="22"/>
                <w:szCs w:val="22"/>
              </w:rPr>
              <w:t>Tabela 6. Terapijski režimi u kliničkom ispitivanju NO 16966 (mCRC)</w:t>
            </w:r>
          </w:p>
          <w:p w:rsidR="00C6356D" w:rsidRPr="009C0BEE" w:rsidRDefault="00C6356D" w:rsidP="00C6356D">
            <w:pPr>
              <w:pStyle w:val="Header"/>
              <w:tabs>
                <w:tab w:val="left" w:pos="284"/>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1403"/>
              <w:gridCol w:w="1981"/>
              <w:gridCol w:w="4541"/>
            </w:tblGrid>
            <w:tr w:rsidR="00D17F29" w:rsidRPr="009C0BEE" w:rsidTr="005E7E41">
              <w:tc>
                <w:tcPr>
                  <w:tcW w:w="787" w:type="pct"/>
                  <w:vAlign w:val="bottom"/>
                </w:tcPr>
                <w:p w:rsidR="00C6356D" w:rsidRPr="009C0BEE" w:rsidRDefault="00C6356D" w:rsidP="00C6356D">
                  <w:pPr>
                    <w:pStyle w:val="Header"/>
                    <w:tabs>
                      <w:tab w:val="left" w:pos="284"/>
                    </w:tabs>
                    <w:rPr>
                      <w:b/>
                      <w:color w:val="FF0000"/>
                      <w:sz w:val="22"/>
                      <w:szCs w:val="22"/>
                    </w:rPr>
                  </w:pPr>
                </w:p>
              </w:tc>
              <w:tc>
                <w:tcPr>
                  <w:tcW w:w="746" w:type="pct"/>
                  <w:vAlign w:val="bottom"/>
                </w:tcPr>
                <w:p w:rsidR="00C6356D" w:rsidRPr="009C0BEE" w:rsidRDefault="00C6356D" w:rsidP="00C6356D">
                  <w:pPr>
                    <w:pStyle w:val="Header"/>
                    <w:tabs>
                      <w:tab w:val="left" w:pos="284"/>
                    </w:tabs>
                    <w:rPr>
                      <w:b/>
                      <w:sz w:val="22"/>
                      <w:szCs w:val="22"/>
                    </w:rPr>
                  </w:pPr>
                  <w:r w:rsidRPr="009C0BEE">
                    <w:rPr>
                      <w:b/>
                      <w:sz w:val="22"/>
                      <w:szCs w:val="22"/>
                    </w:rPr>
                    <w:t>Terapija</w:t>
                  </w:r>
                </w:p>
              </w:tc>
              <w:tc>
                <w:tcPr>
                  <w:tcW w:w="1053" w:type="pct"/>
                  <w:vAlign w:val="bottom"/>
                </w:tcPr>
                <w:p w:rsidR="00C6356D" w:rsidRPr="009C0BEE" w:rsidRDefault="00C6356D" w:rsidP="00C6356D">
                  <w:pPr>
                    <w:pStyle w:val="Header"/>
                    <w:tabs>
                      <w:tab w:val="left" w:pos="284"/>
                    </w:tabs>
                    <w:rPr>
                      <w:b/>
                      <w:sz w:val="22"/>
                      <w:szCs w:val="22"/>
                    </w:rPr>
                  </w:pPr>
                  <w:r w:rsidRPr="009C0BEE">
                    <w:rPr>
                      <w:b/>
                      <w:sz w:val="22"/>
                      <w:szCs w:val="22"/>
                    </w:rPr>
                    <w:t>Početna doza</w:t>
                  </w:r>
                </w:p>
              </w:tc>
              <w:tc>
                <w:tcPr>
                  <w:tcW w:w="2415" w:type="pct"/>
                  <w:vAlign w:val="bottom"/>
                </w:tcPr>
                <w:p w:rsidR="00C6356D" w:rsidRPr="009C0BEE" w:rsidRDefault="00C6356D" w:rsidP="00C6356D">
                  <w:pPr>
                    <w:pStyle w:val="Header"/>
                    <w:tabs>
                      <w:tab w:val="left" w:pos="284"/>
                    </w:tabs>
                    <w:rPr>
                      <w:b/>
                      <w:sz w:val="22"/>
                      <w:szCs w:val="22"/>
                    </w:rPr>
                  </w:pPr>
                  <w:r w:rsidRPr="009C0BEE">
                    <w:rPr>
                      <w:b/>
                      <w:sz w:val="22"/>
                      <w:szCs w:val="22"/>
                    </w:rPr>
                    <w:t>Režim</w:t>
                  </w:r>
                </w:p>
              </w:tc>
            </w:tr>
            <w:tr w:rsidR="00843218" w:rsidRPr="009C0BEE" w:rsidTr="005E7E41">
              <w:trPr>
                <w:cantSplit/>
                <w:trHeight w:val="1791"/>
              </w:trPr>
              <w:tc>
                <w:tcPr>
                  <w:tcW w:w="787" w:type="pct"/>
                  <w:vMerge w:val="restart"/>
                </w:tcPr>
                <w:p w:rsidR="00843218" w:rsidRPr="009C0BEE" w:rsidRDefault="00843218" w:rsidP="00C6356D">
                  <w:pPr>
                    <w:pStyle w:val="Header"/>
                    <w:tabs>
                      <w:tab w:val="left" w:pos="284"/>
                    </w:tabs>
                    <w:rPr>
                      <w:sz w:val="22"/>
                      <w:szCs w:val="22"/>
                    </w:rPr>
                  </w:pPr>
                  <w:r w:rsidRPr="009C0BEE">
                    <w:rPr>
                      <w:sz w:val="22"/>
                      <w:szCs w:val="22"/>
                    </w:rPr>
                    <w:t xml:space="preserve">FOLFOX-4 </w:t>
                  </w:r>
                </w:p>
                <w:p w:rsidR="00843218" w:rsidRPr="009C0BEE" w:rsidRDefault="00843218" w:rsidP="00C6356D">
                  <w:pPr>
                    <w:pStyle w:val="Header"/>
                    <w:tabs>
                      <w:tab w:val="left" w:pos="284"/>
                    </w:tabs>
                    <w:rPr>
                      <w:sz w:val="22"/>
                      <w:szCs w:val="22"/>
                    </w:rPr>
                  </w:pPr>
                  <w:r w:rsidRPr="009C0BEE">
                    <w:rPr>
                      <w:sz w:val="22"/>
                      <w:szCs w:val="22"/>
                    </w:rPr>
                    <w:t xml:space="preserve">ili </w:t>
                  </w:r>
                </w:p>
                <w:p w:rsidR="00843218" w:rsidRPr="009C0BEE" w:rsidRDefault="00843218" w:rsidP="00C6356D">
                  <w:pPr>
                    <w:pStyle w:val="Header"/>
                    <w:tabs>
                      <w:tab w:val="left" w:pos="284"/>
                    </w:tabs>
                    <w:rPr>
                      <w:color w:val="FF0000"/>
                      <w:sz w:val="22"/>
                      <w:szCs w:val="22"/>
                    </w:rPr>
                  </w:pPr>
                  <w:r w:rsidRPr="009C0BEE">
                    <w:rPr>
                      <w:sz w:val="22"/>
                      <w:szCs w:val="22"/>
                    </w:rPr>
                    <w:t>FOLFOX-4  Bevacizumab</w:t>
                  </w:r>
                </w:p>
              </w:tc>
              <w:tc>
                <w:tcPr>
                  <w:tcW w:w="746" w:type="pct"/>
                </w:tcPr>
                <w:p w:rsidR="00843218" w:rsidRPr="009C0BEE" w:rsidRDefault="00843218" w:rsidP="00C6356D">
                  <w:pPr>
                    <w:pStyle w:val="Header"/>
                    <w:tabs>
                      <w:tab w:val="left" w:pos="284"/>
                    </w:tabs>
                    <w:rPr>
                      <w:sz w:val="22"/>
                      <w:szCs w:val="22"/>
                    </w:rPr>
                  </w:pPr>
                  <w:r w:rsidRPr="009C0BEE">
                    <w:rPr>
                      <w:sz w:val="22"/>
                      <w:szCs w:val="22"/>
                    </w:rPr>
                    <w:t>oksaliplatin</w:t>
                  </w:r>
                </w:p>
                <w:p w:rsidR="00843218" w:rsidRPr="009C0BEE" w:rsidRDefault="00843218" w:rsidP="00C6356D">
                  <w:pPr>
                    <w:pStyle w:val="Header"/>
                    <w:tabs>
                      <w:tab w:val="left" w:pos="284"/>
                    </w:tabs>
                    <w:rPr>
                      <w:sz w:val="22"/>
                      <w:szCs w:val="22"/>
                    </w:rPr>
                  </w:pPr>
                </w:p>
                <w:p w:rsidR="00843218" w:rsidRPr="009C0BEE" w:rsidRDefault="00843218" w:rsidP="00C6356D">
                  <w:pPr>
                    <w:pStyle w:val="Header"/>
                    <w:tabs>
                      <w:tab w:val="left" w:pos="284"/>
                    </w:tabs>
                    <w:rPr>
                      <w:sz w:val="22"/>
                      <w:szCs w:val="22"/>
                    </w:rPr>
                  </w:pPr>
                  <w:r w:rsidRPr="009C0BEE">
                    <w:rPr>
                      <w:sz w:val="22"/>
                      <w:szCs w:val="22"/>
                    </w:rPr>
                    <w:t>leukovorin</w:t>
                  </w:r>
                </w:p>
                <w:p w:rsidR="00843218" w:rsidRPr="009C0BEE" w:rsidRDefault="00843218" w:rsidP="00C6356D">
                  <w:pPr>
                    <w:pStyle w:val="Header"/>
                    <w:tabs>
                      <w:tab w:val="left" w:pos="284"/>
                    </w:tabs>
                    <w:rPr>
                      <w:sz w:val="22"/>
                      <w:szCs w:val="22"/>
                    </w:rPr>
                  </w:pPr>
                </w:p>
                <w:p w:rsidR="00843218" w:rsidRPr="009C0BEE" w:rsidRDefault="00843218" w:rsidP="00C6356D">
                  <w:pPr>
                    <w:pStyle w:val="Header"/>
                    <w:tabs>
                      <w:tab w:val="left" w:pos="284"/>
                    </w:tabs>
                    <w:rPr>
                      <w:sz w:val="22"/>
                      <w:szCs w:val="22"/>
                    </w:rPr>
                  </w:pPr>
                  <w:r w:rsidRPr="009C0BEE">
                    <w:rPr>
                      <w:sz w:val="22"/>
                      <w:szCs w:val="22"/>
                    </w:rPr>
                    <w:t>5-fluorouracil</w:t>
                  </w:r>
                </w:p>
              </w:tc>
              <w:tc>
                <w:tcPr>
                  <w:tcW w:w="1053" w:type="pct"/>
                </w:tcPr>
                <w:p w:rsidR="00843218" w:rsidRPr="009C0BEE" w:rsidRDefault="00843218" w:rsidP="00C6356D">
                  <w:pPr>
                    <w:pStyle w:val="Header"/>
                    <w:tabs>
                      <w:tab w:val="left" w:pos="284"/>
                    </w:tabs>
                    <w:rPr>
                      <w:sz w:val="22"/>
                      <w:szCs w:val="22"/>
                    </w:rPr>
                  </w:pPr>
                  <w:r w:rsidRPr="009C0BEE">
                    <w:rPr>
                      <w:sz w:val="22"/>
                      <w:szCs w:val="22"/>
                    </w:rPr>
                    <w:t>85 mg/m</w:t>
                  </w:r>
                  <w:r w:rsidRPr="009C0BEE">
                    <w:rPr>
                      <w:sz w:val="22"/>
                      <w:szCs w:val="22"/>
                      <w:vertAlign w:val="superscript"/>
                    </w:rPr>
                    <w:t>2</w:t>
                  </w:r>
                  <w:r w:rsidRPr="009C0BEE">
                    <w:rPr>
                      <w:sz w:val="22"/>
                      <w:szCs w:val="22"/>
                    </w:rPr>
                    <w:t xml:space="preserve"> i.v. 2 sata</w:t>
                  </w:r>
                </w:p>
                <w:p w:rsidR="00843218" w:rsidRPr="009C0BEE" w:rsidRDefault="00843218" w:rsidP="00C6356D">
                  <w:pPr>
                    <w:pStyle w:val="Header"/>
                    <w:tabs>
                      <w:tab w:val="left" w:pos="284"/>
                    </w:tabs>
                    <w:rPr>
                      <w:sz w:val="22"/>
                      <w:szCs w:val="22"/>
                    </w:rPr>
                  </w:pPr>
                </w:p>
                <w:p w:rsidR="00843218" w:rsidRPr="009C0BEE" w:rsidRDefault="00843218" w:rsidP="00C6356D">
                  <w:pPr>
                    <w:pStyle w:val="Header"/>
                    <w:tabs>
                      <w:tab w:val="left" w:pos="284"/>
                    </w:tabs>
                    <w:rPr>
                      <w:sz w:val="22"/>
                      <w:szCs w:val="22"/>
                    </w:rPr>
                  </w:pPr>
                  <w:r w:rsidRPr="009C0BEE">
                    <w:rPr>
                      <w:sz w:val="22"/>
                      <w:szCs w:val="22"/>
                    </w:rPr>
                    <w:t>200 mg/m</w:t>
                  </w:r>
                  <w:r w:rsidRPr="009C0BEE">
                    <w:rPr>
                      <w:sz w:val="22"/>
                      <w:szCs w:val="22"/>
                      <w:vertAlign w:val="superscript"/>
                    </w:rPr>
                    <w:t>2</w:t>
                  </w:r>
                  <w:r w:rsidRPr="009C0BEE">
                    <w:rPr>
                      <w:sz w:val="22"/>
                      <w:szCs w:val="22"/>
                    </w:rPr>
                    <w:t xml:space="preserve"> i.v. 2 sata</w:t>
                  </w:r>
                </w:p>
                <w:p w:rsidR="00843218" w:rsidRPr="009C0BEE" w:rsidRDefault="00843218" w:rsidP="00C6356D">
                  <w:pPr>
                    <w:pStyle w:val="Header"/>
                    <w:tabs>
                      <w:tab w:val="left" w:pos="284"/>
                    </w:tabs>
                    <w:rPr>
                      <w:sz w:val="22"/>
                      <w:szCs w:val="22"/>
                    </w:rPr>
                  </w:pPr>
                </w:p>
                <w:p w:rsidR="00843218" w:rsidRPr="009C0BEE" w:rsidRDefault="00843218" w:rsidP="00843218">
                  <w:pPr>
                    <w:pStyle w:val="Header"/>
                    <w:tabs>
                      <w:tab w:val="left" w:pos="284"/>
                    </w:tabs>
                    <w:rPr>
                      <w:sz w:val="22"/>
                      <w:szCs w:val="22"/>
                    </w:rPr>
                  </w:pPr>
                  <w:r w:rsidRPr="009C0BEE">
                    <w:rPr>
                      <w:sz w:val="22"/>
                      <w:szCs w:val="22"/>
                    </w:rPr>
                    <w:t>i.v. bolus 400 mg/m</w:t>
                  </w:r>
                  <w:r w:rsidRPr="009C0BEE">
                    <w:rPr>
                      <w:sz w:val="22"/>
                      <w:szCs w:val="22"/>
                      <w:vertAlign w:val="superscript"/>
                    </w:rPr>
                    <w:t>2</w:t>
                  </w:r>
                  <w:r w:rsidRPr="009C0BEE">
                    <w:rPr>
                      <w:sz w:val="22"/>
                      <w:szCs w:val="22"/>
                    </w:rPr>
                    <w:t>, poslije čega slijedi  600 mg/m</w:t>
                  </w:r>
                  <w:r w:rsidRPr="009C0BEE">
                    <w:rPr>
                      <w:sz w:val="22"/>
                      <w:szCs w:val="22"/>
                      <w:vertAlign w:val="superscript"/>
                    </w:rPr>
                    <w:t>2</w:t>
                  </w:r>
                  <w:r w:rsidRPr="009C0BEE">
                    <w:rPr>
                      <w:sz w:val="22"/>
                      <w:szCs w:val="22"/>
                    </w:rPr>
                    <w:t xml:space="preserve"> i.v. 22 sata</w:t>
                  </w:r>
                </w:p>
              </w:tc>
              <w:tc>
                <w:tcPr>
                  <w:tcW w:w="2415" w:type="pct"/>
                </w:tcPr>
                <w:p w:rsidR="00843218" w:rsidRPr="009C0BEE" w:rsidRDefault="00843218" w:rsidP="00C6356D">
                  <w:pPr>
                    <w:pStyle w:val="Header"/>
                    <w:tabs>
                      <w:tab w:val="left" w:pos="284"/>
                    </w:tabs>
                    <w:rPr>
                      <w:sz w:val="22"/>
                      <w:szCs w:val="22"/>
                    </w:rPr>
                  </w:pPr>
                  <w:r w:rsidRPr="009C0BEE">
                    <w:rPr>
                      <w:sz w:val="22"/>
                      <w:szCs w:val="22"/>
                    </w:rPr>
                    <w:t>oksaliplatin prvog dana, svake 2 nedjelje</w:t>
                  </w:r>
                </w:p>
                <w:p w:rsidR="00843218" w:rsidRPr="009C0BEE" w:rsidRDefault="00843218" w:rsidP="00C6356D">
                  <w:pPr>
                    <w:pStyle w:val="Header"/>
                    <w:tabs>
                      <w:tab w:val="left" w:pos="284"/>
                    </w:tabs>
                    <w:rPr>
                      <w:sz w:val="22"/>
                      <w:szCs w:val="22"/>
                    </w:rPr>
                  </w:pPr>
                  <w:r w:rsidRPr="009C0BEE">
                    <w:rPr>
                      <w:sz w:val="22"/>
                      <w:szCs w:val="22"/>
                    </w:rPr>
                    <w:t xml:space="preserve">leukovorin prvog i drugog dana, svake 2 nedjelje </w:t>
                  </w:r>
                </w:p>
                <w:p w:rsidR="00843218" w:rsidRPr="009C0BEE" w:rsidRDefault="00843218" w:rsidP="00843218">
                  <w:pPr>
                    <w:pStyle w:val="Header"/>
                    <w:tabs>
                      <w:tab w:val="left" w:pos="284"/>
                    </w:tabs>
                    <w:rPr>
                      <w:sz w:val="22"/>
                      <w:szCs w:val="22"/>
                    </w:rPr>
                  </w:pPr>
                  <w:r w:rsidRPr="009C0BEE">
                    <w:rPr>
                      <w:sz w:val="22"/>
                      <w:szCs w:val="22"/>
                    </w:rPr>
                    <w:t>i.v. bolus/infuzija5-fluorouracil prvog i drugog dana, svake dvije nedjelje</w:t>
                  </w:r>
                </w:p>
              </w:tc>
            </w:tr>
            <w:tr w:rsidR="00D17F29" w:rsidRPr="009C0BEE" w:rsidTr="005E7E41">
              <w:trPr>
                <w:cantSplit/>
              </w:trPr>
              <w:tc>
                <w:tcPr>
                  <w:tcW w:w="787" w:type="pct"/>
                  <w:vMerge/>
                </w:tcPr>
                <w:p w:rsidR="00C6356D" w:rsidRPr="009C0BEE" w:rsidRDefault="00C6356D" w:rsidP="00C6356D">
                  <w:pPr>
                    <w:pStyle w:val="Header"/>
                    <w:tabs>
                      <w:tab w:val="left" w:pos="284"/>
                    </w:tabs>
                    <w:rPr>
                      <w:color w:val="FF0000"/>
                      <w:sz w:val="22"/>
                      <w:szCs w:val="22"/>
                    </w:rPr>
                  </w:pPr>
                </w:p>
              </w:tc>
              <w:tc>
                <w:tcPr>
                  <w:tcW w:w="746" w:type="pct"/>
                </w:tcPr>
                <w:p w:rsidR="00C6356D" w:rsidRPr="009C0BEE" w:rsidRDefault="002D21A7" w:rsidP="00C6356D">
                  <w:pPr>
                    <w:pStyle w:val="Header"/>
                    <w:tabs>
                      <w:tab w:val="left" w:pos="284"/>
                    </w:tabs>
                    <w:rPr>
                      <w:sz w:val="22"/>
                      <w:szCs w:val="22"/>
                    </w:rPr>
                  </w:pPr>
                  <w:r w:rsidRPr="009C0BEE">
                    <w:rPr>
                      <w:sz w:val="22"/>
                      <w:szCs w:val="22"/>
                    </w:rPr>
                    <w:t>placebo ili b</w:t>
                  </w:r>
                  <w:r w:rsidR="00C6356D" w:rsidRPr="009C0BEE">
                    <w:rPr>
                      <w:sz w:val="22"/>
                      <w:szCs w:val="22"/>
                    </w:rPr>
                    <w:t>evacizumab</w:t>
                  </w:r>
                </w:p>
              </w:tc>
              <w:tc>
                <w:tcPr>
                  <w:tcW w:w="1053" w:type="pct"/>
                </w:tcPr>
                <w:p w:rsidR="00C6356D" w:rsidRPr="009C0BEE" w:rsidRDefault="00C6356D" w:rsidP="00C6356D">
                  <w:pPr>
                    <w:pStyle w:val="Header"/>
                    <w:tabs>
                      <w:tab w:val="left" w:pos="284"/>
                    </w:tabs>
                    <w:rPr>
                      <w:sz w:val="22"/>
                      <w:szCs w:val="22"/>
                    </w:rPr>
                  </w:pPr>
                  <w:r w:rsidRPr="009C0BEE">
                    <w:rPr>
                      <w:sz w:val="22"/>
                      <w:szCs w:val="22"/>
                    </w:rPr>
                    <w:t>5 mg/kg i.v. 30-90 min</w:t>
                  </w:r>
                </w:p>
              </w:tc>
              <w:tc>
                <w:tcPr>
                  <w:tcW w:w="2415" w:type="pct"/>
                </w:tcPr>
                <w:p w:rsidR="00C6356D" w:rsidRPr="009C0BEE" w:rsidRDefault="002D21A7" w:rsidP="00C6356D">
                  <w:pPr>
                    <w:pStyle w:val="Header"/>
                    <w:tabs>
                      <w:tab w:val="left" w:pos="284"/>
                    </w:tabs>
                    <w:rPr>
                      <w:sz w:val="22"/>
                      <w:szCs w:val="22"/>
                    </w:rPr>
                  </w:pPr>
                  <w:r w:rsidRPr="009C0BEE">
                    <w:rPr>
                      <w:sz w:val="22"/>
                      <w:szCs w:val="22"/>
                    </w:rPr>
                    <w:t>p</w:t>
                  </w:r>
                  <w:r w:rsidR="00C6356D" w:rsidRPr="009C0BEE">
                    <w:rPr>
                      <w:sz w:val="22"/>
                      <w:szCs w:val="22"/>
                    </w:rPr>
                    <w:t>rvog dana, prije FOLFOX-4, na svake 2 ned</w:t>
                  </w:r>
                  <w:r w:rsidRPr="009C0BEE">
                    <w:rPr>
                      <w:sz w:val="22"/>
                      <w:szCs w:val="22"/>
                    </w:rPr>
                    <w:t>j</w:t>
                  </w:r>
                  <w:r w:rsidR="00C6356D" w:rsidRPr="009C0BEE">
                    <w:rPr>
                      <w:sz w:val="22"/>
                      <w:szCs w:val="22"/>
                    </w:rPr>
                    <w:t xml:space="preserve">elje </w:t>
                  </w:r>
                </w:p>
              </w:tc>
            </w:tr>
            <w:tr w:rsidR="00D17F29" w:rsidRPr="009C0BEE" w:rsidTr="005E7E41">
              <w:trPr>
                <w:cantSplit/>
              </w:trPr>
              <w:tc>
                <w:tcPr>
                  <w:tcW w:w="787" w:type="pct"/>
                  <w:vMerge w:val="restart"/>
                </w:tcPr>
                <w:p w:rsidR="00C6356D" w:rsidRPr="009C0BEE" w:rsidRDefault="00C6356D" w:rsidP="00C6356D">
                  <w:pPr>
                    <w:pStyle w:val="Header"/>
                    <w:tabs>
                      <w:tab w:val="left" w:pos="284"/>
                    </w:tabs>
                    <w:rPr>
                      <w:sz w:val="22"/>
                      <w:szCs w:val="22"/>
                    </w:rPr>
                  </w:pPr>
                  <w:r w:rsidRPr="009C0BEE">
                    <w:rPr>
                      <w:sz w:val="22"/>
                      <w:szCs w:val="22"/>
                    </w:rPr>
                    <w:t xml:space="preserve">XELOX </w:t>
                  </w:r>
                </w:p>
                <w:p w:rsidR="00C6356D" w:rsidRPr="009C0BEE" w:rsidRDefault="00C6356D" w:rsidP="00C6356D">
                  <w:pPr>
                    <w:pStyle w:val="Header"/>
                    <w:tabs>
                      <w:tab w:val="left" w:pos="284"/>
                    </w:tabs>
                    <w:rPr>
                      <w:sz w:val="22"/>
                      <w:szCs w:val="22"/>
                    </w:rPr>
                  </w:pPr>
                  <w:r w:rsidRPr="009C0BEE">
                    <w:rPr>
                      <w:sz w:val="22"/>
                      <w:szCs w:val="22"/>
                    </w:rPr>
                    <w:t>ili</w:t>
                  </w:r>
                </w:p>
                <w:p w:rsidR="00C6356D" w:rsidRPr="009C0BEE" w:rsidRDefault="00C6356D" w:rsidP="00C6356D">
                  <w:pPr>
                    <w:pStyle w:val="Header"/>
                    <w:tabs>
                      <w:tab w:val="left" w:pos="284"/>
                    </w:tabs>
                    <w:rPr>
                      <w:sz w:val="22"/>
                      <w:szCs w:val="22"/>
                    </w:rPr>
                  </w:pPr>
                  <w:r w:rsidRPr="009C0BEE">
                    <w:rPr>
                      <w:sz w:val="22"/>
                      <w:szCs w:val="22"/>
                    </w:rPr>
                    <w:t>XELOX+ Bevacizumab</w:t>
                  </w:r>
                </w:p>
              </w:tc>
              <w:tc>
                <w:tcPr>
                  <w:tcW w:w="746" w:type="pct"/>
                </w:tcPr>
                <w:p w:rsidR="00C6356D" w:rsidRPr="009C0BEE" w:rsidRDefault="00F2162D" w:rsidP="00C6356D">
                  <w:pPr>
                    <w:pStyle w:val="Header"/>
                    <w:tabs>
                      <w:tab w:val="left" w:pos="284"/>
                    </w:tabs>
                    <w:rPr>
                      <w:sz w:val="22"/>
                      <w:szCs w:val="22"/>
                    </w:rPr>
                  </w:pPr>
                  <w:r w:rsidRPr="009C0BEE">
                    <w:rPr>
                      <w:sz w:val="22"/>
                      <w:szCs w:val="22"/>
                    </w:rPr>
                    <w:t>o</w:t>
                  </w:r>
                  <w:r w:rsidR="00C6356D" w:rsidRPr="009C0BEE">
                    <w:rPr>
                      <w:sz w:val="22"/>
                      <w:szCs w:val="22"/>
                    </w:rPr>
                    <w:t>ksaliplatin</w:t>
                  </w:r>
                </w:p>
              </w:tc>
              <w:tc>
                <w:tcPr>
                  <w:tcW w:w="1053" w:type="pct"/>
                </w:tcPr>
                <w:p w:rsidR="00C6356D" w:rsidRPr="009C0BEE" w:rsidRDefault="00C6356D" w:rsidP="00C6356D">
                  <w:pPr>
                    <w:pStyle w:val="Header"/>
                    <w:tabs>
                      <w:tab w:val="left" w:pos="284"/>
                    </w:tabs>
                    <w:rPr>
                      <w:sz w:val="22"/>
                      <w:szCs w:val="22"/>
                    </w:rPr>
                  </w:pPr>
                  <w:r w:rsidRPr="009C0BEE">
                    <w:rPr>
                      <w:sz w:val="22"/>
                      <w:szCs w:val="22"/>
                    </w:rPr>
                    <w:t>130 mg/m</w:t>
                  </w:r>
                  <w:r w:rsidRPr="009C0BEE">
                    <w:rPr>
                      <w:sz w:val="22"/>
                      <w:szCs w:val="22"/>
                      <w:vertAlign w:val="superscript"/>
                    </w:rPr>
                    <w:t>2</w:t>
                  </w:r>
                  <w:r w:rsidRPr="009C0BEE">
                    <w:rPr>
                      <w:sz w:val="22"/>
                      <w:szCs w:val="22"/>
                    </w:rPr>
                    <w:t xml:space="preserve"> i.v. 2 sata</w:t>
                  </w:r>
                </w:p>
              </w:tc>
              <w:tc>
                <w:tcPr>
                  <w:tcW w:w="2415" w:type="pct"/>
                  <w:vMerge w:val="restart"/>
                </w:tcPr>
                <w:p w:rsidR="00C6356D" w:rsidRPr="009C0BEE" w:rsidRDefault="00F2162D" w:rsidP="00C6356D">
                  <w:pPr>
                    <w:pStyle w:val="Header"/>
                    <w:tabs>
                      <w:tab w:val="left" w:pos="284"/>
                    </w:tabs>
                    <w:rPr>
                      <w:sz w:val="22"/>
                      <w:szCs w:val="22"/>
                    </w:rPr>
                  </w:pPr>
                  <w:r w:rsidRPr="009C0BEE">
                    <w:rPr>
                      <w:sz w:val="22"/>
                      <w:szCs w:val="22"/>
                    </w:rPr>
                    <w:t>o</w:t>
                  </w:r>
                  <w:r w:rsidR="00C6356D" w:rsidRPr="009C0BEE">
                    <w:rPr>
                      <w:sz w:val="22"/>
                      <w:szCs w:val="22"/>
                    </w:rPr>
                    <w:t>ksaliplatin prvog dana na svake 3 ned</w:t>
                  </w:r>
                  <w:r w:rsidRPr="009C0BEE">
                    <w:rPr>
                      <w:sz w:val="22"/>
                      <w:szCs w:val="22"/>
                    </w:rPr>
                    <w:t>j</w:t>
                  </w:r>
                  <w:r w:rsidR="00C6356D" w:rsidRPr="009C0BEE">
                    <w:rPr>
                      <w:sz w:val="22"/>
                      <w:szCs w:val="22"/>
                    </w:rPr>
                    <w:t>elje</w:t>
                  </w:r>
                </w:p>
                <w:p w:rsidR="00C6356D" w:rsidRPr="009C0BEE" w:rsidRDefault="00F2162D" w:rsidP="00C6356D">
                  <w:pPr>
                    <w:pStyle w:val="Header"/>
                    <w:tabs>
                      <w:tab w:val="left" w:pos="284"/>
                    </w:tabs>
                    <w:rPr>
                      <w:sz w:val="22"/>
                      <w:szCs w:val="22"/>
                    </w:rPr>
                  </w:pPr>
                  <w:r w:rsidRPr="009C0BEE">
                    <w:rPr>
                      <w:sz w:val="22"/>
                      <w:szCs w:val="22"/>
                    </w:rPr>
                    <w:t>k</w:t>
                  </w:r>
                  <w:r w:rsidR="00C6356D" w:rsidRPr="009C0BEE">
                    <w:rPr>
                      <w:sz w:val="22"/>
                      <w:szCs w:val="22"/>
                    </w:rPr>
                    <w:t>a</w:t>
                  </w:r>
                  <w:r w:rsidRPr="009C0BEE">
                    <w:rPr>
                      <w:sz w:val="22"/>
                      <w:szCs w:val="22"/>
                    </w:rPr>
                    <w:t>pecitabin oralno, dva puta d</w:t>
                  </w:r>
                  <w:r w:rsidR="00C6356D" w:rsidRPr="009C0BEE">
                    <w:rPr>
                      <w:sz w:val="22"/>
                      <w:szCs w:val="22"/>
                    </w:rPr>
                    <w:t>n</w:t>
                  </w:r>
                  <w:r w:rsidRPr="009C0BEE">
                    <w:rPr>
                      <w:sz w:val="22"/>
                      <w:szCs w:val="22"/>
                    </w:rPr>
                    <w:t>evno</w:t>
                  </w:r>
                  <w:r w:rsidR="00C6356D" w:rsidRPr="009C0BEE">
                    <w:rPr>
                      <w:sz w:val="22"/>
                      <w:szCs w:val="22"/>
                    </w:rPr>
                    <w:t xml:space="preserve"> tokom 2 ned</w:t>
                  </w:r>
                  <w:r w:rsidRPr="009C0BEE">
                    <w:rPr>
                      <w:sz w:val="22"/>
                      <w:szCs w:val="22"/>
                    </w:rPr>
                    <w:t>j</w:t>
                  </w:r>
                  <w:r w:rsidR="00C6356D" w:rsidRPr="009C0BEE">
                    <w:rPr>
                      <w:sz w:val="22"/>
                      <w:szCs w:val="22"/>
                    </w:rPr>
                    <w:t>elje, posl</w:t>
                  </w:r>
                  <w:r w:rsidR="005010D7" w:rsidRPr="009C0BEE">
                    <w:rPr>
                      <w:sz w:val="22"/>
                      <w:szCs w:val="22"/>
                    </w:rPr>
                    <w:t>ij</w:t>
                  </w:r>
                  <w:r w:rsidR="00C6356D" w:rsidRPr="009C0BEE">
                    <w:rPr>
                      <w:sz w:val="22"/>
                      <w:szCs w:val="22"/>
                    </w:rPr>
                    <w:t>e čega slijedi 1 ned</w:t>
                  </w:r>
                  <w:r w:rsidRPr="009C0BEE">
                    <w:rPr>
                      <w:sz w:val="22"/>
                      <w:szCs w:val="22"/>
                    </w:rPr>
                    <w:t>j</w:t>
                  </w:r>
                  <w:r w:rsidR="00C6356D" w:rsidRPr="009C0BEE">
                    <w:rPr>
                      <w:sz w:val="22"/>
                      <w:szCs w:val="22"/>
                    </w:rPr>
                    <w:t xml:space="preserve">elja bez terapije  </w:t>
                  </w:r>
                </w:p>
              </w:tc>
            </w:tr>
            <w:tr w:rsidR="00D17F29" w:rsidRPr="009C0BEE" w:rsidTr="005E7E41">
              <w:trPr>
                <w:cantSplit/>
              </w:trPr>
              <w:tc>
                <w:tcPr>
                  <w:tcW w:w="787" w:type="pct"/>
                  <w:vMerge/>
                </w:tcPr>
                <w:p w:rsidR="00C6356D" w:rsidRPr="009C0BEE" w:rsidRDefault="00C6356D" w:rsidP="00C6356D">
                  <w:pPr>
                    <w:pStyle w:val="Header"/>
                    <w:tabs>
                      <w:tab w:val="left" w:pos="284"/>
                    </w:tabs>
                    <w:rPr>
                      <w:color w:val="FF0000"/>
                      <w:sz w:val="22"/>
                      <w:szCs w:val="22"/>
                    </w:rPr>
                  </w:pPr>
                </w:p>
              </w:tc>
              <w:tc>
                <w:tcPr>
                  <w:tcW w:w="746" w:type="pct"/>
                </w:tcPr>
                <w:p w:rsidR="00C6356D" w:rsidRPr="009C0BEE" w:rsidRDefault="00F2162D" w:rsidP="00C6356D">
                  <w:pPr>
                    <w:pStyle w:val="Header"/>
                    <w:tabs>
                      <w:tab w:val="left" w:pos="284"/>
                    </w:tabs>
                    <w:rPr>
                      <w:sz w:val="22"/>
                      <w:szCs w:val="22"/>
                    </w:rPr>
                  </w:pPr>
                  <w:r w:rsidRPr="009C0BEE">
                    <w:rPr>
                      <w:sz w:val="22"/>
                      <w:szCs w:val="22"/>
                    </w:rPr>
                    <w:t>k</w:t>
                  </w:r>
                  <w:r w:rsidR="00C6356D" w:rsidRPr="009C0BEE">
                    <w:rPr>
                      <w:sz w:val="22"/>
                      <w:szCs w:val="22"/>
                    </w:rPr>
                    <w:t>apecitabin</w:t>
                  </w:r>
                </w:p>
              </w:tc>
              <w:tc>
                <w:tcPr>
                  <w:tcW w:w="1053" w:type="pct"/>
                </w:tcPr>
                <w:p w:rsidR="00C6356D" w:rsidRPr="009C0BEE" w:rsidRDefault="00C6356D" w:rsidP="00C6356D">
                  <w:pPr>
                    <w:pStyle w:val="Header"/>
                    <w:tabs>
                      <w:tab w:val="left" w:pos="284"/>
                    </w:tabs>
                    <w:rPr>
                      <w:sz w:val="22"/>
                      <w:szCs w:val="22"/>
                    </w:rPr>
                  </w:pPr>
                  <w:r w:rsidRPr="009C0BEE">
                    <w:rPr>
                      <w:sz w:val="22"/>
                      <w:szCs w:val="22"/>
                    </w:rPr>
                    <w:t>1000 mg/m</w:t>
                  </w:r>
                  <w:r w:rsidRPr="009C0BEE">
                    <w:rPr>
                      <w:sz w:val="22"/>
                      <w:szCs w:val="22"/>
                      <w:vertAlign w:val="superscript"/>
                    </w:rPr>
                    <w:t>2</w:t>
                  </w:r>
                  <w:r w:rsidR="00F2162D" w:rsidRPr="009C0BEE">
                    <w:rPr>
                      <w:sz w:val="22"/>
                      <w:szCs w:val="22"/>
                    </w:rPr>
                    <w:t xml:space="preserve"> oralno, dva puta d</w:t>
                  </w:r>
                  <w:r w:rsidRPr="009C0BEE">
                    <w:rPr>
                      <w:sz w:val="22"/>
                      <w:szCs w:val="22"/>
                    </w:rPr>
                    <w:t>n</w:t>
                  </w:r>
                  <w:r w:rsidR="00F2162D" w:rsidRPr="009C0BEE">
                    <w:rPr>
                      <w:sz w:val="22"/>
                      <w:szCs w:val="22"/>
                    </w:rPr>
                    <w:t>evno</w:t>
                  </w:r>
                </w:p>
              </w:tc>
              <w:tc>
                <w:tcPr>
                  <w:tcW w:w="2415" w:type="pct"/>
                  <w:vMerge/>
                </w:tcPr>
                <w:p w:rsidR="00C6356D" w:rsidRPr="009C0BEE" w:rsidRDefault="00C6356D" w:rsidP="00C6356D">
                  <w:pPr>
                    <w:pStyle w:val="Header"/>
                    <w:tabs>
                      <w:tab w:val="left" w:pos="284"/>
                    </w:tabs>
                    <w:rPr>
                      <w:color w:val="FF0000"/>
                      <w:sz w:val="22"/>
                      <w:szCs w:val="22"/>
                    </w:rPr>
                  </w:pPr>
                </w:p>
              </w:tc>
            </w:tr>
            <w:tr w:rsidR="00D17F29" w:rsidRPr="009C0BEE" w:rsidTr="005E7E41">
              <w:trPr>
                <w:cantSplit/>
              </w:trPr>
              <w:tc>
                <w:tcPr>
                  <w:tcW w:w="787" w:type="pct"/>
                  <w:vMerge/>
                </w:tcPr>
                <w:p w:rsidR="00C6356D" w:rsidRPr="009C0BEE" w:rsidRDefault="00C6356D" w:rsidP="00C6356D">
                  <w:pPr>
                    <w:pStyle w:val="Header"/>
                    <w:tabs>
                      <w:tab w:val="left" w:pos="284"/>
                    </w:tabs>
                    <w:rPr>
                      <w:color w:val="FF0000"/>
                      <w:sz w:val="22"/>
                      <w:szCs w:val="22"/>
                    </w:rPr>
                  </w:pPr>
                </w:p>
              </w:tc>
              <w:tc>
                <w:tcPr>
                  <w:tcW w:w="746" w:type="pct"/>
                </w:tcPr>
                <w:p w:rsidR="00C6356D" w:rsidRPr="009C0BEE" w:rsidRDefault="00F2162D" w:rsidP="00C6356D">
                  <w:pPr>
                    <w:pStyle w:val="Header"/>
                    <w:tabs>
                      <w:tab w:val="left" w:pos="284"/>
                    </w:tabs>
                    <w:rPr>
                      <w:sz w:val="22"/>
                      <w:szCs w:val="22"/>
                    </w:rPr>
                  </w:pPr>
                  <w:r w:rsidRPr="009C0BEE">
                    <w:rPr>
                      <w:sz w:val="22"/>
                      <w:szCs w:val="22"/>
                    </w:rPr>
                    <w:t>p</w:t>
                  </w:r>
                  <w:r w:rsidR="00C6356D" w:rsidRPr="009C0BEE">
                    <w:rPr>
                      <w:sz w:val="22"/>
                      <w:szCs w:val="22"/>
                    </w:rPr>
                    <w:t>lacebo i</w:t>
                  </w:r>
                  <w:r w:rsidRPr="009C0BEE">
                    <w:rPr>
                      <w:sz w:val="22"/>
                      <w:szCs w:val="22"/>
                    </w:rPr>
                    <w:t>li b</w:t>
                  </w:r>
                  <w:r w:rsidR="00C6356D" w:rsidRPr="009C0BEE">
                    <w:rPr>
                      <w:sz w:val="22"/>
                      <w:szCs w:val="22"/>
                    </w:rPr>
                    <w:t>evacizumab</w:t>
                  </w:r>
                </w:p>
              </w:tc>
              <w:tc>
                <w:tcPr>
                  <w:tcW w:w="1053" w:type="pct"/>
                </w:tcPr>
                <w:p w:rsidR="00C6356D" w:rsidRPr="009C0BEE" w:rsidRDefault="00C6356D" w:rsidP="00C6356D">
                  <w:pPr>
                    <w:pStyle w:val="Header"/>
                    <w:tabs>
                      <w:tab w:val="left" w:pos="284"/>
                    </w:tabs>
                    <w:rPr>
                      <w:sz w:val="22"/>
                      <w:szCs w:val="22"/>
                    </w:rPr>
                  </w:pPr>
                  <w:r w:rsidRPr="009C0BEE">
                    <w:rPr>
                      <w:sz w:val="22"/>
                      <w:szCs w:val="22"/>
                    </w:rPr>
                    <w:t>7.5 mg/kg i.v. 30-90 min</w:t>
                  </w:r>
                </w:p>
              </w:tc>
              <w:tc>
                <w:tcPr>
                  <w:tcW w:w="2415" w:type="pct"/>
                </w:tcPr>
                <w:p w:rsidR="00C6356D" w:rsidRPr="009C0BEE" w:rsidRDefault="00F2162D" w:rsidP="00C6356D">
                  <w:pPr>
                    <w:pStyle w:val="Header"/>
                    <w:tabs>
                      <w:tab w:val="left" w:pos="284"/>
                    </w:tabs>
                    <w:rPr>
                      <w:sz w:val="22"/>
                      <w:szCs w:val="22"/>
                    </w:rPr>
                  </w:pPr>
                  <w:r w:rsidRPr="009C0BEE">
                    <w:rPr>
                      <w:sz w:val="22"/>
                      <w:szCs w:val="22"/>
                    </w:rPr>
                    <w:t>p</w:t>
                  </w:r>
                  <w:r w:rsidR="00C6356D" w:rsidRPr="009C0BEE">
                    <w:rPr>
                      <w:sz w:val="22"/>
                      <w:szCs w:val="22"/>
                    </w:rPr>
                    <w:t>rvog dana, pred XELOX, na svake 3 ned</w:t>
                  </w:r>
                  <w:r w:rsidRPr="009C0BEE">
                    <w:rPr>
                      <w:sz w:val="22"/>
                      <w:szCs w:val="22"/>
                    </w:rPr>
                    <w:t>j</w:t>
                  </w:r>
                  <w:r w:rsidR="00C6356D" w:rsidRPr="009C0BEE">
                    <w:rPr>
                      <w:sz w:val="22"/>
                      <w:szCs w:val="22"/>
                    </w:rPr>
                    <w:t>elje</w:t>
                  </w:r>
                </w:p>
              </w:tc>
            </w:tr>
            <w:tr w:rsidR="00D17F29" w:rsidRPr="009C0BEE" w:rsidTr="005E7E41">
              <w:trPr>
                <w:cantSplit/>
              </w:trPr>
              <w:tc>
                <w:tcPr>
                  <w:tcW w:w="5000" w:type="pct"/>
                  <w:gridSpan w:val="4"/>
                </w:tcPr>
                <w:p w:rsidR="00C6356D" w:rsidRPr="009C0BEE" w:rsidRDefault="00C6356D" w:rsidP="00C6356D">
                  <w:pPr>
                    <w:pStyle w:val="Header"/>
                    <w:tabs>
                      <w:tab w:val="left" w:pos="284"/>
                    </w:tabs>
                    <w:rPr>
                      <w:sz w:val="22"/>
                      <w:szCs w:val="22"/>
                    </w:rPr>
                  </w:pPr>
                  <w:r w:rsidRPr="009C0BEE">
                    <w:rPr>
                      <w:sz w:val="22"/>
                      <w:szCs w:val="22"/>
                    </w:rPr>
                    <w:t xml:space="preserve">5-Fluorouracil: </w:t>
                  </w:r>
                  <w:r w:rsidRPr="009C0BEE">
                    <w:rPr>
                      <w:sz w:val="22"/>
                      <w:szCs w:val="22"/>
                    </w:rPr>
                    <w:tab/>
                    <w:t>i.v. bolus injekcija odmah poslije leukovorina</w:t>
                  </w:r>
                </w:p>
              </w:tc>
            </w:tr>
          </w:tbl>
          <w:p w:rsidR="00C6356D" w:rsidRPr="009C0BEE" w:rsidRDefault="00C6356D" w:rsidP="00C6356D">
            <w:pPr>
              <w:pStyle w:val="Header"/>
              <w:tabs>
                <w:tab w:val="left" w:pos="284"/>
              </w:tabs>
              <w:rPr>
                <w:color w:val="FF0000"/>
                <w:sz w:val="22"/>
                <w:szCs w:val="22"/>
              </w:rPr>
            </w:pPr>
          </w:p>
          <w:p w:rsidR="00C6356D" w:rsidRPr="009C0BEE" w:rsidRDefault="00C6356D" w:rsidP="00235C93">
            <w:pPr>
              <w:pStyle w:val="Header"/>
              <w:tabs>
                <w:tab w:val="left" w:pos="284"/>
              </w:tabs>
              <w:jc w:val="both"/>
              <w:rPr>
                <w:sz w:val="22"/>
                <w:szCs w:val="22"/>
              </w:rPr>
            </w:pPr>
            <w:r w:rsidRPr="009C0BEE">
              <w:rPr>
                <w:sz w:val="22"/>
                <w:szCs w:val="22"/>
              </w:rPr>
              <w:t xml:space="preserve">Neinferiornost u grupama koje su primale XELOX u poređenju sa onima koji su primali FOLFOX-4 u ukupnom poređenju </w:t>
            </w:r>
            <w:r w:rsidR="005010D7" w:rsidRPr="009C0BEE">
              <w:rPr>
                <w:sz w:val="22"/>
                <w:szCs w:val="22"/>
              </w:rPr>
              <w:t xml:space="preserve">pokazana </w:t>
            </w:r>
            <w:r w:rsidRPr="009C0BEE">
              <w:rPr>
                <w:sz w:val="22"/>
                <w:szCs w:val="22"/>
              </w:rPr>
              <w:t xml:space="preserve">je u smislu preživljavanja bez progresije kod pacijenata koji su ispunjavali kriterijume i u populaciji </w:t>
            </w:r>
            <w:r w:rsidR="00235C93" w:rsidRPr="009C0BEE">
              <w:rPr>
                <w:sz w:val="22"/>
                <w:szCs w:val="22"/>
              </w:rPr>
              <w:t xml:space="preserve">pacijenata predviđenih za liječenje </w:t>
            </w:r>
            <w:r w:rsidRPr="009C0BEE">
              <w:rPr>
                <w:sz w:val="22"/>
                <w:szCs w:val="22"/>
              </w:rPr>
              <w:t xml:space="preserve">(vidjeti Tabelu 7). Rezultati </w:t>
            </w:r>
            <w:r w:rsidR="00235C93" w:rsidRPr="009C0BEE">
              <w:rPr>
                <w:sz w:val="22"/>
                <w:szCs w:val="22"/>
              </w:rPr>
              <w:t xml:space="preserve">ispitivanja takođe </w:t>
            </w:r>
            <w:r w:rsidRPr="009C0BEE">
              <w:rPr>
                <w:sz w:val="22"/>
                <w:szCs w:val="22"/>
              </w:rPr>
              <w:t>pokazuju ekvivalenciju terapija XELOX i FOLFOX-4 u smislu  ukupnog preživljavanja  (vidjeti Tabelu 7). Poređenje XELOX plus bevacizumab sa jedne strane i FOLFOX-4 plus bevacizumab sa druge obavljeno je kao prethodno definisana eksploratorna analiza. U poređenju ovih terapijskih podgrupa</w:t>
            </w:r>
            <w:r w:rsidR="005010D7" w:rsidRPr="009C0BEE">
              <w:rPr>
                <w:sz w:val="22"/>
                <w:szCs w:val="22"/>
              </w:rPr>
              <w:t>,</w:t>
            </w:r>
            <w:r w:rsidRPr="009C0BEE">
              <w:rPr>
                <w:sz w:val="22"/>
                <w:szCs w:val="22"/>
              </w:rPr>
              <w:t xml:space="preserve"> XELOX plus bevacizumab je bio skoro isti kao FOLFOX-4 plus bevacizumab u smislu preživlj</w:t>
            </w:r>
            <w:r w:rsidR="00AB20F6" w:rsidRPr="009C0BEE">
              <w:rPr>
                <w:sz w:val="22"/>
                <w:szCs w:val="22"/>
              </w:rPr>
              <w:t>avanja bez progresije bolesti (koeficijent rizika 1,01 97,5% CI 0,84; 1,22</w:t>
            </w:r>
            <w:r w:rsidRPr="009C0BEE">
              <w:rPr>
                <w:sz w:val="22"/>
                <w:szCs w:val="22"/>
              </w:rPr>
              <w:t xml:space="preserve">). Srednje trajanje praćenja u trenutku primarne analize u populaciji </w:t>
            </w:r>
            <w:r w:rsidR="005B1246" w:rsidRPr="009C0BEE">
              <w:rPr>
                <w:sz w:val="22"/>
                <w:szCs w:val="22"/>
              </w:rPr>
              <w:t xml:space="preserve">pacijenata predviđenih za liječenje </w:t>
            </w:r>
            <w:r w:rsidR="00E14971" w:rsidRPr="009C0BEE">
              <w:rPr>
                <w:sz w:val="22"/>
                <w:szCs w:val="22"/>
              </w:rPr>
              <w:t xml:space="preserve"> iznosilo je 1,5 godinu. P</w:t>
            </w:r>
            <w:r w:rsidRPr="009C0BEE">
              <w:rPr>
                <w:sz w:val="22"/>
                <w:szCs w:val="22"/>
              </w:rPr>
              <w:t>odaci iz analiza poslije još jedne godine praćenja</w:t>
            </w:r>
            <w:r w:rsidR="00E14971" w:rsidRPr="009C0BEE">
              <w:rPr>
                <w:sz w:val="22"/>
                <w:szCs w:val="22"/>
              </w:rPr>
              <w:t xml:space="preserve"> takođe su uključeni u Tabelu 7</w:t>
            </w:r>
            <w:r w:rsidRPr="009C0BEE">
              <w:rPr>
                <w:sz w:val="22"/>
                <w:szCs w:val="22"/>
              </w:rPr>
              <w:t>. Međutim</w:t>
            </w:r>
            <w:r w:rsidR="005010D7" w:rsidRPr="009C0BEE">
              <w:rPr>
                <w:sz w:val="22"/>
                <w:szCs w:val="22"/>
              </w:rPr>
              <w:t>,</w:t>
            </w:r>
            <w:r w:rsidRPr="009C0BEE">
              <w:rPr>
                <w:sz w:val="22"/>
                <w:szCs w:val="22"/>
              </w:rPr>
              <w:t xml:space="preserve"> analiza preživljavanja bez progresije </w:t>
            </w:r>
            <w:r w:rsidR="00E14971" w:rsidRPr="009C0BEE">
              <w:rPr>
                <w:sz w:val="22"/>
                <w:szCs w:val="22"/>
              </w:rPr>
              <w:t xml:space="preserve">bolesti </w:t>
            </w:r>
            <w:r w:rsidRPr="009C0BEE">
              <w:rPr>
                <w:sz w:val="22"/>
                <w:szCs w:val="22"/>
              </w:rPr>
              <w:t xml:space="preserve">(PFS) tokom terapije nije potvrdila rezultate opšte analize </w:t>
            </w:r>
            <w:r w:rsidR="00E14971" w:rsidRPr="009C0BEE">
              <w:rPr>
                <w:sz w:val="22"/>
                <w:szCs w:val="22"/>
              </w:rPr>
              <w:t>preživljavanja bez progresije bolesti (</w:t>
            </w:r>
            <w:r w:rsidRPr="009C0BEE">
              <w:rPr>
                <w:sz w:val="22"/>
                <w:szCs w:val="22"/>
              </w:rPr>
              <w:t>PFS</w:t>
            </w:r>
            <w:r w:rsidR="00E14971" w:rsidRPr="009C0BEE">
              <w:rPr>
                <w:sz w:val="22"/>
                <w:szCs w:val="22"/>
              </w:rPr>
              <w:t>)</w:t>
            </w:r>
            <w:r w:rsidRPr="009C0BEE">
              <w:rPr>
                <w:sz w:val="22"/>
                <w:szCs w:val="22"/>
              </w:rPr>
              <w:t xml:space="preserve"> i </w:t>
            </w:r>
            <w:r w:rsidR="00E14971" w:rsidRPr="009C0BEE">
              <w:rPr>
                <w:sz w:val="22"/>
                <w:szCs w:val="22"/>
              </w:rPr>
              <w:t>ukupnog preživljavanja</w:t>
            </w:r>
            <w:r w:rsidRPr="009C0BEE">
              <w:rPr>
                <w:sz w:val="22"/>
                <w:szCs w:val="22"/>
              </w:rPr>
              <w:t xml:space="preserve"> (</w:t>
            </w:r>
            <w:r w:rsidR="00E14971" w:rsidRPr="009C0BEE">
              <w:rPr>
                <w:sz w:val="22"/>
                <w:szCs w:val="22"/>
              </w:rPr>
              <w:t xml:space="preserve">OS):  </w:t>
            </w:r>
            <w:r w:rsidR="00A17934" w:rsidRPr="009C0BEE">
              <w:rPr>
                <w:sz w:val="22"/>
                <w:szCs w:val="22"/>
              </w:rPr>
              <w:t xml:space="preserve">koeficijent </w:t>
            </w:r>
            <w:r w:rsidRPr="009C0BEE">
              <w:rPr>
                <w:sz w:val="22"/>
                <w:szCs w:val="22"/>
              </w:rPr>
              <w:t xml:space="preserve">rizika za XELOX u poređenju sa </w:t>
            </w:r>
            <w:r w:rsidR="00E14971" w:rsidRPr="009C0BEE">
              <w:rPr>
                <w:sz w:val="22"/>
                <w:szCs w:val="22"/>
              </w:rPr>
              <w:t xml:space="preserve">terapijom  FOLFOX-4 iznosio je </w:t>
            </w:r>
            <w:r w:rsidRPr="009C0BEE">
              <w:rPr>
                <w:sz w:val="22"/>
                <w:szCs w:val="22"/>
              </w:rPr>
              <w:t>1,24</w:t>
            </w:r>
            <w:r w:rsidR="00A17934" w:rsidRPr="009C0BEE">
              <w:rPr>
                <w:sz w:val="22"/>
                <w:szCs w:val="22"/>
              </w:rPr>
              <w:t>,</w:t>
            </w:r>
            <w:r w:rsidRPr="009C0BEE">
              <w:rPr>
                <w:sz w:val="22"/>
                <w:szCs w:val="22"/>
              </w:rPr>
              <w:t xml:space="preserve"> gdje je 97,5% CI: 1,07 do 1,44. Iako analiza osjetljivosti pokazuje da  razlika u režimima doziranja i vremenu procjene tumora imaju uticaj na analizu PFS tokom terapije, nije nađeno puno objašnjenje za ovaj rezultat.</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rPr>
            </w:pPr>
            <w:r w:rsidRPr="009C0BEE">
              <w:rPr>
                <w:sz w:val="22"/>
                <w:szCs w:val="22"/>
              </w:rPr>
              <w:t>Tabela 7. Ključni rezultati procjene efikasnosti u analizi neinferiornosti u kliničkom ispitivanju NO 16966</w:t>
            </w:r>
          </w:p>
          <w:p w:rsidR="00C6356D" w:rsidRPr="009C0BEE" w:rsidRDefault="00C6356D" w:rsidP="00C6356D">
            <w:pPr>
              <w:pStyle w:val="Header"/>
              <w:tabs>
                <w:tab w:val="left" w:pos="284"/>
              </w:tabs>
              <w:rPr>
                <w:color w:val="FF0000"/>
                <w:sz w:val="22"/>
                <w:szCs w:val="22"/>
              </w:rPr>
            </w:pPr>
            <w:r w:rsidRPr="009C0BEE">
              <w:rPr>
                <w:color w:val="FF0000"/>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2801"/>
              <w:gridCol w:w="2805"/>
              <w:gridCol w:w="2317"/>
            </w:tblGrid>
            <w:tr w:rsidR="00D17F29" w:rsidRPr="009C0BEE" w:rsidTr="005E7E41">
              <w:tc>
                <w:tcPr>
                  <w:tcW w:w="5000" w:type="pct"/>
                  <w:gridSpan w:val="4"/>
                  <w:shd w:val="clear" w:color="auto" w:fill="E6E6E6"/>
                  <w:vAlign w:val="center"/>
                </w:tcPr>
                <w:p w:rsidR="00C6356D" w:rsidRPr="009C0BEE" w:rsidRDefault="00C6356D" w:rsidP="00C6356D">
                  <w:pPr>
                    <w:pStyle w:val="Header"/>
                    <w:tabs>
                      <w:tab w:val="left" w:pos="284"/>
                    </w:tabs>
                    <w:jc w:val="center"/>
                    <w:rPr>
                      <w:b/>
                      <w:sz w:val="22"/>
                      <w:szCs w:val="22"/>
                    </w:rPr>
                  </w:pPr>
                  <w:r w:rsidRPr="009C0BEE">
                    <w:rPr>
                      <w:b/>
                      <w:sz w:val="22"/>
                      <w:szCs w:val="22"/>
                    </w:rPr>
                    <w:t>PRIMARNA ANALIZA</w:t>
                  </w:r>
                </w:p>
              </w:tc>
            </w:tr>
            <w:tr w:rsidR="00D17F29" w:rsidRPr="009C0BEE" w:rsidTr="005E7E41">
              <w:tc>
                <w:tcPr>
                  <w:tcW w:w="2277" w:type="pct"/>
                  <w:gridSpan w:val="2"/>
                  <w:shd w:val="clear" w:color="auto" w:fill="auto"/>
                  <w:vAlign w:val="bottom"/>
                </w:tcPr>
                <w:p w:rsidR="00C6356D" w:rsidRPr="009C0BEE" w:rsidRDefault="00C6356D" w:rsidP="00C6356D">
                  <w:pPr>
                    <w:pStyle w:val="Header"/>
                    <w:tabs>
                      <w:tab w:val="left" w:pos="284"/>
                    </w:tabs>
                    <w:jc w:val="center"/>
                    <w:rPr>
                      <w:b/>
                      <w:sz w:val="22"/>
                      <w:szCs w:val="22"/>
                    </w:rPr>
                  </w:pPr>
                  <w:r w:rsidRPr="009C0BEE">
                    <w:rPr>
                      <w:b/>
                      <w:sz w:val="22"/>
                      <w:szCs w:val="22"/>
                    </w:rPr>
                    <w:t>XELOX/XELOX+P/</w:t>
                  </w:r>
                  <w:r w:rsidRPr="009C0BEE">
                    <w:rPr>
                      <w:b/>
                      <w:sz w:val="22"/>
                      <w:szCs w:val="22"/>
                    </w:rPr>
                    <w:br/>
                    <w:t>XELOX+BV</w:t>
                  </w:r>
                </w:p>
                <w:p w:rsidR="00C6356D" w:rsidRPr="009C0BEE" w:rsidRDefault="00C6356D" w:rsidP="00C6356D">
                  <w:pPr>
                    <w:pStyle w:val="Header"/>
                    <w:tabs>
                      <w:tab w:val="left" w:pos="284"/>
                    </w:tabs>
                    <w:jc w:val="center"/>
                    <w:rPr>
                      <w:b/>
                      <w:color w:val="FF0000"/>
                      <w:sz w:val="22"/>
                      <w:szCs w:val="22"/>
                    </w:rPr>
                  </w:pPr>
                  <w:r w:rsidRPr="009C0BEE">
                    <w:rPr>
                      <w:b/>
                      <w:sz w:val="22"/>
                      <w:szCs w:val="22"/>
                    </w:rPr>
                    <w:t>(EPP*: N=967; ITT**: N=1017)</w:t>
                  </w:r>
                </w:p>
              </w:tc>
              <w:tc>
                <w:tcPr>
                  <w:tcW w:w="2723" w:type="pct"/>
                  <w:gridSpan w:val="2"/>
                  <w:shd w:val="clear" w:color="auto" w:fill="auto"/>
                  <w:vAlign w:val="bottom"/>
                </w:tcPr>
                <w:p w:rsidR="00C6356D" w:rsidRPr="009C0BEE" w:rsidRDefault="00C6356D" w:rsidP="00C6356D">
                  <w:pPr>
                    <w:pStyle w:val="Header"/>
                    <w:tabs>
                      <w:tab w:val="left" w:pos="284"/>
                    </w:tabs>
                    <w:jc w:val="center"/>
                    <w:rPr>
                      <w:b/>
                      <w:sz w:val="22"/>
                      <w:szCs w:val="22"/>
                    </w:rPr>
                  </w:pPr>
                  <w:r w:rsidRPr="009C0BEE">
                    <w:rPr>
                      <w:b/>
                      <w:sz w:val="22"/>
                      <w:szCs w:val="22"/>
                    </w:rPr>
                    <w:t>FOLFOX-4/FOLFOX-4+P/</w:t>
                  </w:r>
                  <w:r w:rsidRPr="009C0BEE">
                    <w:rPr>
                      <w:b/>
                      <w:sz w:val="22"/>
                      <w:szCs w:val="22"/>
                    </w:rPr>
                    <w:br/>
                    <w:t>FOLFOX-4+BV</w:t>
                  </w:r>
                </w:p>
                <w:p w:rsidR="00C6356D" w:rsidRPr="009C0BEE" w:rsidRDefault="00C6356D" w:rsidP="00C6356D">
                  <w:pPr>
                    <w:pStyle w:val="Header"/>
                    <w:tabs>
                      <w:tab w:val="left" w:pos="284"/>
                    </w:tabs>
                    <w:jc w:val="center"/>
                    <w:rPr>
                      <w:b/>
                      <w:color w:val="FF0000"/>
                      <w:sz w:val="22"/>
                      <w:szCs w:val="22"/>
                    </w:rPr>
                  </w:pPr>
                  <w:r w:rsidRPr="009C0BEE">
                    <w:rPr>
                      <w:b/>
                      <w:sz w:val="22"/>
                      <w:szCs w:val="22"/>
                    </w:rPr>
                    <w:t>(EPP*: N = 937; ITT**: N= 1017)</w:t>
                  </w:r>
                </w:p>
              </w:tc>
            </w:tr>
            <w:tr w:rsidR="00D17F29" w:rsidRPr="009C0BEE" w:rsidTr="005E7E41">
              <w:tc>
                <w:tcPr>
                  <w:tcW w:w="788"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Populacija</w:t>
                  </w:r>
                </w:p>
              </w:tc>
              <w:tc>
                <w:tcPr>
                  <w:tcW w:w="2980" w:type="pct"/>
                  <w:gridSpan w:val="2"/>
                  <w:tcBorders>
                    <w:bottom w:val="single" w:sz="4" w:space="0" w:color="auto"/>
                  </w:tcBorders>
                  <w:shd w:val="clear" w:color="auto" w:fill="auto"/>
                  <w:vAlign w:val="bottom"/>
                </w:tcPr>
                <w:p w:rsidR="00C6356D" w:rsidRPr="009C0BEE" w:rsidRDefault="00C6356D" w:rsidP="00C6356D">
                  <w:pPr>
                    <w:pStyle w:val="Header"/>
                    <w:tabs>
                      <w:tab w:val="left" w:pos="284"/>
                    </w:tabs>
                    <w:jc w:val="center"/>
                    <w:rPr>
                      <w:b/>
                      <w:sz w:val="22"/>
                      <w:szCs w:val="22"/>
                    </w:rPr>
                  </w:pPr>
                  <w:r w:rsidRPr="009C0BEE">
                    <w:rPr>
                      <w:b/>
                      <w:sz w:val="22"/>
                      <w:szCs w:val="22"/>
                    </w:rPr>
                    <w:t>Srednje vrijeme do događaja (Dana)</w:t>
                  </w:r>
                </w:p>
              </w:tc>
              <w:tc>
                <w:tcPr>
                  <w:tcW w:w="1232"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HR</w:t>
                  </w:r>
                </w:p>
                <w:p w:rsidR="00C6356D" w:rsidRPr="009C0BEE" w:rsidRDefault="00C6356D" w:rsidP="00401005">
                  <w:pPr>
                    <w:pStyle w:val="Header"/>
                    <w:tabs>
                      <w:tab w:val="left" w:pos="284"/>
                    </w:tabs>
                    <w:rPr>
                      <w:b/>
                      <w:sz w:val="22"/>
                      <w:szCs w:val="22"/>
                    </w:rPr>
                  </w:pPr>
                  <w:r w:rsidRPr="009C0BEE">
                    <w:rPr>
                      <w:b/>
                      <w:sz w:val="22"/>
                      <w:szCs w:val="22"/>
                    </w:rPr>
                    <w:t>(97</w:t>
                  </w:r>
                  <w:r w:rsidR="00401005" w:rsidRPr="009C0BEE">
                    <w:rPr>
                      <w:b/>
                      <w:sz w:val="22"/>
                      <w:szCs w:val="22"/>
                    </w:rPr>
                    <w:t>,</w:t>
                  </w:r>
                  <w:r w:rsidRPr="009C0BEE">
                    <w:rPr>
                      <w:b/>
                      <w:sz w:val="22"/>
                      <w:szCs w:val="22"/>
                    </w:rPr>
                    <w:t>5% CI)</w:t>
                  </w:r>
                </w:p>
              </w:tc>
            </w:tr>
            <w:tr w:rsidR="00D17F29" w:rsidRPr="009C0BEE" w:rsidTr="005E7E41">
              <w:tc>
                <w:tcPr>
                  <w:tcW w:w="5000" w:type="pct"/>
                  <w:gridSpan w:val="4"/>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Preživljavanje bez progresije</w:t>
                  </w:r>
                </w:p>
              </w:tc>
            </w:tr>
            <w:tr w:rsidR="00D17F29" w:rsidRPr="009C0BEE" w:rsidTr="005E7E41">
              <w:trPr>
                <w:trHeight w:val="430"/>
              </w:trPr>
              <w:tc>
                <w:tcPr>
                  <w:tcW w:w="788"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EPP</w:t>
                  </w:r>
                </w:p>
                <w:p w:rsidR="00C6356D" w:rsidRPr="009C0BEE" w:rsidRDefault="00C6356D" w:rsidP="00C6356D">
                  <w:pPr>
                    <w:pStyle w:val="Header"/>
                    <w:tabs>
                      <w:tab w:val="left" w:pos="284"/>
                    </w:tabs>
                    <w:rPr>
                      <w:sz w:val="22"/>
                      <w:szCs w:val="22"/>
                    </w:rPr>
                  </w:pPr>
                  <w:r w:rsidRPr="009C0BEE">
                    <w:rPr>
                      <w:sz w:val="22"/>
                      <w:szCs w:val="22"/>
                    </w:rPr>
                    <w:t>ITT</w:t>
                  </w:r>
                </w:p>
              </w:tc>
              <w:tc>
                <w:tcPr>
                  <w:tcW w:w="1489" w:type="pct"/>
                  <w:tcBorders>
                    <w:bottom w:val="single" w:sz="4" w:space="0" w:color="auto"/>
                  </w:tcBorders>
                  <w:shd w:val="clear" w:color="auto" w:fill="auto"/>
                </w:tcPr>
                <w:p w:rsidR="00C6356D" w:rsidRPr="009C0BEE" w:rsidRDefault="00C6356D" w:rsidP="00C6356D">
                  <w:pPr>
                    <w:pStyle w:val="Header"/>
                    <w:tabs>
                      <w:tab w:val="left" w:pos="284"/>
                    </w:tabs>
                    <w:rPr>
                      <w:sz w:val="22"/>
                      <w:szCs w:val="22"/>
                    </w:rPr>
                  </w:pPr>
                  <w:r w:rsidRPr="009C0BEE">
                    <w:rPr>
                      <w:sz w:val="22"/>
                      <w:szCs w:val="22"/>
                    </w:rPr>
                    <w:t>241</w:t>
                  </w:r>
                </w:p>
                <w:p w:rsidR="00C6356D" w:rsidRPr="009C0BEE" w:rsidRDefault="00C6356D" w:rsidP="00C6356D">
                  <w:pPr>
                    <w:pStyle w:val="Header"/>
                    <w:tabs>
                      <w:tab w:val="left" w:pos="284"/>
                    </w:tabs>
                    <w:rPr>
                      <w:sz w:val="22"/>
                      <w:szCs w:val="22"/>
                    </w:rPr>
                  </w:pPr>
                  <w:r w:rsidRPr="009C0BEE">
                    <w:rPr>
                      <w:sz w:val="22"/>
                      <w:szCs w:val="22"/>
                    </w:rPr>
                    <w:t>244</w:t>
                  </w:r>
                </w:p>
              </w:tc>
              <w:tc>
                <w:tcPr>
                  <w:tcW w:w="1491"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 xml:space="preserve">259 </w:t>
                  </w:r>
                </w:p>
                <w:p w:rsidR="00C6356D" w:rsidRPr="009C0BEE" w:rsidRDefault="00C6356D" w:rsidP="00C6356D">
                  <w:pPr>
                    <w:pStyle w:val="Header"/>
                    <w:tabs>
                      <w:tab w:val="left" w:pos="284"/>
                    </w:tabs>
                    <w:rPr>
                      <w:sz w:val="22"/>
                      <w:szCs w:val="22"/>
                    </w:rPr>
                  </w:pPr>
                  <w:r w:rsidRPr="009C0BEE">
                    <w:rPr>
                      <w:sz w:val="22"/>
                      <w:szCs w:val="22"/>
                    </w:rPr>
                    <w:t>259</w:t>
                  </w:r>
                </w:p>
              </w:tc>
              <w:tc>
                <w:tcPr>
                  <w:tcW w:w="1232"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1,05 (0,94; 1,18)</w:t>
                  </w:r>
                </w:p>
                <w:p w:rsidR="00C6356D" w:rsidRPr="009C0BEE" w:rsidRDefault="00C6356D" w:rsidP="00C6356D">
                  <w:pPr>
                    <w:pStyle w:val="Header"/>
                    <w:tabs>
                      <w:tab w:val="left" w:pos="284"/>
                    </w:tabs>
                    <w:rPr>
                      <w:sz w:val="22"/>
                      <w:szCs w:val="22"/>
                    </w:rPr>
                  </w:pPr>
                  <w:r w:rsidRPr="009C0BEE">
                    <w:rPr>
                      <w:sz w:val="22"/>
                      <w:szCs w:val="22"/>
                    </w:rPr>
                    <w:t>1,04 (0,93; 1,16)</w:t>
                  </w:r>
                </w:p>
              </w:tc>
            </w:tr>
            <w:tr w:rsidR="00D17F29" w:rsidRPr="009C0BEE" w:rsidTr="005E7E41">
              <w:tc>
                <w:tcPr>
                  <w:tcW w:w="5000" w:type="pct"/>
                  <w:gridSpan w:val="4"/>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Ukupno preživljavanje</w:t>
                  </w:r>
                </w:p>
              </w:tc>
            </w:tr>
            <w:tr w:rsidR="00D17F29" w:rsidRPr="009C0BEE" w:rsidTr="005E7E41">
              <w:tc>
                <w:tcPr>
                  <w:tcW w:w="788"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EPP</w:t>
                  </w:r>
                </w:p>
                <w:p w:rsidR="00C6356D" w:rsidRPr="009C0BEE" w:rsidRDefault="00C6356D" w:rsidP="00C6356D">
                  <w:pPr>
                    <w:pStyle w:val="Header"/>
                    <w:tabs>
                      <w:tab w:val="left" w:pos="284"/>
                    </w:tabs>
                    <w:rPr>
                      <w:sz w:val="22"/>
                      <w:szCs w:val="22"/>
                    </w:rPr>
                  </w:pPr>
                  <w:r w:rsidRPr="009C0BEE">
                    <w:rPr>
                      <w:sz w:val="22"/>
                      <w:szCs w:val="22"/>
                    </w:rPr>
                    <w:t>ITT</w:t>
                  </w:r>
                </w:p>
              </w:tc>
              <w:tc>
                <w:tcPr>
                  <w:tcW w:w="1489"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577</w:t>
                  </w:r>
                </w:p>
                <w:p w:rsidR="00C6356D" w:rsidRPr="009C0BEE" w:rsidRDefault="00C6356D" w:rsidP="00C6356D">
                  <w:pPr>
                    <w:pStyle w:val="Header"/>
                    <w:tabs>
                      <w:tab w:val="left" w:pos="284"/>
                    </w:tabs>
                    <w:rPr>
                      <w:sz w:val="22"/>
                      <w:szCs w:val="22"/>
                    </w:rPr>
                  </w:pPr>
                  <w:r w:rsidRPr="009C0BEE">
                    <w:rPr>
                      <w:sz w:val="22"/>
                      <w:szCs w:val="22"/>
                    </w:rPr>
                    <w:t>581</w:t>
                  </w:r>
                </w:p>
              </w:tc>
              <w:tc>
                <w:tcPr>
                  <w:tcW w:w="1491"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549</w:t>
                  </w:r>
                </w:p>
                <w:p w:rsidR="00C6356D" w:rsidRPr="009C0BEE" w:rsidRDefault="00C6356D" w:rsidP="00C6356D">
                  <w:pPr>
                    <w:pStyle w:val="Header"/>
                    <w:tabs>
                      <w:tab w:val="left" w:pos="284"/>
                    </w:tabs>
                    <w:rPr>
                      <w:sz w:val="22"/>
                      <w:szCs w:val="22"/>
                    </w:rPr>
                  </w:pPr>
                  <w:r w:rsidRPr="009C0BEE">
                    <w:rPr>
                      <w:sz w:val="22"/>
                      <w:szCs w:val="22"/>
                    </w:rPr>
                    <w:t>553</w:t>
                  </w:r>
                </w:p>
              </w:tc>
              <w:tc>
                <w:tcPr>
                  <w:tcW w:w="1232"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0,97 (0,84; 1,14)</w:t>
                  </w:r>
                </w:p>
                <w:p w:rsidR="00C6356D" w:rsidRPr="009C0BEE" w:rsidRDefault="00C6356D" w:rsidP="00C6356D">
                  <w:pPr>
                    <w:pStyle w:val="Header"/>
                    <w:tabs>
                      <w:tab w:val="left" w:pos="284"/>
                    </w:tabs>
                    <w:rPr>
                      <w:sz w:val="22"/>
                      <w:szCs w:val="22"/>
                    </w:rPr>
                  </w:pPr>
                  <w:r w:rsidRPr="009C0BEE">
                    <w:rPr>
                      <w:sz w:val="22"/>
                      <w:szCs w:val="22"/>
                    </w:rPr>
                    <w:t>0,96 (0,83; 1,12)</w:t>
                  </w:r>
                </w:p>
              </w:tc>
            </w:tr>
            <w:tr w:rsidR="00D17F29" w:rsidRPr="009C0BEE" w:rsidTr="005E7E41">
              <w:tc>
                <w:tcPr>
                  <w:tcW w:w="5000" w:type="pct"/>
                  <w:gridSpan w:val="4"/>
                  <w:shd w:val="clear" w:color="auto" w:fill="E6E6E6"/>
                  <w:vAlign w:val="center"/>
                </w:tcPr>
                <w:p w:rsidR="00C6356D" w:rsidRPr="009C0BEE" w:rsidRDefault="00C6356D" w:rsidP="00C6356D">
                  <w:pPr>
                    <w:pStyle w:val="Header"/>
                    <w:tabs>
                      <w:tab w:val="left" w:pos="284"/>
                    </w:tabs>
                    <w:jc w:val="center"/>
                    <w:rPr>
                      <w:b/>
                      <w:sz w:val="22"/>
                      <w:szCs w:val="22"/>
                    </w:rPr>
                  </w:pPr>
                  <w:r w:rsidRPr="009C0BEE">
                    <w:rPr>
                      <w:b/>
                      <w:sz w:val="22"/>
                      <w:szCs w:val="22"/>
                    </w:rPr>
                    <w:t>DODATNA GODINA PRAĆENJA</w:t>
                  </w:r>
                </w:p>
              </w:tc>
            </w:tr>
            <w:tr w:rsidR="00D17F29" w:rsidRPr="009C0BEE" w:rsidTr="005E7E41">
              <w:tc>
                <w:tcPr>
                  <w:tcW w:w="788"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Populacija</w:t>
                  </w:r>
                </w:p>
              </w:tc>
              <w:tc>
                <w:tcPr>
                  <w:tcW w:w="2980" w:type="pct"/>
                  <w:gridSpan w:val="2"/>
                  <w:tcBorders>
                    <w:bottom w:val="single" w:sz="4" w:space="0" w:color="auto"/>
                  </w:tcBorders>
                  <w:shd w:val="clear" w:color="auto" w:fill="auto"/>
                  <w:vAlign w:val="bottom"/>
                </w:tcPr>
                <w:p w:rsidR="00C6356D" w:rsidRPr="009C0BEE" w:rsidRDefault="00C6356D" w:rsidP="00C6356D">
                  <w:pPr>
                    <w:pStyle w:val="Header"/>
                    <w:tabs>
                      <w:tab w:val="left" w:pos="284"/>
                    </w:tabs>
                    <w:jc w:val="center"/>
                    <w:rPr>
                      <w:b/>
                      <w:sz w:val="22"/>
                      <w:szCs w:val="22"/>
                    </w:rPr>
                  </w:pPr>
                  <w:r w:rsidRPr="009C0BEE">
                    <w:rPr>
                      <w:b/>
                      <w:sz w:val="22"/>
                      <w:szCs w:val="22"/>
                    </w:rPr>
                    <w:t>Srednje vrijeme do događaja (Dana)</w:t>
                  </w:r>
                </w:p>
              </w:tc>
              <w:tc>
                <w:tcPr>
                  <w:tcW w:w="1232"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HR</w:t>
                  </w:r>
                </w:p>
                <w:p w:rsidR="00C6356D" w:rsidRPr="009C0BEE" w:rsidRDefault="00C6356D" w:rsidP="00401005">
                  <w:pPr>
                    <w:pStyle w:val="Header"/>
                    <w:tabs>
                      <w:tab w:val="left" w:pos="284"/>
                    </w:tabs>
                    <w:rPr>
                      <w:b/>
                      <w:sz w:val="22"/>
                      <w:szCs w:val="22"/>
                    </w:rPr>
                  </w:pPr>
                  <w:r w:rsidRPr="009C0BEE">
                    <w:rPr>
                      <w:b/>
                      <w:sz w:val="22"/>
                      <w:szCs w:val="22"/>
                    </w:rPr>
                    <w:t>(97</w:t>
                  </w:r>
                  <w:r w:rsidR="00401005" w:rsidRPr="009C0BEE">
                    <w:rPr>
                      <w:b/>
                      <w:sz w:val="22"/>
                      <w:szCs w:val="22"/>
                    </w:rPr>
                    <w:t>,</w:t>
                  </w:r>
                  <w:r w:rsidRPr="009C0BEE">
                    <w:rPr>
                      <w:b/>
                      <w:sz w:val="22"/>
                      <w:szCs w:val="22"/>
                    </w:rPr>
                    <w:t>5% CI)</w:t>
                  </w:r>
                </w:p>
              </w:tc>
            </w:tr>
            <w:tr w:rsidR="00D17F29" w:rsidRPr="009C0BEE" w:rsidTr="005E7E41">
              <w:tc>
                <w:tcPr>
                  <w:tcW w:w="5000" w:type="pct"/>
                  <w:gridSpan w:val="4"/>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Preživljavanje bez progresije</w:t>
                  </w:r>
                </w:p>
              </w:tc>
            </w:tr>
            <w:tr w:rsidR="00D17F29" w:rsidRPr="009C0BEE" w:rsidTr="005E7E41">
              <w:trPr>
                <w:trHeight w:val="430"/>
              </w:trPr>
              <w:tc>
                <w:tcPr>
                  <w:tcW w:w="788"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EPP</w:t>
                  </w:r>
                </w:p>
                <w:p w:rsidR="00C6356D" w:rsidRPr="009C0BEE" w:rsidRDefault="00C6356D" w:rsidP="00C6356D">
                  <w:pPr>
                    <w:pStyle w:val="Header"/>
                    <w:tabs>
                      <w:tab w:val="left" w:pos="284"/>
                    </w:tabs>
                    <w:rPr>
                      <w:sz w:val="22"/>
                      <w:szCs w:val="22"/>
                    </w:rPr>
                  </w:pPr>
                  <w:r w:rsidRPr="009C0BEE">
                    <w:rPr>
                      <w:sz w:val="22"/>
                      <w:szCs w:val="22"/>
                    </w:rPr>
                    <w:t>ITT</w:t>
                  </w:r>
                </w:p>
              </w:tc>
              <w:tc>
                <w:tcPr>
                  <w:tcW w:w="1489" w:type="pct"/>
                  <w:tcBorders>
                    <w:bottom w:val="single" w:sz="4" w:space="0" w:color="auto"/>
                  </w:tcBorders>
                  <w:shd w:val="clear" w:color="auto" w:fill="auto"/>
                </w:tcPr>
                <w:p w:rsidR="00C6356D" w:rsidRPr="009C0BEE" w:rsidRDefault="00C6356D" w:rsidP="00C6356D">
                  <w:pPr>
                    <w:pStyle w:val="Header"/>
                    <w:tabs>
                      <w:tab w:val="left" w:pos="284"/>
                    </w:tabs>
                    <w:rPr>
                      <w:sz w:val="22"/>
                      <w:szCs w:val="22"/>
                    </w:rPr>
                  </w:pPr>
                  <w:r w:rsidRPr="009C0BEE">
                    <w:rPr>
                      <w:sz w:val="22"/>
                      <w:szCs w:val="22"/>
                    </w:rPr>
                    <w:t xml:space="preserve">242 </w:t>
                  </w:r>
                </w:p>
                <w:p w:rsidR="00C6356D" w:rsidRPr="009C0BEE" w:rsidRDefault="00C6356D" w:rsidP="00C6356D">
                  <w:pPr>
                    <w:pStyle w:val="Header"/>
                    <w:tabs>
                      <w:tab w:val="left" w:pos="284"/>
                    </w:tabs>
                    <w:rPr>
                      <w:sz w:val="22"/>
                      <w:szCs w:val="22"/>
                    </w:rPr>
                  </w:pPr>
                  <w:r w:rsidRPr="009C0BEE">
                    <w:rPr>
                      <w:sz w:val="22"/>
                      <w:szCs w:val="22"/>
                    </w:rPr>
                    <w:t>244</w:t>
                  </w:r>
                </w:p>
              </w:tc>
              <w:tc>
                <w:tcPr>
                  <w:tcW w:w="1491"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259</w:t>
                  </w:r>
                </w:p>
                <w:p w:rsidR="00C6356D" w:rsidRPr="009C0BEE" w:rsidRDefault="00C6356D" w:rsidP="00C6356D">
                  <w:pPr>
                    <w:pStyle w:val="Header"/>
                    <w:tabs>
                      <w:tab w:val="left" w:pos="284"/>
                    </w:tabs>
                    <w:rPr>
                      <w:sz w:val="22"/>
                      <w:szCs w:val="22"/>
                    </w:rPr>
                  </w:pPr>
                  <w:r w:rsidRPr="009C0BEE">
                    <w:rPr>
                      <w:sz w:val="22"/>
                      <w:szCs w:val="22"/>
                    </w:rPr>
                    <w:t>259</w:t>
                  </w:r>
                </w:p>
              </w:tc>
              <w:tc>
                <w:tcPr>
                  <w:tcW w:w="1232"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1,02 (0,92; 1,14)</w:t>
                  </w:r>
                </w:p>
                <w:p w:rsidR="00C6356D" w:rsidRPr="009C0BEE" w:rsidRDefault="00C6356D" w:rsidP="00C6356D">
                  <w:pPr>
                    <w:pStyle w:val="Header"/>
                    <w:tabs>
                      <w:tab w:val="left" w:pos="284"/>
                    </w:tabs>
                    <w:rPr>
                      <w:sz w:val="22"/>
                      <w:szCs w:val="22"/>
                    </w:rPr>
                  </w:pPr>
                  <w:r w:rsidRPr="009C0BEE">
                    <w:rPr>
                      <w:sz w:val="22"/>
                      <w:szCs w:val="22"/>
                    </w:rPr>
                    <w:t>1,01 (0,91; 1,12)</w:t>
                  </w:r>
                </w:p>
              </w:tc>
            </w:tr>
            <w:tr w:rsidR="00D17F29" w:rsidRPr="009C0BEE" w:rsidTr="005E7E41">
              <w:tc>
                <w:tcPr>
                  <w:tcW w:w="5000" w:type="pct"/>
                  <w:gridSpan w:val="4"/>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Ukupno preživljavanje</w:t>
                  </w:r>
                </w:p>
              </w:tc>
            </w:tr>
            <w:tr w:rsidR="00D17F29" w:rsidRPr="009C0BEE" w:rsidTr="005E7E41">
              <w:tc>
                <w:tcPr>
                  <w:tcW w:w="788"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EPP</w:t>
                  </w:r>
                </w:p>
                <w:p w:rsidR="00C6356D" w:rsidRPr="009C0BEE" w:rsidRDefault="00C6356D" w:rsidP="00C6356D">
                  <w:pPr>
                    <w:pStyle w:val="Header"/>
                    <w:tabs>
                      <w:tab w:val="left" w:pos="284"/>
                    </w:tabs>
                    <w:rPr>
                      <w:sz w:val="22"/>
                      <w:szCs w:val="22"/>
                    </w:rPr>
                  </w:pPr>
                  <w:r w:rsidRPr="009C0BEE">
                    <w:rPr>
                      <w:sz w:val="22"/>
                      <w:szCs w:val="22"/>
                    </w:rPr>
                    <w:t>ITT</w:t>
                  </w:r>
                </w:p>
              </w:tc>
              <w:tc>
                <w:tcPr>
                  <w:tcW w:w="1489"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600</w:t>
                  </w:r>
                </w:p>
                <w:p w:rsidR="00C6356D" w:rsidRPr="009C0BEE" w:rsidRDefault="00C6356D" w:rsidP="00C6356D">
                  <w:pPr>
                    <w:pStyle w:val="Header"/>
                    <w:tabs>
                      <w:tab w:val="left" w:pos="284"/>
                    </w:tabs>
                    <w:rPr>
                      <w:sz w:val="22"/>
                      <w:szCs w:val="22"/>
                    </w:rPr>
                  </w:pPr>
                  <w:r w:rsidRPr="009C0BEE">
                    <w:rPr>
                      <w:sz w:val="22"/>
                      <w:szCs w:val="22"/>
                    </w:rPr>
                    <w:t>602</w:t>
                  </w:r>
                </w:p>
              </w:tc>
              <w:tc>
                <w:tcPr>
                  <w:tcW w:w="1491"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594</w:t>
                  </w:r>
                </w:p>
                <w:p w:rsidR="00C6356D" w:rsidRPr="009C0BEE" w:rsidRDefault="00C6356D" w:rsidP="00C6356D">
                  <w:pPr>
                    <w:pStyle w:val="Header"/>
                    <w:tabs>
                      <w:tab w:val="left" w:pos="284"/>
                    </w:tabs>
                    <w:rPr>
                      <w:sz w:val="22"/>
                      <w:szCs w:val="22"/>
                    </w:rPr>
                  </w:pPr>
                  <w:r w:rsidRPr="009C0BEE">
                    <w:rPr>
                      <w:sz w:val="22"/>
                      <w:szCs w:val="22"/>
                    </w:rPr>
                    <w:t>596</w:t>
                  </w:r>
                </w:p>
              </w:tc>
              <w:tc>
                <w:tcPr>
                  <w:tcW w:w="1232"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1,00 (0,88; 1,13)</w:t>
                  </w:r>
                </w:p>
                <w:p w:rsidR="00C6356D" w:rsidRPr="009C0BEE" w:rsidRDefault="00C6356D" w:rsidP="00C6356D">
                  <w:pPr>
                    <w:pStyle w:val="Header"/>
                    <w:tabs>
                      <w:tab w:val="left" w:pos="284"/>
                    </w:tabs>
                    <w:rPr>
                      <w:sz w:val="22"/>
                      <w:szCs w:val="22"/>
                    </w:rPr>
                  </w:pPr>
                  <w:r w:rsidRPr="009C0BEE">
                    <w:rPr>
                      <w:sz w:val="22"/>
                      <w:szCs w:val="22"/>
                    </w:rPr>
                    <w:t>0,99 (0,88; 1,12)</w:t>
                  </w:r>
                </w:p>
              </w:tc>
            </w:tr>
          </w:tbl>
          <w:p w:rsidR="00C6356D" w:rsidRPr="009C0BEE" w:rsidRDefault="00C6356D" w:rsidP="00C6356D">
            <w:pPr>
              <w:pStyle w:val="Header"/>
              <w:tabs>
                <w:tab w:val="left" w:pos="284"/>
              </w:tabs>
              <w:rPr>
                <w:sz w:val="22"/>
                <w:szCs w:val="22"/>
              </w:rPr>
            </w:pPr>
            <w:r w:rsidRPr="009C0BEE">
              <w:rPr>
                <w:sz w:val="22"/>
                <w:szCs w:val="22"/>
              </w:rPr>
              <w:t>*EPP= populacija pacijenata koji ispunjavaju kriterijume ; **ITT = intent –to –treat populatio</w:t>
            </w:r>
            <w:r w:rsidR="00080AD5" w:rsidRPr="009C0BEE">
              <w:rPr>
                <w:sz w:val="22"/>
                <w:szCs w:val="22"/>
              </w:rPr>
              <w:t>n – populacija bolesnika predviđ</w:t>
            </w:r>
            <w:r w:rsidRPr="009C0BEE">
              <w:rPr>
                <w:sz w:val="22"/>
                <w:szCs w:val="22"/>
              </w:rPr>
              <w:t>enih za liječenje</w:t>
            </w:r>
          </w:p>
          <w:p w:rsidR="00C6356D" w:rsidRPr="009C0BEE" w:rsidRDefault="00C6356D" w:rsidP="00C6356D">
            <w:pPr>
              <w:pStyle w:val="Header"/>
              <w:tabs>
                <w:tab w:val="left" w:pos="284"/>
              </w:tabs>
              <w:rPr>
                <w:color w:val="FF0000"/>
                <w:sz w:val="22"/>
                <w:szCs w:val="22"/>
              </w:rPr>
            </w:pPr>
          </w:p>
          <w:p w:rsidR="00C6356D" w:rsidRPr="009C0BEE" w:rsidRDefault="00A77349" w:rsidP="00A77349">
            <w:pPr>
              <w:autoSpaceDE w:val="0"/>
              <w:autoSpaceDN w:val="0"/>
              <w:adjustRightInd w:val="0"/>
              <w:jc w:val="both"/>
              <w:rPr>
                <w:rFonts w:ascii="TimesNewRoman" w:hAnsi="TimesNewRoman" w:cs="TimesNewRoman"/>
                <w:sz w:val="22"/>
                <w:szCs w:val="22"/>
              </w:rPr>
            </w:pPr>
            <w:r w:rsidRPr="009C0BEE">
              <w:rPr>
                <w:sz w:val="22"/>
                <w:szCs w:val="22"/>
              </w:rPr>
              <w:t>Podaci iz randomizovane</w:t>
            </w:r>
            <w:r w:rsidR="00C6356D" w:rsidRPr="009C0BEE">
              <w:rPr>
                <w:sz w:val="22"/>
                <w:szCs w:val="22"/>
              </w:rPr>
              <w:t xml:space="preserve"> kontrolisane studije faze III (CAIRO) podržavaju upotrebu </w:t>
            </w:r>
            <w:r w:rsidR="0028138D" w:rsidRPr="009C0BEE">
              <w:rPr>
                <w:sz w:val="22"/>
                <w:szCs w:val="22"/>
              </w:rPr>
              <w:t xml:space="preserve">kapecitabina </w:t>
            </w:r>
            <w:r w:rsidR="00C6356D" w:rsidRPr="009C0BEE">
              <w:rPr>
                <w:sz w:val="22"/>
                <w:szCs w:val="22"/>
              </w:rPr>
              <w:t>sa početnom dozom od 1000 mg/m</w:t>
            </w:r>
            <w:r w:rsidR="00C6356D" w:rsidRPr="009C0BEE">
              <w:rPr>
                <w:sz w:val="22"/>
                <w:szCs w:val="22"/>
                <w:vertAlign w:val="superscript"/>
              </w:rPr>
              <w:t>2</w:t>
            </w:r>
            <w:r w:rsidR="00C6356D" w:rsidRPr="009C0BEE">
              <w:rPr>
                <w:sz w:val="22"/>
                <w:szCs w:val="22"/>
              </w:rPr>
              <w:t xml:space="preserve"> tokom dvije ned</w:t>
            </w:r>
            <w:r w:rsidRPr="009C0BEE">
              <w:rPr>
                <w:sz w:val="22"/>
                <w:szCs w:val="22"/>
              </w:rPr>
              <w:t>j</w:t>
            </w:r>
            <w:r w:rsidR="00C6356D" w:rsidRPr="009C0BEE">
              <w:rPr>
                <w:sz w:val="22"/>
                <w:szCs w:val="22"/>
              </w:rPr>
              <w:t>elje na svake 3 ned</w:t>
            </w:r>
            <w:r w:rsidRPr="009C0BEE">
              <w:rPr>
                <w:sz w:val="22"/>
                <w:szCs w:val="22"/>
              </w:rPr>
              <w:t>j</w:t>
            </w:r>
            <w:r w:rsidR="00C6356D" w:rsidRPr="009C0BEE">
              <w:rPr>
                <w:sz w:val="22"/>
                <w:szCs w:val="22"/>
              </w:rPr>
              <w:t>elje u kombinaciji sa irinotekanom kao prva linija terapije  pacijenata sa metastatskim kolorektalnim karcinomom.  Randomiz</w:t>
            </w:r>
            <w:r w:rsidRPr="009C0BEE">
              <w:rPr>
                <w:sz w:val="22"/>
                <w:szCs w:val="22"/>
              </w:rPr>
              <w:t xml:space="preserve">ovano je 820 pacijenata </w:t>
            </w:r>
            <w:r w:rsidR="00C6356D" w:rsidRPr="009C0BEE">
              <w:rPr>
                <w:sz w:val="22"/>
                <w:szCs w:val="22"/>
              </w:rPr>
              <w:t xml:space="preserve">da prima ili sekvencijalnu terapiju (n=410) ili kombinovanu terapiju (n=410). Sekvencijalna terapija se </w:t>
            </w:r>
            <w:r w:rsidR="00A17934" w:rsidRPr="009C0BEE">
              <w:rPr>
                <w:sz w:val="22"/>
                <w:szCs w:val="22"/>
              </w:rPr>
              <w:t xml:space="preserve">sastojala </w:t>
            </w:r>
            <w:r w:rsidR="00C6356D" w:rsidRPr="009C0BEE">
              <w:rPr>
                <w:sz w:val="22"/>
                <w:szCs w:val="22"/>
              </w:rPr>
              <w:t xml:space="preserve">od prve linije terapije </w:t>
            </w:r>
            <w:r w:rsidRPr="009C0BEE">
              <w:rPr>
                <w:sz w:val="22"/>
                <w:szCs w:val="22"/>
              </w:rPr>
              <w:t>k</w:t>
            </w:r>
            <w:r w:rsidR="00F91C4D" w:rsidRPr="009C0BEE">
              <w:rPr>
                <w:sz w:val="22"/>
                <w:szCs w:val="22"/>
              </w:rPr>
              <w:t>apecitabin</w:t>
            </w:r>
            <w:r w:rsidRPr="009C0BEE">
              <w:rPr>
                <w:sz w:val="22"/>
                <w:szCs w:val="22"/>
              </w:rPr>
              <w:t>om</w:t>
            </w:r>
            <w:r w:rsidR="00C6356D" w:rsidRPr="009C0BEE">
              <w:rPr>
                <w:sz w:val="22"/>
                <w:szCs w:val="22"/>
              </w:rPr>
              <w:t xml:space="preserve"> (1250 mg/m</w:t>
            </w:r>
            <w:r w:rsidR="00C6356D" w:rsidRPr="009C0BEE">
              <w:rPr>
                <w:sz w:val="22"/>
                <w:szCs w:val="22"/>
                <w:vertAlign w:val="superscript"/>
              </w:rPr>
              <w:t>2</w:t>
            </w:r>
            <w:r w:rsidR="00C6356D" w:rsidRPr="009C0BEE">
              <w:rPr>
                <w:sz w:val="22"/>
                <w:szCs w:val="22"/>
              </w:rPr>
              <w:t xml:space="preserve"> dva puta </w:t>
            </w:r>
            <w:r w:rsidRPr="009C0BEE">
              <w:rPr>
                <w:sz w:val="22"/>
                <w:szCs w:val="22"/>
              </w:rPr>
              <w:t>dnevno</w:t>
            </w:r>
            <w:r w:rsidR="00C6356D" w:rsidRPr="009C0BEE">
              <w:rPr>
                <w:sz w:val="22"/>
                <w:szCs w:val="22"/>
              </w:rPr>
              <w:t xml:space="preserve"> tokom 14 dana), druge linije  irinotekanom (350 mg/m</w:t>
            </w:r>
            <w:r w:rsidR="00C6356D" w:rsidRPr="009C0BEE">
              <w:rPr>
                <w:sz w:val="22"/>
                <w:szCs w:val="22"/>
                <w:vertAlign w:val="superscript"/>
              </w:rPr>
              <w:t>2</w:t>
            </w:r>
            <w:r w:rsidR="00C6356D" w:rsidRPr="009C0BEE">
              <w:rPr>
                <w:sz w:val="22"/>
                <w:szCs w:val="22"/>
              </w:rPr>
              <w:t xml:space="preserve"> prvog dana), i treće linije kombinacije sa kapecitabinom (1000 mg/m</w:t>
            </w:r>
            <w:r w:rsidR="00C6356D" w:rsidRPr="009C0BEE">
              <w:rPr>
                <w:sz w:val="22"/>
                <w:szCs w:val="22"/>
                <w:vertAlign w:val="superscript"/>
              </w:rPr>
              <w:t>2</w:t>
            </w:r>
            <w:r w:rsidR="00C6356D" w:rsidRPr="009C0BEE">
              <w:rPr>
                <w:sz w:val="22"/>
                <w:szCs w:val="22"/>
              </w:rPr>
              <w:t xml:space="preserve"> dva puta </w:t>
            </w:r>
            <w:r w:rsidRPr="009C0BEE">
              <w:rPr>
                <w:sz w:val="22"/>
                <w:szCs w:val="22"/>
              </w:rPr>
              <w:t>dnevno</w:t>
            </w:r>
            <w:r w:rsidR="00C6356D" w:rsidRPr="009C0BEE">
              <w:rPr>
                <w:sz w:val="22"/>
                <w:szCs w:val="22"/>
              </w:rPr>
              <w:t xml:space="preserve"> tokom 14 dana) sa oksaliplatinom (130 mg/m</w:t>
            </w:r>
            <w:r w:rsidR="00C6356D" w:rsidRPr="009C0BEE">
              <w:rPr>
                <w:sz w:val="22"/>
                <w:szCs w:val="22"/>
                <w:vertAlign w:val="superscript"/>
              </w:rPr>
              <w:t>2</w:t>
            </w:r>
            <w:r w:rsidR="00C6356D" w:rsidRPr="009C0BEE">
              <w:rPr>
                <w:sz w:val="22"/>
                <w:szCs w:val="22"/>
              </w:rPr>
              <w:t xml:space="preserve"> prvog dana). Kombinovana terapija se sastojala od </w:t>
            </w:r>
            <w:r w:rsidRPr="009C0BEE">
              <w:rPr>
                <w:sz w:val="22"/>
                <w:szCs w:val="22"/>
              </w:rPr>
              <w:t>primjene kapecitabina</w:t>
            </w:r>
            <w:r w:rsidR="00CA3123" w:rsidRPr="009C0BEE">
              <w:rPr>
                <w:color w:val="FF0000"/>
                <w:sz w:val="22"/>
                <w:szCs w:val="22"/>
              </w:rPr>
              <w:t xml:space="preserve"> </w:t>
            </w:r>
            <w:r w:rsidR="00C6356D" w:rsidRPr="009C0BEE">
              <w:rPr>
                <w:sz w:val="22"/>
                <w:szCs w:val="22"/>
              </w:rPr>
              <w:t>(1000 mg/m</w:t>
            </w:r>
            <w:r w:rsidR="00C6356D" w:rsidRPr="009C0BEE">
              <w:rPr>
                <w:sz w:val="22"/>
                <w:szCs w:val="22"/>
                <w:vertAlign w:val="superscript"/>
              </w:rPr>
              <w:t>2</w:t>
            </w:r>
            <w:r w:rsidR="00C6356D" w:rsidRPr="009C0BEE">
              <w:rPr>
                <w:sz w:val="22"/>
                <w:szCs w:val="22"/>
              </w:rPr>
              <w:t xml:space="preserve"> dva puta </w:t>
            </w:r>
            <w:r w:rsidRPr="009C0BEE">
              <w:rPr>
                <w:sz w:val="22"/>
                <w:szCs w:val="22"/>
              </w:rPr>
              <w:t>dnevno</w:t>
            </w:r>
            <w:r w:rsidR="00C6356D" w:rsidRPr="009C0BEE">
              <w:rPr>
                <w:sz w:val="22"/>
                <w:szCs w:val="22"/>
              </w:rPr>
              <w:t xml:space="preserve"> tokom 14 dana) u kombinaciji sa irinotekanom (250 mg /m</w:t>
            </w:r>
            <w:r w:rsidR="00C6356D" w:rsidRPr="009C0BEE">
              <w:rPr>
                <w:sz w:val="22"/>
                <w:szCs w:val="22"/>
                <w:vertAlign w:val="superscript"/>
              </w:rPr>
              <w:t>2</w:t>
            </w:r>
            <w:r w:rsidR="00C6356D" w:rsidRPr="009C0BEE">
              <w:rPr>
                <w:sz w:val="22"/>
                <w:szCs w:val="22"/>
              </w:rPr>
              <w:t xml:space="preserve"> prvog dana) (XELIRI) i druge linije kapecitabina  (1000 mg/m</w:t>
            </w:r>
            <w:r w:rsidR="00C6356D" w:rsidRPr="009C0BEE">
              <w:rPr>
                <w:sz w:val="22"/>
                <w:szCs w:val="22"/>
                <w:vertAlign w:val="superscript"/>
              </w:rPr>
              <w:t>2</w:t>
            </w:r>
            <w:r w:rsidR="00C6356D" w:rsidRPr="009C0BEE">
              <w:rPr>
                <w:sz w:val="22"/>
                <w:szCs w:val="22"/>
              </w:rPr>
              <w:t xml:space="preserve"> dva puta na dan tokom 14 dana) plus oksaliplatin (130 mg/m</w:t>
            </w:r>
            <w:r w:rsidR="00C6356D" w:rsidRPr="009C0BEE">
              <w:rPr>
                <w:sz w:val="22"/>
                <w:szCs w:val="22"/>
                <w:vertAlign w:val="superscript"/>
              </w:rPr>
              <w:t>2</w:t>
            </w:r>
            <w:r w:rsidR="00C6356D" w:rsidRPr="009C0BEE">
              <w:rPr>
                <w:sz w:val="22"/>
                <w:szCs w:val="22"/>
              </w:rPr>
              <w:t xml:space="preserve"> prvog dana). Svi terapijski ciklusi su davani u intervalima od 3 ned</w:t>
            </w:r>
            <w:r w:rsidRPr="009C0BEE">
              <w:rPr>
                <w:sz w:val="22"/>
                <w:szCs w:val="22"/>
              </w:rPr>
              <w:t>j</w:t>
            </w:r>
            <w:r w:rsidR="00C6356D" w:rsidRPr="009C0BEE">
              <w:rPr>
                <w:sz w:val="22"/>
                <w:szCs w:val="22"/>
              </w:rPr>
              <w:t>elje. U prvoj liniji terapije</w:t>
            </w:r>
            <w:r w:rsidR="00072FDD" w:rsidRPr="009C0BEE">
              <w:rPr>
                <w:sz w:val="22"/>
                <w:szCs w:val="22"/>
              </w:rPr>
              <w:t>,</w:t>
            </w:r>
            <w:r w:rsidR="00C6356D" w:rsidRPr="009C0BEE">
              <w:rPr>
                <w:sz w:val="22"/>
                <w:szCs w:val="22"/>
              </w:rPr>
              <w:t xml:space="preserve"> srednje preživljavanje bez progresije u populaciji </w:t>
            </w:r>
            <w:r w:rsidRPr="009C0BEE">
              <w:rPr>
                <w:sz w:val="22"/>
                <w:szCs w:val="22"/>
              </w:rPr>
              <w:t>pacijenata predviđenih za</w:t>
            </w:r>
            <w:r w:rsidR="00C6356D" w:rsidRPr="009C0BEE">
              <w:rPr>
                <w:sz w:val="22"/>
                <w:szCs w:val="22"/>
              </w:rPr>
              <w:t xml:space="preserve"> liječ</w:t>
            </w:r>
            <w:r w:rsidRPr="009C0BEE">
              <w:rPr>
                <w:sz w:val="22"/>
                <w:szCs w:val="22"/>
              </w:rPr>
              <w:t>enje</w:t>
            </w:r>
            <w:r w:rsidR="00C6356D" w:rsidRPr="009C0BEE">
              <w:rPr>
                <w:sz w:val="22"/>
                <w:szCs w:val="22"/>
              </w:rPr>
              <w:t xml:space="preserve"> iznosilo je 5</w:t>
            </w:r>
            <w:r w:rsidR="00072FDD" w:rsidRPr="009C0BEE">
              <w:rPr>
                <w:sz w:val="22"/>
                <w:szCs w:val="22"/>
              </w:rPr>
              <w:t>,</w:t>
            </w:r>
            <w:r w:rsidR="00C6356D" w:rsidRPr="009C0BEE">
              <w:rPr>
                <w:sz w:val="22"/>
                <w:szCs w:val="22"/>
              </w:rPr>
              <w:t xml:space="preserve">8 mjeseci (95%CI, 5,1 -6,2 mjeseci) za </w:t>
            </w:r>
            <w:r w:rsidRPr="009C0BEE">
              <w:rPr>
                <w:sz w:val="22"/>
                <w:szCs w:val="22"/>
              </w:rPr>
              <w:t>monoterapiju k</w:t>
            </w:r>
            <w:r w:rsidR="00F91C4D" w:rsidRPr="009C0BEE">
              <w:rPr>
                <w:sz w:val="22"/>
                <w:szCs w:val="22"/>
              </w:rPr>
              <w:t>apecitabin</w:t>
            </w:r>
            <w:r w:rsidRPr="009C0BEE">
              <w:rPr>
                <w:sz w:val="22"/>
                <w:szCs w:val="22"/>
              </w:rPr>
              <w:t xml:space="preserve">om </w:t>
            </w:r>
            <w:r w:rsidR="00C6356D" w:rsidRPr="009C0BEE">
              <w:rPr>
                <w:sz w:val="22"/>
                <w:szCs w:val="22"/>
              </w:rPr>
              <w:t>i 7,8 mjeseci (95%CI, 7,0-8,3 mjeseci; p=0.0002) za XELIRI.</w:t>
            </w:r>
            <w:r w:rsidR="00C6356D" w:rsidRPr="009C0BEE">
              <w:rPr>
                <w:color w:val="FF0000"/>
                <w:sz w:val="22"/>
                <w:szCs w:val="22"/>
              </w:rPr>
              <w:t xml:space="preserve"> </w:t>
            </w:r>
            <w:r w:rsidRPr="009C0BEE">
              <w:rPr>
                <w:rFonts w:ascii="TimesNewRoman" w:hAnsi="TimesNewRoman" w:cs="TimesNewRoman"/>
                <w:sz w:val="22"/>
                <w:szCs w:val="22"/>
              </w:rPr>
              <w:t xml:space="preserve">Međutim, ovo je bilo povezano sa povećanom incidencom gastrointestinalne toksičnosti i neutropenije tokom primjene prve linije kod XELIRI kombinacije (26% i 11% za XELIRI kombinaciju </w:t>
            </w:r>
            <w:r w:rsidR="007831B1" w:rsidRPr="009C0BEE">
              <w:rPr>
                <w:rFonts w:ascii="TimesNewRoman" w:hAnsi="TimesNewRoman" w:cs="TimesNewRoman"/>
                <w:sz w:val="22"/>
                <w:szCs w:val="22"/>
              </w:rPr>
              <w:t xml:space="preserve">i prvu liniju </w:t>
            </w:r>
            <w:r w:rsidRPr="009C0BEE">
              <w:rPr>
                <w:rFonts w:ascii="TimesNewRoman" w:hAnsi="TimesNewRoman" w:cs="TimesNewRoman"/>
                <w:sz w:val="22"/>
                <w:szCs w:val="22"/>
              </w:rPr>
              <w:t>kapecitabina, redom).</w:t>
            </w:r>
          </w:p>
          <w:p w:rsidR="00C6356D" w:rsidRPr="009C0BEE" w:rsidRDefault="00C6356D" w:rsidP="00C6356D">
            <w:pPr>
              <w:pStyle w:val="Header"/>
              <w:tabs>
                <w:tab w:val="left" w:pos="284"/>
              </w:tabs>
              <w:rPr>
                <w:color w:val="FF0000"/>
                <w:sz w:val="22"/>
                <w:szCs w:val="22"/>
              </w:rPr>
            </w:pPr>
          </w:p>
          <w:p w:rsidR="009423F4" w:rsidRPr="009C0BEE" w:rsidRDefault="00155BB0" w:rsidP="00154B9C">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Kombinacija kapecitabin+irinotekan je</w:t>
            </w:r>
            <w:r w:rsidR="009423F4" w:rsidRPr="009C0BEE">
              <w:rPr>
                <w:rFonts w:ascii="TimesNewRoman" w:hAnsi="TimesNewRoman" w:cs="TimesNewRoman"/>
                <w:sz w:val="22"/>
                <w:szCs w:val="22"/>
              </w:rPr>
              <w:t xml:space="preserve"> upoređen</w:t>
            </w:r>
            <w:r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s</w:t>
            </w:r>
            <w:r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kombinacijom 5-F</w:t>
            </w:r>
            <w:r w:rsidRPr="009C0BEE">
              <w:rPr>
                <w:rFonts w:ascii="TimesNewRoman" w:hAnsi="TimesNewRoman" w:cs="TimesNewRoman"/>
                <w:sz w:val="22"/>
                <w:szCs w:val="22"/>
              </w:rPr>
              <w:t>U + irinotekan (FOLFIRI</w:t>
            </w:r>
            <w:r w:rsidR="009423F4" w:rsidRPr="009C0BEE">
              <w:rPr>
                <w:rFonts w:ascii="TimesNewRoman" w:hAnsi="TimesNewRoman" w:cs="TimesNewRoman"/>
                <w:sz w:val="22"/>
                <w:szCs w:val="22"/>
              </w:rPr>
              <w:t>) u tri</w:t>
            </w:r>
            <w:r w:rsidRPr="009C0BEE">
              <w:rPr>
                <w:rFonts w:ascii="TimesNewRoman" w:hAnsi="TimesNewRoman" w:cs="TimesNewRoman"/>
                <w:sz w:val="22"/>
                <w:szCs w:val="22"/>
              </w:rPr>
              <w:t xml:space="preserve"> randomizovane studije kod pacijenata</w:t>
            </w:r>
            <w:r w:rsidR="009423F4" w:rsidRPr="009C0BEE">
              <w:rPr>
                <w:rFonts w:ascii="TimesNewRoman" w:hAnsi="TimesNewRoman" w:cs="TimesNewRoman"/>
                <w:sz w:val="22"/>
                <w:szCs w:val="22"/>
              </w:rPr>
              <w:t xml:space="preserve"> s</w:t>
            </w:r>
            <w:r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metastatskim kolorektalnim karcinomom. </w:t>
            </w:r>
            <w:r w:rsidRPr="009C0BEE">
              <w:rPr>
                <w:rFonts w:ascii="TimesNewRoman" w:hAnsi="TimesNewRoman" w:cs="TimesNewRoman"/>
                <w:sz w:val="22"/>
                <w:szCs w:val="22"/>
              </w:rPr>
              <w:t xml:space="preserve">Režim doziranja kombinacije kapecitabin+irinotekan </w:t>
            </w:r>
            <w:r w:rsidR="009423F4" w:rsidRPr="009C0BEE">
              <w:rPr>
                <w:rFonts w:ascii="TimesNewRoman" w:hAnsi="TimesNewRoman" w:cs="TimesNewRoman"/>
                <w:sz w:val="22"/>
                <w:szCs w:val="22"/>
              </w:rPr>
              <w:t>obuhva</w:t>
            </w:r>
            <w:r w:rsidR="00C96523" w:rsidRPr="009C0BEE">
              <w:rPr>
                <w:rFonts w:ascii="TimesNewRoman" w:hAnsi="TimesNewRoman" w:cs="TimesNewRoman"/>
                <w:sz w:val="22"/>
                <w:szCs w:val="22"/>
              </w:rPr>
              <w:t>t</w:t>
            </w:r>
            <w:r w:rsidR="009423F4" w:rsidRPr="009C0BEE">
              <w:rPr>
                <w:rFonts w:ascii="TimesNewRoman" w:hAnsi="TimesNewRoman" w:cs="TimesNewRoman"/>
                <w:sz w:val="22"/>
                <w:szCs w:val="22"/>
              </w:rPr>
              <w:t>ao je primjenu kapecitabina u dozi od 1000 mg/</w:t>
            </w:r>
            <w:r w:rsidR="00C96523" w:rsidRPr="009C0BEE">
              <w:rPr>
                <w:sz w:val="22"/>
                <w:szCs w:val="22"/>
              </w:rPr>
              <w:t xml:space="preserve"> m</w:t>
            </w:r>
            <w:r w:rsidR="00C96523" w:rsidRPr="009C0BEE">
              <w:rPr>
                <w:sz w:val="22"/>
                <w:szCs w:val="22"/>
                <w:vertAlign w:val="superscript"/>
              </w:rPr>
              <w:t>2</w:t>
            </w:r>
            <w:r w:rsidR="009423F4" w:rsidRPr="009C0BEE">
              <w:rPr>
                <w:rFonts w:ascii="TimesNewRoman" w:hAnsi="TimesNewRoman" w:cs="TimesNewRoman"/>
                <w:sz w:val="14"/>
                <w:szCs w:val="14"/>
              </w:rPr>
              <w:t xml:space="preserve"> </w:t>
            </w:r>
            <w:r w:rsidR="009423F4" w:rsidRPr="009C0BEE">
              <w:rPr>
                <w:rFonts w:ascii="TimesNewRoman" w:hAnsi="TimesNewRoman" w:cs="TimesNewRoman"/>
                <w:sz w:val="22"/>
                <w:szCs w:val="22"/>
              </w:rPr>
              <w:t>dva</w:t>
            </w:r>
            <w:r w:rsidR="00C96523" w:rsidRPr="009C0BEE">
              <w:rPr>
                <w:rFonts w:ascii="TimesNewRoman" w:hAnsi="TimesNewRoman" w:cs="TimesNewRoman"/>
                <w:sz w:val="22"/>
                <w:szCs w:val="22"/>
              </w:rPr>
              <w:t xml:space="preserve"> </w:t>
            </w:r>
            <w:r w:rsidR="009423F4" w:rsidRPr="009C0BEE">
              <w:rPr>
                <w:rFonts w:ascii="TimesNewRoman" w:hAnsi="TimesNewRoman" w:cs="TimesNewRoman"/>
                <w:sz w:val="22"/>
                <w:szCs w:val="22"/>
              </w:rPr>
              <w:t>put</w:t>
            </w:r>
            <w:r w:rsidR="00C96523"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dnevno od 1. do 14. </w:t>
            </w:r>
            <w:r w:rsidR="00072FDD" w:rsidRPr="009C0BEE">
              <w:rPr>
                <w:rFonts w:ascii="TimesNewRoman" w:hAnsi="TimesNewRoman" w:cs="TimesNewRoman"/>
                <w:sz w:val="22"/>
                <w:szCs w:val="22"/>
              </w:rPr>
              <w:t xml:space="preserve">dana </w:t>
            </w:r>
            <w:r w:rsidR="00C96523" w:rsidRPr="009C0BEE">
              <w:rPr>
                <w:rFonts w:ascii="TimesNewRoman" w:hAnsi="TimesNewRoman" w:cs="TimesNewRoman"/>
                <w:sz w:val="22"/>
                <w:szCs w:val="22"/>
              </w:rPr>
              <w:t>u tronedjeljnom</w:t>
            </w:r>
            <w:r w:rsidR="009423F4" w:rsidRPr="009C0BEE">
              <w:rPr>
                <w:rFonts w:ascii="TimesNewRoman" w:hAnsi="TimesNewRoman" w:cs="TimesNewRoman"/>
                <w:sz w:val="22"/>
                <w:szCs w:val="22"/>
              </w:rPr>
              <w:t xml:space="preserve"> ciklus</w:t>
            </w:r>
            <w:r w:rsidR="00C96523" w:rsidRPr="009C0BEE">
              <w:rPr>
                <w:rFonts w:ascii="TimesNewRoman" w:hAnsi="TimesNewRoman" w:cs="TimesNewRoman"/>
                <w:sz w:val="22"/>
                <w:szCs w:val="22"/>
              </w:rPr>
              <w:t>u</w:t>
            </w:r>
            <w:r w:rsidR="009423F4" w:rsidRPr="009C0BEE">
              <w:rPr>
                <w:rFonts w:ascii="TimesNewRoman" w:hAnsi="TimesNewRoman" w:cs="TimesNewRoman"/>
                <w:sz w:val="22"/>
                <w:szCs w:val="22"/>
              </w:rPr>
              <w:t xml:space="preserve"> u kombinaciji s</w:t>
            </w:r>
            <w:r w:rsidR="00C96523"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irinotekanom u dozi od 250 mg/</w:t>
            </w:r>
            <w:r w:rsidR="00C96523" w:rsidRPr="009C0BEE">
              <w:rPr>
                <w:sz w:val="22"/>
                <w:szCs w:val="22"/>
              </w:rPr>
              <w:t xml:space="preserve"> m</w:t>
            </w:r>
            <w:r w:rsidR="00C96523" w:rsidRPr="009C0BEE">
              <w:rPr>
                <w:sz w:val="22"/>
                <w:szCs w:val="22"/>
                <w:vertAlign w:val="superscript"/>
              </w:rPr>
              <w:t>2</w:t>
            </w:r>
            <w:r w:rsidR="009C1035" w:rsidRPr="009C0BEE">
              <w:rPr>
                <w:sz w:val="22"/>
                <w:szCs w:val="22"/>
                <w:vertAlign w:val="superscript"/>
              </w:rPr>
              <w:t xml:space="preserve">  </w:t>
            </w:r>
            <w:r w:rsidR="009C1035" w:rsidRPr="009C0BEE">
              <w:rPr>
                <w:sz w:val="22"/>
                <w:szCs w:val="22"/>
              </w:rPr>
              <w:t xml:space="preserve">koji se daje </w:t>
            </w:r>
            <w:r w:rsidR="009423F4" w:rsidRPr="009C0BEE">
              <w:rPr>
                <w:rFonts w:ascii="TimesNewRoman" w:hAnsi="TimesNewRoman" w:cs="TimesNewRoman"/>
                <w:sz w:val="22"/>
                <w:szCs w:val="22"/>
              </w:rPr>
              <w:t xml:space="preserve">1. </w:t>
            </w:r>
            <w:r w:rsidR="00072FDD" w:rsidRPr="009C0BEE">
              <w:rPr>
                <w:rFonts w:ascii="TimesNewRoman" w:hAnsi="TimesNewRoman" w:cs="TimesNewRoman"/>
                <w:sz w:val="22"/>
                <w:szCs w:val="22"/>
              </w:rPr>
              <w:t xml:space="preserve">dana </w:t>
            </w:r>
            <w:r w:rsidR="009C1035" w:rsidRPr="009C0BEE">
              <w:rPr>
                <w:rFonts w:ascii="TimesNewRoman" w:hAnsi="TimesNewRoman" w:cs="TimesNewRoman"/>
                <w:sz w:val="22"/>
                <w:szCs w:val="22"/>
              </w:rPr>
              <w:t>terapije</w:t>
            </w:r>
            <w:r w:rsidR="009423F4" w:rsidRPr="009C0BEE">
              <w:rPr>
                <w:rFonts w:ascii="TimesNewRoman" w:hAnsi="TimesNewRoman" w:cs="TimesNewRoman"/>
                <w:sz w:val="22"/>
                <w:szCs w:val="22"/>
              </w:rPr>
              <w:t>. U najveć</w:t>
            </w:r>
            <w:r w:rsidR="006033A7" w:rsidRPr="009C0BEE">
              <w:rPr>
                <w:rFonts w:ascii="TimesNewRoman" w:hAnsi="TimesNewRoman" w:cs="TimesNewRoman"/>
                <w:sz w:val="22"/>
                <w:szCs w:val="22"/>
              </w:rPr>
              <w:t>oj studiji</w:t>
            </w:r>
            <w:r w:rsidR="009423F4" w:rsidRPr="009C0BEE">
              <w:rPr>
                <w:rFonts w:ascii="TimesNewRoman" w:hAnsi="TimesNewRoman" w:cs="TimesNewRoman"/>
                <w:sz w:val="22"/>
                <w:szCs w:val="22"/>
              </w:rPr>
              <w:t xml:space="preserve"> (BICC-C)</w:t>
            </w:r>
            <w:r w:rsidR="007831B1" w:rsidRPr="009C0BEE">
              <w:rPr>
                <w:rFonts w:ascii="TimesNewRoman" w:hAnsi="TimesNewRoman" w:cs="TimesNewRoman"/>
                <w:sz w:val="22"/>
                <w:szCs w:val="22"/>
              </w:rPr>
              <w:t>,</w:t>
            </w:r>
            <w:r w:rsidR="009423F4" w:rsidRPr="009C0BEE">
              <w:rPr>
                <w:rFonts w:ascii="TimesNewRoman" w:hAnsi="TimesNewRoman" w:cs="TimesNewRoman"/>
                <w:sz w:val="22"/>
                <w:szCs w:val="22"/>
              </w:rPr>
              <w:t xml:space="preserve"> </w:t>
            </w:r>
            <w:r w:rsidR="006033A7" w:rsidRPr="009C0BEE">
              <w:rPr>
                <w:rFonts w:ascii="TimesNewRoman" w:hAnsi="TimesNewRoman" w:cs="TimesNewRoman"/>
                <w:sz w:val="22"/>
                <w:szCs w:val="22"/>
              </w:rPr>
              <w:t>pacijenti su</w:t>
            </w:r>
            <w:r w:rsidR="009423F4" w:rsidRPr="009C0BEE">
              <w:rPr>
                <w:rFonts w:ascii="TimesNewRoman" w:hAnsi="TimesNewRoman" w:cs="TimesNewRoman"/>
                <w:sz w:val="22"/>
                <w:szCs w:val="22"/>
              </w:rPr>
              <w:t xml:space="preserve"> randomiz</w:t>
            </w:r>
            <w:r w:rsidR="006033A7" w:rsidRPr="009C0BEE">
              <w:rPr>
                <w:rFonts w:ascii="TimesNewRoman" w:hAnsi="TimesNewRoman" w:cs="TimesNewRoman"/>
                <w:sz w:val="22"/>
                <w:szCs w:val="22"/>
              </w:rPr>
              <w:t xml:space="preserve">ovano podijeljeni u 3 grupe, gdje </w:t>
            </w:r>
            <w:r w:rsidR="006033A7" w:rsidRPr="009C0BEE">
              <w:rPr>
                <w:rFonts w:ascii="TimesNewRoman" w:hAnsi="TimesNewRoman" w:cs="TimesNewRoman"/>
                <w:sz w:val="22"/>
                <w:szCs w:val="22"/>
              </w:rPr>
              <w:lastRenderedPageBreak/>
              <w:t xml:space="preserve">su pacijenti po grupama primali ili otvorenu terapiju FOLFIRI </w:t>
            </w:r>
            <w:r w:rsidR="009423F4" w:rsidRPr="009C0BEE">
              <w:rPr>
                <w:rFonts w:ascii="TimesNewRoman" w:hAnsi="TimesNewRoman" w:cs="TimesNewRoman"/>
                <w:sz w:val="22"/>
                <w:szCs w:val="22"/>
              </w:rPr>
              <w:t>(n=144), bolus</w:t>
            </w:r>
            <w:r w:rsidR="006033A7"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5-FU (mIFL) (n=145) ili XELIRI </w:t>
            </w:r>
            <w:r w:rsidR="006033A7" w:rsidRPr="009C0BEE">
              <w:rPr>
                <w:rFonts w:ascii="TimesNewRoman" w:hAnsi="TimesNewRoman" w:cs="TimesNewRoman"/>
                <w:sz w:val="22"/>
                <w:szCs w:val="22"/>
              </w:rPr>
              <w:t>kombinaciju</w:t>
            </w:r>
            <w:r w:rsidR="009423F4" w:rsidRPr="009C0BEE">
              <w:rPr>
                <w:rFonts w:ascii="TimesNewRoman" w:hAnsi="TimesNewRoman" w:cs="TimesNewRoman"/>
                <w:sz w:val="22"/>
                <w:szCs w:val="22"/>
              </w:rPr>
              <w:t xml:space="preserve"> </w:t>
            </w:r>
            <w:r w:rsidR="006033A7" w:rsidRPr="009C0BEE">
              <w:rPr>
                <w:rFonts w:ascii="TimesNewRoman" w:hAnsi="TimesNewRoman" w:cs="TimesNewRoman"/>
                <w:sz w:val="22"/>
                <w:szCs w:val="22"/>
              </w:rPr>
              <w:t>(n=141), a dodatno su randomizov</w:t>
            </w:r>
            <w:r w:rsidR="009423F4" w:rsidRPr="009C0BEE">
              <w:rPr>
                <w:rFonts w:ascii="TimesNewRoman" w:hAnsi="TimesNewRoman" w:cs="TimesNewRoman"/>
                <w:sz w:val="22"/>
                <w:szCs w:val="22"/>
              </w:rPr>
              <w:t xml:space="preserve">ani </w:t>
            </w:r>
            <w:r w:rsidR="006033A7" w:rsidRPr="009C0BEE">
              <w:rPr>
                <w:rFonts w:ascii="TimesNewRoman" w:hAnsi="TimesNewRoman" w:cs="TimesNewRoman"/>
                <w:sz w:val="22"/>
                <w:szCs w:val="22"/>
              </w:rPr>
              <w:t>u okviru grupa gdje su primali dvostruko slijepu terapiju sa celekoksibom ili placebo</w:t>
            </w:r>
            <w:r w:rsidR="009423F4" w:rsidRPr="009C0BEE">
              <w:rPr>
                <w:rFonts w:ascii="TimesNewRoman" w:hAnsi="TimesNewRoman" w:cs="TimesNewRoman"/>
                <w:sz w:val="22"/>
                <w:szCs w:val="22"/>
              </w:rPr>
              <w:t>. Medijan</w:t>
            </w:r>
            <w:r w:rsidR="00D24AF2" w:rsidRPr="009C0BEE">
              <w:rPr>
                <w:rFonts w:ascii="TimesNewRoman" w:hAnsi="TimesNewRoman" w:cs="TimesNewRoman"/>
                <w:sz w:val="22"/>
                <w:szCs w:val="22"/>
              </w:rPr>
              <w:t>a preživljavanja bez progresije bolesti iznosila</w:t>
            </w:r>
            <w:r w:rsidR="009423F4" w:rsidRPr="009C0BEE">
              <w:rPr>
                <w:rFonts w:ascii="TimesNewRoman" w:hAnsi="TimesNewRoman" w:cs="TimesNewRoman"/>
                <w:sz w:val="22"/>
                <w:szCs w:val="22"/>
              </w:rPr>
              <w:t xml:space="preserve"> je 7,6 mjeseci za FOLFIRI, 5,9 mjeseci za</w:t>
            </w:r>
            <w:r w:rsidR="00D24AF2" w:rsidRPr="009C0BEE">
              <w:rPr>
                <w:rFonts w:ascii="TimesNewRoman" w:hAnsi="TimesNewRoman" w:cs="TimesNewRoman"/>
                <w:sz w:val="22"/>
                <w:szCs w:val="22"/>
              </w:rPr>
              <w:t xml:space="preserve"> </w:t>
            </w:r>
            <w:r w:rsidR="009423F4" w:rsidRPr="009C0BEE">
              <w:rPr>
                <w:rFonts w:ascii="TimesNewRoman" w:hAnsi="TimesNewRoman" w:cs="TimesNewRoman"/>
                <w:sz w:val="22"/>
                <w:szCs w:val="22"/>
              </w:rPr>
              <w:t>mIFL (p=0,004</w:t>
            </w:r>
            <w:r w:rsidR="00387A6B" w:rsidRPr="009C0BEE">
              <w:rPr>
                <w:rFonts w:ascii="TimesNewRoman" w:hAnsi="TimesNewRoman" w:cs="TimesNewRoman"/>
                <w:sz w:val="22"/>
                <w:szCs w:val="22"/>
              </w:rPr>
              <w:t>)</w:t>
            </w:r>
            <w:r w:rsidR="009423F4" w:rsidRPr="009C0BEE">
              <w:rPr>
                <w:rFonts w:ascii="TimesNewRoman" w:hAnsi="TimesNewRoman" w:cs="TimesNewRoman"/>
                <w:sz w:val="22"/>
                <w:szCs w:val="22"/>
              </w:rPr>
              <w:t xml:space="preserve"> </w:t>
            </w:r>
            <w:r w:rsidR="00387A6B" w:rsidRPr="009C0BEE">
              <w:rPr>
                <w:rFonts w:ascii="TimesNewRoman" w:hAnsi="TimesNewRoman" w:cs="TimesNewRoman"/>
                <w:sz w:val="22"/>
                <w:szCs w:val="22"/>
              </w:rPr>
              <w:t>u poređenju</w:t>
            </w:r>
            <w:r w:rsidR="009423F4" w:rsidRPr="009C0BEE">
              <w:rPr>
                <w:rFonts w:ascii="TimesNewRoman" w:hAnsi="TimesNewRoman" w:cs="TimesNewRoman"/>
                <w:sz w:val="22"/>
                <w:szCs w:val="22"/>
              </w:rPr>
              <w:t xml:space="preserve"> s</w:t>
            </w:r>
            <w:r w:rsidR="00387A6B" w:rsidRPr="009C0BEE">
              <w:rPr>
                <w:rFonts w:ascii="TimesNewRoman" w:hAnsi="TimesNewRoman" w:cs="TimesNewRoman"/>
                <w:sz w:val="22"/>
                <w:szCs w:val="22"/>
              </w:rPr>
              <w:t xml:space="preserve">a FOLFIRI </w:t>
            </w:r>
            <w:r w:rsidR="009423F4" w:rsidRPr="009C0BEE">
              <w:rPr>
                <w:rFonts w:ascii="TimesNewRoman" w:hAnsi="TimesNewRoman" w:cs="TimesNewRoman"/>
                <w:sz w:val="22"/>
                <w:szCs w:val="22"/>
              </w:rPr>
              <w:t xml:space="preserve"> i 5,8 mjeseci za XELIRI (p=0,015). Medijan</w:t>
            </w:r>
            <w:r w:rsidR="00154B9C" w:rsidRPr="009C0BEE">
              <w:rPr>
                <w:rFonts w:ascii="TimesNewRoman" w:hAnsi="TimesNewRoman" w:cs="TimesNewRoman"/>
                <w:sz w:val="22"/>
                <w:szCs w:val="22"/>
              </w:rPr>
              <w:t>a ukupnog preživljavanja</w:t>
            </w:r>
            <w:r w:rsidR="00F4235C" w:rsidRPr="009C0BEE">
              <w:rPr>
                <w:rFonts w:ascii="TimesNewRoman" w:hAnsi="TimesNewRoman" w:cs="TimesNewRoman"/>
                <w:sz w:val="22"/>
                <w:szCs w:val="22"/>
              </w:rPr>
              <w:t xml:space="preserve"> </w:t>
            </w:r>
            <w:r w:rsidR="00154B9C" w:rsidRPr="009C0BEE">
              <w:rPr>
                <w:rFonts w:ascii="TimesNewRoman" w:hAnsi="TimesNewRoman" w:cs="TimesNewRoman"/>
                <w:sz w:val="22"/>
                <w:szCs w:val="22"/>
              </w:rPr>
              <w:t>bila</w:t>
            </w:r>
            <w:r w:rsidR="009423F4" w:rsidRPr="009C0BEE">
              <w:rPr>
                <w:rFonts w:ascii="TimesNewRoman" w:hAnsi="TimesNewRoman" w:cs="TimesNewRoman"/>
                <w:sz w:val="22"/>
                <w:szCs w:val="22"/>
              </w:rPr>
              <w:t xml:space="preserve"> je 23,1 mjesec za FOLFIRI, </w:t>
            </w:r>
            <w:r w:rsidR="00154B9C" w:rsidRPr="009C0BEE">
              <w:rPr>
                <w:rFonts w:ascii="TimesNewRoman" w:hAnsi="TimesNewRoman" w:cs="TimesNewRoman"/>
                <w:sz w:val="22"/>
                <w:szCs w:val="22"/>
              </w:rPr>
              <w:t>17,6 mjeseci za mIFL (p=0,09) i</w:t>
            </w:r>
            <w:r w:rsidR="009423F4" w:rsidRPr="009C0BEE">
              <w:rPr>
                <w:rFonts w:ascii="TimesNewRoman" w:hAnsi="TimesNewRoman" w:cs="TimesNewRoman"/>
                <w:sz w:val="22"/>
                <w:szCs w:val="22"/>
              </w:rPr>
              <w:t xml:space="preserve"> 18,9 mjeseci za XELIRI</w:t>
            </w:r>
            <w:r w:rsidR="00154B9C"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(p=0,27). </w:t>
            </w:r>
            <w:r w:rsidR="00154B9C" w:rsidRPr="009C0BEE">
              <w:rPr>
                <w:rFonts w:ascii="TimesNewRoman" w:hAnsi="TimesNewRoman" w:cs="TimesNewRoman"/>
                <w:sz w:val="22"/>
                <w:szCs w:val="22"/>
              </w:rPr>
              <w:t>Kod pacijenata</w:t>
            </w:r>
            <w:r w:rsidR="009423F4" w:rsidRPr="009C0BEE">
              <w:rPr>
                <w:rFonts w:ascii="TimesNewRoman" w:hAnsi="TimesNewRoman" w:cs="TimesNewRoman"/>
                <w:sz w:val="22"/>
                <w:szCs w:val="22"/>
              </w:rPr>
              <w:t xml:space="preserve"> liječenih </w:t>
            </w:r>
            <w:r w:rsidR="00154B9C" w:rsidRPr="009C0BEE">
              <w:rPr>
                <w:rFonts w:ascii="TimesNewRoman" w:hAnsi="TimesNewRoman" w:cs="TimesNewRoman"/>
                <w:sz w:val="22"/>
                <w:szCs w:val="22"/>
              </w:rPr>
              <w:t>kombinacijom kapecitabin + irinotekan</w:t>
            </w:r>
            <w:r w:rsidR="009423F4" w:rsidRPr="009C0BEE">
              <w:rPr>
                <w:rFonts w:ascii="TimesNewRoman" w:hAnsi="TimesNewRoman" w:cs="TimesNewRoman"/>
                <w:sz w:val="22"/>
                <w:szCs w:val="22"/>
              </w:rPr>
              <w:t xml:space="preserve"> zabilježena je znatno veća gastrointestinalna</w:t>
            </w:r>
            <w:r w:rsidR="00154B9C"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toksičnost u </w:t>
            </w:r>
            <w:r w:rsidR="00154B9C" w:rsidRPr="009C0BEE">
              <w:rPr>
                <w:rFonts w:ascii="TimesNewRoman" w:hAnsi="TimesNewRoman" w:cs="TimesNewRoman"/>
                <w:sz w:val="22"/>
                <w:szCs w:val="22"/>
              </w:rPr>
              <w:t>poređenju</w:t>
            </w:r>
            <w:r w:rsidR="009423F4" w:rsidRPr="009C0BEE">
              <w:rPr>
                <w:rFonts w:ascii="TimesNewRoman" w:hAnsi="TimesNewRoman" w:cs="TimesNewRoman"/>
                <w:sz w:val="22"/>
                <w:szCs w:val="22"/>
              </w:rPr>
              <w:t xml:space="preserve"> s</w:t>
            </w:r>
            <w:r w:rsidR="00154B9C" w:rsidRPr="009C0BEE">
              <w:rPr>
                <w:rFonts w:ascii="TimesNewRoman" w:hAnsi="TimesNewRoman" w:cs="TimesNewRoman"/>
                <w:sz w:val="22"/>
                <w:szCs w:val="22"/>
              </w:rPr>
              <w:t>a pacijentima tretiranim sa FOLFIRI</w:t>
            </w:r>
            <w:r w:rsidR="009423F4" w:rsidRPr="009C0BEE">
              <w:rPr>
                <w:rFonts w:ascii="TimesNewRoman" w:hAnsi="TimesNewRoman" w:cs="TimesNewRoman"/>
                <w:sz w:val="22"/>
                <w:szCs w:val="22"/>
              </w:rPr>
              <w:t xml:space="preserve"> (</w:t>
            </w:r>
            <w:r w:rsidR="00154B9C" w:rsidRPr="009C0BEE">
              <w:rPr>
                <w:rFonts w:ascii="TimesNewRoman" w:hAnsi="TimesNewRoman" w:cs="TimesNewRoman"/>
                <w:sz w:val="22"/>
                <w:szCs w:val="22"/>
              </w:rPr>
              <w:t>dijareja kod</w:t>
            </w:r>
            <w:r w:rsidR="009423F4" w:rsidRPr="009C0BEE">
              <w:rPr>
                <w:rFonts w:ascii="TimesNewRoman" w:hAnsi="TimesNewRoman" w:cs="TimesNewRoman"/>
                <w:sz w:val="22"/>
                <w:szCs w:val="22"/>
              </w:rPr>
              <w:t xml:space="preserve"> 48% </w:t>
            </w:r>
            <w:r w:rsidR="00154B9C" w:rsidRPr="009C0BEE">
              <w:rPr>
                <w:rFonts w:ascii="TimesNewRoman" w:hAnsi="TimesNewRoman" w:cs="TimesNewRoman"/>
                <w:sz w:val="22"/>
                <w:szCs w:val="22"/>
              </w:rPr>
              <w:t>pacijenata</w:t>
            </w:r>
            <w:r w:rsidR="009423F4" w:rsidRPr="009C0BEE">
              <w:rPr>
                <w:rFonts w:ascii="TimesNewRoman" w:hAnsi="TimesNewRoman" w:cs="TimesNewRoman"/>
                <w:sz w:val="22"/>
                <w:szCs w:val="22"/>
              </w:rPr>
              <w:t xml:space="preserve"> koji su primali XELIRI i 14%</w:t>
            </w:r>
            <w:r w:rsidR="00154B9C" w:rsidRPr="009C0BEE">
              <w:rPr>
                <w:rFonts w:ascii="TimesNewRoman" w:hAnsi="TimesNewRoman" w:cs="TimesNewRoman"/>
                <w:sz w:val="22"/>
                <w:szCs w:val="22"/>
              </w:rPr>
              <w:t xml:space="preserve"> </w:t>
            </w:r>
            <w:r w:rsidR="009423F4" w:rsidRPr="009C0BEE">
              <w:rPr>
                <w:rFonts w:ascii="TimesNewRoman" w:hAnsi="TimesNewRoman" w:cs="TimesNewRoman"/>
                <w:sz w:val="22"/>
                <w:szCs w:val="22"/>
              </w:rPr>
              <w:t>onih koji su primali FOLFIRI).</w:t>
            </w:r>
          </w:p>
          <w:p w:rsidR="009423F4" w:rsidRPr="009C0BEE" w:rsidRDefault="009423F4" w:rsidP="009423F4">
            <w:pPr>
              <w:pStyle w:val="Header"/>
              <w:tabs>
                <w:tab w:val="left" w:pos="284"/>
              </w:tabs>
              <w:rPr>
                <w:rFonts w:ascii="TimesNewRoman" w:hAnsi="TimesNewRoman" w:cs="TimesNewRoman"/>
                <w:sz w:val="22"/>
                <w:szCs w:val="22"/>
              </w:rPr>
            </w:pPr>
          </w:p>
          <w:p w:rsidR="009423F4" w:rsidRPr="009C0BEE" w:rsidRDefault="009423F4" w:rsidP="00282AC4">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 xml:space="preserve">U EORTC </w:t>
            </w:r>
            <w:r w:rsidR="00282AC4" w:rsidRPr="009C0BEE">
              <w:rPr>
                <w:rFonts w:ascii="TimesNewRoman" w:hAnsi="TimesNewRoman" w:cs="TimesNewRoman"/>
                <w:sz w:val="22"/>
                <w:szCs w:val="22"/>
              </w:rPr>
              <w:t xml:space="preserve">studiji </w:t>
            </w:r>
            <w:r w:rsidR="00F10ECE" w:rsidRPr="009C0BEE">
              <w:rPr>
                <w:rFonts w:ascii="TimesNewRoman" w:hAnsi="TimesNewRoman" w:cs="TimesNewRoman"/>
                <w:sz w:val="22"/>
                <w:szCs w:val="22"/>
              </w:rPr>
              <w:t>pacijenti su randomizova</w:t>
            </w:r>
            <w:r w:rsidRPr="009C0BEE">
              <w:rPr>
                <w:rFonts w:ascii="TimesNewRoman" w:hAnsi="TimesNewRoman" w:cs="TimesNewRoman"/>
                <w:sz w:val="22"/>
                <w:szCs w:val="22"/>
              </w:rPr>
              <w:t>n</w:t>
            </w:r>
            <w:r w:rsidR="00F10ECE" w:rsidRPr="009C0BEE">
              <w:rPr>
                <w:rFonts w:ascii="TimesNewRoman" w:hAnsi="TimesNewRoman" w:cs="TimesNewRoman"/>
                <w:sz w:val="22"/>
                <w:szCs w:val="22"/>
              </w:rPr>
              <w:t>o podijeljeni u 2 grupe, gdje su po grupama</w:t>
            </w:r>
            <w:r w:rsidRPr="009C0BEE">
              <w:rPr>
                <w:rFonts w:ascii="TimesNewRoman" w:hAnsi="TimesNewRoman" w:cs="TimesNewRoman"/>
                <w:sz w:val="22"/>
                <w:szCs w:val="22"/>
              </w:rPr>
              <w:t xml:space="preserve"> prima</w:t>
            </w:r>
            <w:r w:rsidR="00F10ECE" w:rsidRPr="009C0BEE">
              <w:rPr>
                <w:rFonts w:ascii="TimesNewRoman" w:hAnsi="TimesNewRoman" w:cs="TimesNewRoman"/>
                <w:sz w:val="22"/>
                <w:szCs w:val="22"/>
              </w:rPr>
              <w:t xml:space="preserve">li ili otvorenu terapiju </w:t>
            </w:r>
            <w:r w:rsidRPr="009C0BEE">
              <w:rPr>
                <w:rFonts w:ascii="TimesNewRoman" w:hAnsi="TimesNewRoman" w:cs="TimesNewRoman"/>
                <w:sz w:val="22"/>
                <w:szCs w:val="22"/>
              </w:rPr>
              <w:t>FOLFIRI (n=41) ili</w:t>
            </w:r>
            <w:r w:rsidR="00282AC4" w:rsidRPr="009C0BEE">
              <w:rPr>
                <w:rFonts w:ascii="TimesNewRoman" w:hAnsi="TimesNewRoman" w:cs="TimesNewRoman"/>
                <w:sz w:val="22"/>
                <w:szCs w:val="22"/>
              </w:rPr>
              <w:t xml:space="preserve"> </w:t>
            </w:r>
            <w:r w:rsidRPr="009C0BEE">
              <w:rPr>
                <w:rFonts w:ascii="TimesNewRoman" w:hAnsi="TimesNewRoman" w:cs="TimesNewRoman"/>
                <w:sz w:val="22"/>
                <w:szCs w:val="22"/>
              </w:rPr>
              <w:t>XELIRI</w:t>
            </w:r>
            <w:r w:rsidR="00F10ECE" w:rsidRPr="009C0BEE">
              <w:rPr>
                <w:rFonts w:ascii="TimesNewRoman" w:hAnsi="TimesNewRoman" w:cs="TimesNewRoman"/>
                <w:sz w:val="22"/>
                <w:szCs w:val="22"/>
              </w:rPr>
              <w:t xml:space="preserve"> (n=44) i</w:t>
            </w:r>
            <w:r w:rsidRPr="009C0BEE">
              <w:rPr>
                <w:rFonts w:ascii="TimesNewRoman" w:hAnsi="TimesNewRoman" w:cs="TimesNewRoman"/>
                <w:sz w:val="22"/>
                <w:szCs w:val="22"/>
              </w:rPr>
              <w:t xml:space="preserve"> dodatno </w:t>
            </w:r>
            <w:r w:rsidR="00F10ECE" w:rsidRPr="009C0BEE">
              <w:rPr>
                <w:rFonts w:ascii="TimesNewRoman" w:hAnsi="TimesNewRoman" w:cs="TimesNewRoman"/>
                <w:sz w:val="22"/>
                <w:szCs w:val="22"/>
              </w:rPr>
              <w:t>su randomizova</w:t>
            </w:r>
            <w:r w:rsidRPr="009C0BEE">
              <w:rPr>
                <w:rFonts w:ascii="TimesNewRoman" w:hAnsi="TimesNewRoman" w:cs="TimesNewRoman"/>
                <w:sz w:val="22"/>
                <w:szCs w:val="22"/>
              </w:rPr>
              <w:t xml:space="preserve">ni </w:t>
            </w:r>
            <w:r w:rsidR="00F10ECE" w:rsidRPr="009C0BEE">
              <w:rPr>
                <w:rFonts w:ascii="TimesNewRoman" w:hAnsi="TimesNewRoman" w:cs="TimesNewRoman"/>
                <w:sz w:val="22"/>
                <w:szCs w:val="22"/>
              </w:rPr>
              <w:t>u okviru grupa gdje su primali dvostruko slijepu terapiju celekoksibom ili placebo</w:t>
            </w:r>
            <w:r w:rsidRPr="009C0BEE">
              <w:rPr>
                <w:rFonts w:ascii="TimesNewRoman" w:hAnsi="TimesNewRoman" w:cs="TimesNewRoman"/>
                <w:sz w:val="22"/>
                <w:szCs w:val="22"/>
              </w:rPr>
              <w:t>.</w:t>
            </w:r>
            <w:r w:rsidR="00282AC4" w:rsidRPr="009C0BEE">
              <w:rPr>
                <w:rFonts w:ascii="TimesNewRoman" w:hAnsi="TimesNewRoman" w:cs="TimesNewRoman"/>
                <w:sz w:val="22"/>
                <w:szCs w:val="22"/>
              </w:rPr>
              <w:t xml:space="preserve"> </w:t>
            </w:r>
            <w:r w:rsidR="00F10ECE" w:rsidRPr="009C0BEE">
              <w:rPr>
                <w:rFonts w:ascii="TimesNewRoman" w:hAnsi="TimesNewRoman" w:cs="TimesNewRoman"/>
                <w:sz w:val="22"/>
                <w:szCs w:val="22"/>
              </w:rPr>
              <w:t>Medijana</w:t>
            </w:r>
            <w:r w:rsidRPr="009C0BEE">
              <w:rPr>
                <w:rFonts w:ascii="TimesNewRoman" w:hAnsi="TimesNewRoman" w:cs="TimesNewRoman"/>
                <w:sz w:val="22"/>
                <w:szCs w:val="22"/>
              </w:rPr>
              <w:t xml:space="preserve"> prež</w:t>
            </w:r>
            <w:r w:rsidR="00F10ECE" w:rsidRPr="009C0BEE">
              <w:rPr>
                <w:rFonts w:ascii="TimesNewRoman" w:hAnsi="TimesNewRoman" w:cs="TimesNewRoman"/>
                <w:sz w:val="22"/>
                <w:szCs w:val="22"/>
              </w:rPr>
              <w:t>ivljava</w:t>
            </w:r>
            <w:r w:rsidRPr="009C0BEE">
              <w:rPr>
                <w:rFonts w:ascii="TimesNewRoman" w:hAnsi="TimesNewRoman" w:cs="TimesNewRoman"/>
                <w:sz w:val="22"/>
                <w:szCs w:val="22"/>
              </w:rPr>
              <w:t xml:space="preserve">nja bez progresije bolesti (PFS) i </w:t>
            </w:r>
            <w:r w:rsidR="00F10ECE" w:rsidRPr="009C0BEE">
              <w:rPr>
                <w:rFonts w:ascii="TimesNewRoman" w:hAnsi="TimesNewRoman" w:cs="TimesNewRoman"/>
                <w:sz w:val="22"/>
                <w:szCs w:val="22"/>
              </w:rPr>
              <w:t xml:space="preserve"> medijana </w:t>
            </w:r>
            <w:r w:rsidRPr="009C0BEE">
              <w:rPr>
                <w:rFonts w:ascii="TimesNewRoman" w:hAnsi="TimesNewRoman" w:cs="TimesNewRoman"/>
                <w:sz w:val="22"/>
                <w:szCs w:val="22"/>
              </w:rPr>
              <w:t>ukupnog prež</w:t>
            </w:r>
            <w:r w:rsidR="00F10ECE" w:rsidRPr="009C0BEE">
              <w:rPr>
                <w:rFonts w:ascii="TimesNewRoman" w:hAnsi="TimesNewRoman" w:cs="TimesNewRoman"/>
                <w:sz w:val="22"/>
                <w:szCs w:val="22"/>
              </w:rPr>
              <w:t>ivljava</w:t>
            </w:r>
            <w:r w:rsidRPr="009C0BEE">
              <w:rPr>
                <w:rFonts w:ascii="TimesNewRoman" w:hAnsi="TimesNewRoman" w:cs="TimesNewRoman"/>
                <w:sz w:val="22"/>
                <w:szCs w:val="22"/>
              </w:rPr>
              <w:t xml:space="preserve">nja (OS) </w:t>
            </w:r>
            <w:r w:rsidR="00F10ECE" w:rsidRPr="009C0BEE">
              <w:rPr>
                <w:rFonts w:ascii="TimesNewRoman" w:hAnsi="TimesNewRoman" w:cs="TimesNewRoman"/>
                <w:sz w:val="22"/>
                <w:szCs w:val="22"/>
              </w:rPr>
              <w:t>je bila</w:t>
            </w:r>
            <w:r w:rsidRPr="009C0BEE">
              <w:rPr>
                <w:rFonts w:ascii="TimesNewRoman" w:hAnsi="TimesNewRoman" w:cs="TimesNewRoman"/>
                <w:sz w:val="22"/>
                <w:szCs w:val="22"/>
              </w:rPr>
              <w:t xml:space="preserve"> krać</w:t>
            </w:r>
            <w:r w:rsidR="00F10ECE" w:rsidRPr="009C0BEE">
              <w:rPr>
                <w:rFonts w:ascii="TimesNewRoman" w:hAnsi="TimesNewRoman" w:cs="TimesNewRoman"/>
                <w:sz w:val="22"/>
                <w:szCs w:val="22"/>
              </w:rPr>
              <w:t>a</w:t>
            </w:r>
            <w:r w:rsidRPr="009C0BEE">
              <w:rPr>
                <w:rFonts w:ascii="TimesNewRoman" w:hAnsi="TimesNewRoman" w:cs="TimesNewRoman"/>
                <w:sz w:val="22"/>
                <w:szCs w:val="22"/>
              </w:rPr>
              <w:t xml:space="preserve"> kod</w:t>
            </w:r>
            <w:r w:rsidR="00282AC4"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primjene XELIRI u odnosu na FOLFIRI (PFS 5,9 </w:t>
            </w:r>
            <w:r w:rsidR="00F10ECE" w:rsidRPr="009C0BEE">
              <w:rPr>
                <w:rFonts w:ascii="TimesNewRoman" w:hAnsi="TimesNewRoman" w:cs="TimesNewRoman"/>
                <w:sz w:val="22"/>
                <w:szCs w:val="22"/>
              </w:rPr>
              <w:t>u poređenju sa</w:t>
            </w:r>
            <w:r w:rsidRPr="009C0BEE">
              <w:rPr>
                <w:rFonts w:ascii="TimesNewRoman" w:hAnsi="TimesNewRoman" w:cs="TimesNewRoman"/>
                <w:sz w:val="22"/>
                <w:szCs w:val="22"/>
              </w:rPr>
              <w:t xml:space="preserve"> 9,6 mjeseci, a OS 14,8 </w:t>
            </w:r>
            <w:r w:rsidR="00F10ECE" w:rsidRPr="009C0BEE">
              <w:rPr>
                <w:rFonts w:ascii="TimesNewRoman" w:hAnsi="TimesNewRoman" w:cs="TimesNewRoman"/>
                <w:sz w:val="22"/>
                <w:szCs w:val="22"/>
              </w:rPr>
              <w:t>u poređenju sa</w:t>
            </w:r>
            <w:r w:rsidR="00282AC4"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19,9 mjeseci), a uz to su prijavljene znatno veće stope </w:t>
            </w:r>
            <w:r w:rsidR="00F10ECE" w:rsidRPr="009C0BEE">
              <w:rPr>
                <w:rFonts w:ascii="TimesNewRoman" w:hAnsi="TimesNewRoman" w:cs="TimesNewRoman"/>
                <w:sz w:val="22"/>
                <w:szCs w:val="22"/>
              </w:rPr>
              <w:t>dijareje kod pacijenata</w:t>
            </w:r>
            <w:r w:rsidRPr="009C0BEE">
              <w:rPr>
                <w:rFonts w:ascii="TimesNewRoman" w:hAnsi="TimesNewRoman" w:cs="TimesNewRoman"/>
                <w:sz w:val="22"/>
                <w:szCs w:val="22"/>
              </w:rPr>
              <w:t xml:space="preserve"> koji su primali XELIRI</w:t>
            </w:r>
            <w:r w:rsidR="00282AC4" w:rsidRPr="009C0BEE">
              <w:rPr>
                <w:rFonts w:ascii="TimesNewRoman" w:hAnsi="TimesNewRoman" w:cs="TimesNewRoman"/>
                <w:sz w:val="22"/>
                <w:szCs w:val="22"/>
              </w:rPr>
              <w:t xml:space="preserve"> </w:t>
            </w:r>
            <w:r w:rsidRPr="009C0BEE">
              <w:rPr>
                <w:rFonts w:ascii="TimesNewRoman" w:hAnsi="TimesNewRoman" w:cs="TimesNewRoman"/>
                <w:sz w:val="22"/>
                <w:szCs w:val="22"/>
              </w:rPr>
              <w:t>(41% XELIRI, 5</w:t>
            </w:r>
            <w:r w:rsidR="007831B1" w:rsidRPr="009C0BEE">
              <w:rPr>
                <w:rFonts w:ascii="TimesNewRoman" w:hAnsi="TimesNewRoman" w:cs="TimesNewRoman"/>
                <w:sz w:val="22"/>
                <w:szCs w:val="22"/>
              </w:rPr>
              <w:t>,</w:t>
            </w:r>
            <w:r w:rsidRPr="009C0BEE">
              <w:rPr>
                <w:rFonts w:ascii="TimesNewRoman" w:hAnsi="TimesNewRoman" w:cs="TimesNewRoman"/>
                <w:sz w:val="22"/>
                <w:szCs w:val="22"/>
              </w:rPr>
              <w:t>1% FOLFIRI).</w:t>
            </w:r>
          </w:p>
          <w:p w:rsidR="00282AC4" w:rsidRPr="009C0BEE" w:rsidRDefault="00282AC4" w:rsidP="00282AC4">
            <w:pPr>
              <w:autoSpaceDE w:val="0"/>
              <w:autoSpaceDN w:val="0"/>
              <w:adjustRightInd w:val="0"/>
              <w:jc w:val="both"/>
              <w:rPr>
                <w:rFonts w:ascii="TimesNewRoman" w:hAnsi="TimesNewRoman" w:cs="TimesNewRoman"/>
                <w:sz w:val="22"/>
                <w:szCs w:val="22"/>
                <w:highlight w:val="yellow"/>
              </w:rPr>
            </w:pPr>
          </w:p>
          <w:p w:rsidR="009423F4" w:rsidRPr="009C0BEE" w:rsidRDefault="009423F4" w:rsidP="003704E8">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 xml:space="preserve">U </w:t>
            </w:r>
            <w:r w:rsidR="003704E8" w:rsidRPr="009C0BEE">
              <w:rPr>
                <w:rFonts w:ascii="TimesNewRoman" w:hAnsi="TimesNewRoman" w:cs="TimesNewRoman"/>
                <w:sz w:val="22"/>
                <w:szCs w:val="22"/>
              </w:rPr>
              <w:t xml:space="preserve">studiji koju su objavili Skof i </w:t>
            </w:r>
            <w:r w:rsidR="00884E3E" w:rsidRPr="009C0BEE">
              <w:rPr>
                <w:rFonts w:ascii="TimesNewRoman" w:hAnsi="TimesNewRoman" w:cs="TimesNewRoman"/>
                <w:sz w:val="22"/>
                <w:szCs w:val="22"/>
              </w:rPr>
              <w:t>saradnici</w:t>
            </w:r>
            <w:r w:rsidRPr="009C0BEE">
              <w:rPr>
                <w:rFonts w:ascii="TimesNewRoman" w:hAnsi="TimesNewRoman" w:cs="TimesNewRoman"/>
                <w:sz w:val="22"/>
                <w:szCs w:val="22"/>
              </w:rPr>
              <w:t xml:space="preserve">, </w:t>
            </w:r>
            <w:r w:rsidR="003704E8" w:rsidRPr="009C0BEE">
              <w:rPr>
                <w:rFonts w:ascii="TimesNewRoman" w:hAnsi="TimesNewRoman" w:cs="TimesNewRoman"/>
                <w:sz w:val="22"/>
                <w:szCs w:val="22"/>
              </w:rPr>
              <w:t>pacijenti su randomizovano podijeljeni u 2 grupe, gdje su pacijenti po grupama primali ili</w:t>
            </w:r>
            <w:r w:rsidRPr="009C0BEE">
              <w:rPr>
                <w:rFonts w:ascii="TimesNewRoman" w:hAnsi="TimesNewRoman" w:cs="TimesNewRoman"/>
                <w:sz w:val="22"/>
                <w:szCs w:val="22"/>
              </w:rPr>
              <w:t xml:space="preserve"> FOLFIRI ili</w:t>
            </w:r>
            <w:r w:rsidR="00282AC4"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XELIRI. </w:t>
            </w:r>
            <w:r w:rsidR="003704E8" w:rsidRPr="009C0BEE">
              <w:rPr>
                <w:rFonts w:ascii="TimesNewRoman" w:hAnsi="TimesNewRoman" w:cs="TimesNewRoman"/>
                <w:sz w:val="22"/>
                <w:szCs w:val="22"/>
              </w:rPr>
              <w:t>S</w:t>
            </w:r>
            <w:r w:rsidRPr="009C0BEE">
              <w:rPr>
                <w:rFonts w:ascii="TimesNewRoman" w:hAnsi="TimesNewRoman" w:cs="TimesNewRoman"/>
                <w:sz w:val="22"/>
                <w:szCs w:val="22"/>
              </w:rPr>
              <w:t xml:space="preserve">topa </w:t>
            </w:r>
            <w:r w:rsidR="003704E8" w:rsidRPr="009C0BEE">
              <w:rPr>
                <w:rFonts w:ascii="TimesNewRoman" w:hAnsi="TimesNewRoman" w:cs="TimesNewRoman"/>
                <w:sz w:val="22"/>
                <w:szCs w:val="22"/>
              </w:rPr>
              <w:t xml:space="preserve">ukupnog </w:t>
            </w:r>
            <w:r w:rsidRPr="009C0BEE">
              <w:rPr>
                <w:rFonts w:ascii="TimesNewRoman" w:hAnsi="TimesNewRoman" w:cs="TimesNewRoman"/>
                <w:sz w:val="22"/>
                <w:szCs w:val="22"/>
              </w:rPr>
              <w:t>odgovora</w:t>
            </w:r>
            <w:r w:rsidR="003704E8" w:rsidRPr="009C0BEE">
              <w:rPr>
                <w:rFonts w:ascii="TimesNewRoman" w:hAnsi="TimesNewRoman" w:cs="TimesNewRoman"/>
                <w:sz w:val="22"/>
                <w:szCs w:val="22"/>
              </w:rPr>
              <w:t xml:space="preserve"> je iznosila </w:t>
            </w:r>
            <w:r w:rsidRPr="009C0BEE">
              <w:rPr>
                <w:rFonts w:ascii="TimesNewRoman" w:hAnsi="TimesNewRoman" w:cs="TimesNewRoman"/>
                <w:sz w:val="22"/>
                <w:szCs w:val="22"/>
              </w:rPr>
              <w:t xml:space="preserve">49% u </w:t>
            </w:r>
            <w:r w:rsidR="003704E8" w:rsidRPr="009C0BEE">
              <w:rPr>
                <w:rFonts w:ascii="TimesNewRoman" w:hAnsi="TimesNewRoman" w:cs="TimesNewRoman"/>
                <w:sz w:val="22"/>
                <w:szCs w:val="22"/>
              </w:rPr>
              <w:t>gr</w:t>
            </w:r>
            <w:r w:rsidRPr="009C0BEE">
              <w:rPr>
                <w:rFonts w:ascii="TimesNewRoman" w:hAnsi="TimesNewRoman" w:cs="TimesNewRoman"/>
                <w:sz w:val="22"/>
                <w:szCs w:val="22"/>
              </w:rPr>
              <w:t>upi koja je primala XELIRI i 48% u</w:t>
            </w:r>
            <w:r w:rsidR="003704E8" w:rsidRPr="009C0BEE">
              <w:rPr>
                <w:rFonts w:ascii="TimesNewRoman" w:hAnsi="TimesNewRoman" w:cs="TimesNewRoman"/>
                <w:sz w:val="22"/>
                <w:szCs w:val="22"/>
              </w:rPr>
              <w:t xml:space="preserve"> gr</w:t>
            </w:r>
            <w:r w:rsidRPr="009C0BEE">
              <w:rPr>
                <w:rFonts w:ascii="TimesNewRoman" w:hAnsi="TimesNewRoman" w:cs="TimesNewRoman"/>
                <w:sz w:val="22"/>
                <w:szCs w:val="22"/>
              </w:rPr>
              <w:t xml:space="preserve">upi </w:t>
            </w:r>
            <w:r w:rsidR="003704E8" w:rsidRPr="009C0BEE">
              <w:rPr>
                <w:rFonts w:ascii="TimesNewRoman" w:hAnsi="TimesNewRoman" w:cs="TimesNewRoman"/>
                <w:sz w:val="22"/>
                <w:szCs w:val="22"/>
              </w:rPr>
              <w:t>koja je primala FOLFIRI p</w:t>
            </w:r>
            <w:r w:rsidRPr="009C0BEE">
              <w:rPr>
                <w:rFonts w:ascii="TimesNewRoman" w:hAnsi="TimesNewRoman" w:cs="TimesNewRoman"/>
                <w:sz w:val="22"/>
                <w:szCs w:val="22"/>
              </w:rPr>
              <w:t xml:space="preserve"> (p=0,76). Na kraju </w:t>
            </w:r>
            <w:r w:rsidR="003704E8" w:rsidRPr="009C0BEE">
              <w:rPr>
                <w:rFonts w:ascii="TimesNewRoman" w:hAnsi="TimesNewRoman" w:cs="TimesNewRoman"/>
                <w:sz w:val="22"/>
                <w:szCs w:val="22"/>
              </w:rPr>
              <w:t>terapije,</w:t>
            </w:r>
            <w:r w:rsidRPr="009C0BEE">
              <w:rPr>
                <w:rFonts w:ascii="TimesNewRoman" w:hAnsi="TimesNewRoman" w:cs="TimesNewRoman"/>
                <w:sz w:val="22"/>
                <w:szCs w:val="22"/>
              </w:rPr>
              <w:t xml:space="preserve"> 37% </w:t>
            </w:r>
            <w:r w:rsidR="003704E8" w:rsidRPr="009C0BEE">
              <w:rPr>
                <w:rFonts w:ascii="TimesNewRoman" w:hAnsi="TimesNewRoman" w:cs="TimesNewRoman"/>
                <w:sz w:val="22"/>
                <w:szCs w:val="22"/>
              </w:rPr>
              <w:t>pacijenat</w:t>
            </w:r>
            <w:r w:rsidRPr="009C0BEE">
              <w:rPr>
                <w:rFonts w:ascii="TimesNewRoman" w:hAnsi="TimesNewRoman" w:cs="TimesNewRoman"/>
                <w:sz w:val="22"/>
                <w:szCs w:val="22"/>
              </w:rPr>
              <w:t>a koji su primali</w:t>
            </w:r>
            <w:r w:rsidR="003704E8"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XELIRI i 26% bolesnika koji su primali FOLFIRI nisu imali </w:t>
            </w:r>
            <w:r w:rsidR="003704E8" w:rsidRPr="009C0BEE">
              <w:rPr>
                <w:rFonts w:ascii="TimesNewRoman" w:hAnsi="TimesNewRoman" w:cs="TimesNewRoman"/>
                <w:sz w:val="22"/>
                <w:szCs w:val="22"/>
              </w:rPr>
              <w:t>dokaz o prisustvu</w:t>
            </w:r>
            <w:r w:rsidRPr="009C0BEE">
              <w:rPr>
                <w:rFonts w:ascii="TimesNewRoman" w:hAnsi="TimesNewRoman" w:cs="TimesNewRoman"/>
                <w:sz w:val="22"/>
                <w:szCs w:val="22"/>
              </w:rPr>
              <w:t xml:space="preserve"> bolesti (p=0,56). Toksičnost je</w:t>
            </w:r>
            <w:r w:rsidR="003704E8" w:rsidRPr="009C0BEE">
              <w:rPr>
                <w:rFonts w:ascii="TimesNewRoman" w:hAnsi="TimesNewRoman" w:cs="TimesNewRoman"/>
                <w:sz w:val="22"/>
                <w:szCs w:val="22"/>
              </w:rPr>
              <w:t xml:space="preserve"> </w:t>
            </w:r>
            <w:r w:rsidRPr="009C0BEE">
              <w:rPr>
                <w:rFonts w:ascii="TimesNewRoman" w:hAnsi="TimesNewRoman" w:cs="TimesNewRoman"/>
                <w:sz w:val="22"/>
                <w:szCs w:val="22"/>
              </w:rPr>
              <w:t xml:space="preserve">bila </w:t>
            </w:r>
            <w:r w:rsidR="003704E8" w:rsidRPr="009C0BEE">
              <w:rPr>
                <w:rFonts w:ascii="TimesNewRoman" w:hAnsi="TimesNewRoman" w:cs="TimesNewRoman"/>
                <w:sz w:val="22"/>
                <w:szCs w:val="22"/>
              </w:rPr>
              <w:t>sličn</w:t>
            </w:r>
            <w:r w:rsidRPr="009C0BEE">
              <w:rPr>
                <w:rFonts w:ascii="TimesNewRoman" w:hAnsi="TimesNewRoman" w:cs="TimesNewRoman"/>
                <w:sz w:val="22"/>
                <w:szCs w:val="22"/>
              </w:rPr>
              <w:t xml:space="preserve">a kod oba režima liječenja, uz izuzetak neutropenije koja je prijavljena češće </w:t>
            </w:r>
            <w:r w:rsidR="003704E8" w:rsidRPr="009C0BEE">
              <w:rPr>
                <w:rFonts w:ascii="TimesNewRoman" w:hAnsi="TimesNewRoman" w:cs="TimesNewRoman"/>
                <w:sz w:val="22"/>
                <w:szCs w:val="22"/>
              </w:rPr>
              <w:t>kod pacijenata koji su primili</w:t>
            </w:r>
            <w:r w:rsidRPr="009C0BEE">
              <w:rPr>
                <w:rFonts w:ascii="TimesNewRoman" w:hAnsi="TimesNewRoman" w:cs="TimesNewRoman"/>
                <w:sz w:val="22"/>
                <w:szCs w:val="22"/>
              </w:rPr>
              <w:t xml:space="preserve"> FOLFIRI </w:t>
            </w:r>
            <w:r w:rsidR="003704E8" w:rsidRPr="009C0BEE">
              <w:rPr>
                <w:rFonts w:ascii="TimesNewRoman" w:hAnsi="TimesNewRoman" w:cs="TimesNewRoman"/>
                <w:sz w:val="22"/>
                <w:szCs w:val="22"/>
              </w:rPr>
              <w:t>režim</w:t>
            </w:r>
            <w:r w:rsidRPr="009C0BEE">
              <w:rPr>
                <w:rFonts w:ascii="TimesNewRoman" w:hAnsi="TimesNewRoman" w:cs="TimesNewRoman"/>
                <w:sz w:val="22"/>
                <w:szCs w:val="22"/>
              </w:rPr>
              <w:t>.</w:t>
            </w:r>
          </w:p>
          <w:p w:rsidR="003704E8" w:rsidRPr="009C0BEE" w:rsidRDefault="003704E8" w:rsidP="009423F4">
            <w:pPr>
              <w:pStyle w:val="Header"/>
              <w:tabs>
                <w:tab w:val="left" w:pos="284"/>
              </w:tabs>
              <w:rPr>
                <w:rFonts w:ascii="TimesNewRoman" w:hAnsi="TimesNewRoman" w:cs="TimesNewRoman"/>
                <w:sz w:val="22"/>
                <w:szCs w:val="22"/>
              </w:rPr>
            </w:pPr>
          </w:p>
          <w:p w:rsidR="009423F4" w:rsidRPr="009C0BEE" w:rsidRDefault="00CD021E" w:rsidP="00D85E81">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 xml:space="preserve">Montanjani </w:t>
            </w:r>
            <w:r w:rsidR="009423F4" w:rsidRPr="009C0BEE">
              <w:rPr>
                <w:rFonts w:ascii="TimesNewRoman" w:hAnsi="TimesNewRoman" w:cs="TimesNewRoman"/>
                <w:sz w:val="22"/>
                <w:szCs w:val="22"/>
              </w:rPr>
              <w:t xml:space="preserve">i </w:t>
            </w:r>
            <w:r w:rsidR="00884E3E" w:rsidRPr="009C0BEE">
              <w:rPr>
                <w:rFonts w:ascii="TimesNewRoman" w:hAnsi="TimesNewRoman" w:cs="TimesNewRoman"/>
                <w:sz w:val="22"/>
                <w:szCs w:val="22"/>
              </w:rPr>
              <w:t xml:space="preserve">saradnici </w:t>
            </w:r>
            <w:r w:rsidR="009423F4" w:rsidRPr="009C0BEE">
              <w:rPr>
                <w:rFonts w:ascii="TimesNewRoman" w:hAnsi="TimesNewRoman" w:cs="TimesNewRoman"/>
                <w:sz w:val="22"/>
                <w:szCs w:val="22"/>
              </w:rPr>
              <w:t xml:space="preserve">su </w:t>
            </w:r>
            <w:r w:rsidR="00D85E81" w:rsidRPr="009C0BEE">
              <w:rPr>
                <w:rFonts w:ascii="TimesNewRoman" w:hAnsi="TimesNewRoman" w:cs="TimesNewRoman"/>
                <w:sz w:val="22"/>
                <w:szCs w:val="22"/>
              </w:rPr>
              <w:t>koristili rezultate tri gore navedene studije</w:t>
            </w:r>
            <w:r w:rsidR="009423F4" w:rsidRPr="009C0BEE">
              <w:rPr>
                <w:rFonts w:ascii="TimesNewRoman" w:hAnsi="TimesNewRoman" w:cs="TimesNewRoman"/>
                <w:sz w:val="22"/>
                <w:szCs w:val="22"/>
              </w:rPr>
              <w:t xml:space="preserve"> kako bi </w:t>
            </w:r>
            <w:r w:rsidR="00D85E81" w:rsidRPr="009C0BEE">
              <w:rPr>
                <w:rFonts w:ascii="TimesNewRoman" w:hAnsi="TimesNewRoman" w:cs="TimesNewRoman"/>
                <w:sz w:val="22"/>
                <w:szCs w:val="22"/>
              </w:rPr>
              <w:t>obezbijedili sveobuhvatnu  analizu randomizov</w:t>
            </w:r>
            <w:r w:rsidR="009423F4" w:rsidRPr="009C0BEE">
              <w:rPr>
                <w:rFonts w:ascii="TimesNewRoman" w:hAnsi="TimesNewRoman" w:cs="TimesNewRoman"/>
                <w:sz w:val="22"/>
                <w:szCs w:val="22"/>
              </w:rPr>
              <w:t xml:space="preserve">anih </w:t>
            </w:r>
            <w:r w:rsidR="00D85E81" w:rsidRPr="009C0BEE">
              <w:rPr>
                <w:rFonts w:ascii="TimesNewRoman" w:hAnsi="TimesNewRoman" w:cs="TimesNewRoman"/>
                <w:sz w:val="22"/>
                <w:szCs w:val="22"/>
              </w:rPr>
              <w:t>studija</w:t>
            </w:r>
            <w:r w:rsidR="009423F4" w:rsidRPr="009C0BEE">
              <w:rPr>
                <w:rFonts w:ascii="TimesNewRoman" w:hAnsi="TimesNewRoman" w:cs="TimesNewRoman"/>
                <w:sz w:val="22"/>
                <w:szCs w:val="22"/>
              </w:rPr>
              <w:t xml:space="preserve"> pore</w:t>
            </w:r>
            <w:r w:rsidR="00D85E81" w:rsidRPr="009C0BEE">
              <w:rPr>
                <w:rFonts w:ascii="TimesNewRoman" w:hAnsi="TimesNewRoman" w:cs="TimesNewRoman"/>
                <w:sz w:val="22"/>
                <w:szCs w:val="22"/>
              </w:rPr>
              <w:t>deći</w:t>
            </w:r>
            <w:r w:rsidR="009423F4" w:rsidRPr="009C0BEE">
              <w:rPr>
                <w:rFonts w:ascii="TimesNewRoman" w:hAnsi="TimesNewRoman" w:cs="TimesNewRoman"/>
                <w:sz w:val="22"/>
                <w:szCs w:val="22"/>
              </w:rPr>
              <w:t xml:space="preserve"> </w:t>
            </w:r>
            <w:r w:rsidR="00D85E81" w:rsidRPr="009C0BEE">
              <w:rPr>
                <w:rFonts w:ascii="TimesNewRoman" w:hAnsi="TimesNewRoman" w:cs="TimesNewRoman"/>
                <w:sz w:val="22"/>
                <w:szCs w:val="22"/>
              </w:rPr>
              <w:t>režime</w:t>
            </w:r>
            <w:r w:rsidR="009423F4" w:rsidRPr="009C0BEE">
              <w:rPr>
                <w:rFonts w:ascii="TimesNewRoman" w:hAnsi="TimesNewRoman" w:cs="TimesNewRoman"/>
                <w:sz w:val="22"/>
                <w:szCs w:val="22"/>
              </w:rPr>
              <w:t xml:space="preserve"> FOLFIRI i XELIRI u</w:t>
            </w:r>
            <w:r w:rsidR="00D85E81"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liječenju metastatskog kolorektalnog karcinoma. </w:t>
            </w:r>
            <w:r w:rsidR="00D85E81" w:rsidRPr="009C0BEE">
              <w:rPr>
                <w:rFonts w:ascii="TimesNewRoman" w:hAnsi="TimesNewRoman" w:cs="TimesNewRoman"/>
                <w:sz w:val="22"/>
                <w:szCs w:val="22"/>
              </w:rPr>
              <w:t>Primjena</w:t>
            </w:r>
            <w:r w:rsidR="009423F4" w:rsidRPr="009C0BEE">
              <w:rPr>
                <w:rFonts w:ascii="TimesNewRoman" w:hAnsi="TimesNewRoman" w:cs="TimesNewRoman"/>
                <w:sz w:val="22"/>
                <w:szCs w:val="22"/>
              </w:rPr>
              <w:t xml:space="preserve"> FOLFIRI </w:t>
            </w:r>
            <w:r w:rsidR="00D85E81" w:rsidRPr="009C0BEE">
              <w:rPr>
                <w:rFonts w:ascii="TimesNewRoman" w:hAnsi="TimesNewRoman" w:cs="TimesNewRoman"/>
                <w:sz w:val="22"/>
                <w:szCs w:val="22"/>
              </w:rPr>
              <w:t>režima povezana</w:t>
            </w:r>
            <w:r w:rsidR="009423F4" w:rsidRPr="009C0BEE">
              <w:rPr>
                <w:rFonts w:ascii="TimesNewRoman" w:hAnsi="TimesNewRoman" w:cs="TimesNewRoman"/>
                <w:sz w:val="22"/>
                <w:szCs w:val="22"/>
              </w:rPr>
              <w:t xml:space="preserve"> je sa</w:t>
            </w:r>
            <w:r w:rsidR="00D85E81" w:rsidRPr="009C0BEE">
              <w:rPr>
                <w:rFonts w:ascii="TimesNewRoman" w:hAnsi="TimesNewRoman" w:cs="TimesNewRoman"/>
                <w:sz w:val="22"/>
                <w:szCs w:val="22"/>
              </w:rPr>
              <w:t xml:space="preserve"> </w:t>
            </w:r>
            <w:r w:rsidR="009423F4" w:rsidRPr="009C0BEE">
              <w:rPr>
                <w:rFonts w:ascii="TimesNewRoman" w:hAnsi="TimesNewRoman" w:cs="TimesNewRoman"/>
                <w:sz w:val="22"/>
                <w:szCs w:val="22"/>
              </w:rPr>
              <w:t>značajnim smanjenjem rizika od progresije bolesti (HR: 0,76; 95% CI: 0,62-0,95; p &lt; 0,01), što je</w:t>
            </w:r>
            <w:r w:rsidR="00D85E81"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dijelom posljedica </w:t>
            </w:r>
            <w:r w:rsidR="00D85E81" w:rsidRPr="009C0BEE">
              <w:rPr>
                <w:rFonts w:ascii="TimesNewRoman" w:hAnsi="TimesNewRoman" w:cs="TimesNewRoman"/>
                <w:sz w:val="22"/>
                <w:szCs w:val="22"/>
              </w:rPr>
              <w:t xml:space="preserve">niske tolerancije na korišćenu </w:t>
            </w:r>
            <w:r w:rsidR="00FD3A98" w:rsidRPr="009C0BEE">
              <w:rPr>
                <w:rFonts w:ascii="TimesNewRoman" w:hAnsi="TimesNewRoman" w:cs="TimesNewRoman"/>
                <w:sz w:val="22"/>
                <w:szCs w:val="22"/>
              </w:rPr>
              <w:t>kombinaciju kapecitabin</w:t>
            </w:r>
            <w:r w:rsidR="00D85E81" w:rsidRPr="009C0BEE">
              <w:rPr>
                <w:rFonts w:ascii="TimesNewRoman" w:hAnsi="TimesNewRoman" w:cs="TimesNewRoman"/>
                <w:sz w:val="22"/>
                <w:szCs w:val="22"/>
              </w:rPr>
              <w:t xml:space="preserve">+ </w:t>
            </w:r>
            <w:r w:rsidRPr="009C0BEE">
              <w:rPr>
                <w:rFonts w:ascii="TimesNewRoman" w:hAnsi="TimesNewRoman" w:cs="TimesNewRoman"/>
                <w:sz w:val="22"/>
                <w:szCs w:val="22"/>
              </w:rPr>
              <w:t>irinotekan</w:t>
            </w:r>
            <w:r w:rsidR="00D85E81" w:rsidRPr="009C0BEE">
              <w:rPr>
                <w:rFonts w:ascii="TimesNewRoman" w:hAnsi="TimesNewRoman" w:cs="TimesNewRoman"/>
                <w:sz w:val="22"/>
                <w:szCs w:val="22"/>
              </w:rPr>
              <w:t>.</w:t>
            </w:r>
          </w:p>
          <w:p w:rsidR="00D85E81" w:rsidRPr="009C0BEE" w:rsidRDefault="00D85E81" w:rsidP="009423F4">
            <w:pPr>
              <w:pStyle w:val="Header"/>
              <w:tabs>
                <w:tab w:val="left" w:pos="284"/>
              </w:tabs>
              <w:rPr>
                <w:rFonts w:ascii="TimesNewRoman" w:hAnsi="TimesNewRoman" w:cs="TimesNewRoman"/>
                <w:sz w:val="22"/>
                <w:szCs w:val="22"/>
              </w:rPr>
            </w:pPr>
          </w:p>
          <w:p w:rsidR="009423F4" w:rsidRPr="009C0BEE" w:rsidRDefault="0029399D" w:rsidP="00262851">
            <w:pPr>
              <w:autoSpaceDE w:val="0"/>
              <w:autoSpaceDN w:val="0"/>
              <w:adjustRightInd w:val="0"/>
              <w:jc w:val="both"/>
              <w:rPr>
                <w:rFonts w:ascii="TimesNewRoman" w:hAnsi="TimesNewRoman" w:cs="TimesNewRoman"/>
                <w:sz w:val="22"/>
                <w:szCs w:val="22"/>
              </w:rPr>
            </w:pPr>
            <w:r w:rsidRPr="009C0BEE">
              <w:rPr>
                <w:rFonts w:ascii="TimesNewRoman" w:hAnsi="TimesNewRoman" w:cs="TimesNewRoman"/>
                <w:sz w:val="22"/>
                <w:szCs w:val="22"/>
              </w:rPr>
              <w:t>Podaci iz randomizovane</w:t>
            </w:r>
            <w:r w:rsidR="009423F4" w:rsidRPr="009C0BEE">
              <w:rPr>
                <w:rFonts w:ascii="TimesNewRoman" w:hAnsi="TimesNewRoman" w:cs="TimesNewRoman"/>
                <w:sz w:val="22"/>
                <w:szCs w:val="22"/>
              </w:rPr>
              <w:t xml:space="preserve"> klinič</w:t>
            </w:r>
            <w:r w:rsidRPr="009C0BEE">
              <w:rPr>
                <w:rFonts w:ascii="TimesNewRoman" w:hAnsi="TimesNewRoman" w:cs="TimesNewRoman"/>
                <w:sz w:val="22"/>
                <w:szCs w:val="22"/>
              </w:rPr>
              <w:t xml:space="preserve">ke studije (Suglakos i </w:t>
            </w:r>
            <w:r w:rsidR="00884E3E" w:rsidRPr="009C0BEE">
              <w:rPr>
                <w:rFonts w:ascii="TimesNewRoman" w:hAnsi="TimesNewRoman" w:cs="TimesNewRoman"/>
                <w:sz w:val="22"/>
                <w:szCs w:val="22"/>
              </w:rPr>
              <w:t>saradnici</w:t>
            </w:r>
            <w:r w:rsidRPr="009C0BEE">
              <w:rPr>
                <w:rFonts w:ascii="TimesNewRoman" w:hAnsi="TimesNewRoman" w:cs="TimesNewRoman"/>
                <w:sz w:val="22"/>
                <w:szCs w:val="22"/>
              </w:rPr>
              <w:t>, 2012</w:t>
            </w:r>
            <w:r w:rsidR="00CD021E" w:rsidRPr="009C0BEE">
              <w:rPr>
                <w:rFonts w:ascii="TimesNewRoman" w:hAnsi="TimesNewRoman" w:cs="TimesNewRoman"/>
                <w:sz w:val="22"/>
                <w:szCs w:val="22"/>
              </w:rPr>
              <w:t>.</w:t>
            </w:r>
            <w:r w:rsidRPr="009C0BEE">
              <w:rPr>
                <w:rFonts w:ascii="TimesNewRoman" w:hAnsi="TimesNewRoman" w:cs="TimesNewRoman"/>
                <w:sz w:val="22"/>
                <w:szCs w:val="22"/>
              </w:rPr>
              <w:t>) u kojoj</w:t>
            </w:r>
            <w:r w:rsidR="009423F4" w:rsidRPr="009C0BEE">
              <w:rPr>
                <w:rFonts w:ascii="TimesNewRoman" w:hAnsi="TimesNewRoman" w:cs="TimesNewRoman"/>
                <w:sz w:val="22"/>
                <w:szCs w:val="22"/>
              </w:rPr>
              <w:t xml:space="preserve"> s</w:t>
            </w:r>
            <w:r w:rsidRPr="009C0BEE">
              <w:rPr>
                <w:rFonts w:ascii="TimesNewRoman" w:hAnsi="TimesNewRoman" w:cs="TimesNewRoman"/>
                <w:sz w:val="22"/>
                <w:szCs w:val="22"/>
              </w:rPr>
              <w:t>u</w:t>
            </w:r>
            <w:r w:rsidR="009423F4" w:rsidRPr="009C0BEE">
              <w:rPr>
                <w:rFonts w:ascii="TimesNewRoman" w:hAnsi="TimesNewRoman" w:cs="TimesNewRoman"/>
                <w:sz w:val="22"/>
                <w:szCs w:val="22"/>
              </w:rPr>
              <w:t xml:space="preserve"> poređ</w:t>
            </w:r>
            <w:r w:rsidRPr="009C0BEE">
              <w:rPr>
                <w:rFonts w:ascii="TimesNewRoman" w:hAnsi="TimesNewRoman" w:cs="TimesNewRoman"/>
                <w:sz w:val="22"/>
                <w:szCs w:val="22"/>
              </w:rPr>
              <w:t xml:space="preserve">eni </w:t>
            </w:r>
            <w:r w:rsidR="009423F4" w:rsidRPr="009C0BEE">
              <w:rPr>
                <w:rFonts w:ascii="TimesNewRoman" w:hAnsi="TimesNewRoman" w:cs="TimesNewRoman"/>
                <w:sz w:val="22"/>
                <w:szCs w:val="22"/>
              </w:rPr>
              <w:t>FOLFIRI</w:t>
            </w:r>
            <w:r w:rsidR="0056263E" w:rsidRPr="009C0BEE">
              <w:rPr>
                <w:rFonts w:ascii="TimesNewRoman" w:hAnsi="TimesNewRoman" w:cs="TimesNewRoman"/>
                <w:sz w:val="22"/>
                <w:szCs w:val="22"/>
              </w:rPr>
              <w:t>+</w:t>
            </w:r>
            <w:r w:rsidR="009423F4" w:rsidRPr="009C0BEE">
              <w:rPr>
                <w:rFonts w:ascii="TimesNewRoman" w:hAnsi="TimesNewRoman" w:cs="TimesNewRoman"/>
                <w:sz w:val="22"/>
                <w:szCs w:val="22"/>
              </w:rPr>
              <w:t xml:space="preserve"> bevacizumab s</w:t>
            </w:r>
            <w:r w:rsidR="0056263E"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w:t>
            </w:r>
            <w:r w:rsidR="0056263E" w:rsidRPr="009C0BEE">
              <w:rPr>
                <w:rFonts w:ascii="TimesNewRoman" w:hAnsi="TimesNewRoman" w:cs="TimesNewRoman"/>
                <w:sz w:val="22"/>
                <w:szCs w:val="22"/>
              </w:rPr>
              <w:t>kombinacijom XELIRI+bevacizumab</w:t>
            </w:r>
            <w:r w:rsidR="009423F4" w:rsidRPr="009C0BEE">
              <w:rPr>
                <w:rFonts w:ascii="TimesNewRoman" w:hAnsi="TimesNewRoman" w:cs="TimesNewRoman"/>
                <w:sz w:val="22"/>
                <w:szCs w:val="22"/>
              </w:rPr>
              <w:t xml:space="preserve"> nisu</w:t>
            </w:r>
            <w:r w:rsidR="0056263E" w:rsidRPr="009C0BEE">
              <w:rPr>
                <w:rFonts w:ascii="TimesNewRoman" w:hAnsi="TimesNewRoman" w:cs="TimesNewRoman"/>
                <w:sz w:val="22"/>
                <w:szCs w:val="22"/>
              </w:rPr>
              <w:t xml:space="preserve"> </w:t>
            </w:r>
            <w:r w:rsidR="009423F4" w:rsidRPr="009C0BEE">
              <w:rPr>
                <w:rFonts w:ascii="TimesNewRoman" w:hAnsi="TimesNewRoman" w:cs="TimesNewRoman"/>
                <w:sz w:val="22"/>
                <w:szCs w:val="22"/>
              </w:rPr>
              <w:t>pokazali značajn</w:t>
            </w:r>
            <w:r w:rsidR="0056263E" w:rsidRPr="009C0BEE">
              <w:rPr>
                <w:rFonts w:ascii="TimesNewRoman" w:hAnsi="TimesNewRoman" w:cs="TimesNewRoman"/>
                <w:sz w:val="22"/>
                <w:szCs w:val="22"/>
              </w:rPr>
              <w:t>u razliku</w:t>
            </w:r>
            <w:r w:rsidR="009423F4" w:rsidRPr="009C0BEE">
              <w:rPr>
                <w:rFonts w:ascii="TimesNewRoman" w:hAnsi="TimesNewRoman" w:cs="TimesNewRoman"/>
                <w:sz w:val="22"/>
                <w:szCs w:val="22"/>
              </w:rPr>
              <w:t xml:space="preserve"> u PFS-u i OS-u između ta dva režima liječenja. </w:t>
            </w:r>
            <w:r w:rsidR="0056263E" w:rsidRPr="009C0BEE">
              <w:rPr>
                <w:rFonts w:ascii="TimesNewRoman" w:hAnsi="TimesNewRoman" w:cs="TimesNewRoman"/>
                <w:sz w:val="22"/>
                <w:szCs w:val="22"/>
              </w:rPr>
              <w:t>Pacijenti su randomizovano podijeljeni u 2 grupe, gdje su pacijenti po grupama primali ili FOLFIRI +bevacizumab (grupa</w:t>
            </w:r>
            <w:r w:rsidR="009423F4" w:rsidRPr="009C0BEE">
              <w:rPr>
                <w:rFonts w:ascii="TimesNewRoman" w:hAnsi="TimesNewRoman" w:cs="TimesNewRoman"/>
                <w:sz w:val="22"/>
                <w:szCs w:val="22"/>
              </w:rPr>
              <w:t xml:space="preserve"> A, n=167) ili XELIRI + bevacizumab (</w:t>
            </w:r>
            <w:r w:rsidR="0056263E" w:rsidRPr="009C0BEE">
              <w:rPr>
                <w:rFonts w:ascii="TimesNewRoman" w:hAnsi="TimesNewRoman" w:cs="TimesNewRoman"/>
                <w:sz w:val="22"/>
                <w:szCs w:val="22"/>
              </w:rPr>
              <w:t>grupa</w:t>
            </w:r>
            <w:r w:rsidR="009423F4" w:rsidRPr="009C0BEE">
              <w:rPr>
                <w:rFonts w:ascii="TimesNewRoman" w:hAnsi="TimesNewRoman" w:cs="TimesNewRoman"/>
                <w:sz w:val="22"/>
                <w:szCs w:val="22"/>
              </w:rPr>
              <w:t xml:space="preserve"> B,</w:t>
            </w:r>
            <w:r w:rsidR="0056263E"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n=166). U </w:t>
            </w:r>
            <w:r w:rsidR="0056263E" w:rsidRPr="009C0BEE">
              <w:rPr>
                <w:rFonts w:ascii="TimesNewRoman" w:hAnsi="TimesNewRoman" w:cs="TimesNewRoman"/>
                <w:sz w:val="22"/>
                <w:szCs w:val="22"/>
              </w:rPr>
              <w:t>gr</w:t>
            </w:r>
            <w:r w:rsidR="009423F4" w:rsidRPr="009C0BEE">
              <w:rPr>
                <w:rFonts w:ascii="TimesNewRoman" w:hAnsi="TimesNewRoman" w:cs="TimesNewRoman"/>
                <w:sz w:val="22"/>
                <w:szCs w:val="22"/>
              </w:rPr>
              <w:t>upi B je XELIRI protokol obuhva</w:t>
            </w:r>
            <w:r w:rsidR="00262851" w:rsidRPr="009C0BEE">
              <w:rPr>
                <w:rFonts w:ascii="TimesNewRoman" w:hAnsi="TimesNewRoman" w:cs="TimesNewRoman"/>
                <w:sz w:val="22"/>
                <w:szCs w:val="22"/>
              </w:rPr>
              <w:t>t</w:t>
            </w:r>
            <w:r w:rsidR="009423F4" w:rsidRPr="009C0BEE">
              <w:rPr>
                <w:rFonts w:ascii="TimesNewRoman" w:hAnsi="TimesNewRoman" w:cs="TimesNewRoman"/>
                <w:sz w:val="22"/>
                <w:szCs w:val="22"/>
              </w:rPr>
              <w:t>ao primjenu kapecitabina u dozi od 1000 mg/</w:t>
            </w:r>
            <w:r w:rsidR="00262851" w:rsidRPr="009C0BEE">
              <w:rPr>
                <w:sz w:val="22"/>
                <w:szCs w:val="22"/>
              </w:rPr>
              <w:t>m</w:t>
            </w:r>
            <w:r w:rsidR="00262851" w:rsidRPr="009C0BEE">
              <w:rPr>
                <w:sz w:val="22"/>
                <w:szCs w:val="22"/>
                <w:vertAlign w:val="superscript"/>
              </w:rPr>
              <w:t>2</w:t>
            </w:r>
            <w:r w:rsidR="00262851" w:rsidRPr="009C0BEE">
              <w:rPr>
                <w:rFonts w:ascii="TimesNewRoman" w:hAnsi="TimesNewRoman" w:cs="TimesNewRoman"/>
                <w:sz w:val="14"/>
                <w:szCs w:val="14"/>
              </w:rPr>
              <w:t xml:space="preserve"> </w:t>
            </w:r>
            <w:r w:rsidR="00262851" w:rsidRPr="009C0BEE">
              <w:rPr>
                <w:rFonts w:ascii="TimesNewRoman" w:hAnsi="TimesNewRoman" w:cs="TimesNewRoman"/>
                <w:sz w:val="22"/>
                <w:szCs w:val="22"/>
              </w:rPr>
              <w:t>d</w:t>
            </w:r>
            <w:r w:rsidR="009423F4" w:rsidRPr="009C0BEE">
              <w:rPr>
                <w:rFonts w:ascii="TimesNewRoman" w:hAnsi="TimesNewRoman" w:cs="TimesNewRoman"/>
                <w:sz w:val="22"/>
                <w:szCs w:val="22"/>
              </w:rPr>
              <w:t>va</w:t>
            </w:r>
            <w:r w:rsidR="00262851" w:rsidRPr="009C0BEE">
              <w:rPr>
                <w:rFonts w:ascii="TimesNewRoman" w:hAnsi="TimesNewRoman" w:cs="TimesNewRoman"/>
                <w:sz w:val="22"/>
                <w:szCs w:val="22"/>
              </w:rPr>
              <w:t xml:space="preserve"> </w:t>
            </w:r>
            <w:r w:rsidR="009423F4" w:rsidRPr="009C0BEE">
              <w:rPr>
                <w:rFonts w:ascii="TimesNewRoman" w:hAnsi="TimesNewRoman" w:cs="TimesNewRoman"/>
                <w:sz w:val="22"/>
                <w:szCs w:val="22"/>
              </w:rPr>
              <w:t>put</w:t>
            </w:r>
            <w:r w:rsidR="00262851" w:rsidRPr="009C0BEE">
              <w:rPr>
                <w:rFonts w:ascii="TimesNewRoman" w:hAnsi="TimesNewRoman" w:cs="TimesNewRoman"/>
                <w:sz w:val="22"/>
                <w:szCs w:val="22"/>
              </w:rPr>
              <w:t>a dnevno to</w:t>
            </w:r>
            <w:r w:rsidR="009423F4" w:rsidRPr="009C0BEE">
              <w:rPr>
                <w:rFonts w:ascii="TimesNewRoman" w:hAnsi="TimesNewRoman" w:cs="TimesNewRoman"/>
                <w:sz w:val="22"/>
                <w:szCs w:val="22"/>
              </w:rPr>
              <w:t xml:space="preserve">kom 14 dana uz primjenu irinotekana u dozi od 250 </w:t>
            </w:r>
            <w:r w:rsidR="00262851" w:rsidRPr="009C0BEE">
              <w:rPr>
                <w:rFonts w:ascii="TimesNewRoman" w:hAnsi="TimesNewRoman" w:cs="TimesNewRoman"/>
                <w:sz w:val="22"/>
                <w:szCs w:val="22"/>
              </w:rPr>
              <w:t>mg/</w:t>
            </w:r>
            <w:r w:rsidR="00262851" w:rsidRPr="009C0BEE">
              <w:rPr>
                <w:sz w:val="22"/>
                <w:szCs w:val="22"/>
              </w:rPr>
              <w:t>m</w:t>
            </w:r>
            <w:r w:rsidR="00262851" w:rsidRPr="009C0BEE">
              <w:rPr>
                <w:sz w:val="22"/>
                <w:szCs w:val="22"/>
                <w:vertAlign w:val="superscript"/>
              </w:rPr>
              <w:t>2</w:t>
            </w:r>
            <w:r w:rsidR="00262851" w:rsidRPr="009C0BEE">
              <w:rPr>
                <w:rFonts w:ascii="TimesNewRoman" w:hAnsi="TimesNewRoman" w:cs="TimesNewRoman"/>
                <w:sz w:val="14"/>
                <w:szCs w:val="14"/>
              </w:rPr>
              <w:t xml:space="preserve"> </w:t>
            </w:r>
            <w:r w:rsidR="009423F4" w:rsidRPr="009C0BEE">
              <w:rPr>
                <w:rFonts w:ascii="TimesNewRoman" w:hAnsi="TimesNewRoman" w:cs="TimesNewRoman"/>
                <w:sz w:val="22"/>
                <w:szCs w:val="22"/>
              </w:rPr>
              <w:t>1. dana. Medijan</w:t>
            </w:r>
            <w:r w:rsidR="00262851" w:rsidRPr="009C0BEE">
              <w:rPr>
                <w:rFonts w:ascii="TimesNewRoman" w:hAnsi="TimesNewRoman" w:cs="TimesNewRoman"/>
                <w:sz w:val="22"/>
                <w:szCs w:val="22"/>
              </w:rPr>
              <w:t xml:space="preserve">a </w:t>
            </w:r>
            <w:r w:rsidR="009423F4" w:rsidRPr="009C0BEE">
              <w:rPr>
                <w:rFonts w:ascii="TimesNewRoman" w:hAnsi="TimesNewRoman" w:cs="TimesNewRoman"/>
                <w:sz w:val="22"/>
                <w:szCs w:val="22"/>
              </w:rPr>
              <w:t>preživlj</w:t>
            </w:r>
            <w:r w:rsidR="00262851" w:rsidRPr="009C0BEE">
              <w:rPr>
                <w:rFonts w:ascii="TimesNewRoman" w:hAnsi="TimesNewRoman" w:cs="TimesNewRoman"/>
                <w:sz w:val="22"/>
                <w:szCs w:val="22"/>
              </w:rPr>
              <w:t>ava</w:t>
            </w:r>
            <w:r w:rsidR="009423F4" w:rsidRPr="009C0BEE">
              <w:rPr>
                <w:rFonts w:ascii="TimesNewRoman" w:hAnsi="TimesNewRoman" w:cs="TimesNewRoman"/>
                <w:sz w:val="22"/>
                <w:szCs w:val="22"/>
              </w:rPr>
              <w:t xml:space="preserve">nja bez </w:t>
            </w:r>
            <w:r w:rsidR="00262851" w:rsidRPr="009C0BEE">
              <w:rPr>
                <w:rFonts w:ascii="TimesNewRoman" w:hAnsi="TimesNewRoman" w:cs="TimesNewRoman"/>
                <w:sz w:val="22"/>
                <w:szCs w:val="22"/>
              </w:rPr>
              <w:t>progresije bolesti (PFS) iznosila</w:t>
            </w:r>
            <w:r w:rsidR="009423F4" w:rsidRPr="009C0BEE">
              <w:rPr>
                <w:rFonts w:ascii="TimesNewRoman" w:hAnsi="TimesNewRoman" w:cs="TimesNewRoman"/>
                <w:sz w:val="22"/>
                <w:szCs w:val="22"/>
              </w:rPr>
              <w:t xml:space="preserve"> je 10,0 mjeseci za FOLFIRI-Bev i 8,9 mjeseci za</w:t>
            </w:r>
            <w:r w:rsidR="00262851" w:rsidRPr="009C0BEE">
              <w:rPr>
                <w:rFonts w:ascii="TimesNewRoman" w:hAnsi="TimesNewRoman" w:cs="TimesNewRoman"/>
                <w:sz w:val="22"/>
                <w:szCs w:val="22"/>
              </w:rPr>
              <w:t xml:space="preserve"> </w:t>
            </w:r>
            <w:r w:rsidR="009423F4" w:rsidRPr="009C0BEE">
              <w:rPr>
                <w:rFonts w:ascii="TimesNewRoman" w:hAnsi="TimesNewRoman" w:cs="TimesNewRoman"/>
                <w:sz w:val="22"/>
                <w:szCs w:val="22"/>
              </w:rPr>
              <w:t>XELIRI-Bev (p=0,64), medijan</w:t>
            </w:r>
            <w:r w:rsidR="00262851" w:rsidRPr="009C0BEE">
              <w:rPr>
                <w:rFonts w:ascii="TimesNewRoman" w:hAnsi="TimesNewRoman" w:cs="TimesNewRoman"/>
                <w:sz w:val="22"/>
                <w:szCs w:val="22"/>
              </w:rPr>
              <w:t>a</w:t>
            </w:r>
            <w:r w:rsidR="009423F4" w:rsidRPr="009C0BEE">
              <w:rPr>
                <w:rFonts w:ascii="TimesNewRoman" w:hAnsi="TimesNewRoman" w:cs="TimesNewRoman"/>
                <w:sz w:val="22"/>
                <w:szCs w:val="22"/>
              </w:rPr>
              <w:t xml:space="preserve"> ukupnog prež</w:t>
            </w:r>
            <w:r w:rsidR="00262851" w:rsidRPr="009C0BEE">
              <w:rPr>
                <w:rFonts w:ascii="TimesNewRoman" w:hAnsi="TimesNewRoman" w:cs="TimesNewRoman"/>
                <w:sz w:val="22"/>
                <w:szCs w:val="22"/>
              </w:rPr>
              <w:t>ivljava</w:t>
            </w:r>
            <w:r w:rsidR="009423F4" w:rsidRPr="009C0BEE">
              <w:rPr>
                <w:rFonts w:ascii="TimesNewRoman" w:hAnsi="TimesNewRoman" w:cs="TimesNewRoman"/>
                <w:sz w:val="22"/>
                <w:szCs w:val="22"/>
              </w:rPr>
              <w:t>nja 25,7 odnosno 27,5 mjeseci (p=0,55), a stope</w:t>
            </w:r>
            <w:r w:rsidR="00262851" w:rsidRPr="009C0BEE">
              <w:rPr>
                <w:rFonts w:ascii="TimesNewRoman" w:hAnsi="TimesNewRoman" w:cs="TimesNewRoman"/>
                <w:sz w:val="22"/>
                <w:szCs w:val="22"/>
              </w:rPr>
              <w:t xml:space="preserve"> </w:t>
            </w:r>
            <w:r w:rsidR="009423F4" w:rsidRPr="009C0BEE">
              <w:rPr>
                <w:rFonts w:ascii="TimesNewRoman" w:hAnsi="TimesNewRoman" w:cs="TimesNewRoman"/>
                <w:sz w:val="22"/>
                <w:szCs w:val="22"/>
              </w:rPr>
              <w:t xml:space="preserve">odgovora 45,5% odnosno 39,8% (p=0,32). </w:t>
            </w:r>
            <w:r w:rsidR="00262851" w:rsidRPr="009C0BEE">
              <w:rPr>
                <w:rFonts w:ascii="TimesNewRoman" w:hAnsi="TimesNewRoman" w:cs="TimesNewRoman"/>
                <w:sz w:val="22"/>
                <w:szCs w:val="22"/>
              </w:rPr>
              <w:t>Pacijent</w:t>
            </w:r>
            <w:r w:rsidR="009423F4" w:rsidRPr="009C0BEE">
              <w:rPr>
                <w:rFonts w:ascii="TimesNewRoman" w:hAnsi="TimesNewRoman" w:cs="TimesNewRoman"/>
                <w:sz w:val="22"/>
                <w:szCs w:val="22"/>
              </w:rPr>
              <w:t xml:space="preserve">i liječeni </w:t>
            </w:r>
            <w:r w:rsidR="00262851" w:rsidRPr="009C0BEE">
              <w:rPr>
                <w:rFonts w:ascii="TimesNewRoman" w:hAnsi="TimesNewRoman" w:cs="TimesNewRoman"/>
                <w:sz w:val="22"/>
                <w:szCs w:val="22"/>
              </w:rPr>
              <w:t xml:space="preserve">kombinacijom XELIRI+bevacizumab </w:t>
            </w:r>
            <w:r w:rsidR="009423F4" w:rsidRPr="009C0BEE">
              <w:rPr>
                <w:rFonts w:ascii="TimesNewRoman" w:hAnsi="TimesNewRoman" w:cs="TimesNewRoman"/>
                <w:sz w:val="22"/>
                <w:szCs w:val="22"/>
              </w:rPr>
              <w:t>prijavili su značajno već</w:t>
            </w:r>
            <w:r w:rsidR="00262851" w:rsidRPr="009C0BEE">
              <w:rPr>
                <w:rFonts w:ascii="TimesNewRoman" w:hAnsi="TimesNewRoman" w:cs="TimesNewRoman"/>
                <w:sz w:val="22"/>
                <w:szCs w:val="22"/>
              </w:rPr>
              <w:t xml:space="preserve">u </w:t>
            </w:r>
            <w:r w:rsidR="00847698" w:rsidRPr="009C0BEE">
              <w:rPr>
                <w:rFonts w:ascii="TimesNewRoman" w:hAnsi="TimesNewRoman" w:cs="TimesNewRoman"/>
                <w:sz w:val="22"/>
                <w:szCs w:val="22"/>
              </w:rPr>
              <w:t xml:space="preserve">incidencu </w:t>
            </w:r>
            <w:r w:rsidR="00262851" w:rsidRPr="009C0BEE">
              <w:rPr>
                <w:rFonts w:ascii="TimesNewRoman" w:hAnsi="TimesNewRoman" w:cs="TimesNewRoman"/>
                <w:sz w:val="22"/>
                <w:szCs w:val="22"/>
              </w:rPr>
              <w:t>dijareje</w:t>
            </w:r>
            <w:r w:rsidR="009423F4" w:rsidRPr="009C0BEE">
              <w:rPr>
                <w:rFonts w:ascii="TimesNewRoman" w:hAnsi="TimesNewRoman" w:cs="TimesNewRoman"/>
                <w:sz w:val="22"/>
                <w:szCs w:val="22"/>
              </w:rPr>
              <w:t>, febrilne neutropenije i sindroma šaka-stopalo nego</w:t>
            </w:r>
            <w:r w:rsidR="00262851" w:rsidRPr="009C0BEE">
              <w:rPr>
                <w:rFonts w:ascii="TimesNewRoman" w:hAnsi="TimesNewRoman" w:cs="TimesNewRoman"/>
                <w:sz w:val="22"/>
                <w:szCs w:val="22"/>
              </w:rPr>
              <w:t xml:space="preserve"> pacijenti </w:t>
            </w:r>
            <w:r w:rsidR="009423F4" w:rsidRPr="009C0BEE">
              <w:rPr>
                <w:rFonts w:ascii="TimesNewRoman" w:hAnsi="TimesNewRoman" w:cs="TimesNewRoman"/>
                <w:sz w:val="22"/>
                <w:szCs w:val="22"/>
              </w:rPr>
              <w:t xml:space="preserve">koji su primali FOLFIRI i bevacizumab, </w:t>
            </w:r>
            <w:r w:rsidR="00262851" w:rsidRPr="009C0BEE">
              <w:rPr>
                <w:rFonts w:ascii="TimesNewRoman" w:hAnsi="TimesNewRoman" w:cs="TimesNewRoman"/>
                <w:sz w:val="22"/>
                <w:szCs w:val="22"/>
              </w:rPr>
              <w:t>kod kojih se javljalo veće odlaganje terapije</w:t>
            </w:r>
            <w:r w:rsidR="009423F4" w:rsidRPr="009C0BEE">
              <w:rPr>
                <w:rFonts w:ascii="TimesNewRoman" w:hAnsi="TimesNewRoman" w:cs="TimesNewRoman"/>
                <w:sz w:val="22"/>
                <w:szCs w:val="22"/>
              </w:rPr>
              <w:t xml:space="preserve">, </w:t>
            </w:r>
            <w:r w:rsidR="00847698" w:rsidRPr="009C0BEE">
              <w:rPr>
                <w:rFonts w:ascii="TimesNewRoman" w:hAnsi="TimesNewRoman" w:cs="TimesNewRoman"/>
                <w:sz w:val="22"/>
                <w:szCs w:val="22"/>
              </w:rPr>
              <w:t xml:space="preserve">smanjenje </w:t>
            </w:r>
            <w:r w:rsidR="009423F4" w:rsidRPr="009C0BEE">
              <w:rPr>
                <w:rFonts w:ascii="TimesNewRoman" w:hAnsi="TimesNewRoman" w:cs="TimesNewRoman"/>
                <w:sz w:val="22"/>
                <w:szCs w:val="22"/>
              </w:rPr>
              <w:t xml:space="preserve">doze </w:t>
            </w:r>
            <w:r w:rsidR="00262851" w:rsidRPr="009C0BEE">
              <w:rPr>
                <w:rFonts w:ascii="TimesNewRoman" w:hAnsi="TimesNewRoman" w:cs="TimesNewRoman"/>
                <w:sz w:val="22"/>
                <w:szCs w:val="22"/>
              </w:rPr>
              <w:t xml:space="preserve">i </w:t>
            </w:r>
            <w:r w:rsidR="009423F4" w:rsidRPr="009C0BEE">
              <w:rPr>
                <w:rFonts w:ascii="TimesNewRoman" w:hAnsi="TimesNewRoman" w:cs="TimesNewRoman"/>
                <w:sz w:val="22"/>
                <w:szCs w:val="22"/>
              </w:rPr>
              <w:t>prekid liječenja.</w:t>
            </w:r>
          </w:p>
          <w:p w:rsidR="009423F4" w:rsidRPr="009C0BEE" w:rsidRDefault="009423F4" w:rsidP="009423F4">
            <w:pPr>
              <w:pStyle w:val="Header"/>
              <w:tabs>
                <w:tab w:val="left" w:pos="284"/>
              </w:tabs>
              <w:rPr>
                <w:color w:val="FF0000"/>
                <w:sz w:val="22"/>
                <w:szCs w:val="22"/>
              </w:rPr>
            </w:pPr>
          </w:p>
          <w:p w:rsidR="00D97F96" w:rsidRPr="009C0BEE" w:rsidRDefault="00C6356D" w:rsidP="008B3357">
            <w:pPr>
              <w:autoSpaceDE w:val="0"/>
              <w:autoSpaceDN w:val="0"/>
              <w:adjustRightInd w:val="0"/>
              <w:jc w:val="both"/>
              <w:rPr>
                <w:rFonts w:ascii="TimesNewRoman" w:hAnsi="TimesNewRoman" w:cs="TimesNewRoman"/>
                <w:sz w:val="22"/>
                <w:szCs w:val="22"/>
              </w:rPr>
            </w:pPr>
            <w:r w:rsidRPr="009C0BEE">
              <w:rPr>
                <w:sz w:val="22"/>
                <w:szCs w:val="22"/>
              </w:rPr>
              <w:t xml:space="preserve">Podaci iz  među-analize </w:t>
            </w:r>
            <w:r w:rsidR="009646EE" w:rsidRPr="009C0BEE">
              <w:rPr>
                <w:sz w:val="22"/>
                <w:szCs w:val="22"/>
              </w:rPr>
              <w:t>jedne multicentrične, randomizov</w:t>
            </w:r>
            <w:r w:rsidRPr="009C0BEE">
              <w:rPr>
                <w:sz w:val="22"/>
                <w:szCs w:val="22"/>
              </w:rPr>
              <w:t xml:space="preserve">ane, kontrolisane studije faze II (AIO KRK 0604) podržavaju upotrebu </w:t>
            </w:r>
            <w:r w:rsidR="0028138D" w:rsidRPr="009C0BEE">
              <w:rPr>
                <w:sz w:val="22"/>
                <w:szCs w:val="22"/>
              </w:rPr>
              <w:t xml:space="preserve">kapecitabina </w:t>
            </w:r>
            <w:r w:rsidRPr="009C0BEE">
              <w:rPr>
                <w:sz w:val="22"/>
                <w:szCs w:val="22"/>
              </w:rPr>
              <w:t>u početnoj dozi od  800 mg/m</w:t>
            </w:r>
            <w:r w:rsidRPr="009C0BEE">
              <w:rPr>
                <w:sz w:val="22"/>
                <w:szCs w:val="22"/>
                <w:vertAlign w:val="superscript"/>
              </w:rPr>
              <w:t>2</w:t>
            </w:r>
            <w:r w:rsidRPr="009C0BEE">
              <w:rPr>
                <w:sz w:val="22"/>
                <w:szCs w:val="22"/>
              </w:rPr>
              <w:t xml:space="preserve"> tokom 2 ned</w:t>
            </w:r>
            <w:r w:rsidR="009646EE" w:rsidRPr="009C0BEE">
              <w:rPr>
                <w:sz w:val="22"/>
                <w:szCs w:val="22"/>
              </w:rPr>
              <w:t>j</w:t>
            </w:r>
            <w:r w:rsidRPr="009C0BEE">
              <w:rPr>
                <w:sz w:val="22"/>
                <w:szCs w:val="22"/>
              </w:rPr>
              <w:t>elje na svake 3 ned</w:t>
            </w:r>
            <w:r w:rsidR="009646EE" w:rsidRPr="009C0BEE">
              <w:rPr>
                <w:sz w:val="22"/>
                <w:szCs w:val="22"/>
              </w:rPr>
              <w:t>j</w:t>
            </w:r>
            <w:r w:rsidRPr="009C0BEE">
              <w:rPr>
                <w:sz w:val="22"/>
                <w:szCs w:val="22"/>
              </w:rPr>
              <w:t xml:space="preserve">elje u kombinaciji sa irinotekanom i bevacizumabom kao </w:t>
            </w:r>
            <w:r w:rsidR="001207CA" w:rsidRPr="009C0BEE">
              <w:rPr>
                <w:sz w:val="22"/>
                <w:szCs w:val="22"/>
              </w:rPr>
              <w:t xml:space="preserve">prve linije </w:t>
            </w:r>
            <w:r w:rsidRPr="009C0BEE">
              <w:rPr>
                <w:sz w:val="22"/>
                <w:szCs w:val="22"/>
              </w:rPr>
              <w:t>terapije pacijenata sa metastatskim kolo</w:t>
            </w:r>
            <w:r w:rsidR="009646EE" w:rsidRPr="009C0BEE">
              <w:rPr>
                <w:sz w:val="22"/>
                <w:szCs w:val="22"/>
              </w:rPr>
              <w:t>rektalnim karcinomom.  Randomizov</w:t>
            </w:r>
            <w:r w:rsidR="00303886" w:rsidRPr="009C0BEE">
              <w:rPr>
                <w:sz w:val="22"/>
                <w:szCs w:val="22"/>
              </w:rPr>
              <w:t>ano je 120 pacijen</w:t>
            </w:r>
            <w:r w:rsidR="00277AA8" w:rsidRPr="009C0BEE">
              <w:rPr>
                <w:sz w:val="22"/>
                <w:szCs w:val="22"/>
              </w:rPr>
              <w:t>t</w:t>
            </w:r>
            <w:r w:rsidRPr="009C0BEE">
              <w:rPr>
                <w:sz w:val="22"/>
                <w:szCs w:val="22"/>
              </w:rPr>
              <w:t xml:space="preserve">a da primaju </w:t>
            </w:r>
            <w:r w:rsidR="003D4012" w:rsidRPr="009C0BEE">
              <w:rPr>
                <w:sz w:val="22"/>
                <w:szCs w:val="22"/>
              </w:rPr>
              <w:t xml:space="preserve">kapecitabin </w:t>
            </w:r>
            <w:r w:rsidRPr="009C0BEE">
              <w:rPr>
                <w:sz w:val="22"/>
                <w:szCs w:val="22"/>
              </w:rPr>
              <w:t xml:space="preserve">u kombinaciji sa  irinotekanom (XELIRI) i bevacizumabom:  </w:t>
            </w:r>
            <w:r w:rsidR="004739E9" w:rsidRPr="009C0BEE">
              <w:rPr>
                <w:sz w:val="22"/>
                <w:szCs w:val="22"/>
              </w:rPr>
              <w:t>kapecitabin</w:t>
            </w:r>
            <w:r w:rsidRPr="009C0BEE">
              <w:rPr>
                <w:sz w:val="22"/>
                <w:szCs w:val="22"/>
              </w:rPr>
              <w:t xml:space="preserve"> (800 mg/m</w:t>
            </w:r>
            <w:r w:rsidRPr="009C0BEE">
              <w:rPr>
                <w:sz w:val="22"/>
                <w:szCs w:val="22"/>
                <w:vertAlign w:val="superscript"/>
              </w:rPr>
              <w:t>2</w:t>
            </w:r>
            <w:r w:rsidRPr="009C0BEE">
              <w:rPr>
                <w:sz w:val="22"/>
                <w:szCs w:val="22"/>
              </w:rPr>
              <w:t xml:space="preserve"> dva puta na dan  tokom dvije ned</w:t>
            </w:r>
            <w:r w:rsidR="00303886" w:rsidRPr="009C0BEE">
              <w:rPr>
                <w:sz w:val="22"/>
                <w:szCs w:val="22"/>
              </w:rPr>
              <w:t>j</w:t>
            </w:r>
            <w:r w:rsidRPr="009C0BEE">
              <w:rPr>
                <w:sz w:val="22"/>
                <w:szCs w:val="22"/>
              </w:rPr>
              <w:t>elje</w:t>
            </w:r>
            <w:r w:rsidR="001207CA" w:rsidRPr="009C0BEE">
              <w:rPr>
                <w:sz w:val="22"/>
                <w:szCs w:val="22"/>
              </w:rPr>
              <w:t>,</w:t>
            </w:r>
            <w:r w:rsidRPr="009C0BEE">
              <w:rPr>
                <w:sz w:val="22"/>
                <w:szCs w:val="22"/>
              </w:rPr>
              <w:t xml:space="preserve"> posl</w:t>
            </w:r>
            <w:r w:rsidR="001207CA" w:rsidRPr="009C0BEE">
              <w:rPr>
                <w:sz w:val="22"/>
                <w:szCs w:val="22"/>
              </w:rPr>
              <w:t>ij</w:t>
            </w:r>
            <w:r w:rsidRPr="009C0BEE">
              <w:rPr>
                <w:sz w:val="22"/>
                <w:szCs w:val="22"/>
              </w:rPr>
              <w:t>e čega slijedi period odmora od 7 dana ), irinotekan (200 mg/m</w:t>
            </w:r>
            <w:r w:rsidRPr="009C0BEE">
              <w:rPr>
                <w:sz w:val="22"/>
                <w:szCs w:val="22"/>
                <w:vertAlign w:val="superscript"/>
              </w:rPr>
              <w:t>2</w:t>
            </w:r>
            <w:r w:rsidRPr="009C0BEE">
              <w:rPr>
                <w:sz w:val="22"/>
                <w:szCs w:val="22"/>
              </w:rPr>
              <w:t xml:space="preserve"> u vidu 30 minutne infuzije prvog dana svake 3 ned</w:t>
            </w:r>
            <w:r w:rsidR="00303886" w:rsidRPr="009C0BEE">
              <w:rPr>
                <w:sz w:val="22"/>
                <w:szCs w:val="22"/>
              </w:rPr>
              <w:t>j</w:t>
            </w:r>
            <w:r w:rsidRPr="009C0BEE">
              <w:rPr>
                <w:sz w:val="22"/>
                <w:szCs w:val="22"/>
              </w:rPr>
              <w:t>elje), i bevaciz</w:t>
            </w:r>
            <w:r w:rsidR="00303886" w:rsidRPr="009C0BEE">
              <w:rPr>
                <w:sz w:val="22"/>
                <w:szCs w:val="22"/>
              </w:rPr>
              <w:t>umab (7,5 mg/kg u vidu 2-satne</w:t>
            </w:r>
            <w:r w:rsidRPr="009C0BEE">
              <w:rPr>
                <w:sz w:val="22"/>
                <w:szCs w:val="22"/>
              </w:rPr>
              <w:t xml:space="preserve"> infuzije prvog dana svake 3 ned</w:t>
            </w:r>
            <w:r w:rsidR="00303886" w:rsidRPr="009C0BEE">
              <w:rPr>
                <w:sz w:val="22"/>
                <w:szCs w:val="22"/>
              </w:rPr>
              <w:t>j</w:t>
            </w:r>
            <w:r w:rsidRPr="009C0BEE">
              <w:rPr>
                <w:sz w:val="22"/>
                <w:szCs w:val="22"/>
              </w:rPr>
              <w:t xml:space="preserve">elje);  </w:t>
            </w:r>
            <w:r w:rsidR="00433C6C" w:rsidRPr="009C0BEE">
              <w:rPr>
                <w:sz w:val="22"/>
                <w:szCs w:val="22"/>
              </w:rPr>
              <w:t xml:space="preserve">127 </w:t>
            </w:r>
            <w:r w:rsidRPr="009C0BEE">
              <w:rPr>
                <w:sz w:val="22"/>
                <w:szCs w:val="22"/>
              </w:rPr>
              <w:t xml:space="preserve">bolesnika randomizovano </w:t>
            </w:r>
            <w:r w:rsidR="00433C6C" w:rsidRPr="009C0BEE">
              <w:rPr>
                <w:sz w:val="22"/>
                <w:szCs w:val="22"/>
              </w:rPr>
              <w:t>je</w:t>
            </w:r>
            <w:r w:rsidRPr="009C0BEE">
              <w:rPr>
                <w:sz w:val="22"/>
                <w:szCs w:val="22"/>
              </w:rPr>
              <w:t xml:space="preserve"> da prima </w:t>
            </w:r>
            <w:r w:rsidR="00661B87" w:rsidRPr="009C0BEE">
              <w:rPr>
                <w:sz w:val="22"/>
                <w:szCs w:val="22"/>
              </w:rPr>
              <w:t>kapecitabin</w:t>
            </w:r>
            <w:r w:rsidRPr="009C0BEE">
              <w:rPr>
                <w:sz w:val="22"/>
                <w:szCs w:val="22"/>
              </w:rPr>
              <w:t xml:space="preserve"> (1000 mg/m2 dva puta na dan  tokom dvije ned</w:t>
            </w:r>
            <w:r w:rsidR="001207CA" w:rsidRPr="009C0BEE">
              <w:rPr>
                <w:sz w:val="22"/>
                <w:szCs w:val="22"/>
              </w:rPr>
              <w:t>j</w:t>
            </w:r>
            <w:r w:rsidRPr="009C0BEE">
              <w:rPr>
                <w:sz w:val="22"/>
                <w:szCs w:val="22"/>
              </w:rPr>
              <w:t>elje</w:t>
            </w:r>
            <w:r w:rsidR="001207CA" w:rsidRPr="009C0BEE">
              <w:rPr>
                <w:sz w:val="22"/>
                <w:szCs w:val="22"/>
              </w:rPr>
              <w:t>,</w:t>
            </w:r>
            <w:r w:rsidRPr="009C0BEE">
              <w:rPr>
                <w:sz w:val="22"/>
                <w:szCs w:val="22"/>
              </w:rPr>
              <w:t xml:space="preserve"> </w:t>
            </w:r>
            <w:r w:rsidRPr="009C0BEE">
              <w:rPr>
                <w:sz w:val="22"/>
                <w:szCs w:val="22"/>
              </w:rPr>
              <w:lastRenderedPageBreak/>
              <w:t>posl</w:t>
            </w:r>
            <w:r w:rsidR="001207CA" w:rsidRPr="009C0BEE">
              <w:rPr>
                <w:sz w:val="22"/>
                <w:szCs w:val="22"/>
              </w:rPr>
              <w:t>ij</w:t>
            </w:r>
            <w:r w:rsidRPr="009C0BEE">
              <w:rPr>
                <w:sz w:val="22"/>
                <w:szCs w:val="22"/>
              </w:rPr>
              <w:t>e čega slijedi period odmora od 7 dana), oksaliplatin (130 mg/m</w:t>
            </w:r>
            <w:r w:rsidRPr="009C0BEE">
              <w:rPr>
                <w:sz w:val="22"/>
                <w:szCs w:val="22"/>
                <w:vertAlign w:val="superscript"/>
              </w:rPr>
              <w:t>2</w:t>
            </w:r>
            <w:r w:rsidRPr="009C0BEE">
              <w:rPr>
                <w:sz w:val="22"/>
                <w:szCs w:val="22"/>
              </w:rPr>
              <w:t xml:space="preserve"> u vidu dvočasovne infuzije prvog dana svake 3 ned</w:t>
            </w:r>
            <w:r w:rsidR="001207CA" w:rsidRPr="009C0BEE">
              <w:rPr>
                <w:sz w:val="22"/>
                <w:szCs w:val="22"/>
              </w:rPr>
              <w:t>j</w:t>
            </w:r>
            <w:r w:rsidRPr="009C0BEE">
              <w:rPr>
                <w:sz w:val="22"/>
                <w:szCs w:val="22"/>
              </w:rPr>
              <w:t>elje), i bevaciz</w:t>
            </w:r>
            <w:r w:rsidR="00303886" w:rsidRPr="009C0BEE">
              <w:rPr>
                <w:sz w:val="22"/>
                <w:szCs w:val="22"/>
              </w:rPr>
              <w:t>umab (7,5 mg/kg u vidu 30 do 90-</w:t>
            </w:r>
            <w:r w:rsidRPr="009C0BEE">
              <w:rPr>
                <w:sz w:val="22"/>
                <w:szCs w:val="22"/>
              </w:rPr>
              <w:t>minutne  infuzije prvog dana svake 3 ned</w:t>
            </w:r>
            <w:r w:rsidR="00303886" w:rsidRPr="009C0BEE">
              <w:rPr>
                <w:sz w:val="22"/>
                <w:szCs w:val="22"/>
              </w:rPr>
              <w:t>j</w:t>
            </w:r>
            <w:r w:rsidRPr="009C0BEE">
              <w:rPr>
                <w:sz w:val="22"/>
                <w:szCs w:val="22"/>
              </w:rPr>
              <w:t xml:space="preserve">elje).  </w:t>
            </w:r>
            <w:r w:rsidR="00D97F96" w:rsidRPr="009C0BEE">
              <w:rPr>
                <w:rFonts w:ascii="TimesNewRoman" w:hAnsi="TimesNewRoman" w:cs="TimesNewRoman"/>
                <w:sz w:val="22"/>
                <w:szCs w:val="22"/>
              </w:rPr>
              <w:t>Odgovori na liječenje nakon razdoblja praćenja studijske populacije u srednjem trajanju od 26,2 mjeseca prikazani su ispod:</w:t>
            </w:r>
          </w:p>
          <w:p w:rsidR="00D97F96" w:rsidRPr="009C0BEE" w:rsidRDefault="00D97F96" w:rsidP="00D97F96">
            <w:pPr>
              <w:autoSpaceDE w:val="0"/>
              <w:autoSpaceDN w:val="0"/>
              <w:adjustRightInd w:val="0"/>
              <w:rPr>
                <w:rFonts w:ascii="TimesNewRoman" w:hAnsi="TimesNewRoman" w:cs="TimesNewRoman"/>
                <w:sz w:val="22"/>
                <w:szCs w:val="22"/>
              </w:rPr>
            </w:pPr>
          </w:p>
          <w:p w:rsidR="00D97F96" w:rsidRPr="009C0BEE" w:rsidRDefault="00064E9E" w:rsidP="00D97F96">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Tabela 8     Ključni rezultat</w:t>
            </w:r>
            <w:r w:rsidR="00D97F96" w:rsidRPr="009C0BEE">
              <w:rPr>
                <w:rFonts w:ascii="TimesNewRoman" w:hAnsi="TimesNewRoman" w:cs="TimesNewRoman"/>
                <w:sz w:val="22"/>
                <w:szCs w:val="22"/>
              </w:rPr>
              <w:t>i o efikasnosti ispitivanja AIO KRK</w:t>
            </w:r>
          </w:p>
          <w:p w:rsidR="008B3357" w:rsidRPr="009C0BEE" w:rsidRDefault="008B3357" w:rsidP="00D97F96">
            <w:pPr>
              <w:autoSpaceDE w:val="0"/>
              <w:autoSpaceDN w:val="0"/>
              <w:adjustRightInd w:val="0"/>
              <w:rPr>
                <w:rFonts w:ascii="TimesNewRoman" w:hAnsi="TimesNewRoman" w:cs="TimesNew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371"/>
              <w:gridCol w:w="2371"/>
              <w:gridCol w:w="2356"/>
            </w:tblGrid>
            <w:tr w:rsidR="00D97F96" w:rsidRPr="009C0BEE" w:rsidTr="005E7E41">
              <w:tc>
                <w:tcPr>
                  <w:tcW w:w="2489" w:type="dxa"/>
                  <w:shd w:val="clear" w:color="auto" w:fill="auto"/>
                </w:tcPr>
                <w:p w:rsidR="00D97F96" w:rsidRPr="009C0BEE" w:rsidRDefault="00D97F96" w:rsidP="0023431E">
                  <w:pPr>
                    <w:pStyle w:val="Header"/>
                    <w:tabs>
                      <w:tab w:val="left" w:pos="284"/>
                    </w:tabs>
                    <w:rPr>
                      <w:color w:val="FF0000"/>
                      <w:sz w:val="22"/>
                      <w:szCs w:val="22"/>
                    </w:rPr>
                  </w:pPr>
                </w:p>
              </w:tc>
              <w:tc>
                <w:tcPr>
                  <w:tcW w:w="2489" w:type="dxa"/>
                  <w:shd w:val="clear" w:color="auto" w:fill="auto"/>
                </w:tcPr>
                <w:p w:rsidR="008B3357" w:rsidRPr="009C0BEE" w:rsidRDefault="008B3357" w:rsidP="0023431E">
                  <w:pPr>
                    <w:autoSpaceDE w:val="0"/>
                    <w:autoSpaceDN w:val="0"/>
                    <w:adjustRightInd w:val="0"/>
                    <w:rPr>
                      <w:b/>
                      <w:bCs/>
                      <w:i/>
                      <w:iCs/>
                    </w:rPr>
                  </w:pPr>
                  <w:r w:rsidRPr="009C0BEE">
                    <w:rPr>
                      <w:b/>
                      <w:bCs/>
                      <w:i/>
                      <w:iCs/>
                    </w:rPr>
                    <w:t>XELOX + bevacizumab</w:t>
                  </w:r>
                </w:p>
                <w:p w:rsidR="008B3357" w:rsidRPr="009C0BEE" w:rsidRDefault="008B3357" w:rsidP="0023431E">
                  <w:pPr>
                    <w:autoSpaceDE w:val="0"/>
                    <w:autoSpaceDN w:val="0"/>
                    <w:adjustRightInd w:val="0"/>
                    <w:rPr>
                      <w:b/>
                      <w:bCs/>
                      <w:i/>
                      <w:iCs/>
                    </w:rPr>
                  </w:pPr>
                </w:p>
                <w:p w:rsidR="00D97F96" w:rsidRPr="009C0BEE" w:rsidRDefault="008B3357" w:rsidP="0023431E">
                  <w:pPr>
                    <w:pStyle w:val="Header"/>
                    <w:tabs>
                      <w:tab w:val="left" w:pos="284"/>
                    </w:tabs>
                    <w:rPr>
                      <w:color w:val="FF0000"/>
                      <w:sz w:val="22"/>
                      <w:szCs w:val="22"/>
                    </w:rPr>
                  </w:pPr>
                  <w:r w:rsidRPr="009C0BEE">
                    <w:rPr>
                      <w:b/>
                      <w:bCs/>
                      <w:i/>
                      <w:iCs/>
                    </w:rPr>
                    <w:t>(ITT: N=127)</w:t>
                  </w:r>
                </w:p>
              </w:tc>
              <w:tc>
                <w:tcPr>
                  <w:tcW w:w="2489" w:type="dxa"/>
                  <w:shd w:val="clear" w:color="auto" w:fill="auto"/>
                </w:tcPr>
                <w:p w:rsidR="008B3357" w:rsidRPr="009C0BEE" w:rsidRDefault="008B3357" w:rsidP="0023431E">
                  <w:pPr>
                    <w:autoSpaceDE w:val="0"/>
                    <w:autoSpaceDN w:val="0"/>
                    <w:adjustRightInd w:val="0"/>
                    <w:rPr>
                      <w:b/>
                      <w:bCs/>
                      <w:i/>
                      <w:iCs/>
                    </w:rPr>
                  </w:pPr>
                  <w:r w:rsidRPr="009C0BEE">
                    <w:rPr>
                      <w:b/>
                      <w:bCs/>
                      <w:i/>
                      <w:iCs/>
                    </w:rPr>
                    <w:t>Modifikovan XELIRI +</w:t>
                  </w:r>
                </w:p>
                <w:p w:rsidR="008B3357" w:rsidRPr="009C0BEE" w:rsidRDefault="008B3357" w:rsidP="0023431E">
                  <w:pPr>
                    <w:autoSpaceDE w:val="0"/>
                    <w:autoSpaceDN w:val="0"/>
                    <w:adjustRightInd w:val="0"/>
                    <w:rPr>
                      <w:b/>
                      <w:bCs/>
                      <w:i/>
                      <w:iCs/>
                    </w:rPr>
                  </w:pPr>
                  <w:r w:rsidRPr="009C0BEE">
                    <w:rPr>
                      <w:b/>
                      <w:bCs/>
                      <w:i/>
                      <w:iCs/>
                    </w:rPr>
                    <w:t>bevacizumab</w:t>
                  </w:r>
                </w:p>
                <w:p w:rsidR="00D97F96" w:rsidRPr="009C0BEE" w:rsidRDefault="008B3357" w:rsidP="0023431E">
                  <w:pPr>
                    <w:pStyle w:val="Header"/>
                    <w:tabs>
                      <w:tab w:val="left" w:pos="284"/>
                    </w:tabs>
                    <w:rPr>
                      <w:color w:val="FF0000"/>
                      <w:sz w:val="22"/>
                      <w:szCs w:val="22"/>
                    </w:rPr>
                  </w:pPr>
                  <w:r w:rsidRPr="009C0BEE">
                    <w:rPr>
                      <w:b/>
                      <w:bCs/>
                      <w:i/>
                      <w:iCs/>
                    </w:rPr>
                    <w:t>(ITT: N= 120)</w:t>
                  </w:r>
                </w:p>
              </w:tc>
              <w:tc>
                <w:tcPr>
                  <w:tcW w:w="2490" w:type="dxa"/>
                  <w:shd w:val="clear" w:color="auto" w:fill="auto"/>
                </w:tcPr>
                <w:p w:rsidR="008B3357" w:rsidRPr="009C0BEE" w:rsidRDefault="008B3357" w:rsidP="0023431E">
                  <w:pPr>
                    <w:autoSpaceDE w:val="0"/>
                    <w:autoSpaceDN w:val="0"/>
                    <w:adjustRightInd w:val="0"/>
                    <w:rPr>
                      <w:b/>
                      <w:bCs/>
                      <w:i/>
                      <w:iCs/>
                    </w:rPr>
                  </w:pPr>
                  <w:r w:rsidRPr="009C0BEE">
                    <w:rPr>
                      <w:b/>
                      <w:bCs/>
                      <w:i/>
                      <w:iCs/>
                    </w:rPr>
                    <w:t>Koeficijent rizika</w:t>
                  </w:r>
                </w:p>
                <w:p w:rsidR="008B3357" w:rsidRPr="009C0BEE" w:rsidRDefault="008B3357" w:rsidP="0023431E">
                  <w:pPr>
                    <w:autoSpaceDE w:val="0"/>
                    <w:autoSpaceDN w:val="0"/>
                    <w:adjustRightInd w:val="0"/>
                    <w:rPr>
                      <w:b/>
                      <w:bCs/>
                      <w:i/>
                      <w:iCs/>
                    </w:rPr>
                  </w:pPr>
                  <w:r w:rsidRPr="009C0BEE">
                    <w:rPr>
                      <w:b/>
                      <w:bCs/>
                      <w:i/>
                      <w:iCs/>
                    </w:rPr>
                    <w:t>95% CI</w:t>
                  </w:r>
                </w:p>
                <w:p w:rsidR="00D97F96" w:rsidRPr="009C0BEE" w:rsidRDefault="008B3357" w:rsidP="0023431E">
                  <w:pPr>
                    <w:pStyle w:val="Header"/>
                    <w:tabs>
                      <w:tab w:val="left" w:pos="284"/>
                    </w:tabs>
                    <w:rPr>
                      <w:color w:val="FF0000"/>
                      <w:sz w:val="22"/>
                      <w:szCs w:val="22"/>
                    </w:rPr>
                  </w:pPr>
                  <w:r w:rsidRPr="009C0BEE">
                    <w:rPr>
                      <w:b/>
                      <w:bCs/>
                      <w:i/>
                      <w:iCs/>
                    </w:rPr>
                    <w:t>P-vrijednost</w:t>
                  </w:r>
                </w:p>
              </w:tc>
            </w:tr>
            <w:tr w:rsidR="00F81CA2" w:rsidRPr="009C0BEE" w:rsidTr="005E7E41">
              <w:tc>
                <w:tcPr>
                  <w:tcW w:w="9957" w:type="dxa"/>
                  <w:gridSpan w:val="4"/>
                  <w:shd w:val="clear" w:color="auto" w:fill="auto"/>
                </w:tcPr>
                <w:p w:rsidR="00F81CA2" w:rsidRPr="009C0BEE" w:rsidRDefault="00F81CA2" w:rsidP="0023431E">
                  <w:pPr>
                    <w:pStyle w:val="Header"/>
                    <w:tabs>
                      <w:tab w:val="left" w:pos="284"/>
                    </w:tabs>
                    <w:rPr>
                      <w:i/>
                      <w:sz w:val="22"/>
                      <w:szCs w:val="22"/>
                    </w:rPr>
                  </w:pPr>
                  <w:r w:rsidRPr="009C0BEE">
                    <w:rPr>
                      <w:i/>
                      <w:sz w:val="22"/>
                      <w:szCs w:val="22"/>
                    </w:rPr>
                    <w:t>Preživljavanje bez progresije bolesti nakon 6 mjeseci</w:t>
                  </w:r>
                </w:p>
              </w:tc>
            </w:tr>
            <w:tr w:rsidR="00D97F96" w:rsidRPr="009C0BEE" w:rsidTr="005E7E41">
              <w:tc>
                <w:tcPr>
                  <w:tcW w:w="2489" w:type="dxa"/>
                  <w:shd w:val="clear" w:color="auto" w:fill="auto"/>
                </w:tcPr>
                <w:p w:rsidR="00F81CA2" w:rsidRPr="009C0BEE" w:rsidRDefault="00F81CA2" w:rsidP="0023431E">
                  <w:pPr>
                    <w:autoSpaceDE w:val="0"/>
                    <w:autoSpaceDN w:val="0"/>
                    <w:adjustRightInd w:val="0"/>
                    <w:rPr>
                      <w:b/>
                      <w:bCs/>
                    </w:rPr>
                  </w:pPr>
                  <w:r w:rsidRPr="009C0BEE">
                    <w:rPr>
                      <w:b/>
                      <w:bCs/>
                    </w:rPr>
                    <w:t>ITT</w:t>
                  </w:r>
                </w:p>
                <w:p w:rsidR="00D97F96" w:rsidRPr="009C0BEE" w:rsidRDefault="00F81CA2" w:rsidP="0023431E">
                  <w:pPr>
                    <w:pStyle w:val="Header"/>
                    <w:tabs>
                      <w:tab w:val="left" w:pos="284"/>
                    </w:tabs>
                    <w:rPr>
                      <w:color w:val="FF0000"/>
                      <w:sz w:val="22"/>
                      <w:szCs w:val="22"/>
                    </w:rPr>
                  </w:pPr>
                  <w:r w:rsidRPr="009C0BEE">
                    <w:rPr>
                      <w:b/>
                      <w:bCs/>
                    </w:rPr>
                    <w:t>95% CI</w:t>
                  </w:r>
                </w:p>
              </w:tc>
              <w:tc>
                <w:tcPr>
                  <w:tcW w:w="2489" w:type="dxa"/>
                  <w:shd w:val="clear" w:color="auto" w:fill="auto"/>
                </w:tcPr>
                <w:p w:rsidR="00F81CA2" w:rsidRPr="009C0BEE" w:rsidRDefault="00F81CA2" w:rsidP="0023431E">
                  <w:pPr>
                    <w:autoSpaceDE w:val="0"/>
                    <w:autoSpaceDN w:val="0"/>
                    <w:adjustRightInd w:val="0"/>
                    <w:jc w:val="center"/>
                    <w:rPr>
                      <w:b/>
                      <w:bCs/>
                      <w:i/>
                      <w:iCs/>
                    </w:rPr>
                  </w:pPr>
                  <w:r w:rsidRPr="009C0BEE">
                    <w:rPr>
                      <w:b/>
                      <w:bCs/>
                      <w:i/>
                      <w:iCs/>
                    </w:rPr>
                    <w:t>76%</w:t>
                  </w:r>
                </w:p>
                <w:p w:rsidR="00D97F96" w:rsidRPr="009C0BEE" w:rsidRDefault="00F81CA2" w:rsidP="0023431E">
                  <w:pPr>
                    <w:pStyle w:val="Header"/>
                    <w:tabs>
                      <w:tab w:val="left" w:pos="284"/>
                    </w:tabs>
                    <w:jc w:val="center"/>
                    <w:rPr>
                      <w:color w:val="FF0000"/>
                      <w:sz w:val="22"/>
                      <w:szCs w:val="22"/>
                    </w:rPr>
                  </w:pPr>
                  <w:r w:rsidRPr="009C0BEE">
                    <w:rPr>
                      <w:b/>
                      <w:bCs/>
                      <w:i/>
                      <w:iCs/>
                    </w:rPr>
                    <w:t>69 - 84%</w:t>
                  </w:r>
                </w:p>
              </w:tc>
              <w:tc>
                <w:tcPr>
                  <w:tcW w:w="2489" w:type="dxa"/>
                  <w:shd w:val="clear" w:color="auto" w:fill="auto"/>
                </w:tcPr>
                <w:p w:rsidR="00F81CA2" w:rsidRPr="009C0BEE" w:rsidRDefault="00F81CA2" w:rsidP="0023431E">
                  <w:pPr>
                    <w:autoSpaceDE w:val="0"/>
                    <w:autoSpaceDN w:val="0"/>
                    <w:adjustRightInd w:val="0"/>
                    <w:jc w:val="center"/>
                    <w:rPr>
                      <w:b/>
                      <w:bCs/>
                      <w:i/>
                      <w:iCs/>
                    </w:rPr>
                  </w:pPr>
                  <w:r w:rsidRPr="009C0BEE">
                    <w:rPr>
                      <w:b/>
                      <w:bCs/>
                      <w:i/>
                      <w:iCs/>
                    </w:rPr>
                    <w:t>84%</w:t>
                  </w:r>
                </w:p>
                <w:p w:rsidR="00D97F96" w:rsidRPr="009C0BEE" w:rsidRDefault="00F81CA2" w:rsidP="0023431E">
                  <w:pPr>
                    <w:pStyle w:val="Header"/>
                    <w:tabs>
                      <w:tab w:val="left" w:pos="284"/>
                    </w:tabs>
                    <w:jc w:val="center"/>
                    <w:rPr>
                      <w:color w:val="FF0000"/>
                      <w:sz w:val="22"/>
                      <w:szCs w:val="22"/>
                    </w:rPr>
                  </w:pPr>
                  <w:r w:rsidRPr="009C0BEE">
                    <w:rPr>
                      <w:b/>
                      <w:bCs/>
                      <w:i/>
                      <w:iCs/>
                    </w:rPr>
                    <w:t>77 - 90%</w:t>
                  </w:r>
                </w:p>
              </w:tc>
              <w:tc>
                <w:tcPr>
                  <w:tcW w:w="2490" w:type="dxa"/>
                  <w:shd w:val="clear" w:color="auto" w:fill="auto"/>
                </w:tcPr>
                <w:p w:rsidR="00D97F96" w:rsidRPr="009C0BEE" w:rsidRDefault="00F81CA2" w:rsidP="0023431E">
                  <w:pPr>
                    <w:pStyle w:val="Header"/>
                    <w:tabs>
                      <w:tab w:val="left" w:pos="284"/>
                    </w:tabs>
                    <w:ind w:firstLine="720"/>
                    <w:rPr>
                      <w:color w:val="FF0000"/>
                      <w:sz w:val="22"/>
                      <w:szCs w:val="22"/>
                    </w:rPr>
                  </w:pPr>
                  <w:r w:rsidRPr="009C0BEE">
                    <w:rPr>
                      <w:b/>
                      <w:bCs/>
                      <w:i/>
                      <w:iCs/>
                    </w:rPr>
                    <w:t xml:space="preserve">        -</w:t>
                  </w:r>
                </w:p>
              </w:tc>
            </w:tr>
            <w:tr w:rsidR="00044469" w:rsidRPr="009C0BEE" w:rsidTr="005E7E41">
              <w:tc>
                <w:tcPr>
                  <w:tcW w:w="9957" w:type="dxa"/>
                  <w:gridSpan w:val="4"/>
                  <w:shd w:val="clear" w:color="auto" w:fill="auto"/>
                </w:tcPr>
                <w:p w:rsidR="00044469" w:rsidRPr="009C0BEE" w:rsidRDefault="00044469" w:rsidP="0023431E">
                  <w:pPr>
                    <w:pStyle w:val="Header"/>
                    <w:tabs>
                      <w:tab w:val="left" w:pos="284"/>
                    </w:tabs>
                    <w:rPr>
                      <w:i/>
                      <w:sz w:val="22"/>
                      <w:szCs w:val="22"/>
                    </w:rPr>
                  </w:pPr>
                  <w:r w:rsidRPr="009C0BEE">
                    <w:rPr>
                      <w:i/>
                      <w:sz w:val="22"/>
                      <w:szCs w:val="22"/>
                    </w:rPr>
                    <w:t>Medijana preživljavanja</w:t>
                  </w:r>
                  <w:r w:rsidR="00686337" w:rsidRPr="009C0BEE">
                    <w:rPr>
                      <w:i/>
                      <w:sz w:val="22"/>
                      <w:szCs w:val="22"/>
                    </w:rPr>
                    <w:t xml:space="preserve"> bez progresije bolesti</w:t>
                  </w:r>
                </w:p>
              </w:tc>
            </w:tr>
            <w:tr w:rsidR="00D97F96" w:rsidRPr="009C0BEE" w:rsidTr="005E7E41">
              <w:tc>
                <w:tcPr>
                  <w:tcW w:w="2489" w:type="dxa"/>
                  <w:shd w:val="clear" w:color="auto" w:fill="auto"/>
                </w:tcPr>
                <w:p w:rsidR="003C2615" w:rsidRPr="009C0BEE" w:rsidRDefault="003C2615" w:rsidP="0023431E">
                  <w:pPr>
                    <w:autoSpaceDE w:val="0"/>
                    <w:autoSpaceDN w:val="0"/>
                    <w:adjustRightInd w:val="0"/>
                    <w:rPr>
                      <w:b/>
                      <w:bCs/>
                    </w:rPr>
                  </w:pPr>
                  <w:r w:rsidRPr="009C0BEE">
                    <w:rPr>
                      <w:b/>
                      <w:bCs/>
                    </w:rPr>
                    <w:t>ITT</w:t>
                  </w:r>
                </w:p>
                <w:p w:rsidR="00D97F96" w:rsidRPr="009C0BEE" w:rsidRDefault="003C2615" w:rsidP="0023431E">
                  <w:pPr>
                    <w:pStyle w:val="Header"/>
                    <w:tabs>
                      <w:tab w:val="left" w:pos="284"/>
                    </w:tabs>
                    <w:rPr>
                      <w:color w:val="FF0000"/>
                      <w:sz w:val="22"/>
                      <w:szCs w:val="22"/>
                    </w:rPr>
                  </w:pPr>
                  <w:r w:rsidRPr="009C0BEE">
                    <w:rPr>
                      <w:b/>
                      <w:bCs/>
                    </w:rPr>
                    <w:t>95% CI</w:t>
                  </w:r>
                </w:p>
              </w:tc>
              <w:tc>
                <w:tcPr>
                  <w:tcW w:w="2489" w:type="dxa"/>
                  <w:shd w:val="clear" w:color="auto" w:fill="auto"/>
                </w:tcPr>
                <w:p w:rsidR="00D97F96" w:rsidRPr="009C0BEE" w:rsidRDefault="003C2615" w:rsidP="0023431E">
                  <w:pPr>
                    <w:pStyle w:val="Header"/>
                    <w:tabs>
                      <w:tab w:val="left" w:pos="284"/>
                    </w:tabs>
                    <w:jc w:val="center"/>
                    <w:rPr>
                      <w:sz w:val="22"/>
                      <w:szCs w:val="22"/>
                    </w:rPr>
                  </w:pPr>
                  <w:r w:rsidRPr="009C0BEE">
                    <w:rPr>
                      <w:sz w:val="22"/>
                      <w:szCs w:val="22"/>
                    </w:rPr>
                    <w:t>10,4 mjeseca</w:t>
                  </w:r>
                </w:p>
                <w:p w:rsidR="003C2615" w:rsidRPr="009C0BEE" w:rsidRDefault="003C2615" w:rsidP="00433C6C">
                  <w:pPr>
                    <w:pStyle w:val="Header"/>
                    <w:tabs>
                      <w:tab w:val="left" w:pos="284"/>
                    </w:tabs>
                    <w:jc w:val="center"/>
                    <w:rPr>
                      <w:color w:val="FF0000"/>
                      <w:sz w:val="22"/>
                      <w:szCs w:val="22"/>
                    </w:rPr>
                  </w:pPr>
                  <w:r w:rsidRPr="009C0BEE">
                    <w:rPr>
                      <w:sz w:val="22"/>
                      <w:szCs w:val="22"/>
                    </w:rPr>
                    <w:t>9</w:t>
                  </w:r>
                  <w:r w:rsidR="00433C6C" w:rsidRPr="009C0BEE">
                    <w:rPr>
                      <w:sz w:val="22"/>
                      <w:szCs w:val="22"/>
                    </w:rPr>
                    <w:t>,</w:t>
                  </w:r>
                  <w:r w:rsidRPr="009C0BEE">
                    <w:rPr>
                      <w:sz w:val="22"/>
                      <w:szCs w:val="22"/>
                    </w:rPr>
                    <w:t>0-12</w:t>
                  </w:r>
                  <w:r w:rsidR="00433C6C" w:rsidRPr="009C0BEE">
                    <w:rPr>
                      <w:sz w:val="22"/>
                      <w:szCs w:val="22"/>
                    </w:rPr>
                    <w:t>,</w:t>
                  </w:r>
                  <w:r w:rsidRPr="009C0BEE">
                    <w:rPr>
                      <w:sz w:val="22"/>
                      <w:szCs w:val="22"/>
                    </w:rPr>
                    <w:t>0</w:t>
                  </w:r>
                </w:p>
              </w:tc>
              <w:tc>
                <w:tcPr>
                  <w:tcW w:w="2489" w:type="dxa"/>
                  <w:shd w:val="clear" w:color="auto" w:fill="auto"/>
                </w:tcPr>
                <w:p w:rsidR="003C2615" w:rsidRPr="009C0BEE" w:rsidRDefault="00D90500" w:rsidP="0023431E">
                  <w:pPr>
                    <w:pStyle w:val="Header"/>
                    <w:tabs>
                      <w:tab w:val="left" w:pos="284"/>
                    </w:tabs>
                    <w:jc w:val="center"/>
                    <w:rPr>
                      <w:sz w:val="22"/>
                      <w:szCs w:val="22"/>
                    </w:rPr>
                  </w:pPr>
                  <w:r w:rsidRPr="009C0BEE">
                    <w:rPr>
                      <w:sz w:val="22"/>
                      <w:szCs w:val="22"/>
                    </w:rPr>
                    <w:t>12</w:t>
                  </w:r>
                  <w:r w:rsidR="00433C6C" w:rsidRPr="009C0BEE">
                    <w:rPr>
                      <w:sz w:val="22"/>
                      <w:szCs w:val="22"/>
                    </w:rPr>
                    <w:t>,</w:t>
                  </w:r>
                  <w:r w:rsidR="003C2615" w:rsidRPr="009C0BEE">
                    <w:rPr>
                      <w:sz w:val="22"/>
                      <w:szCs w:val="22"/>
                    </w:rPr>
                    <w:t>1 mjesec</w:t>
                  </w:r>
                </w:p>
                <w:p w:rsidR="00D97F96" w:rsidRPr="009C0BEE" w:rsidRDefault="003C2615" w:rsidP="00433C6C">
                  <w:pPr>
                    <w:pStyle w:val="Header"/>
                    <w:tabs>
                      <w:tab w:val="left" w:pos="284"/>
                    </w:tabs>
                    <w:jc w:val="center"/>
                    <w:rPr>
                      <w:color w:val="FF0000"/>
                      <w:sz w:val="22"/>
                      <w:szCs w:val="22"/>
                    </w:rPr>
                  </w:pPr>
                  <w:r w:rsidRPr="009C0BEE">
                    <w:rPr>
                      <w:sz w:val="22"/>
                      <w:szCs w:val="22"/>
                    </w:rPr>
                    <w:t>10</w:t>
                  </w:r>
                  <w:r w:rsidR="00433C6C" w:rsidRPr="009C0BEE">
                    <w:rPr>
                      <w:sz w:val="22"/>
                      <w:szCs w:val="22"/>
                    </w:rPr>
                    <w:t>,</w:t>
                  </w:r>
                  <w:r w:rsidRPr="009C0BEE">
                    <w:rPr>
                      <w:sz w:val="22"/>
                      <w:szCs w:val="22"/>
                    </w:rPr>
                    <w:t>8 - 13</w:t>
                  </w:r>
                  <w:r w:rsidR="00433C6C" w:rsidRPr="009C0BEE">
                    <w:rPr>
                      <w:sz w:val="22"/>
                      <w:szCs w:val="22"/>
                    </w:rPr>
                    <w:t>,</w:t>
                  </w:r>
                  <w:r w:rsidRPr="009C0BEE">
                    <w:rPr>
                      <w:sz w:val="22"/>
                      <w:szCs w:val="22"/>
                    </w:rPr>
                    <w:t>2</w:t>
                  </w:r>
                </w:p>
              </w:tc>
              <w:tc>
                <w:tcPr>
                  <w:tcW w:w="2490" w:type="dxa"/>
                  <w:shd w:val="clear" w:color="auto" w:fill="auto"/>
                </w:tcPr>
                <w:p w:rsidR="003C2615" w:rsidRPr="009C0BEE" w:rsidRDefault="003C2615" w:rsidP="0023431E">
                  <w:pPr>
                    <w:pStyle w:val="Header"/>
                    <w:tabs>
                      <w:tab w:val="left" w:pos="284"/>
                    </w:tabs>
                    <w:jc w:val="center"/>
                    <w:rPr>
                      <w:sz w:val="22"/>
                      <w:szCs w:val="22"/>
                    </w:rPr>
                  </w:pPr>
                  <w:r w:rsidRPr="009C0BEE">
                    <w:rPr>
                      <w:sz w:val="22"/>
                      <w:szCs w:val="22"/>
                    </w:rPr>
                    <w:t>0,93</w:t>
                  </w:r>
                </w:p>
                <w:p w:rsidR="003C2615" w:rsidRPr="009C0BEE" w:rsidRDefault="00D90500" w:rsidP="0023431E">
                  <w:pPr>
                    <w:pStyle w:val="Header"/>
                    <w:tabs>
                      <w:tab w:val="left" w:pos="284"/>
                    </w:tabs>
                    <w:jc w:val="center"/>
                    <w:rPr>
                      <w:sz w:val="22"/>
                      <w:szCs w:val="22"/>
                    </w:rPr>
                  </w:pPr>
                  <w:r w:rsidRPr="009C0BEE">
                    <w:rPr>
                      <w:sz w:val="22"/>
                      <w:szCs w:val="22"/>
                    </w:rPr>
                    <w:t>0</w:t>
                  </w:r>
                  <w:r w:rsidR="00433C6C" w:rsidRPr="009C0BEE">
                    <w:rPr>
                      <w:sz w:val="22"/>
                      <w:szCs w:val="22"/>
                    </w:rPr>
                    <w:t>,</w:t>
                  </w:r>
                  <w:r w:rsidRPr="009C0BEE">
                    <w:rPr>
                      <w:sz w:val="22"/>
                      <w:szCs w:val="22"/>
                    </w:rPr>
                    <w:t>82 – 1</w:t>
                  </w:r>
                  <w:r w:rsidR="00433C6C" w:rsidRPr="009C0BEE">
                    <w:rPr>
                      <w:sz w:val="22"/>
                      <w:szCs w:val="22"/>
                    </w:rPr>
                    <w:t>,</w:t>
                  </w:r>
                  <w:r w:rsidR="003C2615" w:rsidRPr="009C0BEE">
                    <w:rPr>
                      <w:sz w:val="22"/>
                      <w:szCs w:val="22"/>
                    </w:rPr>
                    <w:t>07</w:t>
                  </w:r>
                </w:p>
                <w:p w:rsidR="00D97F96" w:rsidRPr="009C0BEE" w:rsidRDefault="00D90500" w:rsidP="00433C6C">
                  <w:pPr>
                    <w:pStyle w:val="Header"/>
                    <w:tabs>
                      <w:tab w:val="left" w:pos="284"/>
                    </w:tabs>
                    <w:jc w:val="center"/>
                    <w:rPr>
                      <w:color w:val="FF0000"/>
                      <w:sz w:val="22"/>
                      <w:szCs w:val="22"/>
                    </w:rPr>
                  </w:pPr>
                  <w:r w:rsidRPr="009C0BEE">
                    <w:rPr>
                      <w:sz w:val="22"/>
                      <w:szCs w:val="22"/>
                    </w:rPr>
                    <w:t>P=0</w:t>
                  </w:r>
                  <w:r w:rsidR="00433C6C" w:rsidRPr="009C0BEE">
                    <w:rPr>
                      <w:sz w:val="22"/>
                      <w:szCs w:val="22"/>
                    </w:rPr>
                    <w:t>,</w:t>
                  </w:r>
                  <w:r w:rsidR="003C2615" w:rsidRPr="009C0BEE">
                    <w:rPr>
                      <w:sz w:val="22"/>
                      <w:szCs w:val="22"/>
                    </w:rPr>
                    <w:t>30</w:t>
                  </w:r>
                </w:p>
              </w:tc>
            </w:tr>
            <w:tr w:rsidR="00686337" w:rsidRPr="009C0BEE" w:rsidTr="005E7E41">
              <w:tc>
                <w:tcPr>
                  <w:tcW w:w="9957" w:type="dxa"/>
                  <w:gridSpan w:val="4"/>
                  <w:shd w:val="clear" w:color="auto" w:fill="auto"/>
                </w:tcPr>
                <w:p w:rsidR="00686337" w:rsidRPr="009C0BEE" w:rsidRDefault="00686337" w:rsidP="0023431E">
                  <w:pPr>
                    <w:pStyle w:val="Header"/>
                    <w:tabs>
                      <w:tab w:val="left" w:pos="284"/>
                    </w:tabs>
                    <w:rPr>
                      <w:i/>
                      <w:color w:val="FF0000"/>
                      <w:sz w:val="22"/>
                      <w:szCs w:val="22"/>
                    </w:rPr>
                  </w:pPr>
                  <w:r w:rsidRPr="009C0BEE">
                    <w:rPr>
                      <w:i/>
                      <w:sz w:val="22"/>
                      <w:szCs w:val="22"/>
                    </w:rPr>
                    <w:t>Medijana ukupnog preživljavanja</w:t>
                  </w:r>
                </w:p>
              </w:tc>
            </w:tr>
            <w:tr w:rsidR="00D97F96" w:rsidRPr="009C0BEE" w:rsidTr="005E7E41">
              <w:tc>
                <w:tcPr>
                  <w:tcW w:w="2489" w:type="dxa"/>
                  <w:shd w:val="clear" w:color="auto" w:fill="auto"/>
                </w:tcPr>
                <w:p w:rsidR="003C2615" w:rsidRPr="009C0BEE" w:rsidRDefault="003C2615" w:rsidP="0023431E">
                  <w:pPr>
                    <w:autoSpaceDE w:val="0"/>
                    <w:autoSpaceDN w:val="0"/>
                    <w:adjustRightInd w:val="0"/>
                    <w:rPr>
                      <w:b/>
                      <w:bCs/>
                    </w:rPr>
                  </w:pPr>
                  <w:r w:rsidRPr="009C0BEE">
                    <w:rPr>
                      <w:b/>
                      <w:bCs/>
                    </w:rPr>
                    <w:t>ITT</w:t>
                  </w:r>
                </w:p>
                <w:p w:rsidR="00D97F96" w:rsidRPr="009C0BEE" w:rsidRDefault="003C2615" w:rsidP="0023431E">
                  <w:pPr>
                    <w:pStyle w:val="Header"/>
                    <w:tabs>
                      <w:tab w:val="left" w:pos="284"/>
                    </w:tabs>
                    <w:rPr>
                      <w:color w:val="FF0000"/>
                      <w:sz w:val="22"/>
                      <w:szCs w:val="22"/>
                    </w:rPr>
                  </w:pPr>
                  <w:r w:rsidRPr="009C0BEE">
                    <w:rPr>
                      <w:b/>
                      <w:bCs/>
                    </w:rPr>
                    <w:t>95% CI</w:t>
                  </w:r>
                </w:p>
              </w:tc>
              <w:tc>
                <w:tcPr>
                  <w:tcW w:w="2489" w:type="dxa"/>
                  <w:shd w:val="clear" w:color="auto" w:fill="auto"/>
                </w:tcPr>
                <w:p w:rsidR="003C2615" w:rsidRPr="009C0BEE" w:rsidRDefault="00D90500" w:rsidP="0023431E">
                  <w:pPr>
                    <w:pStyle w:val="Header"/>
                    <w:tabs>
                      <w:tab w:val="left" w:pos="284"/>
                    </w:tabs>
                    <w:jc w:val="center"/>
                    <w:rPr>
                      <w:sz w:val="22"/>
                      <w:szCs w:val="22"/>
                    </w:rPr>
                  </w:pPr>
                  <w:r w:rsidRPr="009C0BEE">
                    <w:rPr>
                      <w:sz w:val="22"/>
                      <w:szCs w:val="22"/>
                    </w:rPr>
                    <w:t>24</w:t>
                  </w:r>
                  <w:r w:rsidR="00433C6C" w:rsidRPr="009C0BEE">
                    <w:rPr>
                      <w:sz w:val="22"/>
                      <w:szCs w:val="22"/>
                    </w:rPr>
                    <w:t>,</w:t>
                  </w:r>
                  <w:r w:rsidR="003C2615" w:rsidRPr="009C0BEE">
                    <w:rPr>
                      <w:sz w:val="22"/>
                      <w:szCs w:val="22"/>
                    </w:rPr>
                    <w:t>4 mjeseca</w:t>
                  </w:r>
                </w:p>
                <w:p w:rsidR="00D97F96" w:rsidRPr="009C0BEE" w:rsidRDefault="00D90500" w:rsidP="00433C6C">
                  <w:pPr>
                    <w:pStyle w:val="Header"/>
                    <w:tabs>
                      <w:tab w:val="left" w:pos="284"/>
                    </w:tabs>
                    <w:jc w:val="center"/>
                    <w:rPr>
                      <w:color w:val="FF0000"/>
                      <w:sz w:val="22"/>
                      <w:szCs w:val="22"/>
                    </w:rPr>
                  </w:pPr>
                  <w:r w:rsidRPr="009C0BEE">
                    <w:rPr>
                      <w:sz w:val="22"/>
                      <w:szCs w:val="22"/>
                    </w:rPr>
                    <w:t>19</w:t>
                  </w:r>
                  <w:r w:rsidR="00433C6C" w:rsidRPr="009C0BEE">
                    <w:rPr>
                      <w:sz w:val="22"/>
                      <w:szCs w:val="22"/>
                    </w:rPr>
                    <w:t>,</w:t>
                  </w:r>
                  <w:r w:rsidRPr="009C0BEE">
                    <w:rPr>
                      <w:sz w:val="22"/>
                      <w:szCs w:val="22"/>
                    </w:rPr>
                    <w:t>3 – 30</w:t>
                  </w:r>
                  <w:r w:rsidR="00433C6C" w:rsidRPr="009C0BEE">
                    <w:rPr>
                      <w:sz w:val="22"/>
                      <w:szCs w:val="22"/>
                    </w:rPr>
                    <w:t>,</w:t>
                  </w:r>
                  <w:r w:rsidR="003C2615" w:rsidRPr="009C0BEE">
                    <w:rPr>
                      <w:sz w:val="22"/>
                      <w:szCs w:val="22"/>
                    </w:rPr>
                    <w:t>7</w:t>
                  </w:r>
                </w:p>
              </w:tc>
              <w:tc>
                <w:tcPr>
                  <w:tcW w:w="2489" w:type="dxa"/>
                  <w:shd w:val="clear" w:color="auto" w:fill="auto"/>
                </w:tcPr>
                <w:p w:rsidR="003C2615" w:rsidRPr="009C0BEE" w:rsidRDefault="00D90500" w:rsidP="0023431E">
                  <w:pPr>
                    <w:pStyle w:val="Header"/>
                    <w:tabs>
                      <w:tab w:val="left" w:pos="284"/>
                    </w:tabs>
                    <w:jc w:val="center"/>
                    <w:rPr>
                      <w:sz w:val="22"/>
                      <w:szCs w:val="22"/>
                    </w:rPr>
                  </w:pPr>
                  <w:r w:rsidRPr="009C0BEE">
                    <w:rPr>
                      <w:sz w:val="22"/>
                      <w:szCs w:val="22"/>
                    </w:rPr>
                    <w:t>25</w:t>
                  </w:r>
                  <w:r w:rsidR="00433C6C" w:rsidRPr="009C0BEE">
                    <w:rPr>
                      <w:sz w:val="22"/>
                      <w:szCs w:val="22"/>
                    </w:rPr>
                    <w:t>,</w:t>
                  </w:r>
                  <w:r w:rsidR="003C2615" w:rsidRPr="009C0BEE">
                    <w:rPr>
                      <w:sz w:val="22"/>
                      <w:szCs w:val="22"/>
                    </w:rPr>
                    <w:t>5 mjeseci</w:t>
                  </w:r>
                </w:p>
                <w:p w:rsidR="00D97F96" w:rsidRPr="009C0BEE" w:rsidRDefault="00D90500" w:rsidP="00433C6C">
                  <w:pPr>
                    <w:pStyle w:val="Header"/>
                    <w:tabs>
                      <w:tab w:val="left" w:pos="284"/>
                    </w:tabs>
                    <w:jc w:val="center"/>
                    <w:rPr>
                      <w:color w:val="FF0000"/>
                      <w:sz w:val="22"/>
                      <w:szCs w:val="22"/>
                    </w:rPr>
                  </w:pPr>
                  <w:r w:rsidRPr="009C0BEE">
                    <w:rPr>
                      <w:sz w:val="22"/>
                      <w:szCs w:val="22"/>
                    </w:rPr>
                    <w:t>21</w:t>
                  </w:r>
                  <w:r w:rsidR="00433C6C" w:rsidRPr="009C0BEE">
                    <w:rPr>
                      <w:sz w:val="22"/>
                      <w:szCs w:val="22"/>
                    </w:rPr>
                    <w:t>,</w:t>
                  </w:r>
                  <w:r w:rsidR="003C2615" w:rsidRPr="009C0BEE">
                    <w:rPr>
                      <w:sz w:val="22"/>
                      <w:szCs w:val="22"/>
                    </w:rPr>
                    <w:t>0 – 31</w:t>
                  </w:r>
                  <w:r w:rsidR="00433C6C" w:rsidRPr="009C0BEE">
                    <w:rPr>
                      <w:sz w:val="22"/>
                      <w:szCs w:val="22"/>
                    </w:rPr>
                    <w:t>,</w:t>
                  </w:r>
                  <w:r w:rsidR="003C2615" w:rsidRPr="009C0BEE">
                    <w:rPr>
                      <w:sz w:val="22"/>
                      <w:szCs w:val="22"/>
                    </w:rPr>
                    <w:t>0</w:t>
                  </w:r>
                </w:p>
              </w:tc>
              <w:tc>
                <w:tcPr>
                  <w:tcW w:w="2490" w:type="dxa"/>
                  <w:shd w:val="clear" w:color="auto" w:fill="auto"/>
                </w:tcPr>
                <w:p w:rsidR="003C2615" w:rsidRPr="009C0BEE" w:rsidRDefault="003C2615" w:rsidP="0023431E">
                  <w:pPr>
                    <w:pStyle w:val="Header"/>
                    <w:tabs>
                      <w:tab w:val="left" w:pos="284"/>
                    </w:tabs>
                    <w:jc w:val="center"/>
                    <w:rPr>
                      <w:sz w:val="22"/>
                      <w:szCs w:val="22"/>
                    </w:rPr>
                  </w:pPr>
                  <w:r w:rsidRPr="009C0BEE">
                    <w:rPr>
                      <w:sz w:val="22"/>
                      <w:szCs w:val="22"/>
                    </w:rPr>
                    <w:t>0,90</w:t>
                  </w:r>
                </w:p>
                <w:p w:rsidR="003C2615" w:rsidRPr="009C0BEE" w:rsidRDefault="00D90500" w:rsidP="0023431E">
                  <w:pPr>
                    <w:pStyle w:val="Header"/>
                    <w:tabs>
                      <w:tab w:val="left" w:pos="284"/>
                    </w:tabs>
                    <w:jc w:val="center"/>
                    <w:rPr>
                      <w:sz w:val="22"/>
                      <w:szCs w:val="22"/>
                    </w:rPr>
                  </w:pPr>
                  <w:r w:rsidRPr="009C0BEE">
                    <w:rPr>
                      <w:sz w:val="22"/>
                      <w:szCs w:val="22"/>
                    </w:rPr>
                    <w:t>0</w:t>
                  </w:r>
                  <w:r w:rsidR="00433C6C" w:rsidRPr="009C0BEE">
                    <w:rPr>
                      <w:sz w:val="22"/>
                      <w:szCs w:val="22"/>
                    </w:rPr>
                    <w:t>,</w:t>
                  </w:r>
                  <w:r w:rsidRPr="009C0BEE">
                    <w:rPr>
                      <w:sz w:val="22"/>
                      <w:szCs w:val="22"/>
                    </w:rPr>
                    <w:t>68 – 1</w:t>
                  </w:r>
                  <w:r w:rsidR="00433C6C" w:rsidRPr="009C0BEE">
                    <w:rPr>
                      <w:sz w:val="22"/>
                      <w:szCs w:val="22"/>
                    </w:rPr>
                    <w:t>,</w:t>
                  </w:r>
                  <w:r w:rsidR="003C2615" w:rsidRPr="009C0BEE">
                    <w:rPr>
                      <w:sz w:val="22"/>
                      <w:szCs w:val="22"/>
                    </w:rPr>
                    <w:t>19</w:t>
                  </w:r>
                </w:p>
                <w:p w:rsidR="00D97F96" w:rsidRPr="009C0BEE" w:rsidRDefault="00D90500" w:rsidP="00433C6C">
                  <w:pPr>
                    <w:pStyle w:val="Header"/>
                    <w:tabs>
                      <w:tab w:val="left" w:pos="284"/>
                    </w:tabs>
                    <w:jc w:val="center"/>
                    <w:rPr>
                      <w:color w:val="FF0000"/>
                      <w:sz w:val="22"/>
                      <w:szCs w:val="22"/>
                    </w:rPr>
                  </w:pPr>
                  <w:r w:rsidRPr="009C0BEE">
                    <w:rPr>
                      <w:sz w:val="22"/>
                      <w:szCs w:val="22"/>
                    </w:rPr>
                    <w:t>P=0</w:t>
                  </w:r>
                  <w:r w:rsidR="00433C6C" w:rsidRPr="009C0BEE">
                    <w:rPr>
                      <w:sz w:val="22"/>
                      <w:szCs w:val="22"/>
                    </w:rPr>
                    <w:t>,</w:t>
                  </w:r>
                  <w:r w:rsidR="003C2615" w:rsidRPr="009C0BEE">
                    <w:rPr>
                      <w:sz w:val="22"/>
                      <w:szCs w:val="22"/>
                    </w:rPr>
                    <w:t>45</w:t>
                  </w:r>
                </w:p>
              </w:tc>
            </w:tr>
          </w:tbl>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
                <w:sz w:val="22"/>
                <w:szCs w:val="22"/>
                <w:u w:val="single"/>
              </w:rPr>
            </w:pPr>
            <w:r w:rsidRPr="009C0BEE">
              <w:rPr>
                <w:i/>
                <w:sz w:val="22"/>
                <w:szCs w:val="22"/>
                <w:u w:val="single"/>
              </w:rPr>
              <w:t xml:space="preserve">Kombinovana terapija u drugoj liniji </w:t>
            </w:r>
            <w:r w:rsidR="00223A73" w:rsidRPr="009C0BEE">
              <w:rPr>
                <w:i/>
                <w:sz w:val="22"/>
                <w:szCs w:val="22"/>
                <w:u w:val="single"/>
              </w:rPr>
              <w:t>liječenja</w:t>
            </w:r>
            <w:r w:rsidRPr="009C0BEE">
              <w:rPr>
                <w:i/>
                <w:sz w:val="22"/>
                <w:szCs w:val="22"/>
                <w:u w:val="single"/>
              </w:rPr>
              <w:t xml:space="preserve"> metastatskog kolorektalnog karcinoma</w:t>
            </w:r>
          </w:p>
          <w:p w:rsidR="00C6356D" w:rsidRPr="009C0BEE" w:rsidRDefault="00C6356D" w:rsidP="001A342B">
            <w:pPr>
              <w:pStyle w:val="Header"/>
              <w:tabs>
                <w:tab w:val="left" w:pos="284"/>
              </w:tabs>
              <w:jc w:val="both"/>
              <w:rPr>
                <w:sz w:val="22"/>
                <w:szCs w:val="22"/>
              </w:rPr>
            </w:pPr>
            <w:r w:rsidRPr="009C0BEE">
              <w:rPr>
                <w:sz w:val="22"/>
                <w:szCs w:val="22"/>
              </w:rPr>
              <w:t xml:space="preserve">Podaci iz </w:t>
            </w:r>
            <w:r w:rsidR="00CF3C98" w:rsidRPr="009C0BEE">
              <w:rPr>
                <w:sz w:val="22"/>
                <w:szCs w:val="22"/>
              </w:rPr>
              <w:t>jedne multicentrične, randomizov</w:t>
            </w:r>
            <w:r w:rsidRPr="009C0BEE">
              <w:rPr>
                <w:sz w:val="22"/>
                <w:szCs w:val="22"/>
              </w:rPr>
              <w:t xml:space="preserve">ane kontrolisane studije faze III (NO16967) podržavaju upotrebu </w:t>
            </w:r>
            <w:r w:rsidR="00661B87" w:rsidRPr="009C0BEE">
              <w:rPr>
                <w:sz w:val="22"/>
                <w:szCs w:val="22"/>
              </w:rPr>
              <w:t>kapecitabina</w:t>
            </w:r>
            <w:r w:rsidRPr="009C0BEE">
              <w:rPr>
                <w:sz w:val="22"/>
                <w:szCs w:val="22"/>
              </w:rPr>
              <w:t xml:space="preserve">  u kombinaciji sa oksaliplatinom za drugu liniju  terapije metastatskog kolorektalnog karcinoma. U</w:t>
            </w:r>
            <w:r w:rsidRPr="009C0BEE">
              <w:rPr>
                <w:color w:val="FF0000"/>
                <w:sz w:val="22"/>
                <w:szCs w:val="22"/>
              </w:rPr>
              <w:t xml:space="preserve"> </w:t>
            </w:r>
            <w:r w:rsidRPr="009C0BEE">
              <w:rPr>
                <w:sz w:val="22"/>
                <w:szCs w:val="22"/>
              </w:rPr>
              <w:t>ovom ispitivanju, 627 pacijenata sa metastatskim kolorektalnim kancerom koji su prethodno primali irinotekan u</w:t>
            </w:r>
            <w:r w:rsidRPr="009C0BEE">
              <w:rPr>
                <w:color w:val="FF0000"/>
                <w:sz w:val="22"/>
                <w:szCs w:val="22"/>
              </w:rPr>
              <w:t xml:space="preserve"> </w:t>
            </w:r>
            <w:r w:rsidRPr="009C0BEE">
              <w:rPr>
                <w:sz w:val="22"/>
                <w:szCs w:val="22"/>
              </w:rPr>
              <w:t>kombinaciji sa režimom sa fluoropirimidinom ka</w:t>
            </w:r>
            <w:r w:rsidR="00CF3C98" w:rsidRPr="009C0BEE">
              <w:rPr>
                <w:sz w:val="22"/>
                <w:szCs w:val="22"/>
              </w:rPr>
              <w:t>o prvu liniju terapije randomizov</w:t>
            </w:r>
            <w:r w:rsidRPr="009C0BEE">
              <w:rPr>
                <w:sz w:val="22"/>
                <w:szCs w:val="22"/>
              </w:rPr>
              <w:t>ani su da primaju  terapije  XELOX ili  FOLFOX-4.</w:t>
            </w:r>
            <w:r w:rsidR="00314C38" w:rsidRPr="009C0BEE">
              <w:rPr>
                <w:sz w:val="22"/>
                <w:szCs w:val="22"/>
              </w:rPr>
              <w:t xml:space="preserve"> U Tabeli 6</w:t>
            </w:r>
            <w:r w:rsidRPr="009C0BEE">
              <w:rPr>
                <w:sz w:val="22"/>
                <w:szCs w:val="22"/>
              </w:rPr>
              <w:t xml:space="preserve"> prikazani su terapijski režimi XELOX i FOLFOX-4 (bez dodavanja placeba ili bevacizumaba). Pokazano je da XELOX nije inferiorniji u odnosu na FOLFOX-4 u smislu preživljavanja bez progresije u populaciji po protokolu i u </w:t>
            </w:r>
            <w:r w:rsidR="00064E9E" w:rsidRPr="009C0BEE">
              <w:rPr>
                <w:sz w:val="22"/>
                <w:szCs w:val="22"/>
              </w:rPr>
              <w:t>ITT populaciji (vidjeti Tabelu 9</w:t>
            </w:r>
            <w:r w:rsidRPr="009C0BEE">
              <w:rPr>
                <w:sz w:val="22"/>
                <w:szCs w:val="22"/>
              </w:rPr>
              <w:t>). Rezultati pokazuju da je XELOX ekvivalentan terapiji FOLFOX-4 u smislu ukupnog p</w:t>
            </w:r>
            <w:r w:rsidR="00064E9E" w:rsidRPr="009C0BEE">
              <w:rPr>
                <w:sz w:val="22"/>
                <w:szCs w:val="22"/>
              </w:rPr>
              <w:t>reživljavanja (vidjeti Tabelu 9</w:t>
            </w:r>
            <w:r w:rsidRPr="009C0BEE">
              <w:rPr>
                <w:sz w:val="22"/>
                <w:szCs w:val="22"/>
              </w:rPr>
              <w:t xml:space="preserve">). Srednje praćenje u vrijeme primarne analize u ITT populaciji iznosilo je 2,1 godinu. Podaci iz analiza poslije dodatnih 6 mjeseci </w:t>
            </w:r>
            <w:r w:rsidR="00064E9E" w:rsidRPr="009C0BEE">
              <w:rPr>
                <w:sz w:val="22"/>
                <w:szCs w:val="22"/>
              </w:rPr>
              <w:t>praćenja uključeni su u Tabelu 9</w:t>
            </w:r>
            <w:r w:rsidRPr="009C0BEE">
              <w:rPr>
                <w:sz w:val="22"/>
                <w:szCs w:val="22"/>
              </w:rPr>
              <w:t xml:space="preserve">. </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rPr>
            </w:pPr>
            <w:r w:rsidRPr="009C0BEE">
              <w:rPr>
                <w:sz w:val="22"/>
                <w:szCs w:val="22"/>
              </w:rPr>
              <w:t xml:space="preserve">Tabela </w:t>
            </w:r>
            <w:r w:rsidR="00EC3903" w:rsidRPr="009C0BEE">
              <w:rPr>
                <w:sz w:val="22"/>
                <w:szCs w:val="22"/>
              </w:rPr>
              <w:t>9</w:t>
            </w:r>
            <w:r w:rsidRPr="009C0BEE">
              <w:rPr>
                <w:sz w:val="22"/>
                <w:szCs w:val="22"/>
              </w:rPr>
              <w:t>. Ključni rezultati u analizi neinferiornosti u kliničkom ispitivanju NO 16967</w:t>
            </w:r>
          </w:p>
          <w:p w:rsidR="00C6356D" w:rsidRPr="009C0BEE" w:rsidRDefault="00C6356D" w:rsidP="00C6356D">
            <w:pPr>
              <w:pStyle w:val="Header"/>
              <w:tabs>
                <w:tab w:val="left" w:pos="284"/>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2812"/>
              <w:gridCol w:w="40"/>
              <w:gridCol w:w="2850"/>
              <w:gridCol w:w="2122"/>
            </w:tblGrid>
            <w:tr w:rsidR="00D17F29" w:rsidRPr="009C0BEE" w:rsidTr="005E7E41">
              <w:tc>
                <w:tcPr>
                  <w:tcW w:w="5000" w:type="pct"/>
                  <w:gridSpan w:val="5"/>
                  <w:shd w:val="clear" w:color="auto" w:fill="E6E6E6"/>
                  <w:vAlign w:val="center"/>
                </w:tcPr>
                <w:p w:rsidR="00C6356D" w:rsidRPr="009C0BEE" w:rsidRDefault="00C6356D" w:rsidP="00C6356D">
                  <w:pPr>
                    <w:pStyle w:val="Header"/>
                    <w:tabs>
                      <w:tab w:val="left" w:pos="284"/>
                    </w:tabs>
                    <w:jc w:val="center"/>
                    <w:rPr>
                      <w:b/>
                      <w:sz w:val="22"/>
                      <w:szCs w:val="22"/>
                    </w:rPr>
                  </w:pPr>
                  <w:r w:rsidRPr="009C0BEE">
                    <w:rPr>
                      <w:b/>
                      <w:sz w:val="22"/>
                      <w:szCs w:val="22"/>
                    </w:rPr>
                    <w:t>PRIMARNA ANALIZA</w:t>
                  </w:r>
                </w:p>
              </w:tc>
            </w:tr>
            <w:tr w:rsidR="00D17F29" w:rsidRPr="009C0BEE" w:rsidTr="005E7E41">
              <w:tc>
                <w:tcPr>
                  <w:tcW w:w="2336" w:type="pct"/>
                  <w:gridSpan w:val="2"/>
                  <w:shd w:val="clear" w:color="auto" w:fill="auto"/>
                  <w:vAlign w:val="bottom"/>
                </w:tcPr>
                <w:p w:rsidR="00C6356D" w:rsidRPr="009C0BEE" w:rsidRDefault="00C6356D" w:rsidP="00C6356D">
                  <w:pPr>
                    <w:pStyle w:val="Header"/>
                    <w:tabs>
                      <w:tab w:val="left" w:pos="284"/>
                    </w:tabs>
                    <w:jc w:val="center"/>
                    <w:rPr>
                      <w:b/>
                      <w:sz w:val="22"/>
                      <w:szCs w:val="22"/>
                    </w:rPr>
                  </w:pPr>
                  <w:r w:rsidRPr="009C0BEE">
                    <w:rPr>
                      <w:b/>
                      <w:sz w:val="22"/>
                      <w:szCs w:val="22"/>
                    </w:rPr>
                    <w:t>XELOX</w:t>
                  </w:r>
                </w:p>
                <w:p w:rsidR="00C6356D" w:rsidRPr="009C0BEE" w:rsidRDefault="00C6356D" w:rsidP="00C6356D">
                  <w:pPr>
                    <w:pStyle w:val="Header"/>
                    <w:tabs>
                      <w:tab w:val="left" w:pos="284"/>
                    </w:tabs>
                    <w:jc w:val="center"/>
                    <w:rPr>
                      <w:b/>
                      <w:sz w:val="22"/>
                      <w:szCs w:val="22"/>
                    </w:rPr>
                  </w:pPr>
                  <w:r w:rsidRPr="009C0BEE">
                    <w:rPr>
                      <w:b/>
                      <w:sz w:val="22"/>
                      <w:szCs w:val="22"/>
                    </w:rPr>
                    <w:t>(PPP*: N=251; ITT**: N=313)</w:t>
                  </w:r>
                </w:p>
              </w:tc>
              <w:tc>
                <w:tcPr>
                  <w:tcW w:w="2664" w:type="pct"/>
                  <w:gridSpan w:val="3"/>
                  <w:shd w:val="clear" w:color="auto" w:fill="auto"/>
                  <w:vAlign w:val="bottom"/>
                </w:tcPr>
                <w:p w:rsidR="00C6356D" w:rsidRPr="009C0BEE" w:rsidRDefault="00C6356D" w:rsidP="00C6356D">
                  <w:pPr>
                    <w:pStyle w:val="Header"/>
                    <w:tabs>
                      <w:tab w:val="left" w:pos="284"/>
                    </w:tabs>
                    <w:jc w:val="center"/>
                    <w:rPr>
                      <w:b/>
                      <w:sz w:val="22"/>
                      <w:szCs w:val="22"/>
                    </w:rPr>
                  </w:pPr>
                  <w:r w:rsidRPr="009C0BEE">
                    <w:rPr>
                      <w:b/>
                      <w:sz w:val="22"/>
                      <w:szCs w:val="22"/>
                    </w:rPr>
                    <w:t>FOLFOX-4</w:t>
                  </w:r>
                </w:p>
                <w:p w:rsidR="00C6356D" w:rsidRPr="009C0BEE" w:rsidRDefault="00C6356D" w:rsidP="00C6356D">
                  <w:pPr>
                    <w:pStyle w:val="Header"/>
                    <w:tabs>
                      <w:tab w:val="left" w:pos="284"/>
                    </w:tabs>
                    <w:jc w:val="center"/>
                    <w:rPr>
                      <w:b/>
                      <w:sz w:val="22"/>
                      <w:szCs w:val="22"/>
                    </w:rPr>
                  </w:pPr>
                  <w:r w:rsidRPr="009C0BEE">
                    <w:rPr>
                      <w:b/>
                      <w:sz w:val="22"/>
                      <w:szCs w:val="22"/>
                    </w:rPr>
                    <w:t>(PPP*: N = 252; ITT**: N= 314)</w:t>
                  </w:r>
                </w:p>
              </w:tc>
            </w:tr>
            <w:tr w:rsidR="00D17F29" w:rsidRPr="009C0BEE" w:rsidTr="005E7E41">
              <w:tc>
                <w:tcPr>
                  <w:tcW w:w="841"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Populacija</w:t>
                  </w:r>
                </w:p>
              </w:tc>
              <w:tc>
                <w:tcPr>
                  <w:tcW w:w="3030" w:type="pct"/>
                  <w:gridSpan w:val="3"/>
                  <w:tcBorders>
                    <w:bottom w:val="single" w:sz="4" w:space="0" w:color="auto"/>
                  </w:tcBorders>
                  <w:shd w:val="clear" w:color="auto" w:fill="auto"/>
                  <w:vAlign w:val="bottom"/>
                </w:tcPr>
                <w:p w:rsidR="00C6356D" w:rsidRPr="009C0BEE" w:rsidRDefault="003C6EE4" w:rsidP="003C6EE4">
                  <w:pPr>
                    <w:pStyle w:val="Header"/>
                    <w:tabs>
                      <w:tab w:val="left" w:pos="284"/>
                    </w:tabs>
                    <w:jc w:val="center"/>
                    <w:rPr>
                      <w:b/>
                      <w:sz w:val="22"/>
                      <w:szCs w:val="22"/>
                    </w:rPr>
                  </w:pPr>
                  <w:r w:rsidRPr="009C0BEE">
                    <w:rPr>
                      <w:b/>
                      <w:sz w:val="22"/>
                      <w:szCs w:val="22"/>
                    </w:rPr>
                    <w:t>Srednje vrijeme do događaja (d</w:t>
                  </w:r>
                  <w:r w:rsidR="00C6356D" w:rsidRPr="009C0BEE">
                    <w:rPr>
                      <w:b/>
                      <w:sz w:val="22"/>
                      <w:szCs w:val="22"/>
                    </w:rPr>
                    <w:t>an</w:t>
                  </w:r>
                  <w:r w:rsidRPr="009C0BEE">
                    <w:rPr>
                      <w:b/>
                      <w:sz w:val="22"/>
                      <w:szCs w:val="22"/>
                    </w:rPr>
                    <w:t>i</w:t>
                  </w:r>
                  <w:r w:rsidR="00C6356D" w:rsidRPr="009C0BEE">
                    <w:rPr>
                      <w:b/>
                      <w:sz w:val="22"/>
                      <w:szCs w:val="22"/>
                    </w:rPr>
                    <w:t>)</w:t>
                  </w:r>
                </w:p>
              </w:tc>
              <w:tc>
                <w:tcPr>
                  <w:tcW w:w="1129"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HR</w:t>
                  </w:r>
                </w:p>
                <w:p w:rsidR="00C6356D" w:rsidRPr="009C0BEE" w:rsidRDefault="00C6356D" w:rsidP="00C6356D">
                  <w:pPr>
                    <w:pStyle w:val="Header"/>
                    <w:tabs>
                      <w:tab w:val="left" w:pos="284"/>
                    </w:tabs>
                    <w:rPr>
                      <w:b/>
                      <w:sz w:val="22"/>
                      <w:szCs w:val="22"/>
                    </w:rPr>
                  </w:pPr>
                  <w:r w:rsidRPr="009C0BEE">
                    <w:rPr>
                      <w:b/>
                      <w:sz w:val="22"/>
                      <w:szCs w:val="22"/>
                    </w:rPr>
                    <w:t>(95% CI)</w:t>
                  </w:r>
                </w:p>
              </w:tc>
            </w:tr>
            <w:tr w:rsidR="00D17F29" w:rsidRPr="009C0BEE" w:rsidTr="005E7E41">
              <w:tc>
                <w:tcPr>
                  <w:tcW w:w="5000" w:type="pct"/>
                  <w:gridSpan w:val="5"/>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Preživljavanje bez progresije</w:t>
                  </w:r>
                </w:p>
              </w:tc>
            </w:tr>
            <w:tr w:rsidR="00D17F29" w:rsidRPr="009C0BEE" w:rsidTr="005E7E41">
              <w:trPr>
                <w:trHeight w:val="430"/>
              </w:trPr>
              <w:tc>
                <w:tcPr>
                  <w:tcW w:w="841"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PPP</w:t>
                  </w:r>
                </w:p>
                <w:p w:rsidR="00C6356D" w:rsidRPr="009C0BEE" w:rsidRDefault="00C6356D" w:rsidP="00C6356D">
                  <w:pPr>
                    <w:pStyle w:val="Header"/>
                    <w:tabs>
                      <w:tab w:val="left" w:pos="284"/>
                    </w:tabs>
                    <w:rPr>
                      <w:sz w:val="22"/>
                      <w:szCs w:val="22"/>
                    </w:rPr>
                  </w:pPr>
                  <w:r w:rsidRPr="009C0BEE">
                    <w:rPr>
                      <w:sz w:val="22"/>
                      <w:szCs w:val="22"/>
                    </w:rPr>
                    <w:t>ITT</w:t>
                  </w:r>
                </w:p>
              </w:tc>
              <w:tc>
                <w:tcPr>
                  <w:tcW w:w="1516" w:type="pct"/>
                  <w:gridSpan w:val="2"/>
                  <w:tcBorders>
                    <w:bottom w:val="single" w:sz="4" w:space="0" w:color="auto"/>
                  </w:tcBorders>
                  <w:shd w:val="clear" w:color="auto" w:fill="auto"/>
                </w:tcPr>
                <w:p w:rsidR="00C6356D" w:rsidRPr="009C0BEE" w:rsidRDefault="00C6356D" w:rsidP="00C6356D">
                  <w:pPr>
                    <w:pStyle w:val="Header"/>
                    <w:tabs>
                      <w:tab w:val="left" w:pos="284"/>
                    </w:tabs>
                    <w:rPr>
                      <w:sz w:val="22"/>
                      <w:szCs w:val="22"/>
                    </w:rPr>
                  </w:pPr>
                  <w:r w:rsidRPr="009C0BEE">
                    <w:rPr>
                      <w:sz w:val="22"/>
                      <w:szCs w:val="22"/>
                    </w:rPr>
                    <w:t>154</w:t>
                  </w:r>
                </w:p>
                <w:p w:rsidR="00C6356D" w:rsidRPr="009C0BEE" w:rsidRDefault="00C6356D" w:rsidP="00C6356D">
                  <w:pPr>
                    <w:pStyle w:val="Header"/>
                    <w:tabs>
                      <w:tab w:val="left" w:pos="284"/>
                    </w:tabs>
                    <w:rPr>
                      <w:sz w:val="22"/>
                      <w:szCs w:val="22"/>
                    </w:rPr>
                  </w:pPr>
                  <w:r w:rsidRPr="009C0BEE">
                    <w:rPr>
                      <w:sz w:val="22"/>
                      <w:szCs w:val="22"/>
                    </w:rPr>
                    <w:t>144</w:t>
                  </w:r>
                </w:p>
              </w:tc>
              <w:tc>
                <w:tcPr>
                  <w:tcW w:w="1515" w:type="pct"/>
                  <w:tcBorders>
                    <w:bottom w:val="single" w:sz="4" w:space="0" w:color="auto"/>
                  </w:tcBorders>
                  <w:shd w:val="clear" w:color="auto" w:fill="auto"/>
                  <w:vAlign w:val="center"/>
                </w:tcPr>
                <w:p w:rsidR="00C6356D" w:rsidRPr="009C0BEE" w:rsidRDefault="00C6356D" w:rsidP="00C6356D">
                  <w:pPr>
                    <w:pStyle w:val="Header"/>
                    <w:tabs>
                      <w:tab w:val="left" w:pos="284"/>
                    </w:tabs>
                    <w:ind w:right="-108"/>
                    <w:rPr>
                      <w:sz w:val="22"/>
                      <w:szCs w:val="22"/>
                    </w:rPr>
                  </w:pPr>
                  <w:r w:rsidRPr="009C0BEE">
                    <w:rPr>
                      <w:sz w:val="22"/>
                      <w:szCs w:val="22"/>
                    </w:rPr>
                    <w:t>168</w:t>
                  </w:r>
                </w:p>
                <w:p w:rsidR="00C6356D" w:rsidRPr="009C0BEE" w:rsidRDefault="00C6356D" w:rsidP="00C6356D">
                  <w:pPr>
                    <w:pStyle w:val="Header"/>
                    <w:tabs>
                      <w:tab w:val="left" w:pos="284"/>
                    </w:tabs>
                    <w:rPr>
                      <w:sz w:val="22"/>
                      <w:szCs w:val="22"/>
                    </w:rPr>
                  </w:pPr>
                  <w:r w:rsidRPr="009C0BEE">
                    <w:rPr>
                      <w:sz w:val="22"/>
                      <w:szCs w:val="22"/>
                    </w:rPr>
                    <w:t>146</w:t>
                  </w:r>
                </w:p>
              </w:tc>
              <w:tc>
                <w:tcPr>
                  <w:tcW w:w="1129"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w:t>
                  </w:r>
                  <w:r w:rsidR="00737CF8" w:rsidRPr="009C0BEE">
                    <w:rPr>
                      <w:sz w:val="22"/>
                      <w:szCs w:val="22"/>
                    </w:rPr>
                    <w:t>,</w:t>
                  </w:r>
                  <w:r w:rsidRPr="009C0BEE">
                    <w:rPr>
                      <w:sz w:val="22"/>
                      <w:szCs w:val="22"/>
                    </w:rPr>
                    <w:t>03 (0</w:t>
                  </w:r>
                  <w:r w:rsidR="00737CF8" w:rsidRPr="009C0BEE">
                    <w:rPr>
                      <w:sz w:val="22"/>
                      <w:szCs w:val="22"/>
                    </w:rPr>
                    <w:t>,</w:t>
                  </w:r>
                  <w:r w:rsidRPr="009C0BEE">
                    <w:rPr>
                      <w:sz w:val="22"/>
                      <w:szCs w:val="22"/>
                    </w:rPr>
                    <w:t>87; 1</w:t>
                  </w:r>
                  <w:r w:rsidR="00737CF8" w:rsidRPr="009C0BEE">
                    <w:rPr>
                      <w:sz w:val="22"/>
                      <w:szCs w:val="22"/>
                    </w:rPr>
                    <w:t>,</w:t>
                  </w:r>
                  <w:r w:rsidRPr="009C0BEE">
                    <w:rPr>
                      <w:sz w:val="22"/>
                      <w:szCs w:val="22"/>
                    </w:rPr>
                    <w:t>24)</w:t>
                  </w:r>
                </w:p>
                <w:p w:rsidR="00C6356D" w:rsidRPr="009C0BEE" w:rsidRDefault="00C6356D" w:rsidP="00737CF8">
                  <w:pPr>
                    <w:pStyle w:val="Header"/>
                    <w:tabs>
                      <w:tab w:val="left" w:pos="284"/>
                    </w:tabs>
                    <w:rPr>
                      <w:sz w:val="22"/>
                      <w:szCs w:val="22"/>
                    </w:rPr>
                  </w:pPr>
                  <w:r w:rsidRPr="009C0BEE">
                    <w:rPr>
                      <w:sz w:val="22"/>
                      <w:szCs w:val="22"/>
                    </w:rPr>
                    <w:t>0</w:t>
                  </w:r>
                  <w:r w:rsidR="00737CF8" w:rsidRPr="009C0BEE">
                    <w:rPr>
                      <w:sz w:val="22"/>
                      <w:szCs w:val="22"/>
                    </w:rPr>
                    <w:t>,</w:t>
                  </w:r>
                  <w:r w:rsidRPr="009C0BEE">
                    <w:rPr>
                      <w:sz w:val="22"/>
                      <w:szCs w:val="22"/>
                    </w:rPr>
                    <w:t>97 (0</w:t>
                  </w:r>
                  <w:r w:rsidR="00737CF8" w:rsidRPr="009C0BEE">
                    <w:rPr>
                      <w:sz w:val="22"/>
                      <w:szCs w:val="22"/>
                    </w:rPr>
                    <w:t>,</w:t>
                  </w:r>
                  <w:r w:rsidRPr="009C0BEE">
                    <w:rPr>
                      <w:sz w:val="22"/>
                      <w:szCs w:val="22"/>
                    </w:rPr>
                    <w:t>83; 1.14)</w:t>
                  </w:r>
                </w:p>
              </w:tc>
            </w:tr>
            <w:tr w:rsidR="00D17F29" w:rsidRPr="009C0BEE" w:rsidTr="005E7E41">
              <w:tc>
                <w:tcPr>
                  <w:tcW w:w="5000" w:type="pct"/>
                  <w:gridSpan w:val="5"/>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Ukupno preživljavanje</w:t>
                  </w:r>
                </w:p>
              </w:tc>
            </w:tr>
            <w:tr w:rsidR="00D17F29" w:rsidRPr="009C0BEE" w:rsidTr="005E7E41">
              <w:tc>
                <w:tcPr>
                  <w:tcW w:w="841"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PPP</w:t>
                  </w:r>
                </w:p>
                <w:p w:rsidR="00C6356D" w:rsidRPr="009C0BEE" w:rsidRDefault="00C6356D" w:rsidP="00C6356D">
                  <w:pPr>
                    <w:pStyle w:val="Header"/>
                    <w:tabs>
                      <w:tab w:val="left" w:pos="284"/>
                    </w:tabs>
                    <w:rPr>
                      <w:sz w:val="22"/>
                      <w:szCs w:val="22"/>
                    </w:rPr>
                  </w:pPr>
                  <w:r w:rsidRPr="009C0BEE">
                    <w:rPr>
                      <w:sz w:val="22"/>
                      <w:szCs w:val="22"/>
                    </w:rPr>
                    <w:t>ITT</w:t>
                  </w:r>
                </w:p>
              </w:tc>
              <w:tc>
                <w:tcPr>
                  <w:tcW w:w="1516" w:type="pct"/>
                  <w:gridSpan w:val="2"/>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388</w:t>
                  </w:r>
                </w:p>
                <w:p w:rsidR="00C6356D" w:rsidRPr="009C0BEE" w:rsidRDefault="00C6356D" w:rsidP="00C6356D">
                  <w:pPr>
                    <w:pStyle w:val="Header"/>
                    <w:tabs>
                      <w:tab w:val="left" w:pos="284"/>
                    </w:tabs>
                    <w:rPr>
                      <w:sz w:val="22"/>
                      <w:szCs w:val="22"/>
                    </w:rPr>
                  </w:pPr>
                  <w:r w:rsidRPr="009C0BEE">
                    <w:rPr>
                      <w:sz w:val="22"/>
                      <w:szCs w:val="22"/>
                    </w:rPr>
                    <w:t>363</w:t>
                  </w:r>
                </w:p>
              </w:tc>
              <w:tc>
                <w:tcPr>
                  <w:tcW w:w="1515"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401</w:t>
                  </w:r>
                </w:p>
                <w:p w:rsidR="00C6356D" w:rsidRPr="009C0BEE" w:rsidRDefault="00C6356D" w:rsidP="00C6356D">
                  <w:pPr>
                    <w:pStyle w:val="Header"/>
                    <w:tabs>
                      <w:tab w:val="left" w:pos="284"/>
                    </w:tabs>
                    <w:rPr>
                      <w:sz w:val="22"/>
                      <w:szCs w:val="22"/>
                    </w:rPr>
                  </w:pPr>
                  <w:r w:rsidRPr="009C0BEE">
                    <w:rPr>
                      <w:sz w:val="22"/>
                      <w:szCs w:val="22"/>
                    </w:rPr>
                    <w:t>382</w:t>
                  </w:r>
                </w:p>
              </w:tc>
              <w:tc>
                <w:tcPr>
                  <w:tcW w:w="1129"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w:t>
                  </w:r>
                  <w:r w:rsidR="00737CF8" w:rsidRPr="009C0BEE">
                    <w:rPr>
                      <w:sz w:val="22"/>
                      <w:szCs w:val="22"/>
                    </w:rPr>
                    <w:t>,</w:t>
                  </w:r>
                  <w:r w:rsidRPr="009C0BEE">
                    <w:rPr>
                      <w:sz w:val="22"/>
                      <w:szCs w:val="22"/>
                    </w:rPr>
                    <w:t>07 (0</w:t>
                  </w:r>
                  <w:r w:rsidR="00737CF8" w:rsidRPr="009C0BEE">
                    <w:rPr>
                      <w:sz w:val="22"/>
                      <w:szCs w:val="22"/>
                    </w:rPr>
                    <w:t>,</w:t>
                  </w:r>
                  <w:r w:rsidRPr="009C0BEE">
                    <w:rPr>
                      <w:sz w:val="22"/>
                      <w:szCs w:val="22"/>
                    </w:rPr>
                    <w:t>88; 1</w:t>
                  </w:r>
                  <w:r w:rsidR="00737CF8" w:rsidRPr="009C0BEE">
                    <w:rPr>
                      <w:sz w:val="22"/>
                      <w:szCs w:val="22"/>
                    </w:rPr>
                    <w:t>,</w:t>
                  </w:r>
                  <w:r w:rsidRPr="009C0BEE">
                    <w:rPr>
                      <w:sz w:val="22"/>
                      <w:szCs w:val="22"/>
                    </w:rPr>
                    <w:t>31)</w:t>
                  </w:r>
                </w:p>
                <w:p w:rsidR="00C6356D" w:rsidRPr="009C0BEE" w:rsidRDefault="00C6356D" w:rsidP="00737CF8">
                  <w:pPr>
                    <w:pStyle w:val="Header"/>
                    <w:tabs>
                      <w:tab w:val="left" w:pos="284"/>
                    </w:tabs>
                    <w:rPr>
                      <w:sz w:val="22"/>
                      <w:szCs w:val="22"/>
                    </w:rPr>
                  </w:pPr>
                  <w:r w:rsidRPr="009C0BEE">
                    <w:rPr>
                      <w:sz w:val="22"/>
                      <w:szCs w:val="22"/>
                    </w:rPr>
                    <w:t>1</w:t>
                  </w:r>
                  <w:r w:rsidR="00737CF8" w:rsidRPr="009C0BEE">
                    <w:rPr>
                      <w:sz w:val="22"/>
                      <w:szCs w:val="22"/>
                    </w:rPr>
                    <w:t>,</w:t>
                  </w:r>
                  <w:r w:rsidRPr="009C0BEE">
                    <w:rPr>
                      <w:sz w:val="22"/>
                      <w:szCs w:val="22"/>
                    </w:rPr>
                    <w:t>03 (0</w:t>
                  </w:r>
                  <w:r w:rsidR="00737CF8" w:rsidRPr="009C0BEE">
                    <w:rPr>
                      <w:sz w:val="22"/>
                      <w:szCs w:val="22"/>
                    </w:rPr>
                    <w:t>,</w:t>
                  </w:r>
                  <w:r w:rsidRPr="009C0BEE">
                    <w:rPr>
                      <w:sz w:val="22"/>
                      <w:szCs w:val="22"/>
                    </w:rPr>
                    <w:t>87; 1</w:t>
                  </w:r>
                  <w:r w:rsidR="00737CF8" w:rsidRPr="009C0BEE">
                    <w:rPr>
                      <w:sz w:val="22"/>
                      <w:szCs w:val="22"/>
                    </w:rPr>
                    <w:t>,</w:t>
                  </w:r>
                  <w:r w:rsidRPr="009C0BEE">
                    <w:rPr>
                      <w:sz w:val="22"/>
                      <w:szCs w:val="22"/>
                    </w:rPr>
                    <w:t>23)</w:t>
                  </w:r>
                </w:p>
              </w:tc>
            </w:tr>
            <w:tr w:rsidR="00D17F29" w:rsidRPr="009C0BEE" w:rsidTr="005E7E41">
              <w:tc>
                <w:tcPr>
                  <w:tcW w:w="5000" w:type="pct"/>
                  <w:gridSpan w:val="5"/>
                  <w:shd w:val="clear" w:color="auto" w:fill="E6E6E6"/>
                  <w:vAlign w:val="center"/>
                </w:tcPr>
                <w:p w:rsidR="00C6356D" w:rsidRPr="009C0BEE" w:rsidRDefault="00C6356D" w:rsidP="00C6356D">
                  <w:pPr>
                    <w:pStyle w:val="Header"/>
                    <w:tabs>
                      <w:tab w:val="left" w:pos="284"/>
                    </w:tabs>
                    <w:jc w:val="center"/>
                    <w:rPr>
                      <w:b/>
                      <w:sz w:val="22"/>
                      <w:szCs w:val="22"/>
                    </w:rPr>
                  </w:pPr>
                  <w:r w:rsidRPr="009C0BEE">
                    <w:rPr>
                      <w:b/>
                      <w:sz w:val="22"/>
                      <w:szCs w:val="22"/>
                    </w:rPr>
                    <w:t>DODATNIH  6 MJESECI PRAĆENJA</w:t>
                  </w:r>
                </w:p>
              </w:tc>
            </w:tr>
            <w:tr w:rsidR="00D17F29" w:rsidRPr="009C0BEE" w:rsidTr="005E7E41">
              <w:tc>
                <w:tcPr>
                  <w:tcW w:w="841"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Populacija</w:t>
                  </w:r>
                </w:p>
              </w:tc>
              <w:tc>
                <w:tcPr>
                  <w:tcW w:w="3030" w:type="pct"/>
                  <w:gridSpan w:val="3"/>
                  <w:tcBorders>
                    <w:bottom w:val="single" w:sz="4" w:space="0" w:color="auto"/>
                  </w:tcBorders>
                  <w:shd w:val="clear" w:color="auto" w:fill="auto"/>
                  <w:vAlign w:val="bottom"/>
                </w:tcPr>
                <w:p w:rsidR="00C6356D" w:rsidRPr="009C0BEE" w:rsidRDefault="00BB78CB" w:rsidP="00BB78CB">
                  <w:pPr>
                    <w:pStyle w:val="Header"/>
                    <w:tabs>
                      <w:tab w:val="left" w:pos="284"/>
                    </w:tabs>
                    <w:rPr>
                      <w:b/>
                      <w:sz w:val="22"/>
                      <w:szCs w:val="22"/>
                    </w:rPr>
                  </w:pPr>
                  <w:r w:rsidRPr="009C0BEE">
                    <w:rPr>
                      <w:b/>
                      <w:sz w:val="22"/>
                      <w:szCs w:val="22"/>
                    </w:rPr>
                    <w:t>Srednje vrijeme do događaja (d</w:t>
                  </w:r>
                  <w:r w:rsidR="00C6356D" w:rsidRPr="009C0BEE">
                    <w:rPr>
                      <w:b/>
                      <w:sz w:val="22"/>
                      <w:szCs w:val="22"/>
                    </w:rPr>
                    <w:t>an</w:t>
                  </w:r>
                  <w:r w:rsidRPr="009C0BEE">
                    <w:rPr>
                      <w:b/>
                      <w:sz w:val="22"/>
                      <w:szCs w:val="22"/>
                    </w:rPr>
                    <w:t>i</w:t>
                  </w:r>
                  <w:r w:rsidR="00C6356D" w:rsidRPr="009C0BEE">
                    <w:rPr>
                      <w:b/>
                      <w:sz w:val="22"/>
                      <w:szCs w:val="22"/>
                    </w:rPr>
                    <w:t xml:space="preserve">) </w:t>
                  </w:r>
                </w:p>
              </w:tc>
              <w:tc>
                <w:tcPr>
                  <w:tcW w:w="1129" w:type="pct"/>
                  <w:tcBorders>
                    <w:bottom w:val="single" w:sz="4" w:space="0" w:color="auto"/>
                  </w:tcBorders>
                  <w:shd w:val="clear" w:color="auto" w:fill="auto"/>
                  <w:vAlign w:val="bottom"/>
                </w:tcPr>
                <w:p w:rsidR="00C6356D" w:rsidRPr="009C0BEE" w:rsidRDefault="00C6356D" w:rsidP="00C6356D">
                  <w:pPr>
                    <w:pStyle w:val="Header"/>
                    <w:tabs>
                      <w:tab w:val="left" w:pos="284"/>
                    </w:tabs>
                    <w:rPr>
                      <w:b/>
                      <w:sz w:val="22"/>
                      <w:szCs w:val="22"/>
                    </w:rPr>
                  </w:pPr>
                  <w:r w:rsidRPr="009C0BEE">
                    <w:rPr>
                      <w:b/>
                      <w:sz w:val="22"/>
                      <w:szCs w:val="22"/>
                    </w:rPr>
                    <w:t>HR</w:t>
                  </w:r>
                </w:p>
                <w:p w:rsidR="00C6356D" w:rsidRPr="009C0BEE" w:rsidRDefault="00C6356D" w:rsidP="00C6356D">
                  <w:pPr>
                    <w:pStyle w:val="Header"/>
                    <w:tabs>
                      <w:tab w:val="left" w:pos="284"/>
                    </w:tabs>
                    <w:rPr>
                      <w:b/>
                      <w:sz w:val="22"/>
                      <w:szCs w:val="22"/>
                    </w:rPr>
                  </w:pPr>
                  <w:r w:rsidRPr="009C0BEE">
                    <w:rPr>
                      <w:b/>
                      <w:sz w:val="22"/>
                      <w:szCs w:val="22"/>
                    </w:rPr>
                    <w:lastRenderedPageBreak/>
                    <w:t>(95% CI)</w:t>
                  </w:r>
                </w:p>
              </w:tc>
            </w:tr>
            <w:tr w:rsidR="00D17F29" w:rsidRPr="009C0BEE" w:rsidTr="005E7E41">
              <w:tc>
                <w:tcPr>
                  <w:tcW w:w="5000" w:type="pct"/>
                  <w:gridSpan w:val="5"/>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lastRenderedPageBreak/>
                    <w:t>Parametar: Preživljavanje bez progresije</w:t>
                  </w:r>
                </w:p>
              </w:tc>
            </w:tr>
            <w:tr w:rsidR="00D17F29" w:rsidRPr="009C0BEE" w:rsidTr="005E7E41">
              <w:trPr>
                <w:trHeight w:val="430"/>
              </w:trPr>
              <w:tc>
                <w:tcPr>
                  <w:tcW w:w="841"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PPP</w:t>
                  </w:r>
                </w:p>
                <w:p w:rsidR="00C6356D" w:rsidRPr="009C0BEE" w:rsidRDefault="00C6356D" w:rsidP="00C6356D">
                  <w:pPr>
                    <w:pStyle w:val="Header"/>
                    <w:tabs>
                      <w:tab w:val="left" w:pos="284"/>
                    </w:tabs>
                    <w:rPr>
                      <w:sz w:val="22"/>
                      <w:szCs w:val="22"/>
                    </w:rPr>
                  </w:pPr>
                  <w:r w:rsidRPr="009C0BEE">
                    <w:rPr>
                      <w:sz w:val="22"/>
                      <w:szCs w:val="22"/>
                    </w:rPr>
                    <w:t>ITT</w:t>
                  </w:r>
                </w:p>
              </w:tc>
              <w:tc>
                <w:tcPr>
                  <w:tcW w:w="1516" w:type="pct"/>
                  <w:gridSpan w:val="2"/>
                  <w:tcBorders>
                    <w:bottom w:val="single" w:sz="4" w:space="0" w:color="auto"/>
                  </w:tcBorders>
                  <w:shd w:val="clear" w:color="auto" w:fill="auto"/>
                </w:tcPr>
                <w:p w:rsidR="00C6356D" w:rsidRPr="009C0BEE" w:rsidRDefault="00C6356D" w:rsidP="00C6356D">
                  <w:pPr>
                    <w:pStyle w:val="Header"/>
                    <w:tabs>
                      <w:tab w:val="left" w:pos="284"/>
                    </w:tabs>
                    <w:rPr>
                      <w:sz w:val="22"/>
                      <w:szCs w:val="22"/>
                    </w:rPr>
                  </w:pPr>
                  <w:r w:rsidRPr="009C0BEE">
                    <w:rPr>
                      <w:sz w:val="22"/>
                      <w:szCs w:val="22"/>
                    </w:rPr>
                    <w:t>154</w:t>
                  </w:r>
                </w:p>
                <w:p w:rsidR="00C6356D" w:rsidRPr="009C0BEE" w:rsidRDefault="00C6356D" w:rsidP="00C6356D">
                  <w:pPr>
                    <w:pStyle w:val="Header"/>
                    <w:tabs>
                      <w:tab w:val="left" w:pos="284"/>
                    </w:tabs>
                    <w:rPr>
                      <w:sz w:val="22"/>
                      <w:szCs w:val="22"/>
                    </w:rPr>
                  </w:pPr>
                  <w:r w:rsidRPr="009C0BEE">
                    <w:rPr>
                      <w:sz w:val="22"/>
                      <w:szCs w:val="22"/>
                    </w:rPr>
                    <w:t>143</w:t>
                  </w:r>
                </w:p>
              </w:tc>
              <w:tc>
                <w:tcPr>
                  <w:tcW w:w="1515"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166</w:t>
                  </w:r>
                </w:p>
                <w:p w:rsidR="00C6356D" w:rsidRPr="009C0BEE" w:rsidRDefault="00C6356D" w:rsidP="00C6356D">
                  <w:pPr>
                    <w:pStyle w:val="Header"/>
                    <w:tabs>
                      <w:tab w:val="left" w:pos="284"/>
                    </w:tabs>
                    <w:rPr>
                      <w:sz w:val="22"/>
                      <w:szCs w:val="22"/>
                    </w:rPr>
                  </w:pPr>
                  <w:r w:rsidRPr="009C0BEE">
                    <w:rPr>
                      <w:sz w:val="22"/>
                      <w:szCs w:val="22"/>
                    </w:rPr>
                    <w:t>146</w:t>
                  </w:r>
                </w:p>
              </w:tc>
              <w:tc>
                <w:tcPr>
                  <w:tcW w:w="1129" w:type="pct"/>
                  <w:tcBorders>
                    <w:bottom w:val="single" w:sz="4" w:space="0" w:color="auto"/>
                  </w:tcBorders>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w:t>
                  </w:r>
                  <w:r w:rsidR="00737CF8" w:rsidRPr="009C0BEE">
                    <w:rPr>
                      <w:sz w:val="22"/>
                      <w:szCs w:val="22"/>
                    </w:rPr>
                    <w:t>,</w:t>
                  </w:r>
                  <w:r w:rsidRPr="009C0BEE">
                    <w:rPr>
                      <w:sz w:val="22"/>
                      <w:szCs w:val="22"/>
                    </w:rPr>
                    <w:t>04 (0</w:t>
                  </w:r>
                  <w:r w:rsidR="00737CF8" w:rsidRPr="009C0BEE">
                    <w:rPr>
                      <w:sz w:val="22"/>
                      <w:szCs w:val="22"/>
                    </w:rPr>
                    <w:t>,</w:t>
                  </w:r>
                  <w:r w:rsidRPr="009C0BEE">
                    <w:rPr>
                      <w:sz w:val="22"/>
                      <w:szCs w:val="22"/>
                    </w:rPr>
                    <w:t>87; 1</w:t>
                  </w:r>
                  <w:r w:rsidR="00737CF8" w:rsidRPr="009C0BEE">
                    <w:rPr>
                      <w:sz w:val="22"/>
                      <w:szCs w:val="22"/>
                    </w:rPr>
                    <w:t>,</w:t>
                  </w:r>
                  <w:r w:rsidRPr="009C0BEE">
                    <w:rPr>
                      <w:sz w:val="22"/>
                      <w:szCs w:val="22"/>
                    </w:rPr>
                    <w:t>24)</w:t>
                  </w:r>
                </w:p>
                <w:p w:rsidR="00C6356D" w:rsidRPr="009C0BEE" w:rsidRDefault="00C6356D" w:rsidP="00737CF8">
                  <w:pPr>
                    <w:pStyle w:val="Header"/>
                    <w:tabs>
                      <w:tab w:val="left" w:pos="284"/>
                    </w:tabs>
                    <w:rPr>
                      <w:sz w:val="22"/>
                      <w:szCs w:val="22"/>
                    </w:rPr>
                  </w:pPr>
                  <w:r w:rsidRPr="009C0BEE">
                    <w:rPr>
                      <w:sz w:val="22"/>
                      <w:szCs w:val="22"/>
                    </w:rPr>
                    <w:t>0</w:t>
                  </w:r>
                  <w:r w:rsidR="00737CF8" w:rsidRPr="009C0BEE">
                    <w:rPr>
                      <w:sz w:val="22"/>
                      <w:szCs w:val="22"/>
                    </w:rPr>
                    <w:t>,</w:t>
                  </w:r>
                  <w:r w:rsidRPr="009C0BEE">
                    <w:rPr>
                      <w:sz w:val="22"/>
                      <w:szCs w:val="22"/>
                    </w:rPr>
                    <w:t>97 (0</w:t>
                  </w:r>
                  <w:r w:rsidR="00737CF8" w:rsidRPr="009C0BEE">
                    <w:rPr>
                      <w:sz w:val="22"/>
                      <w:szCs w:val="22"/>
                    </w:rPr>
                    <w:t>,</w:t>
                  </w:r>
                  <w:r w:rsidRPr="009C0BEE">
                    <w:rPr>
                      <w:sz w:val="22"/>
                      <w:szCs w:val="22"/>
                    </w:rPr>
                    <w:t>83; 1</w:t>
                  </w:r>
                  <w:r w:rsidR="00737CF8" w:rsidRPr="009C0BEE">
                    <w:rPr>
                      <w:sz w:val="22"/>
                      <w:szCs w:val="22"/>
                    </w:rPr>
                    <w:t>,</w:t>
                  </w:r>
                  <w:r w:rsidRPr="009C0BEE">
                    <w:rPr>
                      <w:sz w:val="22"/>
                      <w:szCs w:val="22"/>
                    </w:rPr>
                    <w:t>14)</w:t>
                  </w:r>
                </w:p>
              </w:tc>
            </w:tr>
            <w:tr w:rsidR="00D17F29" w:rsidRPr="009C0BEE" w:rsidTr="005E7E41">
              <w:tc>
                <w:tcPr>
                  <w:tcW w:w="5000" w:type="pct"/>
                  <w:gridSpan w:val="5"/>
                  <w:shd w:val="clear" w:color="auto" w:fill="E6E6E6"/>
                  <w:vAlign w:val="center"/>
                </w:tcPr>
                <w:p w:rsidR="00C6356D" w:rsidRPr="009C0BEE" w:rsidRDefault="00C6356D" w:rsidP="00C6356D">
                  <w:pPr>
                    <w:pStyle w:val="Header"/>
                    <w:tabs>
                      <w:tab w:val="left" w:pos="284"/>
                    </w:tabs>
                    <w:rPr>
                      <w:b/>
                      <w:sz w:val="22"/>
                      <w:szCs w:val="22"/>
                    </w:rPr>
                  </w:pPr>
                  <w:r w:rsidRPr="009C0BEE">
                    <w:rPr>
                      <w:b/>
                      <w:sz w:val="22"/>
                      <w:szCs w:val="22"/>
                    </w:rPr>
                    <w:t>Parametar: Ukupno preživljavanje</w:t>
                  </w:r>
                </w:p>
              </w:tc>
            </w:tr>
            <w:tr w:rsidR="00D17F29" w:rsidRPr="009C0BEE" w:rsidTr="005E7E41">
              <w:tc>
                <w:tcPr>
                  <w:tcW w:w="841"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PPP</w:t>
                  </w:r>
                </w:p>
                <w:p w:rsidR="00C6356D" w:rsidRPr="009C0BEE" w:rsidRDefault="00C6356D" w:rsidP="00C6356D">
                  <w:pPr>
                    <w:pStyle w:val="Header"/>
                    <w:tabs>
                      <w:tab w:val="left" w:pos="284"/>
                    </w:tabs>
                    <w:rPr>
                      <w:sz w:val="22"/>
                      <w:szCs w:val="22"/>
                    </w:rPr>
                  </w:pPr>
                  <w:r w:rsidRPr="009C0BEE">
                    <w:rPr>
                      <w:sz w:val="22"/>
                      <w:szCs w:val="22"/>
                    </w:rPr>
                    <w:t>ITT</w:t>
                  </w:r>
                </w:p>
              </w:tc>
              <w:tc>
                <w:tcPr>
                  <w:tcW w:w="1516" w:type="pct"/>
                  <w:gridSpan w:val="2"/>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393</w:t>
                  </w:r>
                </w:p>
                <w:p w:rsidR="00C6356D" w:rsidRPr="009C0BEE" w:rsidRDefault="00C6356D" w:rsidP="00C6356D">
                  <w:pPr>
                    <w:pStyle w:val="Header"/>
                    <w:tabs>
                      <w:tab w:val="left" w:pos="284"/>
                    </w:tabs>
                    <w:rPr>
                      <w:sz w:val="22"/>
                      <w:szCs w:val="22"/>
                    </w:rPr>
                  </w:pPr>
                  <w:r w:rsidRPr="009C0BEE">
                    <w:rPr>
                      <w:sz w:val="22"/>
                      <w:szCs w:val="22"/>
                    </w:rPr>
                    <w:t>363</w:t>
                  </w:r>
                </w:p>
              </w:tc>
              <w:tc>
                <w:tcPr>
                  <w:tcW w:w="1515"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402</w:t>
                  </w:r>
                </w:p>
                <w:p w:rsidR="00C6356D" w:rsidRPr="009C0BEE" w:rsidRDefault="00C6356D" w:rsidP="00C6356D">
                  <w:pPr>
                    <w:pStyle w:val="Header"/>
                    <w:tabs>
                      <w:tab w:val="left" w:pos="284"/>
                    </w:tabs>
                    <w:rPr>
                      <w:sz w:val="22"/>
                      <w:szCs w:val="22"/>
                    </w:rPr>
                  </w:pPr>
                  <w:r w:rsidRPr="009C0BEE">
                    <w:rPr>
                      <w:sz w:val="22"/>
                      <w:szCs w:val="22"/>
                    </w:rPr>
                    <w:t>382</w:t>
                  </w:r>
                </w:p>
              </w:tc>
              <w:tc>
                <w:tcPr>
                  <w:tcW w:w="1129" w:type="pct"/>
                  <w:shd w:val="clear" w:color="auto" w:fill="auto"/>
                  <w:vAlign w:val="center"/>
                </w:tcPr>
                <w:p w:rsidR="00C6356D" w:rsidRPr="009C0BEE" w:rsidRDefault="00C6356D" w:rsidP="00C6356D">
                  <w:pPr>
                    <w:pStyle w:val="Header"/>
                    <w:tabs>
                      <w:tab w:val="left" w:pos="284"/>
                    </w:tabs>
                    <w:rPr>
                      <w:sz w:val="22"/>
                      <w:szCs w:val="22"/>
                    </w:rPr>
                  </w:pPr>
                  <w:r w:rsidRPr="009C0BEE">
                    <w:rPr>
                      <w:sz w:val="22"/>
                      <w:szCs w:val="22"/>
                    </w:rPr>
                    <w:t>1</w:t>
                  </w:r>
                  <w:r w:rsidR="00737CF8" w:rsidRPr="009C0BEE">
                    <w:rPr>
                      <w:sz w:val="22"/>
                      <w:szCs w:val="22"/>
                    </w:rPr>
                    <w:t>,</w:t>
                  </w:r>
                  <w:r w:rsidRPr="009C0BEE">
                    <w:rPr>
                      <w:sz w:val="22"/>
                      <w:szCs w:val="22"/>
                    </w:rPr>
                    <w:t>05 (0</w:t>
                  </w:r>
                  <w:r w:rsidR="00737CF8" w:rsidRPr="009C0BEE">
                    <w:rPr>
                      <w:sz w:val="22"/>
                      <w:szCs w:val="22"/>
                    </w:rPr>
                    <w:t>,</w:t>
                  </w:r>
                  <w:r w:rsidRPr="009C0BEE">
                    <w:rPr>
                      <w:sz w:val="22"/>
                      <w:szCs w:val="22"/>
                    </w:rPr>
                    <w:t>88; 1</w:t>
                  </w:r>
                  <w:r w:rsidR="00737CF8" w:rsidRPr="009C0BEE">
                    <w:rPr>
                      <w:sz w:val="22"/>
                      <w:szCs w:val="22"/>
                    </w:rPr>
                    <w:t>,</w:t>
                  </w:r>
                  <w:r w:rsidRPr="009C0BEE">
                    <w:rPr>
                      <w:sz w:val="22"/>
                      <w:szCs w:val="22"/>
                    </w:rPr>
                    <w:t>27)</w:t>
                  </w:r>
                </w:p>
                <w:p w:rsidR="00C6356D" w:rsidRPr="009C0BEE" w:rsidRDefault="00C6356D" w:rsidP="00737CF8">
                  <w:pPr>
                    <w:pStyle w:val="Header"/>
                    <w:tabs>
                      <w:tab w:val="left" w:pos="284"/>
                    </w:tabs>
                    <w:rPr>
                      <w:sz w:val="22"/>
                      <w:szCs w:val="22"/>
                    </w:rPr>
                  </w:pPr>
                  <w:r w:rsidRPr="009C0BEE">
                    <w:rPr>
                      <w:sz w:val="22"/>
                      <w:szCs w:val="22"/>
                    </w:rPr>
                    <w:t>1</w:t>
                  </w:r>
                  <w:r w:rsidR="00737CF8" w:rsidRPr="009C0BEE">
                    <w:rPr>
                      <w:sz w:val="22"/>
                      <w:szCs w:val="22"/>
                    </w:rPr>
                    <w:t>,</w:t>
                  </w:r>
                  <w:r w:rsidRPr="009C0BEE">
                    <w:rPr>
                      <w:sz w:val="22"/>
                      <w:szCs w:val="22"/>
                    </w:rPr>
                    <w:t>02 (0</w:t>
                  </w:r>
                  <w:r w:rsidR="00737CF8" w:rsidRPr="009C0BEE">
                    <w:rPr>
                      <w:sz w:val="22"/>
                      <w:szCs w:val="22"/>
                    </w:rPr>
                    <w:t>,</w:t>
                  </w:r>
                  <w:r w:rsidRPr="009C0BEE">
                    <w:rPr>
                      <w:sz w:val="22"/>
                      <w:szCs w:val="22"/>
                    </w:rPr>
                    <w:t>86; 1</w:t>
                  </w:r>
                  <w:r w:rsidR="00737CF8" w:rsidRPr="009C0BEE">
                    <w:rPr>
                      <w:sz w:val="22"/>
                      <w:szCs w:val="22"/>
                    </w:rPr>
                    <w:t>,</w:t>
                  </w:r>
                  <w:r w:rsidRPr="009C0BEE">
                    <w:rPr>
                      <w:sz w:val="22"/>
                      <w:szCs w:val="22"/>
                    </w:rPr>
                    <w:t>21)</w:t>
                  </w:r>
                </w:p>
              </w:tc>
            </w:tr>
          </w:tbl>
          <w:p w:rsidR="00C6356D" w:rsidRPr="009C0BEE" w:rsidRDefault="00C6356D" w:rsidP="0039475C">
            <w:pPr>
              <w:pStyle w:val="Header"/>
              <w:tabs>
                <w:tab w:val="left" w:pos="284"/>
              </w:tabs>
              <w:jc w:val="both"/>
              <w:rPr>
                <w:sz w:val="22"/>
                <w:szCs w:val="22"/>
              </w:rPr>
            </w:pPr>
            <w:r w:rsidRPr="009C0BEE">
              <w:rPr>
                <w:sz w:val="22"/>
                <w:szCs w:val="22"/>
              </w:rPr>
              <w:t>*PPP=populacija po protokolu; **ITT=populacija pacijenata koji su primili najmanje jednu dozu ispitivanog lijeka</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u w:val="single"/>
              </w:rPr>
            </w:pPr>
            <w:r w:rsidRPr="009C0BEE">
              <w:rPr>
                <w:sz w:val="22"/>
                <w:szCs w:val="22"/>
                <w:u w:val="single"/>
              </w:rPr>
              <w:t>Uznapredovali karcinom želuca</w:t>
            </w:r>
            <w:r w:rsidR="00E92B1E" w:rsidRPr="009C0BEE">
              <w:rPr>
                <w:sz w:val="22"/>
                <w:szCs w:val="22"/>
                <w:u w:val="single"/>
              </w:rPr>
              <w:t>:</w:t>
            </w:r>
          </w:p>
          <w:p w:rsidR="00C6356D" w:rsidRPr="009C0BEE" w:rsidRDefault="00C6356D" w:rsidP="00D57D14">
            <w:pPr>
              <w:pStyle w:val="Header"/>
              <w:tabs>
                <w:tab w:val="left" w:pos="284"/>
              </w:tabs>
              <w:jc w:val="both"/>
              <w:rPr>
                <w:sz w:val="22"/>
                <w:szCs w:val="22"/>
              </w:rPr>
            </w:pPr>
            <w:r w:rsidRPr="009C0BEE">
              <w:rPr>
                <w:sz w:val="22"/>
                <w:szCs w:val="22"/>
              </w:rPr>
              <w:t xml:space="preserve">Podaci iz jednog multicentričnog, randomizovanog kontrolisanog kliničkog ispitivanja treće faze kod </w:t>
            </w:r>
            <w:r w:rsidR="00D57D14" w:rsidRPr="009C0BEE">
              <w:rPr>
                <w:sz w:val="22"/>
                <w:szCs w:val="22"/>
              </w:rPr>
              <w:t>pacijenata</w:t>
            </w:r>
            <w:r w:rsidRPr="009C0BEE">
              <w:rPr>
                <w:sz w:val="22"/>
                <w:szCs w:val="22"/>
              </w:rPr>
              <w:t xml:space="preserve"> sa uznapredovalim karcinomom želuca podržavaju upotrebu</w:t>
            </w:r>
            <w:r w:rsidR="00D57D14" w:rsidRPr="009C0BEE">
              <w:rPr>
                <w:sz w:val="22"/>
                <w:szCs w:val="22"/>
              </w:rPr>
              <w:t xml:space="preserve"> k</w:t>
            </w:r>
            <w:r w:rsidR="00661B87" w:rsidRPr="009C0BEE">
              <w:rPr>
                <w:sz w:val="22"/>
                <w:szCs w:val="22"/>
              </w:rPr>
              <w:t>apecita</w:t>
            </w:r>
            <w:r w:rsidR="00D45B60" w:rsidRPr="009C0BEE">
              <w:rPr>
                <w:sz w:val="22"/>
                <w:szCs w:val="22"/>
              </w:rPr>
              <w:t>bi</w:t>
            </w:r>
            <w:r w:rsidR="00D57D14" w:rsidRPr="009C0BEE">
              <w:rPr>
                <w:sz w:val="22"/>
                <w:szCs w:val="22"/>
              </w:rPr>
              <w:t>n</w:t>
            </w:r>
            <w:r w:rsidR="00661B87" w:rsidRPr="009C0BEE">
              <w:rPr>
                <w:sz w:val="22"/>
                <w:szCs w:val="22"/>
              </w:rPr>
              <w:t>a</w:t>
            </w:r>
            <w:r w:rsidRPr="009C0BEE">
              <w:rPr>
                <w:sz w:val="22"/>
                <w:szCs w:val="22"/>
              </w:rPr>
              <w:t xml:space="preserve"> kao prve linije terapije uznapredovalog karcinoma želuca (ML17032).</w:t>
            </w:r>
            <w:r w:rsidRPr="009C0BEE">
              <w:rPr>
                <w:color w:val="FF0000"/>
                <w:sz w:val="22"/>
                <w:szCs w:val="22"/>
              </w:rPr>
              <w:t xml:space="preserve"> </w:t>
            </w:r>
            <w:r w:rsidRPr="009C0BEE">
              <w:rPr>
                <w:sz w:val="22"/>
                <w:szCs w:val="22"/>
              </w:rPr>
              <w:t xml:space="preserve">U ovom ispitivanju, 160 pacijenata je randomizovano da prima </w:t>
            </w:r>
            <w:r w:rsidR="00661B87" w:rsidRPr="009C0BEE">
              <w:rPr>
                <w:sz w:val="22"/>
                <w:szCs w:val="22"/>
              </w:rPr>
              <w:t>kapecitabin</w:t>
            </w:r>
            <w:r w:rsidRPr="009C0BEE">
              <w:rPr>
                <w:sz w:val="22"/>
                <w:szCs w:val="22"/>
              </w:rPr>
              <w:t xml:space="preserve"> (1000 mg/m</w:t>
            </w:r>
            <w:r w:rsidRPr="009C0BEE">
              <w:rPr>
                <w:sz w:val="22"/>
                <w:szCs w:val="22"/>
                <w:vertAlign w:val="superscript"/>
              </w:rPr>
              <w:t>2</w:t>
            </w:r>
            <w:r w:rsidRPr="009C0BEE">
              <w:rPr>
                <w:sz w:val="22"/>
                <w:szCs w:val="22"/>
              </w:rPr>
              <w:t xml:space="preserve"> dva puta dnevno tokom 2 ned</w:t>
            </w:r>
            <w:r w:rsidR="00D57D14" w:rsidRPr="009C0BEE">
              <w:rPr>
                <w:sz w:val="22"/>
                <w:szCs w:val="22"/>
              </w:rPr>
              <w:t>j</w:t>
            </w:r>
            <w:r w:rsidRPr="009C0BEE">
              <w:rPr>
                <w:sz w:val="22"/>
                <w:szCs w:val="22"/>
              </w:rPr>
              <w:t>elje</w:t>
            </w:r>
            <w:r w:rsidR="007721BD" w:rsidRPr="009C0BEE">
              <w:rPr>
                <w:sz w:val="22"/>
                <w:szCs w:val="22"/>
              </w:rPr>
              <w:t>,</w:t>
            </w:r>
            <w:r w:rsidRPr="009C0BEE">
              <w:rPr>
                <w:sz w:val="22"/>
                <w:szCs w:val="22"/>
              </w:rPr>
              <w:t xml:space="preserve"> posl</w:t>
            </w:r>
            <w:r w:rsidR="007721BD" w:rsidRPr="009C0BEE">
              <w:rPr>
                <w:sz w:val="22"/>
                <w:szCs w:val="22"/>
              </w:rPr>
              <w:t>ij</w:t>
            </w:r>
            <w:r w:rsidRPr="009C0BEE">
              <w:rPr>
                <w:sz w:val="22"/>
                <w:szCs w:val="22"/>
              </w:rPr>
              <w:t>e čega slijedi sedmodnevni period odmora) i cisplatin (80 mg/m</w:t>
            </w:r>
            <w:r w:rsidRPr="009C0BEE">
              <w:rPr>
                <w:sz w:val="22"/>
                <w:szCs w:val="22"/>
                <w:vertAlign w:val="superscript"/>
              </w:rPr>
              <w:t>2</w:t>
            </w:r>
            <w:r w:rsidRPr="009C0BEE">
              <w:rPr>
                <w:sz w:val="22"/>
                <w:szCs w:val="22"/>
              </w:rPr>
              <w:t xml:space="preserve"> u vidu dvočasovne infuzije svake tri ned</w:t>
            </w:r>
            <w:r w:rsidR="00D57D14" w:rsidRPr="009C0BEE">
              <w:rPr>
                <w:sz w:val="22"/>
                <w:szCs w:val="22"/>
              </w:rPr>
              <w:t>j</w:t>
            </w:r>
            <w:r w:rsidRPr="009C0BEE">
              <w:rPr>
                <w:sz w:val="22"/>
                <w:szCs w:val="22"/>
              </w:rPr>
              <w:t>elje). Ukupno je 156 pacijenata randomizovano da prima terapiju 5-FU (800 mg/m</w:t>
            </w:r>
            <w:r w:rsidRPr="009C0BEE">
              <w:rPr>
                <w:sz w:val="22"/>
                <w:szCs w:val="22"/>
                <w:vertAlign w:val="superscript"/>
              </w:rPr>
              <w:t>2</w:t>
            </w:r>
            <w:r w:rsidRPr="009C0BEE">
              <w:rPr>
                <w:sz w:val="22"/>
                <w:szCs w:val="22"/>
              </w:rPr>
              <w:t xml:space="preserve"> dnevno, kontinuirana infuzija od prvog do petog dana svake tri ned</w:t>
            </w:r>
            <w:r w:rsidR="00D57D14" w:rsidRPr="009C0BEE">
              <w:rPr>
                <w:sz w:val="22"/>
                <w:szCs w:val="22"/>
              </w:rPr>
              <w:t>j</w:t>
            </w:r>
            <w:r w:rsidRPr="009C0BEE">
              <w:rPr>
                <w:sz w:val="22"/>
                <w:szCs w:val="22"/>
              </w:rPr>
              <w:t>elje) i cisplatin (80 mg/m</w:t>
            </w:r>
            <w:r w:rsidRPr="009C0BEE">
              <w:rPr>
                <w:sz w:val="22"/>
                <w:szCs w:val="22"/>
                <w:vertAlign w:val="superscript"/>
              </w:rPr>
              <w:t>2</w:t>
            </w:r>
            <w:r w:rsidRPr="009C0BEE">
              <w:rPr>
                <w:sz w:val="22"/>
                <w:szCs w:val="22"/>
              </w:rPr>
              <w:t xml:space="preserve"> u vidu dvočasovne infuzije prvog dana svake tri ned</w:t>
            </w:r>
            <w:r w:rsidR="00D57D14" w:rsidRPr="009C0BEE">
              <w:rPr>
                <w:sz w:val="22"/>
                <w:szCs w:val="22"/>
              </w:rPr>
              <w:t>j</w:t>
            </w:r>
            <w:r w:rsidRPr="009C0BEE">
              <w:rPr>
                <w:sz w:val="22"/>
                <w:szCs w:val="22"/>
              </w:rPr>
              <w:t xml:space="preserve">elje). </w:t>
            </w:r>
            <w:r w:rsidR="00661B87" w:rsidRPr="009C0BEE">
              <w:rPr>
                <w:sz w:val="22"/>
                <w:szCs w:val="22"/>
              </w:rPr>
              <w:t>Kapecitabin</w:t>
            </w:r>
            <w:r w:rsidRPr="009C0BEE">
              <w:rPr>
                <w:sz w:val="22"/>
                <w:szCs w:val="22"/>
              </w:rPr>
              <w:t xml:space="preserve"> u kombinaciji sa cisplatinom nije </w:t>
            </w:r>
            <w:r w:rsidR="007721BD" w:rsidRPr="009C0BEE">
              <w:rPr>
                <w:sz w:val="22"/>
                <w:szCs w:val="22"/>
              </w:rPr>
              <w:t xml:space="preserve">bio </w:t>
            </w:r>
            <w:r w:rsidR="000A4C0F" w:rsidRPr="009C0BEE">
              <w:rPr>
                <w:sz w:val="22"/>
                <w:szCs w:val="22"/>
              </w:rPr>
              <w:t>inferiorniji</w:t>
            </w:r>
            <w:r w:rsidR="007721BD" w:rsidRPr="009C0BEE">
              <w:rPr>
                <w:sz w:val="22"/>
                <w:szCs w:val="22"/>
              </w:rPr>
              <w:t xml:space="preserve"> </w:t>
            </w:r>
            <w:r w:rsidRPr="009C0BEE">
              <w:rPr>
                <w:sz w:val="22"/>
                <w:szCs w:val="22"/>
              </w:rPr>
              <w:t>od kombinacije  5-FU plus cisplatin u smislu preživljavanja bez progresije bolesti u analizi po protokolu (koeficijent rizika 0,81; 95%CI 0,63-1,04). Srednje preživljavanje bez progresije bolesti</w:t>
            </w:r>
            <w:r w:rsidRPr="009C0BEE">
              <w:rPr>
                <w:color w:val="FF0000"/>
                <w:sz w:val="22"/>
                <w:szCs w:val="22"/>
              </w:rPr>
              <w:t xml:space="preserve"> </w:t>
            </w:r>
            <w:r w:rsidRPr="009C0BEE">
              <w:rPr>
                <w:sz w:val="22"/>
                <w:szCs w:val="22"/>
              </w:rPr>
              <w:t>iznosilo je 5,6 mjeseci (</w:t>
            </w:r>
            <w:r w:rsidR="00661B87" w:rsidRPr="009C0BEE">
              <w:rPr>
                <w:sz w:val="22"/>
                <w:szCs w:val="22"/>
              </w:rPr>
              <w:t>kapecitabin</w:t>
            </w:r>
            <w:r w:rsidRPr="009C0BEE">
              <w:rPr>
                <w:sz w:val="22"/>
                <w:szCs w:val="22"/>
              </w:rPr>
              <w:t xml:space="preserve"> plus cisplatin) u </w:t>
            </w:r>
            <w:r w:rsidR="00BC607A" w:rsidRPr="009C0BEE">
              <w:rPr>
                <w:sz w:val="22"/>
                <w:szCs w:val="22"/>
              </w:rPr>
              <w:t>poređenju sa 5,0 m</w:t>
            </w:r>
            <w:r w:rsidR="007721BD" w:rsidRPr="009C0BEE">
              <w:rPr>
                <w:sz w:val="22"/>
                <w:szCs w:val="22"/>
              </w:rPr>
              <w:t>j</w:t>
            </w:r>
            <w:r w:rsidR="00BC607A" w:rsidRPr="009C0BEE">
              <w:rPr>
                <w:sz w:val="22"/>
                <w:szCs w:val="22"/>
              </w:rPr>
              <w:t xml:space="preserve">eseci (5-FU </w:t>
            </w:r>
            <w:r w:rsidRPr="009C0BEE">
              <w:rPr>
                <w:sz w:val="22"/>
                <w:szCs w:val="22"/>
              </w:rPr>
              <w:t>plus cisplatin). Koeficijent rizika za trajanje preživljavanja (ukupno preživljavanje) bio je sličan koeficijentu rizika za preživljavanje bez progresije bolesti (koeficijent rizika 0,85; 95%CI 0,64-1,13). Srednje trajanje preživljavanja iznosilo je 10,5 mjeseci (</w:t>
            </w:r>
            <w:r w:rsidR="00661B87" w:rsidRPr="009C0BEE">
              <w:rPr>
                <w:sz w:val="22"/>
                <w:szCs w:val="22"/>
              </w:rPr>
              <w:t>kapecitabin</w:t>
            </w:r>
            <w:r w:rsidRPr="009C0BEE">
              <w:rPr>
                <w:sz w:val="22"/>
                <w:szCs w:val="22"/>
              </w:rPr>
              <w:t xml:space="preserve"> plus cisplatin) u p</w:t>
            </w:r>
            <w:r w:rsidR="00BC607A" w:rsidRPr="009C0BEE">
              <w:rPr>
                <w:sz w:val="22"/>
                <w:szCs w:val="22"/>
              </w:rPr>
              <w:t xml:space="preserve">oređenju sa 9,3 mjeseca (5-FU </w:t>
            </w:r>
            <w:r w:rsidRPr="009C0BEE">
              <w:rPr>
                <w:sz w:val="22"/>
                <w:szCs w:val="22"/>
              </w:rPr>
              <w:t>plus cisplatin).</w:t>
            </w:r>
          </w:p>
          <w:p w:rsidR="00C6356D" w:rsidRPr="009C0BEE" w:rsidRDefault="00C6356D" w:rsidP="00C6356D">
            <w:pPr>
              <w:pStyle w:val="Header"/>
              <w:tabs>
                <w:tab w:val="left" w:pos="284"/>
              </w:tabs>
              <w:rPr>
                <w:color w:val="FF0000"/>
                <w:sz w:val="22"/>
                <w:szCs w:val="22"/>
              </w:rPr>
            </w:pPr>
          </w:p>
          <w:p w:rsidR="00C6356D" w:rsidRPr="009C0BEE" w:rsidRDefault="00C6356D" w:rsidP="003B7FBF">
            <w:pPr>
              <w:pStyle w:val="Header"/>
              <w:tabs>
                <w:tab w:val="left" w:pos="284"/>
              </w:tabs>
              <w:jc w:val="both"/>
              <w:rPr>
                <w:sz w:val="22"/>
                <w:szCs w:val="22"/>
              </w:rPr>
            </w:pPr>
            <w:r w:rsidRPr="009C0BEE">
              <w:rPr>
                <w:sz w:val="22"/>
                <w:szCs w:val="22"/>
              </w:rPr>
              <w:t xml:space="preserve">Podaci iz jedne randomizovane, multicentrične studije treće faze u kojoj je upoređen kapecitabin sa 5-FU  i oksaliplatin sa cisplatinom kod pacijenata sa uznapredovalim karcinomom želuca podržavaju upotrebu </w:t>
            </w:r>
            <w:r w:rsidR="00DD4C46" w:rsidRPr="009C0BEE">
              <w:rPr>
                <w:sz w:val="22"/>
                <w:szCs w:val="22"/>
              </w:rPr>
              <w:t>kapecitabina</w:t>
            </w:r>
            <w:r w:rsidRPr="009C0BEE">
              <w:rPr>
                <w:sz w:val="22"/>
                <w:szCs w:val="22"/>
              </w:rPr>
              <w:t xml:space="preserve"> za prvu liniju terapije uznapredovalog karcinoma želuca (REAL-2). U ovom ispitivanju, 1002 pacijenata je randomizovano u 2x2 faktorskom dizajnu u jednu od sl</w:t>
            </w:r>
            <w:r w:rsidR="003B7FBF" w:rsidRPr="009C0BEE">
              <w:rPr>
                <w:sz w:val="22"/>
                <w:szCs w:val="22"/>
              </w:rPr>
              <w:t>j</w:t>
            </w:r>
            <w:r w:rsidRPr="009C0BEE">
              <w:rPr>
                <w:sz w:val="22"/>
                <w:szCs w:val="22"/>
              </w:rPr>
              <w:t xml:space="preserve">edeće četiri grupe: </w:t>
            </w:r>
          </w:p>
          <w:p w:rsidR="00C6356D" w:rsidRPr="009C0BEE" w:rsidRDefault="00C6356D" w:rsidP="00C6356D">
            <w:pPr>
              <w:pStyle w:val="Header"/>
              <w:numPr>
                <w:ilvl w:val="0"/>
                <w:numId w:val="3"/>
              </w:numPr>
              <w:tabs>
                <w:tab w:val="clear" w:pos="4320"/>
                <w:tab w:val="clear" w:pos="8640"/>
                <w:tab w:val="left" w:pos="284"/>
                <w:tab w:val="center" w:pos="4536"/>
                <w:tab w:val="right" w:pos="9072"/>
              </w:tabs>
              <w:jc w:val="both"/>
              <w:rPr>
                <w:sz w:val="22"/>
                <w:szCs w:val="22"/>
              </w:rPr>
            </w:pPr>
            <w:r w:rsidRPr="009C0BEE">
              <w:rPr>
                <w:sz w:val="22"/>
                <w:szCs w:val="22"/>
              </w:rPr>
              <w:t>ECF: epirubicin (50 mg/m</w:t>
            </w:r>
            <w:r w:rsidRPr="009C0BEE">
              <w:rPr>
                <w:sz w:val="22"/>
                <w:szCs w:val="22"/>
                <w:vertAlign w:val="superscript"/>
              </w:rPr>
              <w:t>2</w:t>
            </w:r>
            <w:r w:rsidRPr="009C0BEE">
              <w:rPr>
                <w:sz w:val="22"/>
                <w:szCs w:val="22"/>
              </w:rPr>
              <w:t xml:space="preserve"> kao bolus prvog dana svake 3 ned</w:t>
            </w:r>
            <w:r w:rsidR="00E35269" w:rsidRPr="009C0BEE">
              <w:rPr>
                <w:sz w:val="22"/>
                <w:szCs w:val="22"/>
              </w:rPr>
              <w:t>j</w:t>
            </w:r>
            <w:r w:rsidRPr="009C0BEE">
              <w:rPr>
                <w:sz w:val="22"/>
                <w:szCs w:val="22"/>
              </w:rPr>
              <w:t>elje), cisplatin (60 mg/m</w:t>
            </w:r>
            <w:r w:rsidRPr="009C0BEE">
              <w:rPr>
                <w:sz w:val="22"/>
                <w:szCs w:val="22"/>
                <w:vertAlign w:val="superscript"/>
              </w:rPr>
              <w:t>2</w:t>
            </w:r>
            <w:r w:rsidRPr="009C0BEE">
              <w:rPr>
                <w:sz w:val="22"/>
                <w:szCs w:val="22"/>
              </w:rPr>
              <w:t xml:space="preserve"> u vidu dvočasovne infuzije prvog dana svake 3 ned</w:t>
            </w:r>
            <w:r w:rsidR="00E35269" w:rsidRPr="009C0BEE">
              <w:rPr>
                <w:sz w:val="22"/>
                <w:szCs w:val="22"/>
              </w:rPr>
              <w:t>j</w:t>
            </w:r>
            <w:r w:rsidRPr="009C0BEE">
              <w:rPr>
                <w:sz w:val="22"/>
                <w:szCs w:val="22"/>
              </w:rPr>
              <w:t>elje) i 5-FU (200 mg/m</w:t>
            </w:r>
            <w:r w:rsidRPr="009C0BEE">
              <w:rPr>
                <w:sz w:val="22"/>
                <w:szCs w:val="22"/>
                <w:vertAlign w:val="superscript"/>
              </w:rPr>
              <w:t>2</w:t>
            </w:r>
            <w:r w:rsidRPr="009C0BEE">
              <w:rPr>
                <w:sz w:val="22"/>
                <w:szCs w:val="22"/>
              </w:rPr>
              <w:t xml:space="preserve"> dnevno u kontinuiranoj infuziji preko centralne linije),</w:t>
            </w:r>
          </w:p>
          <w:p w:rsidR="00C6356D" w:rsidRPr="009C0BEE" w:rsidRDefault="00C6356D" w:rsidP="00C6356D">
            <w:pPr>
              <w:pStyle w:val="Header"/>
              <w:numPr>
                <w:ilvl w:val="0"/>
                <w:numId w:val="3"/>
              </w:numPr>
              <w:tabs>
                <w:tab w:val="clear" w:pos="4320"/>
                <w:tab w:val="clear" w:pos="8640"/>
                <w:tab w:val="left" w:pos="284"/>
                <w:tab w:val="center" w:pos="4536"/>
                <w:tab w:val="right" w:pos="9072"/>
              </w:tabs>
              <w:jc w:val="both"/>
              <w:rPr>
                <w:sz w:val="22"/>
                <w:szCs w:val="22"/>
              </w:rPr>
            </w:pPr>
            <w:r w:rsidRPr="009C0BEE">
              <w:rPr>
                <w:sz w:val="22"/>
                <w:szCs w:val="22"/>
              </w:rPr>
              <w:t>ECX: epirubicin (50 mg/m</w:t>
            </w:r>
            <w:r w:rsidRPr="009C0BEE">
              <w:rPr>
                <w:sz w:val="22"/>
                <w:szCs w:val="22"/>
                <w:vertAlign w:val="superscript"/>
              </w:rPr>
              <w:t>2</w:t>
            </w:r>
            <w:r w:rsidRPr="009C0BEE">
              <w:rPr>
                <w:sz w:val="22"/>
                <w:szCs w:val="22"/>
              </w:rPr>
              <w:t xml:space="preserve"> kao bolus prvog dana svake 3 ned</w:t>
            </w:r>
            <w:r w:rsidR="00E35269" w:rsidRPr="009C0BEE">
              <w:rPr>
                <w:sz w:val="22"/>
                <w:szCs w:val="22"/>
              </w:rPr>
              <w:t>j</w:t>
            </w:r>
            <w:r w:rsidRPr="009C0BEE">
              <w:rPr>
                <w:sz w:val="22"/>
                <w:szCs w:val="22"/>
              </w:rPr>
              <w:t>elje), cisplatin (60 mg/m</w:t>
            </w:r>
            <w:r w:rsidRPr="009C0BEE">
              <w:rPr>
                <w:sz w:val="22"/>
                <w:szCs w:val="22"/>
                <w:vertAlign w:val="superscript"/>
              </w:rPr>
              <w:t>2</w:t>
            </w:r>
            <w:r w:rsidRPr="009C0BEE">
              <w:rPr>
                <w:sz w:val="22"/>
                <w:szCs w:val="22"/>
              </w:rPr>
              <w:t xml:space="preserve"> u vidu dvočasovne infuzije prvog dana svake 3 ned</w:t>
            </w:r>
            <w:r w:rsidR="00E35269" w:rsidRPr="009C0BEE">
              <w:rPr>
                <w:sz w:val="22"/>
                <w:szCs w:val="22"/>
              </w:rPr>
              <w:t>j</w:t>
            </w:r>
            <w:r w:rsidRPr="009C0BEE">
              <w:rPr>
                <w:sz w:val="22"/>
                <w:szCs w:val="22"/>
              </w:rPr>
              <w:t xml:space="preserve">elje) i </w:t>
            </w:r>
            <w:r w:rsidR="00E35269" w:rsidRPr="009C0BEE">
              <w:rPr>
                <w:sz w:val="22"/>
                <w:szCs w:val="22"/>
              </w:rPr>
              <w:t>k</w:t>
            </w:r>
            <w:r w:rsidR="00F91C4D" w:rsidRPr="009C0BEE">
              <w:rPr>
                <w:sz w:val="22"/>
                <w:szCs w:val="22"/>
              </w:rPr>
              <w:t>apecitabin</w:t>
            </w:r>
            <w:r w:rsidR="004E3DA4" w:rsidRPr="009C0BEE">
              <w:rPr>
                <w:sz w:val="22"/>
                <w:szCs w:val="22"/>
              </w:rPr>
              <w:t xml:space="preserve"> </w:t>
            </w:r>
            <w:r w:rsidRPr="009C0BEE">
              <w:rPr>
                <w:sz w:val="22"/>
                <w:szCs w:val="22"/>
              </w:rPr>
              <w:t>(625 mg/m</w:t>
            </w:r>
            <w:r w:rsidRPr="009C0BEE">
              <w:rPr>
                <w:sz w:val="22"/>
                <w:szCs w:val="22"/>
                <w:vertAlign w:val="superscript"/>
              </w:rPr>
              <w:t>2</w:t>
            </w:r>
            <w:r w:rsidRPr="009C0BEE">
              <w:rPr>
                <w:sz w:val="22"/>
                <w:szCs w:val="22"/>
              </w:rPr>
              <w:t xml:space="preserve"> dva puta dnevno, kontinuirano); </w:t>
            </w:r>
          </w:p>
          <w:p w:rsidR="00C6356D" w:rsidRPr="009C0BEE" w:rsidRDefault="00C6356D" w:rsidP="00C6356D">
            <w:pPr>
              <w:pStyle w:val="Header"/>
              <w:numPr>
                <w:ilvl w:val="0"/>
                <w:numId w:val="3"/>
              </w:numPr>
              <w:tabs>
                <w:tab w:val="clear" w:pos="4320"/>
                <w:tab w:val="clear" w:pos="8640"/>
                <w:tab w:val="left" w:pos="284"/>
                <w:tab w:val="center" w:pos="4536"/>
                <w:tab w:val="right" w:pos="9072"/>
              </w:tabs>
              <w:jc w:val="both"/>
              <w:rPr>
                <w:sz w:val="22"/>
                <w:szCs w:val="22"/>
              </w:rPr>
            </w:pPr>
            <w:r w:rsidRPr="009C0BEE">
              <w:rPr>
                <w:sz w:val="22"/>
                <w:szCs w:val="22"/>
              </w:rPr>
              <w:t>EOF: epirubicin (50 mg/m</w:t>
            </w:r>
            <w:r w:rsidRPr="009C0BEE">
              <w:rPr>
                <w:sz w:val="22"/>
                <w:szCs w:val="22"/>
                <w:vertAlign w:val="superscript"/>
              </w:rPr>
              <w:t>2</w:t>
            </w:r>
            <w:r w:rsidRPr="009C0BEE">
              <w:rPr>
                <w:sz w:val="22"/>
                <w:szCs w:val="22"/>
              </w:rPr>
              <w:t xml:space="preserve"> kao bolus prvog dana svake 3 ned</w:t>
            </w:r>
            <w:r w:rsidR="00E35269" w:rsidRPr="009C0BEE">
              <w:rPr>
                <w:sz w:val="22"/>
                <w:szCs w:val="22"/>
              </w:rPr>
              <w:t>j</w:t>
            </w:r>
            <w:r w:rsidRPr="009C0BEE">
              <w:rPr>
                <w:sz w:val="22"/>
                <w:szCs w:val="22"/>
              </w:rPr>
              <w:t>elje), oksaliplatin (130 mg/m</w:t>
            </w:r>
            <w:r w:rsidRPr="009C0BEE">
              <w:rPr>
                <w:sz w:val="22"/>
                <w:szCs w:val="22"/>
                <w:vertAlign w:val="superscript"/>
              </w:rPr>
              <w:t>2</w:t>
            </w:r>
            <w:r w:rsidRPr="009C0BEE">
              <w:rPr>
                <w:sz w:val="22"/>
                <w:szCs w:val="22"/>
              </w:rPr>
              <w:t xml:space="preserve"> u vidu dvočasovne infuzije prvog dana svake 3 ned</w:t>
            </w:r>
            <w:r w:rsidR="00E35269" w:rsidRPr="009C0BEE">
              <w:rPr>
                <w:sz w:val="22"/>
                <w:szCs w:val="22"/>
              </w:rPr>
              <w:t>j</w:t>
            </w:r>
            <w:r w:rsidRPr="009C0BEE">
              <w:rPr>
                <w:sz w:val="22"/>
                <w:szCs w:val="22"/>
              </w:rPr>
              <w:t>elje) i 5-FU (200 mg/m</w:t>
            </w:r>
            <w:r w:rsidRPr="009C0BEE">
              <w:rPr>
                <w:sz w:val="22"/>
                <w:szCs w:val="22"/>
                <w:vertAlign w:val="superscript"/>
              </w:rPr>
              <w:t>2</w:t>
            </w:r>
            <w:r w:rsidRPr="009C0BEE">
              <w:rPr>
                <w:sz w:val="22"/>
                <w:szCs w:val="22"/>
              </w:rPr>
              <w:t xml:space="preserve"> dnevno u kontinuiranoj infuziji preko centralne linije),</w:t>
            </w:r>
          </w:p>
          <w:p w:rsidR="00C6356D" w:rsidRPr="009C0BEE" w:rsidRDefault="00C6356D" w:rsidP="00C6356D">
            <w:pPr>
              <w:pStyle w:val="Header"/>
              <w:numPr>
                <w:ilvl w:val="0"/>
                <w:numId w:val="3"/>
              </w:numPr>
              <w:tabs>
                <w:tab w:val="clear" w:pos="4320"/>
                <w:tab w:val="clear" w:pos="8640"/>
                <w:tab w:val="left" w:pos="284"/>
                <w:tab w:val="center" w:pos="4536"/>
                <w:tab w:val="right" w:pos="9072"/>
              </w:tabs>
              <w:jc w:val="both"/>
              <w:rPr>
                <w:color w:val="FF0000"/>
                <w:sz w:val="22"/>
                <w:szCs w:val="22"/>
              </w:rPr>
            </w:pPr>
            <w:r w:rsidRPr="009C0BEE">
              <w:rPr>
                <w:sz w:val="22"/>
                <w:szCs w:val="22"/>
              </w:rPr>
              <w:t>EOX: epirubicin (50 mg/m</w:t>
            </w:r>
            <w:r w:rsidRPr="009C0BEE">
              <w:rPr>
                <w:sz w:val="22"/>
                <w:szCs w:val="22"/>
                <w:vertAlign w:val="superscript"/>
              </w:rPr>
              <w:t>2</w:t>
            </w:r>
            <w:r w:rsidRPr="009C0BEE">
              <w:rPr>
                <w:sz w:val="22"/>
                <w:szCs w:val="22"/>
              </w:rPr>
              <w:t xml:space="preserve"> kao bolus prvog dana svake 3 ned</w:t>
            </w:r>
            <w:r w:rsidR="00A44AAD" w:rsidRPr="009C0BEE">
              <w:rPr>
                <w:sz w:val="22"/>
                <w:szCs w:val="22"/>
              </w:rPr>
              <w:t>j</w:t>
            </w:r>
            <w:r w:rsidRPr="009C0BEE">
              <w:rPr>
                <w:sz w:val="22"/>
                <w:szCs w:val="22"/>
              </w:rPr>
              <w:t>elje), oksaliplatin (130 mg/m</w:t>
            </w:r>
            <w:r w:rsidRPr="009C0BEE">
              <w:rPr>
                <w:sz w:val="22"/>
                <w:szCs w:val="22"/>
                <w:vertAlign w:val="superscript"/>
              </w:rPr>
              <w:t>2</w:t>
            </w:r>
            <w:r w:rsidRPr="009C0BEE">
              <w:rPr>
                <w:sz w:val="22"/>
                <w:szCs w:val="22"/>
              </w:rPr>
              <w:t xml:space="preserve"> u vidu dvočasovne infuzije prvog dana svake 3 ned</w:t>
            </w:r>
            <w:r w:rsidR="00A44AAD" w:rsidRPr="009C0BEE">
              <w:rPr>
                <w:sz w:val="22"/>
                <w:szCs w:val="22"/>
              </w:rPr>
              <w:t>j</w:t>
            </w:r>
            <w:r w:rsidRPr="009C0BEE">
              <w:rPr>
                <w:sz w:val="22"/>
                <w:szCs w:val="22"/>
              </w:rPr>
              <w:t xml:space="preserve">elje)  i </w:t>
            </w:r>
            <w:r w:rsidR="00A44AAD" w:rsidRPr="009C0BEE">
              <w:rPr>
                <w:sz w:val="22"/>
                <w:szCs w:val="22"/>
              </w:rPr>
              <w:t>k</w:t>
            </w:r>
            <w:r w:rsidR="00F91C4D" w:rsidRPr="009C0BEE">
              <w:rPr>
                <w:sz w:val="22"/>
                <w:szCs w:val="22"/>
              </w:rPr>
              <w:t>apecitabin</w:t>
            </w:r>
            <w:r w:rsidRPr="009C0BEE">
              <w:rPr>
                <w:sz w:val="22"/>
                <w:szCs w:val="22"/>
              </w:rPr>
              <w:t xml:space="preserve"> (625 mg/m</w:t>
            </w:r>
            <w:r w:rsidRPr="009C0BEE">
              <w:rPr>
                <w:sz w:val="22"/>
                <w:szCs w:val="22"/>
                <w:vertAlign w:val="superscript"/>
              </w:rPr>
              <w:t>2</w:t>
            </w:r>
            <w:r w:rsidRPr="009C0BEE">
              <w:rPr>
                <w:sz w:val="22"/>
                <w:szCs w:val="22"/>
              </w:rPr>
              <w:t xml:space="preserve"> dva puta dnevno,</w:t>
            </w:r>
            <w:r w:rsidRPr="009C0BEE">
              <w:rPr>
                <w:color w:val="FF0000"/>
                <w:sz w:val="22"/>
                <w:szCs w:val="22"/>
              </w:rPr>
              <w:t xml:space="preserve"> </w:t>
            </w:r>
            <w:r w:rsidRPr="009C0BEE">
              <w:rPr>
                <w:sz w:val="22"/>
                <w:szCs w:val="22"/>
              </w:rPr>
              <w:t>kontinuirano).</w:t>
            </w:r>
          </w:p>
          <w:p w:rsidR="00A15D85" w:rsidRPr="009C0BEE" w:rsidRDefault="00A15D85" w:rsidP="00143750">
            <w:pPr>
              <w:pStyle w:val="Header"/>
              <w:tabs>
                <w:tab w:val="clear" w:pos="4320"/>
                <w:tab w:val="clear" w:pos="8640"/>
                <w:tab w:val="left" w:pos="284"/>
                <w:tab w:val="center" w:pos="4536"/>
                <w:tab w:val="right" w:pos="9072"/>
              </w:tabs>
              <w:ind w:left="360"/>
              <w:jc w:val="both"/>
              <w:rPr>
                <w:color w:val="FF0000"/>
                <w:sz w:val="22"/>
                <w:szCs w:val="22"/>
              </w:rPr>
            </w:pPr>
          </w:p>
          <w:p w:rsidR="00C6356D" w:rsidRPr="009C0BEE" w:rsidRDefault="00C6356D" w:rsidP="00143750">
            <w:pPr>
              <w:pStyle w:val="Header"/>
              <w:tabs>
                <w:tab w:val="left" w:pos="284"/>
              </w:tabs>
              <w:jc w:val="both"/>
              <w:rPr>
                <w:sz w:val="22"/>
                <w:szCs w:val="22"/>
              </w:rPr>
            </w:pPr>
            <w:r w:rsidRPr="009C0BEE">
              <w:rPr>
                <w:sz w:val="22"/>
                <w:szCs w:val="22"/>
              </w:rPr>
              <w:t>Primarne analize efikasnosti u populaciji po ovom protokolu pokazale su da u sveukupnom preživljavanju nisu inferiorniji režimi bazirani na kapecitabinu u poređenju sa 5-FU (koeficijent rizika 0,86; 95%CI 0,8 do 0,99) , kao ni režimi bazirani na oksaliplatinu u poređenju sa cisplatinom  (koeficijent rizika 0,92; 95%CI 0,80 do 1,1).</w:t>
            </w:r>
            <w:r w:rsidRPr="009C0BEE">
              <w:rPr>
                <w:color w:val="FF0000"/>
                <w:sz w:val="22"/>
                <w:szCs w:val="22"/>
              </w:rPr>
              <w:t xml:space="preserve"> </w:t>
            </w:r>
            <w:r w:rsidRPr="009C0BEE">
              <w:rPr>
                <w:sz w:val="22"/>
                <w:szCs w:val="22"/>
              </w:rPr>
              <w:t xml:space="preserve">Srednje sveukupno preživljavanje iznosilo je 10,9 mjeseci u režimima baziranim na kapecitabinu, a 9,6 mjeseci u režimima baziranim na 5-FU. Srednje sveukupno preživljavanje iznosilo je 10,0 mjeseci u režimima baziranim na cisplatinu, a 10,4 mjeseci u režimima baziranim na oksaliplatinu. </w:t>
            </w:r>
          </w:p>
          <w:p w:rsidR="00C6356D" w:rsidRPr="009C0BEE" w:rsidRDefault="00C6356D" w:rsidP="00C6356D">
            <w:pPr>
              <w:pStyle w:val="Header"/>
              <w:tabs>
                <w:tab w:val="left" w:pos="284"/>
              </w:tabs>
              <w:rPr>
                <w:color w:val="FF0000"/>
                <w:sz w:val="22"/>
                <w:szCs w:val="22"/>
              </w:rPr>
            </w:pPr>
          </w:p>
          <w:p w:rsidR="00C6356D" w:rsidRPr="009C0BEE" w:rsidRDefault="00F91C4D" w:rsidP="00A94815">
            <w:pPr>
              <w:pStyle w:val="Header"/>
              <w:tabs>
                <w:tab w:val="left" w:pos="284"/>
              </w:tabs>
              <w:jc w:val="both"/>
              <w:rPr>
                <w:sz w:val="22"/>
                <w:szCs w:val="22"/>
              </w:rPr>
            </w:pPr>
            <w:r w:rsidRPr="009C0BEE">
              <w:rPr>
                <w:sz w:val="22"/>
                <w:szCs w:val="22"/>
              </w:rPr>
              <w:t>Kapecitabin</w:t>
            </w:r>
            <w:r w:rsidR="004E3DA4" w:rsidRPr="009C0BEE">
              <w:rPr>
                <w:sz w:val="22"/>
                <w:szCs w:val="22"/>
              </w:rPr>
              <w:t xml:space="preserve"> </w:t>
            </w:r>
            <w:r w:rsidR="00C6356D" w:rsidRPr="009C0BEE">
              <w:rPr>
                <w:sz w:val="22"/>
                <w:szCs w:val="22"/>
              </w:rPr>
              <w:t xml:space="preserve">je korišćen i u kombinaciji sa oksaliplatinom za liječenje uznapredovalog karcinoma želuca.  Studije sa </w:t>
            </w:r>
            <w:r w:rsidR="00A94815" w:rsidRPr="009C0BEE">
              <w:rPr>
                <w:sz w:val="22"/>
                <w:szCs w:val="22"/>
              </w:rPr>
              <w:t>k</w:t>
            </w:r>
            <w:r w:rsidRPr="009C0BEE">
              <w:rPr>
                <w:sz w:val="22"/>
                <w:szCs w:val="22"/>
              </w:rPr>
              <w:t>apecitabin</w:t>
            </w:r>
            <w:r w:rsidR="00A94815" w:rsidRPr="009C0BEE">
              <w:rPr>
                <w:sz w:val="22"/>
                <w:szCs w:val="22"/>
              </w:rPr>
              <w:t>om kao</w:t>
            </w:r>
            <w:r w:rsidR="00C6356D" w:rsidRPr="009C0BEE">
              <w:rPr>
                <w:sz w:val="22"/>
                <w:szCs w:val="22"/>
              </w:rPr>
              <w:t xml:space="preserve"> monoterapijom ukazuju da </w:t>
            </w:r>
            <w:r w:rsidR="00A94815" w:rsidRPr="009C0BEE">
              <w:rPr>
                <w:sz w:val="22"/>
                <w:szCs w:val="22"/>
              </w:rPr>
              <w:t>k</w:t>
            </w:r>
            <w:r w:rsidRPr="009C0BEE">
              <w:rPr>
                <w:sz w:val="22"/>
                <w:szCs w:val="22"/>
              </w:rPr>
              <w:t>apecitabin</w:t>
            </w:r>
            <w:r w:rsidR="004E3DA4" w:rsidRPr="009C0BEE">
              <w:rPr>
                <w:sz w:val="22"/>
                <w:szCs w:val="22"/>
              </w:rPr>
              <w:t xml:space="preserve"> </w:t>
            </w:r>
            <w:r w:rsidR="00C6356D" w:rsidRPr="009C0BEE">
              <w:rPr>
                <w:sz w:val="22"/>
                <w:szCs w:val="22"/>
              </w:rPr>
              <w:t xml:space="preserve">ima aktivnost kod uznapredovalog karcinoma želuca. </w:t>
            </w:r>
          </w:p>
          <w:p w:rsidR="00C6356D" w:rsidRPr="009C0BEE" w:rsidRDefault="00C6356D" w:rsidP="00C6356D">
            <w:pPr>
              <w:pStyle w:val="Header"/>
              <w:tabs>
                <w:tab w:val="left" w:pos="284"/>
              </w:tabs>
              <w:rPr>
                <w:color w:val="FF0000"/>
                <w:sz w:val="22"/>
                <w:szCs w:val="22"/>
                <w:u w:val="single"/>
              </w:rPr>
            </w:pPr>
          </w:p>
          <w:p w:rsidR="00C6356D" w:rsidRPr="009C0BEE" w:rsidRDefault="00C6356D" w:rsidP="00C6356D">
            <w:pPr>
              <w:pStyle w:val="Header"/>
              <w:tabs>
                <w:tab w:val="left" w:pos="284"/>
              </w:tabs>
              <w:rPr>
                <w:sz w:val="22"/>
                <w:szCs w:val="22"/>
                <w:u w:val="single"/>
              </w:rPr>
            </w:pPr>
            <w:r w:rsidRPr="009C0BEE">
              <w:rPr>
                <w:sz w:val="22"/>
                <w:szCs w:val="22"/>
                <w:u w:val="single"/>
              </w:rPr>
              <w:t xml:space="preserve">Karcinom kolona, kolorektalni karcinom i uznapredovali karcinom želuca: meta anliza </w:t>
            </w:r>
          </w:p>
          <w:p w:rsidR="00C6356D" w:rsidRPr="009C0BEE" w:rsidRDefault="00C6356D" w:rsidP="00FD40BE">
            <w:pPr>
              <w:pStyle w:val="Header"/>
              <w:tabs>
                <w:tab w:val="left" w:pos="284"/>
              </w:tabs>
              <w:jc w:val="both"/>
              <w:rPr>
                <w:sz w:val="22"/>
                <w:szCs w:val="22"/>
              </w:rPr>
            </w:pPr>
            <w:r w:rsidRPr="009C0BEE">
              <w:rPr>
                <w:sz w:val="22"/>
                <w:szCs w:val="22"/>
              </w:rPr>
              <w:t xml:space="preserve">Jedna meta analiza šest kliničkih ispitivanja (SO14695, SO14796, M66001, NO16966, NO16967, M17032) podržava zamjenu 5-FU </w:t>
            </w:r>
            <w:r w:rsidR="00FD40BE" w:rsidRPr="009C0BEE">
              <w:rPr>
                <w:sz w:val="22"/>
                <w:szCs w:val="22"/>
              </w:rPr>
              <w:t>k</w:t>
            </w:r>
            <w:r w:rsidR="00F91C4D" w:rsidRPr="009C0BEE">
              <w:rPr>
                <w:sz w:val="22"/>
                <w:szCs w:val="22"/>
              </w:rPr>
              <w:t>apecitabin</w:t>
            </w:r>
            <w:r w:rsidR="00FD40BE" w:rsidRPr="009C0BEE">
              <w:rPr>
                <w:sz w:val="22"/>
                <w:szCs w:val="22"/>
              </w:rPr>
              <w:t>om</w:t>
            </w:r>
            <w:r w:rsidRPr="009C0BEE">
              <w:rPr>
                <w:sz w:val="22"/>
                <w:szCs w:val="22"/>
              </w:rPr>
              <w:t xml:space="preserve"> </w:t>
            </w:r>
            <w:r w:rsidR="00FD40BE" w:rsidRPr="009C0BEE">
              <w:rPr>
                <w:sz w:val="22"/>
                <w:szCs w:val="22"/>
              </w:rPr>
              <w:t>u monoterapiji i kombino</w:t>
            </w:r>
            <w:r w:rsidRPr="009C0BEE">
              <w:rPr>
                <w:sz w:val="22"/>
                <w:szCs w:val="22"/>
              </w:rPr>
              <w:t>v</w:t>
            </w:r>
            <w:r w:rsidR="00FD40BE" w:rsidRPr="009C0BEE">
              <w:rPr>
                <w:sz w:val="22"/>
                <w:szCs w:val="22"/>
              </w:rPr>
              <w:t>a</w:t>
            </w:r>
            <w:r w:rsidRPr="009C0BEE">
              <w:rPr>
                <w:sz w:val="22"/>
                <w:szCs w:val="22"/>
              </w:rPr>
              <w:t xml:space="preserve">noj terapiji gastrointestinalnih maligniteta. Ova objedinjena analiza uključuje 3097 pacijenata koji su liječeni terapijskim protokolima koji su uključivali </w:t>
            </w:r>
            <w:r w:rsidR="00661B87" w:rsidRPr="009C0BEE">
              <w:rPr>
                <w:sz w:val="22"/>
                <w:szCs w:val="22"/>
              </w:rPr>
              <w:t xml:space="preserve">kapecitabin </w:t>
            </w:r>
            <w:r w:rsidRPr="009C0BEE">
              <w:rPr>
                <w:sz w:val="22"/>
                <w:szCs w:val="22"/>
              </w:rPr>
              <w:t xml:space="preserve">i 3074 pacijenata koji su liječeni terapisjkim protokolima koji su uključivali lijek 5-FU. Srednje ukupno preživljavanje  iznosilo je 703 dana (95% CI: 671; 745) kod pacijenata koji su liječeni terapijskim protokolom koji je uključivao </w:t>
            </w:r>
            <w:r w:rsidR="00661B87" w:rsidRPr="009C0BEE">
              <w:rPr>
                <w:sz w:val="22"/>
                <w:szCs w:val="22"/>
              </w:rPr>
              <w:t>kapecitabin</w:t>
            </w:r>
            <w:r w:rsidRPr="009C0BEE">
              <w:rPr>
                <w:sz w:val="22"/>
                <w:szCs w:val="22"/>
              </w:rPr>
              <w:t xml:space="preserve"> odnosno  683 dana (95% CI: 646 715) kod pacijenata koji su liječeni terapijskim protokolima koji su uključivali lijek 5-FU. Koeficijent rizika za ukupno preživljavanje iznosio je</w:t>
            </w:r>
            <w:r w:rsidRPr="009C0BEE">
              <w:rPr>
                <w:color w:val="FF0000"/>
                <w:sz w:val="22"/>
                <w:szCs w:val="22"/>
              </w:rPr>
              <w:t xml:space="preserve">  </w:t>
            </w:r>
            <w:r w:rsidRPr="009C0BEE">
              <w:rPr>
                <w:sz w:val="22"/>
                <w:szCs w:val="22"/>
              </w:rPr>
              <w:t>0</w:t>
            </w:r>
            <w:r w:rsidR="00046775" w:rsidRPr="009C0BEE">
              <w:rPr>
                <w:sz w:val="22"/>
                <w:szCs w:val="22"/>
              </w:rPr>
              <w:t>,</w:t>
            </w:r>
            <w:r w:rsidRPr="009C0BEE">
              <w:rPr>
                <w:sz w:val="22"/>
                <w:szCs w:val="22"/>
              </w:rPr>
              <w:t>94 (95% CI: 0</w:t>
            </w:r>
            <w:r w:rsidR="00046775" w:rsidRPr="009C0BEE">
              <w:rPr>
                <w:sz w:val="22"/>
                <w:szCs w:val="22"/>
              </w:rPr>
              <w:t>,</w:t>
            </w:r>
            <w:r w:rsidRPr="009C0BEE">
              <w:rPr>
                <w:sz w:val="22"/>
                <w:szCs w:val="22"/>
              </w:rPr>
              <w:t>89; 1,00, p=0</w:t>
            </w:r>
            <w:r w:rsidR="00046775" w:rsidRPr="009C0BEE">
              <w:rPr>
                <w:sz w:val="22"/>
                <w:szCs w:val="22"/>
              </w:rPr>
              <w:t>,</w:t>
            </w:r>
            <w:r w:rsidRPr="009C0BEE">
              <w:rPr>
                <w:sz w:val="22"/>
                <w:szCs w:val="22"/>
              </w:rPr>
              <w:t>0489)</w:t>
            </w:r>
            <w:r w:rsidR="00C306EA" w:rsidRPr="009C0BEE">
              <w:rPr>
                <w:sz w:val="22"/>
                <w:szCs w:val="22"/>
              </w:rPr>
              <w:t>,</w:t>
            </w:r>
            <w:r w:rsidRPr="009C0BEE">
              <w:rPr>
                <w:sz w:val="22"/>
                <w:szCs w:val="22"/>
              </w:rPr>
              <w:t xml:space="preserve"> što govori da su terapijski protokoli koji sadrže </w:t>
            </w:r>
            <w:r w:rsidR="00661B87" w:rsidRPr="009C0BEE">
              <w:rPr>
                <w:sz w:val="22"/>
                <w:szCs w:val="22"/>
              </w:rPr>
              <w:t xml:space="preserve">kapecitabin </w:t>
            </w:r>
            <w:r w:rsidRPr="009C0BEE">
              <w:rPr>
                <w:sz w:val="22"/>
                <w:szCs w:val="22"/>
              </w:rPr>
              <w:t xml:space="preserve"> superiorniji od  onih koji sadrže 5-FU.</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i/>
                <w:sz w:val="22"/>
                <w:szCs w:val="22"/>
                <w:u w:val="single"/>
              </w:rPr>
            </w:pPr>
            <w:r w:rsidRPr="009C0BEE">
              <w:rPr>
                <w:sz w:val="22"/>
                <w:szCs w:val="22"/>
                <w:u w:val="single"/>
              </w:rPr>
              <w:t>Karcinom dojke:</w:t>
            </w:r>
          </w:p>
          <w:p w:rsidR="00C6356D" w:rsidRPr="009C0BEE" w:rsidRDefault="00C6356D" w:rsidP="00C11F0E">
            <w:pPr>
              <w:pStyle w:val="Header"/>
              <w:tabs>
                <w:tab w:val="left" w:pos="284"/>
              </w:tabs>
              <w:jc w:val="both"/>
              <w:rPr>
                <w:i/>
                <w:sz w:val="22"/>
                <w:szCs w:val="22"/>
              </w:rPr>
            </w:pPr>
            <w:r w:rsidRPr="009C0BEE">
              <w:rPr>
                <w:i/>
                <w:sz w:val="22"/>
                <w:szCs w:val="22"/>
              </w:rPr>
              <w:t xml:space="preserve">Kombinovana terapija </w:t>
            </w:r>
            <w:r w:rsidR="00C11F0E" w:rsidRPr="009C0BEE">
              <w:rPr>
                <w:i/>
                <w:sz w:val="22"/>
                <w:szCs w:val="22"/>
              </w:rPr>
              <w:t>k</w:t>
            </w:r>
            <w:r w:rsidR="00F91C4D" w:rsidRPr="009C0BEE">
              <w:rPr>
                <w:i/>
                <w:sz w:val="22"/>
                <w:szCs w:val="22"/>
              </w:rPr>
              <w:t>apecitabin</w:t>
            </w:r>
            <w:r w:rsidR="00C11F0E" w:rsidRPr="009C0BEE">
              <w:rPr>
                <w:i/>
                <w:sz w:val="22"/>
                <w:szCs w:val="22"/>
              </w:rPr>
              <w:t>om</w:t>
            </w:r>
            <w:r w:rsidRPr="009C0BEE">
              <w:rPr>
                <w:i/>
                <w:sz w:val="22"/>
                <w:szCs w:val="22"/>
              </w:rPr>
              <w:t xml:space="preserve"> i docetakselom kod lokalno uznapredovalog ili metastatskog karcinoma dojke</w:t>
            </w:r>
          </w:p>
          <w:p w:rsidR="00C6356D" w:rsidRPr="009C0BEE" w:rsidRDefault="00C6356D" w:rsidP="009B673B">
            <w:pPr>
              <w:pStyle w:val="Header"/>
              <w:tabs>
                <w:tab w:val="left" w:pos="284"/>
              </w:tabs>
              <w:jc w:val="both"/>
              <w:rPr>
                <w:sz w:val="22"/>
                <w:szCs w:val="22"/>
              </w:rPr>
            </w:pPr>
            <w:r w:rsidRPr="009C0BEE">
              <w:rPr>
                <w:sz w:val="22"/>
                <w:szCs w:val="22"/>
              </w:rPr>
              <w:t xml:space="preserve">Podaci iz jedne multicentrične, randomizirane, kontrolisane kliničke studije treće faze  podržavaju korišćenje </w:t>
            </w:r>
            <w:r w:rsidR="002D745E" w:rsidRPr="009C0BEE">
              <w:rPr>
                <w:sz w:val="22"/>
                <w:szCs w:val="22"/>
              </w:rPr>
              <w:t xml:space="preserve">kapecitabina </w:t>
            </w:r>
            <w:r w:rsidRPr="009C0BEE">
              <w:rPr>
                <w:sz w:val="22"/>
                <w:szCs w:val="22"/>
              </w:rPr>
              <w:t>u kombinaciji sa docetakselom za liječenje pacijenata sa lokalno uznapredovalim ili metastatskim karcinomom dojke po neuspjehu citotoksične terapije, uključujući antraciklin. U ovom ispitivanju, 255</w:t>
            </w:r>
            <w:r w:rsidRPr="009C0BEE">
              <w:rPr>
                <w:color w:val="FF0000"/>
                <w:sz w:val="22"/>
                <w:szCs w:val="22"/>
              </w:rPr>
              <w:t xml:space="preserve"> </w:t>
            </w:r>
            <w:r w:rsidRPr="009C0BEE">
              <w:rPr>
                <w:sz w:val="22"/>
                <w:szCs w:val="22"/>
              </w:rPr>
              <w:t xml:space="preserve">pacijenata su nasumično podijeljeni da primaju </w:t>
            </w:r>
            <w:r w:rsidR="002D745E" w:rsidRPr="009C0BEE">
              <w:rPr>
                <w:sz w:val="22"/>
                <w:szCs w:val="22"/>
              </w:rPr>
              <w:t xml:space="preserve">kapecitabin </w:t>
            </w:r>
            <w:r w:rsidRPr="009C0BEE">
              <w:rPr>
                <w:sz w:val="22"/>
                <w:szCs w:val="22"/>
              </w:rPr>
              <w:t>(1250 mg/m</w:t>
            </w:r>
            <w:r w:rsidRPr="009C0BEE">
              <w:rPr>
                <w:sz w:val="22"/>
                <w:szCs w:val="22"/>
                <w:vertAlign w:val="superscript"/>
              </w:rPr>
              <w:t>2</w:t>
            </w:r>
            <w:r w:rsidRPr="009C0BEE">
              <w:rPr>
                <w:sz w:val="22"/>
                <w:szCs w:val="22"/>
              </w:rPr>
              <w:t xml:space="preserve"> dva puta dnevno u trajanju od dvije ned</w:t>
            </w:r>
            <w:r w:rsidR="009B673B" w:rsidRPr="009C0BEE">
              <w:rPr>
                <w:sz w:val="22"/>
                <w:szCs w:val="22"/>
              </w:rPr>
              <w:t>j</w:t>
            </w:r>
            <w:r w:rsidRPr="009C0BEE">
              <w:rPr>
                <w:sz w:val="22"/>
                <w:szCs w:val="22"/>
              </w:rPr>
              <w:t>elje</w:t>
            </w:r>
            <w:r w:rsidR="00046775" w:rsidRPr="009C0BEE">
              <w:rPr>
                <w:sz w:val="22"/>
                <w:szCs w:val="22"/>
              </w:rPr>
              <w:t>,</w:t>
            </w:r>
            <w:r w:rsidRPr="009C0BEE">
              <w:rPr>
                <w:sz w:val="22"/>
                <w:szCs w:val="22"/>
              </w:rPr>
              <w:t xml:space="preserve"> posl</w:t>
            </w:r>
            <w:r w:rsidR="00046775" w:rsidRPr="009C0BEE">
              <w:rPr>
                <w:sz w:val="22"/>
                <w:szCs w:val="22"/>
              </w:rPr>
              <w:t>ij</w:t>
            </w:r>
            <w:r w:rsidRPr="009C0BEE">
              <w:rPr>
                <w:sz w:val="22"/>
                <w:szCs w:val="22"/>
              </w:rPr>
              <w:t>e čega slijedi jednoned</w:t>
            </w:r>
            <w:r w:rsidR="009B673B" w:rsidRPr="009C0BEE">
              <w:rPr>
                <w:sz w:val="22"/>
                <w:szCs w:val="22"/>
              </w:rPr>
              <w:t>j</w:t>
            </w:r>
            <w:r w:rsidRPr="009C0BEE">
              <w:rPr>
                <w:sz w:val="22"/>
                <w:szCs w:val="22"/>
              </w:rPr>
              <w:t>eljni odmor i docetaksel 75 mg/m</w:t>
            </w:r>
            <w:r w:rsidRPr="009C0BEE">
              <w:rPr>
                <w:sz w:val="22"/>
                <w:szCs w:val="22"/>
                <w:vertAlign w:val="superscript"/>
              </w:rPr>
              <w:t>2</w:t>
            </w:r>
            <w:r w:rsidRPr="009C0BEE">
              <w:rPr>
                <w:sz w:val="22"/>
                <w:szCs w:val="22"/>
              </w:rPr>
              <w:t xml:space="preserve"> kao jednosatna intravenska infuzija svake tri ned</w:t>
            </w:r>
            <w:r w:rsidR="009B673B" w:rsidRPr="009C0BEE">
              <w:rPr>
                <w:sz w:val="22"/>
                <w:szCs w:val="22"/>
              </w:rPr>
              <w:t>j</w:t>
            </w:r>
            <w:r w:rsidRPr="009C0BEE">
              <w:rPr>
                <w:sz w:val="22"/>
                <w:szCs w:val="22"/>
              </w:rPr>
              <w:t>elje), a 256 pacijenata je nasumično određeno da prima samo docetaksel (100 mg/m</w:t>
            </w:r>
            <w:r w:rsidRPr="009C0BEE">
              <w:rPr>
                <w:sz w:val="22"/>
                <w:szCs w:val="22"/>
                <w:vertAlign w:val="superscript"/>
              </w:rPr>
              <w:t>2</w:t>
            </w:r>
            <w:r w:rsidRPr="009C0BEE">
              <w:rPr>
                <w:sz w:val="22"/>
                <w:szCs w:val="22"/>
              </w:rPr>
              <w:t xml:space="preserve"> kao jednosatnu intravensku infuziju svake tri ned</w:t>
            </w:r>
            <w:r w:rsidR="009B673B" w:rsidRPr="009C0BEE">
              <w:rPr>
                <w:sz w:val="22"/>
                <w:szCs w:val="22"/>
              </w:rPr>
              <w:t>j</w:t>
            </w:r>
            <w:r w:rsidRPr="009C0BEE">
              <w:rPr>
                <w:sz w:val="22"/>
                <w:szCs w:val="22"/>
              </w:rPr>
              <w:t xml:space="preserve">elje). Preživljavanje je bilo bolje u grupi koja je primala kombinaciju </w:t>
            </w:r>
            <w:r w:rsidR="002D745E" w:rsidRPr="009C0BEE">
              <w:rPr>
                <w:sz w:val="22"/>
                <w:szCs w:val="22"/>
              </w:rPr>
              <w:t>kapecitabin</w:t>
            </w:r>
            <w:r w:rsidRPr="009C0BEE">
              <w:rPr>
                <w:sz w:val="22"/>
                <w:szCs w:val="22"/>
              </w:rPr>
              <w:t xml:space="preserve"> plus docetaksel (p=0,0126). Srednje preživljavanje iznosilo je 442 dana (</w:t>
            </w:r>
            <w:r w:rsidR="009B673B" w:rsidRPr="009C0BEE">
              <w:rPr>
                <w:sz w:val="22"/>
                <w:szCs w:val="22"/>
              </w:rPr>
              <w:t>k</w:t>
            </w:r>
            <w:r w:rsidR="00F91C4D" w:rsidRPr="009C0BEE">
              <w:rPr>
                <w:sz w:val="22"/>
                <w:szCs w:val="22"/>
              </w:rPr>
              <w:t>apecitabin</w:t>
            </w:r>
            <w:r w:rsidRPr="009C0BEE">
              <w:rPr>
                <w:sz w:val="22"/>
                <w:szCs w:val="22"/>
              </w:rPr>
              <w:t xml:space="preserve"> + docetaksel) prema 352 dana (samo docetakse</w:t>
            </w:r>
            <w:r w:rsidR="001B1A7B" w:rsidRPr="009C0BEE">
              <w:rPr>
                <w:sz w:val="22"/>
                <w:szCs w:val="22"/>
              </w:rPr>
              <w:t>l). Krajnji terapijski odgovor u cjelokupnoj randomizov</w:t>
            </w:r>
            <w:r w:rsidRPr="009C0BEE">
              <w:rPr>
                <w:sz w:val="22"/>
                <w:szCs w:val="22"/>
              </w:rPr>
              <w:t>anoj populaciji (procjena istraživača) iznosile su 41,6% (</w:t>
            </w:r>
            <w:r w:rsidR="001B1A7B" w:rsidRPr="009C0BEE">
              <w:rPr>
                <w:sz w:val="22"/>
                <w:szCs w:val="22"/>
              </w:rPr>
              <w:t>k</w:t>
            </w:r>
            <w:r w:rsidR="00F91C4D" w:rsidRPr="009C0BEE">
              <w:rPr>
                <w:sz w:val="22"/>
                <w:szCs w:val="22"/>
              </w:rPr>
              <w:t>apecitabin</w:t>
            </w:r>
            <w:r w:rsidR="004E3DA4" w:rsidRPr="009C0BEE">
              <w:rPr>
                <w:sz w:val="22"/>
                <w:szCs w:val="22"/>
              </w:rPr>
              <w:t xml:space="preserve"> </w:t>
            </w:r>
            <w:r w:rsidRPr="009C0BEE">
              <w:rPr>
                <w:sz w:val="22"/>
                <w:szCs w:val="22"/>
              </w:rPr>
              <w:t xml:space="preserve">+ docetaksel) prema 29,7% (samo docetaksel ); p = 0,0058. Vrijeme do progresije bolesti opet je bilo bolje u grupi koja je primala kombinaciju </w:t>
            </w:r>
            <w:r w:rsidR="001B1A7B" w:rsidRPr="009C0BEE">
              <w:rPr>
                <w:sz w:val="22"/>
                <w:szCs w:val="22"/>
              </w:rPr>
              <w:t>k</w:t>
            </w:r>
            <w:r w:rsidR="00F91C4D" w:rsidRPr="009C0BEE">
              <w:rPr>
                <w:sz w:val="22"/>
                <w:szCs w:val="22"/>
              </w:rPr>
              <w:t>apecitabin</w:t>
            </w:r>
            <w:r w:rsidRPr="009C0BEE">
              <w:rPr>
                <w:sz w:val="22"/>
                <w:szCs w:val="22"/>
              </w:rPr>
              <w:t xml:space="preserve"> + docetaksel (p&lt;0,0001). Srednje vrijeme do progresije bolesti iznosilo je 186 dana (</w:t>
            </w:r>
            <w:r w:rsidR="001B1A7B" w:rsidRPr="009C0BEE">
              <w:rPr>
                <w:sz w:val="22"/>
                <w:szCs w:val="22"/>
              </w:rPr>
              <w:t>k</w:t>
            </w:r>
            <w:r w:rsidR="00F91C4D" w:rsidRPr="009C0BEE">
              <w:rPr>
                <w:sz w:val="22"/>
                <w:szCs w:val="22"/>
              </w:rPr>
              <w:t>apecitabin</w:t>
            </w:r>
            <w:r w:rsidRPr="009C0BEE">
              <w:rPr>
                <w:sz w:val="22"/>
                <w:szCs w:val="22"/>
              </w:rPr>
              <w:t xml:space="preserve"> + docetaksel) prema 128 dana (samo docetaksel).</w:t>
            </w:r>
          </w:p>
          <w:p w:rsidR="00C6356D" w:rsidRPr="009C0BEE" w:rsidRDefault="00C6356D" w:rsidP="00C6356D">
            <w:pPr>
              <w:pStyle w:val="Header"/>
              <w:tabs>
                <w:tab w:val="left" w:pos="284"/>
              </w:tabs>
              <w:rPr>
                <w:color w:val="FF0000"/>
                <w:sz w:val="22"/>
                <w:szCs w:val="22"/>
              </w:rPr>
            </w:pPr>
          </w:p>
          <w:p w:rsidR="00C6356D" w:rsidRPr="009C0BEE" w:rsidRDefault="00C6356D" w:rsidP="00E45E85">
            <w:pPr>
              <w:pStyle w:val="Header"/>
              <w:tabs>
                <w:tab w:val="left" w:pos="284"/>
              </w:tabs>
              <w:jc w:val="both"/>
              <w:rPr>
                <w:i/>
                <w:sz w:val="22"/>
                <w:szCs w:val="22"/>
              </w:rPr>
            </w:pPr>
            <w:r w:rsidRPr="009C0BEE">
              <w:rPr>
                <w:i/>
                <w:sz w:val="22"/>
                <w:szCs w:val="22"/>
              </w:rPr>
              <w:t xml:space="preserve">Monoterapija </w:t>
            </w:r>
            <w:r w:rsidR="00E45E85" w:rsidRPr="009C0BEE">
              <w:rPr>
                <w:i/>
                <w:sz w:val="22"/>
                <w:szCs w:val="22"/>
              </w:rPr>
              <w:t>k</w:t>
            </w:r>
            <w:r w:rsidR="00F91C4D" w:rsidRPr="009C0BEE">
              <w:rPr>
                <w:i/>
                <w:sz w:val="22"/>
                <w:szCs w:val="22"/>
              </w:rPr>
              <w:t>apecitabin</w:t>
            </w:r>
            <w:r w:rsidR="00E45E85" w:rsidRPr="009C0BEE">
              <w:rPr>
                <w:i/>
                <w:sz w:val="22"/>
                <w:szCs w:val="22"/>
              </w:rPr>
              <w:t>om poslije neuspjeha taksana, hem</w:t>
            </w:r>
            <w:r w:rsidRPr="009C0BEE">
              <w:rPr>
                <w:i/>
                <w:sz w:val="22"/>
                <w:szCs w:val="22"/>
              </w:rPr>
              <w:t>oter</w:t>
            </w:r>
            <w:r w:rsidR="00E45E85" w:rsidRPr="009C0BEE">
              <w:rPr>
                <w:i/>
                <w:sz w:val="22"/>
                <w:szCs w:val="22"/>
              </w:rPr>
              <w:t>apije sa sadržajem antraciklina</w:t>
            </w:r>
            <w:r w:rsidRPr="009C0BEE">
              <w:rPr>
                <w:i/>
                <w:sz w:val="22"/>
                <w:szCs w:val="22"/>
              </w:rPr>
              <w:t xml:space="preserve"> i kod pacijenata kod kojih antraciklinska terapija nije indikovana</w:t>
            </w:r>
          </w:p>
          <w:p w:rsidR="00C6356D" w:rsidRPr="009C0BEE" w:rsidRDefault="00C6356D" w:rsidP="00E45E85">
            <w:pPr>
              <w:pStyle w:val="Header"/>
              <w:tabs>
                <w:tab w:val="left" w:pos="284"/>
              </w:tabs>
              <w:jc w:val="both"/>
              <w:rPr>
                <w:sz w:val="22"/>
                <w:szCs w:val="22"/>
              </w:rPr>
            </w:pPr>
            <w:r w:rsidRPr="009C0BEE">
              <w:rPr>
                <w:sz w:val="22"/>
                <w:szCs w:val="22"/>
              </w:rPr>
              <w:t xml:space="preserve">Podaci iz dvije multicentrične kliničke studije druge faze podržavaju upotrebu </w:t>
            </w:r>
            <w:r w:rsidR="00E45E85" w:rsidRPr="009C0BEE">
              <w:rPr>
                <w:sz w:val="22"/>
                <w:szCs w:val="22"/>
              </w:rPr>
              <w:t>k</w:t>
            </w:r>
            <w:r w:rsidR="00F91C4D" w:rsidRPr="009C0BEE">
              <w:rPr>
                <w:sz w:val="22"/>
                <w:szCs w:val="22"/>
              </w:rPr>
              <w:t>apecitabin</w:t>
            </w:r>
            <w:r w:rsidRPr="009C0BEE">
              <w:rPr>
                <w:sz w:val="22"/>
                <w:szCs w:val="22"/>
              </w:rPr>
              <w:t xml:space="preserve"> monoterapije za liječenj</w:t>
            </w:r>
            <w:r w:rsidR="00E45E85" w:rsidRPr="009C0BEE">
              <w:rPr>
                <w:sz w:val="22"/>
                <w:szCs w:val="22"/>
              </w:rPr>
              <w:t>e pacijenata nakon</w:t>
            </w:r>
            <w:r w:rsidRPr="009C0BEE">
              <w:rPr>
                <w:sz w:val="22"/>
                <w:szCs w:val="22"/>
              </w:rPr>
              <w:t xml:space="preserve"> </w:t>
            </w:r>
            <w:r w:rsidR="00A44C7E" w:rsidRPr="009C0BEE">
              <w:rPr>
                <w:sz w:val="22"/>
                <w:szCs w:val="22"/>
              </w:rPr>
              <w:t xml:space="preserve">neuspjeha </w:t>
            </w:r>
            <w:r w:rsidRPr="009C0BEE">
              <w:rPr>
                <w:sz w:val="22"/>
                <w:szCs w:val="22"/>
              </w:rPr>
              <w:t>taksana i terapijskih režima sa sadržajem antraciklina ili za koje dalja antraciklinska terapija nije indikovana. U ovim ispitivanjima</w:t>
            </w:r>
            <w:r w:rsidR="00A44C7E" w:rsidRPr="009C0BEE">
              <w:rPr>
                <w:sz w:val="22"/>
                <w:szCs w:val="22"/>
              </w:rPr>
              <w:t>,</w:t>
            </w:r>
            <w:r w:rsidRPr="009C0BEE">
              <w:rPr>
                <w:sz w:val="22"/>
                <w:szCs w:val="22"/>
              </w:rPr>
              <w:t xml:space="preserve"> ukupno 236 pacijenata dobijalo je </w:t>
            </w:r>
            <w:r w:rsidR="002D745E" w:rsidRPr="009C0BEE">
              <w:rPr>
                <w:sz w:val="22"/>
                <w:szCs w:val="22"/>
              </w:rPr>
              <w:t xml:space="preserve">kapecitabin </w:t>
            </w:r>
            <w:r w:rsidRPr="009C0BEE">
              <w:rPr>
                <w:sz w:val="22"/>
                <w:szCs w:val="22"/>
              </w:rPr>
              <w:t>(1250 mg/m</w:t>
            </w:r>
            <w:r w:rsidRPr="009C0BEE">
              <w:rPr>
                <w:sz w:val="22"/>
                <w:szCs w:val="22"/>
                <w:vertAlign w:val="superscript"/>
              </w:rPr>
              <w:t>2</w:t>
            </w:r>
            <w:r w:rsidRPr="009C0BEE">
              <w:rPr>
                <w:sz w:val="22"/>
                <w:szCs w:val="22"/>
              </w:rPr>
              <w:t xml:space="preserve"> dva puta dnevno u trajanju od dv</w:t>
            </w:r>
            <w:r w:rsidR="00A44C7E" w:rsidRPr="009C0BEE">
              <w:rPr>
                <w:sz w:val="22"/>
                <w:szCs w:val="22"/>
              </w:rPr>
              <w:t>ij</w:t>
            </w:r>
            <w:r w:rsidRPr="009C0BEE">
              <w:rPr>
                <w:sz w:val="22"/>
                <w:szCs w:val="22"/>
              </w:rPr>
              <w:t>e ned</w:t>
            </w:r>
            <w:r w:rsidR="00E45E85" w:rsidRPr="009C0BEE">
              <w:rPr>
                <w:sz w:val="22"/>
                <w:szCs w:val="22"/>
              </w:rPr>
              <w:t>j</w:t>
            </w:r>
            <w:r w:rsidRPr="009C0BEE">
              <w:rPr>
                <w:sz w:val="22"/>
                <w:szCs w:val="22"/>
              </w:rPr>
              <w:t>elje</w:t>
            </w:r>
            <w:r w:rsidR="00A44C7E" w:rsidRPr="009C0BEE">
              <w:rPr>
                <w:sz w:val="22"/>
                <w:szCs w:val="22"/>
              </w:rPr>
              <w:t>,</w:t>
            </w:r>
            <w:r w:rsidRPr="009C0BEE">
              <w:rPr>
                <w:sz w:val="22"/>
                <w:szCs w:val="22"/>
              </w:rPr>
              <w:t xml:space="preserve"> poslije čega slijedi jednoned</w:t>
            </w:r>
            <w:r w:rsidR="00E45E85" w:rsidRPr="009C0BEE">
              <w:rPr>
                <w:sz w:val="22"/>
                <w:szCs w:val="22"/>
              </w:rPr>
              <w:t>j</w:t>
            </w:r>
            <w:r w:rsidRPr="009C0BEE">
              <w:rPr>
                <w:sz w:val="22"/>
                <w:szCs w:val="22"/>
              </w:rPr>
              <w:t xml:space="preserve">eljni odmor). </w:t>
            </w:r>
            <w:r w:rsidR="00A44C7E" w:rsidRPr="009C0BEE">
              <w:rPr>
                <w:sz w:val="22"/>
                <w:szCs w:val="22"/>
              </w:rPr>
              <w:t>Ukupne objektivne stope odgovora</w:t>
            </w:r>
            <w:r w:rsidRPr="009C0BEE">
              <w:rPr>
                <w:sz w:val="22"/>
                <w:szCs w:val="22"/>
              </w:rPr>
              <w:t xml:space="preserve"> (procjena istraživača) iznosile su 20% (prva studija) i 25% (druga studija). Srednje vrijeme do progresije bolesti iznosilo je 93, odnosno 98 dana. Srednje preživljavanje iznosilo je 384 i 373 dana. </w:t>
            </w:r>
          </w:p>
          <w:p w:rsidR="00C6356D" w:rsidRPr="009C0BEE" w:rsidRDefault="00C6356D" w:rsidP="00C6356D">
            <w:pPr>
              <w:pStyle w:val="Header"/>
              <w:tabs>
                <w:tab w:val="left" w:pos="284"/>
              </w:tabs>
              <w:rPr>
                <w:color w:val="FF0000"/>
                <w:sz w:val="22"/>
                <w:szCs w:val="22"/>
              </w:rPr>
            </w:pPr>
          </w:p>
          <w:p w:rsidR="00C6356D" w:rsidRPr="009C0BEE" w:rsidRDefault="00C6356D" w:rsidP="00C6356D">
            <w:pPr>
              <w:pStyle w:val="Header"/>
              <w:tabs>
                <w:tab w:val="left" w:pos="284"/>
              </w:tabs>
              <w:rPr>
                <w:sz w:val="22"/>
                <w:szCs w:val="22"/>
              </w:rPr>
            </w:pPr>
            <w:r w:rsidRPr="009C0BEE">
              <w:rPr>
                <w:sz w:val="22"/>
                <w:szCs w:val="22"/>
                <w:u w:val="single"/>
              </w:rPr>
              <w:t>Sve indikacije</w:t>
            </w:r>
            <w:r w:rsidRPr="009C0BEE">
              <w:rPr>
                <w:sz w:val="22"/>
                <w:szCs w:val="22"/>
              </w:rPr>
              <w:t xml:space="preserve">: </w:t>
            </w:r>
          </w:p>
          <w:p w:rsidR="00C6356D" w:rsidRPr="009C0BEE" w:rsidRDefault="00C6356D" w:rsidP="005E7E41">
            <w:pPr>
              <w:pStyle w:val="Header"/>
              <w:tabs>
                <w:tab w:val="left" w:pos="284"/>
              </w:tabs>
              <w:jc w:val="both"/>
              <w:rPr>
                <w:sz w:val="22"/>
                <w:szCs w:val="22"/>
              </w:rPr>
            </w:pPr>
            <w:r w:rsidRPr="009C0BEE">
              <w:rPr>
                <w:sz w:val="22"/>
                <w:szCs w:val="22"/>
              </w:rPr>
              <w:t xml:space="preserve">Meta-analiza 14 kliničkih studija sa podacima preko 4700 pacijenata liječenih </w:t>
            </w:r>
            <w:r w:rsidR="00205CE5" w:rsidRPr="009C0BEE">
              <w:rPr>
                <w:sz w:val="22"/>
                <w:szCs w:val="22"/>
              </w:rPr>
              <w:t>k</w:t>
            </w:r>
            <w:r w:rsidR="00F91C4D" w:rsidRPr="009C0BEE">
              <w:rPr>
                <w:sz w:val="22"/>
                <w:szCs w:val="22"/>
              </w:rPr>
              <w:t>apecitabin</w:t>
            </w:r>
            <w:r w:rsidR="00205CE5" w:rsidRPr="009C0BEE">
              <w:rPr>
                <w:sz w:val="22"/>
                <w:szCs w:val="22"/>
              </w:rPr>
              <w:t>om</w:t>
            </w:r>
            <w:r w:rsidRPr="009C0BEE">
              <w:rPr>
                <w:sz w:val="22"/>
                <w:szCs w:val="22"/>
              </w:rPr>
              <w:t xml:space="preserve"> u monoterapiji ili </w:t>
            </w:r>
            <w:r w:rsidR="00205CE5" w:rsidRPr="009C0BEE">
              <w:rPr>
                <w:sz w:val="22"/>
                <w:szCs w:val="22"/>
              </w:rPr>
              <w:t>u kombinaciji sa različitim hem</w:t>
            </w:r>
            <w:r w:rsidRPr="009C0BEE">
              <w:rPr>
                <w:sz w:val="22"/>
                <w:szCs w:val="22"/>
              </w:rPr>
              <w:t>oterapijskim režimima u više indikacija (karcinom kolona, kolorekt</w:t>
            </w:r>
            <w:r w:rsidR="001A1ABF" w:rsidRPr="009C0BEE">
              <w:rPr>
                <w:sz w:val="22"/>
                <w:szCs w:val="22"/>
              </w:rPr>
              <w:t>alni karcinom,</w:t>
            </w:r>
            <w:r w:rsidRPr="009C0BEE">
              <w:rPr>
                <w:sz w:val="22"/>
                <w:szCs w:val="22"/>
              </w:rPr>
              <w:t xml:space="preserve"> </w:t>
            </w:r>
            <w:r w:rsidR="001A1ABF" w:rsidRPr="009C0BEE">
              <w:rPr>
                <w:sz w:val="22"/>
                <w:szCs w:val="22"/>
              </w:rPr>
              <w:t xml:space="preserve">uznapredovali karcinom </w:t>
            </w:r>
            <w:r w:rsidRPr="009C0BEE">
              <w:rPr>
                <w:sz w:val="22"/>
                <w:szCs w:val="22"/>
              </w:rPr>
              <w:t xml:space="preserve">želuca i dojke) pokazala je da pacijenti na </w:t>
            </w:r>
            <w:r w:rsidR="002D745E" w:rsidRPr="009C0BEE">
              <w:rPr>
                <w:sz w:val="22"/>
                <w:szCs w:val="22"/>
              </w:rPr>
              <w:t xml:space="preserve">kapecitabinu </w:t>
            </w:r>
            <w:r w:rsidRPr="009C0BEE">
              <w:rPr>
                <w:sz w:val="22"/>
                <w:szCs w:val="22"/>
              </w:rPr>
              <w:t xml:space="preserve">koji razviju sindrom šaka-stopalo imaju duže ukupno preživljavanje u poređenju sa pacijentima koji nisu razvili sindrom </w:t>
            </w:r>
            <w:r w:rsidRPr="009C0BEE">
              <w:rPr>
                <w:sz w:val="22"/>
                <w:szCs w:val="22"/>
              </w:rPr>
              <w:lastRenderedPageBreak/>
              <w:t>šaka-stopalo: srednje ukupno preživljavanje 1100 dana (95% CI 1007; 1200) u poređenju sa 691 dan</w:t>
            </w:r>
            <w:r w:rsidR="00A44C7E" w:rsidRPr="009C0BEE">
              <w:rPr>
                <w:sz w:val="22"/>
                <w:szCs w:val="22"/>
              </w:rPr>
              <w:t>om</w:t>
            </w:r>
            <w:r w:rsidR="001A1ABF" w:rsidRPr="009C0BEE">
              <w:rPr>
                <w:sz w:val="22"/>
                <w:szCs w:val="22"/>
              </w:rPr>
              <w:t xml:space="preserve"> </w:t>
            </w:r>
            <w:r w:rsidRPr="009C0BEE">
              <w:rPr>
                <w:sz w:val="22"/>
                <w:szCs w:val="22"/>
              </w:rPr>
              <w:t>(95% CI 15</w:t>
            </w:r>
            <w:r w:rsidR="00A44C7E" w:rsidRPr="009C0BEE">
              <w:rPr>
                <w:sz w:val="22"/>
                <w:szCs w:val="22"/>
              </w:rPr>
              <w:t>,</w:t>
            </w:r>
            <w:r w:rsidRPr="009C0BEE">
              <w:rPr>
                <w:sz w:val="22"/>
                <w:szCs w:val="22"/>
              </w:rPr>
              <w:t>0; 17</w:t>
            </w:r>
            <w:r w:rsidR="00A44C7E" w:rsidRPr="009C0BEE">
              <w:rPr>
                <w:sz w:val="22"/>
                <w:szCs w:val="22"/>
              </w:rPr>
              <w:t>,</w:t>
            </w:r>
            <w:r w:rsidRPr="009C0BEE">
              <w:rPr>
                <w:sz w:val="22"/>
                <w:szCs w:val="22"/>
              </w:rPr>
              <w:t>0) uz  koeficijent rizika 0</w:t>
            </w:r>
            <w:r w:rsidR="00A44C7E" w:rsidRPr="009C0BEE">
              <w:rPr>
                <w:sz w:val="22"/>
                <w:szCs w:val="22"/>
              </w:rPr>
              <w:t>,</w:t>
            </w:r>
            <w:r w:rsidRPr="009C0BEE">
              <w:rPr>
                <w:sz w:val="22"/>
                <w:szCs w:val="22"/>
              </w:rPr>
              <w:t>61(95% CI 0</w:t>
            </w:r>
            <w:r w:rsidR="00A44C7E" w:rsidRPr="009C0BEE">
              <w:rPr>
                <w:sz w:val="22"/>
                <w:szCs w:val="22"/>
              </w:rPr>
              <w:t>,</w:t>
            </w:r>
            <w:r w:rsidRPr="009C0BEE">
              <w:rPr>
                <w:sz w:val="22"/>
                <w:szCs w:val="22"/>
              </w:rPr>
              <w:t>56; 0</w:t>
            </w:r>
            <w:r w:rsidR="00A44C7E" w:rsidRPr="009C0BEE">
              <w:rPr>
                <w:sz w:val="22"/>
                <w:szCs w:val="22"/>
              </w:rPr>
              <w:t>,</w:t>
            </w:r>
            <w:r w:rsidRPr="009C0BEE">
              <w:rPr>
                <w:sz w:val="22"/>
                <w:szCs w:val="22"/>
              </w:rPr>
              <w:t xml:space="preserve">66). </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lastRenderedPageBreak/>
              <w:t>5.2. Farmakokinetički podaci</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color w:val="FF0000"/>
                <w:sz w:val="22"/>
                <w:szCs w:val="22"/>
              </w:rPr>
            </w:pPr>
          </w:p>
          <w:p w:rsidR="00C6356D" w:rsidRPr="009C0BEE" w:rsidRDefault="00C6356D" w:rsidP="008B3946">
            <w:pPr>
              <w:pStyle w:val="Header"/>
              <w:tabs>
                <w:tab w:val="left" w:pos="284"/>
              </w:tabs>
              <w:jc w:val="both"/>
              <w:rPr>
                <w:sz w:val="22"/>
                <w:szCs w:val="22"/>
              </w:rPr>
            </w:pPr>
            <w:r w:rsidRPr="009C0BEE">
              <w:rPr>
                <w:sz w:val="22"/>
                <w:szCs w:val="22"/>
              </w:rPr>
              <w:t>Farmakokinetika kapecitabina procjenjivana je u doznom rasponu od 502 – 3514 mg/m</w:t>
            </w:r>
            <w:r w:rsidRPr="009C0BEE">
              <w:rPr>
                <w:sz w:val="22"/>
                <w:szCs w:val="22"/>
                <w:vertAlign w:val="superscript"/>
              </w:rPr>
              <w:t>2</w:t>
            </w:r>
            <w:r w:rsidRPr="009C0BEE">
              <w:rPr>
                <w:sz w:val="22"/>
                <w:szCs w:val="22"/>
              </w:rPr>
              <w:t>/dan. P</w:t>
            </w:r>
            <w:r w:rsidR="008B3946" w:rsidRPr="009C0BEE">
              <w:rPr>
                <w:sz w:val="22"/>
                <w:szCs w:val="22"/>
              </w:rPr>
              <w:t>okazatelj</w:t>
            </w:r>
            <w:r w:rsidRPr="009C0BEE">
              <w:rPr>
                <w:sz w:val="22"/>
                <w:szCs w:val="22"/>
              </w:rPr>
              <w:t>i</w:t>
            </w:r>
            <w:r w:rsidR="008B3946" w:rsidRPr="009C0BEE">
              <w:rPr>
                <w:sz w:val="22"/>
                <w:szCs w:val="22"/>
              </w:rPr>
              <w:t xml:space="preserve"> aktivnosti</w:t>
            </w:r>
            <w:r w:rsidRPr="009C0BEE">
              <w:rPr>
                <w:sz w:val="22"/>
                <w:szCs w:val="22"/>
              </w:rPr>
              <w:t xml:space="preserve"> kapecitabina, 5'-deoksi-5-fluorocitidina (5'-DFCR) i 5'-deoksi-5-fluorouridina (5'-DFUR) mjereno prvog i 14. dana bili su slični.</w:t>
            </w:r>
            <w:r w:rsidRPr="009C0BEE">
              <w:rPr>
                <w:color w:val="FF0000"/>
                <w:sz w:val="22"/>
                <w:szCs w:val="22"/>
              </w:rPr>
              <w:t xml:space="preserve"> </w:t>
            </w:r>
            <w:r w:rsidRPr="009C0BEE">
              <w:rPr>
                <w:sz w:val="22"/>
                <w:szCs w:val="22"/>
              </w:rPr>
              <w:t xml:space="preserve">PIK (površina ispod krive)  5-FU bila je 30-35% veća 14. dana. Smanjenje doze kapecitabina smanjuje sistemsku izloženost 5-FU više nego srazmjerno dozi, zbog nelinearne farmakokinetike ovog aktivnog metabolita. </w:t>
            </w:r>
          </w:p>
          <w:p w:rsidR="00C6356D" w:rsidRPr="009C0BEE" w:rsidRDefault="00C6356D" w:rsidP="00C6356D">
            <w:pPr>
              <w:pStyle w:val="Header"/>
              <w:tabs>
                <w:tab w:val="left" w:pos="284"/>
              </w:tabs>
              <w:rPr>
                <w:color w:val="FF0000"/>
                <w:sz w:val="22"/>
                <w:szCs w:val="22"/>
              </w:rPr>
            </w:pPr>
          </w:p>
          <w:p w:rsidR="00715898" w:rsidRPr="009C0BEE" w:rsidRDefault="00C621F5" w:rsidP="00C6356D">
            <w:pPr>
              <w:pStyle w:val="Header"/>
              <w:tabs>
                <w:tab w:val="left" w:pos="284"/>
              </w:tabs>
              <w:rPr>
                <w:sz w:val="22"/>
                <w:szCs w:val="22"/>
                <w:u w:val="single"/>
              </w:rPr>
            </w:pPr>
            <w:r w:rsidRPr="009C0BEE">
              <w:rPr>
                <w:sz w:val="22"/>
                <w:szCs w:val="22"/>
                <w:u w:val="single"/>
              </w:rPr>
              <w:t>Re</w:t>
            </w:r>
            <w:r w:rsidR="00C6356D" w:rsidRPr="009C0BEE">
              <w:rPr>
                <w:sz w:val="22"/>
                <w:szCs w:val="22"/>
                <w:u w:val="single"/>
              </w:rPr>
              <w:t>sorpcija</w:t>
            </w:r>
          </w:p>
          <w:p w:rsidR="00C6356D" w:rsidRPr="009C0BEE" w:rsidRDefault="00C6356D" w:rsidP="00715898">
            <w:pPr>
              <w:pStyle w:val="Header"/>
              <w:tabs>
                <w:tab w:val="left" w:pos="284"/>
              </w:tabs>
              <w:jc w:val="both"/>
              <w:rPr>
                <w:sz w:val="22"/>
                <w:szCs w:val="22"/>
              </w:rPr>
            </w:pPr>
            <w:r w:rsidRPr="009C0BEE">
              <w:rPr>
                <w:sz w:val="22"/>
                <w:szCs w:val="22"/>
              </w:rPr>
              <w:t xml:space="preserve">Nakon oralne primjene, kapecitabin se brzo i ekstenzivno </w:t>
            </w:r>
            <w:r w:rsidR="00A44C7E" w:rsidRPr="009C0BEE">
              <w:rPr>
                <w:sz w:val="22"/>
                <w:szCs w:val="22"/>
              </w:rPr>
              <w:t>resorbuje</w:t>
            </w:r>
            <w:r w:rsidRPr="009C0BEE">
              <w:rPr>
                <w:sz w:val="22"/>
                <w:szCs w:val="22"/>
              </w:rPr>
              <w:t xml:space="preserve">, poslije čega slijedi ekstenzivna konverzija u metabolite, 5'-DFCR i 5'-DFUR. Primjena sa hranom smanjuje brzinu </w:t>
            </w:r>
            <w:r w:rsidR="00A44C7E" w:rsidRPr="009C0BEE">
              <w:rPr>
                <w:sz w:val="22"/>
                <w:szCs w:val="22"/>
              </w:rPr>
              <w:t xml:space="preserve">resorpcije </w:t>
            </w:r>
            <w:r w:rsidRPr="009C0BEE">
              <w:rPr>
                <w:sz w:val="22"/>
                <w:szCs w:val="22"/>
              </w:rPr>
              <w:t>kapecitabina, ali to ima samo malo dejstvo na PIK 5'-DFUR, kao i na PIK narednog metabolita, 5-FU. Pri dozi od 1250 mg/m</w:t>
            </w:r>
            <w:r w:rsidRPr="009C0BEE">
              <w:rPr>
                <w:sz w:val="22"/>
                <w:szCs w:val="22"/>
                <w:vertAlign w:val="superscript"/>
              </w:rPr>
              <w:t>2</w:t>
            </w:r>
            <w:r w:rsidRPr="009C0BEE">
              <w:rPr>
                <w:sz w:val="22"/>
                <w:szCs w:val="22"/>
              </w:rPr>
              <w:t xml:space="preserve"> </w:t>
            </w:r>
            <w:r w:rsidR="00715898" w:rsidRPr="009C0BEE">
              <w:rPr>
                <w:sz w:val="22"/>
                <w:szCs w:val="22"/>
              </w:rPr>
              <w:t>14.</w:t>
            </w:r>
            <w:r w:rsidRPr="009C0BEE">
              <w:rPr>
                <w:sz w:val="22"/>
                <w:szCs w:val="22"/>
              </w:rPr>
              <w:t xml:space="preserve"> dana  po unosu hrane, maksimalne koncentracije u plazmi (C</w:t>
            </w:r>
            <w:r w:rsidRPr="009C0BEE">
              <w:rPr>
                <w:sz w:val="22"/>
                <w:szCs w:val="22"/>
                <w:vertAlign w:val="subscript"/>
              </w:rPr>
              <w:t>max</w:t>
            </w:r>
            <w:r w:rsidRPr="009C0BEE">
              <w:rPr>
                <w:sz w:val="22"/>
                <w:szCs w:val="22"/>
              </w:rPr>
              <w:t xml:space="preserve"> u μg/ml) kapecitabina, 5'-DFCR, 5'-DFUR, 5-FU i FBAL iznosile su 4,67; 3,05; 12,1; 0,95, odnosno 5,46. Vrijeme potrebno za postizanje maksimalne konce</w:t>
            </w:r>
            <w:r w:rsidR="00A44C7E" w:rsidRPr="009C0BEE">
              <w:rPr>
                <w:sz w:val="22"/>
                <w:szCs w:val="22"/>
              </w:rPr>
              <w:t>n</w:t>
            </w:r>
            <w:r w:rsidRPr="009C0BEE">
              <w:rPr>
                <w:sz w:val="22"/>
                <w:szCs w:val="22"/>
              </w:rPr>
              <w:t>tracije u plazmi (T</w:t>
            </w:r>
            <w:r w:rsidRPr="009C0BEE">
              <w:rPr>
                <w:sz w:val="22"/>
                <w:szCs w:val="22"/>
                <w:vertAlign w:val="subscript"/>
              </w:rPr>
              <w:t>max</w:t>
            </w:r>
            <w:r w:rsidRPr="009C0BEE">
              <w:rPr>
                <w:sz w:val="22"/>
                <w:szCs w:val="22"/>
              </w:rPr>
              <w:t xml:space="preserve"> u satima)  iznosilo je 1,50; 2,00; 2,00; 2,00, odnosno 3,34 časa. Vrijednosti PIK</w:t>
            </w:r>
            <w:r w:rsidR="00715898" w:rsidRPr="009C0BEE">
              <w:rPr>
                <w:sz w:val="22"/>
                <w:szCs w:val="22"/>
                <w:vertAlign w:val="subscript"/>
              </w:rPr>
              <w:t>0-∞</w:t>
            </w:r>
            <w:r w:rsidR="00715898" w:rsidRPr="009C0BEE">
              <w:rPr>
                <w:sz w:val="22"/>
                <w:szCs w:val="22"/>
              </w:rPr>
              <w:t xml:space="preserve"> </w:t>
            </w:r>
            <w:r w:rsidRPr="009C0BEE">
              <w:rPr>
                <w:sz w:val="22"/>
                <w:szCs w:val="22"/>
              </w:rPr>
              <w:t>u μg</w:t>
            </w:r>
            <w:r w:rsidR="00A44C7E" w:rsidRPr="009C0BEE">
              <w:rPr>
                <w:sz w:val="22"/>
                <w:szCs w:val="22"/>
              </w:rPr>
              <w:t>*</w:t>
            </w:r>
            <w:r w:rsidRPr="009C0BEE">
              <w:rPr>
                <w:sz w:val="22"/>
                <w:szCs w:val="22"/>
              </w:rPr>
              <w:t xml:space="preserve">h/ml iznosile su 7,75; 7,24; 24,6; 2,03, odnosno 36,3. </w:t>
            </w:r>
          </w:p>
          <w:p w:rsidR="00C6356D" w:rsidRPr="009C0BEE" w:rsidRDefault="00C6356D" w:rsidP="00C6356D">
            <w:pPr>
              <w:pStyle w:val="Header"/>
              <w:tabs>
                <w:tab w:val="left" w:pos="284"/>
              </w:tabs>
              <w:rPr>
                <w:color w:val="FF0000"/>
                <w:sz w:val="22"/>
                <w:szCs w:val="22"/>
              </w:rPr>
            </w:pPr>
          </w:p>
          <w:p w:rsidR="00322824" w:rsidRPr="009C0BEE" w:rsidRDefault="00322824" w:rsidP="00C6356D">
            <w:pPr>
              <w:pStyle w:val="Header"/>
              <w:tabs>
                <w:tab w:val="left" w:pos="284"/>
              </w:tabs>
              <w:rPr>
                <w:sz w:val="22"/>
                <w:szCs w:val="22"/>
                <w:u w:val="single"/>
              </w:rPr>
            </w:pPr>
            <w:r w:rsidRPr="009C0BEE">
              <w:rPr>
                <w:sz w:val="22"/>
                <w:szCs w:val="22"/>
                <w:u w:val="single"/>
              </w:rPr>
              <w:t>Distribucija</w:t>
            </w:r>
          </w:p>
          <w:p w:rsidR="00C6356D" w:rsidRPr="009C0BEE" w:rsidRDefault="00C6356D" w:rsidP="00FB71E3">
            <w:pPr>
              <w:pStyle w:val="Header"/>
              <w:tabs>
                <w:tab w:val="left" w:pos="284"/>
              </w:tabs>
              <w:jc w:val="both"/>
              <w:rPr>
                <w:sz w:val="22"/>
                <w:szCs w:val="22"/>
              </w:rPr>
            </w:pPr>
            <w:r w:rsidRPr="009C0BEE">
              <w:rPr>
                <w:i/>
                <w:sz w:val="22"/>
                <w:szCs w:val="22"/>
              </w:rPr>
              <w:t>In vitro</w:t>
            </w:r>
            <w:r w:rsidRPr="009C0BEE">
              <w:rPr>
                <w:sz w:val="22"/>
                <w:szCs w:val="22"/>
              </w:rPr>
              <w:t xml:space="preserve"> ispitivanja humane plazme </w:t>
            </w:r>
            <w:r w:rsidR="00A44C7E" w:rsidRPr="009C0BEE">
              <w:rPr>
                <w:sz w:val="22"/>
                <w:szCs w:val="22"/>
              </w:rPr>
              <w:t xml:space="preserve">pokazala </w:t>
            </w:r>
            <w:r w:rsidRPr="009C0BEE">
              <w:rPr>
                <w:sz w:val="22"/>
                <w:szCs w:val="22"/>
              </w:rPr>
              <w:t>su da se kapecitabin, 5'-DFCR, 5'-DFUR i 5-FU vezuju za proteine plazme 54%, 10%, 62% odnosno 10%, i to uglavnom za albumin.</w:t>
            </w:r>
          </w:p>
          <w:p w:rsidR="00C6356D" w:rsidRPr="009C0BEE" w:rsidRDefault="00C6356D" w:rsidP="00C6356D">
            <w:pPr>
              <w:pStyle w:val="Header"/>
              <w:tabs>
                <w:tab w:val="left" w:pos="284"/>
              </w:tabs>
              <w:rPr>
                <w:color w:val="FF0000"/>
                <w:sz w:val="22"/>
                <w:szCs w:val="22"/>
              </w:rPr>
            </w:pPr>
          </w:p>
          <w:p w:rsidR="008E719A" w:rsidRPr="009C0BEE" w:rsidRDefault="00C6356D" w:rsidP="00C6356D">
            <w:pPr>
              <w:pStyle w:val="Header"/>
              <w:tabs>
                <w:tab w:val="left" w:pos="284"/>
              </w:tabs>
              <w:rPr>
                <w:color w:val="FF0000"/>
                <w:sz w:val="22"/>
                <w:szCs w:val="22"/>
              </w:rPr>
            </w:pPr>
            <w:r w:rsidRPr="009C0BEE">
              <w:rPr>
                <w:sz w:val="22"/>
                <w:szCs w:val="22"/>
                <w:u w:val="single"/>
              </w:rPr>
              <w:t>Metabolizam</w:t>
            </w:r>
          </w:p>
          <w:p w:rsidR="00C6356D" w:rsidRPr="009C0BEE" w:rsidRDefault="00C6356D" w:rsidP="00ED1576">
            <w:pPr>
              <w:pStyle w:val="Header"/>
              <w:tabs>
                <w:tab w:val="left" w:pos="284"/>
              </w:tabs>
              <w:jc w:val="both"/>
              <w:rPr>
                <w:sz w:val="22"/>
                <w:szCs w:val="22"/>
              </w:rPr>
            </w:pPr>
            <w:r w:rsidRPr="009C0BEE">
              <w:rPr>
                <w:sz w:val="22"/>
                <w:szCs w:val="22"/>
              </w:rPr>
              <w:t>Kapecitabin se prvo metabolizuje hepatičnom karboksilesterazom u 5'-DFCR</w:t>
            </w:r>
            <w:r w:rsidR="00E52901" w:rsidRPr="009C0BEE">
              <w:rPr>
                <w:sz w:val="22"/>
                <w:szCs w:val="22"/>
              </w:rPr>
              <w:t>,</w:t>
            </w:r>
            <w:r w:rsidRPr="009C0BEE">
              <w:rPr>
                <w:sz w:val="22"/>
                <w:szCs w:val="22"/>
              </w:rPr>
              <w:t xml:space="preserve"> koji se onda </w:t>
            </w:r>
            <w:r w:rsidR="00ED1576" w:rsidRPr="009C0BEE">
              <w:rPr>
                <w:sz w:val="22"/>
                <w:szCs w:val="22"/>
              </w:rPr>
              <w:t xml:space="preserve">pomoću citidin deaminaze </w:t>
            </w:r>
            <w:r w:rsidRPr="009C0BEE">
              <w:rPr>
                <w:sz w:val="22"/>
                <w:szCs w:val="22"/>
              </w:rPr>
              <w:t>konvertuje u 5'-DFUR</w:t>
            </w:r>
            <w:r w:rsidR="00ED1576" w:rsidRPr="009C0BEE">
              <w:rPr>
                <w:sz w:val="22"/>
                <w:szCs w:val="22"/>
              </w:rPr>
              <w:t>, koja s</w:t>
            </w:r>
            <w:r w:rsidRPr="009C0BEE">
              <w:rPr>
                <w:sz w:val="22"/>
                <w:szCs w:val="22"/>
              </w:rPr>
              <w:t xml:space="preserve">e uglavnom </w:t>
            </w:r>
            <w:r w:rsidR="00ED1576" w:rsidRPr="009C0BEE">
              <w:rPr>
                <w:sz w:val="22"/>
                <w:szCs w:val="22"/>
              </w:rPr>
              <w:t>nalazi</w:t>
            </w:r>
            <w:r w:rsidRPr="009C0BEE">
              <w:rPr>
                <w:sz w:val="22"/>
                <w:szCs w:val="22"/>
              </w:rPr>
              <w:t xml:space="preserve"> u jetri i tumorskom tkivu. Dalja katalitička aktivacija 5'-DFUR  se onda odvija pomoću timidin fosforilaze (ThyPase). Enzimi koji su uključeni u katalitičku aktivaciju nalaze se u tumorskom tkivu, ali i u normalnim tkivima, iako obično u nižim nivoima. Sekvencijalna enzimska biotransformacija kapecitabina u 5-FU dovodi do većih koncentracija u tumorskim tkivima. U slučaju kolorektalnih tumora, generisanje 5-FU je izgleda u velikoj m</w:t>
            </w:r>
            <w:r w:rsidR="00ED1576" w:rsidRPr="009C0BEE">
              <w:rPr>
                <w:sz w:val="22"/>
                <w:szCs w:val="22"/>
              </w:rPr>
              <w:t>j</w:t>
            </w:r>
            <w:r w:rsidRPr="009C0BEE">
              <w:rPr>
                <w:sz w:val="22"/>
                <w:szCs w:val="22"/>
              </w:rPr>
              <w:t xml:space="preserve">eri lokalizovano u stromalnim tumorskim ćelijama. Po oralnom davanju kapecitabina pacijentima sa kolorektalnim karcinomom, odnos koncentracije 5-FU u kolorektalnom tumoru i onoga u okolnom tkivu iznosio je 3,2 (u rasponu od 0,9 do 8,0). Odnos koncentracije 5-FU u tumoru i plazmi iznosio je 21,4 (raspon 3,9 do 59,9, n=8), dok je odnos u zdravim tkivima prema plazmi bio 8,9 (raspon od 3,0 do 25,8, n=8). Aktivnost timidin fosforilaze bila je mjerena i pokazala se 4 puta većom u primarnom kolorektalnom tumoru nego u okolnom normalnom tkivu. Po imunohistohemijskim ispitivanjima, izgleda da je timidin fosforilaza u velikoj mjeri lokalizovana u tumorskim stromalnim ćelijama. </w:t>
            </w:r>
          </w:p>
          <w:p w:rsidR="00C6356D" w:rsidRPr="009C0BEE" w:rsidRDefault="00C6356D" w:rsidP="00C6356D">
            <w:pPr>
              <w:pStyle w:val="Header"/>
              <w:tabs>
                <w:tab w:val="left" w:pos="284"/>
              </w:tabs>
              <w:rPr>
                <w:color w:val="FF0000"/>
                <w:sz w:val="22"/>
                <w:szCs w:val="22"/>
              </w:rPr>
            </w:pPr>
          </w:p>
          <w:p w:rsidR="00C6356D" w:rsidRPr="009C0BEE" w:rsidRDefault="00C6356D" w:rsidP="000E69DC">
            <w:pPr>
              <w:pStyle w:val="Header"/>
              <w:tabs>
                <w:tab w:val="left" w:pos="284"/>
              </w:tabs>
              <w:jc w:val="both"/>
              <w:rPr>
                <w:sz w:val="22"/>
                <w:szCs w:val="22"/>
              </w:rPr>
            </w:pPr>
            <w:r w:rsidRPr="009C0BEE">
              <w:rPr>
                <w:sz w:val="22"/>
                <w:szCs w:val="22"/>
              </w:rPr>
              <w:t>5-FU se dalje katabolizuje enzimom dihidropirimidin dehidrogenaza (DPD) u daleko manje toksični dihidro-5-fluorouracil (FUH</w:t>
            </w:r>
            <w:r w:rsidRPr="009C0BEE">
              <w:rPr>
                <w:sz w:val="22"/>
                <w:szCs w:val="22"/>
                <w:vertAlign w:val="subscript"/>
              </w:rPr>
              <w:t>2</w:t>
            </w:r>
            <w:r w:rsidRPr="009C0BEE">
              <w:rPr>
                <w:sz w:val="22"/>
                <w:szCs w:val="22"/>
              </w:rPr>
              <w:t>). Dihidropirimidinaza cijepa pirimidinski prsten da se dobij</w:t>
            </w:r>
            <w:r w:rsidR="000E69DC" w:rsidRPr="009C0BEE">
              <w:rPr>
                <w:sz w:val="22"/>
                <w:szCs w:val="22"/>
              </w:rPr>
              <w:t>e 5-fluoro-ureidopropionska kis</w:t>
            </w:r>
            <w:r w:rsidRPr="009C0BEE">
              <w:rPr>
                <w:sz w:val="22"/>
                <w:szCs w:val="22"/>
              </w:rPr>
              <w:t xml:space="preserve">elina (FUPA). Konačno, beta-ureido-propionaza cijepa FUPA u alfa-fluoro-beta-alanin (FBAL) koji se izbacuje urinom. Aktivnost dihidropirimidin dehidrogenaze (DPD) je korak koji ograničava brzinu. Deficijencija DPD može da dovede do pojačane toksičnosti kapecitabina (vidjeti odjeljke 4.3 i 4.4). </w:t>
            </w:r>
          </w:p>
          <w:p w:rsidR="00C6356D" w:rsidRPr="009C0BEE" w:rsidRDefault="00C6356D" w:rsidP="00C6356D">
            <w:pPr>
              <w:pStyle w:val="Header"/>
              <w:tabs>
                <w:tab w:val="left" w:pos="284"/>
              </w:tabs>
              <w:rPr>
                <w:color w:val="FF0000"/>
                <w:sz w:val="22"/>
                <w:szCs w:val="22"/>
              </w:rPr>
            </w:pPr>
          </w:p>
          <w:p w:rsidR="009138CC" w:rsidRPr="009C0BEE" w:rsidRDefault="00C6356D" w:rsidP="009138CC">
            <w:pPr>
              <w:pStyle w:val="Header"/>
              <w:tabs>
                <w:tab w:val="left" w:pos="284"/>
              </w:tabs>
              <w:rPr>
                <w:sz w:val="22"/>
                <w:szCs w:val="22"/>
                <w:u w:val="single"/>
              </w:rPr>
            </w:pPr>
            <w:r w:rsidRPr="009C0BEE">
              <w:rPr>
                <w:sz w:val="22"/>
                <w:szCs w:val="22"/>
                <w:u w:val="single"/>
              </w:rPr>
              <w:t>Eliminacija</w:t>
            </w:r>
          </w:p>
          <w:p w:rsidR="00C6356D" w:rsidRPr="009C0BEE" w:rsidRDefault="00C6356D" w:rsidP="000E69DC">
            <w:pPr>
              <w:pStyle w:val="Header"/>
              <w:tabs>
                <w:tab w:val="left" w:pos="284"/>
              </w:tabs>
              <w:jc w:val="both"/>
              <w:rPr>
                <w:color w:val="FF0000"/>
                <w:sz w:val="22"/>
                <w:szCs w:val="22"/>
              </w:rPr>
            </w:pPr>
            <w:r w:rsidRPr="009C0BEE">
              <w:rPr>
                <w:sz w:val="22"/>
                <w:szCs w:val="22"/>
              </w:rPr>
              <w:t>Poluvrijeme eliminacije (t</w:t>
            </w:r>
            <w:r w:rsidRPr="009C0BEE">
              <w:rPr>
                <w:sz w:val="22"/>
                <w:szCs w:val="22"/>
                <w:vertAlign w:val="subscript"/>
              </w:rPr>
              <w:t>½</w:t>
            </w:r>
            <w:r w:rsidRPr="009C0BEE">
              <w:rPr>
                <w:sz w:val="22"/>
                <w:szCs w:val="22"/>
              </w:rPr>
              <w:t xml:space="preserve"> u časovima) kapecitabina, 5'-DFCR, 5'-DFUR, 5-FU i FBAL iznosi</w:t>
            </w:r>
            <w:r w:rsidRPr="009C0BEE">
              <w:rPr>
                <w:color w:val="FF0000"/>
                <w:sz w:val="22"/>
                <w:szCs w:val="22"/>
              </w:rPr>
              <w:t xml:space="preserve"> </w:t>
            </w:r>
            <w:r w:rsidRPr="009C0BEE">
              <w:rPr>
                <w:sz w:val="22"/>
                <w:szCs w:val="22"/>
              </w:rPr>
              <w:t xml:space="preserve">0,85; 1,11; 0,66; 0,76, odnosno 3,23 časova. Kapecitabin i njegovi metaboliti se pretežno izlučuju urinom: 95,5% date </w:t>
            </w:r>
            <w:r w:rsidRPr="009C0BEE">
              <w:rPr>
                <w:sz w:val="22"/>
                <w:szCs w:val="22"/>
              </w:rPr>
              <w:lastRenderedPageBreak/>
              <w:t xml:space="preserve">doze kapecitabina izluči se urinom. Fekalna ekskrecija je minimalna (2,6%). Glavni metabolit koji se izlučuje urinom je FBAL, na koji  otpada 57% date doze. Oko 3% date doze se izlučuje urinom u vidu neizmijenjenog lijeka. </w:t>
            </w:r>
          </w:p>
          <w:p w:rsidR="00C6356D" w:rsidRPr="009C0BEE" w:rsidRDefault="00C6356D" w:rsidP="00C6356D">
            <w:pPr>
              <w:pStyle w:val="Header"/>
              <w:tabs>
                <w:tab w:val="left" w:pos="284"/>
              </w:tabs>
              <w:rPr>
                <w:color w:val="FF0000"/>
                <w:sz w:val="22"/>
                <w:szCs w:val="22"/>
              </w:rPr>
            </w:pPr>
          </w:p>
          <w:p w:rsidR="009138CC" w:rsidRPr="009C0BEE" w:rsidRDefault="00C6356D" w:rsidP="00C6356D">
            <w:pPr>
              <w:pStyle w:val="Header"/>
              <w:tabs>
                <w:tab w:val="left" w:pos="284"/>
              </w:tabs>
              <w:rPr>
                <w:color w:val="FF0000"/>
                <w:sz w:val="22"/>
                <w:szCs w:val="22"/>
              </w:rPr>
            </w:pPr>
            <w:r w:rsidRPr="009C0BEE">
              <w:rPr>
                <w:sz w:val="22"/>
                <w:szCs w:val="22"/>
                <w:u w:val="single"/>
              </w:rPr>
              <w:t>Kombinovana terapija</w:t>
            </w:r>
            <w:r w:rsidRPr="009C0BEE">
              <w:rPr>
                <w:color w:val="FF0000"/>
                <w:sz w:val="22"/>
                <w:szCs w:val="22"/>
              </w:rPr>
              <w:t xml:space="preserve"> </w:t>
            </w:r>
          </w:p>
          <w:p w:rsidR="00C6356D" w:rsidRPr="009C0BEE" w:rsidRDefault="00C6356D" w:rsidP="009138CC">
            <w:pPr>
              <w:pStyle w:val="Header"/>
              <w:tabs>
                <w:tab w:val="left" w:pos="284"/>
              </w:tabs>
              <w:jc w:val="both"/>
              <w:rPr>
                <w:sz w:val="22"/>
                <w:szCs w:val="22"/>
              </w:rPr>
            </w:pPr>
            <w:r w:rsidRPr="009C0BEE">
              <w:rPr>
                <w:sz w:val="22"/>
                <w:szCs w:val="22"/>
              </w:rPr>
              <w:t xml:space="preserve">Ispitivanja faze I kojima se procjenjuje dejstvo </w:t>
            </w:r>
            <w:r w:rsidR="002D745E" w:rsidRPr="009C0BEE">
              <w:rPr>
                <w:sz w:val="22"/>
                <w:szCs w:val="22"/>
              </w:rPr>
              <w:t>kapecitabina</w:t>
            </w:r>
            <w:r w:rsidRPr="009C0BEE">
              <w:rPr>
                <w:sz w:val="22"/>
                <w:szCs w:val="22"/>
              </w:rPr>
              <w:t xml:space="preserve"> na farmakokinetiku bilo docetaksela ili paklitaksela i obrnuto nisu pokazala dejstvo </w:t>
            </w:r>
            <w:r w:rsidR="002D745E" w:rsidRPr="009C0BEE">
              <w:rPr>
                <w:sz w:val="22"/>
                <w:szCs w:val="22"/>
              </w:rPr>
              <w:t xml:space="preserve">kapecitabina </w:t>
            </w:r>
            <w:r w:rsidRPr="009C0BEE">
              <w:rPr>
                <w:sz w:val="22"/>
                <w:szCs w:val="22"/>
              </w:rPr>
              <w:t>na farmakokinetiku docetaksela ili paklitaksela (C</w:t>
            </w:r>
            <w:r w:rsidRPr="009C0BEE">
              <w:rPr>
                <w:sz w:val="22"/>
                <w:szCs w:val="22"/>
                <w:vertAlign w:val="subscript"/>
              </w:rPr>
              <w:t>max</w:t>
            </w:r>
            <w:r w:rsidRPr="009C0BEE">
              <w:rPr>
                <w:sz w:val="22"/>
                <w:szCs w:val="22"/>
              </w:rPr>
              <w:t xml:space="preserve"> i PIK), niti su docetaksel ili paklitaksel uticali na farmakokinetiku 5'-DFUR. </w:t>
            </w:r>
          </w:p>
          <w:p w:rsidR="00C6356D" w:rsidRPr="009C0BEE" w:rsidRDefault="00C6356D" w:rsidP="00C6356D">
            <w:pPr>
              <w:pStyle w:val="Header"/>
              <w:tabs>
                <w:tab w:val="left" w:pos="284"/>
              </w:tabs>
              <w:rPr>
                <w:color w:val="FF0000"/>
                <w:sz w:val="22"/>
                <w:szCs w:val="22"/>
              </w:rPr>
            </w:pPr>
          </w:p>
          <w:p w:rsidR="009138CC" w:rsidRPr="009C0BEE" w:rsidRDefault="00C6356D" w:rsidP="00C6356D">
            <w:pPr>
              <w:pStyle w:val="Header"/>
              <w:tabs>
                <w:tab w:val="left" w:pos="284"/>
              </w:tabs>
              <w:rPr>
                <w:color w:val="FF0000"/>
                <w:sz w:val="22"/>
                <w:szCs w:val="22"/>
              </w:rPr>
            </w:pPr>
            <w:r w:rsidRPr="009C0BEE">
              <w:rPr>
                <w:sz w:val="22"/>
                <w:szCs w:val="22"/>
                <w:u w:val="single"/>
              </w:rPr>
              <w:t>Farmakokinetika u posebnim grupama pacijenata</w:t>
            </w:r>
            <w:r w:rsidRPr="009C0BEE">
              <w:rPr>
                <w:color w:val="FF0000"/>
                <w:sz w:val="22"/>
                <w:szCs w:val="22"/>
              </w:rPr>
              <w:t xml:space="preserve"> </w:t>
            </w:r>
          </w:p>
          <w:p w:rsidR="00C6356D" w:rsidRPr="009C0BEE" w:rsidRDefault="00C6356D" w:rsidP="00B55CE0">
            <w:pPr>
              <w:pStyle w:val="Header"/>
              <w:tabs>
                <w:tab w:val="left" w:pos="284"/>
              </w:tabs>
              <w:jc w:val="both"/>
              <w:rPr>
                <w:sz w:val="22"/>
                <w:szCs w:val="22"/>
              </w:rPr>
            </w:pPr>
            <w:r w:rsidRPr="009C0BEE">
              <w:rPr>
                <w:sz w:val="22"/>
                <w:szCs w:val="22"/>
              </w:rPr>
              <w:t xml:space="preserve">Populaciona farmakokinetička analiza izvedena je po terapiji </w:t>
            </w:r>
            <w:r w:rsidR="002D745E" w:rsidRPr="009C0BEE">
              <w:rPr>
                <w:sz w:val="22"/>
                <w:szCs w:val="22"/>
              </w:rPr>
              <w:t>kapecitabinom</w:t>
            </w:r>
            <w:r w:rsidRPr="009C0BEE">
              <w:rPr>
                <w:sz w:val="22"/>
                <w:szCs w:val="22"/>
              </w:rPr>
              <w:t xml:space="preserve"> kod 505 pacijenata sa kolorektalnim karcinomom koji je primjenjivan u dozi od 1250 mg/m</w:t>
            </w:r>
            <w:r w:rsidRPr="009C0BEE">
              <w:rPr>
                <w:sz w:val="22"/>
                <w:szCs w:val="22"/>
                <w:vertAlign w:val="superscript"/>
              </w:rPr>
              <w:t>2</w:t>
            </w:r>
            <w:r w:rsidR="009138CC" w:rsidRPr="009C0BEE">
              <w:rPr>
                <w:sz w:val="22"/>
                <w:szCs w:val="22"/>
              </w:rPr>
              <w:t xml:space="preserve"> dva puta </w:t>
            </w:r>
            <w:r w:rsidRPr="009C0BEE">
              <w:rPr>
                <w:sz w:val="22"/>
                <w:szCs w:val="22"/>
              </w:rPr>
              <w:t>dn</w:t>
            </w:r>
            <w:r w:rsidR="009138CC" w:rsidRPr="009C0BEE">
              <w:rPr>
                <w:sz w:val="22"/>
                <w:szCs w:val="22"/>
              </w:rPr>
              <w:t>evno</w:t>
            </w:r>
            <w:r w:rsidRPr="009C0BEE">
              <w:rPr>
                <w:sz w:val="22"/>
                <w:szCs w:val="22"/>
              </w:rPr>
              <w:t xml:space="preserve">. Pol, prisustvo ili odsustvo metastaza u jetri na početku terapije, Karnofski performans status, ukupni bilirubin, albumin u serumu, ASAT i ALAT nisu imali statistički signifikantno dejstvo na farmakokinetiku 5'-DFUR, 5-FU i FBAL. </w:t>
            </w:r>
          </w:p>
          <w:p w:rsidR="00C6356D" w:rsidRPr="009C0BEE" w:rsidRDefault="00C6356D" w:rsidP="00C6356D">
            <w:pPr>
              <w:pStyle w:val="Header"/>
              <w:tabs>
                <w:tab w:val="left" w:pos="284"/>
              </w:tabs>
              <w:rPr>
                <w:color w:val="FF0000"/>
                <w:sz w:val="22"/>
                <w:szCs w:val="22"/>
              </w:rPr>
            </w:pPr>
          </w:p>
          <w:p w:rsidR="0055429C" w:rsidRPr="009C0BEE" w:rsidRDefault="00C6356D" w:rsidP="00C6356D">
            <w:pPr>
              <w:pStyle w:val="Header"/>
              <w:tabs>
                <w:tab w:val="left" w:pos="284"/>
              </w:tabs>
              <w:rPr>
                <w:sz w:val="22"/>
                <w:szCs w:val="22"/>
                <w:u w:val="single"/>
              </w:rPr>
            </w:pPr>
            <w:r w:rsidRPr="009C0BEE">
              <w:rPr>
                <w:sz w:val="22"/>
                <w:szCs w:val="22"/>
                <w:u w:val="single"/>
              </w:rPr>
              <w:t>Pacijenti sa hepatičkom insuficijencijom zbog metastaza u jetri</w:t>
            </w:r>
          </w:p>
          <w:p w:rsidR="00C6356D" w:rsidRPr="009C0BEE" w:rsidRDefault="00C6356D" w:rsidP="00B55CE0">
            <w:pPr>
              <w:pStyle w:val="Header"/>
              <w:tabs>
                <w:tab w:val="left" w:pos="284"/>
              </w:tabs>
              <w:jc w:val="both"/>
              <w:rPr>
                <w:sz w:val="22"/>
                <w:szCs w:val="22"/>
              </w:rPr>
            </w:pPr>
            <w:r w:rsidRPr="009C0BEE">
              <w:rPr>
                <w:sz w:val="22"/>
                <w:szCs w:val="22"/>
              </w:rPr>
              <w:t xml:space="preserve">Po ispitivanjima farmakokinetike kod oboljelih od karcinoma sa blagom do umjerenom hepatičkom insuficijencijom zbog metastaza u jetri, pokazalo se da se biološka raspoloživost kapecitabina i izlaganje 5-FU mogu povećati u poređenju sa pacijentima koji nemaju hepatičku insuficijenciju. Nema farmakokinetičkih podataka o pacijentima sa teškom hepatičkom insuficijencijom. </w:t>
            </w:r>
          </w:p>
          <w:p w:rsidR="00C6356D" w:rsidRPr="009C0BEE" w:rsidRDefault="00C6356D" w:rsidP="00C6356D">
            <w:pPr>
              <w:pStyle w:val="Header"/>
              <w:tabs>
                <w:tab w:val="left" w:pos="284"/>
              </w:tabs>
              <w:rPr>
                <w:color w:val="FF0000"/>
                <w:sz w:val="22"/>
                <w:szCs w:val="22"/>
              </w:rPr>
            </w:pPr>
          </w:p>
          <w:p w:rsidR="00B55CE0" w:rsidRPr="009C0BEE" w:rsidRDefault="00C6356D" w:rsidP="00C6356D">
            <w:pPr>
              <w:pStyle w:val="Header"/>
              <w:tabs>
                <w:tab w:val="left" w:pos="284"/>
              </w:tabs>
              <w:rPr>
                <w:sz w:val="22"/>
                <w:szCs w:val="22"/>
                <w:u w:val="single"/>
              </w:rPr>
            </w:pPr>
            <w:r w:rsidRPr="009C0BEE">
              <w:rPr>
                <w:sz w:val="22"/>
                <w:szCs w:val="22"/>
                <w:u w:val="single"/>
              </w:rPr>
              <w:t>Pacijenti sa bubrežnom insuficijencijom</w:t>
            </w:r>
          </w:p>
          <w:p w:rsidR="00C6356D" w:rsidRPr="009C0BEE" w:rsidRDefault="00C6356D" w:rsidP="00B55CE0">
            <w:pPr>
              <w:pStyle w:val="Header"/>
              <w:tabs>
                <w:tab w:val="left" w:pos="284"/>
              </w:tabs>
              <w:jc w:val="both"/>
              <w:rPr>
                <w:sz w:val="22"/>
                <w:szCs w:val="22"/>
              </w:rPr>
            </w:pPr>
            <w:r w:rsidRPr="009C0BEE">
              <w:rPr>
                <w:sz w:val="22"/>
                <w:szCs w:val="22"/>
              </w:rPr>
              <w:t xml:space="preserve">Po ispitivanjima farmakokinetike kod </w:t>
            </w:r>
            <w:r w:rsidR="005A211A" w:rsidRPr="009C0BEE">
              <w:rPr>
                <w:sz w:val="22"/>
                <w:szCs w:val="22"/>
              </w:rPr>
              <w:t>pacijenata</w:t>
            </w:r>
            <w:r w:rsidRPr="009C0BEE">
              <w:rPr>
                <w:sz w:val="22"/>
                <w:szCs w:val="22"/>
              </w:rPr>
              <w:t xml:space="preserve"> sa karcinomom i sa umjerenom do teškom bubrežnom insuficijencijom, nema dokaza o dejstvu klirensa kreatinina na farmakokinetiku intaktnog lijeka i 5-FU. Pokazano je da klirens kreatinina utiče na sistemsku izloženost 5'-DFUR (35% povećanje PIK kada se klirens kreatinina smanji za 50%) i FBAL (114% povećanje PIK kada se klirens kreatinina smanji za 50%). FBAL je metabolit bez antiproliferativnog dejstva. </w:t>
            </w:r>
          </w:p>
          <w:p w:rsidR="00C6356D" w:rsidRPr="009C0BEE" w:rsidRDefault="00C6356D" w:rsidP="00C6356D">
            <w:pPr>
              <w:pStyle w:val="Header"/>
              <w:tabs>
                <w:tab w:val="left" w:pos="284"/>
              </w:tabs>
              <w:rPr>
                <w:color w:val="FF0000"/>
                <w:sz w:val="22"/>
                <w:szCs w:val="22"/>
              </w:rPr>
            </w:pPr>
          </w:p>
          <w:p w:rsidR="005A211A" w:rsidRPr="009C0BEE" w:rsidRDefault="00C6356D" w:rsidP="00C6356D">
            <w:pPr>
              <w:pStyle w:val="Header"/>
              <w:tabs>
                <w:tab w:val="left" w:pos="284"/>
              </w:tabs>
              <w:rPr>
                <w:sz w:val="22"/>
                <w:szCs w:val="22"/>
                <w:u w:val="single"/>
              </w:rPr>
            </w:pPr>
            <w:r w:rsidRPr="009C0BEE">
              <w:rPr>
                <w:sz w:val="22"/>
                <w:szCs w:val="22"/>
                <w:u w:val="single"/>
              </w:rPr>
              <w:t xml:space="preserve">Pacijenti starijeg životnog doba </w:t>
            </w:r>
          </w:p>
          <w:p w:rsidR="00C6356D" w:rsidRPr="009C0BEE" w:rsidRDefault="00C6356D" w:rsidP="00211C9C">
            <w:pPr>
              <w:pStyle w:val="Header"/>
              <w:tabs>
                <w:tab w:val="left" w:pos="284"/>
              </w:tabs>
              <w:jc w:val="both"/>
              <w:rPr>
                <w:sz w:val="22"/>
                <w:szCs w:val="22"/>
              </w:rPr>
            </w:pPr>
            <w:r w:rsidRPr="009C0BEE">
              <w:rPr>
                <w:sz w:val="22"/>
                <w:szCs w:val="22"/>
              </w:rPr>
              <w:t xml:space="preserve">Na osnovu populacione farmakokinetičke analize koja je uključila pacijente različite starosti (27 do 86 godina) i obuhvatila 234 pacijenta (46%) ≥65 godina, ovaj parametar nema uticaja na farmakokinetiku 5'-DFUR i 5-FU. PIK FBL povećava se sa starenjem (20% povećanje starosti dovodi do 15% povećanja PIK FBL). Ova promjena je vjerovatno uzrokovana promjenama bubrežne funkcije. </w:t>
            </w:r>
          </w:p>
          <w:p w:rsidR="00C6356D" w:rsidRPr="009C0BEE" w:rsidRDefault="00C6356D" w:rsidP="00C6356D">
            <w:pPr>
              <w:pStyle w:val="Header"/>
              <w:tabs>
                <w:tab w:val="left" w:pos="284"/>
              </w:tabs>
              <w:rPr>
                <w:sz w:val="22"/>
                <w:szCs w:val="22"/>
              </w:rPr>
            </w:pPr>
          </w:p>
          <w:p w:rsidR="00211C9C" w:rsidRPr="009C0BEE" w:rsidRDefault="00C6356D" w:rsidP="00C6356D">
            <w:pPr>
              <w:pStyle w:val="Header"/>
              <w:tabs>
                <w:tab w:val="left" w:pos="284"/>
              </w:tabs>
              <w:rPr>
                <w:color w:val="FF0000"/>
                <w:sz w:val="22"/>
                <w:szCs w:val="22"/>
              </w:rPr>
            </w:pPr>
            <w:r w:rsidRPr="009C0BEE">
              <w:rPr>
                <w:sz w:val="22"/>
                <w:szCs w:val="22"/>
                <w:u w:val="single"/>
              </w:rPr>
              <w:t>Etnički faktori</w:t>
            </w:r>
          </w:p>
          <w:p w:rsidR="00C6356D" w:rsidRPr="009C0BEE" w:rsidRDefault="00C6356D" w:rsidP="00CB5B38">
            <w:pPr>
              <w:pStyle w:val="Header"/>
              <w:tabs>
                <w:tab w:val="left" w:pos="284"/>
              </w:tabs>
              <w:jc w:val="both"/>
              <w:rPr>
                <w:sz w:val="22"/>
                <w:szCs w:val="22"/>
              </w:rPr>
            </w:pPr>
            <w:r w:rsidRPr="009C0BEE">
              <w:rPr>
                <w:sz w:val="22"/>
                <w:szCs w:val="22"/>
              </w:rPr>
              <w:t>Po oralnoj primjeni 825 mg/m</w:t>
            </w:r>
            <w:r w:rsidRPr="009C0BEE">
              <w:rPr>
                <w:sz w:val="22"/>
                <w:szCs w:val="22"/>
                <w:vertAlign w:val="superscript"/>
              </w:rPr>
              <w:t>2</w:t>
            </w:r>
            <w:r w:rsidRPr="009C0BEE">
              <w:rPr>
                <w:sz w:val="22"/>
                <w:szCs w:val="22"/>
              </w:rPr>
              <w:t xml:space="preserve"> kapecitabina dva puta dnevno u trajanju od 14 dana, japanski pacijenti (n=18) su imali oko 36% niži C</w:t>
            </w:r>
            <w:r w:rsidRPr="009C0BEE">
              <w:rPr>
                <w:sz w:val="22"/>
                <w:szCs w:val="22"/>
                <w:vertAlign w:val="subscript"/>
              </w:rPr>
              <w:t>max</w:t>
            </w:r>
            <w:r w:rsidRPr="009C0BEE">
              <w:rPr>
                <w:sz w:val="22"/>
                <w:szCs w:val="22"/>
              </w:rPr>
              <w:t xml:space="preserve"> i 24% nižu PIK za kapecitabin od pacijenata bijele rase (N=22). Japanski pacijenti su imali oko 25% niži C</w:t>
            </w:r>
            <w:r w:rsidRPr="009C0BEE">
              <w:rPr>
                <w:sz w:val="22"/>
                <w:szCs w:val="22"/>
                <w:vertAlign w:val="subscript"/>
              </w:rPr>
              <w:t>max</w:t>
            </w:r>
            <w:r w:rsidRPr="009C0BEE">
              <w:rPr>
                <w:sz w:val="22"/>
                <w:szCs w:val="22"/>
              </w:rPr>
              <w:t xml:space="preserve"> i 34% nižu PIK za FBAL od pacijenata bijele rase. Klinička relevantnost ovih razlika nije utvrđena. U izloženosti drugim metabolitima nema većih razlika (5'-DFCR, 5'-DFUR i 5-FU). </w:t>
            </w:r>
          </w:p>
          <w:p w:rsidR="004047F2" w:rsidRPr="009C0BEE" w:rsidRDefault="004047F2"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954F16" w:rsidP="00954F16">
            <w:pPr>
              <w:pStyle w:val="Header"/>
              <w:tabs>
                <w:tab w:val="left" w:pos="284"/>
              </w:tabs>
              <w:spacing w:before="80" w:after="80"/>
              <w:rPr>
                <w:b/>
                <w:bCs/>
                <w:sz w:val="22"/>
                <w:szCs w:val="22"/>
              </w:rPr>
            </w:pPr>
            <w:r w:rsidRPr="009C0BEE">
              <w:rPr>
                <w:b/>
                <w:bCs/>
                <w:sz w:val="22"/>
                <w:szCs w:val="22"/>
              </w:rPr>
              <w:lastRenderedPageBreak/>
              <w:t>5.3. Pret</w:t>
            </w:r>
            <w:r w:rsidR="00C6356D" w:rsidRPr="009C0BEE">
              <w:rPr>
                <w:b/>
                <w:bCs/>
                <w:sz w:val="22"/>
                <w:szCs w:val="22"/>
              </w:rPr>
              <w:t xml:space="preserve">klinički podaci o bezbjednosti </w:t>
            </w:r>
          </w:p>
        </w:tc>
      </w:tr>
      <w:tr w:rsidR="00D17F29" w:rsidRPr="009C0BEE" w:rsidTr="005E7E41">
        <w:trPr>
          <w:trHeight w:val="1145"/>
        </w:trPr>
        <w:tc>
          <w:tcPr>
            <w:tcW w:w="5000" w:type="pct"/>
            <w:gridSpan w:val="4"/>
            <w:vAlign w:val="center"/>
          </w:tcPr>
          <w:p w:rsidR="00C6356D" w:rsidRPr="009C0BEE" w:rsidRDefault="00C6356D" w:rsidP="002230C7">
            <w:pPr>
              <w:pStyle w:val="Header"/>
              <w:tabs>
                <w:tab w:val="left" w:pos="284"/>
              </w:tabs>
              <w:jc w:val="both"/>
              <w:rPr>
                <w:sz w:val="22"/>
                <w:szCs w:val="22"/>
              </w:rPr>
            </w:pPr>
            <w:r w:rsidRPr="009C0BEE">
              <w:rPr>
                <w:sz w:val="22"/>
                <w:szCs w:val="22"/>
              </w:rPr>
              <w:t>U ispitivanjima toksičnosti ponovljenih doza, dnevno oralno davanje kapecitabina cinomolgus majmunima i miševima dovodilo je do toksičnog dejstva na gastrointestinalni, limfni i hematopoetski sistem, ti</w:t>
            </w:r>
            <w:r w:rsidR="002230C7" w:rsidRPr="009C0BEE">
              <w:rPr>
                <w:sz w:val="22"/>
                <w:szCs w:val="22"/>
              </w:rPr>
              <w:t>pičnog za fluoropirimidine. T</w:t>
            </w:r>
            <w:r w:rsidRPr="009C0BEE">
              <w:rPr>
                <w:sz w:val="22"/>
                <w:szCs w:val="22"/>
              </w:rPr>
              <w:t>oksičnost</w:t>
            </w:r>
            <w:r w:rsidR="002230C7" w:rsidRPr="009C0BEE">
              <w:rPr>
                <w:sz w:val="22"/>
                <w:szCs w:val="22"/>
              </w:rPr>
              <w:t xml:space="preserve"> je bila reverzibilna</w:t>
            </w:r>
            <w:r w:rsidRPr="009C0BEE">
              <w:rPr>
                <w:sz w:val="22"/>
                <w:szCs w:val="22"/>
              </w:rPr>
              <w:t xml:space="preserve">. </w:t>
            </w:r>
            <w:r w:rsidR="002230C7" w:rsidRPr="009C0BEE">
              <w:rPr>
                <w:sz w:val="22"/>
                <w:szCs w:val="22"/>
              </w:rPr>
              <w:t>Primijećeno je da kapecitabin može izazvati</w:t>
            </w:r>
            <w:r w:rsidR="00734D9A" w:rsidRPr="009C0BEE">
              <w:rPr>
                <w:sz w:val="22"/>
                <w:szCs w:val="22"/>
              </w:rPr>
              <w:t xml:space="preserve"> i t</w:t>
            </w:r>
            <w:r w:rsidRPr="009C0BEE">
              <w:rPr>
                <w:sz w:val="22"/>
                <w:szCs w:val="22"/>
              </w:rPr>
              <w:t>oksičnost kože, koja se odlikuje degener</w:t>
            </w:r>
            <w:r w:rsidR="00734D9A" w:rsidRPr="009C0BEE">
              <w:rPr>
                <w:sz w:val="22"/>
                <w:szCs w:val="22"/>
              </w:rPr>
              <w:t>ativnim/ regresivnim promjenama</w:t>
            </w:r>
            <w:r w:rsidRPr="009C0BEE">
              <w:rPr>
                <w:sz w:val="22"/>
                <w:szCs w:val="22"/>
              </w:rPr>
              <w:t>.</w:t>
            </w:r>
            <w:r w:rsidRPr="009C0BEE">
              <w:rPr>
                <w:color w:val="FF0000"/>
                <w:sz w:val="22"/>
                <w:szCs w:val="22"/>
              </w:rPr>
              <w:t xml:space="preserve"> </w:t>
            </w:r>
            <w:r w:rsidRPr="009C0BEE">
              <w:rPr>
                <w:sz w:val="22"/>
                <w:szCs w:val="22"/>
              </w:rPr>
              <w:t xml:space="preserve">Kapecitabin nije imao toksično dejstvo na jetru i CNS. Kardiovaskularna toksičnost </w:t>
            </w:r>
            <w:r w:rsidR="000F07D2" w:rsidRPr="009C0BEE">
              <w:rPr>
                <w:sz w:val="22"/>
                <w:szCs w:val="22"/>
              </w:rPr>
              <w:t>(npr. produženje intervala PR</w:t>
            </w:r>
            <w:r w:rsidRPr="009C0BEE">
              <w:rPr>
                <w:sz w:val="22"/>
                <w:szCs w:val="22"/>
              </w:rPr>
              <w:t xml:space="preserve"> i QT) bilo je mjerljivo kod </w:t>
            </w:r>
            <w:r w:rsidRPr="009C0BEE">
              <w:rPr>
                <w:sz w:val="22"/>
                <w:szCs w:val="22"/>
              </w:rPr>
              <w:lastRenderedPageBreak/>
              <w:t xml:space="preserve">cinomolgus majmuna po intravenskom davanju (100 mg/kg), ali ne </w:t>
            </w:r>
            <w:r w:rsidR="000F07D2" w:rsidRPr="009C0BEE">
              <w:rPr>
                <w:sz w:val="22"/>
                <w:szCs w:val="22"/>
              </w:rPr>
              <w:t>i nakon ponovljene oralne doze</w:t>
            </w:r>
            <w:r w:rsidRPr="009C0BEE">
              <w:rPr>
                <w:sz w:val="22"/>
                <w:szCs w:val="22"/>
              </w:rPr>
              <w:t xml:space="preserve"> (1379 mg/m</w:t>
            </w:r>
            <w:r w:rsidRPr="009C0BEE">
              <w:rPr>
                <w:sz w:val="22"/>
                <w:szCs w:val="22"/>
                <w:vertAlign w:val="superscript"/>
              </w:rPr>
              <w:t>2</w:t>
            </w:r>
            <w:r w:rsidRPr="009C0BEE">
              <w:rPr>
                <w:sz w:val="22"/>
                <w:szCs w:val="22"/>
              </w:rPr>
              <w:t xml:space="preserve">/dan). </w:t>
            </w:r>
          </w:p>
          <w:p w:rsidR="00C6356D" w:rsidRPr="009C0BEE" w:rsidRDefault="00C6356D" w:rsidP="00C6356D">
            <w:pPr>
              <w:pStyle w:val="Header"/>
              <w:tabs>
                <w:tab w:val="left" w:pos="284"/>
              </w:tabs>
              <w:rPr>
                <w:color w:val="FF0000"/>
                <w:sz w:val="22"/>
                <w:szCs w:val="22"/>
              </w:rPr>
            </w:pPr>
          </w:p>
          <w:p w:rsidR="00C6356D" w:rsidRPr="009C0BEE" w:rsidRDefault="0045244D" w:rsidP="0045244D">
            <w:pPr>
              <w:pStyle w:val="Header"/>
              <w:tabs>
                <w:tab w:val="left" w:pos="284"/>
              </w:tabs>
              <w:jc w:val="both"/>
              <w:rPr>
                <w:sz w:val="22"/>
                <w:szCs w:val="22"/>
              </w:rPr>
            </w:pPr>
            <w:r w:rsidRPr="009C0BEE">
              <w:rPr>
                <w:sz w:val="22"/>
                <w:szCs w:val="22"/>
              </w:rPr>
              <w:t>Dvogodišnje ispitivanje ka</w:t>
            </w:r>
            <w:r w:rsidR="00C6356D" w:rsidRPr="009C0BEE">
              <w:rPr>
                <w:sz w:val="22"/>
                <w:szCs w:val="22"/>
              </w:rPr>
              <w:t>n</w:t>
            </w:r>
            <w:r w:rsidRPr="009C0BEE">
              <w:rPr>
                <w:sz w:val="22"/>
                <w:szCs w:val="22"/>
              </w:rPr>
              <w:t>cer</w:t>
            </w:r>
            <w:r w:rsidR="00C6356D" w:rsidRPr="009C0BEE">
              <w:rPr>
                <w:sz w:val="22"/>
                <w:szCs w:val="22"/>
              </w:rPr>
              <w:t xml:space="preserve">ogenosti na miševima nije dalo nikakve dokaze o karcinogenosti kapecitabina. </w:t>
            </w:r>
          </w:p>
          <w:p w:rsidR="00C6356D" w:rsidRPr="009C0BEE" w:rsidRDefault="00C6356D" w:rsidP="00C6356D">
            <w:pPr>
              <w:pStyle w:val="Header"/>
              <w:tabs>
                <w:tab w:val="left" w:pos="284"/>
              </w:tabs>
              <w:rPr>
                <w:color w:val="FF0000"/>
                <w:sz w:val="22"/>
                <w:szCs w:val="22"/>
              </w:rPr>
            </w:pPr>
          </w:p>
          <w:p w:rsidR="00C6356D" w:rsidRPr="009C0BEE" w:rsidRDefault="00C6356D" w:rsidP="00936E6A">
            <w:pPr>
              <w:pStyle w:val="Header"/>
              <w:tabs>
                <w:tab w:val="left" w:pos="284"/>
              </w:tabs>
              <w:jc w:val="both"/>
              <w:rPr>
                <w:sz w:val="22"/>
                <w:szCs w:val="22"/>
              </w:rPr>
            </w:pPr>
            <w:r w:rsidRPr="009C0BEE">
              <w:rPr>
                <w:sz w:val="22"/>
                <w:szCs w:val="22"/>
              </w:rPr>
              <w:t>Tokom standardnog ispitivanja dejstva na fertilnost, primijećena je smanjena fertilnost ženki miševa koje su primale kapecitabin. Međutim, ovo dejstvo je bilo reverzibilno po prestanku primanja lijeka. Uz to, tokom ispitivanja koje je trajalo 13 ned</w:t>
            </w:r>
            <w:r w:rsidR="00936E6A" w:rsidRPr="009C0BEE">
              <w:rPr>
                <w:sz w:val="22"/>
                <w:szCs w:val="22"/>
              </w:rPr>
              <w:t>j</w:t>
            </w:r>
            <w:r w:rsidRPr="009C0BEE">
              <w:rPr>
                <w:sz w:val="22"/>
                <w:szCs w:val="22"/>
              </w:rPr>
              <w:t xml:space="preserve">elja, atrofične i degenerativne promjene pojavile su se na reproduktivnim organima mužjaka miševa. Međutim, </w:t>
            </w:r>
            <w:r w:rsidR="00543A8C" w:rsidRPr="009C0BEE">
              <w:rPr>
                <w:sz w:val="22"/>
                <w:szCs w:val="22"/>
              </w:rPr>
              <w:t xml:space="preserve">ovo </w:t>
            </w:r>
            <w:r w:rsidR="00936E6A" w:rsidRPr="009C0BEE">
              <w:rPr>
                <w:sz w:val="22"/>
                <w:szCs w:val="22"/>
              </w:rPr>
              <w:t>dejstvo je bilo reverzibilno nakon određenog perioda</w:t>
            </w:r>
            <w:r w:rsidRPr="009C0BEE">
              <w:rPr>
                <w:sz w:val="22"/>
                <w:szCs w:val="22"/>
              </w:rPr>
              <w:t xml:space="preserve"> bez primanja lijeka</w:t>
            </w:r>
            <w:r w:rsidR="00E3258E" w:rsidRPr="009C0BEE">
              <w:rPr>
                <w:sz w:val="22"/>
                <w:szCs w:val="22"/>
              </w:rPr>
              <w:t xml:space="preserve"> (vidjeti odjeljak 4.6)</w:t>
            </w:r>
            <w:r w:rsidRPr="009C0BEE">
              <w:rPr>
                <w:sz w:val="22"/>
                <w:szCs w:val="22"/>
              </w:rPr>
              <w:t>.</w:t>
            </w:r>
          </w:p>
          <w:p w:rsidR="00C6356D" w:rsidRPr="009C0BEE" w:rsidRDefault="00C6356D" w:rsidP="00C6356D">
            <w:pPr>
              <w:pStyle w:val="Header"/>
              <w:tabs>
                <w:tab w:val="left" w:pos="284"/>
              </w:tabs>
              <w:rPr>
                <w:color w:val="FF0000"/>
                <w:sz w:val="22"/>
                <w:szCs w:val="22"/>
              </w:rPr>
            </w:pPr>
          </w:p>
          <w:p w:rsidR="00C6356D" w:rsidRPr="009C0BEE" w:rsidRDefault="00C6356D" w:rsidP="003B50E9">
            <w:pPr>
              <w:pStyle w:val="Header"/>
              <w:tabs>
                <w:tab w:val="left" w:pos="284"/>
              </w:tabs>
              <w:jc w:val="both"/>
              <w:rPr>
                <w:sz w:val="22"/>
                <w:szCs w:val="22"/>
              </w:rPr>
            </w:pPr>
            <w:r w:rsidRPr="009C0BEE">
              <w:rPr>
                <w:sz w:val="22"/>
                <w:szCs w:val="22"/>
              </w:rPr>
              <w:t>U ispitivanjima embriotoksičnosti i teratogenosti kod miševa, primijećeno je dozno srazmjerno povećanje fetalne re</w:t>
            </w:r>
            <w:r w:rsidR="003B50E9" w:rsidRPr="009C0BEE">
              <w:rPr>
                <w:sz w:val="22"/>
                <w:szCs w:val="22"/>
              </w:rPr>
              <w:t>sorpcije i teratogenosti. Kod</w:t>
            </w:r>
            <w:r w:rsidRPr="009C0BEE">
              <w:rPr>
                <w:sz w:val="22"/>
                <w:szCs w:val="22"/>
              </w:rPr>
              <w:t xml:space="preserve"> majmuna, pobačaji i embrioletalnost </w:t>
            </w:r>
            <w:r w:rsidR="003B50E9" w:rsidRPr="009C0BEE">
              <w:rPr>
                <w:sz w:val="22"/>
                <w:szCs w:val="22"/>
              </w:rPr>
              <w:t>su zabilježeni</w:t>
            </w:r>
            <w:r w:rsidRPr="009C0BEE">
              <w:rPr>
                <w:sz w:val="22"/>
                <w:szCs w:val="22"/>
              </w:rPr>
              <w:t xml:space="preserve"> pri korišćenju visokih doza, ali nije bilo dokaza o teratogenosti. </w:t>
            </w:r>
          </w:p>
          <w:p w:rsidR="00C6356D" w:rsidRPr="009C0BEE" w:rsidRDefault="00C6356D" w:rsidP="00C6356D">
            <w:pPr>
              <w:pStyle w:val="Header"/>
              <w:tabs>
                <w:tab w:val="left" w:pos="284"/>
              </w:tabs>
              <w:rPr>
                <w:color w:val="FF0000"/>
                <w:sz w:val="22"/>
                <w:szCs w:val="22"/>
              </w:rPr>
            </w:pPr>
          </w:p>
          <w:p w:rsidR="00C6356D" w:rsidRPr="009C0BEE" w:rsidRDefault="00C6356D" w:rsidP="00300719">
            <w:pPr>
              <w:pStyle w:val="Header"/>
              <w:tabs>
                <w:tab w:val="left" w:pos="284"/>
              </w:tabs>
              <w:jc w:val="both"/>
              <w:rPr>
                <w:sz w:val="22"/>
                <w:szCs w:val="22"/>
              </w:rPr>
            </w:pPr>
            <w:r w:rsidRPr="009C0BEE">
              <w:rPr>
                <w:sz w:val="22"/>
                <w:szCs w:val="22"/>
              </w:rPr>
              <w:t xml:space="preserve">Kapecitabin nije imao mutageno dejstvo na bakterije </w:t>
            </w:r>
            <w:r w:rsidRPr="009C0BEE">
              <w:rPr>
                <w:i/>
                <w:sz w:val="22"/>
                <w:szCs w:val="22"/>
              </w:rPr>
              <w:t>in vitro</w:t>
            </w:r>
            <w:r w:rsidRPr="009C0BEE">
              <w:rPr>
                <w:sz w:val="22"/>
                <w:szCs w:val="22"/>
              </w:rPr>
              <w:t xml:space="preserve"> (Ames test) ili ćelije sisara (test genske mutacije V79/HPRT kineskog hrčka). Međutim, slično</w:t>
            </w:r>
            <w:r w:rsidR="00300719" w:rsidRPr="009C0BEE">
              <w:rPr>
                <w:sz w:val="22"/>
                <w:szCs w:val="22"/>
              </w:rPr>
              <w:t xml:space="preserve"> drugim analozima nukleozida (t</w:t>
            </w:r>
            <w:r w:rsidRPr="009C0BEE">
              <w:rPr>
                <w:sz w:val="22"/>
                <w:szCs w:val="22"/>
              </w:rPr>
              <w:t>j. 5-FU), kapecitabin je imao klastogeno dejstvo na humane limfocite (</w:t>
            </w:r>
            <w:r w:rsidRPr="009C0BEE">
              <w:rPr>
                <w:i/>
                <w:sz w:val="22"/>
                <w:szCs w:val="22"/>
              </w:rPr>
              <w:t>in vitro</w:t>
            </w:r>
            <w:r w:rsidRPr="009C0BEE">
              <w:rPr>
                <w:sz w:val="22"/>
                <w:szCs w:val="22"/>
              </w:rPr>
              <w:t>), a pozitivan trend je zabilježen i u mikronukleusnom testu kostne srži (</w:t>
            </w:r>
            <w:r w:rsidRPr="009C0BEE">
              <w:rPr>
                <w:i/>
                <w:sz w:val="22"/>
                <w:szCs w:val="22"/>
              </w:rPr>
              <w:t>in vivo</w:t>
            </w:r>
            <w:r w:rsidRPr="009C0BEE">
              <w:rPr>
                <w:sz w:val="22"/>
                <w:szCs w:val="22"/>
              </w:rPr>
              <w:t xml:space="preserve">). </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lastRenderedPageBreak/>
              <w:t>6. FARMACEUTSKI PODACI</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6.1. Lista pomoćnih supstanci</w:t>
            </w:r>
          </w:p>
        </w:tc>
      </w:tr>
      <w:tr w:rsidR="00D17F29" w:rsidRPr="009C0BEE" w:rsidTr="005E7E41">
        <w:trPr>
          <w:trHeight w:val="526"/>
        </w:trPr>
        <w:tc>
          <w:tcPr>
            <w:tcW w:w="5000" w:type="pct"/>
            <w:gridSpan w:val="4"/>
            <w:vAlign w:val="center"/>
          </w:tcPr>
          <w:p w:rsidR="00C6356D" w:rsidRPr="009C0BEE" w:rsidRDefault="00C6356D" w:rsidP="00C6356D">
            <w:pPr>
              <w:rPr>
                <w:i/>
                <w:sz w:val="22"/>
                <w:szCs w:val="22"/>
              </w:rPr>
            </w:pPr>
            <w:r w:rsidRPr="009C0BEE">
              <w:rPr>
                <w:i/>
                <w:sz w:val="22"/>
                <w:szCs w:val="22"/>
              </w:rPr>
              <w:t xml:space="preserve">Jezgro tablete: </w:t>
            </w:r>
          </w:p>
          <w:p w:rsidR="00C6356D" w:rsidRPr="009C0BEE" w:rsidRDefault="007D096E" w:rsidP="00C6356D">
            <w:pPr>
              <w:rPr>
                <w:sz w:val="22"/>
                <w:szCs w:val="22"/>
              </w:rPr>
            </w:pPr>
            <w:r w:rsidRPr="009C0BEE">
              <w:rPr>
                <w:sz w:val="22"/>
                <w:szCs w:val="22"/>
              </w:rPr>
              <w:t>laktoza</w:t>
            </w:r>
          </w:p>
          <w:p w:rsidR="00A370A1" w:rsidRPr="009C0BEE" w:rsidRDefault="00A370A1" w:rsidP="00A370A1">
            <w:pPr>
              <w:rPr>
                <w:sz w:val="22"/>
                <w:szCs w:val="22"/>
              </w:rPr>
            </w:pPr>
            <w:r w:rsidRPr="009C0BEE">
              <w:rPr>
                <w:sz w:val="22"/>
                <w:szCs w:val="22"/>
              </w:rPr>
              <w:t xml:space="preserve">celuloza, mikrokristalna </w:t>
            </w:r>
          </w:p>
          <w:p w:rsidR="00A370A1" w:rsidRPr="009C0BEE" w:rsidRDefault="00A370A1" w:rsidP="00A370A1">
            <w:pPr>
              <w:rPr>
                <w:sz w:val="22"/>
                <w:szCs w:val="22"/>
              </w:rPr>
            </w:pPr>
            <w:r w:rsidRPr="009C0BEE">
              <w:rPr>
                <w:sz w:val="22"/>
                <w:szCs w:val="22"/>
              </w:rPr>
              <w:t xml:space="preserve">hipromeloza </w:t>
            </w:r>
          </w:p>
          <w:p w:rsidR="007D096E" w:rsidRPr="009C0BEE" w:rsidRDefault="007D096E" w:rsidP="00C6356D">
            <w:pPr>
              <w:rPr>
                <w:sz w:val="22"/>
                <w:szCs w:val="22"/>
              </w:rPr>
            </w:pPr>
            <w:r w:rsidRPr="009C0BEE">
              <w:rPr>
                <w:sz w:val="22"/>
                <w:szCs w:val="22"/>
              </w:rPr>
              <w:t>kroskarmeloza natrijum</w:t>
            </w:r>
          </w:p>
          <w:p w:rsidR="00C6356D" w:rsidRPr="009C0BEE" w:rsidRDefault="00C6356D" w:rsidP="00C6356D">
            <w:pPr>
              <w:rPr>
                <w:sz w:val="22"/>
                <w:szCs w:val="22"/>
              </w:rPr>
            </w:pPr>
            <w:r w:rsidRPr="009C0BEE">
              <w:rPr>
                <w:sz w:val="22"/>
                <w:szCs w:val="22"/>
              </w:rPr>
              <w:t>magnezijum stearat</w:t>
            </w:r>
          </w:p>
          <w:p w:rsidR="00D312C1" w:rsidRPr="009C0BEE" w:rsidRDefault="00D312C1" w:rsidP="00C6356D">
            <w:pPr>
              <w:rPr>
                <w:color w:val="FF0000"/>
                <w:sz w:val="22"/>
                <w:szCs w:val="22"/>
              </w:rPr>
            </w:pPr>
          </w:p>
          <w:p w:rsidR="00C6356D" w:rsidRPr="009C0BEE" w:rsidRDefault="00D26086" w:rsidP="00C6356D">
            <w:pPr>
              <w:pStyle w:val="Header"/>
              <w:tabs>
                <w:tab w:val="left" w:pos="284"/>
              </w:tabs>
              <w:rPr>
                <w:i/>
                <w:sz w:val="22"/>
                <w:szCs w:val="22"/>
              </w:rPr>
            </w:pPr>
            <w:r w:rsidRPr="009C0BEE">
              <w:rPr>
                <w:i/>
                <w:sz w:val="22"/>
                <w:szCs w:val="22"/>
              </w:rPr>
              <w:t>F</w:t>
            </w:r>
            <w:r w:rsidR="00C6356D" w:rsidRPr="009C0BEE">
              <w:rPr>
                <w:i/>
                <w:sz w:val="22"/>
                <w:szCs w:val="22"/>
              </w:rPr>
              <w:t>ilm</w:t>
            </w:r>
            <w:r w:rsidRPr="009C0BEE">
              <w:rPr>
                <w:i/>
                <w:sz w:val="22"/>
                <w:szCs w:val="22"/>
              </w:rPr>
              <w:t xml:space="preserve"> obloga</w:t>
            </w:r>
            <w:r w:rsidR="00C6356D" w:rsidRPr="009C0BEE">
              <w:rPr>
                <w:i/>
                <w:sz w:val="22"/>
                <w:szCs w:val="22"/>
              </w:rPr>
              <w:t xml:space="preserve">: </w:t>
            </w:r>
          </w:p>
          <w:p w:rsidR="00D26086" w:rsidRPr="009C0BEE" w:rsidRDefault="00D26086" w:rsidP="00D26086">
            <w:pPr>
              <w:rPr>
                <w:sz w:val="22"/>
              </w:rPr>
            </w:pPr>
            <w:r w:rsidRPr="009C0BEE">
              <w:rPr>
                <w:sz w:val="22"/>
              </w:rPr>
              <w:t>m</w:t>
            </w:r>
            <w:r w:rsidR="00D312C1" w:rsidRPr="009C0BEE">
              <w:rPr>
                <w:sz w:val="22"/>
              </w:rPr>
              <w:t xml:space="preserve">akrogol </w:t>
            </w:r>
          </w:p>
          <w:p w:rsidR="00D26086" w:rsidRPr="009C0BEE" w:rsidRDefault="00D26086" w:rsidP="00D26086">
            <w:pPr>
              <w:rPr>
                <w:sz w:val="22"/>
                <w:szCs w:val="22"/>
              </w:rPr>
            </w:pPr>
            <w:r w:rsidRPr="009C0BEE">
              <w:rPr>
                <w:sz w:val="22"/>
                <w:szCs w:val="22"/>
              </w:rPr>
              <w:t>hipromeloza</w:t>
            </w:r>
          </w:p>
          <w:p w:rsidR="00D26086" w:rsidRPr="009C0BEE" w:rsidRDefault="00D26086" w:rsidP="00D26086">
            <w:pPr>
              <w:pStyle w:val="Header"/>
              <w:tabs>
                <w:tab w:val="left" w:pos="284"/>
              </w:tabs>
              <w:rPr>
                <w:sz w:val="22"/>
                <w:szCs w:val="22"/>
              </w:rPr>
            </w:pPr>
            <w:r w:rsidRPr="009C0BEE">
              <w:rPr>
                <w:sz w:val="22"/>
                <w:szCs w:val="22"/>
              </w:rPr>
              <w:t>titan</w:t>
            </w:r>
            <w:r w:rsidR="005B0552" w:rsidRPr="009C0BEE">
              <w:rPr>
                <w:sz w:val="22"/>
                <w:szCs w:val="22"/>
              </w:rPr>
              <w:t xml:space="preserve"> </w:t>
            </w:r>
            <w:r w:rsidRPr="009C0BEE">
              <w:rPr>
                <w:sz w:val="22"/>
                <w:szCs w:val="22"/>
              </w:rPr>
              <w:t>dioksid (E</w:t>
            </w:r>
            <w:r w:rsidR="005B0552" w:rsidRPr="009C0BEE">
              <w:rPr>
                <w:sz w:val="22"/>
                <w:szCs w:val="22"/>
              </w:rPr>
              <w:t xml:space="preserve"> </w:t>
            </w:r>
            <w:r w:rsidRPr="009C0BEE">
              <w:rPr>
                <w:sz w:val="22"/>
                <w:szCs w:val="22"/>
              </w:rPr>
              <w:t xml:space="preserve">171) </w:t>
            </w:r>
          </w:p>
          <w:p w:rsidR="00C6356D" w:rsidRPr="009C0BEE" w:rsidRDefault="00C6356D" w:rsidP="00C6356D">
            <w:pPr>
              <w:pStyle w:val="Header"/>
              <w:tabs>
                <w:tab w:val="left" w:pos="284"/>
              </w:tabs>
              <w:rPr>
                <w:sz w:val="22"/>
                <w:szCs w:val="22"/>
              </w:rPr>
            </w:pPr>
            <w:r w:rsidRPr="009C0BEE">
              <w:rPr>
                <w:sz w:val="22"/>
                <w:szCs w:val="22"/>
              </w:rPr>
              <w:t>gvožđe(III) oksid, žuti (E 172)</w:t>
            </w:r>
          </w:p>
          <w:p w:rsidR="00C6356D" w:rsidRPr="009C0BEE" w:rsidRDefault="00C6356D" w:rsidP="00C6356D">
            <w:pPr>
              <w:pStyle w:val="Header"/>
              <w:tabs>
                <w:tab w:val="left" w:pos="284"/>
              </w:tabs>
              <w:rPr>
                <w:sz w:val="22"/>
                <w:szCs w:val="22"/>
              </w:rPr>
            </w:pPr>
            <w:r w:rsidRPr="009C0BEE">
              <w:rPr>
                <w:sz w:val="22"/>
                <w:szCs w:val="22"/>
              </w:rPr>
              <w:t xml:space="preserve">gvožđe(III) oksid, crveni (E 172) </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6.2. Inkompatibilnost</w:t>
            </w:r>
            <w:r w:rsidR="00AE7268" w:rsidRPr="009C0BEE">
              <w:rPr>
                <w:b/>
                <w:bCs/>
                <w:sz w:val="22"/>
                <w:szCs w:val="22"/>
              </w:rPr>
              <w:t>i</w:t>
            </w:r>
          </w:p>
        </w:tc>
      </w:tr>
      <w:tr w:rsidR="00D17F29" w:rsidRPr="009C0BEE" w:rsidTr="005E7E41">
        <w:trPr>
          <w:trHeight w:val="858"/>
        </w:trPr>
        <w:tc>
          <w:tcPr>
            <w:tcW w:w="5000" w:type="pct"/>
            <w:gridSpan w:val="4"/>
            <w:vAlign w:val="center"/>
          </w:tcPr>
          <w:p w:rsidR="00C6356D" w:rsidRPr="009C0BEE" w:rsidRDefault="00D21C2F" w:rsidP="00C6356D">
            <w:pPr>
              <w:pStyle w:val="Header"/>
              <w:tabs>
                <w:tab w:val="left" w:pos="284"/>
              </w:tabs>
              <w:rPr>
                <w:sz w:val="22"/>
                <w:szCs w:val="22"/>
              </w:rPr>
            </w:pPr>
            <w:r w:rsidRPr="009C0BEE">
              <w:rPr>
                <w:sz w:val="22"/>
                <w:szCs w:val="22"/>
              </w:rPr>
              <w:t>Nije primjenljiv</w:t>
            </w:r>
            <w:r w:rsidR="00C6356D" w:rsidRPr="009C0BEE">
              <w:rPr>
                <w:sz w:val="22"/>
                <w:szCs w:val="22"/>
              </w:rPr>
              <w:t>o.</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6.3. Rok upotrebe</w:t>
            </w:r>
          </w:p>
        </w:tc>
      </w:tr>
      <w:tr w:rsidR="00D17F29" w:rsidRPr="009C0BEE" w:rsidTr="005E7E41">
        <w:trPr>
          <w:trHeight w:val="909"/>
        </w:trPr>
        <w:tc>
          <w:tcPr>
            <w:tcW w:w="5000" w:type="pct"/>
            <w:gridSpan w:val="4"/>
            <w:vAlign w:val="center"/>
          </w:tcPr>
          <w:p w:rsidR="00C6356D" w:rsidRPr="009C0BEE" w:rsidRDefault="00524E6D" w:rsidP="00C6356D">
            <w:pPr>
              <w:pStyle w:val="Header"/>
              <w:tabs>
                <w:tab w:val="left" w:pos="284"/>
              </w:tabs>
              <w:rPr>
                <w:sz w:val="22"/>
                <w:szCs w:val="22"/>
              </w:rPr>
            </w:pPr>
            <w:r w:rsidRPr="009C0BEE">
              <w:rPr>
                <w:sz w:val="22"/>
                <w:szCs w:val="22"/>
              </w:rPr>
              <w:t>2</w:t>
            </w:r>
            <w:r w:rsidR="00C6356D" w:rsidRPr="009C0BEE">
              <w:rPr>
                <w:sz w:val="22"/>
                <w:szCs w:val="22"/>
              </w:rPr>
              <w:t xml:space="preserve"> godine.</w:t>
            </w: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lastRenderedPageBreak/>
              <w:t>6.4. Posebne mjere upozorenja pri čuvanju</w:t>
            </w:r>
            <w:r w:rsidR="00AE7268" w:rsidRPr="009C0BEE">
              <w:rPr>
                <w:b/>
                <w:bCs/>
                <w:sz w:val="22"/>
                <w:szCs w:val="22"/>
              </w:rPr>
              <w:t xml:space="preserve"> lijeka</w:t>
            </w:r>
          </w:p>
        </w:tc>
      </w:tr>
      <w:tr w:rsidR="00D17F29" w:rsidRPr="009C0BEE" w:rsidTr="005E7E41">
        <w:trPr>
          <w:trHeight w:val="960"/>
        </w:trPr>
        <w:tc>
          <w:tcPr>
            <w:tcW w:w="5000" w:type="pct"/>
            <w:gridSpan w:val="4"/>
            <w:vAlign w:val="center"/>
          </w:tcPr>
          <w:p w:rsidR="00C6356D" w:rsidRPr="009C0BEE" w:rsidRDefault="00C6356D" w:rsidP="00C6356D">
            <w:pPr>
              <w:pStyle w:val="Header"/>
              <w:tabs>
                <w:tab w:val="left" w:pos="284"/>
              </w:tabs>
              <w:rPr>
                <w:sz w:val="22"/>
                <w:szCs w:val="22"/>
              </w:rPr>
            </w:pPr>
            <w:r w:rsidRPr="009C0BEE">
              <w:rPr>
                <w:sz w:val="22"/>
                <w:szCs w:val="22"/>
              </w:rPr>
              <w:t>Čuvati na temperaturi do 30</w:t>
            </w:r>
            <w:r w:rsidRPr="009C0BEE">
              <w:rPr>
                <w:sz w:val="22"/>
                <w:szCs w:val="22"/>
                <w:vertAlign w:val="superscript"/>
              </w:rPr>
              <w:t>o</w:t>
            </w:r>
            <w:r w:rsidRPr="009C0BEE">
              <w:rPr>
                <w:sz w:val="22"/>
                <w:szCs w:val="22"/>
              </w:rPr>
              <w:t xml:space="preserve">C. </w:t>
            </w:r>
          </w:p>
          <w:p w:rsidR="00D312C1" w:rsidRPr="009C0BEE" w:rsidRDefault="00D312C1" w:rsidP="00C6356D">
            <w:pPr>
              <w:pStyle w:val="Header"/>
              <w:tabs>
                <w:tab w:val="left" w:pos="284"/>
              </w:tabs>
              <w:rPr>
                <w:sz w:val="22"/>
                <w:szCs w:val="22"/>
              </w:rPr>
            </w:pPr>
            <w:r w:rsidRPr="009C0BEE">
              <w:rPr>
                <w:sz w:val="22"/>
                <w:szCs w:val="22"/>
              </w:rPr>
              <w:t>Čuvati u originalnom pakovanju zbog zaštite od vlage.</w:t>
            </w:r>
          </w:p>
        </w:tc>
      </w:tr>
      <w:tr w:rsidR="00D17F29" w:rsidRPr="009C0BEE" w:rsidTr="005E7E41">
        <w:tc>
          <w:tcPr>
            <w:tcW w:w="5000" w:type="pct"/>
            <w:gridSpan w:val="4"/>
            <w:vAlign w:val="center"/>
          </w:tcPr>
          <w:p w:rsidR="00C6356D" w:rsidRPr="009C0BEE" w:rsidRDefault="00C6356D" w:rsidP="00AE7268">
            <w:pPr>
              <w:pStyle w:val="Header"/>
              <w:tabs>
                <w:tab w:val="left" w:pos="284"/>
              </w:tabs>
              <w:spacing w:before="80" w:after="80"/>
              <w:rPr>
                <w:b/>
                <w:bCs/>
                <w:sz w:val="22"/>
                <w:szCs w:val="22"/>
              </w:rPr>
            </w:pPr>
            <w:r w:rsidRPr="009C0BEE">
              <w:rPr>
                <w:b/>
                <w:bCs/>
                <w:sz w:val="22"/>
                <w:szCs w:val="22"/>
              </w:rPr>
              <w:t xml:space="preserve">6.5. </w:t>
            </w:r>
            <w:r w:rsidR="00AE7268" w:rsidRPr="009C0BEE">
              <w:rPr>
                <w:b/>
                <w:bCs/>
                <w:sz w:val="22"/>
                <w:szCs w:val="22"/>
              </w:rPr>
              <w:t>Vrsta</w:t>
            </w:r>
            <w:r w:rsidRPr="009C0BEE">
              <w:rPr>
                <w:b/>
                <w:bCs/>
                <w:sz w:val="22"/>
                <w:szCs w:val="22"/>
              </w:rPr>
              <w:t xml:space="preserve"> i sadržaj </w:t>
            </w:r>
            <w:r w:rsidR="00AE7268" w:rsidRPr="009C0BEE">
              <w:rPr>
                <w:b/>
                <w:bCs/>
                <w:sz w:val="22"/>
                <w:szCs w:val="22"/>
              </w:rPr>
              <w:t>pakovanja</w:t>
            </w:r>
          </w:p>
        </w:tc>
      </w:tr>
      <w:tr w:rsidR="00D17F29" w:rsidRPr="009C0BEE" w:rsidTr="005E7E41">
        <w:trPr>
          <w:trHeight w:val="1145"/>
        </w:trPr>
        <w:tc>
          <w:tcPr>
            <w:tcW w:w="5000" w:type="pct"/>
            <w:gridSpan w:val="4"/>
            <w:vAlign w:val="center"/>
          </w:tcPr>
          <w:p w:rsidR="00DF0725" w:rsidRPr="009C0BEE" w:rsidRDefault="00DF0725" w:rsidP="00C6356D">
            <w:pPr>
              <w:pStyle w:val="Header"/>
              <w:tabs>
                <w:tab w:val="left" w:pos="284"/>
              </w:tabs>
              <w:rPr>
                <w:color w:val="FF0000"/>
                <w:sz w:val="22"/>
                <w:szCs w:val="22"/>
              </w:rPr>
            </w:pPr>
          </w:p>
          <w:p w:rsidR="00D21C2F" w:rsidRPr="009C0BEE" w:rsidRDefault="00F91C4D" w:rsidP="00DF0725">
            <w:pPr>
              <w:pStyle w:val="Header"/>
              <w:tabs>
                <w:tab w:val="left" w:pos="284"/>
              </w:tabs>
              <w:rPr>
                <w:sz w:val="22"/>
                <w:szCs w:val="22"/>
              </w:rPr>
            </w:pPr>
            <w:r w:rsidRPr="009C0BEE">
              <w:rPr>
                <w:sz w:val="22"/>
                <w:szCs w:val="22"/>
              </w:rPr>
              <w:t>Kapecitabin</w:t>
            </w:r>
            <w:r w:rsidR="00DF0725" w:rsidRPr="009C0BEE">
              <w:rPr>
                <w:sz w:val="22"/>
                <w:szCs w:val="22"/>
              </w:rPr>
              <w:t xml:space="preserve"> Teva film tablete 150 mg</w:t>
            </w:r>
          </w:p>
          <w:p w:rsidR="00DF0725" w:rsidRPr="009C0BEE" w:rsidRDefault="00D21C2F" w:rsidP="00D21C2F">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PVC/PE/PVDC – Alu blisteri koji sadrže 10 film tableta. Svako pakovanje sadrži 60 tableta.</w:t>
            </w:r>
          </w:p>
          <w:p w:rsidR="005234C0" w:rsidRPr="009C0BEE" w:rsidRDefault="00F91C4D" w:rsidP="00DF0725">
            <w:pPr>
              <w:pStyle w:val="Header"/>
              <w:tabs>
                <w:tab w:val="left" w:pos="284"/>
              </w:tabs>
              <w:rPr>
                <w:sz w:val="22"/>
                <w:szCs w:val="22"/>
              </w:rPr>
            </w:pPr>
            <w:r w:rsidRPr="009C0BEE">
              <w:rPr>
                <w:sz w:val="22"/>
                <w:szCs w:val="22"/>
              </w:rPr>
              <w:t>Kapecitabin</w:t>
            </w:r>
            <w:r w:rsidR="00F24371" w:rsidRPr="009C0BEE">
              <w:rPr>
                <w:sz w:val="22"/>
                <w:szCs w:val="22"/>
              </w:rPr>
              <w:t xml:space="preserve"> Teva film tablete 500 mg</w:t>
            </w:r>
          </w:p>
          <w:p w:rsidR="009057B7" w:rsidRPr="009C0BEE" w:rsidRDefault="009057B7" w:rsidP="009057B7">
            <w:pPr>
              <w:autoSpaceDE w:val="0"/>
              <w:autoSpaceDN w:val="0"/>
              <w:adjustRightInd w:val="0"/>
              <w:rPr>
                <w:rFonts w:ascii="TimesNewRoman" w:hAnsi="TimesNewRoman" w:cs="TimesNewRoman"/>
                <w:sz w:val="22"/>
                <w:szCs w:val="22"/>
              </w:rPr>
            </w:pPr>
            <w:r w:rsidRPr="009C0BEE">
              <w:rPr>
                <w:rFonts w:ascii="TimesNewRoman" w:hAnsi="TimesNewRoman" w:cs="TimesNewRoman"/>
                <w:sz w:val="22"/>
                <w:szCs w:val="22"/>
              </w:rPr>
              <w:t>PVC/PE/PVDC – Alu blisteri koji sadrže 10 film tableta. Svako pakovanje sadrži 120 tableta.</w:t>
            </w:r>
          </w:p>
          <w:p w:rsidR="00C6356D" w:rsidRPr="009C0BEE" w:rsidRDefault="00C6356D" w:rsidP="00C6356D">
            <w:pPr>
              <w:pStyle w:val="Header"/>
              <w:tabs>
                <w:tab w:val="left" w:pos="284"/>
              </w:tabs>
              <w:rPr>
                <w:color w:val="FF0000"/>
                <w:sz w:val="22"/>
                <w:szCs w:val="22"/>
              </w:rPr>
            </w:pPr>
          </w:p>
        </w:tc>
      </w:tr>
      <w:tr w:rsidR="00D17F29" w:rsidRPr="009C0BEE" w:rsidTr="005E7E41">
        <w:tc>
          <w:tcPr>
            <w:tcW w:w="5000" w:type="pct"/>
            <w:gridSpan w:val="4"/>
            <w:vAlign w:val="center"/>
          </w:tcPr>
          <w:p w:rsidR="00C6356D" w:rsidRPr="009C0BEE" w:rsidRDefault="00C6356D" w:rsidP="00C6356D">
            <w:pPr>
              <w:pStyle w:val="Header"/>
              <w:tabs>
                <w:tab w:val="left" w:pos="284"/>
              </w:tabs>
              <w:spacing w:before="80" w:after="80"/>
              <w:rPr>
                <w:b/>
                <w:bCs/>
                <w:sz w:val="22"/>
                <w:szCs w:val="22"/>
              </w:rPr>
            </w:pPr>
            <w:r w:rsidRPr="009C0BEE">
              <w:rPr>
                <w:b/>
                <w:bCs/>
                <w:sz w:val="22"/>
                <w:szCs w:val="22"/>
              </w:rPr>
              <w:t xml:space="preserve">6.6. Posebne mjere opreza pri odlaganju materijala koji treba odbaciti nakon primjene lijeka </w:t>
            </w:r>
          </w:p>
        </w:tc>
      </w:tr>
      <w:tr w:rsidR="00D17F29" w:rsidRPr="009C0BEE" w:rsidTr="005E7E41">
        <w:trPr>
          <w:trHeight w:val="1145"/>
        </w:trPr>
        <w:tc>
          <w:tcPr>
            <w:tcW w:w="5000" w:type="pct"/>
            <w:gridSpan w:val="4"/>
            <w:vAlign w:val="center"/>
          </w:tcPr>
          <w:p w:rsidR="00C6356D" w:rsidRPr="009C0BEE" w:rsidRDefault="00C6356D" w:rsidP="00C6356D">
            <w:pPr>
              <w:pStyle w:val="Header"/>
              <w:tabs>
                <w:tab w:val="left" w:pos="284"/>
              </w:tabs>
              <w:rPr>
                <w:sz w:val="22"/>
                <w:szCs w:val="22"/>
              </w:rPr>
            </w:pPr>
            <w:r w:rsidRPr="009C0BEE">
              <w:rPr>
                <w:sz w:val="22"/>
                <w:szCs w:val="22"/>
              </w:rPr>
              <w:t xml:space="preserve">Nema posebnih zahtjeva. </w:t>
            </w:r>
          </w:p>
          <w:p w:rsidR="00C6356D" w:rsidRPr="009C0BEE" w:rsidRDefault="00C6356D" w:rsidP="00C6356D">
            <w:pPr>
              <w:pStyle w:val="Header"/>
              <w:tabs>
                <w:tab w:val="left" w:pos="284"/>
              </w:tabs>
              <w:rPr>
                <w:sz w:val="22"/>
                <w:szCs w:val="22"/>
              </w:rPr>
            </w:pPr>
            <w:r w:rsidRPr="009C0BEE">
              <w:rPr>
                <w:sz w:val="22"/>
                <w:szCs w:val="22"/>
              </w:rPr>
              <w:t>Neupotr</w:t>
            </w:r>
            <w:r w:rsidR="0088772A">
              <w:rPr>
                <w:sz w:val="22"/>
                <w:szCs w:val="22"/>
              </w:rPr>
              <w:t>ij</w:t>
            </w:r>
            <w:r w:rsidRPr="009C0BEE">
              <w:rPr>
                <w:sz w:val="22"/>
                <w:szCs w:val="22"/>
              </w:rPr>
              <w:t>ebljeni l</w:t>
            </w:r>
            <w:r w:rsidR="00710AF4" w:rsidRPr="009C0BEE">
              <w:rPr>
                <w:sz w:val="22"/>
                <w:szCs w:val="22"/>
              </w:rPr>
              <w:t>ijek se uništava u skladu sa važ</w:t>
            </w:r>
            <w:r w:rsidRPr="009C0BEE">
              <w:rPr>
                <w:sz w:val="22"/>
                <w:szCs w:val="22"/>
              </w:rPr>
              <w:t>ećim propisima.</w:t>
            </w:r>
          </w:p>
          <w:p w:rsidR="000B0FCB" w:rsidRPr="009C0BEE" w:rsidRDefault="000B0FCB" w:rsidP="00C6356D">
            <w:pPr>
              <w:pStyle w:val="Header"/>
              <w:tabs>
                <w:tab w:val="left" w:pos="284"/>
              </w:tabs>
              <w:rPr>
                <w:sz w:val="22"/>
                <w:szCs w:val="22"/>
              </w:rPr>
            </w:pPr>
          </w:p>
          <w:p w:rsidR="000B0FCB" w:rsidRPr="009C0BEE" w:rsidRDefault="000B0FCB" w:rsidP="000B0FCB">
            <w:pPr>
              <w:pStyle w:val="Header"/>
              <w:tabs>
                <w:tab w:val="left" w:pos="284"/>
              </w:tabs>
              <w:rPr>
                <w:b/>
                <w:bCs/>
                <w:sz w:val="22"/>
                <w:szCs w:val="22"/>
              </w:rPr>
            </w:pPr>
            <w:r w:rsidRPr="009C0BEE">
              <w:rPr>
                <w:b/>
                <w:bCs/>
                <w:sz w:val="22"/>
                <w:szCs w:val="22"/>
              </w:rPr>
              <w:t>6.7. Režim izdavanja lijeka</w:t>
            </w:r>
          </w:p>
          <w:p w:rsidR="000E2F38" w:rsidRPr="009C0BEE" w:rsidRDefault="000E2F38" w:rsidP="000B0FCB">
            <w:pPr>
              <w:pStyle w:val="Header"/>
              <w:tabs>
                <w:tab w:val="left" w:pos="284"/>
              </w:tabs>
              <w:rPr>
                <w:b/>
                <w:bCs/>
                <w:sz w:val="22"/>
                <w:szCs w:val="22"/>
              </w:rPr>
            </w:pPr>
          </w:p>
          <w:p w:rsidR="000E2F38" w:rsidRPr="009C0BEE" w:rsidRDefault="000E2F38" w:rsidP="000B0FCB">
            <w:pPr>
              <w:pStyle w:val="Header"/>
              <w:tabs>
                <w:tab w:val="left" w:pos="284"/>
              </w:tabs>
              <w:rPr>
                <w:bCs/>
                <w:sz w:val="22"/>
                <w:szCs w:val="22"/>
              </w:rPr>
            </w:pPr>
            <w:r w:rsidRPr="009C0BEE">
              <w:rPr>
                <w:bCs/>
                <w:sz w:val="22"/>
                <w:szCs w:val="22"/>
              </w:rPr>
              <w:t>Ograničen recept</w:t>
            </w:r>
          </w:p>
          <w:p w:rsidR="000E2F38" w:rsidRPr="009C0BEE" w:rsidRDefault="000E2F38" w:rsidP="000B0FCB">
            <w:pPr>
              <w:pStyle w:val="Header"/>
              <w:tabs>
                <w:tab w:val="left" w:pos="284"/>
              </w:tabs>
              <w:rPr>
                <w:color w:val="FF0000"/>
                <w:sz w:val="22"/>
                <w:szCs w:val="22"/>
              </w:rPr>
            </w:pP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t xml:space="preserve">7. NOSILAC DOZVOLE </w:t>
            </w:r>
          </w:p>
        </w:tc>
      </w:tr>
      <w:tr w:rsidR="00D17F29" w:rsidRPr="009C0BEE" w:rsidTr="001E23BF">
        <w:trPr>
          <w:trHeight w:val="759"/>
        </w:trPr>
        <w:tc>
          <w:tcPr>
            <w:tcW w:w="5000" w:type="pct"/>
            <w:gridSpan w:val="4"/>
            <w:vAlign w:val="center"/>
          </w:tcPr>
          <w:p w:rsidR="00C6356D" w:rsidRPr="009C0BEE" w:rsidRDefault="0071223F" w:rsidP="00C6356D">
            <w:pPr>
              <w:rPr>
                <w:sz w:val="22"/>
                <w:szCs w:val="22"/>
              </w:rPr>
            </w:pPr>
            <w:r w:rsidRPr="009C0BEE">
              <w:rPr>
                <w:sz w:val="22"/>
                <w:szCs w:val="22"/>
              </w:rPr>
              <w:t>Farmegra d.o.o., Kritskog odreda 4/1, 81000 Podgorica</w:t>
            </w:r>
            <w:r w:rsidR="0088772A">
              <w:rPr>
                <w:sz w:val="22"/>
                <w:szCs w:val="22"/>
              </w:rPr>
              <w:t>, Crna Gora</w:t>
            </w:r>
            <w:bookmarkStart w:id="0" w:name="_GoBack"/>
            <w:bookmarkEnd w:id="0"/>
          </w:p>
        </w:tc>
      </w:tr>
      <w:tr w:rsidR="00D17F29" w:rsidRPr="009C0BEE" w:rsidTr="005E7E41">
        <w:tc>
          <w:tcPr>
            <w:tcW w:w="5000" w:type="pct"/>
            <w:gridSpan w:val="4"/>
            <w:shd w:val="clear" w:color="auto" w:fill="E0E0E0"/>
            <w:vAlign w:val="center"/>
          </w:tcPr>
          <w:p w:rsidR="00C6356D" w:rsidRPr="009C0BEE" w:rsidRDefault="00AE7268" w:rsidP="00C6356D">
            <w:pPr>
              <w:pStyle w:val="Header"/>
              <w:tabs>
                <w:tab w:val="left" w:pos="284"/>
              </w:tabs>
              <w:rPr>
                <w:b/>
                <w:bCs/>
                <w:sz w:val="22"/>
                <w:szCs w:val="22"/>
              </w:rPr>
            </w:pPr>
            <w:r w:rsidRPr="009C0BEE">
              <w:rPr>
                <w:b/>
                <w:bCs/>
                <w:sz w:val="22"/>
                <w:szCs w:val="22"/>
              </w:rPr>
              <w:t>8. BROJ PRVE DOZVOLE/</w:t>
            </w:r>
            <w:r w:rsidR="00C6356D" w:rsidRPr="009C0BEE">
              <w:rPr>
                <w:b/>
                <w:bCs/>
                <w:sz w:val="22"/>
                <w:szCs w:val="22"/>
              </w:rPr>
              <w:t xml:space="preserve"> OBNOVE DOZVOLE</w:t>
            </w:r>
          </w:p>
        </w:tc>
      </w:tr>
      <w:tr w:rsidR="00D17F29" w:rsidRPr="009C0BEE" w:rsidTr="001E23BF">
        <w:trPr>
          <w:trHeight w:val="1028"/>
        </w:trPr>
        <w:tc>
          <w:tcPr>
            <w:tcW w:w="5000" w:type="pct"/>
            <w:gridSpan w:val="4"/>
            <w:vAlign w:val="center"/>
          </w:tcPr>
          <w:p w:rsidR="001E23BF" w:rsidRPr="001E23BF" w:rsidRDefault="001E23BF" w:rsidP="001E23BF">
            <w:pPr>
              <w:rPr>
                <w:sz w:val="22"/>
                <w:szCs w:val="22"/>
              </w:rPr>
            </w:pPr>
            <w:r w:rsidRPr="001E23BF">
              <w:rPr>
                <w:sz w:val="22"/>
                <w:szCs w:val="22"/>
              </w:rPr>
              <w:t>Δ Kapecitabin Teva, film tablete, 150 mg, blister,  60 film tableta</w:t>
            </w:r>
            <w:r>
              <w:rPr>
                <w:sz w:val="22"/>
                <w:szCs w:val="22"/>
              </w:rPr>
              <w:t xml:space="preserve">: </w:t>
            </w:r>
            <w:r w:rsidRPr="001E23BF">
              <w:rPr>
                <w:sz w:val="22"/>
                <w:szCs w:val="22"/>
              </w:rPr>
              <w:t xml:space="preserve">2030/16/119 </w:t>
            </w:r>
            <w:r>
              <w:rPr>
                <w:sz w:val="22"/>
                <w:szCs w:val="22"/>
              </w:rPr>
              <w:t xml:space="preserve">- </w:t>
            </w:r>
            <w:r w:rsidRPr="001E23BF">
              <w:rPr>
                <w:sz w:val="22"/>
                <w:szCs w:val="22"/>
              </w:rPr>
              <w:t>6184</w:t>
            </w:r>
          </w:p>
          <w:p w:rsidR="00C6356D" w:rsidRPr="009C0BEE" w:rsidRDefault="001E23BF" w:rsidP="001E23BF">
            <w:pPr>
              <w:rPr>
                <w:sz w:val="22"/>
                <w:szCs w:val="22"/>
              </w:rPr>
            </w:pPr>
            <w:r w:rsidRPr="001E23BF">
              <w:rPr>
                <w:sz w:val="22"/>
                <w:szCs w:val="22"/>
              </w:rPr>
              <w:t>Δ Kapecitabin Teva, film tablete, 500 mg, blister, 120 film tableta</w:t>
            </w:r>
            <w:r>
              <w:rPr>
                <w:sz w:val="22"/>
                <w:szCs w:val="22"/>
              </w:rPr>
              <w:t xml:space="preserve">: </w:t>
            </w:r>
            <w:r w:rsidRPr="001E23BF">
              <w:rPr>
                <w:sz w:val="22"/>
                <w:szCs w:val="22"/>
              </w:rPr>
              <w:t>2030/16/120 - 6185</w:t>
            </w:r>
          </w:p>
        </w:tc>
      </w:tr>
      <w:tr w:rsidR="00D17F29" w:rsidRPr="009C0BEE" w:rsidTr="005E7E41">
        <w:tc>
          <w:tcPr>
            <w:tcW w:w="5000" w:type="pct"/>
            <w:gridSpan w:val="4"/>
            <w:shd w:val="clear" w:color="auto" w:fill="E0E0E0"/>
            <w:vAlign w:val="center"/>
          </w:tcPr>
          <w:p w:rsidR="00C6356D" w:rsidRPr="009C0BEE" w:rsidRDefault="00AE7268" w:rsidP="00C6356D">
            <w:pPr>
              <w:pStyle w:val="Header"/>
              <w:tabs>
                <w:tab w:val="left" w:pos="284"/>
              </w:tabs>
              <w:rPr>
                <w:b/>
                <w:bCs/>
                <w:sz w:val="22"/>
                <w:szCs w:val="22"/>
              </w:rPr>
            </w:pPr>
            <w:r w:rsidRPr="009C0BEE">
              <w:rPr>
                <w:b/>
                <w:bCs/>
                <w:sz w:val="22"/>
                <w:szCs w:val="22"/>
              </w:rPr>
              <w:t>9. DATUM PRVE DOZVOLE/</w:t>
            </w:r>
            <w:r w:rsidR="00C6356D" w:rsidRPr="009C0BEE">
              <w:rPr>
                <w:b/>
                <w:bCs/>
                <w:sz w:val="22"/>
                <w:szCs w:val="22"/>
              </w:rPr>
              <w:t xml:space="preserve"> DATUM OBNOVE DOZVOLE</w:t>
            </w:r>
          </w:p>
        </w:tc>
      </w:tr>
      <w:tr w:rsidR="00D17F29" w:rsidRPr="009C0BEE" w:rsidTr="001E23BF">
        <w:trPr>
          <w:trHeight w:val="1160"/>
        </w:trPr>
        <w:tc>
          <w:tcPr>
            <w:tcW w:w="5000" w:type="pct"/>
            <w:gridSpan w:val="4"/>
            <w:vAlign w:val="center"/>
          </w:tcPr>
          <w:p w:rsidR="001E23BF" w:rsidRPr="001E23BF" w:rsidRDefault="001E23BF" w:rsidP="001E23BF">
            <w:pPr>
              <w:rPr>
                <w:sz w:val="22"/>
                <w:szCs w:val="22"/>
              </w:rPr>
            </w:pPr>
            <w:r w:rsidRPr="001E23BF">
              <w:rPr>
                <w:sz w:val="22"/>
                <w:szCs w:val="22"/>
              </w:rPr>
              <w:t>Δ Kapecitabin Teva, film tablete, 150 mg, blister,  60 film tableta</w:t>
            </w:r>
            <w:r>
              <w:rPr>
                <w:sz w:val="22"/>
                <w:szCs w:val="22"/>
              </w:rPr>
              <w:t xml:space="preserve">: </w:t>
            </w:r>
            <w:r w:rsidRPr="001E23BF">
              <w:rPr>
                <w:sz w:val="22"/>
                <w:szCs w:val="22"/>
              </w:rPr>
              <w:t>02.02.2016. godine</w:t>
            </w:r>
          </w:p>
          <w:p w:rsidR="00C6356D" w:rsidRPr="009C0BEE" w:rsidRDefault="001E23BF" w:rsidP="001E23BF">
            <w:pPr>
              <w:rPr>
                <w:b/>
                <w:color w:val="FF0000"/>
                <w:sz w:val="22"/>
                <w:szCs w:val="22"/>
                <w:u w:val="single"/>
              </w:rPr>
            </w:pPr>
            <w:r w:rsidRPr="001E23BF">
              <w:rPr>
                <w:sz w:val="22"/>
                <w:szCs w:val="22"/>
              </w:rPr>
              <w:t>Δ Kapecitabin Teva, film tablete, 500 mg, blister, 120 film tableta</w:t>
            </w:r>
            <w:r>
              <w:rPr>
                <w:sz w:val="22"/>
                <w:szCs w:val="22"/>
              </w:rPr>
              <w:t>:</w:t>
            </w:r>
            <w:r>
              <w:t xml:space="preserve"> </w:t>
            </w:r>
            <w:r w:rsidRPr="001E23BF">
              <w:rPr>
                <w:sz w:val="22"/>
                <w:szCs w:val="22"/>
              </w:rPr>
              <w:t>02.02.2016. godine</w:t>
            </w:r>
          </w:p>
        </w:tc>
      </w:tr>
      <w:tr w:rsidR="00D17F29" w:rsidRPr="009C0BEE" w:rsidTr="005E7E41">
        <w:tc>
          <w:tcPr>
            <w:tcW w:w="5000" w:type="pct"/>
            <w:gridSpan w:val="4"/>
            <w:shd w:val="clear" w:color="auto" w:fill="E0E0E0"/>
            <w:vAlign w:val="center"/>
          </w:tcPr>
          <w:p w:rsidR="00C6356D" w:rsidRPr="009C0BEE" w:rsidRDefault="00C6356D" w:rsidP="00C6356D">
            <w:pPr>
              <w:pStyle w:val="Header"/>
              <w:tabs>
                <w:tab w:val="left" w:pos="284"/>
              </w:tabs>
              <w:rPr>
                <w:b/>
                <w:bCs/>
                <w:sz w:val="22"/>
                <w:szCs w:val="22"/>
              </w:rPr>
            </w:pPr>
            <w:r w:rsidRPr="009C0BEE">
              <w:rPr>
                <w:b/>
                <w:bCs/>
                <w:sz w:val="22"/>
                <w:szCs w:val="22"/>
              </w:rPr>
              <w:t xml:space="preserve">10. DATUM </w:t>
            </w:r>
            <w:r w:rsidR="0024098D" w:rsidRPr="009C0BEE">
              <w:rPr>
                <w:b/>
                <w:bCs/>
                <w:sz w:val="22"/>
                <w:szCs w:val="22"/>
              </w:rPr>
              <w:t xml:space="preserve">POSLJEDNJE </w:t>
            </w:r>
            <w:r w:rsidRPr="009C0BEE">
              <w:rPr>
                <w:b/>
                <w:bCs/>
                <w:sz w:val="22"/>
                <w:szCs w:val="22"/>
              </w:rPr>
              <w:t>REVIZIJE TEKSTA</w:t>
            </w:r>
            <w:r w:rsidR="0024098D" w:rsidRPr="009C0BEE">
              <w:rPr>
                <w:b/>
                <w:bCs/>
                <w:sz w:val="22"/>
                <w:szCs w:val="22"/>
              </w:rPr>
              <w:t xml:space="preserve"> SAŽETKA OSNOVNIH KARAKTERISTIKA LIJEKA</w:t>
            </w:r>
          </w:p>
        </w:tc>
      </w:tr>
      <w:tr w:rsidR="00C6356D" w:rsidRPr="009C0BEE" w:rsidTr="005E7E41">
        <w:trPr>
          <w:trHeight w:val="706"/>
        </w:trPr>
        <w:tc>
          <w:tcPr>
            <w:tcW w:w="5000" w:type="pct"/>
            <w:gridSpan w:val="4"/>
            <w:vAlign w:val="center"/>
          </w:tcPr>
          <w:p w:rsidR="00C6356D" w:rsidRPr="009C0BEE" w:rsidRDefault="001E23BF" w:rsidP="00C6356D">
            <w:pPr>
              <w:pStyle w:val="Header"/>
              <w:tabs>
                <w:tab w:val="left" w:pos="284"/>
              </w:tabs>
              <w:rPr>
                <w:color w:val="FF0000"/>
                <w:sz w:val="22"/>
                <w:szCs w:val="22"/>
              </w:rPr>
            </w:pPr>
            <w:r w:rsidRPr="001E23BF">
              <w:rPr>
                <w:sz w:val="22"/>
                <w:szCs w:val="22"/>
              </w:rPr>
              <w:t>Februar, 2016. godine</w:t>
            </w:r>
          </w:p>
        </w:tc>
      </w:tr>
    </w:tbl>
    <w:p w:rsidR="00635730" w:rsidRPr="009C0BEE" w:rsidRDefault="00635730" w:rsidP="00745808">
      <w:pPr>
        <w:rPr>
          <w:color w:val="FF0000"/>
          <w:sz w:val="22"/>
          <w:szCs w:val="22"/>
        </w:rPr>
      </w:pPr>
    </w:p>
    <w:sectPr w:rsidR="00635730" w:rsidRPr="009C0BEE" w:rsidSect="005E7E41">
      <w:headerReference w:type="default" r:id="rId10"/>
      <w:footerReference w:type="even" r:id="rId11"/>
      <w:footerReference w:type="default" r:id="rId12"/>
      <w:headerReference w:type="first" r:id="rId13"/>
      <w:footerReference w:type="first" r:id="rId14"/>
      <w:pgSz w:w="11907" w:h="16840" w:code="9"/>
      <w:pgMar w:top="2160" w:right="1138" w:bottom="1699" w:left="1138"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F7" w:rsidRDefault="009967F7">
      <w:r>
        <w:separator/>
      </w:r>
    </w:p>
  </w:endnote>
  <w:endnote w:type="continuationSeparator" w:id="0">
    <w:p w:rsidR="009967F7" w:rsidRDefault="0099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C0" w:rsidRDefault="00884FC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FC0" w:rsidRDefault="00884FC0"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41" w:rsidRPr="005E7E41" w:rsidRDefault="005E7E41" w:rsidP="005E7E41">
    <w:pPr>
      <w:framePr w:wrap="around" w:vAnchor="text" w:hAnchor="margin" w:xAlign="right" w:y="1"/>
      <w:tabs>
        <w:tab w:val="center" w:pos="4320"/>
        <w:tab w:val="right" w:pos="8640"/>
      </w:tabs>
      <w:rPr>
        <w:sz w:val="24"/>
        <w:szCs w:val="24"/>
      </w:rPr>
    </w:pPr>
  </w:p>
  <w:p w:rsidR="005E7E41" w:rsidRPr="005E7E41" w:rsidRDefault="005E7E41" w:rsidP="005E7E41">
    <w:pPr>
      <w:pBdr>
        <w:top w:val="thinThickSmallGap" w:sz="24" w:space="1" w:color="auto"/>
      </w:pBdr>
      <w:tabs>
        <w:tab w:val="center" w:pos="4320"/>
        <w:tab w:val="right" w:pos="8640"/>
      </w:tabs>
      <w:jc w:val="center"/>
    </w:pPr>
  </w:p>
  <w:p w:rsidR="005E7E41" w:rsidRPr="005E7E41" w:rsidRDefault="005E7E41" w:rsidP="005E7E41">
    <w:pPr>
      <w:tabs>
        <w:tab w:val="center" w:pos="4320"/>
        <w:tab w:val="right" w:pos="8640"/>
      </w:tabs>
      <w:jc w:val="center"/>
      <w:rPr>
        <w:color w:val="E65900"/>
        <w:sz w:val="16"/>
        <w:szCs w:val="18"/>
      </w:rPr>
    </w:pPr>
    <w:r w:rsidRPr="005E7E41">
      <w:rPr>
        <w:color w:val="FA0000"/>
        <w:sz w:val="16"/>
        <w:szCs w:val="18"/>
      </w:rPr>
      <w:t>Agencija za ljekove i medicinska sredstva Crne Gore,</w:t>
    </w:r>
    <w:r w:rsidRPr="005E7E41">
      <w:rPr>
        <w:sz w:val="16"/>
        <w:szCs w:val="18"/>
      </w:rPr>
      <w:t xml:space="preserve"> </w:t>
    </w:r>
    <w:r w:rsidRPr="005E7E41">
      <w:rPr>
        <w:color w:val="E65900"/>
        <w:sz w:val="16"/>
        <w:szCs w:val="18"/>
      </w:rPr>
      <w:t>81000 Podgorica, Bul. Ivana Crnojevića 64a</w:t>
    </w:r>
  </w:p>
  <w:p w:rsidR="005E7E41" w:rsidRPr="005E7E41" w:rsidRDefault="005E7E41" w:rsidP="005E7E41">
    <w:pPr>
      <w:tabs>
        <w:tab w:val="center" w:pos="4320"/>
        <w:tab w:val="right" w:pos="8640"/>
      </w:tabs>
      <w:jc w:val="center"/>
      <w:rPr>
        <w:color w:val="FA0000"/>
        <w:sz w:val="16"/>
        <w:szCs w:val="18"/>
      </w:rPr>
    </w:pPr>
    <w:r w:rsidRPr="005E7E41">
      <w:rPr>
        <w:color w:val="E65900"/>
        <w:sz w:val="16"/>
        <w:szCs w:val="18"/>
      </w:rPr>
      <w:t xml:space="preserve">tel: +382 (0) 20 310 280  </w:t>
    </w:r>
    <w:r w:rsidRPr="005E7E41">
      <w:rPr>
        <w:color w:val="FA0000"/>
        <w:sz w:val="16"/>
        <w:szCs w:val="18"/>
      </w:rPr>
      <w:t>fax: +382 (0) 20 310 581,</w:t>
    </w:r>
    <w:r w:rsidRPr="005E7E41">
      <w:rPr>
        <w:sz w:val="16"/>
        <w:szCs w:val="18"/>
      </w:rPr>
      <w:t xml:space="preserve"> </w:t>
    </w:r>
    <w:r w:rsidRPr="005E7E41">
      <w:rPr>
        <w:color w:val="E65900"/>
        <w:sz w:val="16"/>
        <w:szCs w:val="18"/>
      </w:rPr>
      <w:t>e-mail: info@calims.me,</w:t>
    </w:r>
    <w:r w:rsidRPr="005E7E41">
      <w:rPr>
        <w:sz w:val="16"/>
        <w:szCs w:val="18"/>
      </w:rPr>
      <w:t xml:space="preserve"> </w:t>
    </w:r>
    <w:r w:rsidRPr="005E7E41">
      <w:rPr>
        <w:color w:val="FA0000"/>
        <w:sz w:val="16"/>
        <w:szCs w:val="18"/>
      </w:rPr>
      <w:t>www.calims.me</w:t>
    </w:r>
    <w:r w:rsidRPr="005E7E41">
      <w:rPr>
        <w:sz w:val="16"/>
        <w:szCs w:val="18"/>
      </w:rPr>
      <w:t xml:space="preserve">, </w:t>
    </w:r>
    <w:r w:rsidRPr="005E7E41">
      <w:rPr>
        <w:color w:val="E65900"/>
        <w:sz w:val="16"/>
        <w:szCs w:val="18"/>
      </w:rPr>
      <w:t>PIB: 02739658,</w:t>
    </w:r>
    <w:r w:rsidRPr="005E7E41">
      <w:rPr>
        <w:sz w:val="16"/>
        <w:szCs w:val="18"/>
      </w:rPr>
      <w:t xml:space="preserve"> </w:t>
    </w:r>
    <w:r w:rsidRPr="005E7E41">
      <w:rPr>
        <w:color w:val="FA0000"/>
        <w:sz w:val="16"/>
        <w:szCs w:val="18"/>
      </w:rPr>
      <w:t>žiro račun: 520-3603-33</w:t>
    </w:r>
  </w:p>
  <w:p w:rsidR="005E7E41" w:rsidRPr="005E7E41" w:rsidRDefault="005E7E41" w:rsidP="005E7E41">
    <w:pPr>
      <w:tabs>
        <w:tab w:val="center" w:pos="4320"/>
        <w:tab w:val="right" w:pos="8640"/>
      </w:tabs>
    </w:pPr>
  </w:p>
  <w:p w:rsidR="00884FC0" w:rsidRPr="005E7E41" w:rsidRDefault="005E7E41" w:rsidP="005E7E41">
    <w:pPr>
      <w:tabs>
        <w:tab w:val="center" w:pos="4320"/>
        <w:tab w:val="right" w:pos="8640"/>
      </w:tabs>
      <w:jc w:val="center"/>
    </w:pPr>
    <w:r w:rsidRPr="005E7E41">
      <w:fldChar w:fldCharType="begin"/>
    </w:r>
    <w:r w:rsidRPr="005E7E41">
      <w:instrText xml:space="preserve"> PAGE </w:instrText>
    </w:r>
    <w:r w:rsidRPr="005E7E41">
      <w:fldChar w:fldCharType="separate"/>
    </w:r>
    <w:r w:rsidR="0088772A">
      <w:t>29</w:t>
    </w:r>
    <w:r w:rsidRPr="005E7E41">
      <w:fldChar w:fldCharType="end"/>
    </w:r>
    <w:r w:rsidRPr="005E7E41">
      <w:t xml:space="preserve"> / </w:t>
    </w:r>
    <w:r w:rsidRPr="005E7E41">
      <w:fldChar w:fldCharType="begin"/>
    </w:r>
    <w:r w:rsidRPr="005E7E41">
      <w:instrText xml:space="preserve"> NUMPAGES </w:instrText>
    </w:r>
    <w:r w:rsidRPr="005E7E41">
      <w:fldChar w:fldCharType="separate"/>
    </w:r>
    <w:r w:rsidR="0088772A">
      <w:t>31</w:t>
    </w:r>
    <w:r w:rsidRPr="005E7E4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C0" w:rsidRDefault="00884FC0"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F7" w:rsidRDefault="009967F7">
      <w:r>
        <w:separator/>
      </w:r>
    </w:p>
  </w:footnote>
  <w:footnote w:type="continuationSeparator" w:id="0">
    <w:p w:rsidR="009967F7" w:rsidRDefault="00996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C0" w:rsidRPr="005E7E41" w:rsidRDefault="005E7E41" w:rsidP="005E7E41">
    <w:pPr>
      <w:pStyle w:val="Header"/>
      <w:pBdr>
        <w:top w:val="thinThickSmallGap" w:sz="24" w:space="2" w:color="auto"/>
      </w:pBdr>
      <w:tabs>
        <w:tab w:val="clear" w:pos="4320"/>
        <w:tab w:val="clear" w:pos="8640"/>
        <w:tab w:val="left" w:pos="2775"/>
      </w:tabs>
      <w:rPr>
        <w:sz w:val="16"/>
        <w:szCs w:val="16"/>
      </w:rPr>
    </w:pPr>
    <w:r w:rsidRPr="00BB72EA">
      <w:rPr>
        <w:sz w:val="16"/>
        <w:szCs w:val="16"/>
        <w:lang w:val="en-US"/>
      </w:rPr>
      <w:drawing>
        <wp:inline distT="0" distB="0" distL="0" distR="0">
          <wp:extent cx="1371600" cy="1005840"/>
          <wp:effectExtent l="0" t="0" r="0" b="381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C0" w:rsidRDefault="00884FC0">
    <w:pPr>
      <w:pStyle w:val="Header"/>
      <w:rPr>
        <w:sz w:val="16"/>
        <w:szCs w:val="16"/>
      </w:rPr>
    </w:pPr>
    <w:r>
      <w:rPr>
        <w:sz w:val="16"/>
        <w:szCs w:val="16"/>
        <w:lang w:val="en-US"/>
      </w:rPr>
      <w:drawing>
        <wp:inline distT="0" distB="0" distL="0" distR="0">
          <wp:extent cx="1447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04800"/>
                  </a:xfrm>
                  <a:prstGeom prst="rect">
                    <a:avLst/>
                  </a:prstGeom>
                  <a:noFill/>
                  <a:ln>
                    <a:noFill/>
                  </a:ln>
                </pic:spPr>
              </pic:pic>
            </a:graphicData>
          </a:graphic>
        </wp:inline>
      </w:drawing>
    </w:r>
  </w:p>
  <w:p w:rsidR="00884FC0" w:rsidRDefault="00884FC0">
    <w:pPr>
      <w:pStyle w:val="Header"/>
      <w:rPr>
        <w:sz w:val="16"/>
        <w:szCs w:val="16"/>
      </w:rPr>
    </w:pPr>
  </w:p>
  <w:p w:rsidR="00884FC0" w:rsidRDefault="00884FC0"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193D6622"/>
    <w:multiLevelType w:val="hybridMultilevel"/>
    <w:tmpl w:val="0056627E"/>
    <w:lvl w:ilvl="0" w:tplc="4C72472E">
      <w:start w:val="19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12943"/>
    <w:multiLevelType w:val="hybridMultilevel"/>
    <w:tmpl w:val="7CFA0166"/>
    <w:lvl w:ilvl="0" w:tplc="51662C04">
      <w:start w:val="1"/>
      <w:numFmt w:val="bullet"/>
      <w:lvlText w:val="-"/>
      <w:lvlJc w:val="left"/>
      <w:pPr>
        <w:tabs>
          <w:tab w:val="num" w:pos="540"/>
        </w:tabs>
        <w:ind w:left="540" w:hanging="360"/>
      </w:pPr>
      <w:rPr>
        <w:rFonts w:ascii="Times New Roman" w:eastAsia="SimSu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68E42EC4"/>
    <w:multiLevelType w:val="hybridMultilevel"/>
    <w:tmpl w:val="F8A6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3729"/>
    <w:rsid w:val="00004B28"/>
    <w:rsid w:val="00004ED6"/>
    <w:rsid w:val="00005D7D"/>
    <w:rsid w:val="00006889"/>
    <w:rsid w:val="00006E5C"/>
    <w:rsid w:val="00007DC9"/>
    <w:rsid w:val="000119D9"/>
    <w:rsid w:val="00012793"/>
    <w:rsid w:val="000144AC"/>
    <w:rsid w:val="00015B8A"/>
    <w:rsid w:val="0001618F"/>
    <w:rsid w:val="000161FA"/>
    <w:rsid w:val="00016262"/>
    <w:rsid w:val="000165FA"/>
    <w:rsid w:val="0001726E"/>
    <w:rsid w:val="000177E3"/>
    <w:rsid w:val="0002193F"/>
    <w:rsid w:val="000241E3"/>
    <w:rsid w:val="00024245"/>
    <w:rsid w:val="000258E5"/>
    <w:rsid w:val="0002593D"/>
    <w:rsid w:val="00025F37"/>
    <w:rsid w:val="00027069"/>
    <w:rsid w:val="0002783F"/>
    <w:rsid w:val="00031CFD"/>
    <w:rsid w:val="00031DD3"/>
    <w:rsid w:val="000341C6"/>
    <w:rsid w:val="000341FD"/>
    <w:rsid w:val="00035BB6"/>
    <w:rsid w:val="00035EF1"/>
    <w:rsid w:val="0004033B"/>
    <w:rsid w:val="000431EF"/>
    <w:rsid w:val="00044469"/>
    <w:rsid w:val="00044F59"/>
    <w:rsid w:val="00045553"/>
    <w:rsid w:val="00046775"/>
    <w:rsid w:val="00047229"/>
    <w:rsid w:val="000507C9"/>
    <w:rsid w:val="0005116A"/>
    <w:rsid w:val="000534C0"/>
    <w:rsid w:val="000537EA"/>
    <w:rsid w:val="00053DF1"/>
    <w:rsid w:val="00056CCA"/>
    <w:rsid w:val="00063BF3"/>
    <w:rsid w:val="0006414A"/>
    <w:rsid w:val="00064E9E"/>
    <w:rsid w:val="00065C16"/>
    <w:rsid w:val="0006657B"/>
    <w:rsid w:val="00066BCF"/>
    <w:rsid w:val="00071B1A"/>
    <w:rsid w:val="00072EFD"/>
    <w:rsid w:val="00072FDD"/>
    <w:rsid w:val="00074871"/>
    <w:rsid w:val="00074ED7"/>
    <w:rsid w:val="000771E2"/>
    <w:rsid w:val="000779CD"/>
    <w:rsid w:val="00080AD5"/>
    <w:rsid w:val="00081747"/>
    <w:rsid w:val="00082DDF"/>
    <w:rsid w:val="0008350D"/>
    <w:rsid w:val="00083679"/>
    <w:rsid w:val="000855A9"/>
    <w:rsid w:val="00086A28"/>
    <w:rsid w:val="00086AB9"/>
    <w:rsid w:val="00094BE7"/>
    <w:rsid w:val="0009726A"/>
    <w:rsid w:val="000975A8"/>
    <w:rsid w:val="000975AB"/>
    <w:rsid w:val="00097935"/>
    <w:rsid w:val="000A137E"/>
    <w:rsid w:val="000A2EA1"/>
    <w:rsid w:val="000A3DA4"/>
    <w:rsid w:val="000A4786"/>
    <w:rsid w:val="000A47D0"/>
    <w:rsid w:val="000A4C0F"/>
    <w:rsid w:val="000A5789"/>
    <w:rsid w:val="000A6F49"/>
    <w:rsid w:val="000A738C"/>
    <w:rsid w:val="000B06E9"/>
    <w:rsid w:val="000B0D38"/>
    <w:rsid w:val="000B0FCB"/>
    <w:rsid w:val="000B2A18"/>
    <w:rsid w:val="000B4B78"/>
    <w:rsid w:val="000B5AFB"/>
    <w:rsid w:val="000C2234"/>
    <w:rsid w:val="000C306C"/>
    <w:rsid w:val="000C3B84"/>
    <w:rsid w:val="000C63CA"/>
    <w:rsid w:val="000C7728"/>
    <w:rsid w:val="000D03EF"/>
    <w:rsid w:val="000D1CE7"/>
    <w:rsid w:val="000D3C8E"/>
    <w:rsid w:val="000D6526"/>
    <w:rsid w:val="000E0FEE"/>
    <w:rsid w:val="000E1847"/>
    <w:rsid w:val="000E251A"/>
    <w:rsid w:val="000E2F38"/>
    <w:rsid w:val="000E30D4"/>
    <w:rsid w:val="000E376D"/>
    <w:rsid w:val="000E4A11"/>
    <w:rsid w:val="000E5BAE"/>
    <w:rsid w:val="000E5DD3"/>
    <w:rsid w:val="000E69DC"/>
    <w:rsid w:val="000F07D2"/>
    <w:rsid w:val="000F1C30"/>
    <w:rsid w:val="000F4F3C"/>
    <w:rsid w:val="000F5734"/>
    <w:rsid w:val="000F5D61"/>
    <w:rsid w:val="000F5E16"/>
    <w:rsid w:val="000F7222"/>
    <w:rsid w:val="000F7C82"/>
    <w:rsid w:val="0010177B"/>
    <w:rsid w:val="001108C2"/>
    <w:rsid w:val="00111C60"/>
    <w:rsid w:val="0011318A"/>
    <w:rsid w:val="001207CA"/>
    <w:rsid w:val="0012331A"/>
    <w:rsid w:val="00123901"/>
    <w:rsid w:val="00125032"/>
    <w:rsid w:val="001262E5"/>
    <w:rsid w:val="00130265"/>
    <w:rsid w:val="00130B7B"/>
    <w:rsid w:val="00130E5B"/>
    <w:rsid w:val="0013161C"/>
    <w:rsid w:val="0013192F"/>
    <w:rsid w:val="001327A9"/>
    <w:rsid w:val="001346AA"/>
    <w:rsid w:val="00134B56"/>
    <w:rsid w:val="001379A3"/>
    <w:rsid w:val="00140DDE"/>
    <w:rsid w:val="00141295"/>
    <w:rsid w:val="00141C6D"/>
    <w:rsid w:val="00142921"/>
    <w:rsid w:val="00143750"/>
    <w:rsid w:val="00144763"/>
    <w:rsid w:val="001450CA"/>
    <w:rsid w:val="00145182"/>
    <w:rsid w:val="00150A79"/>
    <w:rsid w:val="00152225"/>
    <w:rsid w:val="0015284E"/>
    <w:rsid w:val="001528DA"/>
    <w:rsid w:val="00154B9C"/>
    <w:rsid w:val="00155276"/>
    <w:rsid w:val="00155BB0"/>
    <w:rsid w:val="001567D1"/>
    <w:rsid w:val="001601CE"/>
    <w:rsid w:val="001616AF"/>
    <w:rsid w:val="00163984"/>
    <w:rsid w:val="00164550"/>
    <w:rsid w:val="00166BB8"/>
    <w:rsid w:val="0017032A"/>
    <w:rsid w:val="001717BF"/>
    <w:rsid w:val="0017311B"/>
    <w:rsid w:val="00173831"/>
    <w:rsid w:val="0017417F"/>
    <w:rsid w:val="00175740"/>
    <w:rsid w:val="001770B3"/>
    <w:rsid w:val="00177E32"/>
    <w:rsid w:val="00185B9B"/>
    <w:rsid w:val="00191EB0"/>
    <w:rsid w:val="00196086"/>
    <w:rsid w:val="001969F1"/>
    <w:rsid w:val="001A1ABF"/>
    <w:rsid w:val="001A342B"/>
    <w:rsid w:val="001A4840"/>
    <w:rsid w:val="001A61B3"/>
    <w:rsid w:val="001A70F6"/>
    <w:rsid w:val="001B1A7B"/>
    <w:rsid w:val="001B3424"/>
    <w:rsid w:val="001B4DFA"/>
    <w:rsid w:val="001B61E4"/>
    <w:rsid w:val="001B731A"/>
    <w:rsid w:val="001B7706"/>
    <w:rsid w:val="001B7BA2"/>
    <w:rsid w:val="001C07B2"/>
    <w:rsid w:val="001C0FD7"/>
    <w:rsid w:val="001C691D"/>
    <w:rsid w:val="001C711D"/>
    <w:rsid w:val="001D25D9"/>
    <w:rsid w:val="001D301F"/>
    <w:rsid w:val="001D31CB"/>
    <w:rsid w:val="001D7370"/>
    <w:rsid w:val="001D7901"/>
    <w:rsid w:val="001E195D"/>
    <w:rsid w:val="001E23BF"/>
    <w:rsid w:val="001E4DA1"/>
    <w:rsid w:val="001E6BAC"/>
    <w:rsid w:val="001F02DE"/>
    <w:rsid w:val="001F3C63"/>
    <w:rsid w:val="001F4A9E"/>
    <w:rsid w:val="001F6994"/>
    <w:rsid w:val="001F7B65"/>
    <w:rsid w:val="002016FC"/>
    <w:rsid w:val="00203D65"/>
    <w:rsid w:val="002043A0"/>
    <w:rsid w:val="0020566A"/>
    <w:rsid w:val="00205CE5"/>
    <w:rsid w:val="00210321"/>
    <w:rsid w:val="002109DD"/>
    <w:rsid w:val="00210EFE"/>
    <w:rsid w:val="0021150C"/>
    <w:rsid w:val="00211C9C"/>
    <w:rsid w:val="0021208F"/>
    <w:rsid w:val="002125D6"/>
    <w:rsid w:val="002139ED"/>
    <w:rsid w:val="00214D1D"/>
    <w:rsid w:val="00215965"/>
    <w:rsid w:val="002168F5"/>
    <w:rsid w:val="00217234"/>
    <w:rsid w:val="002205F8"/>
    <w:rsid w:val="00222321"/>
    <w:rsid w:val="002230C7"/>
    <w:rsid w:val="002234FE"/>
    <w:rsid w:val="00223A73"/>
    <w:rsid w:val="00226477"/>
    <w:rsid w:val="00226EF7"/>
    <w:rsid w:val="0023310B"/>
    <w:rsid w:val="0023431E"/>
    <w:rsid w:val="00235129"/>
    <w:rsid w:val="00235A1B"/>
    <w:rsid w:val="00235C93"/>
    <w:rsid w:val="00236202"/>
    <w:rsid w:val="0024098D"/>
    <w:rsid w:val="00240C6B"/>
    <w:rsid w:val="002426EA"/>
    <w:rsid w:val="00243CA4"/>
    <w:rsid w:val="00245855"/>
    <w:rsid w:val="00245A64"/>
    <w:rsid w:val="00245C07"/>
    <w:rsid w:val="00246606"/>
    <w:rsid w:val="002470D6"/>
    <w:rsid w:val="00251D3E"/>
    <w:rsid w:val="0025222F"/>
    <w:rsid w:val="00253753"/>
    <w:rsid w:val="00253823"/>
    <w:rsid w:val="00256BAA"/>
    <w:rsid w:val="002570F6"/>
    <w:rsid w:val="00262851"/>
    <w:rsid w:val="002628C0"/>
    <w:rsid w:val="0026475C"/>
    <w:rsid w:val="00265A15"/>
    <w:rsid w:val="00267FB1"/>
    <w:rsid w:val="00272744"/>
    <w:rsid w:val="00273A51"/>
    <w:rsid w:val="00273B07"/>
    <w:rsid w:val="002769B2"/>
    <w:rsid w:val="00276B8D"/>
    <w:rsid w:val="002778B8"/>
    <w:rsid w:val="00277AA8"/>
    <w:rsid w:val="002810F0"/>
    <w:rsid w:val="0028138D"/>
    <w:rsid w:val="00281972"/>
    <w:rsid w:val="00282AC4"/>
    <w:rsid w:val="00283B86"/>
    <w:rsid w:val="002860CA"/>
    <w:rsid w:val="00287F8C"/>
    <w:rsid w:val="002905A8"/>
    <w:rsid w:val="00290D9B"/>
    <w:rsid w:val="00291AC3"/>
    <w:rsid w:val="00291DB3"/>
    <w:rsid w:val="0029399D"/>
    <w:rsid w:val="00293D8E"/>
    <w:rsid w:val="0029729E"/>
    <w:rsid w:val="002A0ACD"/>
    <w:rsid w:val="002A673B"/>
    <w:rsid w:val="002B1B18"/>
    <w:rsid w:val="002B21F6"/>
    <w:rsid w:val="002B3EBC"/>
    <w:rsid w:val="002B4447"/>
    <w:rsid w:val="002B4ADA"/>
    <w:rsid w:val="002B5C93"/>
    <w:rsid w:val="002B5DE3"/>
    <w:rsid w:val="002B6650"/>
    <w:rsid w:val="002B6989"/>
    <w:rsid w:val="002B6EA3"/>
    <w:rsid w:val="002C44B0"/>
    <w:rsid w:val="002C5920"/>
    <w:rsid w:val="002C6682"/>
    <w:rsid w:val="002D021D"/>
    <w:rsid w:val="002D21A7"/>
    <w:rsid w:val="002D4B25"/>
    <w:rsid w:val="002D64B8"/>
    <w:rsid w:val="002D745E"/>
    <w:rsid w:val="002D7DF8"/>
    <w:rsid w:val="002E0261"/>
    <w:rsid w:val="002E0C34"/>
    <w:rsid w:val="002E15EE"/>
    <w:rsid w:val="002E5013"/>
    <w:rsid w:val="002E6706"/>
    <w:rsid w:val="002F1791"/>
    <w:rsid w:val="002F5EE7"/>
    <w:rsid w:val="002F727F"/>
    <w:rsid w:val="00300719"/>
    <w:rsid w:val="00300DA5"/>
    <w:rsid w:val="003012F3"/>
    <w:rsid w:val="00303886"/>
    <w:rsid w:val="00312CA8"/>
    <w:rsid w:val="003135B7"/>
    <w:rsid w:val="0031366D"/>
    <w:rsid w:val="0031466D"/>
    <w:rsid w:val="00314C38"/>
    <w:rsid w:val="00314D92"/>
    <w:rsid w:val="003161E2"/>
    <w:rsid w:val="0031692B"/>
    <w:rsid w:val="003208CF"/>
    <w:rsid w:val="00322824"/>
    <w:rsid w:val="00325FA2"/>
    <w:rsid w:val="0032648C"/>
    <w:rsid w:val="00326D07"/>
    <w:rsid w:val="003276F7"/>
    <w:rsid w:val="00327CA0"/>
    <w:rsid w:val="00327F66"/>
    <w:rsid w:val="003304B4"/>
    <w:rsid w:val="00333BE2"/>
    <w:rsid w:val="00334366"/>
    <w:rsid w:val="003348A5"/>
    <w:rsid w:val="00337741"/>
    <w:rsid w:val="003408C6"/>
    <w:rsid w:val="003417D5"/>
    <w:rsid w:val="0034181A"/>
    <w:rsid w:val="00341DEF"/>
    <w:rsid w:val="003437A3"/>
    <w:rsid w:val="00344F40"/>
    <w:rsid w:val="00351634"/>
    <w:rsid w:val="00351FF5"/>
    <w:rsid w:val="0035469B"/>
    <w:rsid w:val="0035476B"/>
    <w:rsid w:val="00366527"/>
    <w:rsid w:val="003704E8"/>
    <w:rsid w:val="00370BEB"/>
    <w:rsid w:val="00370E09"/>
    <w:rsid w:val="00371CCC"/>
    <w:rsid w:val="003731D0"/>
    <w:rsid w:val="00377385"/>
    <w:rsid w:val="0038381B"/>
    <w:rsid w:val="00383CAA"/>
    <w:rsid w:val="00384611"/>
    <w:rsid w:val="00384EA9"/>
    <w:rsid w:val="0038676B"/>
    <w:rsid w:val="00387018"/>
    <w:rsid w:val="00387233"/>
    <w:rsid w:val="00387A6B"/>
    <w:rsid w:val="003920A5"/>
    <w:rsid w:val="0039224A"/>
    <w:rsid w:val="0039475C"/>
    <w:rsid w:val="003A0BBE"/>
    <w:rsid w:val="003A321E"/>
    <w:rsid w:val="003A4AAF"/>
    <w:rsid w:val="003A4E37"/>
    <w:rsid w:val="003A611F"/>
    <w:rsid w:val="003A6FFB"/>
    <w:rsid w:val="003B50E9"/>
    <w:rsid w:val="003B5243"/>
    <w:rsid w:val="003B52C8"/>
    <w:rsid w:val="003B5D62"/>
    <w:rsid w:val="003B6024"/>
    <w:rsid w:val="003B609E"/>
    <w:rsid w:val="003B698E"/>
    <w:rsid w:val="003B6E1B"/>
    <w:rsid w:val="003B7FBF"/>
    <w:rsid w:val="003C0C63"/>
    <w:rsid w:val="003C0E1C"/>
    <w:rsid w:val="003C255F"/>
    <w:rsid w:val="003C2615"/>
    <w:rsid w:val="003C30E1"/>
    <w:rsid w:val="003C3390"/>
    <w:rsid w:val="003C640B"/>
    <w:rsid w:val="003C6D34"/>
    <w:rsid w:val="003C6EE4"/>
    <w:rsid w:val="003D12C0"/>
    <w:rsid w:val="003D195D"/>
    <w:rsid w:val="003D4012"/>
    <w:rsid w:val="003D4D9E"/>
    <w:rsid w:val="003D6ABD"/>
    <w:rsid w:val="003E03A3"/>
    <w:rsid w:val="003E1E0B"/>
    <w:rsid w:val="003E26F5"/>
    <w:rsid w:val="003E4328"/>
    <w:rsid w:val="003E4374"/>
    <w:rsid w:val="003E4634"/>
    <w:rsid w:val="003E5882"/>
    <w:rsid w:val="003E61ED"/>
    <w:rsid w:val="003E70F7"/>
    <w:rsid w:val="003E74D5"/>
    <w:rsid w:val="003F1984"/>
    <w:rsid w:val="003F2DBF"/>
    <w:rsid w:val="003F43B4"/>
    <w:rsid w:val="003F5396"/>
    <w:rsid w:val="00401005"/>
    <w:rsid w:val="00402B07"/>
    <w:rsid w:val="00403656"/>
    <w:rsid w:val="00404623"/>
    <w:rsid w:val="004047F2"/>
    <w:rsid w:val="00405585"/>
    <w:rsid w:val="004057D2"/>
    <w:rsid w:val="004064CB"/>
    <w:rsid w:val="004068E7"/>
    <w:rsid w:val="00407615"/>
    <w:rsid w:val="004110C4"/>
    <w:rsid w:val="00411293"/>
    <w:rsid w:val="00411C49"/>
    <w:rsid w:val="0041353F"/>
    <w:rsid w:val="00413E18"/>
    <w:rsid w:val="00416AF0"/>
    <w:rsid w:val="00417A42"/>
    <w:rsid w:val="004205CC"/>
    <w:rsid w:val="00420865"/>
    <w:rsid w:val="00424645"/>
    <w:rsid w:val="00426B3B"/>
    <w:rsid w:val="00431110"/>
    <w:rsid w:val="004338B8"/>
    <w:rsid w:val="00433C6C"/>
    <w:rsid w:val="00437AB4"/>
    <w:rsid w:val="00440169"/>
    <w:rsid w:val="00440B02"/>
    <w:rsid w:val="00443B2A"/>
    <w:rsid w:val="0044480B"/>
    <w:rsid w:val="00447BC6"/>
    <w:rsid w:val="0045244D"/>
    <w:rsid w:val="00452CE4"/>
    <w:rsid w:val="00454A9F"/>
    <w:rsid w:val="00455706"/>
    <w:rsid w:val="00457C0D"/>
    <w:rsid w:val="00463C95"/>
    <w:rsid w:val="00465608"/>
    <w:rsid w:val="004657FC"/>
    <w:rsid w:val="00465C8B"/>
    <w:rsid w:val="0047297A"/>
    <w:rsid w:val="004739E9"/>
    <w:rsid w:val="00475C2B"/>
    <w:rsid w:val="00482641"/>
    <w:rsid w:val="00482F7E"/>
    <w:rsid w:val="00484DDA"/>
    <w:rsid w:val="00485B8C"/>
    <w:rsid w:val="00485C29"/>
    <w:rsid w:val="00485DDC"/>
    <w:rsid w:val="0048792E"/>
    <w:rsid w:val="00493D45"/>
    <w:rsid w:val="00493E1E"/>
    <w:rsid w:val="00494AD0"/>
    <w:rsid w:val="00495295"/>
    <w:rsid w:val="00497A59"/>
    <w:rsid w:val="004A0078"/>
    <w:rsid w:val="004A6C86"/>
    <w:rsid w:val="004A7514"/>
    <w:rsid w:val="004B0963"/>
    <w:rsid w:val="004B2780"/>
    <w:rsid w:val="004B6BB6"/>
    <w:rsid w:val="004B7805"/>
    <w:rsid w:val="004C19EC"/>
    <w:rsid w:val="004C2D24"/>
    <w:rsid w:val="004C4CA2"/>
    <w:rsid w:val="004C4FB4"/>
    <w:rsid w:val="004C5751"/>
    <w:rsid w:val="004C74A0"/>
    <w:rsid w:val="004D1A55"/>
    <w:rsid w:val="004D2F3A"/>
    <w:rsid w:val="004D368C"/>
    <w:rsid w:val="004D60D6"/>
    <w:rsid w:val="004D7094"/>
    <w:rsid w:val="004E3B3E"/>
    <w:rsid w:val="004E3B8E"/>
    <w:rsid w:val="004E3DA4"/>
    <w:rsid w:val="004E4207"/>
    <w:rsid w:val="004E4900"/>
    <w:rsid w:val="004E7B0F"/>
    <w:rsid w:val="004F0A67"/>
    <w:rsid w:val="004F2DB9"/>
    <w:rsid w:val="004F35C1"/>
    <w:rsid w:val="004F47A6"/>
    <w:rsid w:val="004F47F9"/>
    <w:rsid w:val="004F506F"/>
    <w:rsid w:val="004F5811"/>
    <w:rsid w:val="004F5F62"/>
    <w:rsid w:val="004F7854"/>
    <w:rsid w:val="005010D7"/>
    <w:rsid w:val="005048DE"/>
    <w:rsid w:val="00504B89"/>
    <w:rsid w:val="00507220"/>
    <w:rsid w:val="00510FAA"/>
    <w:rsid w:val="00514F76"/>
    <w:rsid w:val="005150B6"/>
    <w:rsid w:val="00516122"/>
    <w:rsid w:val="00516AB9"/>
    <w:rsid w:val="00520BF0"/>
    <w:rsid w:val="005215DC"/>
    <w:rsid w:val="005234C0"/>
    <w:rsid w:val="00524E6D"/>
    <w:rsid w:val="00524F58"/>
    <w:rsid w:val="00531BAF"/>
    <w:rsid w:val="00532E46"/>
    <w:rsid w:val="00535254"/>
    <w:rsid w:val="00536246"/>
    <w:rsid w:val="00542F78"/>
    <w:rsid w:val="00543A8C"/>
    <w:rsid w:val="00546CB3"/>
    <w:rsid w:val="00546F76"/>
    <w:rsid w:val="00550607"/>
    <w:rsid w:val="0055429C"/>
    <w:rsid w:val="0055626B"/>
    <w:rsid w:val="00556536"/>
    <w:rsid w:val="0055683F"/>
    <w:rsid w:val="00556ABD"/>
    <w:rsid w:val="0056093F"/>
    <w:rsid w:val="0056263E"/>
    <w:rsid w:val="00562D34"/>
    <w:rsid w:val="005635E1"/>
    <w:rsid w:val="00564B7F"/>
    <w:rsid w:val="00565A3A"/>
    <w:rsid w:val="0057182C"/>
    <w:rsid w:val="005720FC"/>
    <w:rsid w:val="00573D9C"/>
    <w:rsid w:val="0057541F"/>
    <w:rsid w:val="00576237"/>
    <w:rsid w:val="005819E6"/>
    <w:rsid w:val="00581B3F"/>
    <w:rsid w:val="0058320F"/>
    <w:rsid w:val="005854ED"/>
    <w:rsid w:val="00585E11"/>
    <w:rsid w:val="00587765"/>
    <w:rsid w:val="00595691"/>
    <w:rsid w:val="00596B06"/>
    <w:rsid w:val="005A0354"/>
    <w:rsid w:val="005A211A"/>
    <w:rsid w:val="005A2368"/>
    <w:rsid w:val="005A244B"/>
    <w:rsid w:val="005A2E76"/>
    <w:rsid w:val="005A2EAF"/>
    <w:rsid w:val="005A3838"/>
    <w:rsid w:val="005A455B"/>
    <w:rsid w:val="005A6E7B"/>
    <w:rsid w:val="005B0552"/>
    <w:rsid w:val="005B1246"/>
    <w:rsid w:val="005B356B"/>
    <w:rsid w:val="005B46C7"/>
    <w:rsid w:val="005B5A33"/>
    <w:rsid w:val="005C5709"/>
    <w:rsid w:val="005C704B"/>
    <w:rsid w:val="005D0EEE"/>
    <w:rsid w:val="005D7DA8"/>
    <w:rsid w:val="005E0515"/>
    <w:rsid w:val="005E2D43"/>
    <w:rsid w:val="005E2EA4"/>
    <w:rsid w:val="005E45DA"/>
    <w:rsid w:val="005E5E28"/>
    <w:rsid w:val="005E6B51"/>
    <w:rsid w:val="005E6DD4"/>
    <w:rsid w:val="005E77D7"/>
    <w:rsid w:val="005E7E41"/>
    <w:rsid w:val="005F1526"/>
    <w:rsid w:val="005F2208"/>
    <w:rsid w:val="005F27EF"/>
    <w:rsid w:val="006010CA"/>
    <w:rsid w:val="006033A7"/>
    <w:rsid w:val="00605C78"/>
    <w:rsid w:val="00606874"/>
    <w:rsid w:val="00607C1C"/>
    <w:rsid w:val="0061031C"/>
    <w:rsid w:val="00611CBC"/>
    <w:rsid w:val="0061344F"/>
    <w:rsid w:val="00613E87"/>
    <w:rsid w:val="00614428"/>
    <w:rsid w:val="00615817"/>
    <w:rsid w:val="00615ADD"/>
    <w:rsid w:val="00620131"/>
    <w:rsid w:val="00620E1E"/>
    <w:rsid w:val="00624CB8"/>
    <w:rsid w:val="00627D20"/>
    <w:rsid w:val="00627E89"/>
    <w:rsid w:val="00631C7B"/>
    <w:rsid w:val="00633042"/>
    <w:rsid w:val="00633A7F"/>
    <w:rsid w:val="00634226"/>
    <w:rsid w:val="00635730"/>
    <w:rsid w:val="00635F30"/>
    <w:rsid w:val="00636A4C"/>
    <w:rsid w:val="00636E7D"/>
    <w:rsid w:val="00637B9A"/>
    <w:rsid w:val="00637C1C"/>
    <w:rsid w:val="00640267"/>
    <w:rsid w:val="006436C8"/>
    <w:rsid w:val="00644248"/>
    <w:rsid w:val="0064728E"/>
    <w:rsid w:val="006478B4"/>
    <w:rsid w:val="00651794"/>
    <w:rsid w:val="0065194B"/>
    <w:rsid w:val="006560A5"/>
    <w:rsid w:val="0065786F"/>
    <w:rsid w:val="00661B87"/>
    <w:rsid w:val="00662494"/>
    <w:rsid w:val="0066660C"/>
    <w:rsid w:val="00670D40"/>
    <w:rsid w:val="0067132D"/>
    <w:rsid w:val="0067404C"/>
    <w:rsid w:val="006827B6"/>
    <w:rsid w:val="0068416F"/>
    <w:rsid w:val="00684A08"/>
    <w:rsid w:val="00685AFD"/>
    <w:rsid w:val="00686337"/>
    <w:rsid w:val="0068765E"/>
    <w:rsid w:val="006975BC"/>
    <w:rsid w:val="006A1550"/>
    <w:rsid w:val="006A1C21"/>
    <w:rsid w:val="006A207D"/>
    <w:rsid w:val="006A7DAC"/>
    <w:rsid w:val="006B03F6"/>
    <w:rsid w:val="006B2095"/>
    <w:rsid w:val="006B2807"/>
    <w:rsid w:val="006B379B"/>
    <w:rsid w:val="006B39EF"/>
    <w:rsid w:val="006B4924"/>
    <w:rsid w:val="006B537C"/>
    <w:rsid w:val="006B7240"/>
    <w:rsid w:val="006C08B6"/>
    <w:rsid w:val="006C1781"/>
    <w:rsid w:val="006C3244"/>
    <w:rsid w:val="006C37D3"/>
    <w:rsid w:val="006D3378"/>
    <w:rsid w:val="006D48E5"/>
    <w:rsid w:val="006E03A6"/>
    <w:rsid w:val="006E1B09"/>
    <w:rsid w:val="006E386F"/>
    <w:rsid w:val="006E3B43"/>
    <w:rsid w:val="006E443D"/>
    <w:rsid w:val="006F0991"/>
    <w:rsid w:val="006F0D93"/>
    <w:rsid w:val="006F1934"/>
    <w:rsid w:val="006F1B5E"/>
    <w:rsid w:val="006F1BB1"/>
    <w:rsid w:val="006F5777"/>
    <w:rsid w:val="006F634A"/>
    <w:rsid w:val="006F6894"/>
    <w:rsid w:val="007051E0"/>
    <w:rsid w:val="00705316"/>
    <w:rsid w:val="007100BC"/>
    <w:rsid w:val="00710AF4"/>
    <w:rsid w:val="0071223F"/>
    <w:rsid w:val="007131F1"/>
    <w:rsid w:val="0071373B"/>
    <w:rsid w:val="00715898"/>
    <w:rsid w:val="0072082F"/>
    <w:rsid w:val="007217DE"/>
    <w:rsid w:val="00721DDE"/>
    <w:rsid w:val="00722D64"/>
    <w:rsid w:val="007231C5"/>
    <w:rsid w:val="0072320D"/>
    <w:rsid w:val="00723354"/>
    <w:rsid w:val="00723ACC"/>
    <w:rsid w:val="0072741C"/>
    <w:rsid w:val="00731FD1"/>
    <w:rsid w:val="0073316E"/>
    <w:rsid w:val="0073334A"/>
    <w:rsid w:val="007337F6"/>
    <w:rsid w:val="00734A01"/>
    <w:rsid w:val="00734D9A"/>
    <w:rsid w:val="00736561"/>
    <w:rsid w:val="0073759F"/>
    <w:rsid w:val="00737CF8"/>
    <w:rsid w:val="007404A9"/>
    <w:rsid w:val="00740C71"/>
    <w:rsid w:val="00741978"/>
    <w:rsid w:val="007445FA"/>
    <w:rsid w:val="00744BE7"/>
    <w:rsid w:val="00745094"/>
    <w:rsid w:val="00745808"/>
    <w:rsid w:val="007524D0"/>
    <w:rsid w:val="00755FC3"/>
    <w:rsid w:val="00756B6F"/>
    <w:rsid w:val="00762662"/>
    <w:rsid w:val="00763206"/>
    <w:rsid w:val="007632B9"/>
    <w:rsid w:val="007633E3"/>
    <w:rsid w:val="00765261"/>
    <w:rsid w:val="00771B38"/>
    <w:rsid w:val="00771B3A"/>
    <w:rsid w:val="007721BD"/>
    <w:rsid w:val="007724BB"/>
    <w:rsid w:val="007779D6"/>
    <w:rsid w:val="007809F9"/>
    <w:rsid w:val="007831B1"/>
    <w:rsid w:val="00784743"/>
    <w:rsid w:val="00784958"/>
    <w:rsid w:val="00786E51"/>
    <w:rsid w:val="007870FF"/>
    <w:rsid w:val="00791CBB"/>
    <w:rsid w:val="00791ECA"/>
    <w:rsid w:val="0079225E"/>
    <w:rsid w:val="00792E05"/>
    <w:rsid w:val="00797074"/>
    <w:rsid w:val="007970D9"/>
    <w:rsid w:val="007A1AE7"/>
    <w:rsid w:val="007A2347"/>
    <w:rsid w:val="007A331D"/>
    <w:rsid w:val="007C024B"/>
    <w:rsid w:val="007C0F3A"/>
    <w:rsid w:val="007C114A"/>
    <w:rsid w:val="007C1E44"/>
    <w:rsid w:val="007C4173"/>
    <w:rsid w:val="007C5293"/>
    <w:rsid w:val="007D096E"/>
    <w:rsid w:val="007D0D07"/>
    <w:rsid w:val="007D10A3"/>
    <w:rsid w:val="007D3EC3"/>
    <w:rsid w:val="007D68DC"/>
    <w:rsid w:val="007E6944"/>
    <w:rsid w:val="007E7FAD"/>
    <w:rsid w:val="007F0CD9"/>
    <w:rsid w:val="007F269F"/>
    <w:rsid w:val="007F3031"/>
    <w:rsid w:val="00800BB3"/>
    <w:rsid w:val="00801CAC"/>
    <w:rsid w:val="0080431D"/>
    <w:rsid w:val="008046BA"/>
    <w:rsid w:val="00807089"/>
    <w:rsid w:val="00807887"/>
    <w:rsid w:val="00814949"/>
    <w:rsid w:val="008171E4"/>
    <w:rsid w:val="00821F0D"/>
    <w:rsid w:val="00822795"/>
    <w:rsid w:val="008235B9"/>
    <w:rsid w:val="00830353"/>
    <w:rsid w:val="00832644"/>
    <w:rsid w:val="00835CF6"/>
    <w:rsid w:val="00836DF6"/>
    <w:rsid w:val="0084036D"/>
    <w:rsid w:val="00840A50"/>
    <w:rsid w:val="00840DBC"/>
    <w:rsid w:val="00841A08"/>
    <w:rsid w:val="00841A24"/>
    <w:rsid w:val="00842D0C"/>
    <w:rsid w:val="00842F83"/>
    <w:rsid w:val="00843218"/>
    <w:rsid w:val="008437AF"/>
    <w:rsid w:val="008475F6"/>
    <w:rsid w:val="00847698"/>
    <w:rsid w:val="00850977"/>
    <w:rsid w:val="00855687"/>
    <w:rsid w:val="00856F31"/>
    <w:rsid w:val="0086367B"/>
    <w:rsid w:val="008642BD"/>
    <w:rsid w:val="00865622"/>
    <w:rsid w:val="0086712D"/>
    <w:rsid w:val="00870297"/>
    <w:rsid w:val="0087395E"/>
    <w:rsid w:val="0087404B"/>
    <w:rsid w:val="00877898"/>
    <w:rsid w:val="00877CBA"/>
    <w:rsid w:val="00880205"/>
    <w:rsid w:val="0088039E"/>
    <w:rsid w:val="00882974"/>
    <w:rsid w:val="00883815"/>
    <w:rsid w:val="008838B9"/>
    <w:rsid w:val="00884335"/>
    <w:rsid w:val="00884E3E"/>
    <w:rsid w:val="00884FC0"/>
    <w:rsid w:val="00886613"/>
    <w:rsid w:val="008875D8"/>
    <w:rsid w:val="0088772A"/>
    <w:rsid w:val="0089130F"/>
    <w:rsid w:val="0089204B"/>
    <w:rsid w:val="00892205"/>
    <w:rsid w:val="00895960"/>
    <w:rsid w:val="00895B1A"/>
    <w:rsid w:val="008A132B"/>
    <w:rsid w:val="008A49E3"/>
    <w:rsid w:val="008A7F54"/>
    <w:rsid w:val="008B1957"/>
    <w:rsid w:val="008B3357"/>
    <w:rsid w:val="008B3946"/>
    <w:rsid w:val="008B408C"/>
    <w:rsid w:val="008B6104"/>
    <w:rsid w:val="008B6223"/>
    <w:rsid w:val="008B6232"/>
    <w:rsid w:val="008C2210"/>
    <w:rsid w:val="008C5424"/>
    <w:rsid w:val="008C6130"/>
    <w:rsid w:val="008C7B4A"/>
    <w:rsid w:val="008D0708"/>
    <w:rsid w:val="008D082F"/>
    <w:rsid w:val="008D1355"/>
    <w:rsid w:val="008D2F97"/>
    <w:rsid w:val="008D562B"/>
    <w:rsid w:val="008D5AA0"/>
    <w:rsid w:val="008D7ED7"/>
    <w:rsid w:val="008E2B0B"/>
    <w:rsid w:val="008E2DF5"/>
    <w:rsid w:val="008E2EDA"/>
    <w:rsid w:val="008E3485"/>
    <w:rsid w:val="008E3790"/>
    <w:rsid w:val="008E7128"/>
    <w:rsid w:val="008E719A"/>
    <w:rsid w:val="008F1B8E"/>
    <w:rsid w:val="008F2E30"/>
    <w:rsid w:val="008F4CFF"/>
    <w:rsid w:val="008F55C9"/>
    <w:rsid w:val="008F639F"/>
    <w:rsid w:val="00901880"/>
    <w:rsid w:val="00902A3E"/>
    <w:rsid w:val="00902F3A"/>
    <w:rsid w:val="009057B7"/>
    <w:rsid w:val="0090684B"/>
    <w:rsid w:val="00907BF3"/>
    <w:rsid w:val="00911701"/>
    <w:rsid w:val="0091205B"/>
    <w:rsid w:val="009138CC"/>
    <w:rsid w:val="00913D1F"/>
    <w:rsid w:val="00914FD1"/>
    <w:rsid w:val="0091730D"/>
    <w:rsid w:val="00920A5D"/>
    <w:rsid w:val="00921B75"/>
    <w:rsid w:val="009229C2"/>
    <w:rsid w:val="00924C4A"/>
    <w:rsid w:val="00925001"/>
    <w:rsid w:val="00925401"/>
    <w:rsid w:val="00927223"/>
    <w:rsid w:val="0092779C"/>
    <w:rsid w:val="00930D88"/>
    <w:rsid w:val="0093504B"/>
    <w:rsid w:val="00935E5B"/>
    <w:rsid w:val="00936D52"/>
    <w:rsid w:val="00936E6A"/>
    <w:rsid w:val="0094055C"/>
    <w:rsid w:val="009407AD"/>
    <w:rsid w:val="00942167"/>
    <w:rsid w:val="009423F4"/>
    <w:rsid w:val="00945F9C"/>
    <w:rsid w:val="0095031F"/>
    <w:rsid w:val="009517B8"/>
    <w:rsid w:val="00952CF7"/>
    <w:rsid w:val="00954F16"/>
    <w:rsid w:val="009550DA"/>
    <w:rsid w:val="00957D77"/>
    <w:rsid w:val="00963573"/>
    <w:rsid w:val="009646EE"/>
    <w:rsid w:val="0096506F"/>
    <w:rsid w:val="00976EA6"/>
    <w:rsid w:val="00982DB1"/>
    <w:rsid w:val="00984BD2"/>
    <w:rsid w:val="00985C83"/>
    <w:rsid w:val="00986B3F"/>
    <w:rsid w:val="00987AEE"/>
    <w:rsid w:val="009900F4"/>
    <w:rsid w:val="009907A2"/>
    <w:rsid w:val="00991D9E"/>
    <w:rsid w:val="009949E3"/>
    <w:rsid w:val="009962C3"/>
    <w:rsid w:val="009967F7"/>
    <w:rsid w:val="009971B0"/>
    <w:rsid w:val="009A1129"/>
    <w:rsid w:val="009A1960"/>
    <w:rsid w:val="009A501C"/>
    <w:rsid w:val="009A548F"/>
    <w:rsid w:val="009A5693"/>
    <w:rsid w:val="009B2DFE"/>
    <w:rsid w:val="009B3EAE"/>
    <w:rsid w:val="009B673B"/>
    <w:rsid w:val="009B776D"/>
    <w:rsid w:val="009C0BEE"/>
    <w:rsid w:val="009C1035"/>
    <w:rsid w:val="009C12AB"/>
    <w:rsid w:val="009C1B1B"/>
    <w:rsid w:val="009C33E7"/>
    <w:rsid w:val="009C4818"/>
    <w:rsid w:val="009C5753"/>
    <w:rsid w:val="009C5D16"/>
    <w:rsid w:val="009D13B3"/>
    <w:rsid w:val="009D1C9F"/>
    <w:rsid w:val="009D535F"/>
    <w:rsid w:val="009D78D5"/>
    <w:rsid w:val="009E257E"/>
    <w:rsid w:val="009E3730"/>
    <w:rsid w:val="009E4453"/>
    <w:rsid w:val="009E4D27"/>
    <w:rsid w:val="009E50B3"/>
    <w:rsid w:val="009F26AD"/>
    <w:rsid w:val="009F7CBF"/>
    <w:rsid w:val="00A03AC8"/>
    <w:rsid w:val="00A05297"/>
    <w:rsid w:val="00A05D7F"/>
    <w:rsid w:val="00A05DB0"/>
    <w:rsid w:val="00A060B7"/>
    <w:rsid w:val="00A0674D"/>
    <w:rsid w:val="00A06A2F"/>
    <w:rsid w:val="00A074DA"/>
    <w:rsid w:val="00A12788"/>
    <w:rsid w:val="00A15D85"/>
    <w:rsid w:val="00A15F28"/>
    <w:rsid w:val="00A17934"/>
    <w:rsid w:val="00A1796F"/>
    <w:rsid w:val="00A206EC"/>
    <w:rsid w:val="00A207E3"/>
    <w:rsid w:val="00A223DD"/>
    <w:rsid w:val="00A24879"/>
    <w:rsid w:val="00A24FE3"/>
    <w:rsid w:val="00A26072"/>
    <w:rsid w:val="00A26409"/>
    <w:rsid w:val="00A27591"/>
    <w:rsid w:val="00A27A7A"/>
    <w:rsid w:val="00A316A0"/>
    <w:rsid w:val="00A320CA"/>
    <w:rsid w:val="00A32BBD"/>
    <w:rsid w:val="00A32C16"/>
    <w:rsid w:val="00A34BBF"/>
    <w:rsid w:val="00A36072"/>
    <w:rsid w:val="00A370A1"/>
    <w:rsid w:val="00A379B9"/>
    <w:rsid w:val="00A406EA"/>
    <w:rsid w:val="00A419A2"/>
    <w:rsid w:val="00A43B24"/>
    <w:rsid w:val="00A44AAD"/>
    <w:rsid w:val="00A44C7E"/>
    <w:rsid w:val="00A45591"/>
    <w:rsid w:val="00A47582"/>
    <w:rsid w:val="00A57C95"/>
    <w:rsid w:val="00A6179A"/>
    <w:rsid w:val="00A618E0"/>
    <w:rsid w:val="00A63CD3"/>
    <w:rsid w:val="00A6561C"/>
    <w:rsid w:val="00A65983"/>
    <w:rsid w:val="00A677D4"/>
    <w:rsid w:val="00A721BC"/>
    <w:rsid w:val="00A73B77"/>
    <w:rsid w:val="00A74A50"/>
    <w:rsid w:val="00A75187"/>
    <w:rsid w:val="00A7626D"/>
    <w:rsid w:val="00A76618"/>
    <w:rsid w:val="00A77349"/>
    <w:rsid w:val="00A802C9"/>
    <w:rsid w:val="00A82A98"/>
    <w:rsid w:val="00A8681D"/>
    <w:rsid w:val="00A86A67"/>
    <w:rsid w:val="00A87ACB"/>
    <w:rsid w:val="00A900D5"/>
    <w:rsid w:val="00A91AAB"/>
    <w:rsid w:val="00A922B3"/>
    <w:rsid w:val="00A9254E"/>
    <w:rsid w:val="00A93EEA"/>
    <w:rsid w:val="00A94815"/>
    <w:rsid w:val="00A94974"/>
    <w:rsid w:val="00AA169E"/>
    <w:rsid w:val="00AA52C2"/>
    <w:rsid w:val="00AB20F6"/>
    <w:rsid w:val="00AB2EB0"/>
    <w:rsid w:val="00AB4731"/>
    <w:rsid w:val="00AB488A"/>
    <w:rsid w:val="00AB4EAD"/>
    <w:rsid w:val="00AB5137"/>
    <w:rsid w:val="00AB5584"/>
    <w:rsid w:val="00AC158D"/>
    <w:rsid w:val="00AC2D4A"/>
    <w:rsid w:val="00AC3B50"/>
    <w:rsid w:val="00AC435A"/>
    <w:rsid w:val="00AC54F1"/>
    <w:rsid w:val="00AC57D3"/>
    <w:rsid w:val="00AC79CC"/>
    <w:rsid w:val="00AD14BE"/>
    <w:rsid w:val="00AD1831"/>
    <w:rsid w:val="00AD1A5A"/>
    <w:rsid w:val="00AD2C0B"/>
    <w:rsid w:val="00AD694D"/>
    <w:rsid w:val="00AE15EF"/>
    <w:rsid w:val="00AE55B7"/>
    <w:rsid w:val="00AE6FDF"/>
    <w:rsid w:val="00AE7268"/>
    <w:rsid w:val="00AE7850"/>
    <w:rsid w:val="00AF0C54"/>
    <w:rsid w:val="00AF2E1A"/>
    <w:rsid w:val="00AF5AF1"/>
    <w:rsid w:val="00AF718B"/>
    <w:rsid w:val="00AF74BF"/>
    <w:rsid w:val="00B01AF0"/>
    <w:rsid w:val="00B02EE1"/>
    <w:rsid w:val="00B031DB"/>
    <w:rsid w:val="00B034D4"/>
    <w:rsid w:val="00B04A09"/>
    <w:rsid w:val="00B04C82"/>
    <w:rsid w:val="00B05CE2"/>
    <w:rsid w:val="00B0620F"/>
    <w:rsid w:val="00B11779"/>
    <w:rsid w:val="00B12AAE"/>
    <w:rsid w:val="00B23A38"/>
    <w:rsid w:val="00B26FFA"/>
    <w:rsid w:val="00B27640"/>
    <w:rsid w:val="00B46B55"/>
    <w:rsid w:val="00B46BE5"/>
    <w:rsid w:val="00B46C91"/>
    <w:rsid w:val="00B47308"/>
    <w:rsid w:val="00B47BBA"/>
    <w:rsid w:val="00B50519"/>
    <w:rsid w:val="00B5204C"/>
    <w:rsid w:val="00B52729"/>
    <w:rsid w:val="00B54E17"/>
    <w:rsid w:val="00B55717"/>
    <w:rsid w:val="00B55CE0"/>
    <w:rsid w:val="00B5690F"/>
    <w:rsid w:val="00B60222"/>
    <w:rsid w:val="00B61B52"/>
    <w:rsid w:val="00B6404B"/>
    <w:rsid w:val="00B676D5"/>
    <w:rsid w:val="00B72426"/>
    <w:rsid w:val="00B727DC"/>
    <w:rsid w:val="00B72FDA"/>
    <w:rsid w:val="00B74378"/>
    <w:rsid w:val="00B75094"/>
    <w:rsid w:val="00B7529A"/>
    <w:rsid w:val="00B81290"/>
    <w:rsid w:val="00B82353"/>
    <w:rsid w:val="00B8373A"/>
    <w:rsid w:val="00B86396"/>
    <w:rsid w:val="00B86ED4"/>
    <w:rsid w:val="00B877AB"/>
    <w:rsid w:val="00B87C49"/>
    <w:rsid w:val="00B91092"/>
    <w:rsid w:val="00B91141"/>
    <w:rsid w:val="00B91221"/>
    <w:rsid w:val="00B926C2"/>
    <w:rsid w:val="00B93909"/>
    <w:rsid w:val="00BA088D"/>
    <w:rsid w:val="00BA0C98"/>
    <w:rsid w:val="00BA5672"/>
    <w:rsid w:val="00BA65C4"/>
    <w:rsid w:val="00BA7BD7"/>
    <w:rsid w:val="00BB09FB"/>
    <w:rsid w:val="00BB0A0F"/>
    <w:rsid w:val="00BB261C"/>
    <w:rsid w:val="00BB7050"/>
    <w:rsid w:val="00BB78CB"/>
    <w:rsid w:val="00BC1513"/>
    <w:rsid w:val="00BC4DE2"/>
    <w:rsid w:val="00BC59BC"/>
    <w:rsid w:val="00BC607A"/>
    <w:rsid w:val="00BC7C22"/>
    <w:rsid w:val="00BD0CD3"/>
    <w:rsid w:val="00BD1FAB"/>
    <w:rsid w:val="00BD58C5"/>
    <w:rsid w:val="00BD6FEA"/>
    <w:rsid w:val="00BD76CB"/>
    <w:rsid w:val="00BE1CFA"/>
    <w:rsid w:val="00BE31BD"/>
    <w:rsid w:val="00BE3FAC"/>
    <w:rsid w:val="00BF1A10"/>
    <w:rsid w:val="00BF353B"/>
    <w:rsid w:val="00BF3E57"/>
    <w:rsid w:val="00BF65CE"/>
    <w:rsid w:val="00C016C0"/>
    <w:rsid w:val="00C01D49"/>
    <w:rsid w:val="00C04194"/>
    <w:rsid w:val="00C04C5F"/>
    <w:rsid w:val="00C11E16"/>
    <w:rsid w:val="00C11F0E"/>
    <w:rsid w:val="00C1268E"/>
    <w:rsid w:val="00C13630"/>
    <w:rsid w:val="00C17F0F"/>
    <w:rsid w:val="00C22F2D"/>
    <w:rsid w:val="00C23B01"/>
    <w:rsid w:val="00C26EC0"/>
    <w:rsid w:val="00C306EA"/>
    <w:rsid w:val="00C3233E"/>
    <w:rsid w:val="00C325D1"/>
    <w:rsid w:val="00C347B0"/>
    <w:rsid w:val="00C35233"/>
    <w:rsid w:val="00C42008"/>
    <w:rsid w:val="00C43356"/>
    <w:rsid w:val="00C435B8"/>
    <w:rsid w:val="00C45B7C"/>
    <w:rsid w:val="00C527B5"/>
    <w:rsid w:val="00C544AC"/>
    <w:rsid w:val="00C5558E"/>
    <w:rsid w:val="00C621F5"/>
    <w:rsid w:val="00C6356D"/>
    <w:rsid w:val="00C646BC"/>
    <w:rsid w:val="00C64B59"/>
    <w:rsid w:val="00C64BFF"/>
    <w:rsid w:val="00C64CE2"/>
    <w:rsid w:val="00C664C7"/>
    <w:rsid w:val="00C7262A"/>
    <w:rsid w:val="00C74F9D"/>
    <w:rsid w:val="00C81E5B"/>
    <w:rsid w:val="00C82701"/>
    <w:rsid w:val="00C82A07"/>
    <w:rsid w:val="00C859EE"/>
    <w:rsid w:val="00C85E52"/>
    <w:rsid w:val="00C86BA0"/>
    <w:rsid w:val="00C87EDE"/>
    <w:rsid w:val="00C93081"/>
    <w:rsid w:val="00C96523"/>
    <w:rsid w:val="00C96D1D"/>
    <w:rsid w:val="00CA1122"/>
    <w:rsid w:val="00CA1646"/>
    <w:rsid w:val="00CA290B"/>
    <w:rsid w:val="00CA3123"/>
    <w:rsid w:val="00CA3DFD"/>
    <w:rsid w:val="00CA479A"/>
    <w:rsid w:val="00CA4860"/>
    <w:rsid w:val="00CA784F"/>
    <w:rsid w:val="00CB0F56"/>
    <w:rsid w:val="00CB100E"/>
    <w:rsid w:val="00CB2CB2"/>
    <w:rsid w:val="00CB31F6"/>
    <w:rsid w:val="00CB3581"/>
    <w:rsid w:val="00CB51CA"/>
    <w:rsid w:val="00CB5B38"/>
    <w:rsid w:val="00CB6A57"/>
    <w:rsid w:val="00CB70DD"/>
    <w:rsid w:val="00CC0010"/>
    <w:rsid w:val="00CC2213"/>
    <w:rsid w:val="00CC4DA4"/>
    <w:rsid w:val="00CC7315"/>
    <w:rsid w:val="00CD021E"/>
    <w:rsid w:val="00CD0B60"/>
    <w:rsid w:val="00CD1757"/>
    <w:rsid w:val="00CD3612"/>
    <w:rsid w:val="00CD4383"/>
    <w:rsid w:val="00CD5312"/>
    <w:rsid w:val="00CD6318"/>
    <w:rsid w:val="00CD6FE4"/>
    <w:rsid w:val="00CE13B6"/>
    <w:rsid w:val="00CE402B"/>
    <w:rsid w:val="00CE6BB2"/>
    <w:rsid w:val="00CE74A5"/>
    <w:rsid w:val="00CF11B7"/>
    <w:rsid w:val="00CF3C98"/>
    <w:rsid w:val="00CF59F9"/>
    <w:rsid w:val="00CF6FD4"/>
    <w:rsid w:val="00CF77D3"/>
    <w:rsid w:val="00D00E59"/>
    <w:rsid w:val="00D03C24"/>
    <w:rsid w:val="00D05AFF"/>
    <w:rsid w:val="00D10F18"/>
    <w:rsid w:val="00D125C2"/>
    <w:rsid w:val="00D14EBE"/>
    <w:rsid w:val="00D165E9"/>
    <w:rsid w:val="00D178E2"/>
    <w:rsid w:val="00D17C49"/>
    <w:rsid w:val="00D17CBD"/>
    <w:rsid w:val="00D17F29"/>
    <w:rsid w:val="00D21C2F"/>
    <w:rsid w:val="00D23391"/>
    <w:rsid w:val="00D2354D"/>
    <w:rsid w:val="00D2487F"/>
    <w:rsid w:val="00D24AF2"/>
    <w:rsid w:val="00D25CE6"/>
    <w:rsid w:val="00D26086"/>
    <w:rsid w:val="00D26BDF"/>
    <w:rsid w:val="00D30231"/>
    <w:rsid w:val="00D30EC9"/>
    <w:rsid w:val="00D312C1"/>
    <w:rsid w:val="00D32257"/>
    <w:rsid w:val="00D32FA5"/>
    <w:rsid w:val="00D33E11"/>
    <w:rsid w:val="00D358A5"/>
    <w:rsid w:val="00D35E5C"/>
    <w:rsid w:val="00D44586"/>
    <w:rsid w:val="00D45A18"/>
    <w:rsid w:val="00D45B60"/>
    <w:rsid w:val="00D52461"/>
    <w:rsid w:val="00D52551"/>
    <w:rsid w:val="00D5482E"/>
    <w:rsid w:val="00D571D8"/>
    <w:rsid w:val="00D57CE1"/>
    <w:rsid w:val="00D57D14"/>
    <w:rsid w:val="00D652D5"/>
    <w:rsid w:val="00D660BC"/>
    <w:rsid w:val="00D678EE"/>
    <w:rsid w:val="00D74226"/>
    <w:rsid w:val="00D74590"/>
    <w:rsid w:val="00D749DE"/>
    <w:rsid w:val="00D74E93"/>
    <w:rsid w:val="00D760ED"/>
    <w:rsid w:val="00D7686D"/>
    <w:rsid w:val="00D774C1"/>
    <w:rsid w:val="00D80DCB"/>
    <w:rsid w:val="00D85E81"/>
    <w:rsid w:val="00D863D7"/>
    <w:rsid w:val="00D90500"/>
    <w:rsid w:val="00D92143"/>
    <w:rsid w:val="00D93096"/>
    <w:rsid w:val="00D93365"/>
    <w:rsid w:val="00D94557"/>
    <w:rsid w:val="00D94615"/>
    <w:rsid w:val="00D97F96"/>
    <w:rsid w:val="00DA05A4"/>
    <w:rsid w:val="00DA2EA3"/>
    <w:rsid w:val="00DA43D3"/>
    <w:rsid w:val="00DA4C2E"/>
    <w:rsid w:val="00DA4FA9"/>
    <w:rsid w:val="00DA7663"/>
    <w:rsid w:val="00DB019A"/>
    <w:rsid w:val="00DB1EB2"/>
    <w:rsid w:val="00DB4456"/>
    <w:rsid w:val="00DB44F1"/>
    <w:rsid w:val="00DB7880"/>
    <w:rsid w:val="00DC12F5"/>
    <w:rsid w:val="00DC3CB9"/>
    <w:rsid w:val="00DC6DC9"/>
    <w:rsid w:val="00DC730A"/>
    <w:rsid w:val="00DC7827"/>
    <w:rsid w:val="00DD12E9"/>
    <w:rsid w:val="00DD2483"/>
    <w:rsid w:val="00DD40A8"/>
    <w:rsid w:val="00DD4775"/>
    <w:rsid w:val="00DD4C46"/>
    <w:rsid w:val="00DD61A0"/>
    <w:rsid w:val="00DD6586"/>
    <w:rsid w:val="00DD66CF"/>
    <w:rsid w:val="00DE023A"/>
    <w:rsid w:val="00DE1B8A"/>
    <w:rsid w:val="00DE44D4"/>
    <w:rsid w:val="00DF0725"/>
    <w:rsid w:val="00DF32DA"/>
    <w:rsid w:val="00DF4E88"/>
    <w:rsid w:val="00DF5476"/>
    <w:rsid w:val="00DF7182"/>
    <w:rsid w:val="00DF71E5"/>
    <w:rsid w:val="00DF7DBB"/>
    <w:rsid w:val="00E000F5"/>
    <w:rsid w:val="00E02237"/>
    <w:rsid w:val="00E026BB"/>
    <w:rsid w:val="00E05616"/>
    <w:rsid w:val="00E065DC"/>
    <w:rsid w:val="00E06845"/>
    <w:rsid w:val="00E11BA6"/>
    <w:rsid w:val="00E14971"/>
    <w:rsid w:val="00E17E9C"/>
    <w:rsid w:val="00E214E2"/>
    <w:rsid w:val="00E229D3"/>
    <w:rsid w:val="00E22B49"/>
    <w:rsid w:val="00E23201"/>
    <w:rsid w:val="00E271CE"/>
    <w:rsid w:val="00E30239"/>
    <w:rsid w:val="00E315DC"/>
    <w:rsid w:val="00E31DA5"/>
    <w:rsid w:val="00E3258E"/>
    <w:rsid w:val="00E33254"/>
    <w:rsid w:val="00E35269"/>
    <w:rsid w:val="00E358F5"/>
    <w:rsid w:val="00E35C3E"/>
    <w:rsid w:val="00E36319"/>
    <w:rsid w:val="00E45E85"/>
    <w:rsid w:val="00E46202"/>
    <w:rsid w:val="00E4789E"/>
    <w:rsid w:val="00E520B8"/>
    <w:rsid w:val="00E52901"/>
    <w:rsid w:val="00E529D9"/>
    <w:rsid w:val="00E56B13"/>
    <w:rsid w:val="00E60418"/>
    <w:rsid w:val="00E61946"/>
    <w:rsid w:val="00E622AB"/>
    <w:rsid w:val="00E62DDA"/>
    <w:rsid w:val="00E67261"/>
    <w:rsid w:val="00E675C5"/>
    <w:rsid w:val="00E677D1"/>
    <w:rsid w:val="00E7029F"/>
    <w:rsid w:val="00E70869"/>
    <w:rsid w:val="00E711AA"/>
    <w:rsid w:val="00E71FE2"/>
    <w:rsid w:val="00E753AE"/>
    <w:rsid w:val="00E757F2"/>
    <w:rsid w:val="00E77D2B"/>
    <w:rsid w:val="00E8258D"/>
    <w:rsid w:val="00E82627"/>
    <w:rsid w:val="00E85C8C"/>
    <w:rsid w:val="00E92B1E"/>
    <w:rsid w:val="00E92D7F"/>
    <w:rsid w:val="00E94B8B"/>
    <w:rsid w:val="00E94F8B"/>
    <w:rsid w:val="00E95517"/>
    <w:rsid w:val="00EA1C88"/>
    <w:rsid w:val="00EA28A1"/>
    <w:rsid w:val="00EA2F7D"/>
    <w:rsid w:val="00EA4EB6"/>
    <w:rsid w:val="00EA53BA"/>
    <w:rsid w:val="00EA5FDD"/>
    <w:rsid w:val="00EA6096"/>
    <w:rsid w:val="00EB04F1"/>
    <w:rsid w:val="00EB1713"/>
    <w:rsid w:val="00EB1B12"/>
    <w:rsid w:val="00EB23DC"/>
    <w:rsid w:val="00EB26CF"/>
    <w:rsid w:val="00EB3FB1"/>
    <w:rsid w:val="00EB5081"/>
    <w:rsid w:val="00EB581D"/>
    <w:rsid w:val="00EB606E"/>
    <w:rsid w:val="00EB676D"/>
    <w:rsid w:val="00EB74D4"/>
    <w:rsid w:val="00EB7613"/>
    <w:rsid w:val="00EB76A6"/>
    <w:rsid w:val="00EC299D"/>
    <w:rsid w:val="00EC3180"/>
    <w:rsid w:val="00EC3903"/>
    <w:rsid w:val="00EC3D7E"/>
    <w:rsid w:val="00EC4575"/>
    <w:rsid w:val="00EC6798"/>
    <w:rsid w:val="00EC7821"/>
    <w:rsid w:val="00EC7E83"/>
    <w:rsid w:val="00ED1576"/>
    <w:rsid w:val="00ED27ED"/>
    <w:rsid w:val="00ED2D7C"/>
    <w:rsid w:val="00ED347E"/>
    <w:rsid w:val="00ED3781"/>
    <w:rsid w:val="00ED56E8"/>
    <w:rsid w:val="00ED7528"/>
    <w:rsid w:val="00EE2DC2"/>
    <w:rsid w:val="00EE5C1A"/>
    <w:rsid w:val="00EE79A7"/>
    <w:rsid w:val="00EE7AF8"/>
    <w:rsid w:val="00EE7BD3"/>
    <w:rsid w:val="00EF2BAF"/>
    <w:rsid w:val="00EF612D"/>
    <w:rsid w:val="00EF649B"/>
    <w:rsid w:val="00F01E3B"/>
    <w:rsid w:val="00F02314"/>
    <w:rsid w:val="00F0521F"/>
    <w:rsid w:val="00F05E32"/>
    <w:rsid w:val="00F07897"/>
    <w:rsid w:val="00F10ECE"/>
    <w:rsid w:val="00F152E6"/>
    <w:rsid w:val="00F1575B"/>
    <w:rsid w:val="00F17AFE"/>
    <w:rsid w:val="00F20BD2"/>
    <w:rsid w:val="00F2162D"/>
    <w:rsid w:val="00F24371"/>
    <w:rsid w:val="00F2562D"/>
    <w:rsid w:val="00F26CE1"/>
    <w:rsid w:val="00F27BDF"/>
    <w:rsid w:val="00F309BD"/>
    <w:rsid w:val="00F31F32"/>
    <w:rsid w:val="00F32B75"/>
    <w:rsid w:val="00F35626"/>
    <w:rsid w:val="00F362D5"/>
    <w:rsid w:val="00F37526"/>
    <w:rsid w:val="00F3792F"/>
    <w:rsid w:val="00F40E2D"/>
    <w:rsid w:val="00F41717"/>
    <w:rsid w:val="00F4235C"/>
    <w:rsid w:val="00F47210"/>
    <w:rsid w:val="00F472DD"/>
    <w:rsid w:val="00F47951"/>
    <w:rsid w:val="00F51887"/>
    <w:rsid w:val="00F51A4B"/>
    <w:rsid w:val="00F53A0F"/>
    <w:rsid w:val="00F56873"/>
    <w:rsid w:val="00F570AD"/>
    <w:rsid w:val="00F57CDA"/>
    <w:rsid w:val="00F6158D"/>
    <w:rsid w:val="00F65572"/>
    <w:rsid w:val="00F6620F"/>
    <w:rsid w:val="00F720CE"/>
    <w:rsid w:val="00F80BA0"/>
    <w:rsid w:val="00F8166A"/>
    <w:rsid w:val="00F81CA2"/>
    <w:rsid w:val="00F82691"/>
    <w:rsid w:val="00F850ED"/>
    <w:rsid w:val="00F8537B"/>
    <w:rsid w:val="00F91C4D"/>
    <w:rsid w:val="00F92454"/>
    <w:rsid w:val="00F92A2F"/>
    <w:rsid w:val="00F92EC2"/>
    <w:rsid w:val="00F93716"/>
    <w:rsid w:val="00F96E5A"/>
    <w:rsid w:val="00F97A6E"/>
    <w:rsid w:val="00FA151C"/>
    <w:rsid w:val="00FA22AD"/>
    <w:rsid w:val="00FA2A7B"/>
    <w:rsid w:val="00FA4B59"/>
    <w:rsid w:val="00FA5394"/>
    <w:rsid w:val="00FB0AF5"/>
    <w:rsid w:val="00FB2077"/>
    <w:rsid w:val="00FB2B8A"/>
    <w:rsid w:val="00FB6020"/>
    <w:rsid w:val="00FB6BC3"/>
    <w:rsid w:val="00FB6BDE"/>
    <w:rsid w:val="00FB71E3"/>
    <w:rsid w:val="00FB751C"/>
    <w:rsid w:val="00FC1486"/>
    <w:rsid w:val="00FC205D"/>
    <w:rsid w:val="00FC2367"/>
    <w:rsid w:val="00FC2728"/>
    <w:rsid w:val="00FC440B"/>
    <w:rsid w:val="00FC4CDB"/>
    <w:rsid w:val="00FC4E98"/>
    <w:rsid w:val="00FC5FFD"/>
    <w:rsid w:val="00FD30D9"/>
    <w:rsid w:val="00FD36A2"/>
    <w:rsid w:val="00FD3A98"/>
    <w:rsid w:val="00FD3B51"/>
    <w:rsid w:val="00FD40BE"/>
    <w:rsid w:val="00FD73BD"/>
    <w:rsid w:val="00FD767F"/>
    <w:rsid w:val="00FE1ADB"/>
    <w:rsid w:val="00FE22A7"/>
    <w:rsid w:val="00FE649B"/>
    <w:rsid w:val="00FE690F"/>
    <w:rsid w:val="00FF0642"/>
    <w:rsid w:val="00FF1F9F"/>
    <w:rsid w:val="00FF47A9"/>
    <w:rsid w:val="00FF4E6F"/>
    <w:rsid w:val="00FF5080"/>
    <w:rsid w:val="00FF5763"/>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5C9D9-96F5-46CA-AA57-82B2EF56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val="sr-Latn-ME"/>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Header Cha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character" w:customStyle="1" w:styleId="CharCharChar1">
    <w:name w:val="Char Char Char1"/>
    <w:aliases w:val=" Char Char Char1, Char Char Char Char Char, Char Char1 Char Char,Header Char Char1, Char Char1 Char Char Char"/>
    <w:rsid w:val="005A3838"/>
    <w:rPr>
      <w:rFonts w:ascii="Humanist777" w:hAnsi="Humanist777"/>
      <w:sz w:val="24"/>
      <w:szCs w:val="24"/>
      <w:lang w:val="en-US" w:eastAsia="en-US" w:bidi="ar-SA"/>
    </w:rPr>
  </w:style>
  <w:style w:type="paragraph" w:styleId="CommentText">
    <w:name w:val="annotation text"/>
    <w:basedOn w:val="Normal"/>
    <w:semiHidden/>
    <w:rsid w:val="00635730"/>
    <w:pPr>
      <w:tabs>
        <w:tab w:val="left" w:pos="284"/>
      </w:tabs>
      <w:jc w:val="both"/>
    </w:pPr>
    <w:rPr>
      <w:rFonts w:ascii="Humanist777" w:hAnsi="Humanist777"/>
    </w:rPr>
  </w:style>
  <w:style w:type="paragraph" w:customStyle="1" w:styleId="MSD">
    <w:name w:val="MSD"/>
    <w:basedOn w:val="Normal"/>
    <w:rsid w:val="00635730"/>
    <w:pPr>
      <w:widowControl w:val="0"/>
      <w:spacing w:after="10"/>
      <w:ind w:left="6067"/>
    </w:pPr>
    <w:rPr>
      <w:rFonts w:ascii="Arial" w:hAnsi="Arial" w:cs="Angsana New"/>
      <w:sz w:val="16"/>
      <w:szCs w:val="16"/>
      <w:lang w:val="en-GB" w:eastAsia="sr-Latn-CS" w:bidi="th-TH"/>
    </w:rPr>
  </w:style>
  <w:style w:type="character" w:customStyle="1" w:styleId="FooterChar">
    <w:name w:val="Footer Char"/>
    <w:basedOn w:val="DefaultParagraphFont"/>
    <w:link w:val="Footer"/>
    <w:rsid w:val="007217DE"/>
  </w:style>
  <w:style w:type="paragraph" w:styleId="Revision">
    <w:name w:val="Revision"/>
    <w:hidden/>
    <w:uiPriority w:val="99"/>
    <w:semiHidden/>
    <w:rsid w:val="0088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68CC-F18D-49F0-AFBC-356AC1EC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31</Pages>
  <Words>12708</Words>
  <Characters>72436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84975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Erin Šarkinović</cp:lastModifiedBy>
  <cp:revision>26</cp:revision>
  <cp:lastPrinted>2013-11-13T08:40:00Z</cp:lastPrinted>
  <dcterms:created xsi:type="dcterms:W3CDTF">2016-05-06T10:51:00Z</dcterms:created>
  <dcterms:modified xsi:type="dcterms:W3CDTF">2016-05-17T07:36:00Z</dcterms:modified>
</cp:coreProperties>
</file>