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09300B" w:rsidRDefault="00E246B9" w:rsidP="001A5518">
      <w:pPr>
        <w:tabs>
          <w:tab w:val="left" w:pos="360"/>
        </w:tabs>
        <w:rPr>
          <w:b/>
          <w:bCs/>
          <w:i/>
          <w:iCs/>
          <w:sz w:val="22"/>
          <w:szCs w:val="22"/>
          <w:u w:val="single"/>
        </w:rPr>
      </w:pPr>
    </w:p>
    <w:p w:rsidR="00E246B9" w:rsidRPr="0009300B" w:rsidRDefault="00E246B9" w:rsidP="001A5518">
      <w:pPr>
        <w:rPr>
          <w:b/>
          <w:bCs/>
          <w:i/>
          <w:iCs/>
          <w:sz w:val="22"/>
          <w:szCs w:val="22"/>
          <w:u w:val="single"/>
        </w:rPr>
      </w:pPr>
    </w:p>
    <w:p w:rsidR="00E246B9" w:rsidRPr="0009300B" w:rsidRDefault="00E246B9" w:rsidP="001A5518">
      <w:pPr>
        <w:rPr>
          <w:b/>
          <w:bCs/>
          <w:i/>
          <w:iCs/>
          <w:sz w:val="22"/>
          <w:szCs w:val="22"/>
          <w:u w:val="single"/>
        </w:rPr>
      </w:pPr>
    </w:p>
    <w:p w:rsidR="001A5518" w:rsidRPr="0009300B" w:rsidRDefault="001A5518" w:rsidP="001A5518">
      <w:pPr>
        <w:rPr>
          <w:b/>
          <w:bCs/>
          <w:i/>
          <w:iCs/>
          <w:sz w:val="22"/>
          <w:szCs w:val="22"/>
          <w:u w:val="single"/>
        </w:rPr>
      </w:pPr>
    </w:p>
    <w:p w:rsidR="001A5518" w:rsidRPr="0009300B" w:rsidRDefault="001A5518" w:rsidP="001A5518">
      <w:pPr>
        <w:rPr>
          <w:b/>
          <w:bCs/>
          <w:i/>
          <w:iCs/>
          <w:sz w:val="22"/>
          <w:szCs w:val="22"/>
          <w:u w:val="single"/>
        </w:rPr>
      </w:pPr>
    </w:p>
    <w:p w:rsidR="001A5518" w:rsidRPr="0009300B" w:rsidRDefault="001A5518" w:rsidP="001A5518">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994C1A" w:rsidRPr="0009300B" w:rsidTr="00B95AB3">
        <w:trPr>
          <w:trHeight w:val="530"/>
          <w:jc w:val="center"/>
        </w:trPr>
        <w:tc>
          <w:tcPr>
            <w:tcW w:w="9360" w:type="dxa"/>
            <w:gridSpan w:val="2"/>
            <w:vAlign w:val="center"/>
          </w:tcPr>
          <w:p w:rsidR="005A0B2E" w:rsidRPr="0009300B" w:rsidRDefault="005A0B2E" w:rsidP="00FF5F82">
            <w:pPr>
              <w:jc w:val="center"/>
              <w:rPr>
                <w:b/>
                <w:bCs/>
                <w:iCs/>
                <w:sz w:val="22"/>
                <w:szCs w:val="22"/>
                <w:u w:val="single"/>
              </w:rPr>
            </w:pPr>
            <w:r w:rsidRPr="0009300B">
              <w:rPr>
                <w:b/>
                <w:bCs/>
                <w:iCs/>
                <w:sz w:val="22"/>
                <w:szCs w:val="22"/>
                <w:u w:val="single"/>
              </w:rPr>
              <w:t>SAŽETAK KARAKTERISTIKA LIJEKA</w:t>
            </w:r>
          </w:p>
        </w:tc>
      </w:tr>
      <w:tr w:rsidR="00994C1A" w:rsidRPr="0009300B" w:rsidTr="00B95AB3">
        <w:trPr>
          <w:trHeight w:val="1969"/>
          <w:jc w:val="center"/>
        </w:trPr>
        <w:tc>
          <w:tcPr>
            <w:tcW w:w="9360" w:type="dxa"/>
            <w:gridSpan w:val="2"/>
            <w:vAlign w:val="bottom"/>
          </w:tcPr>
          <w:p w:rsidR="005A0B2E" w:rsidRPr="0009300B" w:rsidRDefault="00650CDD" w:rsidP="003270FD">
            <w:pPr>
              <w:spacing w:after="40"/>
              <w:jc w:val="center"/>
              <w:rPr>
                <w:bCs/>
                <w:sz w:val="22"/>
                <w:szCs w:val="22"/>
              </w:rPr>
            </w:pPr>
            <w:r w:rsidRPr="0009300B">
              <w:rPr>
                <w:b/>
                <w:bCs/>
                <w:sz w:val="22"/>
                <w:szCs w:val="22"/>
              </w:rPr>
              <w:t>ellaOne,</w:t>
            </w:r>
            <w:r w:rsidRPr="0009300B">
              <w:rPr>
                <w:bCs/>
                <w:sz w:val="22"/>
                <w:szCs w:val="22"/>
              </w:rPr>
              <w:t xml:space="preserve"> tableta, 30 mg, blister</w:t>
            </w:r>
            <w:r w:rsidR="003270FD" w:rsidRPr="0009300B">
              <w:rPr>
                <w:bCs/>
                <w:sz w:val="22"/>
                <w:szCs w:val="22"/>
              </w:rPr>
              <w:t>, 1 tableta</w:t>
            </w:r>
          </w:p>
        </w:tc>
      </w:tr>
      <w:tr w:rsidR="00994C1A" w:rsidRPr="0009300B" w:rsidTr="00B95AB3">
        <w:trPr>
          <w:trHeight w:val="1225"/>
          <w:jc w:val="center"/>
        </w:trPr>
        <w:tc>
          <w:tcPr>
            <w:tcW w:w="9360" w:type="dxa"/>
            <w:gridSpan w:val="2"/>
          </w:tcPr>
          <w:p w:rsidR="005A0B2E" w:rsidRPr="0009300B" w:rsidRDefault="005A0B2E" w:rsidP="00FF5F82">
            <w:pPr>
              <w:pStyle w:val="Heading2"/>
              <w:rPr>
                <w:rFonts w:ascii="Times New Roman" w:hAnsi="Times New Roman" w:cs="Times New Roman"/>
                <w:color w:val="auto"/>
                <w:sz w:val="22"/>
                <w:szCs w:val="22"/>
              </w:rPr>
            </w:pPr>
          </w:p>
        </w:tc>
      </w:tr>
      <w:tr w:rsidR="00994C1A" w:rsidRPr="0009300B" w:rsidTr="00B95AB3">
        <w:trPr>
          <w:trHeight w:val="840"/>
          <w:jc w:val="center"/>
        </w:trPr>
        <w:tc>
          <w:tcPr>
            <w:tcW w:w="2160" w:type="dxa"/>
            <w:vAlign w:val="center"/>
          </w:tcPr>
          <w:p w:rsidR="005A0B2E" w:rsidRPr="0009300B" w:rsidRDefault="005A0B2E" w:rsidP="00B95AB3">
            <w:pPr>
              <w:jc w:val="right"/>
              <w:rPr>
                <w:sz w:val="22"/>
                <w:szCs w:val="22"/>
              </w:rPr>
            </w:pPr>
            <w:r w:rsidRPr="0009300B">
              <w:rPr>
                <w:sz w:val="22"/>
                <w:szCs w:val="22"/>
              </w:rPr>
              <w:t>Proizvođač:</w:t>
            </w:r>
          </w:p>
        </w:tc>
        <w:tc>
          <w:tcPr>
            <w:tcW w:w="7200" w:type="dxa"/>
            <w:vAlign w:val="center"/>
          </w:tcPr>
          <w:p w:rsidR="00831F36" w:rsidRPr="0009300B" w:rsidRDefault="00845226" w:rsidP="00B95AB3">
            <w:pPr>
              <w:pStyle w:val="ListParagraph"/>
              <w:numPr>
                <w:ilvl w:val="0"/>
                <w:numId w:val="13"/>
              </w:numPr>
              <w:rPr>
                <w:b/>
                <w:sz w:val="22"/>
                <w:szCs w:val="22"/>
              </w:rPr>
            </w:pPr>
            <w:r w:rsidRPr="0009300B">
              <w:rPr>
                <w:b/>
                <w:sz w:val="22"/>
                <w:szCs w:val="22"/>
              </w:rPr>
              <w:t>C</w:t>
            </w:r>
            <w:r w:rsidR="003270FD" w:rsidRPr="0009300B">
              <w:rPr>
                <w:b/>
                <w:sz w:val="22"/>
                <w:szCs w:val="22"/>
              </w:rPr>
              <w:t>enexi</w:t>
            </w:r>
          </w:p>
          <w:p w:rsidR="00845226" w:rsidRPr="0009300B" w:rsidRDefault="003270FD" w:rsidP="00B95AB3">
            <w:pPr>
              <w:pStyle w:val="ListParagraph"/>
              <w:numPr>
                <w:ilvl w:val="0"/>
                <w:numId w:val="13"/>
              </w:numPr>
              <w:rPr>
                <w:b/>
                <w:sz w:val="22"/>
                <w:szCs w:val="22"/>
              </w:rPr>
            </w:pPr>
            <w:r w:rsidRPr="0009300B">
              <w:rPr>
                <w:b/>
                <w:sz w:val="22"/>
                <w:szCs w:val="22"/>
              </w:rPr>
              <w:t>Leon Farma S.A.</w:t>
            </w:r>
          </w:p>
          <w:p w:rsidR="00304A51" w:rsidRPr="0009300B" w:rsidRDefault="003270FD" w:rsidP="00B95AB3">
            <w:pPr>
              <w:pStyle w:val="ListParagraph"/>
              <w:numPr>
                <w:ilvl w:val="0"/>
                <w:numId w:val="13"/>
              </w:numPr>
              <w:rPr>
                <w:b/>
                <w:sz w:val="22"/>
                <w:szCs w:val="22"/>
              </w:rPr>
            </w:pPr>
            <w:r w:rsidRPr="0009300B">
              <w:rPr>
                <w:b/>
                <w:sz w:val="22"/>
                <w:szCs w:val="22"/>
              </w:rPr>
              <w:t>Delpharm Lille S.A.S.</w:t>
            </w:r>
          </w:p>
        </w:tc>
      </w:tr>
      <w:tr w:rsidR="00994C1A" w:rsidRPr="0009300B" w:rsidTr="00B95AB3">
        <w:trPr>
          <w:trHeight w:val="1392"/>
          <w:jc w:val="center"/>
        </w:trPr>
        <w:tc>
          <w:tcPr>
            <w:tcW w:w="2160" w:type="dxa"/>
            <w:vAlign w:val="center"/>
          </w:tcPr>
          <w:p w:rsidR="005A0B2E" w:rsidRPr="0009300B" w:rsidRDefault="005A0B2E" w:rsidP="00B95AB3">
            <w:pPr>
              <w:jc w:val="right"/>
              <w:rPr>
                <w:sz w:val="22"/>
                <w:szCs w:val="22"/>
              </w:rPr>
            </w:pPr>
            <w:r w:rsidRPr="0009300B">
              <w:rPr>
                <w:sz w:val="22"/>
                <w:szCs w:val="22"/>
              </w:rPr>
              <w:t>Adresa:</w:t>
            </w:r>
          </w:p>
        </w:tc>
        <w:tc>
          <w:tcPr>
            <w:tcW w:w="7200" w:type="dxa"/>
            <w:vAlign w:val="center"/>
          </w:tcPr>
          <w:p w:rsidR="00831F36" w:rsidRPr="0009300B" w:rsidRDefault="003270FD" w:rsidP="00B95AB3">
            <w:pPr>
              <w:pStyle w:val="ListParagraph"/>
              <w:numPr>
                <w:ilvl w:val="0"/>
                <w:numId w:val="15"/>
              </w:numPr>
              <w:rPr>
                <w:b/>
                <w:sz w:val="22"/>
                <w:szCs w:val="22"/>
              </w:rPr>
            </w:pPr>
            <w:r w:rsidRPr="0009300B">
              <w:rPr>
                <w:b/>
                <w:sz w:val="22"/>
                <w:szCs w:val="22"/>
              </w:rPr>
              <w:t>17</w:t>
            </w:r>
            <w:r w:rsidR="00304A51" w:rsidRPr="0009300B">
              <w:rPr>
                <w:b/>
                <w:sz w:val="22"/>
                <w:szCs w:val="22"/>
              </w:rPr>
              <w:t xml:space="preserve"> </w:t>
            </w:r>
            <w:r w:rsidRPr="0009300B">
              <w:rPr>
                <w:b/>
                <w:sz w:val="22"/>
                <w:szCs w:val="22"/>
              </w:rPr>
              <w:t>Rue de Pontoise, 95520 Osny, Francuska</w:t>
            </w:r>
          </w:p>
          <w:p w:rsidR="00831F36" w:rsidRPr="0009300B" w:rsidRDefault="003270FD" w:rsidP="00B95AB3">
            <w:pPr>
              <w:pStyle w:val="ListParagraph"/>
              <w:numPr>
                <w:ilvl w:val="0"/>
                <w:numId w:val="15"/>
              </w:numPr>
              <w:rPr>
                <w:b/>
                <w:sz w:val="22"/>
                <w:szCs w:val="22"/>
              </w:rPr>
            </w:pPr>
            <w:r w:rsidRPr="0009300B">
              <w:rPr>
                <w:b/>
                <w:sz w:val="22"/>
                <w:szCs w:val="22"/>
              </w:rPr>
              <w:t>C/ La Vallina s/n, Polígono Industrial Navatejera, Villaquilambre, 24008 León, Španija</w:t>
            </w:r>
          </w:p>
          <w:p w:rsidR="005A0B2E" w:rsidRPr="0009300B" w:rsidRDefault="003270FD" w:rsidP="00B95AB3">
            <w:pPr>
              <w:pStyle w:val="ListParagraph"/>
              <w:numPr>
                <w:ilvl w:val="0"/>
                <w:numId w:val="15"/>
              </w:numPr>
              <w:rPr>
                <w:b/>
                <w:sz w:val="22"/>
                <w:szCs w:val="22"/>
              </w:rPr>
            </w:pPr>
            <w:r w:rsidRPr="0009300B">
              <w:rPr>
                <w:b/>
                <w:sz w:val="22"/>
                <w:szCs w:val="22"/>
              </w:rPr>
              <w:t xml:space="preserve">Z.I. </w:t>
            </w:r>
            <w:r w:rsidR="0098096E" w:rsidRPr="0009300B">
              <w:rPr>
                <w:b/>
                <w:sz w:val="22"/>
                <w:szCs w:val="22"/>
              </w:rPr>
              <w:t>d</w:t>
            </w:r>
            <w:r w:rsidRPr="0009300B">
              <w:rPr>
                <w:b/>
                <w:sz w:val="22"/>
                <w:szCs w:val="22"/>
              </w:rPr>
              <w:t>e Roubaix-Est, Rue de Toufflers, 59390 Lys-Lez-Lannoy, Francuska</w:t>
            </w:r>
          </w:p>
        </w:tc>
      </w:tr>
      <w:tr w:rsidR="00994C1A" w:rsidRPr="0009300B" w:rsidTr="00B95AB3">
        <w:trPr>
          <w:trHeight w:val="433"/>
          <w:jc w:val="center"/>
        </w:trPr>
        <w:tc>
          <w:tcPr>
            <w:tcW w:w="2160" w:type="dxa"/>
            <w:vAlign w:val="center"/>
          </w:tcPr>
          <w:p w:rsidR="005A0B2E" w:rsidRPr="0009300B" w:rsidRDefault="005A0B2E" w:rsidP="00B95AB3">
            <w:pPr>
              <w:jc w:val="right"/>
              <w:rPr>
                <w:sz w:val="22"/>
                <w:szCs w:val="22"/>
              </w:rPr>
            </w:pPr>
            <w:r w:rsidRPr="0009300B">
              <w:rPr>
                <w:sz w:val="22"/>
                <w:szCs w:val="22"/>
              </w:rPr>
              <w:t>Podnosilac zahtjeva:</w:t>
            </w:r>
          </w:p>
        </w:tc>
        <w:tc>
          <w:tcPr>
            <w:tcW w:w="7200" w:type="dxa"/>
            <w:vAlign w:val="center"/>
          </w:tcPr>
          <w:p w:rsidR="005A0B2E" w:rsidRPr="0009300B" w:rsidRDefault="00845226" w:rsidP="00B95AB3">
            <w:pPr>
              <w:ind w:left="72" w:hanging="72"/>
              <w:rPr>
                <w:b/>
                <w:bCs/>
                <w:sz w:val="22"/>
                <w:szCs w:val="22"/>
              </w:rPr>
            </w:pPr>
            <w:r w:rsidRPr="0009300B">
              <w:rPr>
                <w:b/>
                <w:bCs/>
                <w:sz w:val="22"/>
                <w:szCs w:val="22"/>
              </w:rPr>
              <w:t>Arenda d.o.o. Podgorica</w:t>
            </w:r>
          </w:p>
        </w:tc>
      </w:tr>
      <w:tr w:rsidR="005A0B2E" w:rsidRPr="0009300B" w:rsidTr="00B95AB3">
        <w:trPr>
          <w:trHeight w:val="397"/>
          <w:jc w:val="center"/>
        </w:trPr>
        <w:tc>
          <w:tcPr>
            <w:tcW w:w="2160" w:type="dxa"/>
            <w:vAlign w:val="center"/>
          </w:tcPr>
          <w:p w:rsidR="005A0B2E" w:rsidRPr="0009300B" w:rsidRDefault="005A0B2E" w:rsidP="00B95AB3">
            <w:pPr>
              <w:jc w:val="right"/>
              <w:rPr>
                <w:sz w:val="22"/>
                <w:szCs w:val="22"/>
              </w:rPr>
            </w:pPr>
            <w:r w:rsidRPr="0009300B">
              <w:rPr>
                <w:sz w:val="22"/>
                <w:szCs w:val="22"/>
              </w:rPr>
              <w:t>Adresa:</w:t>
            </w:r>
          </w:p>
        </w:tc>
        <w:tc>
          <w:tcPr>
            <w:tcW w:w="7200" w:type="dxa"/>
            <w:vAlign w:val="center"/>
          </w:tcPr>
          <w:p w:rsidR="005A0B2E" w:rsidRPr="0009300B" w:rsidRDefault="003F36E7" w:rsidP="00B95AB3">
            <w:pPr>
              <w:ind w:left="72" w:hanging="72"/>
              <w:rPr>
                <w:b/>
                <w:bCs/>
                <w:sz w:val="22"/>
                <w:szCs w:val="22"/>
              </w:rPr>
            </w:pPr>
            <w:r w:rsidRPr="0009300B">
              <w:rPr>
                <w:b/>
                <w:bCs/>
                <w:sz w:val="22"/>
                <w:szCs w:val="22"/>
              </w:rPr>
              <w:t>13. Jula „PC Čelebić“ 1/2</w:t>
            </w:r>
            <w:r w:rsidR="00845226" w:rsidRPr="0009300B">
              <w:rPr>
                <w:b/>
                <w:bCs/>
                <w:sz w:val="22"/>
                <w:szCs w:val="22"/>
              </w:rPr>
              <w:t>, 81000 Podgorica</w:t>
            </w:r>
            <w:r w:rsidR="00026161" w:rsidRPr="0009300B">
              <w:rPr>
                <w:b/>
                <w:bCs/>
                <w:sz w:val="22"/>
                <w:szCs w:val="22"/>
              </w:rPr>
              <w:t>, Crna Gora</w:t>
            </w:r>
          </w:p>
        </w:tc>
      </w:tr>
    </w:tbl>
    <w:p w:rsidR="00E74AEE" w:rsidRPr="0009300B" w:rsidRDefault="00E74AEE" w:rsidP="001A5518">
      <w:pPr>
        <w:rPr>
          <w:b/>
          <w:bCs/>
          <w:i/>
          <w:iCs/>
          <w:sz w:val="22"/>
          <w:szCs w:val="22"/>
          <w:u w:val="single"/>
        </w:rPr>
      </w:pPr>
    </w:p>
    <w:p w:rsidR="00E74AEE" w:rsidRPr="0009300B" w:rsidRDefault="00E74AEE" w:rsidP="001A5518">
      <w:pPr>
        <w:rPr>
          <w:b/>
          <w:bCs/>
          <w:i/>
          <w:iCs/>
          <w:sz w:val="22"/>
          <w:szCs w:val="22"/>
          <w:u w:val="single"/>
        </w:rPr>
      </w:pPr>
    </w:p>
    <w:p w:rsidR="00E74AEE" w:rsidRPr="0009300B" w:rsidRDefault="00E74AEE" w:rsidP="001A5518">
      <w:pPr>
        <w:rPr>
          <w:b/>
          <w:bCs/>
          <w:i/>
          <w:iCs/>
          <w:sz w:val="22"/>
          <w:szCs w:val="22"/>
          <w:u w:val="single"/>
        </w:rPr>
      </w:pPr>
    </w:p>
    <w:p w:rsidR="00E74AEE" w:rsidRPr="0009300B" w:rsidRDefault="00E74AEE" w:rsidP="001A5518">
      <w:pPr>
        <w:rPr>
          <w:b/>
          <w:bCs/>
          <w:i/>
          <w:iCs/>
          <w:sz w:val="22"/>
          <w:szCs w:val="22"/>
          <w:u w:val="single"/>
        </w:rPr>
      </w:pPr>
    </w:p>
    <w:p w:rsidR="00E74AEE" w:rsidRPr="0009300B" w:rsidRDefault="00E74AEE" w:rsidP="001A5518">
      <w:pPr>
        <w:rPr>
          <w:b/>
          <w:bCs/>
          <w:i/>
          <w:iCs/>
          <w:sz w:val="22"/>
          <w:szCs w:val="22"/>
          <w:u w:val="single"/>
        </w:rPr>
      </w:pPr>
    </w:p>
    <w:p w:rsidR="00E246B9" w:rsidRPr="0009300B" w:rsidRDefault="00E246B9" w:rsidP="001A5518">
      <w:pPr>
        <w:rPr>
          <w:sz w:val="22"/>
          <w:szCs w:val="22"/>
        </w:rPr>
      </w:pPr>
    </w:p>
    <w:p w:rsidR="00E74AEE" w:rsidRPr="0009300B" w:rsidRDefault="00E74AEE" w:rsidP="001A5518">
      <w:pPr>
        <w:rPr>
          <w:i/>
          <w:sz w:val="22"/>
          <w:szCs w:val="22"/>
        </w:rPr>
      </w:pPr>
    </w:p>
    <w:p w:rsidR="00E74AEE" w:rsidRPr="0009300B" w:rsidRDefault="00E74AEE" w:rsidP="001A5518">
      <w:pPr>
        <w:rPr>
          <w:i/>
          <w:sz w:val="22"/>
          <w:szCs w:val="22"/>
        </w:rPr>
      </w:pPr>
    </w:p>
    <w:p w:rsidR="00E74AEE" w:rsidRPr="0009300B" w:rsidRDefault="00E74AEE" w:rsidP="001A5518">
      <w:pPr>
        <w:rPr>
          <w:i/>
          <w:sz w:val="22"/>
          <w:szCs w:val="22"/>
        </w:rPr>
      </w:pPr>
    </w:p>
    <w:p w:rsidR="00E74AEE" w:rsidRPr="0009300B" w:rsidRDefault="00E74AEE" w:rsidP="001A5518">
      <w:pPr>
        <w:rPr>
          <w:i/>
          <w:sz w:val="22"/>
          <w:szCs w:val="22"/>
        </w:rPr>
      </w:pPr>
    </w:p>
    <w:p w:rsidR="00E74AEE" w:rsidRPr="0009300B" w:rsidRDefault="00E74AEE" w:rsidP="001A5518">
      <w:pPr>
        <w:rPr>
          <w:i/>
          <w:sz w:val="22"/>
          <w:szCs w:val="22"/>
        </w:rPr>
      </w:pPr>
    </w:p>
    <w:p w:rsidR="00E74AEE" w:rsidRPr="0009300B" w:rsidRDefault="00E74AEE" w:rsidP="001A5518">
      <w:pPr>
        <w:rPr>
          <w:i/>
          <w:sz w:val="22"/>
          <w:szCs w:val="22"/>
        </w:rPr>
      </w:pPr>
    </w:p>
    <w:p w:rsidR="001A5518" w:rsidRPr="0009300B" w:rsidRDefault="001A5518" w:rsidP="00F5167F">
      <w:pPr>
        <w:tabs>
          <w:tab w:val="left" w:pos="540"/>
          <w:tab w:val="left" w:pos="569"/>
        </w:tabs>
        <w:rPr>
          <w:b/>
          <w:bCs/>
          <w:sz w:val="22"/>
          <w:szCs w:val="22"/>
        </w:rPr>
      </w:pPr>
    </w:p>
    <w:p w:rsidR="00304A51" w:rsidRPr="0009300B" w:rsidRDefault="00304A51" w:rsidP="00F5167F">
      <w:pPr>
        <w:tabs>
          <w:tab w:val="left" w:pos="540"/>
          <w:tab w:val="left" w:pos="569"/>
        </w:tabs>
        <w:rPr>
          <w:b/>
          <w:bCs/>
          <w:sz w:val="22"/>
          <w:szCs w:val="22"/>
        </w:rPr>
      </w:pPr>
    </w:p>
    <w:p w:rsidR="00F34612" w:rsidRPr="0009300B" w:rsidRDefault="00F34612" w:rsidP="00831F36">
      <w:pPr>
        <w:tabs>
          <w:tab w:val="left" w:pos="540"/>
          <w:tab w:val="left" w:pos="569"/>
        </w:tabs>
        <w:jc w:val="both"/>
        <w:rPr>
          <w:b/>
          <w:bCs/>
          <w:sz w:val="22"/>
          <w:szCs w:val="22"/>
        </w:rPr>
      </w:pPr>
    </w:p>
    <w:p w:rsidR="00B95AB3" w:rsidRPr="0009300B" w:rsidRDefault="00B95AB3" w:rsidP="00831F36">
      <w:pPr>
        <w:tabs>
          <w:tab w:val="left" w:pos="540"/>
          <w:tab w:val="left" w:pos="569"/>
        </w:tabs>
        <w:jc w:val="both"/>
        <w:rPr>
          <w:b/>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1.</w:t>
      </w:r>
      <w:r w:rsidR="00F5167F" w:rsidRPr="0009300B">
        <w:rPr>
          <w:b/>
          <w:bCs/>
          <w:sz w:val="22"/>
          <w:szCs w:val="22"/>
        </w:rPr>
        <w:tab/>
      </w:r>
      <w:r w:rsidR="002846DB" w:rsidRPr="0009300B">
        <w:rPr>
          <w:b/>
          <w:bCs/>
          <w:sz w:val="22"/>
          <w:szCs w:val="22"/>
        </w:rPr>
        <w:t xml:space="preserve">NAZIV </w:t>
      </w:r>
      <w:r w:rsidRPr="0009300B">
        <w:rPr>
          <w:b/>
          <w:bCs/>
          <w:sz w:val="22"/>
          <w:szCs w:val="22"/>
        </w:rPr>
        <w:t>LIJEKA</w:t>
      </w:r>
    </w:p>
    <w:p w:rsidR="00EC2532" w:rsidRPr="0009300B" w:rsidRDefault="00EC2532" w:rsidP="00831F36">
      <w:pPr>
        <w:jc w:val="both"/>
        <w:rPr>
          <w:sz w:val="22"/>
          <w:szCs w:val="22"/>
        </w:rPr>
      </w:pPr>
    </w:p>
    <w:p w:rsidR="00650CDD" w:rsidRPr="0009300B" w:rsidRDefault="00650CDD" w:rsidP="00831F36">
      <w:pPr>
        <w:jc w:val="both"/>
        <w:rPr>
          <w:sz w:val="22"/>
          <w:szCs w:val="22"/>
        </w:rPr>
      </w:pPr>
      <w:r w:rsidRPr="0009300B">
        <w:rPr>
          <w:sz w:val="22"/>
          <w:szCs w:val="22"/>
        </w:rPr>
        <w:t>ellaOne</w:t>
      </w:r>
      <w:r w:rsidR="00026161" w:rsidRPr="0009300B">
        <w:rPr>
          <w:sz w:val="22"/>
          <w:szCs w:val="22"/>
        </w:rPr>
        <w:t xml:space="preserve"> 30 mg tableta</w:t>
      </w:r>
    </w:p>
    <w:p w:rsidR="00650CDD" w:rsidRPr="0009300B" w:rsidRDefault="00650CDD" w:rsidP="00831F36">
      <w:pPr>
        <w:jc w:val="both"/>
        <w:rPr>
          <w:sz w:val="22"/>
          <w:szCs w:val="22"/>
        </w:rPr>
      </w:pPr>
    </w:p>
    <w:p w:rsidR="00411B4B" w:rsidRPr="0009300B" w:rsidRDefault="00411B4B" w:rsidP="00831F36">
      <w:pPr>
        <w:jc w:val="both"/>
        <w:rPr>
          <w:sz w:val="22"/>
          <w:szCs w:val="22"/>
        </w:rPr>
      </w:pPr>
      <w:r w:rsidRPr="0009300B">
        <w:rPr>
          <w:sz w:val="22"/>
          <w:szCs w:val="22"/>
        </w:rPr>
        <w:t>INN:</w:t>
      </w:r>
      <w:r w:rsidR="00831F36" w:rsidRPr="0009300B">
        <w:rPr>
          <w:sz w:val="22"/>
          <w:szCs w:val="22"/>
        </w:rPr>
        <w:t xml:space="preserve"> </w:t>
      </w:r>
      <w:r w:rsidR="00650CDD" w:rsidRPr="0009300B">
        <w:rPr>
          <w:sz w:val="22"/>
          <w:szCs w:val="22"/>
        </w:rPr>
        <w:t>ulipristal</w:t>
      </w:r>
    </w:p>
    <w:p w:rsidR="00530BD7" w:rsidRPr="0009300B" w:rsidRDefault="00530BD7" w:rsidP="00831F36">
      <w:pPr>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2. </w:t>
      </w:r>
      <w:r w:rsidR="00F5167F" w:rsidRPr="0009300B">
        <w:rPr>
          <w:b/>
          <w:bCs/>
          <w:sz w:val="22"/>
          <w:szCs w:val="22"/>
        </w:rPr>
        <w:tab/>
      </w:r>
      <w:r w:rsidRPr="0009300B">
        <w:rPr>
          <w:b/>
          <w:bCs/>
          <w:sz w:val="22"/>
          <w:szCs w:val="22"/>
        </w:rPr>
        <w:t>KVALITATIVNI I KVANTITATIVNI SASTAV</w:t>
      </w:r>
    </w:p>
    <w:p w:rsidR="005A0B2E" w:rsidRPr="0009300B" w:rsidRDefault="005A0B2E" w:rsidP="00831F36">
      <w:pPr>
        <w:jc w:val="both"/>
        <w:rPr>
          <w:sz w:val="22"/>
          <w:szCs w:val="22"/>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Jedna tableta sadrži 30 mg ulipristal acetata.</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Pomoćna supstanca sa poznatim djelovanjem: </w:t>
      </w: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Jedna tableta sadrži 237 mg laktoze (u obliku </w:t>
      </w:r>
      <w:r w:rsidR="0020786C" w:rsidRPr="0009300B">
        <w:rPr>
          <w:rFonts w:ascii="Times New Roman" w:hAnsi="Times New Roman"/>
          <w:noProof/>
          <w:lang w:val="sr-Latn-ME"/>
        </w:rPr>
        <w:t>monohidrata</w:t>
      </w:r>
      <w:r w:rsidRPr="0009300B">
        <w:rPr>
          <w:rFonts w:ascii="Times New Roman" w:hAnsi="Times New Roman"/>
          <w:noProof/>
          <w:lang w:val="sr-Latn-ME"/>
        </w:rPr>
        <w:t>).</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Za listu svih pomoćnih supstanci, vidjeti odjelja</w:t>
      </w:r>
      <w:r w:rsidR="00CF132C" w:rsidRPr="0009300B">
        <w:rPr>
          <w:rFonts w:ascii="Times New Roman" w:hAnsi="Times New Roman"/>
          <w:noProof/>
          <w:lang w:val="sr-Latn-ME"/>
        </w:rPr>
        <w:t>k 6.1.</w:t>
      </w:r>
    </w:p>
    <w:p w:rsidR="00E51C30" w:rsidRPr="0009300B" w:rsidRDefault="00E51C30" w:rsidP="00831F36">
      <w:pPr>
        <w:jc w:val="both"/>
        <w:rPr>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3. </w:t>
      </w:r>
      <w:r w:rsidR="00F5167F" w:rsidRPr="0009300B">
        <w:rPr>
          <w:b/>
          <w:bCs/>
          <w:sz w:val="22"/>
          <w:szCs w:val="22"/>
        </w:rPr>
        <w:tab/>
      </w:r>
      <w:r w:rsidRPr="0009300B">
        <w:rPr>
          <w:b/>
          <w:bCs/>
          <w:sz w:val="22"/>
          <w:szCs w:val="22"/>
        </w:rPr>
        <w:t>FARMACEUTSKI OBLIK</w:t>
      </w:r>
    </w:p>
    <w:p w:rsidR="00411B4B" w:rsidRPr="0009300B" w:rsidRDefault="00411B4B" w:rsidP="00831F36">
      <w:pPr>
        <w:jc w:val="both"/>
        <w:rPr>
          <w:bCs/>
          <w:sz w:val="22"/>
          <w:szCs w:val="22"/>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Tableta.</w:t>
      </w:r>
    </w:p>
    <w:p w:rsidR="00650CDD" w:rsidRPr="0009300B" w:rsidRDefault="00434BFE" w:rsidP="00831F36">
      <w:pPr>
        <w:pStyle w:val="NoSpacing"/>
        <w:jc w:val="both"/>
        <w:rPr>
          <w:rFonts w:ascii="Times New Roman" w:hAnsi="Times New Roman"/>
          <w:noProof/>
          <w:lang w:val="sr-Latn-ME"/>
        </w:rPr>
      </w:pPr>
      <w:r w:rsidRPr="0009300B">
        <w:rPr>
          <w:rFonts w:ascii="Times New Roman" w:hAnsi="Times New Roman"/>
          <w:noProof/>
          <w:lang w:val="sr-Latn-ME"/>
        </w:rPr>
        <w:t>O</w:t>
      </w:r>
      <w:r w:rsidR="00650CDD" w:rsidRPr="0009300B">
        <w:rPr>
          <w:rFonts w:ascii="Times New Roman" w:hAnsi="Times New Roman"/>
          <w:noProof/>
          <w:lang w:val="sr-Latn-ME"/>
        </w:rPr>
        <w:t xml:space="preserve">krugla tableta </w:t>
      </w:r>
      <w:r w:rsidRPr="0009300B">
        <w:rPr>
          <w:rFonts w:ascii="Times New Roman" w:hAnsi="Times New Roman"/>
          <w:noProof/>
          <w:lang w:val="sr-Latn-ME"/>
        </w:rPr>
        <w:t xml:space="preserve">bijele do mramorno krem boje </w:t>
      </w:r>
      <w:r w:rsidR="00650CDD" w:rsidRPr="0009300B">
        <w:rPr>
          <w:rFonts w:ascii="Times New Roman" w:hAnsi="Times New Roman"/>
          <w:noProof/>
          <w:lang w:val="sr-Latn-ME"/>
        </w:rPr>
        <w:t xml:space="preserve">sa zaobljenim </w:t>
      </w:r>
      <w:r w:rsidR="00845226" w:rsidRPr="0009300B">
        <w:rPr>
          <w:rFonts w:ascii="Times New Roman" w:hAnsi="Times New Roman"/>
          <w:noProof/>
          <w:lang w:val="sr-Latn-ME"/>
        </w:rPr>
        <w:t>ivicama</w:t>
      </w:r>
      <w:r w:rsidR="00650CDD" w:rsidRPr="0009300B">
        <w:rPr>
          <w:rFonts w:ascii="Times New Roman" w:hAnsi="Times New Roman"/>
          <w:noProof/>
          <w:lang w:val="sr-Latn-ME"/>
        </w:rPr>
        <w:t xml:space="preserve"> s utisnutom oznakom „</w:t>
      </w:r>
      <w:r w:rsidR="00650CDD" w:rsidRPr="0009300B">
        <w:rPr>
          <w:rFonts w:ascii="Times New Roman" w:hAnsi="Times New Roman"/>
          <w:i/>
          <w:noProof/>
          <w:lang w:val="sr-Latn-ME"/>
        </w:rPr>
        <w:t>ella</w:t>
      </w:r>
      <w:r w:rsidR="00650CDD" w:rsidRPr="0009300B">
        <w:rPr>
          <w:rFonts w:ascii="Times New Roman" w:hAnsi="Times New Roman"/>
          <w:noProof/>
          <w:lang w:val="sr-Latn-ME"/>
        </w:rPr>
        <w:t>“ na obije strane.</w:t>
      </w:r>
    </w:p>
    <w:p w:rsidR="00650CDD" w:rsidRPr="0009300B" w:rsidRDefault="00650CDD" w:rsidP="00831F36">
      <w:pPr>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 </w:t>
      </w:r>
      <w:r w:rsidR="00480FB1" w:rsidRPr="0009300B">
        <w:rPr>
          <w:b/>
          <w:bCs/>
          <w:sz w:val="22"/>
          <w:szCs w:val="22"/>
        </w:rPr>
        <w:tab/>
      </w:r>
      <w:r w:rsidRPr="0009300B">
        <w:rPr>
          <w:b/>
          <w:bCs/>
          <w:sz w:val="22"/>
          <w:szCs w:val="22"/>
        </w:rPr>
        <w:t>KLINIČKI PODACI</w:t>
      </w:r>
    </w:p>
    <w:p w:rsidR="00CD6F02" w:rsidRPr="0009300B" w:rsidRDefault="00CD6F02" w:rsidP="00831F36">
      <w:pPr>
        <w:tabs>
          <w:tab w:val="left" w:pos="540"/>
          <w:tab w:val="left" w:pos="569"/>
        </w:tabs>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4.1. </w:t>
      </w:r>
      <w:r w:rsidR="00480FB1" w:rsidRPr="0009300B">
        <w:rPr>
          <w:b/>
          <w:bCs/>
          <w:sz w:val="22"/>
          <w:szCs w:val="22"/>
        </w:rPr>
        <w:tab/>
      </w:r>
      <w:r w:rsidRPr="0009300B">
        <w:rPr>
          <w:b/>
          <w:bCs/>
          <w:sz w:val="22"/>
          <w:szCs w:val="22"/>
        </w:rPr>
        <w:t>Terapijske indikacije</w:t>
      </w:r>
    </w:p>
    <w:p w:rsidR="00831F36" w:rsidRPr="0009300B" w:rsidRDefault="00831F36" w:rsidP="00831F36">
      <w:pPr>
        <w:tabs>
          <w:tab w:val="left" w:pos="540"/>
          <w:tab w:val="left" w:pos="569"/>
        </w:tabs>
        <w:jc w:val="both"/>
        <w:rPr>
          <w:b/>
          <w:bCs/>
          <w:sz w:val="22"/>
          <w:szCs w:val="22"/>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Hitna kontracepcija </w:t>
      </w:r>
      <w:r w:rsidR="007607C6" w:rsidRPr="0009300B">
        <w:rPr>
          <w:rFonts w:ascii="Times New Roman" w:hAnsi="Times New Roman"/>
          <w:noProof/>
          <w:lang w:val="sr-Latn-ME"/>
        </w:rPr>
        <w:t>u roku od</w:t>
      </w:r>
      <w:r w:rsidRPr="0009300B">
        <w:rPr>
          <w:rFonts w:ascii="Times New Roman" w:hAnsi="Times New Roman"/>
          <w:noProof/>
          <w:lang w:val="sr-Latn-ME"/>
        </w:rPr>
        <w:t xml:space="preserve"> 120 sati (5 dana) nakon nezaštićenog </w:t>
      </w:r>
      <w:r w:rsidR="007607C6" w:rsidRPr="0009300B">
        <w:rPr>
          <w:rFonts w:ascii="Times New Roman" w:hAnsi="Times New Roman"/>
          <w:noProof/>
          <w:lang w:val="sr-Latn-ME"/>
        </w:rPr>
        <w:t>seksualnog</w:t>
      </w:r>
      <w:r w:rsidRPr="0009300B">
        <w:rPr>
          <w:rFonts w:ascii="Times New Roman" w:hAnsi="Times New Roman"/>
          <w:noProof/>
          <w:lang w:val="sr-Latn-ME"/>
        </w:rPr>
        <w:t xml:space="preserve"> odnosa ili </w:t>
      </w:r>
      <w:r w:rsidR="007607C6" w:rsidRPr="0009300B">
        <w:rPr>
          <w:rFonts w:ascii="Times New Roman" w:hAnsi="Times New Roman"/>
          <w:noProof/>
          <w:lang w:val="sr-Latn-ME"/>
        </w:rPr>
        <w:t>neuspješne</w:t>
      </w:r>
      <w:r w:rsidRPr="0009300B">
        <w:rPr>
          <w:rFonts w:ascii="Times New Roman" w:hAnsi="Times New Roman"/>
          <w:noProof/>
          <w:lang w:val="sr-Latn-ME"/>
        </w:rPr>
        <w:t xml:space="preserve"> kontraceptivne metode. </w:t>
      </w:r>
    </w:p>
    <w:p w:rsidR="00411B4B" w:rsidRPr="0009300B" w:rsidRDefault="00411B4B" w:rsidP="00831F36">
      <w:pPr>
        <w:tabs>
          <w:tab w:val="left" w:pos="540"/>
          <w:tab w:val="left" w:pos="569"/>
        </w:tabs>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4.2. </w:t>
      </w:r>
      <w:r w:rsidR="00480FB1" w:rsidRPr="0009300B">
        <w:rPr>
          <w:b/>
          <w:bCs/>
          <w:sz w:val="22"/>
          <w:szCs w:val="22"/>
        </w:rPr>
        <w:tab/>
      </w:r>
      <w:r w:rsidRPr="0009300B">
        <w:rPr>
          <w:b/>
          <w:bCs/>
          <w:sz w:val="22"/>
          <w:szCs w:val="22"/>
        </w:rPr>
        <w:t>Doziranje i način primjene</w:t>
      </w:r>
    </w:p>
    <w:p w:rsidR="00B07517" w:rsidRPr="0009300B" w:rsidRDefault="00B07517" w:rsidP="00831F36">
      <w:pPr>
        <w:pStyle w:val="NoSpacing"/>
        <w:jc w:val="both"/>
        <w:rPr>
          <w:rFonts w:ascii="Times New Roman" w:hAnsi="Times New Roman"/>
          <w:bCs/>
          <w:noProof/>
          <w:u w:val="single"/>
          <w:lang w:val="sr-Latn-ME"/>
        </w:rPr>
      </w:pPr>
    </w:p>
    <w:p w:rsidR="00650CDD" w:rsidRPr="0009300B" w:rsidRDefault="00650CDD" w:rsidP="00831F36">
      <w:pPr>
        <w:pStyle w:val="NoSpacing"/>
        <w:jc w:val="both"/>
        <w:rPr>
          <w:rFonts w:ascii="Times New Roman" w:hAnsi="Times New Roman"/>
          <w:bCs/>
          <w:noProof/>
          <w:u w:val="single"/>
          <w:lang w:val="sr-Latn-ME"/>
        </w:rPr>
      </w:pPr>
      <w:r w:rsidRPr="0009300B">
        <w:rPr>
          <w:rFonts w:ascii="Times New Roman" w:hAnsi="Times New Roman"/>
          <w:bCs/>
          <w:noProof/>
          <w:u w:val="single"/>
          <w:lang w:val="sr-Latn-ME"/>
        </w:rPr>
        <w:t>Doziranje</w:t>
      </w:r>
    </w:p>
    <w:p w:rsidR="00831F36" w:rsidRPr="0009300B" w:rsidRDefault="00831F36" w:rsidP="00831F36">
      <w:pPr>
        <w:pStyle w:val="NoSpacing"/>
        <w:jc w:val="both"/>
        <w:rPr>
          <w:rFonts w:ascii="Times New Roman" w:hAnsi="Times New Roman"/>
          <w:bCs/>
          <w:noProof/>
          <w:u w:val="single"/>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Postupak se sastoji od </w:t>
      </w:r>
      <w:r w:rsidR="007607C6" w:rsidRPr="0009300B">
        <w:rPr>
          <w:rFonts w:ascii="Times New Roman" w:hAnsi="Times New Roman"/>
          <w:noProof/>
          <w:lang w:val="sr-Latn-ME"/>
        </w:rPr>
        <w:t xml:space="preserve">jedne tablete primijenjene </w:t>
      </w:r>
      <w:r w:rsidR="00B07517" w:rsidRPr="0009300B">
        <w:rPr>
          <w:rFonts w:ascii="Times New Roman" w:hAnsi="Times New Roman"/>
          <w:noProof/>
          <w:lang w:val="sr-Latn-ME"/>
        </w:rPr>
        <w:t>oralno</w:t>
      </w:r>
      <w:r w:rsidR="007607C6" w:rsidRPr="0009300B">
        <w:rPr>
          <w:rFonts w:ascii="Times New Roman" w:hAnsi="Times New Roman"/>
          <w:noProof/>
          <w:lang w:val="sr-Latn-ME"/>
        </w:rPr>
        <w:t xml:space="preserve">, </w:t>
      </w:r>
      <w:r w:rsidRPr="0009300B">
        <w:rPr>
          <w:rFonts w:ascii="Times New Roman" w:hAnsi="Times New Roman"/>
          <w:noProof/>
          <w:lang w:val="sr-Latn-ME"/>
        </w:rPr>
        <w:t xml:space="preserve">što je prije moguće, ali ne kasnije od 120 sati (5 dana) nakon nezaštićenog </w:t>
      </w:r>
      <w:r w:rsidR="007607C6" w:rsidRPr="0009300B">
        <w:rPr>
          <w:rFonts w:ascii="Times New Roman" w:hAnsi="Times New Roman"/>
          <w:noProof/>
          <w:lang w:val="sr-Latn-ME"/>
        </w:rPr>
        <w:t>seksualnog</w:t>
      </w:r>
      <w:r w:rsidRPr="0009300B">
        <w:rPr>
          <w:rFonts w:ascii="Times New Roman" w:hAnsi="Times New Roman"/>
          <w:noProof/>
          <w:lang w:val="sr-Latn-ME"/>
        </w:rPr>
        <w:t xml:space="preserve"> odnosa ili </w:t>
      </w:r>
      <w:r w:rsidR="007607C6" w:rsidRPr="0009300B">
        <w:rPr>
          <w:rFonts w:ascii="Times New Roman" w:hAnsi="Times New Roman"/>
          <w:noProof/>
          <w:lang w:val="sr-Latn-ME"/>
        </w:rPr>
        <w:t>neuspješne</w:t>
      </w:r>
      <w:r w:rsidRPr="0009300B">
        <w:rPr>
          <w:rFonts w:ascii="Times New Roman" w:hAnsi="Times New Roman"/>
          <w:noProof/>
          <w:lang w:val="sr-Latn-ME"/>
        </w:rPr>
        <w:t xml:space="preserve"> kontraceptivne metode.</w:t>
      </w:r>
    </w:p>
    <w:p w:rsidR="00650CDD" w:rsidRPr="0009300B" w:rsidRDefault="00650CDD" w:rsidP="00831F36">
      <w:pPr>
        <w:pStyle w:val="NoSpacing"/>
        <w:jc w:val="both"/>
        <w:rPr>
          <w:rFonts w:ascii="Times New Roman" w:hAnsi="Times New Roman"/>
          <w:noProof/>
          <w:lang w:val="sr-Latn-ME"/>
        </w:rPr>
      </w:pPr>
    </w:p>
    <w:p w:rsidR="00DD5BE2" w:rsidRPr="0009300B" w:rsidRDefault="00DD5BE2"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Lijek ellaOne se smije uzeti bilo kada tokom </w:t>
      </w:r>
      <w:r w:rsidR="00630B65" w:rsidRPr="0009300B">
        <w:rPr>
          <w:rFonts w:ascii="Times New Roman" w:hAnsi="Times New Roman"/>
          <w:noProof/>
          <w:lang w:val="sr-Latn-ME"/>
        </w:rPr>
        <w:t xml:space="preserve">menstrualnog </w:t>
      </w:r>
      <w:r w:rsidRPr="0009300B">
        <w:rPr>
          <w:rFonts w:ascii="Times New Roman" w:hAnsi="Times New Roman"/>
          <w:noProof/>
          <w:lang w:val="sr-Latn-ME"/>
        </w:rPr>
        <w:t xml:space="preserve">ciklusa. </w:t>
      </w: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Ukoliko se javi povraćanje tokom 3 sata nakon uzimanja ellaOne, treba uzeti još jednu tabletu.</w:t>
      </w:r>
    </w:p>
    <w:p w:rsidR="00650CDD" w:rsidRPr="0009300B" w:rsidRDefault="00650CDD" w:rsidP="00831F36">
      <w:pPr>
        <w:pStyle w:val="NoSpacing"/>
        <w:jc w:val="both"/>
        <w:rPr>
          <w:rFonts w:ascii="Times New Roman" w:hAnsi="Times New Roman"/>
          <w:noProof/>
          <w:lang w:val="sr-Latn-ME"/>
        </w:rPr>
      </w:pPr>
    </w:p>
    <w:p w:rsidR="00650CDD" w:rsidRPr="0009300B" w:rsidRDefault="008D6A5F" w:rsidP="00831F36">
      <w:pPr>
        <w:pStyle w:val="NoSpacing"/>
        <w:jc w:val="both"/>
        <w:rPr>
          <w:rFonts w:ascii="Times New Roman" w:hAnsi="Times New Roman"/>
          <w:noProof/>
          <w:lang w:val="sr-Latn-ME"/>
        </w:rPr>
      </w:pPr>
      <w:r w:rsidRPr="0009300B">
        <w:rPr>
          <w:rFonts w:ascii="Times New Roman" w:hAnsi="Times New Roman"/>
          <w:noProof/>
          <w:lang w:val="sr-Latn-ME"/>
        </w:rPr>
        <w:t>Ukoliko ženi kasni menstruacija ili u slučaju simptoma trudnoće, p</w:t>
      </w:r>
      <w:r w:rsidR="00650CDD" w:rsidRPr="0009300B">
        <w:rPr>
          <w:rFonts w:ascii="Times New Roman" w:hAnsi="Times New Roman"/>
          <w:noProof/>
          <w:lang w:val="sr-Latn-ME"/>
        </w:rPr>
        <w:t>rije primjene ellaOne potrebno je isključiti trudnoću.</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Posebne populacije</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i/>
          <w:noProof/>
          <w:lang w:val="sr-Latn-ME"/>
        </w:rPr>
        <w:t>Oštećenje funkcije bubrega</w:t>
      </w:r>
      <w:r w:rsidRPr="0009300B">
        <w:rPr>
          <w:rFonts w:ascii="Times New Roman" w:hAnsi="Times New Roman"/>
          <w:noProof/>
          <w:lang w:val="sr-Latn-ME"/>
        </w:rPr>
        <w:t xml:space="preserve"> </w:t>
      </w:r>
    </w:p>
    <w:p w:rsidR="00650CDD" w:rsidRPr="0009300B" w:rsidRDefault="008D6A5F" w:rsidP="00831F36">
      <w:pPr>
        <w:pStyle w:val="NoSpacing"/>
        <w:jc w:val="both"/>
        <w:rPr>
          <w:rFonts w:ascii="Times New Roman" w:hAnsi="Times New Roman"/>
          <w:noProof/>
          <w:lang w:val="sr-Latn-ME"/>
        </w:rPr>
      </w:pPr>
      <w:r w:rsidRPr="0009300B">
        <w:rPr>
          <w:rFonts w:ascii="Times New Roman" w:hAnsi="Times New Roman"/>
          <w:noProof/>
          <w:lang w:val="sr-Latn-ME"/>
        </w:rPr>
        <w:t>Nije potrebno prilagođavanje doze</w:t>
      </w:r>
      <w:r w:rsidR="00650CDD" w:rsidRPr="0009300B">
        <w:rPr>
          <w:rFonts w:ascii="Times New Roman" w:hAnsi="Times New Roman"/>
          <w:noProof/>
          <w:lang w:val="sr-Latn-ME"/>
        </w:rPr>
        <w:t>.</w:t>
      </w:r>
    </w:p>
    <w:p w:rsidR="00650CDD" w:rsidRPr="0009300B" w:rsidRDefault="00650CDD" w:rsidP="00831F36">
      <w:pPr>
        <w:pStyle w:val="NoSpacing"/>
        <w:jc w:val="both"/>
        <w:rPr>
          <w:rFonts w:ascii="Times New Roman" w:hAnsi="Times New Roman"/>
          <w:noProof/>
          <w:lang w:val="sr-Latn-ME"/>
        </w:rPr>
      </w:pPr>
    </w:p>
    <w:p w:rsidR="008D6A5F" w:rsidRPr="0009300B" w:rsidRDefault="008D6A5F" w:rsidP="00831F36">
      <w:pPr>
        <w:pStyle w:val="NoSpacing"/>
        <w:jc w:val="both"/>
        <w:rPr>
          <w:rFonts w:ascii="Times New Roman" w:hAnsi="Times New Roman"/>
          <w:i/>
          <w:noProof/>
          <w:lang w:val="sr-Latn-ME"/>
        </w:rPr>
      </w:pPr>
      <w:r w:rsidRPr="0009300B">
        <w:rPr>
          <w:rFonts w:ascii="Times New Roman" w:hAnsi="Times New Roman"/>
          <w:i/>
          <w:noProof/>
          <w:lang w:val="sr-Latn-ME"/>
        </w:rPr>
        <w:t>Oštećenje funkcije jetre</w:t>
      </w:r>
    </w:p>
    <w:p w:rsidR="006168F1" w:rsidRPr="0009300B" w:rsidRDefault="008D6A5F" w:rsidP="00831F36">
      <w:pPr>
        <w:pStyle w:val="NoSpacing"/>
        <w:jc w:val="both"/>
        <w:rPr>
          <w:rFonts w:ascii="Times New Roman" w:hAnsi="Times New Roman"/>
          <w:noProof/>
          <w:lang w:val="sr-Latn-ME"/>
        </w:rPr>
      </w:pPr>
      <w:r w:rsidRPr="0009300B">
        <w:rPr>
          <w:rFonts w:ascii="Times New Roman" w:hAnsi="Times New Roman"/>
          <w:noProof/>
          <w:lang w:val="sr-Latn-ME"/>
        </w:rPr>
        <w:lastRenderedPageBreak/>
        <w:t xml:space="preserve">Zbog nedostatka posebnih ispitivanja, </w:t>
      </w:r>
      <w:r w:rsidR="006168F1" w:rsidRPr="0009300B">
        <w:rPr>
          <w:rFonts w:ascii="Times New Roman" w:hAnsi="Times New Roman"/>
          <w:noProof/>
          <w:lang w:val="sr-Latn-ME"/>
        </w:rPr>
        <w:t>ne mogu se dati preporuke za drugačije doziranje ellaOne.</w:t>
      </w:r>
    </w:p>
    <w:p w:rsidR="008D6A5F" w:rsidRPr="0009300B" w:rsidRDefault="008D6A5F"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 </w:t>
      </w: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i/>
          <w:noProof/>
          <w:lang w:val="sr-Latn-ME"/>
        </w:rPr>
        <w:t>Teško oštećenje funkcije jetre</w:t>
      </w: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Zbog nedostatka odgovarajućih ispitivanja, primjena ellaOne se ne preporučuje.</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i/>
          <w:noProof/>
          <w:lang w:val="sr-Latn-ME"/>
        </w:rPr>
        <w:t>Djeca i adolescenti</w:t>
      </w:r>
      <w:r w:rsidRPr="0009300B">
        <w:rPr>
          <w:rFonts w:ascii="Times New Roman" w:hAnsi="Times New Roman"/>
          <w:noProof/>
          <w:lang w:val="sr-Latn-ME"/>
        </w:rPr>
        <w:t xml:space="preserve"> </w:t>
      </w:r>
    </w:p>
    <w:p w:rsidR="00111F3B" w:rsidRPr="0009300B" w:rsidRDefault="006168F1" w:rsidP="00831F36">
      <w:pPr>
        <w:pStyle w:val="NoSpacing"/>
        <w:jc w:val="both"/>
        <w:rPr>
          <w:rFonts w:ascii="Times New Roman" w:hAnsi="Times New Roman"/>
          <w:noProof/>
          <w:lang w:val="sr-Latn-ME"/>
        </w:rPr>
      </w:pPr>
      <w:r w:rsidRPr="0009300B">
        <w:rPr>
          <w:rFonts w:ascii="Times New Roman" w:hAnsi="Times New Roman"/>
          <w:noProof/>
          <w:lang w:val="sr-Latn-ME"/>
        </w:rPr>
        <w:t>Primjena ell</w:t>
      </w:r>
      <w:r w:rsidR="00111F3B" w:rsidRPr="0009300B">
        <w:rPr>
          <w:rFonts w:ascii="Times New Roman" w:hAnsi="Times New Roman"/>
          <w:noProof/>
          <w:lang w:val="sr-Latn-ME"/>
        </w:rPr>
        <w:t xml:space="preserve">aOne nije opravdana </w:t>
      </w:r>
      <w:r w:rsidR="00DB4242" w:rsidRPr="0009300B">
        <w:rPr>
          <w:rFonts w:ascii="Times New Roman" w:hAnsi="Times New Roman"/>
          <w:noProof/>
          <w:lang w:val="sr-Latn-ME"/>
        </w:rPr>
        <w:t xml:space="preserve">kod </w:t>
      </w:r>
      <w:r w:rsidR="00111F3B" w:rsidRPr="0009300B">
        <w:rPr>
          <w:rFonts w:ascii="Times New Roman" w:hAnsi="Times New Roman"/>
          <w:noProof/>
          <w:lang w:val="sr-Latn-ME"/>
        </w:rPr>
        <w:t xml:space="preserve">djece </w:t>
      </w:r>
      <w:r w:rsidR="00DB4242" w:rsidRPr="0009300B">
        <w:rPr>
          <w:rFonts w:ascii="Times New Roman" w:hAnsi="Times New Roman"/>
          <w:noProof/>
          <w:lang w:val="sr-Latn-ME"/>
        </w:rPr>
        <w:t xml:space="preserve">predpubertetskog uzrasta </w:t>
      </w:r>
      <w:r w:rsidR="00111F3B" w:rsidRPr="0009300B">
        <w:rPr>
          <w:rFonts w:ascii="Times New Roman" w:hAnsi="Times New Roman"/>
          <w:noProof/>
          <w:lang w:val="sr-Latn-ME"/>
        </w:rPr>
        <w:t>u indikaciji hitne kontracepcije.</w:t>
      </w:r>
    </w:p>
    <w:p w:rsidR="00650CDD" w:rsidRPr="0009300B" w:rsidRDefault="00111F3B"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Adolescenti: ellaOne je pogodna za sve žene </w:t>
      </w:r>
      <w:r w:rsidR="00DB4242" w:rsidRPr="0009300B">
        <w:rPr>
          <w:rFonts w:ascii="Times New Roman" w:hAnsi="Times New Roman"/>
          <w:noProof/>
          <w:lang w:val="sr-Latn-ME"/>
        </w:rPr>
        <w:t>reproduktivnog doba</w:t>
      </w:r>
      <w:r w:rsidR="00056908" w:rsidRPr="0009300B">
        <w:rPr>
          <w:rFonts w:ascii="Times New Roman" w:hAnsi="Times New Roman"/>
          <w:noProof/>
          <w:lang w:val="sr-Latn-ME"/>
        </w:rPr>
        <w:t xml:space="preserve">, uključujući </w:t>
      </w:r>
      <w:r w:rsidR="00DB4242" w:rsidRPr="0009300B">
        <w:rPr>
          <w:rFonts w:ascii="Times New Roman" w:hAnsi="Times New Roman"/>
          <w:noProof/>
          <w:lang w:val="sr-Latn-ME"/>
        </w:rPr>
        <w:t>adolescentkinje</w:t>
      </w:r>
      <w:r w:rsidR="00056908" w:rsidRPr="0009300B">
        <w:rPr>
          <w:rFonts w:ascii="Times New Roman" w:hAnsi="Times New Roman"/>
          <w:noProof/>
          <w:lang w:val="sr-Latn-ME"/>
        </w:rPr>
        <w:t xml:space="preserve">. </w:t>
      </w:r>
      <w:r w:rsidRPr="0009300B">
        <w:rPr>
          <w:rFonts w:ascii="Times New Roman" w:hAnsi="Times New Roman"/>
          <w:noProof/>
          <w:lang w:val="sr-Latn-ME"/>
        </w:rPr>
        <w:t>Ni</w:t>
      </w:r>
      <w:r w:rsidR="00A216D8" w:rsidRPr="0009300B">
        <w:rPr>
          <w:rFonts w:ascii="Times New Roman" w:hAnsi="Times New Roman"/>
          <w:noProof/>
          <w:lang w:val="sr-Latn-ME"/>
        </w:rPr>
        <w:t>su utvrđene razlike u bezbjednosti i efikasnosti</w:t>
      </w:r>
      <w:r w:rsidRPr="0009300B">
        <w:rPr>
          <w:rFonts w:ascii="Times New Roman" w:hAnsi="Times New Roman"/>
          <w:noProof/>
          <w:lang w:val="sr-Latn-ME"/>
        </w:rPr>
        <w:t xml:space="preserve"> u </w:t>
      </w:r>
      <w:r w:rsidR="00DB4242" w:rsidRPr="0009300B">
        <w:rPr>
          <w:rFonts w:ascii="Times New Roman" w:hAnsi="Times New Roman"/>
          <w:noProof/>
          <w:lang w:val="sr-Latn-ME"/>
        </w:rPr>
        <w:t xml:space="preserve">poređenju </w:t>
      </w:r>
      <w:r w:rsidRPr="0009300B">
        <w:rPr>
          <w:rFonts w:ascii="Times New Roman" w:hAnsi="Times New Roman"/>
          <w:noProof/>
          <w:lang w:val="sr-Latn-ME"/>
        </w:rPr>
        <w:t xml:space="preserve">s odraslim ženama u </w:t>
      </w:r>
      <w:r w:rsidR="00FC569E" w:rsidRPr="0009300B">
        <w:rPr>
          <w:rFonts w:ascii="Times New Roman" w:hAnsi="Times New Roman"/>
          <w:noProof/>
          <w:lang w:val="sr-Latn-ME"/>
        </w:rPr>
        <w:t>dobu</w:t>
      </w:r>
      <w:r w:rsidR="00DB4242" w:rsidRPr="0009300B">
        <w:rPr>
          <w:rFonts w:ascii="Times New Roman" w:hAnsi="Times New Roman"/>
          <w:noProof/>
          <w:lang w:val="sr-Latn-ME"/>
        </w:rPr>
        <w:t xml:space="preserve"> </w:t>
      </w:r>
      <w:r w:rsidRPr="0009300B">
        <w:rPr>
          <w:rFonts w:ascii="Times New Roman" w:hAnsi="Times New Roman"/>
          <w:noProof/>
          <w:lang w:val="sr-Latn-ME"/>
        </w:rPr>
        <w:t>od 18 godina i starijim (vidjeti odjeljak 5.1).</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Način primjene</w:t>
      </w:r>
    </w:p>
    <w:p w:rsidR="00650CDD" w:rsidRPr="0009300B" w:rsidRDefault="00B07517" w:rsidP="00831F36">
      <w:pPr>
        <w:pStyle w:val="NoSpacing"/>
        <w:jc w:val="both"/>
        <w:rPr>
          <w:rFonts w:ascii="Times New Roman" w:hAnsi="Times New Roman"/>
          <w:noProof/>
          <w:lang w:val="sr-Latn-ME"/>
        </w:rPr>
      </w:pPr>
      <w:r w:rsidRPr="0009300B">
        <w:rPr>
          <w:rFonts w:ascii="Times New Roman" w:hAnsi="Times New Roman"/>
          <w:noProof/>
          <w:lang w:val="sr-Latn-ME"/>
        </w:rPr>
        <w:t>Oralna upotreba.</w:t>
      </w:r>
    </w:p>
    <w:p w:rsidR="00111F3B" w:rsidRPr="0009300B" w:rsidRDefault="00111F3B" w:rsidP="00831F36">
      <w:pPr>
        <w:pStyle w:val="NoSpacing"/>
        <w:jc w:val="both"/>
        <w:rPr>
          <w:rFonts w:ascii="Times New Roman" w:hAnsi="Times New Roman"/>
          <w:noProof/>
          <w:lang w:val="sr-Latn-ME"/>
        </w:rPr>
      </w:pPr>
      <w:r w:rsidRPr="0009300B">
        <w:rPr>
          <w:rFonts w:ascii="Times New Roman" w:hAnsi="Times New Roman"/>
          <w:noProof/>
          <w:lang w:val="sr-Latn-ME"/>
        </w:rPr>
        <w:t>Tableta se može uzimati sa i</w:t>
      </w:r>
      <w:r w:rsidR="00DB4242" w:rsidRPr="0009300B">
        <w:rPr>
          <w:rFonts w:ascii="Times New Roman" w:hAnsi="Times New Roman"/>
          <w:noProof/>
          <w:lang w:val="sr-Latn-ME"/>
        </w:rPr>
        <w:t>li</w:t>
      </w:r>
      <w:r w:rsidRPr="0009300B">
        <w:rPr>
          <w:rFonts w:ascii="Times New Roman" w:hAnsi="Times New Roman"/>
          <w:noProof/>
          <w:lang w:val="sr-Latn-ME"/>
        </w:rPr>
        <w:t xml:space="preserve"> bez hrane.</w:t>
      </w:r>
    </w:p>
    <w:p w:rsidR="0072020E" w:rsidRPr="0009300B" w:rsidRDefault="0072020E" w:rsidP="00831F36">
      <w:pPr>
        <w:tabs>
          <w:tab w:val="left" w:pos="540"/>
          <w:tab w:val="left" w:pos="569"/>
        </w:tabs>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4.3. </w:t>
      </w:r>
      <w:r w:rsidR="00480FB1" w:rsidRPr="0009300B">
        <w:rPr>
          <w:b/>
          <w:bCs/>
          <w:sz w:val="22"/>
          <w:szCs w:val="22"/>
        </w:rPr>
        <w:tab/>
      </w:r>
      <w:r w:rsidRPr="0009300B">
        <w:rPr>
          <w:b/>
          <w:bCs/>
          <w:sz w:val="22"/>
          <w:szCs w:val="22"/>
        </w:rPr>
        <w:t>Kontraindikacije</w:t>
      </w:r>
    </w:p>
    <w:p w:rsidR="00056908" w:rsidRPr="0009300B" w:rsidRDefault="00056908" w:rsidP="00831F36">
      <w:pPr>
        <w:tabs>
          <w:tab w:val="left" w:pos="540"/>
          <w:tab w:val="left" w:pos="569"/>
        </w:tabs>
        <w:jc w:val="both"/>
        <w:rPr>
          <w:b/>
          <w:bCs/>
          <w:sz w:val="22"/>
          <w:szCs w:val="22"/>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Preosjetljivost na </w:t>
      </w:r>
      <w:r w:rsidR="00AA7BAC" w:rsidRPr="0009300B">
        <w:rPr>
          <w:rFonts w:ascii="Times New Roman" w:hAnsi="Times New Roman"/>
          <w:noProof/>
          <w:lang w:val="sr-Latn-ME"/>
        </w:rPr>
        <w:t>a</w:t>
      </w:r>
      <w:r w:rsidRPr="0009300B">
        <w:rPr>
          <w:rFonts w:ascii="Times New Roman" w:hAnsi="Times New Roman"/>
          <w:noProof/>
          <w:lang w:val="sr-Latn-ME"/>
        </w:rPr>
        <w:t>ktivnu supstancu ili neku od pomoćnih supstanci navedenih u odjeljk</w:t>
      </w:r>
      <w:r w:rsidR="00CF132C" w:rsidRPr="0009300B">
        <w:rPr>
          <w:rFonts w:ascii="Times New Roman" w:hAnsi="Times New Roman"/>
          <w:noProof/>
          <w:lang w:val="sr-Latn-ME"/>
        </w:rPr>
        <w:t>u 6.1.</w:t>
      </w:r>
    </w:p>
    <w:p w:rsidR="0072020E" w:rsidRPr="0009300B" w:rsidRDefault="0072020E" w:rsidP="00831F36">
      <w:pPr>
        <w:tabs>
          <w:tab w:val="left" w:pos="540"/>
          <w:tab w:val="left" w:pos="569"/>
        </w:tabs>
        <w:jc w:val="both"/>
        <w:rPr>
          <w:bCs/>
          <w:sz w:val="22"/>
          <w:szCs w:val="22"/>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4.4. </w:t>
      </w:r>
      <w:r w:rsidR="00480FB1" w:rsidRPr="0009300B">
        <w:rPr>
          <w:b/>
          <w:bCs/>
          <w:sz w:val="22"/>
          <w:szCs w:val="22"/>
        </w:rPr>
        <w:tab/>
      </w:r>
      <w:r w:rsidRPr="0009300B">
        <w:rPr>
          <w:b/>
          <w:bCs/>
          <w:sz w:val="22"/>
          <w:szCs w:val="22"/>
        </w:rPr>
        <w:t>Posebna upozorenja i mjere opreza pri upotrebi lijeka</w:t>
      </w:r>
    </w:p>
    <w:p w:rsidR="00056908" w:rsidRPr="0009300B" w:rsidRDefault="00056908" w:rsidP="00831F36">
      <w:pPr>
        <w:tabs>
          <w:tab w:val="left" w:pos="540"/>
          <w:tab w:val="left" w:pos="569"/>
        </w:tabs>
        <w:jc w:val="both"/>
        <w:rPr>
          <w:b/>
          <w:bCs/>
          <w:sz w:val="22"/>
          <w:szCs w:val="22"/>
        </w:rPr>
      </w:pPr>
    </w:p>
    <w:p w:rsidR="00192B4B" w:rsidRPr="0009300B" w:rsidRDefault="00111F3B"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ellaOne je samo za povremenu upotrebu. </w:t>
      </w:r>
      <w:r w:rsidR="00192B4B" w:rsidRPr="0009300B">
        <w:rPr>
          <w:rFonts w:ascii="Times New Roman" w:hAnsi="Times New Roman"/>
          <w:noProof/>
          <w:lang w:val="sr-Latn-ME"/>
        </w:rPr>
        <w:t>Nikako ne</w:t>
      </w:r>
      <w:r w:rsidR="00C57DAA" w:rsidRPr="0009300B">
        <w:rPr>
          <w:rFonts w:ascii="Times New Roman" w:hAnsi="Times New Roman"/>
          <w:noProof/>
          <w:lang w:val="sr-Latn-ME"/>
        </w:rPr>
        <w:t xml:space="preserve"> smije zamijeniti redovnu metodu</w:t>
      </w:r>
      <w:r w:rsidR="00192B4B" w:rsidRPr="0009300B">
        <w:rPr>
          <w:rFonts w:ascii="Times New Roman" w:hAnsi="Times New Roman"/>
          <w:noProof/>
          <w:lang w:val="sr-Latn-ME"/>
        </w:rPr>
        <w:t xml:space="preserve"> kontracepcije. Žene je uvijek potrebno savjetovati o primjeni jedne od metoda redovne kontracepcije.</w:t>
      </w:r>
    </w:p>
    <w:p w:rsidR="00192B4B" w:rsidRPr="0009300B" w:rsidRDefault="00192B4B" w:rsidP="00831F36">
      <w:pPr>
        <w:pStyle w:val="NoSpacing"/>
        <w:jc w:val="both"/>
        <w:rPr>
          <w:rFonts w:ascii="Times New Roman" w:hAnsi="Times New Roman"/>
          <w:noProof/>
          <w:lang w:val="sr-Latn-ME"/>
        </w:rPr>
      </w:pPr>
    </w:p>
    <w:p w:rsidR="005E0569" w:rsidRPr="0009300B" w:rsidRDefault="00192B4B" w:rsidP="00831F36">
      <w:pPr>
        <w:pStyle w:val="NoSpacing"/>
        <w:jc w:val="both"/>
        <w:rPr>
          <w:rFonts w:ascii="Times New Roman" w:hAnsi="Times New Roman"/>
          <w:noProof/>
          <w:lang w:val="sr-Latn-ME"/>
        </w:rPr>
      </w:pPr>
      <w:r w:rsidRPr="0009300B">
        <w:rPr>
          <w:rFonts w:ascii="Times New Roman" w:hAnsi="Times New Roman"/>
          <w:noProof/>
          <w:lang w:val="sr-Latn-ME"/>
        </w:rPr>
        <w:t>ellaOne nije nam</w:t>
      </w:r>
      <w:r w:rsidR="00417E08" w:rsidRPr="0009300B">
        <w:rPr>
          <w:rFonts w:ascii="Times New Roman" w:hAnsi="Times New Roman"/>
          <w:noProof/>
          <w:lang w:val="sr-Latn-ME"/>
        </w:rPr>
        <w:t>i</w:t>
      </w:r>
      <w:r w:rsidRPr="0009300B">
        <w:rPr>
          <w:rFonts w:ascii="Times New Roman" w:hAnsi="Times New Roman"/>
          <w:noProof/>
          <w:lang w:val="sr-Latn-ME"/>
        </w:rPr>
        <w:t>jenjena upotrebi tokom trudnoće i ne smiju je uzimati žene koje sumnjaju ili znaju da su trudne. Međutim, ellaOne ne prekida postojeću trudnoću (vidjeti odjeljak 4.6).</w:t>
      </w:r>
    </w:p>
    <w:p w:rsidR="005E0569" w:rsidRPr="0009300B" w:rsidRDefault="005E0569" w:rsidP="00831F36">
      <w:pPr>
        <w:pStyle w:val="NoSpacing"/>
        <w:jc w:val="both"/>
        <w:rPr>
          <w:rFonts w:ascii="Times New Roman" w:hAnsi="Times New Roman"/>
          <w:noProof/>
          <w:lang w:val="sr-Latn-ME"/>
        </w:rPr>
      </w:pPr>
    </w:p>
    <w:p w:rsidR="00650CDD" w:rsidRPr="0009300B" w:rsidRDefault="005E0569"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ellaOne ne spr</w:t>
      </w:r>
      <w:r w:rsidR="00417E08" w:rsidRPr="0009300B">
        <w:rPr>
          <w:rFonts w:ascii="Times New Roman" w:hAnsi="Times New Roman"/>
          <w:noProof/>
          <w:u w:val="single"/>
          <w:lang w:val="sr-Latn-ME"/>
        </w:rPr>
        <w:t>j</w:t>
      </w:r>
      <w:r w:rsidRPr="0009300B">
        <w:rPr>
          <w:rFonts w:ascii="Times New Roman" w:hAnsi="Times New Roman"/>
          <w:noProof/>
          <w:u w:val="single"/>
          <w:lang w:val="sr-Latn-ME"/>
        </w:rPr>
        <w:t>eč</w:t>
      </w:r>
      <w:r w:rsidR="00F34612" w:rsidRPr="0009300B">
        <w:rPr>
          <w:rFonts w:ascii="Times New Roman" w:hAnsi="Times New Roman"/>
          <w:noProof/>
          <w:u w:val="single"/>
          <w:lang w:val="sr-Latn-ME"/>
        </w:rPr>
        <w:t>ava trudnoću u svim slučajevima</w:t>
      </w:r>
    </w:p>
    <w:p w:rsidR="00650CDD" w:rsidRPr="0009300B" w:rsidRDefault="00650CDD" w:rsidP="00831F36">
      <w:pPr>
        <w:pStyle w:val="NoSpacing"/>
        <w:jc w:val="both"/>
        <w:rPr>
          <w:rFonts w:ascii="Times New Roman" w:hAnsi="Times New Roman"/>
          <w:noProof/>
          <w:lang w:val="sr-Latn-ME"/>
        </w:rPr>
      </w:pPr>
    </w:p>
    <w:p w:rsidR="00C57DAA" w:rsidRPr="0009300B" w:rsidRDefault="00674576" w:rsidP="00831F36">
      <w:pPr>
        <w:pStyle w:val="NoSpacing"/>
        <w:jc w:val="both"/>
        <w:rPr>
          <w:rFonts w:ascii="Times New Roman" w:hAnsi="Times New Roman"/>
          <w:noProof/>
          <w:lang w:val="sr-Latn-ME"/>
        </w:rPr>
      </w:pPr>
      <w:r w:rsidRPr="0009300B">
        <w:rPr>
          <w:rFonts w:ascii="Times New Roman" w:hAnsi="Times New Roman"/>
          <w:noProof/>
          <w:lang w:val="sr-Latn-ME"/>
        </w:rPr>
        <w:t>U slučaju kašnjenja slj</w:t>
      </w:r>
      <w:r w:rsidR="00056908" w:rsidRPr="0009300B">
        <w:rPr>
          <w:rFonts w:ascii="Times New Roman" w:hAnsi="Times New Roman"/>
          <w:noProof/>
          <w:lang w:val="sr-Latn-ME"/>
        </w:rPr>
        <w:t xml:space="preserve">edeće menstruacije za više od 7 </w:t>
      </w:r>
      <w:r w:rsidRPr="0009300B">
        <w:rPr>
          <w:rFonts w:ascii="Times New Roman" w:hAnsi="Times New Roman"/>
          <w:noProof/>
          <w:lang w:val="sr-Latn-ME"/>
        </w:rPr>
        <w:t xml:space="preserve">dana, ukoliko je menstruacija svojim karakterom abnormalna ili ukoliko postoje simptomi koji sugerišu trudnoću ili u slučaju sumnje na trudnoću, </w:t>
      </w:r>
      <w:r w:rsidR="00417E08" w:rsidRPr="0009300B">
        <w:rPr>
          <w:rFonts w:ascii="Times New Roman" w:hAnsi="Times New Roman"/>
          <w:noProof/>
          <w:lang w:val="sr-Latn-ME"/>
        </w:rPr>
        <w:t xml:space="preserve">treba </w:t>
      </w:r>
      <w:r w:rsidR="001D7195" w:rsidRPr="0009300B">
        <w:rPr>
          <w:rFonts w:ascii="Times New Roman" w:hAnsi="Times New Roman"/>
          <w:noProof/>
          <w:lang w:val="sr-Latn-ME"/>
        </w:rPr>
        <w:t xml:space="preserve">uraditi </w:t>
      </w:r>
      <w:r w:rsidRPr="0009300B">
        <w:rPr>
          <w:rFonts w:ascii="Times New Roman" w:hAnsi="Times New Roman"/>
          <w:noProof/>
          <w:lang w:val="sr-Latn-ME"/>
        </w:rPr>
        <w:t xml:space="preserve">test na trudnoću. </w:t>
      </w:r>
      <w:r w:rsidR="007F2108" w:rsidRPr="0009300B">
        <w:rPr>
          <w:rFonts w:ascii="Times New Roman" w:hAnsi="Times New Roman"/>
          <w:noProof/>
          <w:lang w:val="sr-Latn-ME"/>
        </w:rPr>
        <w:t xml:space="preserve">Kao i kod svake druge trudnoće, </w:t>
      </w:r>
      <w:r w:rsidR="001D7195" w:rsidRPr="0009300B">
        <w:rPr>
          <w:rFonts w:ascii="Times New Roman" w:hAnsi="Times New Roman"/>
          <w:noProof/>
          <w:lang w:val="sr-Latn-ME"/>
        </w:rPr>
        <w:t xml:space="preserve">treba </w:t>
      </w:r>
      <w:r w:rsidR="007F2108" w:rsidRPr="0009300B">
        <w:rPr>
          <w:rFonts w:ascii="Times New Roman" w:hAnsi="Times New Roman"/>
          <w:noProof/>
          <w:lang w:val="sr-Latn-ME"/>
        </w:rPr>
        <w:t xml:space="preserve">razmotriti mogućnost ektopične trudnoće. Važno je znati da pojava krvarenja iz materice ne isključuje ektopičnu trudnoću. Žene koje zatrudne nakon uzimanja ellaOne </w:t>
      </w:r>
      <w:r w:rsidR="00353BC8" w:rsidRPr="0009300B">
        <w:rPr>
          <w:rFonts w:ascii="Times New Roman" w:hAnsi="Times New Roman"/>
          <w:noProof/>
          <w:lang w:val="sr-Latn-ME"/>
        </w:rPr>
        <w:t xml:space="preserve">treba </w:t>
      </w:r>
      <w:r w:rsidR="00417E08" w:rsidRPr="0009300B">
        <w:rPr>
          <w:rFonts w:ascii="Times New Roman" w:hAnsi="Times New Roman"/>
          <w:noProof/>
          <w:lang w:val="sr-Latn-ME"/>
        </w:rPr>
        <w:t xml:space="preserve">da </w:t>
      </w:r>
      <w:r w:rsidR="00353BC8" w:rsidRPr="0009300B">
        <w:rPr>
          <w:rFonts w:ascii="Times New Roman" w:hAnsi="Times New Roman"/>
          <w:noProof/>
          <w:lang w:val="sr-Latn-ME"/>
        </w:rPr>
        <w:t xml:space="preserve">se </w:t>
      </w:r>
      <w:r w:rsidR="00417E08" w:rsidRPr="0009300B">
        <w:rPr>
          <w:rFonts w:ascii="Times New Roman" w:hAnsi="Times New Roman"/>
          <w:noProof/>
          <w:lang w:val="sr-Latn-ME"/>
        </w:rPr>
        <w:t xml:space="preserve">jave </w:t>
      </w:r>
      <w:r w:rsidR="00353BC8" w:rsidRPr="0009300B">
        <w:rPr>
          <w:rFonts w:ascii="Times New Roman" w:hAnsi="Times New Roman"/>
          <w:noProof/>
          <w:lang w:val="sr-Latn-ME"/>
        </w:rPr>
        <w:t>svom ljekaru</w:t>
      </w:r>
      <w:r w:rsidR="007F2108" w:rsidRPr="0009300B">
        <w:rPr>
          <w:rFonts w:ascii="Times New Roman" w:hAnsi="Times New Roman"/>
          <w:noProof/>
          <w:lang w:val="sr-Latn-ME"/>
        </w:rPr>
        <w:t xml:space="preserve"> (vidjeti odjeljak 4.6).</w:t>
      </w:r>
    </w:p>
    <w:p w:rsidR="00C57DAA" w:rsidRPr="0009300B" w:rsidRDefault="00C57DAA" w:rsidP="00831F36">
      <w:pPr>
        <w:pStyle w:val="NoSpacing"/>
        <w:jc w:val="both"/>
        <w:rPr>
          <w:rFonts w:ascii="Times New Roman" w:hAnsi="Times New Roman"/>
          <w:noProof/>
          <w:lang w:val="sr-Latn-ME"/>
        </w:rPr>
      </w:pPr>
    </w:p>
    <w:p w:rsidR="00C57DAA" w:rsidRPr="0009300B" w:rsidRDefault="00C57DAA" w:rsidP="00831F36">
      <w:pPr>
        <w:pStyle w:val="NoSpacing"/>
        <w:jc w:val="both"/>
        <w:rPr>
          <w:rFonts w:ascii="Times New Roman" w:hAnsi="Times New Roman"/>
          <w:noProof/>
          <w:lang w:val="sr-Latn-ME"/>
        </w:rPr>
      </w:pPr>
      <w:r w:rsidRPr="0009300B">
        <w:rPr>
          <w:rFonts w:ascii="Times New Roman" w:hAnsi="Times New Roman"/>
          <w:noProof/>
          <w:lang w:val="sr-Latn-ME"/>
        </w:rPr>
        <w:t>ellaOne spr</w:t>
      </w:r>
      <w:r w:rsidR="00417E08" w:rsidRPr="0009300B">
        <w:rPr>
          <w:rFonts w:ascii="Times New Roman" w:hAnsi="Times New Roman"/>
          <w:noProof/>
          <w:lang w:val="sr-Latn-ME"/>
        </w:rPr>
        <w:t>j</w:t>
      </w:r>
      <w:r w:rsidRPr="0009300B">
        <w:rPr>
          <w:rFonts w:ascii="Times New Roman" w:hAnsi="Times New Roman"/>
          <w:noProof/>
          <w:lang w:val="sr-Latn-ME"/>
        </w:rPr>
        <w:t xml:space="preserve">ečava ili </w:t>
      </w:r>
      <w:r w:rsidR="00417E08" w:rsidRPr="0009300B">
        <w:rPr>
          <w:rFonts w:ascii="Times New Roman" w:hAnsi="Times New Roman"/>
          <w:noProof/>
          <w:lang w:val="sr-Latn-ME"/>
        </w:rPr>
        <w:t xml:space="preserve">odlaže </w:t>
      </w:r>
      <w:r w:rsidRPr="0009300B">
        <w:rPr>
          <w:rFonts w:ascii="Times New Roman" w:hAnsi="Times New Roman"/>
          <w:noProof/>
          <w:lang w:val="sr-Latn-ME"/>
        </w:rPr>
        <w:t>ovulaciju (vidjeti odjeljak 5.1). U</w:t>
      </w:r>
      <w:r w:rsidR="00EC1BC2" w:rsidRPr="0009300B">
        <w:rPr>
          <w:rFonts w:ascii="Times New Roman" w:hAnsi="Times New Roman"/>
          <w:noProof/>
          <w:lang w:val="sr-Latn-ME"/>
        </w:rPr>
        <w:t>koliko se ovulacija već d</w:t>
      </w:r>
      <w:r w:rsidR="00353BC8" w:rsidRPr="0009300B">
        <w:rPr>
          <w:rFonts w:ascii="Times New Roman" w:hAnsi="Times New Roman"/>
          <w:noProof/>
          <w:lang w:val="sr-Latn-ME"/>
        </w:rPr>
        <w:t>esila, ellaOne više nema dejstva</w:t>
      </w:r>
      <w:r w:rsidRPr="0009300B">
        <w:rPr>
          <w:rFonts w:ascii="Times New Roman" w:hAnsi="Times New Roman"/>
          <w:noProof/>
          <w:lang w:val="sr-Latn-ME"/>
        </w:rPr>
        <w:t>. Vrijeme ovulacije nije mogu</w:t>
      </w:r>
      <w:r w:rsidR="00EC1BC2" w:rsidRPr="0009300B">
        <w:rPr>
          <w:rFonts w:ascii="Times New Roman" w:hAnsi="Times New Roman"/>
          <w:noProof/>
          <w:lang w:val="sr-Latn-ME"/>
        </w:rPr>
        <w:t>će predvidjeti</w:t>
      </w:r>
      <w:r w:rsidRPr="0009300B">
        <w:rPr>
          <w:rFonts w:ascii="Times New Roman" w:hAnsi="Times New Roman"/>
          <w:noProof/>
          <w:lang w:val="sr-Latn-ME"/>
        </w:rPr>
        <w:t xml:space="preserve"> i zato ellaOne treba da se uzme što je prije moguće nakon nezaštićenog seksualnog odnosa.</w:t>
      </w:r>
    </w:p>
    <w:p w:rsidR="009B6043" w:rsidRPr="0009300B" w:rsidRDefault="009B6043" w:rsidP="00831F36">
      <w:pPr>
        <w:pStyle w:val="NoSpacing"/>
        <w:jc w:val="both"/>
        <w:rPr>
          <w:rFonts w:ascii="Times New Roman" w:hAnsi="Times New Roman"/>
          <w:noProof/>
          <w:lang w:val="sr-Latn-ME"/>
        </w:rPr>
      </w:pPr>
    </w:p>
    <w:p w:rsidR="00C57DAA" w:rsidRPr="0009300B" w:rsidRDefault="009B6043"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Nema podataka o efikasnosti ellaOne kada se uzme više od 120 sati (5 dana) nakon nezaštićenog seksualnog odnosa. </w:t>
      </w:r>
    </w:p>
    <w:p w:rsidR="00650CDD" w:rsidRPr="0009300B" w:rsidRDefault="00650CDD" w:rsidP="00831F36">
      <w:pPr>
        <w:pStyle w:val="NoSpacing"/>
        <w:jc w:val="both"/>
        <w:rPr>
          <w:rFonts w:ascii="Times New Roman" w:hAnsi="Times New Roman"/>
          <w:noProof/>
          <w:lang w:val="sr-Latn-ME"/>
        </w:rPr>
      </w:pPr>
    </w:p>
    <w:p w:rsidR="00650CDD" w:rsidRPr="0009300B" w:rsidRDefault="00173F8B" w:rsidP="00831F36">
      <w:pPr>
        <w:pStyle w:val="NoSpacing"/>
        <w:jc w:val="both"/>
        <w:rPr>
          <w:rFonts w:ascii="Times New Roman" w:hAnsi="Times New Roman"/>
          <w:noProof/>
          <w:lang w:val="sr-Latn-ME"/>
        </w:rPr>
      </w:pPr>
      <w:r w:rsidRPr="0009300B">
        <w:rPr>
          <w:rFonts w:ascii="Times New Roman" w:hAnsi="Times New Roman"/>
          <w:noProof/>
          <w:lang w:val="sr-Latn-ME"/>
        </w:rPr>
        <w:t>Ogr</w:t>
      </w:r>
      <w:r w:rsidR="006E2782" w:rsidRPr="0009300B">
        <w:rPr>
          <w:rFonts w:ascii="Times New Roman" w:hAnsi="Times New Roman"/>
          <w:noProof/>
          <w:lang w:val="sr-Latn-ME"/>
        </w:rPr>
        <w:t>aničeni podaci koji ne dozvoljavaju</w:t>
      </w:r>
      <w:r w:rsidRPr="0009300B">
        <w:rPr>
          <w:rFonts w:ascii="Times New Roman" w:hAnsi="Times New Roman"/>
          <w:noProof/>
          <w:lang w:val="sr-Latn-ME"/>
        </w:rPr>
        <w:t xml:space="preserve"> donošenje konačnih zaključaka u</w:t>
      </w:r>
      <w:r w:rsidR="006E2782" w:rsidRPr="0009300B">
        <w:rPr>
          <w:rFonts w:ascii="Times New Roman" w:hAnsi="Times New Roman"/>
          <w:noProof/>
          <w:lang w:val="sr-Latn-ME"/>
        </w:rPr>
        <w:t>kazuju na to da se efikasnost</w:t>
      </w:r>
      <w:r w:rsidRPr="0009300B">
        <w:rPr>
          <w:rFonts w:ascii="Times New Roman" w:hAnsi="Times New Roman"/>
          <w:noProof/>
          <w:lang w:val="sr-Latn-ME"/>
        </w:rPr>
        <w:t xml:space="preserve"> ellaOne može smanj</w:t>
      </w:r>
      <w:r w:rsidR="006E2782" w:rsidRPr="0009300B">
        <w:rPr>
          <w:rFonts w:ascii="Times New Roman" w:hAnsi="Times New Roman"/>
          <w:noProof/>
          <w:lang w:val="sr-Latn-ME"/>
        </w:rPr>
        <w:t>ivati s porastom tjelesne mase ili indeksa tjelesne mase (BMI</w:t>
      </w:r>
      <w:r w:rsidRPr="0009300B">
        <w:rPr>
          <w:rFonts w:ascii="Times New Roman" w:hAnsi="Times New Roman"/>
          <w:noProof/>
          <w:lang w:val="sr-Latn-ME"/>
        </w:rPr>
        <w:t>)</w:t>
      </w:r>
      <w:r w:rsidR="00461942" w:rsidRPr="0009300B">
        <w:rPr>
          <w:rFonts w:ascii="Times New Roman" w:hAnsi="Times New Roman"/>
          <w:noProof/>
          <w:lang w:val="sr-Latn-ME"/>
        </w:rPr>
        <w:t xml:space="preserve"> (vidjeti </w:t>
      </w:r>
      <w:r w:rsidR="009B6043" w:rsidRPr="0009300B">
        <w:rPr>
          <w:rFonts w:ascii="Times New Roman" w:hAnsi="Times New Roman"/>
          <w:noProof/>
          <w:lang w:val="sr-Latn-ME"/>
        </w:rPr>
        <w:t>odjeljak</w:t>
      </w:r>
      <w:r w:rsidR="00461942" w:rsidRPr="0009300B">
        <w:rPr>
          <w:rFonts w:ascii="Times New Roman" w:hAnsi="Times New Roman"/>
          <w:noProof/>
          <w:lang w:val="sr-Latn-ME"/>
        </w:rPr>
        <w:t xml:space="preserve"> 5.1). Sve</w:t>
      </w:r>
      <w:r w:rsidRPr="0009300B">
        <w:rPr>
          <w:rFonts w:ascii="Times New Roman" w:hAnsi="Times New Roman"/>
          <w:noProof/>
          <w:lang w:val="sr-Latn-ME"/>
        </w:rPr>
        <w:t xml:space="preserve"> žene hitnu kontracepciju trebaju uzeti što r</w:t>
      </w:r>
      <w:r w:rsidR="006E2782" w:rsidRPr="0009300B">
        <w:rPr>
          <w:rFonts w:ascii="Times New Roman" w:hAnsi="Times New Roman"/>
          <w:noProof/>
          <w:lang w:val="sr-Latn-ME"/>
        </w:rPr>
        <w:t>anije nakon nezaštićenog seksualnog</w:t>
      </w:r>
      <w:r w:rsidRPr="0009300B">
        <w:rPr>
          <w:rFonts w:ascii="Times New Roman" w:hAnsi="Times New Roman"/>
          <w:noProof/>
          <w:lang w:val="sr-Latn-ME"/>
        </w:rPr>
        <w:t xml:space="preserve"> odnosa, bez obzira na tjeles</w:t>
      </w:r>
      <w:r w:rsidR="006E2782" w:rsidRPr="0009300B">
        <w:rPr>
          <w:rFonts w:ascii="Times New Roman" w:hAnsi="Times New Roman"/>
          <w:noProof/>
          <w:lang w:val="sr-Latn-ME"/>
        </w:rPr>
        <w:t>nu masu ili B</w:t>
      </w:r>
      <w:r w:rsidRPr="0009300B">
        <w:rPr>
          <w:rFonts w:ascii="Times New Roman" w:hAnsi="Times New Roman"/>
          <w:noProof/>
          <w:lang w:val="sr-Latn-ME"/>
        </w:rPr>
        <w:t>M</w:t>
      </w:r>
      <w:r w:rsidR="006E2782" w:rsidRPr="0009300B">
        <w:rPr>
          <w:rFonts w:ascii="Times New Roman" w:hAnsi="Times New Roman"/>
          <w:noProof/>
          <w:lang w:val="sr-Latn-ME"/>
        </w:rPr>
        <w:t>I</w:t>
      </w:r>
      <w:r w:rsidRPr="0009300B">
        <w:rPr>
          <w:rFonts w:ascii="Times New Roman" w:hAnsi="Times New Roman"/>
          <w:noProof/>
          <w:lang w:val="sr-Latn-ME"/>
        </w:rPr>
        <w:t>.</w:t>
      </w:r>
      <w:r w:rsidR="006E2782" w:rsidRPr="0009300B">
        <w:rPr>
          <w:rFonts w:ascii="Times New Roman" w:hAnsi="Times New Roman"/>
          <w:noProof/>
          <w:lang w:val="sr-Latn-ME"/>
        </w:rPr>
        <w:t xml:space="preserve"> </w:t>
      </w:r>
    </w:p>
    <w:p w:rsidR="00650CDD" w:rsidRPr="0009300B" w:rsidRDefault="00650CDD" w:rsidP="00831F36">
      <w:pPr>
        <w:pStyle w:val="NoSpacing"/>
        <w:jc w:val="both"/>
        <w:rPr>
          <w:rFonts w:ascii="Times New Roman" w:hAnsi="Times New Roman"/>
          <w:noProof/>
          <w:lang w:val="sr-Latn-ME"/>
        </w:rPr>
      </w:pPr>
    </w:p>
    <w:p w:rsidR="00650CDD"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lastRenderedPageBreak/>
        <w:t>Nakon uzimanja ellaOne</w:t>
      </w:r>
      <w:r w:rsidR="00B07517" w:rsidRPr="0009300B">
        <w:rPr>
          <w:rFonts w:ascii="Times New Roman" w:hAnsi="Times New Roman"/>
          <w:noProof/>
          <w:lang w:val="sr-Latn-ME"/>
        </w:rPr>
        <w:t>,</w:t>
      </w:r>
      <w:r w:rsidRPr="0009300B">
        <w:rPr>
          <w:rFonts w:ascii="Times New Roman" w:hAnsi="Times New Roman"/>
          <w:noProof/>
          <w:lang w:val="sr-Latn-ME"/>
        </w:rPr>
        <w:t xml:space="preserve"> menstruacije ponekad mogu nastupiti nekoliko dana ranije ili kasnije od očekivanog. </w:t>
      </w:r>
      <w:r w:rsidR="006E5886" w:rsidRPr="0009300B">
        <w:rPr>
          <w:rFonts w:ascii="Times New Roman" w:hAnsi="Times New Roman"/>
          <w:noProof/>
          <w:lang w:val="sr-Latn-ME"/>
        </w:rPr>
        <w:t>Kod</w:t>
      </w:r>
      <w:r w:rsidRPr="0009300B">
        <w:rPr>
          <w:rFonts w:ascii="Times New Roman" w:hAnsi="Times New Roman"/>
          <w:noProof/>
          <w:lang w:val="sr-Latn-ME"/>
        </w:rPr>
        <w:t xml:space="preserve"> oko 7% žena menstruacij</w:t>
      </w:r>
      <w:r w:rsidR="009B6043" w:rsidRPr="0009300B">
        <w:rPr>
          <w:rFonts w:ascii="Times New Roman" w:hAnsi="Times New Roman"/>
          <w:noProof/>
          <w:lang w:val="sr-Latn-ME"/>
        </w:rPr>
        <w:t>a je</w:t>
      </w:r>
      <w:r w:rsidRPr="0009300B">
        <w:rPr>
          <w:rFonts w:ascii="Times New Roman" w:hAnsi="Times New Roman"/>
          <w:noProof/>
          <w:lang w:val="sr-Latn-ME"/>
        </w:rPr>
        <w:t xml:space="preserve"> nastup</w:t>
      </w:r>
      <w:r w:rsidR="009B6043" w:rsidRPr="0009300B">
        <w:rPr>
          <w:rFonts w:ascii="Times New Roman" w:hAnsi="Times New Roman"/>
          <w:noProof/>
          <w:lang w:val="sr-Latn-ME"/>
        </w:rPr>
        <w:t>ila</w:t>
      </w:r>
      <w:r w:rsidRPr="0009300B">
        <w:rPr>
          <w:rFonts w:ascii="Times New Roman" w:hAnsi="Times New Roman"/>
          <w:noProof/>
          <w:lang w:val="sr-Latn-ME"/>
        </w:rPr>
        <w:t xml:space="preserve"> više od 7 dana ranije od očekivanog. </w:t>
      </w:r>
      <w:r w:rsidR="006E5886" w:rsidRPr="0009300B">
        <w:rPr>
          <w:rFonts w:ascii="Times New Roman" w:hAnsi="Times New Roman"/>
          <w:noProof/>
          <w:lang w:val="sr-Latn-ME"/>
        </w:rPr>
        <w:t>Kod</w:t>
      </w:r>
      <w:r w:rsidRPr="0009300B">
        <w:rPr>
          <w:rFonts w:ascii="Times New Roman" w:hAnsi="Times New Roman"/>
          <w:noProof/>
          <w:lang w:val="sr-Latn-ME"/>
        </w:rPr>
        <w:t xml:space="preserve"> 18,5% žena kašnjenje je </w:t>
      </w:r>
      <w:r w:rsidR="009B6043" w:rsidRPr="0009300B">
        <w:rPr>
          <w:rFonts w:ascii="Times New Roman" w:hAnsi="Times New Roman"/>
          <w:noProof/>
          <w:lang w:val="sr-Latn-ME"/>
        </w:rPr>
        <w:t xml:space="preserve">bilo </w:t>
      </w:r>
      <w:r w:rsidRPr="0009300B">
        <w:rPr>
          <w:rFonts w:ascii="Times New Roman" w:hAnsi="Times New Roman"/>
          <w:noProof/>
          <w:lang w:val="sr-Latn-ME"/>
        </w:rPr>
        <w:t xml:space="preserve">duže od 7 dana, a </w:t>
      </w:r>
      <w:r w:rsidR="006E5886" w:rsidRPr="0009300B">
        <w:rPr>
          <w:rFonts w:ascii="Times New Roman" w:hAnsi="Times New Roman"/>
          <w:noProof/>
          <w:lang w:val="sr-Latn-ME"/>
        </w:rPr>
        <w:t>kod</w:t>
      </w:r>
      <w:r w:rsidRPr="0009300B">
        <w:rPr>
          <w:rFonts w:ascii="Times New Roman" w:hAnsi="Times New Roman"/>
          <w:noProof/>
          <w:lang w:val="sr-Latn-ME"/>
        </w:rPr>
        <w:t xml:space="preserve"> 4 % žena kašnjenje je </w:t>
      </w:r>
      <w:r w:rsidR="009B6043" w:rsidRPr="0009300B">
        <w:rPr>
          <w:rFonts w:ascii="Times New Roman" w:hAnsi="Times New Roman"/>
          <w:noProof/>
          <w:lang w:val="sr-Latn-ME"/>
        </w:rPr>
        <w:t xml:space="preserve">bilo </w:t>
      </w:r>
      <w:r w:rsidRPr="0009300B">
        <w:rPr>
          <w:rFonts w:ascii="Times New Roman" w:hAnsi="Times New Roman"/>
          <w:noProof/>
          <w:lang w:val="sr-Latn-ME"/>
        </w:rPr>
        <w:t>duže od 20 dana.</w:t>
      </w:r>
    </w:p>
    <w:p w:rsidR="009B6043" w:rsidRPr="0009300B" w:rsidRDefault="009B6043" w:rsidP="00831F36">
      <w:pPr>
        <w:pStyle w:val="NoSpacing"/>
        <w:jc w:val="both"/>
        <w:rPr>
          <w:rFonts w:ascii="Times New Roman" w:hAnsi="Times New Roman"/>
          <w:noProof/>
          <w:lang w:val="sr-Latn-ME"/>
        </w:rPr>
      </w:pPr>
    </w:p>
    <w:p w:rsidR="009B6043" w:rsidRPr="0009300B" w:rsidRDefault="009B6043" w:rsidP="00831F36">
      <w:pPr>
        <w:pStyle w:val="NoSpacing"/>
        <w:jc w:val="both"/>
        <w:rPr>
          <w:rFonts w:ascii="Times New Roman" w:hAnsi="Times New Roman"/>
          <w:noProof/>
          <w:lang w:val="sr-Latn-ME"/>
        </w:rPr>
      </w:pPr>
      <w:r w:rsidRPr="0009300B">
        <w:rPr>
          <w:rFonts w:ascii="Times New Roman" w:hAnsi="Times New Roman"/>
          <w:noProof/>
          <w:lang w:val="sr-Latn-ME"/>
        </w:rPr>
        <w:t>Ne preporučuje se istovremeno uzimanje ulipristal acetata i hi</w:t>
      </w:r>
      <w:r w:rsidR="0061619E" w:rsidRPr="0009300B">
        <w:rPr>
          <w:rFonts w:ascii="Times New Roman" w:hAnsi="Times New Roman"/>
          <w:noProof/>
          <w:lang w:val="sr-Latn-ME"/>
        </w:rPr>
        <w:t>t</w:t>
      </w:r>
      <w:r w:rsidRPr="0009300B">
        <w:rPr>
          <w:rFonts w:ascii="Times New Roman" w:hAnsi="Times New Roman"/>
          <w:noProof/>
          <w:lang w:val="sr-Latn-ME"/>
        </w:rPr>
        <w:t>ne kontracepcije koja sadrži levonorgestrel (vidjeti odjeljak  4.5).</w:t>
      </w:r>
    </w:p>
    <w:p w:rsidR="009B6043" w:rsidRPr="0009300B" w:rsidRDefault="009B6043" w:rsidP="00831F36">
      <w:pPr>
        <w:pStyle w:val="NoSpacing"/>
        <w:jc w:val="both"/>
        <w:rPr>
          <w:rFonts w:ascii="Times New Roman" w:hAnsi="Times New Roman"/>
          <w:noProof/>
          <w:lang w:val="sr-Latn-ME"/>
        </w:rPr>
      </w:pPr>
    </w:p>
    <w:p w:rsidR="009B6043" w:rsidRPr="0009300B" w:rsidRDefault="009B6043"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Kontracepcija nakon uzimanja ellaOne</w:t>
      </w:r>
    </w:p>
    <w:p w:rsidR="009B6043" w:rsidRPr="0009300B" w:rsidRDefault="009B6043" w:rsidP="00831F36">
      <w:pPr>
        <w:pStyle w:val="NoSpacing"/>
        <w:jc w:val="both"/>
        <w:rPr>
          <w:rFonts w:ascii="Times New Roman" w:hAnsi="Times New Roman"/>
          <w:noProof/>
          <w:lang w:val="sr-Latn-ME"/>
        </w:rPr>
      </w:pPr>
    </w:p>
    <w:p w:rsidR="00BC75D5" w:rsidRPr="0009300B" w:rsidRDefault="009B6043" w:rsidP="00831F36">
      <w:pPr>
        <w:pStyle w:val="NoSpacing"/>
        <w:jc w:val="both"/>
        <w:rPr>
          <w:rFonts w:ascii="Times New Roman" w:hAnsi="Times New Roman"/>
          <w:noProof/>
          <w:lang w:val="sr-Latn-ME"/>
        </w:rPr>
      </w:pPr>
      <w:r w:rsidRPr="0009300B">
        <w:rPr>
          <w:rFonts w:ascii="Times New Roman" w:hAnsi="Times New Roman"/>
          <w:noProof/>
          <w:lang w:val="sr-Latn-ME"/>
        </w:rPr>
        <w:t>ellaOne je hitna kontracepcija koja smanjuje rizik od trudnoće nakon nezaštićenog seksualnog odnosa, ali ne štiti od</w:t>
      </w:r>
      <w:r w:rsidR="0061619E" w:rsidRPr="0009300B">
        <w:rPr>
          <w:rFonts w:ascii="Times New Roman" w:hAnsi="Times New Roman"/>
          <w:noProof/>
          <w:lang w:val="sr-Latn-ME"/>
        </w:rPr>
        <w:t xml:space="preserve"> začeća kod sljedećih seksualnih odnosa. Zato bi žene trebalo savjetovati da nakon uzimanja hitne kontracepcije upotrebljavaju pouzdano mehaničko kontraceptivno sredstvo do sljedeće </w:t>
      </w:r>
      <w:r w:rsidR="0075715F" w:rsidRPr="0009300B">
        <w:rPr>
          <w:rFonts w:ascii="Times New Roman" w:hAnsi="Times New Roman"/>
          <w:noProof/>
          <w:lang w:val="sr-Latn-ME"/>
        </w:rPr>
        <w:t xml:space="preserve"> </w:t>
      </w:r>
      <w:r w:rsidR="0061619E" w:rsidRPr="0009300B">
        <w:rPr>
          <w:rFonts w:ascii="Times New Roman" w:hAnsi="Times New Roman"/>
          <w:noProof/>
          <w:lang w:val="sr-Latn-ME"/>
        </w:rPr>
        <w:t xml:space="preserve">menstruacije. </w:t>
      </w:r>
    </w:p>
    <w:p w:rsidR="0075715F" w:rsidRPr="0009300B" w:rsidRDefault="0075715F" w:rsidP="00831F36">
      <w:pPr>
        <w:pStyle w:val="NoSpacing"/>
        <w:jc w:val="both"/>
        <w:rPr>
          <w:rFonts w:ascii="Times New Roman" w:hAnsi="Times New Roman"/>
          <w:noProof/>
          <w:lang w:val="sr-Latn-ME"/>
        </w:rPr>
      </w:pPr>
    </w:p>
    <w:p w:rsidR="009B6043" w:rsidRPr="0009300B" w:rsidRDefault="0061619E" w:rsidP="00831F36">
      <w:pPr>
        <w:pStyle w:val="NoSpacing"/>
        <w:jc w:val="both"/>
        <w:rPr>
          <w:rFonts w:ascii="Times New Roman" w:hAnsi="Times New Roman"/>
          <w:noProof/>
          <w:lang w:val="sr-Latn-ME"/>
        </w:rPr>
      </w:pPr>
      <w:r w:rsidRPr="0009300B">
        <w:rPr>
          <w:rFonts w:ascii="Times New Roman" w:hAnsi="Times New Roman"/>
          <w:noProof/>
          <w:lang w:val="sr-Latn-ME"/>
        </w:rPr>
        <w:t>Premda uzimanje ellaOne ne kontraindikuje daljnju primjenu redovne hormonalne kontracepcije, ellaOne može smanjiti njeno kontraceptivno dejstvo (vidjeti odjeljak 4.5). Zato žena nakon uzimanja ellaOne može početi ili nastaviti sa korišćenjem hormonalne kontracepcije, međutim</w:t>
      </w:r>
      <w:r w:rsidR="00F550A7" w:rsidRPr="0009300B">
        <w:rPr>
          <w:rFonts w:ascii="Times New Roman" w:hAnsi="Times New Roman"/>
          <w:noProof/>
          <w:lang w:val="sr-Latn-ME"/>
        </w:rPr>
        <w:t>,</w:t>
      </w:r>
      <w:r w:rsidRPr="0009300B">
        <w:rPr>
          <w:rFonts w:ascii="Times New Roman" w:hAnsi="Times New Roman"/>
          <w:noProof/>
          <w:lang w:val="sr-Latn-ME"/>
        </w:rPr>
        <w:t xml:space="preserve"> treba je savjetovati da do sljedeće menstruacije koristi pouzdano mehaničko kontraceptivno sredstvo.</w:t>
      </w:r>
    </w:p>
    <w:p w:rsidR="0061619E" w:rsidRPr="0009300B" w:rsidRDefault="0061619E" w:rsidP="00831F36">
      <w:pPr>
        <w:pStyle w:val="NoSpacing"/>
        <w:jc w:val="both"/>
        <w:rPr>
          <w:rFonts w:ascii="Times New Roman" w:hAnsi="Times New Roman"/>
          <w:noProof/>
          <w:lang w:val="sr-Latn-ME"/>
        </w:rPr>
      </w:pPr>
    </w:p>
    <w:p w:rsidR="0061619E" w:rsidRPr="0009300B" w:rsidRDefault="0061619E"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 xml:space="preserve">Posebne </w:t>
      </w:r>
      <w:r w:rsidR="000649C2" w:rsidRPr="0009300B">
        <w:rPr>
          <w:rFonts w:ascii="Times New Roman" w:hAnsi="Times New Roman"/>
          <w:noProof/>
          <w:u w:val="single"/>
          <w:lang w:val="sr-Latn-ME"/>
        </w:rPr>
        <w:t>populacije</w:t>
      </w:r>
    </w:p>
    <w:p w:rsidR="00845226" w:rsidRPr="0009300B" w:rsidRDefault="00650CDD"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   </w:t>
      </w:r>
    </w:p>
    <w:p w:rsidR="00650CDD"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Istovr</w:t>
      </w:r>
      <w:r w:rsidR="00AA7BAC" w:rsidRPr="0009300B">
        <w:rPr>
          <w:rFonts w:ascii="Times New Roman" w:hAnsi="Times New Roman"/>
          <w:noProof/>
          <w:lang w:val="sr-Latn-ME"/>
        </w:rPr>
        <w:t>e</w:t>
      </w:r>
      <w:r w:rsidRPr="0009300B">
        <w:rPr>
          <w:rFonts w:ascii="Times New Roman" w:hAnsi="Times New Roman"/>
          <w:noProof/>
          <w:lang w:val="sr-Latn-ME"/>
        </w:rPr>
        <w:t>mena</w:t>
      </w:r>
      <w:r w:rsidR="00650CDD" w:rsidRPr="0009300B">
        <w:rPr>
          <w:rFonts w:ascii="Times New Roman" w:hAnsi="Times New Roman"/>
          <w:noProof/>
          <w:lang w:val="sr-Latn-ME"/>
        </w:rPr>
        <w:t xml:space="preserve"> primjena ellaOne s induktorima CYP3A4 </w:t>
      </w:r>
      <w:r w:rsidR="00B07517" w:rsidRPr="0009300B">
        <w:rPr>
          <w:rFonts w:ascii="Times New Roman" w:hAnsi="Times New Roman"/>
          <w:noProof/>
          <w:lang w:val="sr-Latn-ME"/>
        </w:rPr>
        <w:t xml:space="preserve">se </w:t>
      </w:r>
      <w:r w:rsidR="00650CDD" w:rsidRPr="0009300B">
        <w:rPr>
          <w:rFonts w:ascii="Times New Roman" w:hAnsi="Times New Roman"/>
          <w:noProof/>
          <w:lang w:val="sr-Latn-ME"/>
        </w:rPr>
        <w:t xml:space="preserve">ne preporučuje zbog interakcija (npr. rifampicin, fenitoin, fenobarbital, karbamazepin, efavirenz, fosfenitoin, nevirapin, okskarbazepin, primidon, rifabutin, biljni </w:t>
      </w:r>
      <w:r w:rsidR="00056908" w:rsidRPr="0009300B">
        <w:rPr>
          <w:rFonts w:ascii="Times New Roman" w:hAnsi="Times New Roman"/>
          <w:noProof/>
          <w:lang w:val="sr-Latn-ME"/>
        </w:rPr>
        <w:t>preparati</w:t>
      </w:r>
      <w:r w:rsidR="00650CDD" w:rsidRPr="0009300B">
        <w:rPr>
          <w:rFonts w:ascii="Times New Roman" w:hAnsi="Times New Roman"/>
          <w:noProof/>
          <w:lang w:val="sr-Latn-ME"/>
        </w:rPr>
        <w:t xml:space="preserve"> koji sadrže </w:t>
      </w:r>
      <w:r w:rsidRPr="0009300B">
        <w:rPr>
          <w:rFonts w:ascii="Times New Roman" w:hAnsi="Times New Roman"/>
          <w:noProof/>
          <w:lang w:val="sr-Latn-ME"/>
        </w:rPr>
        <w:t>kantarion</w:t>
      </w:r>
      <w:r w:rsidR="00650CDD" w:rsidRPr="0009300B">
        <w:rPr>
          <w:rFonts w:ascii="Times New Roman" w:hAnsi="Times New Roman"/>
          <w:noProof/>
          <w:lang w:val="sr-Latn-ME"/>
        </w:rPr>
        <w:t xml:space="preserve">/Hypericum perforatum, dugotrajna primjena ritonavira). </w:t>
      </w:r>
    </w:p>
    <w:p w:rsidR="00EC1BC2" w:rsidRPr="0009300B" w:rsidRDefault="00EC1BC2" w:rsidP="00831F36">
      <w:pPr>
        <w:pStyle w:val="NoSpacing"/>
        <w:jc w:val="both"/>
        <w:rPr>
          <w:rFonts w:ascii="Times New Roman" w:hAnsi="Times New Roman"/>
          <w:noProof/>
          <w:lang w:val="sr-Latn-ME"/>
        </w:rPr>
      </w:pPr>
    </w:p>
    <w:p w:rsidR="000649C2" w:rsidRPr="0009300B" w:rsidRDefault="000649C2" w:rsidP="00831F36">
      <w:pPr>
        <w:pStyle w:val="NoSpacing"/>
        <w:jc w:val="both"/>
        <w:rPr>
          <w:rFonts w:ascii="Times New Roman" w:hAnsi="Times New Roman"/>
          <w:noProof/>
          <w:lang w:val="sr-Latn-ME"/>
        </w:rPr>
      </w:pPr>
      <w:r w:rsidRPr="0009300B">
        <w:rPr>
          <w:rFonts w:ascii="Times New Roman" w:hAnsi="Times New Roman"/>
          <w:noProof/>
          <w:lang w:val="sr-Latn-ME"/>
        </w:rPr>
        <w:t>Ne preporučuje se primjena kod žena s teškim oblikom astme koje se liječe oralnim glukokortikoidima.</w:t>
      </w:r>
    </w:p>
    <w:p w:rsidR="00EC1BC2" w:rsidRPr="0009300B" w:rsidRDefault="00EC1BC2" w:rsidP="00831F36">
      <w:pPr>
        <w:pStyle w:val="NoSpacing"/>
        <w:jc w:val="both"/>
        <w:rPr>
          <w:rFonts w:ascii="Times New Roman" w:hAnsi="Times New Roman"/>
          <w:noProof/>
          <w:lang w:val="sr-Latn-ME"/>
        </w:rPr>
      </w:pPr>
    </w:p>
    <w:p w:rsidR="000649C2" w:rsidRPr="0009300B" w:rsidRDefault="000649C2"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Ovaj lijek sadrži laktozu. Pacijentkinje s rijetkim nasljednim poremećajem nepodnošenja galaktoze, nedostatkom Lapp laktaze ili malapsorpcijom glukoze i galaktoze ne bi trebale </w:t>
      </w:r>
      <w:r w:rsidR="00F550A7" w:rsidRPr="0009300B">
        <w:rPr>
          <w:rFonts w:ascii="Times New Roman" w:hAnsi="Times New Roman"/>
          <w:noProof/>
          <w:lang w:val="sr-Latn-ME"/>
        </w:rPr>
        <w:t xml:space="preserve">da uzimaju </w:t>
      </w:r>
      <w:r w:rsidRPr="0009300B">
        <w:rPr>
          <w:rFonts w:ascii="Times New Roman" w:hAnsi="Times New Roman"/>
          <w:noProof/>
          <w:lang w:val="sr-Latn-ME"/>
        </w:rPr>
        <w:t>ovaj lijek.</w:t>
      </w:r>
    </w:p>
    <w:p w:rsidR="006E5886" w:rsidRPr="0009300B" w:rsidRDefault="006E5886" w:rsidP="00831F36">
      <w:pPr>
        <w:pStyle w:val="NoSpacing"/>
        <w:jc w:val="both"/>
        <w:rPr>
          <w:rFonts w:ascii="Times New Roman" w:hAnsi="Times New Roman"/>
          <w:noProof/>
          <w:lang w:val="sr-Latn-ME"/>
        </w:rPr>
      </w:pPr>
    </w:p>
    <w:p w:rsidR="00411B4B" w:rsidRPr="0009300B" w:rsidRDefault="00411B4B" w:rsidP="00831F36">
      <w:pPr>
        <w:tabs>
          <w:tab w:val="left" w:pos="540"/>
          <w:tab w:val="left" w:pos="569"/>
        </w:tabs>
        <w:jc w:val="both"/>
        <w:rPr>
          <w:b/>
          <w:bCs/>
          <w:sz w:val="22"/>
          <w:szCs w:val="22"/>
        </w:rPr>
      </w:pPr>
      <w:r w:rsidRPr="0009300B">
        <w:rPr>
          <w:b/>
          <w:bCs/>
          <w:sz w:val="22"/>
          <w:szCs w:val="22"/>
        </w:rPr>
        <w:t xml:space="preserve">4.5. </w:t>
      </w:r>
      <w:r w:rsidR="00480FB1" w:rsidRPr="0009300B">
        <w:rPr>
          <w:b/>
          <w:bCs/>
          <w:sz w:val="22"/>
          <w:szCs w:val="22"/>
        </w:rPr>
        <w:tab/>
      </w:r>
      <w:r w:rsidRPr="0009300B">
        <w:rPr>
          <w:b/>
          <w:bCs/>
          <w:sz w:val="22"/>
          <w:szCs w:val="22"/>
        </w:rPr>
        <w:t>Interakcije sa drugim ljekovima i druge vrste interakcija</w:t>
      </w:r>
    </w:p>
    <w:p w:rsidR="006E5886" w:rsidRPr="0009300B" w:rsidRDefault="006E5886" w:rsidP="00831F36">
      <w:pPr>
        <w:pStyle w:val="NoSpacing"/>
        <w:tabs>
          <w:tab w:val="left" w:pos="567"/>
        </w:tabs>
        <w:jc w:val="both"/>
        <w:rPr>
          <w:rFonts w:ascii="Times New Roman" w:hAnsi="Times New Roman"/>
          <w:noProof/>
          <w:u w:val="single"/>
          <w:lang w:val="sr-Latn-ME"/>
        </w:rPr>
      </w:pPr>
    </w:p>
    <w:p w:rsidR="006E5886" w:rsidRPr="0009300B" w:rsidRDefault="006E5886" w:rsidP="00831F36">
      <w:pPr>
        <w:pStyle w:val="NoSpacing"/>
        <w:tabs>
          <w:tab w:val="left" w:pos="567"/>
        </w:tabs>
        <w:jc w:val="both"/>
        <w:rPr>
          <w:rFonts w:ascii="Times New Roman" w:hAnsi="Times New Roman"/>
          <w:noProof/>
          <w:lang w:val="sr-Latn-ME"/>
        </w:rPr>
      </w:pPr>
      <w:r w:rsidRPr="0009300B">
        <w:rPr>
          <w:rFonts w:ascii="Times New Roman" w:hAnsi="Times New Roman"/>
          <w:noProof/>
          <w:u w:val="single"/>
          <w:lang w:val="sr-Latn-ME"/>
        </w:rPr>
        <w:t>Mogućnost utic</w:t>
      </w:r>
      <w:r w:rsidR="00B07517" w:rsidRPr="0009300B">
        <w:rPr>
          <w:rFonts w:ascii="Times New Roman" w:hAnsi="Times New Roman"/>
          <w:noProof/>
          <w:u w:val="single"/>
          <w:lang w:val="sr-Latn-ME"/>
        </w:rPr>
        <w:t>aja drugih l</w:t>
      </w:r>
      <w:r w:rsidRPr="0009300B">
        <w:rPr>
          <w:rFonts w:ascii="Times New Roman" w:hAnsi="Times New Roman"/>
          <w:noProof/>
          <w:u w:val="single"/>
          <w:lang w:val="sr-Latn-ME"/>
        </w:rPr>
        <w:t>jekova na ulipristal acetat</w:t>
      </w:r>
    </w:p>
    <w:p w:rsidR="006E5886" w:rsidRPr="0009300B" w:rsidRDefault="006E5886" w:rsidP="00831F36">
      <w:pPr>
        <w:pStyle w:val="NoSpacing"/>
        <w:jc w:val="both"/>
        <w:rPr>
          <w:rFonts w:ascii="Times New Roman" w:hAnsi="Times New Roman"/>
          <w:noProof/>
          <w:lang w:val="sr-Latn-ME"/>
        </w:rPr>
      </w:pPr>
    </w:p>
    <w:p w:rsidR="007D60B6"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Ulipristal acetat se metaboliše putem CYP3A4 </w:t>
      </w:r>
      <w:r w:rsidRPr="0009300B">
        <w:rPr>
          <w:rFonts w:ascii="Times New Roman" w:hAnsi="Times New Roman"/>
          <w:i/>
          <w:noProof/>
          <w:lang w:val="sr-Latn-ME"/>
        </w:rPr>
        <w:t>in vitro</w:t>
      </w:r>
      <w:r w:rsidRPr="0009300B">
        <w:rPr>
          <w:rFonts w:ascii="Times New Roman" w:hAnsi="Times New Roman"/>
          <w:noProof/>
          <w:lang w:val="sr-Latn-ME"/>
        </w:rPr>
        <w:t xml:space="preserve">. </w:t>
      </w:r>
    </w:p>
    <w:p w:rsidR="007D60B6" w:rsidRPr="0009300B" w:rsidRDefault="00D859F6" w:rsidP="00831F36">
      <w:pPr>
        <w:pStyle w:val="NoSpacing"/>
        <w:numPr>
          <w:ilvl w:val="0"/>
          <w:numId w:val="12"/>
        </w:numPr>
        <w:tabs>
          <w:tab w:val="left" w:pos="284"/>
        </w:tabs>
        <w:ind w:left="284" w:hanging="284"/>
        <w:jc w:val="both"/>
        <w:rPr>
          <w:rFonts w:ascii="Times New Roman" w:hAnsi="Times New Roman"/>
          <w:i/>
          <w:noProof/>
          <w:lang w:val="sr-Latn-ME"/>
        </w:rPr>
      </w:pPr>
      <w:r w:rsidRPr="0009300B">
        <w:rPr>
          <w:rFonts w:ascii="Times New Roman" w:hAnsi="Times New Roman"/>
          <w:noProof/>
          <w:lang w:val="sr-Latn-ME"/>
        </w:rPr>
        <w:t xml:space="preserve"> </w:t>
      </w:r>
      <w:r w:rsidR="007D60B6" w:rsidRPr="0009300B">
        <w:rPr>
          <w:rFonts w:ascii="Times New Roman" w:hAnsi="Times New Roman"/>
          <w:i/>
          <w:noProof/>
          <w:lang w:val="sr-Latn-ME"/>
        </w:rPr>
        <w:t>Induktori CYP3A4</w:t>
      </w:r>
    </w:p>
    <w:p w:rsidR="007D60B6" w:rsidRPr="0009300B" w:rsidRDefault="007D60B6" w:rsidP="00831F36">
      <w:pPr>
        <w:pStyle w:val="NoSpacing"/>
        <w:ind w:left="360"/>
        <w:jc w:val="both"/>
        <w:rPr>
          <w:rFonts w:ascii="Times New Roman" w:hAnsi="Times New Roman"/>
          <w:noProof/>
          <w:lang w:val="sr-Latn-ME"/>
        </w:rPr>
      </w:pPr>
      <w:r w:rsidRPr="0009300B">
        <w:rPr>
          <w:rFonts w:ascii="Times New Roman" w:hAnsi="Times New Roman"/>
          <w:i/>
          <w:noProof/>
          <w:lang w:val="sr-Latn-ME"/>
        </w:rPr>
        <w:t>In vivo</w:t>
      </w:r>
      <w:r w:rsidRPr="0009300B">
        <w:rPr>
          <w:rFonts w:ascii="Times New Roman" w:hAnsi="Times New Roman"/>
          <w:noProof/>
          <w:lang w:val="sr-Latn-ME"/>
        </w:rPr>
        <w:t xml:space="preserve"> rezultati pokazuju da primjena ulipristal acetata s jakim induktorima CYP3A4 kao što je rifampicin značajno smanjuje C</w:t>
      </w:r>
      <w:r w:rsidRPr="0009300B">
        <w:rPr>
          <w:rFonts w:ascii="Times New Roman" w:hAnsi="Times New Roman"/>
          <w:noProof/>
          <w:vertAlign w:val="subscript"/>
          <w:lang w:val="sr-Latn-ME"/>
        </w:rPr>
        <w:t>max</w:t>
      </w:r>
      <w:r w:rsidRPr="0009300B">
        <w:rPr>
          <w:rFonts w:ascii="Times New Roman" w:hAnsi="Times New Roman"/>
          <w:noProof/>
          <w:lang w:val="sr-Latn-ME"/>
        </w:rPr>
        <w:t xml:space="preserve"> i </w:t>
      </w:r>
      <w:r w:rsidR="00A41236" w:rsidRPr="0009300B">
        <w:rPr>
          <w:rFonts w:ascii="Times New Roman" w:hAnsi="Times New Roman"/>
          <w:noProof/>
          <w:lang w:val="sr-Latn-ME"/>
        </w:rPr>
        <w:t xml:space="preserve">PIK </w:t>
      </w:r>
      <w:r w:rsidRPr="0009300B">
        <w:rPr>
          <w:rFonts w:ascii="Times New Roman" w:hAnsi="Times New Roman"/>
          <w:noProof/>
          <w:lang w:val="sr-Latn-ME"/>
        </w:rPr>
        <w:t>ulipristal acetata za 90% ili više</w:t>
      </w:r>
      <w:r w:rsidR="00A41236" w:rsidRPr="0009300B">
        <w:rPr>
          <w:rFonts w:ascii="Times New Roman" w:hAnsi="Times New Roman"/>
          <w:noProof/>
          <w:lang w:val="sr-Latn-ME"/>
        </w:rPr>
        <w:t>,</w:t>
      </w:r>
      <w:r w:rsidRPr="0009300B">
        <w:rPr>
          <w:rFonts w:ascii="Times New Roman" w:hAnsi="Times New Roman"/>
          <w:noProof/>
          <w:lang w:val="sr-Latn-ME"/>
        </w:rPr>
        <w:t xml:space="preserve"> i smanjuje poluvrijeme eliminacije ulipristal acetata za 2,2 puta</w:t>
      </w:r>
      <w:r w:rsidR="00A41236" w:rsidRPr="0009300B">
        <w:rPr>
          <w:rFonts w:ascii="Times New Roman" w:hAnsi="Times New Roman"/>
          <w:noProof/>
          <w:lang w:val="sr-Latn-ME"/>
        </w:rPr>
        <w:t>,</w:t>
      </w:r>
      <w:r w:rsidRPr="0009300B">
        <w:rPr>
          <w:rFonts w:ascii="Times New Roman" w:hAnsi="Times New Roman"/>
          <w:noProof/>
          <w:lang w:val="sr-Latn-ME"/>
        </w:rPr>
        <w:t xml:space="preserve"> što približno odgovara smanjenju izlaganja ulipristal acetatu za 10 puta. Istovremena primjena ellaOne s induktorima CYP3A4 (npr. rifampicin, fenitoin, fenobarbital, karbamazepin, efavirenz, fosfenitoin, nevirapin, okskarbazepin, primidon, rifabutin, biljni preparati koji sadrže kantarion/</w:t>
      </w:r>
      <w:r w:rsidRPr="0009300B">
        <w:rPr>
          <w:rFonts w:ascii="Times New Roman" w:hAnsi="Times New Roman"/>
          <w:i/>
          <w:noProof/>
          <w:lang w:val="sr-Latn-ME"/>
        </w:rPr>
        <w:t>Hypericum perforatum</w:t>
      </w:r>
      <w:r w:rsidRPr="0009300B">
        <w:rPr>
          <w:rFonts w:ascii="Times New Roman" w:hAnsi="Times New Roman"/>
          <w:noProof/>
          <w:lang w:val="sr-Latn-ME"/>
        </w:rPr>
        <w:t>) stoga smanjuje koncentracije ulipristal acetata u plazmi i može rezultovati smanjenjem efikasnosti ellaOne te se zbog toga ne preporučuje (vidjeti dio 4.4.).</w:t>
      </w:r>
    </w:p>
    <w:p w:rsidR="006E5886" w:rsidRPr="0009300B" w:rsidRDefault="006E5886" w:rsidP="00831F36">
      <w:pPr>
        <w:pStyle w:val="NoSpacing"/>
        <w:jc w:val="both"/>
        <w:rPr>
          <w:rFonts w:ascii="Times New Roman" w:hAnsi="Times New Roman"/>
          <w:noProof/>
          <w:lang w:val="sr-Latn-ME"/>
        </w:rPr>
      </w:pPr>
    </w:p>
    <w:p w:rsidR="006E5886" w:rsidRPr="0009300B" w:rsidRDefault="00D859F6" w:rsidP="00831F36">
      <w:pPr>
        <w:pStyle w:val="NoSpacing"/>
        <w:numPr>
          <w:ilvl w:val="0"/>
          <w:numId w:val="10"/>
        </w:numPr>
        <w:ind w:left="284" w:hanging="284"/>
        <w:jc w:val="both"/>
        <w:rPr>
          <w:rFonts w:ascii="Times New Roman" w:hAnsi="Times New Roman"/>
          <w:i/>
          <w:noProof/>
          <w:lang w:val="sr-Latn-ME"/>
        </w:rPr>
      </w:pPr>
      <w:r w:rsidRPr="0009300B">
        <w:rPr>
          <w:rFonts w:ascii="Times New Roman" w:hAnsi="Times New Roman"/>
          <w:i/>
          <w:noProof/>
          <w:lang w:val="sr-Latn-ME"/>
        </w:rPr>
        <w:t xml:space="preserve"> </w:t>
      </w:r>
      <w:r w:rsidR="006E5886" w:rsidRPr="0009300B">
        <w:rPr>
          <w:rFonts w:ascii="Times New Roman" w:hAnsi="Times New Roman"/>
          <w:i/>
          <w:noProof/>
          <w:lang w:val="sr-Latn-ME"/>
        </w:rPr>
        <w:t>Inhibitori CYP3A4</w:t>
      </w:r>
    </w:p>
    <w:p w:rsidR="006E5886" w:rsidRPr="0009300B" w:rsidRDefault="006E5886" w:rsidP="00831F36">
      <w:pPr>
        <w:pStyle w:val="NoSpacing"/>
        <w:ind w:left="360"/>
        <w:jc w:val="both"/>
        <w:rPr>
          <w:rFonts w:ascii="Times New Roman" w:hAnsi="Times New Roman"/>
          <w:noProof/>
          <w:lang w:val="sr-Latn-ME"/>
        </w:rPr>
      </w:pPr>
      <w:r w:rsidRPr="0009300B">
        <w:rPr>
          <w:rFonts w:ascii="Times New Roman" w:hAnsi="Times New Roman"/>
          <w:i/>
          <w:noProof/>
          <w:lang w:val="sr-Latn-ME"/>
        </w:rPr>
        <w:lastRenderedPageBreak/>
        <w:t>In vivo</w:t>
      </w:r>
      <w:r w:rsidRPr="0009300B">
        <w:rPr>
          <w:rFonts w:ascii="Times New Roman" w:hAnsi="Times New Roman"/>
          <w:noProof/>
          <w:lang w:val="sr-Latn-ME"/>
        </w:rPr>
        <w:t xml:space="preserve"> rezultati pokazuju da primjena ulipristal acetata s jakim i umjerenim inhibitorima CYP3A4 povećava C</w:t>
      </w:r>
      <w:r w:rsidRPr="0009300B">
        <w:rPr>
          <w:rFonts w:ascii="Times New Roman" w:hAnsi="Times New Roman"/>
          <w:noProof/>
          <w:vertAlign w:val="subscript"/>
          <w:lang w:val="sr-Latn-ME"/>
        </w:rPr>
        <w:t>max</w:t>
      </w:r>
      <w:r w:rsidRPr="0009300B">
        <w:rPr>
          <w:rFonts w:ascii="Times New Roman" w:hAnsi="Times New Roman"/>
          <w:noProof/>
          <w:lang w:val="sr-Latn-ME"/>
        </w:rPr>
        <w:t xml:space="preserve"> odnosno </w:t>
      </w:r>
      <w:r w:rsidR="00A41236" w:rsidRPr="0009300B">
        <w:rPr>
          <w:rFonts w:ascii="Times New Roman" w:hAnsi="Times New Roman"/>
          <w:noProof/>
          <w:lang w:val="sr-Latn-ME"/>
        </w:rPr>
        <w:t xml:space="preserve">PIK </w:t>
      </w:r>
      <w:r w:rsidRPr="0009300B">
        <w:rPr>
          <w:rFonts w:ascii="Times New Roman" w:hAnsi="Times New Roman"/>
          <w:noProof/>
          <w:lang w:val="sr-Latn-ME"/>
        </w:rPr>
        <w:t xml:space="preserve">ulipristal acetata do najviše 2 odnosno 5,9 puta. Nije vjerovatno da efekti CYP3A4 inhibitora imaju ikakve kliničke posljedice. </w:t>
      </w:r>
    </w:p>
    <w:p w:rsidR="00D859F6" w:rsidRPr="0009300B" w:rsidRDefault="00D859F6" w:rsidP="00831F36">
      <w:pPr>
        <w:pStyle w:val="NoSpacing"/>
        <w:ind w:left="360"/>
        <w:jc w:val="both"/>
        <w:rPr>
          <w:rFonts w:ascii="Times New Roman" w:hAnsi="Times New Roman"/>
          <w:noProof/>
          <w:lang w:val="sr-Latn-ME"/>
        </w:rPr>
      </w:pPr>
    </w:p>
    <w:p w:rsidR="006E5886" w:rsidRPr="0009300B" w:rsidRDefault="006E5886" w:rsidP="00831F36">
      <w:pPr>
        <w:pStyle w:val="NoSpacing"/>
        <w:ind w:left="360"/>
        <w:jc w:val="both"/>
        <w:rPr>
          <w:rFonts w:ascii="Times New Roman" w:hAnsi="Times New Roman"/>
          <w:noProof/>
          <w:lang w:val="sr-Latn-ME"/>
        </w:rPr>
      </w:pPr>
      <w:r w:rsidRPr="0009300B">
        <w:rPr>
          <w:rFonts w:ascii="Times New Roman" w:hAnsi="Times New Roman"/>
          <w:noProof/>
          <w:lang w:val="sr-Latn-ME"/>
        </w:rPr>
        <w:t xml:space="preserve">Inhibitor CYP3A4, ritonavir, takođe može pri dugotrajnoj primjeni imati indukujući efekat na  CYP3A4. U takvim slučajevima ritonavir može sniziti koncentraciju ulipristal acetata u plazmi. Stoga se istovemena primjena ne preporučuje (vidjeti </w:t>
      </w:r>
      <w:r w:rsidR="00EC1BC2" w:rsidRPr="0009300B">
        <w:rPr>
          <w:rFonts w:ascii="Times New Roman" w:hAnsi="Times New Roman"/>
          <w:noProof/>
          <w:lang w:val="sr-Latn-ME"/>
        </w:rPr>
        <w:t>odjeljak</w:t>
      </w:r>
      <w:r w:rsidR="00CF132C" w:rsidRPr="0009300B">
        <w:rPr>
          <w:rFonts w:ascii="Times New Roman" w:hAnsi="Times New Roman"/>
          <w:noProof/>
          <w:lang w:val="sr-Latn-ME"/>
        </w:rPr>
        <w:t xml:space="preserve"> 4.4.</w:t>
      </w:r>
      <w:r w:rsidRPr="0009300B">
        <w:rPr>
          <w:rFonts w:ascii="Times New Roman" w:hAnsi="Times New Roman"/>
          <w:noProof/>
          <w:lang w:val="sr-Latn-ME"/>
        </w:rPr>
        <w:t xml:space="preserve">).  </w:t>
      </w:r>
    </w:p>
    <w:p w:rsidR="006E5886" w:rsidRPr="0009300B" w:rsidRDefault="006E5886" w:rsidP="00831F36">
      <w:pPr>
        <w:pStyle w:val="NoSpacing"/>
        <w:ind w:left="360"/>
        <w:jc w:val="both"/>
        <w:rPr>
          <w:rFonts w:ascii="Times New Roman" w:hAnsi="Times New Roman"/>
          <w:noProof/>
          <w:lang w:val="sr-Latn-ME"/>
        </w:rPr>
      </w:pPr>
      <w:r w:rsidRPr="0009300B">
        <w:rPr>
          <w:rFonts w:ascii="Times New Roman" w:hAnsi="Times New Roman"/>
          <w:noProof/>
          <w:lang w:val="sr-Latn-ME"/>
        </w:rPr>
        <w:t xml:space="preserve">Kako indukcija enzima postepeno slabi, </w:t>
      </w:r>
      <w:r w:rsidR="00AA7BAC" w:rsidRPr="0009300B">
        <w:rPr>
          <w:rFonts w:ascii="Times New Roman" w:hAnsi="Times New Roman"/>
          <w:noProof/>
          <w:lang w:val="sr-Latn-ME"/>
        </w:rPr>
        <w:t>efekti</w:t>
      </w:r>
      <w:r w:rsidRPr="0009300B">
        <w:rPr>
          <w:rFonts w:ascii="Times New Roman" w:hAnsi="Times New Roman"/>
          <w:noProof/>
          <w:lang w:val="sr-Latn-ME"/>
        </w:rPr>
        <w:t xml:space="preserve"> na koncentraciju ulipristal acetata u plazmi mogu se pojaviti čak i nakon što žena prekine uzimati lijek induktor enzima tokom prethodn</w:t>
      </w:r>
      <w:r w:rsidR="00AA7BAC" w:rsidRPr="0009300B">
        <w:rPr>
          <w:rFonts w:ascii="Times New Roman" w:hAnsi="Times New Roman"/>
          <w:noProof/>
          <w:lang w:val="sr-Latn-ME"/>
        </w:rPr>
        <w:t>e</w:t>
      </w:r>
      <w:r w:rsidRPr="0009300B">
        <w:rPr>
          <w:rFonts w:ascii="Times New Roman" w:hAnsi="Times New Roman"/>
          <w:noProof/>
          <w:lang w:val="sr-Latn-ME"/>
        </w:rPr>
        <w:t xml:space="preserve"> 2 – 3 </w:t>
      </w:r>
      <w:r w:rsidR="00AA7BAC" w:rsidRPr="0009300B">
        <w:rPr>
          <w:rFonts w:ascii="Times New Roman" w:hAnsi="Times New Roman"/>
          <w:noProof/>
          <w:lang w:val="sr-Latn-ME"/>
        </w:rPr>
        <w:t>sedmice</w:t>
      </w:r>
      <w:r w:rsidRPr="0009300B">
        <w:rPr>
          <w:rFonts w:ascii="Times New Roman" w:hAnsi="Times New Roman"/>
          <w:noProof/>
          <w:lang w:val="sr-Latn-ME"/>
        </w:rPr>
        <w:t>.</w:t>
      </w:r>
    </w:p>
    <w:p w:rsidR="006E5886" w:rsidRPr="0009300B" w:rsidRDefault="006E5886" w:rsidP="00831F36">
      <w:pPr>
        <w:pStyle w:val="NoSpacing"/>
        <w:jc w:val="both"/>
        <w:rPr>
          <w:rFonts w:ascii="Times New Roman" w:hAnsi="Times New Roman"/>
          <w:noProof/>
          <w:lang w:val="sr-Latn-ME"/>
        </w:rPr>
      </w:pPr>
    </w:p>
    <w:p w:rsidR="006E5886" w:rsidRPr="0009300B" w:rsidRDefault="006E5886" w:rsidP="00831F36">
      <w:pPr>
        <w:pStyle w:val="NoSpacing"/>
        <w:jc w:val="both"/>
        <w:rPr>
          <w:rFonts w:ascii="Times New Roman" w:hAnsi="Times New Roman"/>
          <w:i/>
          <w:noProof/>
          <w:lang w:val="sr-Latn-ME"/>
        </w:rPr>
      </w:pPr>
      <w:r w:rsidRPr="0009300B">
        <w:rPr>
          <w:rFonts w:ascii="Times New Roman" w:hAnsi="Times New Roman"/>
          <w:i/>
          <w:noProof/>
          <w:lang w:val="sr-Latn-ME"/>
        </w:rPr>
        <w:t>Ljekovi koji utiču na pH želuca</w:t>
      </w:r>
    </w:p>
    <w:p w:rsidR="006E5886"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Primjena ulipristal acetata (tableta</w:t>
      </w:r>
      <w:r w:rsidR="007D60B6" w:rsidRPr="0009300B">
        <w:rPr>
          <w:rFonts w:ascii="Times New Roman" w:hAnsi="Times New Roman"/>
          <w:noProof/>
          <w:lang w:val="sr-Latn-ME"/>
        </w:rPr>
        <w:t xml:space="preserve"> od 10 mg</w:t>
      </w:r>
      <w:r w:rsidRPr="0009300B">
        <w:rPr>
          <w:rFonts w:ascii="Times New Roman" w:hAnsi="Times New Roman"/>
          <w:noProof/>
          <w:lang w:val="sr-Latn-ME"/>
        </w:rPr>
        <w:t xml:space="preserve">) zajedno s inhibitorom protonske pumpe esomeprazolom (20 mg dnevno </w:t>
      </w:r>
      <w:r w:rsidR="00AA7BAC" w:rsidRPr="0009300B">
        <w:rPr>
          <w:rFonts w:ascii="Times New Roman" w:hAnsi="Times New Roman"/>
          <w:noProof/>
          <w:lang w:val="sr-Latn-ME"/>
        </w:rPr>
        <w:t>tokom</w:t>
      </w:r>
      <w:r w:rsidRPr="0009300B">
        <w:rPr>
          <w:rFonts w:ascii="Times New Roman" w:hAnsi="Times New Roman"/>
          <w:noProof/>
          <w:lang w:val="sr-Latn-ME"/>
        </w:rPr>
        <w:t xml:space="preserve"> 6 dana) rezultovala je s oko 65% nižom srednjom </w:t>
      </w:r>
      <w:r w:rsidR="00A41236" w:rsidRPr="0009300B">
        <w:rPr>
          <w:rFonts w:ascii="Times New Roman" w:hAnsi="Times New Roman"/>
          <w:noProof/>
          <w:lang w:val="sr-Latn-ME"/>
        </w:rPr>
        <w:t xml:space="preserve">vrijednošću </w:t>
      </w:r>
      <w:r w:rsidRPr="0009300B">
        <w:rPr>
          <w:rFonts w:ascii="Times New Roman" w:hAnsi="Times New Roman"/>
          <w:noProof/>
          <w:lang w:val="sr-Latn-ME"/>
        </w:rPr>
        <w:t>C</w:t>
      </w:r>
      <w:r w:rsidRPr="0009300B">
        <w:rPr>
          <w:rFonts w:ascii="Times New Roman" w:hAnsi="Times New Roman"/>
          <w:noProof/>
          <w:vertAlign w:val="subscript"/>
          <w:lang w:val="sr-Latn-ME"/>
        </w:rPr>
        <w:t>max</w:t>
      </w:r>
      <w:r w:rsidRPr="0009300B">
        <w:rPr>
          <w:rFonts w:ascii="Times New Roman" w:hAnsi="Times New Roman"/>
          <w:noProof/>
          <w:lang w:val="sr-Latn-ME"/>
        </w:rPr>
        <w:t>, kasnijim T</w:t>
      </w:r>
      <w:r w:rsidRPr="0009300B">
        <w:rPr>
          <w:rFonts w:ascii="Times New Roman" w:hAnsi="Times New Roman"/>
          <w:noProof/>
          <w:vertAlign w:val="subscript"/>
          <w:lang w:val="sr-Latn-ME"/>
        </w:rPr>
        <w:t>max</w:t>
      </w:r>
      <w:r w:rsidRPr="0009300B">
        <w:rPr>
          <w:rFonts w:ascii="Times New Roman" w:hAnsi="Times New Roman"/>
          <w:noProof/>
          <w:lang w:val="sr-Latn-ME"/>
        </w:rPr>
        <w:t xml:space="preserve"> (od medijana 0,75 sati do 1,0 sata) i 13% višom srednjom </w:t>
      </w:r>
      <w:r w:rsidR="00A41236" w:rsidRPr="0009300B">
        <w:rPr>
          <w:rFonts w:ascii="Times New Roman" w:hAnsi="Times New Roman"/>
          <w:noProof/>
          <w:lang w:val="sr-Latn-ME"/>
        </w:rPr>
        <w:t>vrijednošću PIK</w:t>
      </w:r>
      <w:r w:rsidRPr="0009300B">
        <w:rPr>
          <w:rFonts w:ascii="Times New Roman" w:hAnsi="Times New Roman"/>
          <w:noProof/>
          <w:lang w:val="sr-Latn-ME"/>
        </w:rPr>
        <w:t>-a. Klinički značaj te interakcije na primjenu pojedinačne doze ulipristal acetata kao hitnog kontraceptiva nije poznat.</w:t>
      </w:r>
    </w:p>
    <w:p w:rsidR="006E5886" w:rsidRPr="0009300B" w:rsidRDefault="006E5886" w:rsidP="00831F36">
      <w:pPr>
        <w:pStyle w:val="NoSpacing"/>
        <w:jc w:val="both"/>
        <w:rPr>
          <w:rFonts w:ascii="Times New Roman" w:hAnsi="Times New Roman"/>
          <w:noProof/>
          <w:lang w:val="sr-Latn-ME"/>
        </w:rPr>
      </w:pPr>
    </w:p>
    <w:p w:rsidR="006E5886" w:rsidRPr="0009300B" w:rsidRDefault="006E5886" w:rsidP="00831F36">
      <w:pPr>
        <w:pStyle w:val="NoSpacing"/>
        <w:tabs>
          <w:tab w:val="left" w:pos="567"/>
        </w:tabs>
        <w:jc w:val="both"/>
        <w:rPr>
          <w:rFonts w:ascii="Times New Roman" w:hAnsi="Times New Roman"/>
          <w:noProof/>
          <w:u w:val="single"/>
          <w:lang w:val="sr-Latn-ME"/>
        </w:rPr>
      </w:pPr>
      <w:r w:rsidRPr="0009300B">
        <w:rPr>
          <w:rFonts w:ascii="Times New Roman" w:hAnsi="Times New Roman"/>
          <w:noProof/>
          <w:u w:val="single"/>
          <w:lang w:val="sr-Latn-ME"/>
        </w:rPr>
        <w:t>Mogućnost uticaja ulipristal acetata na druge ljekove</w:t>
      </w:r>
    </w:p>
    <w:p w:rsidR="00056908" w:rsidRPr="0009300B" w:rsidRDefault="00056908" w:rsidP="00831F36">
      <w:pPr>
        <w:pStyle w:val="NoSpacing"/>
        <w:tabs>
          <w:tab w:val="left" w:pos="567"/>
        </w:tabs>
        <w:jc w:val="both"/>
        <w:rPr>
          <w:rFonts w:ascii="Times New Roman" w:hAnsi="Times New Roman"/>
          <w:noProof/>
          <w:u w:val="single"/>
          <w:lang w:val="sr-Latn-ME"/>
        </w:rPr>
      </w:pPr>
    </w:p>
    <w:p w:rsidR="00F34612" w:rsidRPr="0009300B" w:rsidRDefault="007D60B6" w:rsidP="00BC6C98">
      <w:pPr>
        <w:pStyle w:val="NoSpacing"/>
        <w:tabs>
          <w:tab w:val="left" w:pos="567"/>
        </w:tabs>
        <w:jc w:val="both"/>
        <w:rPr>
          <w:rFonts w:ascii="Times New Roman" w:hAnsi="Times New Roman"/>
          <w:i/>
          <w:noProof/>
          <w:lang w:val="sr-Latn-ME"/>
        </w:rPr>
      </w:pPr>
      <w:r w:rsidRPr="0009300B">
        <w:rPr>
          <w:rFonts w:ascii="Times New Roman" w:hAnsi="Times New Roman"/>
          <w:i/>
          <w:noProof/>
          <w:lang w:val="sr-Latn-ME"/>
        </w:rPr>
        <w:t>Hormonski kontraceptivi</w:t>
      </w:r>
    </w:p>
    <w:p w:rsidR="00F34612" w:rsidRPr="0009300B" w:rsidRDefault="00F34612" w:rsidP="00BC6C98">
      <w:pPr>
        <w:pStyle w:val="NoSpacing"/>
        <w:tabs>
          <w:tab w:val="left" w:pos="567"/>
        </w:tabs>
        <w:jc w:val="both"/>
        <w:rPr>
          <w:rFonts w:ascii="Times New Roman" w:hAnsi="Times New Roman"/>
          <w:i/>
          <w:noProof/>
          <w:lang w:val="sr-Latn-ME"/>
        </w:rPr>
      </w:pPr>
    </w:p>
    <w:p w:rsidR="00F34612" w:rsidRPr="0009300B" w:rsidRDefault="007D60B6" w:rsidP="00F34612">
      <w:pPr>
        <w:pStyle w:val="NoSpacing"/>
        <w:tabs>
          <w:tab w:val="left" w:pos="567"/>
        </w:tabs>
        <w:jc w:val="both"/>
        <w:rPr>
          <w:rFonts w:ascii="Times New Roman" w:hAnsi="Times New Roman"/>
          <w:noProof/>
          <w:lang w:val="sr-Latn-ME"/>
        </w:rPr>
      </w:pPr>
      <w:r w:rsidRPr="0009300B">
        <w:rPr>
          <w:rFonts w:ascii="Times New Roman" w:hAnsi="Times New Roman"/>
          <w:noProof/>
          <w:lang w:val="sr-Latn-ME"/>
        </w:rPr>
        <w:t xml:space="preserve">Kako se visokim afinitetom vezuje na receptore za progesteron, ulipristal </w:t>
      </w:r>
      <w:r w:rsidR="00E91AA9" w:rsidRPr="0009300B">
        <w:rPr>
          <w:rFonts w:ascii="Times New Roman" w:hAnsi="Times New Roman"/>
          <w:noProof/>
          <w:lang w:val="sr-Latn-ME"/>
        </w:rPr>
        <w:t xml:space="preserve">acetat </w:t>
      </w:r>
      <w:r w:rsidRPr="0009300B">
        <w:rPr>
          <w:rFonts w:ascii="Times New Roman" w:hAnsi="Times New Roman"/>
          <w:noProof/>
          <w:lang w:val="sr-Latn-ME"/>
        </w:rPr>
        <w:t xml:space="preserve">može da </w:t>
      </w:r>
      <w:r w:rsidR="00AD5B20" w:rsidRPr="0009300B">
        <w:rPr>
          <w:rFonts w:ascii="Times New Roman" w:hAnsi="Times New Roman"/>
          <w:noProof/>
          <w:lang w:val="sr-Latn-ME"/>
        </w:rPr>
        <w:t xml:space="preserve">utiče </w:t>
      </w:r>
      <w:r w:rsidRPr="0009300B">
        <w:rPr>
          <w:rFonts w:ascii="Times New Roman" w:hAnsi="Times New Roman"/>
          <w:noProof/>
          <w:lang w:val="sr-Latn-ME"/>
        </w:rPr>
        <w:t>na dejstvo ljekova koji sadrže progestagene:</w:t>
      </w:r>
    </w:p>
    <w:p w:rsidR="00F34612" w:rsidRPr="0009300B" w:rsidRDefault="00353BC8" w:rsidP="00F34612">
      <w:pPr>
        <w:pStyle w:val="NoSpacing"/>
        <w:numPr>
          <w:ilvl w:val="0"/>
          <w:numId w:val="10"/>
        </w:numPr>
        <w:tabs>
          <w:tab w:val="left" w:pos="567"/>
        </w:tabs>
        <w:jc w:val="both"/>
        <w:rPr>
          <w:rFonts w:ascii="Times New Roman" w:hAnsi="Times New Roman"/>
          <w:i/>
          <w:noProof/>
          <w:lang w:val="sr-Latn-ME"/>
        </w:rPr>
      </w:pPr>
      <w:r w:rsidRPr="0009300B">
        <w:rPr>
          <w:rFonts w:ascii="Times New Roman" w:hAnsi="Times New Roman"/>
          <w:noProof/>
          <w:lang w:val="sr-Latn-ME"/>
        </w:rPr>
        <w:t>k</w:t>
      </w:r>
      <w:r w:rsidR="007D60B6" w:rsidRPr="0009300B">
        <w:rPr>
          <w:rFonts w:ascii="Times New Roman" w:hAnsi="Times New Roman"/>
          <w:noProof/>
          <w:lang w:val="sr-Latn-ME"/>
        </w:rPr>
        <w:t>ontraceptivno dejstvo kombinovanih hormonskih kontracept</w:t>
      </w:r>
      <w:r w:rsidR="00BC6C98" w:rsidRPr="0009300B">
        <w:rPr>
          <w:rFonts w:ascii="Times New Roman" w:hAnsi="Times New Roman"/>
          <w:noProof/>
          <w:lang w:val="sr-Latn-ME"/>
        </w:rPr>
        <w:t xml:space="preserve">iva i kontracepcije koja sadrži </w:t>
      </w:r>
      <w:r w:rsidR="007D60B6" w:rsidRPr="0009300B">
        <w:rPr>
          <w:rFonts w:ascii="Times New Roman" w:hAnsi="Times New Roman"/>
          <w:noProof/>
          <w:lang w:val="sr-Latn-ME"/>
        </w:rPr>
        <w:t>samo progestagen može da bude smanjeno</w:t>
      </w:r>
      <w:r w:rsidR="00F34612" w:rsidRPr="0009300B">
        <w:rPr>
          <w:rFonts w:ascii="Times New Roman" w:hAnsi="Times New Roman"/>
          <w:noProof/>
          <w:lang w:val="sr-Latn-ME"/>
        </w:rPr>
        <w:t xml:space="preserve">. </w:t>
      </w:r>
    </w:p>
    <w:p w:rsidR="007D60B6" w:rsidRPr="0009300B" w:rsidRDefault="00F34612" w:rsidP="00F34612">
      <w:pPr>
        <w:pStyle w:val="NoSpacing"/>
        <w:numPr>
          <w:ilvl w:val="0"/>
          <w:numId w:val="10"/>
        </w:numPr>
        <w:tabs>
          <w:tab w:val="left" w:pos="567"/>
        </w:tabs>
        <w:jc w:val="both"/>
        <w:rPr>
          <w:rFonts w:ascii="Times New Roman" w:hAnsi="Times New Roman"/>
          <w:i/>
          <w:noProof/>
          <w:lang w:val="sr-Latn-ME"/>
        </w:rPr>
      </w:pPr>
      <w:r w:rsidRPr="0009300B">
        <w:rPr>
          <w:rFonts w:ascii="Times New Roman" w:hAnsi="Times New Roman"/>
          <w:noProof/>
          <w:lang w:val="sr-Latn-ME"/>
        </w:rPr>
        <w:t>i</w:t>
      </w:r>
      <w:r w:rsidR="00353BC8" w:rsidRPr="0009300B">
        <w:rPr>
          <w:rFonts w:ascii="Times New Roman" w:hAnsi="Times New Roman"/>
          <w:noProof/>
          <w:lang w:val="sr-Latn-ME"/>
        </w:rPr>
        <w:t>stovremena</w:t>
      </w:r>
      <w:r w:rsidR="007D60B6" w:rsidRPr="0009300B">
        <w:rPr>
          <w:rFonts w:ascii="Times New Roman" w:hAnsi="Times New Roman"/>
          <w:noProof/>
          <w:lang w:val="sr-Latn-ME"/>
        </w:rPr>
        <w:t xml:space="preserve"> primjena ulipristal acetata i hitne kontracepcije koja sadrži levonorgestrel se ne preporučuje (vidjeti dio 4.4).</w:t>
      </w:r>
    </w:p>
    <w:p w:rsidR="007D60B6" w:rsidRPr="0009300B" w:rsidRDefault="007D60B6" w:rsidP="00831F36">
      <w:pPr>
        <w:pStyle w:val="NoSpacing"/>
        <w:jc w:val="both"/>
        <w:rPr>
          <w:rFonts w:ascii="Times New Roman" w:hAnsi="Times New Roman"/>
          <w:i/>
          <w:noProof/>
          <w:lang w:val="sr-Latn-ME"/>
        </w:rPr>
      </w:pPr>
    </w:p>
    <w:p w:rsidR="006E5886" w:rsidRPr="0009300B" w:rsidRDefault="006E5886" w:rsidP="00831F36">
      <w:pPr>
        <w:pStyle w:val="NoSpacing"/>
        <w:jc w:val="both"/>
        <w:rPr>
          <w:rFonts w:ascii="Times New Roman" w:hAnsi="Times New Roman"/>
          <w:noProof/>
          <w:lang w:val="sr-Latn-ME"/>
        </w:rPr>
      </w:pPr>
      <w:r w:rsidRPr="0009300B">
        <w:rPr>
          <w:rFonts w:ascii="Times New Roman" w:hAnsi="Times New Roman"/>
          <w:i/>
          <w:noProof/>
          <w:lang w:val="sr-Latn-ME"/>
        </w:rPr>
        <w:t>In vitro</w:t>
      </w:r>
      <w:r w:rsidRPr="0009300B">
        <w:rPr>
          <w:rFonts w:ascii="Times New Roman" w:hAnsi="Times New Roman"/>
          <w:noProof/>
          <w:lang w:val="sr-Latn-ME"/>
        </w:rPr>
        <w:t xml:space="preserve"> podaci pokazuju da ulipristal acetat i njegov aktivni metabolit u klinički značajnim koncentracijama bitno ne inhibišu CYP1A2, 2A6, 2C9, 2C19, 2D6, 2E1 i 3A4. Nakon primjene pojedinačne doze nije vjerovatna indukcija CYP1A2 i CYP3A4 ulipristal acetatom ili njegovim aktivnim metabolitom. Prema tome, nije vjerovatno da primjena ulipristal acetata mijenja klirens ljekova koji se metabolišu tim enzimima.</w:t>
      </w:r>
    </w:p>
    <w:p w:rsidR="006E5886" w:rsidRPr="0009300B" w:rsidRDefault="006E5886" w:rsidP="00831F36">
      <w:pPr>
        <w:pStyle w:val="NoSpacing"/>
        <w:jc w:val="both"/>
        <w:rPr>
          <w:rFonts w:ascii="Times New Roman" w:hAnsi="Times New Roman"/>
          <w:noProof/>
          <w:u w:val="single"/>
          <w:lang w:val="sr-Latn-ME"/>
        </w:rPr>
      </w:pPr>
    </w:p>
    <w:p w:rsidR="006E5886" w:rsidRPr="0009300B" w:rsidRDefault="006E5886" w:rsidP="00831F36">
      <w:pPr>
        <w:pStyle w:val="NoSpacing"/>
        <w:jc w:val="both"/>
        <w:rPr>
          <w:rFonts w:ascii="Times New Roman" w:hAnsi="Times New Roman"/>
          <w:i/>
          <w:iCs/>
          <w:noProof/>
          <w:lang w:val="sr-Latn-ME"/>
        </w:rPr>
      </w:pPr>
      <w:r w:rsidRPr="0009300B">
        <w:rPr>
          <w:rFonts w:ascii="Times New Roman" w:hAnsi="Times New Roman"/>
          <w:i/>
          <w:iCs/>
          <w:noProof/>
          <w:lang w:val="sr-Latn-ME"/>
        </w:rPr>
        <w:t>P-gp (P-glikoprotein) supstrati</w:t>
      </w:r>
    </w:p>
    <w:p w:rsidR="006E5886" w:rsidRPr="0009300B" w:rsidRDefault="006E5886" w:rsidP="00831F36">
      <w:pPr>
        <w:pStyle w:val="NoSpacing"/>
        <w:jc w:val="both"/>
        <w:rPr>
          <w:rFonts w:ascii="Times New Roman" w:hAnsi="Times New Roman"/>
          <w:noProof/>
          <w:lang w:val="sr-Latn-ME"/>
        </w:rPr>
      </w:pPr>
      <w:r w:rsidRPr="0009300B">
        <w:rPr>
          <w:rFonts w:ascii="Times New Roman" w:hAnsi="Times New Roman"/>
          <w:i/>
          <w:noProof/>
          <w:lang w:val="sr-Latn-ME"/>
        </w:rPr>
        <w:t>In vitro</w:t>
      </w:r>
      <w:r w:rsidRPr="0009300B">
        <w:rPr>
          <w:rFonts w:ascii="Times New Roman" w:hAnsi="Times New Roman"/>
          <w:noProof/>
          <w:lang w:val="sr-Latn-ME"/>
        </w:rPr>
        <w:t xml:space="preserve"> podaci pokazuju da ulipristal acetat u klinički značajnim koncentracijama može biti inhibitor P-gp. In vivo rezultati s P-gp supstratom feksofenadinom s</w:t>
      </w:r>
      <w:r w:rsidR="00AA7BAC" w:rsidRPr="0009300B">
        <w:rPr>
          <w:rFonts w:ascii="Times New Roman" w:hAnsi="Times New Roman"/>
          <w:noProof/>
          <w:lang w:val="sr-Latn-ME"/>
        </w:rPr>
        <w:t>u bili neuvjerljivi. Nije vjerov</w:t>
      </w:r>
      <w:r w:rsidRPr="0009300B">
        <w:rPr>
          <w:rFonts w:ascii="Times New Roman" w:hAnsi="Times New Roman"/>
          <w:noProof/>
          <w:lang w:val="sr-Latn-ME"/>
        </w:rPr>
        <w:t xml:space="preserve">atno da </w:t>
      </w:r>
      <w:r w:rsidR="00AA7BAC" w:rsidRPr="0009300B">
        <w:rPr>
          <w:rFonts w:ascii="Times New Roman" w:hAnsi="Times New Roman"/>
          <w:noProof/>
          <w:lang w:val="sr-Latn-ME"/>
        </w:rPr>
        <w:t>efekti</w:t>
      </w:r>
      <w:r w:rsidRPr="0009300B">
        <w:rPr>
          <w:rFonts w:ascii="Times New Roman" w:hAnsi="Times New Roman"/>
          <w:noProof/>
          <w:lang w:val="sr-Latn-ME"/>
        </w:rPr>
        <w:t xml:space="preserve"> </w:t>
      </w:r>
      <w:r w:rsidR="00994C1A" w:rsidRPr="0009300B">
        <w:rPr>
          <w:rFonts w:ascii="Times New Roman" w:hAnsi="Times New Roman"/>
          <w:noProof/>
          <w:lang w:val="sr-Latn-ME"/>
        </w:rPr>
        <w:t>P-gp supstrat</w:t>
      </w:r>
      <w:r w:rsidR="00D859F6" w:rsidRPr="0009300B">
        <w:rPr>
          <w:rFonts w:ascii="Times New Roman" w:hAnsi="Times New Roman"/>
          <w:noProof/>
          <w:lang w:val="sr-Latn-ME"/>
        </w:rPr>
        <w:t>a</w:t>
      </w:r>
      <w:r w:rsidRPr="0009300B">
        <w:rPr>
          <w:rFonts w:ascii="Times New Roman" w:hAnsi="Times New Roman"/>
          <w:noProof/>
          <w:lang w:val="sr-Latn-ME"/>
        </w:rPr>
        <w:t xml:space="preserve"> imaju ikakve kliničke posljedice.  </w:t>
      </w:r>
    </w:p>
    <w:p w:rsidR="006E5886" w:rsidRPr="0009300B" w:rsidRDefault="006E5886" w:rsidP="00831F36">
      <w:pPr>
        <w:pStyle w:val="NoSpacing"/>
        <w:jc w:val="both"/>
        <w:rPr>
          <w:rFonts w:ascii="Times New Roman" w:hAnsi="Times New Roman"/>
          <w:noProof/>
          <w:lang w:val="sr-Latn-ME"/>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4.6. </w:t>
      </w:r>
      <w:r w:rsidR="00480FB1" w:rsidRPr="0009300B">
        <w:rPr>
          <w:b/>
          <w:bCs/>
          <w:sz w:val="22"/>
          <w:szCs w:val="22"/>
        </w:rPr>
        <w:tab/>
      </w:r>
      <w:r w:rsidRPr="0009300B">
        <w:rPr>
          <w:b/>
          <w:bCs/>
          <w:sz w:val="22"/>
          <w:szCs w:val="22"/>
        </w:rPr>
        <w:t>Primjena u periodu trudnoće i dojenja</w:t>
      </w:r>
    </w:p>
    <w:p w:rsidR="00CF132C" w:rsidRPr="0009300B" w:rsidRDefault="00CF132C" w:rsidP="00831F36">
      <w:pPr>
        <w:pStyle w:val="NoSpacing"/>
        <w:jc w:val="both"/>
        <w:rPr>
          <w:rFonts w:ascii="Times New Roman" w:hAnsi="Times New Roman"/>
          <w:noProof/>
          <w:u w:val="single"/>
          <w:lang w:val="sr-Latn-ME"/>
        </w:rPr>
      </w:pPr>
    </w:p>
    <w:p w:rsidR="00026161" w:rsidRPr="0009300B" w:rsidRDefault="006E588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Trudnoća</w:t>
      </w:r>
    </w:p>
    <w:p w:rsidR="00BC6C98" w:rsidRPr="0009300B" w:rsidRDefault="00BC6C98" w:rsidP="00831F36">
      <w:pPr>
        <w:pStyle w:val="NoSpacing"/>
        <w:jc w:val="both"/>
        <w:rPr>
          <w:rFonts w:ascii="Times New Roman" w:hAnsi="Times New Roman"/>
          <w:noProof/>
          <w:u w:val="single"/>
          <w:lang w:val="sr-Latn-ME"/>
        </w:rPr>
      </w:pPr>
    </w:p>
    <w:p w:rsidR="00D859F6"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ellaOne</w:t>
      </w:r>
      <w:r w:rsidR="00D859F6" w:rsidRPr="0009300B">
        <w:rPr>
          <w:rFonts w:ascii="Times New Roman" w:hAnsi="Times New Roman"/>
          <w:noProof/>
          <w:lang w:val="sr-Latn-ME"/>
        </w:rPr>
        <w:t xml:space="preserve"> nije nam</w:t>
      </w:r>
      <w:r w:rsidR="00AD5B20" w:rsidRPr="0009300B">
        <w:rPr>
          <w:rFonts w:ascii="Times New Roman" w:hAnsi="Times New Roman"/>
          <w:noProof/>
          <w:lang w:val="sr-Latn-ME"/>
        </w:rPr>
        <w:t>i</w:t>
      </w:r>
      <w:r w:rsidR="00D859F6" w:rsidRPr="0009300B">
        <w:rPr>
          <w:rFonts w:ascii="Times New Roman" w:hAnsi="Times New Roman"/>
          <w:noProof/>
          <w:lang w:val="sr-Latn-ME"/>
        </w:rPr>
        <w:t>jenjena za primjenu tokom trudnoće i ne smiju je uzeti žene</w:t>
      </w:r>
      <w:r w:rsidRPr="0009300B">
        <w:rPr>
          <w:rFonts w:ascii="Times New Roman" w:hAnsi="Times New Roman"/>
          <w:noProof/>
          <w:lang w:val="sr-Latn-ME"/>
        </w:rPr>
        <w:t xml:space="preserve"> kod kojih postoji sumnja</w:t>
      </w:r>
      <w:r w:rsidR="00D859F6" w:rsidRPr="0009300B">
        <w:rPr>
          <w:rFonts w:ascii="Times New Roman" w:hAnsi="Times New Roman"/>
          <w:noProof/>
          <w:lang w:val="sr-Latn-ME"/>
        </w:rPr>
        <w:t xml:space="preserve"> ili se zna</w:t>
      </w:r>
      <w:r w:rsidRPr="0009300B">
        <w:rPr>
          <w:rFonts w:ascii="Times New Roman" w:hAnsi="Times New Roman"/>
          <w:noProof/>
          <w:lang w:val="sr-Latn-ME"/>
        </w:rPr>
        <w:t xml:space="preserve"> </w:t>
      </w:r>
      <w:r w:rsidR="00D859F6" w:rsidRPr="0009300B">
        <w:rPr>
          <w:rFonts w:ascii="Times New Roman" w:hAnsi="Times New Roman"/>
          <w:noProof/>
          <w:lang w:val="sr-Latn-ME"/>
        </w:rPr>
        <w:t>da su</w:t>
      </w:r>
      <w:r w:rsidRPr="0009300B">
        <w:rPr>
          <w:rFonts w:ascii="Times New Roman" w:hAnsi="Times New Roman"/>
          <w:noProof/>
          <w:lang w:val="sr-Latn-ME"/>
        </w:rPr>
        <w:t xml:space="preserve"> trudn</w:t>
      </w:r>
      <w:r w:rsidR="00D859F6" w:rsidRPr="0009300B">
        <w:rPr>
          <w:rFonts w:ascii="Times New Roman" w:hAnsi="Times New Roman"/>
          <w:noProof/>
          <w:lang w:val="sr-Latn-ME"/>
        </w:rPr>
        <w:t>e</w:t>
      </w:r>
      <w:r w:rsidRPr="0009300B">
        <w:rPr>
          <w:rFonts w:ascii="Times New Roman" w:hAnsi="Times New Roman"/>
          <w:noProof/>
          <w:lang w:val="sr-Latn-ME"/>
        </w:rPr>
        <w:t xml:space="preserve"> (vidjeti odjeljak 4.</w:t>
      </w:r>
      <w:r w:rsidR="00D859F6" w:rsidRPr="0009300B">
        <w:rPr>
          <w:rFonts w:ascii="Times New Roman" w:hAnsi="Times New Roman"/>
          <w:noProof/>
          <w:lang w:val="sr-Latn-ME"/>
        </w:rPr>
        <w:t>2</w:t>
      </w:r>
      <w:r w:rsidRPr="0009300B">
        <w:rPr>
          <w:rFonts w:ascii="Times New Roman" w:hAnsi="Times New Roman"/>
          <w:noProof/>
          <w:lang w:val="sr-Latn-ME"/>
        </w:rPr>
        <w:t xml:space="preserve">). </w:t>
      </w:r>
    </w:p>
    <w:p w:rsidR="00D859F6" w:rsidRPr="0009300B" w:rsidRDefault="00D859F6" w:rsidP="00831F36">
      <w:pPr>
        <w:pStyle w:val="NoSpacing"/>
        <w:jc w:val="both"/>
        <w:rPr>
          <w:rFonts w:ascii="Times New Roman" w:hAnsi="Times New Roman"/>
          <w:noProof/>
          <w:lang w:val="sr-Latn-ME"/>
        </w:rPr>
      </w:pPr>
    </w:p>
    <w:p w:rsidR="00D859F6" w:rsidRPr="0009300B" w:rsidRDefault="00D859F6" w:rsidP="00831F36">
      <w:pPr>
        <w:pStyle w:val="NoSpacing"/>
        <w:jc w:val="both"/>
        <w:rPr>
          <w:rFonts w:ascii="Times New Roman" w:hAnsi="Times New Roman"/>
          <w:noProof/>
          <w:lang w:val="sr-Latn-ME"/>
        </w:rPr>
      </w:pPr>
      <w:r w:rsidRPr="0009300B">
        <w:rPr>
          <w:rFonts w:ascii="Times New Roman" w:hAnsi="Times New Roman"/>
          <w:noProof/>
          <w:lang w:val="sr-Latn-ME"/>
        </w:rPr>
        <w:t>ellaOne ne prekida postojeću trudnoću.</w:t>
      </w:r>
    </w:p>
    <w:p w:rsidR="00D859F6" w:rsidRPr="0009300B" w:rsidRDefault="00D859F6" w:rsidP="00831F36">
      <w:pPr>
        <w:pStyle w:val="NoSpacing"/>
        <w:jc w:val="both"/>
        <w:rPr>
          <w:rFonts w:ascii="Times New Roman" w:hAnsi="Times New Roman"/>
          <w:noProof/>
          <w:lang w:val="sr-Latn-ME"/>
        </w:rPr>
      </w:pPr>
    </w:p>
    <w:p w:rsidR="006E5886" w:rsidRPr="0009300B" w:rsidRDefault="00D859F6" w:rsidP="00831F36">
      <w:pPr>
        <w:pStyle w:val="NoSpacing"/>
        <w:jc w:val="both"/>
        <w:rPr>
          <w:rFonts w:ascii="Times New Roman" w:hAnsi="Times New Roman"/>
          <w:noProof/>
          <w:lang w:val="sr-Latn-ME"/>
        </w:rPr>
      </w:pPr>
      <w:r w:rsidRPr="0009300B">
        <w:rPr>
          <w:rFonts w:ascii="Times New Roman" w:hAnsi="Times New Roman"/>
          <w:noProof/>
          <w:lang w:val="sr-Latn-ME"/>
        </w:rPr>
        <w:lastRenderedPageBreak/>
        <w:t>Nakon uzimanja ellaOne ponekad se može desiti trudnoća.</w:t>
      </w:r>
      <w:r w:rsidR="006E5886" w:rsidRPr="0009300B">
        <w:rPr>
          <w:rFonts w:ascii="Times New Roman" w:hAnsi="Times New Roman"/>
          <w:noProof/>
          <w:lang w:val="sr-Latn-ME"/>
        </w:rPr>
        <w:t xml:space="preserve"> Iako nije zabilježeno teratogeno d</w:t>
      </w:r>
      <w:r w:rsidR="00DB0C0E" w:rsidRPr="0009300B">
        <w:rPr>
          <w:rFonts w:ascii="Times New Roman" w:hAnsi="Times New Roman"/>
          <w:noProof/>
          <w:lang w:val="sr-Latn-ME"/>
        </w:rPr>
        <w:t>ejstvo</w:t>
      </w:r>
      <w:r w:rsidR="006E5886" w:rsidRPr="0009300B">
        <w:rPr>
          <w:rFonts w:ascii="Times New Roman" w:hAnsi="Times New Roman"/>
          <w:noProof/>
          <w:lang w:val="sr-Latn-ME"/>
        </w:rPr>
        <w:t>, rezultati ispitivanja</w:t>
      </w:r>
      <w:r w:rsidR="00AA7BAC" w:rsidRPr="0009300B">
        <w:rPr>
          <w:rFonts w:ascii="Times New Roman" w:hAnsi="Times New Roman"/>
          <w:noProof/>
          <w:lang w:val="sr-Latn-ME"/>
        </w:rPr>
        <w:t xml:space="preserve"> na životinjama nisu dovoljni</w:t>
      </w:r>
      <w:r w:rsidR="006E5886" w:rsidRPr="0009300B">
        <w:rPr>
          <w:rFonts w:ascii="Times New Roman" w:hAnsi="Times New Roman"/>
          <w:noProof/>
          <w:lang w:val="sr-Latn-ME"/>
        </w:rPr>
        <w:t xml:space="preserve"> za procjenu reproduktivne toksičnosti (vidjeti odjelja</w:t>
      </w:r>
      <w:r w:rsidR="00CF132C" w:rsidRPr="0009300B">
        <w:rPr>
          <w:rFonts w:ascii="Times New Roman" w:hAnsi="Times New Roman"/>
          <w:noProof/>
          <w:lang w:val="sr-Latn-ME"/>
        </w:rPr>
        <w:t>k 5.3.).</w:t>
      </w:r>
      <w:r w:rsidR="006E5886" w:rsidRPr="0009300B">
        <w:rPr>
          <w:rFonts w:ascii="Times New Roman" w:hAnsi="Times New Roman"/>
          <w:noProof/>
          <w:lang w:val="sr-Latn-ME"/>
        </w:rPr>
        <w:t xml:space="preserve"> </w:t>
      </w:r>
      <w:r w:rsidR="00DB0C0E" w:rsidRPr="0009300B">
        <w:rPr>
          <w:rFonts w:ascii="Times New Roman" w:hAnsi="Times New Roman"/>
          <w:noProof/>
          <w:lang w:val="sr-Latn-ME"/>
        </w:rPr>
        <w:t>Ograničeni podaci o izlaganju lijeku ellaOne tokom trudnoće kod ljudi ne sugerišu nikakvu brigu zbog sigurnosti. Ipak</w:t>
      </w:r>
      <w:r w:rsidR="00AD5B20" w:rsidRPr="0009300B">
        <w:rPr>
          <w:rFonts w:ascii="Times New Roman" w:hAnsi="Times New Roman"/>
          <w:noProof/>
          <w:lang w:val="sr-Latn-ME"/>
        </w:rPr>
        <w:t>,</w:t>
      </w:r>
      <w:r w:rsidR="00DB0C0E" w:rsidRPr="0009300B">
        <w:rPr>
          <w:rFonts w:ascii="Times New Roman" w:hAnsi="Times New Roman"/>
          <w:noProof/>
          <w:lang w:val="sr-Latn-ME"/>
        </w:rPr>
        <w:t xml:space="preserve"> važno je da se svaka trudnoća kod žene koja je uzela ellaOne prijavi putem web-adrese </w:t>
      </w:r>
      <w:hyperlink r:id="rId8" w:history="1">
        <w:r w:rsidR="00DB0C0E" w:rsidRPr="0009300B">
          <w:rPr>
            <w:rStyle w:val="Hyperlink"/>
            <w:rFonts w:ascii="Times New Roman" w:hAnsi="Times New Roman"/>
            <w:noProof/>
            <w:lang w:val="sr-Latn-ME"/>
          </w:rPr>
          <w:t>www.hra-pregnancy-registry.com</w:t>
        </w:r>
      </w:hyperlink>
      <w:r w:rsidR="00DB0C0E" w:rsidRPr="0009300B">
        <w:rPr>
          <w:rFonts w:ascii="Times New Roman" w:hAnsi="Times New Roman"/>
          <w:noProof/>
          <w:lang w:val="sr-Latn-ME"/>
        </w:rPr>
        <w:t xml:space="preserve">. Svrha tog </w:t>
      </w:r>
      <w:r w:rsidR="00DB0C0E" w:rsidRPr="0009300B">
        <w:rPr>
          <w:rFonts w:ascii="Times New Roman" w:hAnsi="Times New Roman"/>
          <w:i/>
          <w:noProof/>
          <w:lang w:val="sr-Latn-ME"/>
        </w:rPr>
        <w:t xml:space="preserve">online </w:t>
      </w:r>
      <w:r w:rsidR="00DB0C0E" w:rsidRPr="0009300B">
        <w:rPr>
          <w:rFonts w:ascii="Times New Roman" w:hAnsi="Times New Roman"/>
          <w:noProof/>
          <w:lang w:val="sr-Latn-ME"/>
        </w:rPr>
        <w:t>registra je prikupljanje informacija o sigurnosti od žena koje su tokom trudnoće uzele</w:t>
      </w:r>
      <w:r w:rsidR="00353BC8" w:rsidRPr="0009300B">
        <w:rPr>
          <w:rFonts w:ascii="Times New Roman" w:hAnsi="Times New Roman"/>
          <w:noProof/>
          <w:lang w:val="sr-Latn-ME"/>
        </w:rPr>
        <w:t xml:space="preserve"> ellaOne ili koje su zatrudnile</w:t>
      </w:r>
      <w:r w:rsidR="00DB0C0E" w:rsidRPr="0009300B">
        <w:rPr>
          <w:rFonts w:ascii="Times New Roman" w:hAnsi="Times New Roman"/>
          <w:noProof/>
          <w:lang w:val="sr-Latn-ME"/>
        </w:rPr>
        <w:t xml:space="preserve"> nakon uzimanja ellaOne. Svi prikupljeni podaci ostaju anonimni.</w:t>
      </w:r>
    </w:p>
    <w:p w:rsidR="006E5886" w:rsidRPr="0009300B" w:rsidRDefault="006E5886" w:rsidP="00831F36">
      <w:pPr>
        <w:pStyle w:val="NoSpacing"/>
        <w:jc w:val="both"/>
        <w:rPr>
          <w:rFonts w:ascii="Times New Roman" w:hAnsi="Times New Roman"/>
          <w:noProof/>
          <w:lang w:val="sr-Latn-ME"/>
        </w:rPr>
      </w:pPr>
    </w:p>
    <w:p w:rsidR="006E5886" w:rsidRPr="0009300B" w:rsidRDefault="006E588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Dojenje</w:t>
      </w:r>
    </w:p>
    <w:p w:rsidR="00BC6C98" w:rsidRPr="0009300B" w:rsidRDefault="00BC6C98" w:rsidP="00831F36">
      <w:pPr>
        <w:pStyle w:val="NoSpacing"/>
        <w:jc w:val="both"/>
        <w:rPr>
          <w:rFonts w:ascii="Times New Roman" w:hAnsi="Times New Roman"/>
          <w:noProof/>
          <w:u w:val="single"/>
          <w:lang w:val="sr-Latn-ME"/>
        </w:rPr>
      </w:pPr>
    </w:p>
    <w:p w:rsidR="006E5886"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Ulipristal aceta</w:t>
      </w:r>
      <w:r w:rsidR="00F34612" w:rsidRPr="0009300B">
        <w:rPr>
          <w:rFonts w:ascii="Times New Roman" w:hAnsi="Times New Roman"/>
          <w:noProof/>
          <w:lang w:val="sr-Latn-ME"/>
        </w:rPr>
        <w:t xml:space="preserve">t se izlučuje u majčino mlijeko </w:t>
      </w:r>
      <w:r w:rsidRPr="0009300B">
        <w:rPr>
          <w:rFonts w:ascii="Times New Roman" w:hAnsi="Times New Roman"/>
          <w:noProof/>
          <w:lang w:val="sr-Latn-ME"/>
        </w:rPr>
        <w:t>(vidjeti odjelja</w:t>
      </w:r>
      <w:r w:rsidR="00F34612" w:rsidRPr="0009300B">
        <w:rPr>
          <w:rFonts w:ascii="Times New Roman" w:hAnsi="Times New Roman"/>
          <w:noProof/>
          <w:lang w:val="sr-Latn-ME"/>
        </w:rPr>
        <w:t xml:space="preserve">k 5.2.). </w:t>
      </w:r>
      <w:r w:rsidRPr="0009300B">
        <w:rPr>
          <w:rFonts w:ascii="Times New Roman" w:hAnsi="Times New Roman"/>
          <w:noProof/>
          <w:lang w:val="sr-Latn-ME"/>
        </w:rPr>
        <w:t xml:space="preserve">Djelovanje na </w:t>
      </w:r>
      <w:r w:rsidR="00AA7BAC" w:rsidRPr="0009300B">
        <w:rPr>
          <w:rFonts w:ascii="Times New Roman" w:hAnsi="Times New Roman"/>
          <w:noProof/>
          <w:lang w:val="sr-Latn-ME"/>
        </w:rPr>
        <w:t>n</w:t>
      </w:r>
      <w:r w:rsidRPr="0009300B">
        <w:rPr>
          <w:rFonts w:ascii="Times New Roman" w:hAnsi="Times New Roman"/>
          <w:noProof/>
          <w:lang w:val="sr-Latn-ME"/>
        </w:rPr>
        <w:t xml:space="preserve">ovorođenčad/dojenčad nije ispitivano. </w:t>
      </w:r>
      <w:r w:rsidR="00DB0C0E" w:rsidRPr="0009300B">
        <w:rPr>
          <w:rFonts w:ascii="Times New Roman" w:hAnsi="Times New Roman"/>
          <w:noProof/>
          <w:lang w:val="sr-Latn-ME"/>
        </w:rPr>
        <w:t>Zato</w:t>
      </w:r>
      <w:r w:rsidRPr="0009300B">
        <w:rPr>
          <w:rFonts w:ascii="Times New Roman" w:hAnsi="Times New Roman"/>
          <w:noProof/>
          <w:lang w:val="sr-Latn-ME"/>
        </w:rPr>
        <w:t xml:space="preserve"> se rizik za dijete koje se doji ne može isključiti. Dojenje se ne preporučuje jednu sedmicu nakon uzimanja ellaOne. Za to vrijeme preporučuje se </w:t>
      </w:r>
      <w:r w:rsidR="002E2085" w:rsidRPr="0009300B">
        <w:rPr>
          <w:rFonts w:ascii="Times New Roman" w:hAnsi="Times New Roman"/>
          <w:noProof/>
          <w:lang w:val="sr-Latn-ME"/>
        </w:rPr>
        <w:t xml:space="preserve">izdajanje </w:t>
      </w:r>
      <w:r w:rsidRPr="0009300B">
        <w:rPr>
          <w:rFonts w:ascii="Times New Roman" w:hAnsi="Times New Roman"/>
          <w:noProof/>
          <w:lang w:val="sr-Latn-ME"/>
        </w:rPr>
        <w:t xml:space="preserve">i </w:t>
      </w:r>
      <w:r w:rsidR="002E2085" w:rsidRPr="0009300B">
        <w:rPr>
          <w:rFonts w:ascii="Times New Roman" w:hAnsi="Times New Roman"/>
          <w:noProof/>
          <w:lang w:val="sr-Latn-ME"/>
        </w:rPr>
        <w:t xml:space="preserve">odbacivanje </w:t>
      </w:r>
      <w:r w:rsidRPr="0009300B">
        <w:rPr>
          <w:rFonts w:ascii="Times New Roman" w:hAnsi="Times New Roman"/>
          <w:noProof/>
          <w:lang w:val="sr-Latn-ME"/>
        </w:rPr>
        <w:t>izdojeno</w:t>
      </w:r>
      <w:r w:rsidR="002E2085" w:rsidRPr="0009300B">
        <w:rPr>
          <w:rFonts w:ascii="Times New Roman" w:hAnsi="Times New Roman"/>
          <w:noProof/>
          <w:lang w:val="sr-Latn-ME"/>
        </w:rPr>
        <w:t>g</w:t>
      </w:r>
      <w:r w:rsidRPr="0009300B">
        <w:rPr>
          <w:rFonts w:ascii="Times New Roman" w:hAnsi="Times New Roman"/>
          <w:noProof/>
          <w:lang w:val="sr-Latn-ME"/>
        </w:rPr>
        <w:t xml:space="preserve"> majčino</w:t>
      </w:r>
      <w:r w:rsidR="002E2085" w:rsidRPr="0009300B">
        <w:rPr>
          <w:rFonts w:ascii="Times New Roman" w:hAnsi="Times New Roman"/>
          <w:noProof/>
          <w:lang w:val="sr-Latn-ME"/>
        </w:rPr>
        <w:t>g</w:t>
      </w:r>
      <w:r w:rsidRPr="0009300B">
        <w:rPr>
          <w:rFonts w:ascii="Times New Roman" w:hAnsi="Times New Roman"/>
          <w:noProof/>
          <w:lang w:val="sr-Latn-ME"/>
        </w:rPr>
        <w:t xml:space="preserve"> </w:t>
      </w:r>
      <w:r w:rsidR="002E2085" w:rsidRPr="0009300B">
        <w:rPr>
          <w:rFonts w:ascii="Times New Roman" w:hAnsi="Times New Roman"/>
          <w:noProof/>
          <w:lang w:val="sr-Latn-ME"/>
        </w:rPr>
        <w:t xml:space="preserve">mlijeka </w:t>
      </w:r>
      <w:r w:rsidRPr="0009300B">
        <w:rPr>
          <w:rFonts w:ascii="Times New Roman" w:hAnsi="Times New Roman"/>
          <w:noProof/>
          <w:lang w:val="sr-Latn-ME"/>
        </w:rPr>
        <w:t>kako bi se podstakla laktacija.</w:t>
      </w:r>
    </w:p>
    <w:p w:rsidR="006E5886" w:rsidRPr="0009300B" w:rsidRDefault="006E5886" w:rsidP="00831F36">
      <w:pPr>
        <w:pStyle w:val="NoSpacing"/>
        <w:jc w:val="both"/>
        <w:rPr>
          <w:rFonts w:ascii="Times New Roman" w:hAnsi="Times New Roman"/>
          <w:noProof/>
          <w:lang w:val="sr-Latn-ME"/>
        </w:rPr>
      </w:pPr>
    </w:p>
    <w:p w:rsidR="006E5886" w:rsidRPr="0009300B" w:rsidRDefault="006E588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Plodnost</w:t>
      </w:r>
    </w:p>
    <w:p w:rsidR="00BC6C98" w:rsidRPr="0009300B" w:rsidRDefault="00BC6C98" w:rsidP="00831F36">
      <w:pPr>
        <w:pStyle w:val="NoSpacing"/>
        <w:jc w:val="both"/>
        <w:rPr>
          <w:rFonts w:ascii="Times New Roman" w:hAnsi="Times New Roman"/>
          <w:noProof/>
          <w:u w:val="single"/>
          <w:lang w:val="sr-Latn-ME"/>
        </w:rPr>
      </w:pPr>
    </w:p>
    <w:p w:rsidR="006E5886" w:rsidRPr="0009300B" w:rsidRDefault="006E5886" w:rsidP="00831F36">
      <w:pPr>
        <w:pStyle w:val="NoSpacing"/>
        <w:jc w:val="both"/>
        <w:rPr>
          <w:rFonts w:ascii="Times New Roman" w:hAnsi="Times New Roman"/>
          <w:noProof/>
          <w:lang w:val="sr-Latn-ME"/>
        </w:rPr>
      </w:pPr>
      <w:r w:rsidRPr="0009300B">
        <w:rPr>
          <w:rFonts w:ascii="Times New Roman" w:hAnsi="Times New Roman"/>
          <w:noProof/>
          <w:lang w:val="sr-Latn-ME"/>
        </w:rPr>
        <w:t>Nakon primjene ellaOne kao hitne kontracepcije vjerovatan je brzi oporavak plodnosti</w:t>
      </w:r>
      <w:r w:rsidR="00DB0C0E" w:rsidRPr="0009300B">
        <w:rPr>
          <w:rFonts w:ascii="Times New Roman" w:hAnsi="Times New Roman"/>
          <w:noProof/>
          <w:lang w:val="sr-Latn-ME"/>
        </w:rPr>
        <w:t>.</w:t>
      </w:r>
      <w:r w:rsidRPr="0009300B">
        <w:rPr>
          <w:rFonts w:ascii="Times New Roman" w:hAnsi="Times New Roman"/>
          <w:noProof/>
          <w:lang w:val="sr-Latn-ME"/>
        </w:rPr>
        <w:t xml:space="preserve"> </w:t>
      </w:r>
      <w:r w:rsidR="00DB0C0E" w:rsidRPr="0009300B">
        <w:rPr>
          <w:rFonts w:ascii="Times New Roman" w:hAnsi="Times New Roman"/>
          <w:noProof/>
          <w:lang w:val="sr-Latn-ME"/>
        </w:rPr>
        <w:t>Žene treba savjetovati da kod sljedećih seksualnih odnosa upotrebljavaju pouzdana mehanička kontraceptivna sredstva do sljedeće menstruacije.</w:t>
      </w:r>
      <w:r w:rsidRPr="0009300B">
        <w:rPr>
          <w:rFonts w:ascii="Times New Roman" w:hAnsi="Times New Roman"/>
          <w:noProof/>
          <w:lang w:val="sr-Latn-ME"/>
        </w:rPr>
        <w:t xml:space="preserve"> </w:t>
      </w:r>
    </w:p>
    <w:p w:rsidR="006E5886" w:rsidRPr="0009300B" w:rsidRDefault="006E5886" w:rsidP="00831F36">
      <w:pPr>
        <w:pStyle w:val="NoSpacing"/>
        <w:jc w:val="both"/>
        <w:rPr>
          <w:rFonts w:ascii="Times New Roman" w:hAnsi="Times New Roman"/>
          <w:noProof/>
          <w:lang w:val="sr-Latn-ME"/>
        </w:rPr>
      </w:pPr>
    </w:p>
    <w:p w:rsidR="00BC6C98" w:rsidRPr="0009300B" w:rsidRDefault="0072020E" w:rsidP="0075715F">
      <w:pPr>
        <w:tabs>
          <w:tab w:val="left" w:pos="540"/>
          <w:tab w:val="left" w:pos="569"/>
        </w:tabs>
        <w:ind w:left="540" w:hanging="540"/>
        <w:jc w:val="both"/>
        <w:rPr>
          <w:b/>
          <w:bCs/>
          <w:sz w:val="22"/>
          <w:szCs w:val="22"/>
        </w:rPr>
      </w:pPr>
      <w:r w:rsidRPr="0009300B">
        <w:rPr>
          <w:b/>
          <w:bCs/>
          <w:sz w:val="22"/>
          <w:szCs w:val="22"/>
        </w:rPr>
        <w:t xml:space="preserve">4.7. </w:t>
      </w:r>
      <w:r w:rsidR="00480FB1" w:rsidRPr="0009300B">
        <w:rPr>
          <w:b/>
          <w:bCs/>
          <w:sz w:val="22"/>
          <w:szCs w:val="22"/>
        </w:rPr>
        <w:tab/>
      </w:r>
      <w:r w:rsidRPr="0009300B">
        <w:rPr>
          <w:b/>
          <w:bCs/>
          <w:sz w:val="22"/>
          <w:szCs w:val="22"/>
        </w:rPr>
        <w:t>Uticaj na psihofizičke sposobnosti pril</w:t>
      </w:r>
      <w:r w:rsidR="00F34554" w:rsidRPr="0009300B">
        <w:rPr>
          <w:b/>
          <w:bCs/>
          <w:sz w:val="22"/>
          <w:szCs w:val="22"/>
        </w:rPr>
        <w:t>ikom upravljanja motornim vozili</w:t>
      </w:r>
      <w:r w:rsidRPr="0009300B">
        <w:rPr>
          <w:b/>
          <w:bCs/>
          <w:sz w:val="22"/>
          <w:szCs w:val="22"/>
        </w:rPr>
        <w:t>m</w:t>
      </w:r>
      <w:r w:rsidR="00F34554" w:rsidRPr="0009300B">
        <w:rPr>
          <w:b/>
          <w:bCs/>
          <w:sz w:val="22"/>
          <w:szCs w:val="22"/>
        </w:rPr>
        <w:t>a</w:t>
      </w:r>
      <w:r w:rsidRPr="0009300B">
        <w:rPr>
          <w:b/>
          <w:bCs/>
          <w:sz w:val="22"/>
          <w:szCs w:val="22"/>
        </w:rPr>
        <w:t xml:space="preserve"> i rukovanja mašinama</w:t>
      </w:r>
    </w:p>
    <w:p w:rsidR="002E2085" w:rsidRPr="0009300B" w:rsidRDefault="002E2085" w:rsidP="00F34612">
      <w:pPr>
        <w:pStyle w:val="NoSpacing"/>
        <w:jc w:val="both"/>
        <w:rPr>
          <w:rFonts w:ascii="Times New Roman" w:hAnsi="Times New Roman"/>
          <w:noProof/>
          <w:lang w:val="sr-Latn-ME"/>
        </w:rPr>
      </w:pPr>
    </w:p>
    <w:p w:rsidR="0072020E" w:rsidRPr="0009300B" w:rsidRDefault="006E5886" w:rsidP="00F34612">
      <w:pPr>
        <w:pStyle w:val="NoSpacing"/>
        <w:jc w:val="both"/>
        <w:rPr>
          <w:rFonts w:ascii="Times New Roman" w:hAnsi="Times New Roman"/>
          <w:noProof/>
          <w:lang w:val="sr-Latn-ME"/>
        </w:rPr>
      </w:pPr>
      <w:r w:rsidRPr="0009300B">
        <w:rPr>
          <w:rFonts w:ascii="Times New Roman" w:hAnsi="Times New Roman"/>
          <w:noProof/>
          <w:lang w:val="sr-Latn-ME"/>
        </w:rPr>
        <w:t xml:space="preserve">ellaOne može imati blagi ili umjereni uticaj na sposobnost </w:t>
      </w:r>
      <w:r w:rsidR="00F34612" w:rsidRPr="0009300B">
        <w:rPr>
          <w:rFonts w:ascii="Times New Roman" w:hAnsi="Times New Roman"/>
          <w:noProof/>
          <w:lang w:val="sr-Latn-ME"/>
        </w:rPr>
        <w:t>upravljanja vozilima i mašinama. N</w:t>
      </w:r>
      <w:r w:rsidRPr="0009300B">
        <w:rPr>
          <w:rFonts w:ascii="Times New Roman" w:hAnsi="Times New Roman"/>
          <w:noProof/>
          <w:lang w:val="sr-Latn-ME"/>
        </w:rPr>
        <w:t xml:space="preserve">akon uzimanja ellaOne </w:t>
      </w:r>
      <w:r w:rsidR="00BC6C98" w:rsidRPr="0009300B">
        <w:rPr>
          <w:rFonts w:ascii="Times New Roman" w:hAnsi="Times New Roman"/>
          <w:noProof/>
          <w:lang w:val="sr-Latn-ME"/>
        </w:rPr>
        <w:t xml:space="preserve">česta </w:t>
      </w:r>
      <w:r w:rsidR="00AA7BAC" w:rsidRPr="0009300B">
        <w:rPr>
          <w:rFonts w:ascii="Times New Roman" w:hAnsi="Times New Roman"/>
          <w:noProof/>
          <w:lang w:val="sr-Latn-ME"/>
        </w:rPr>
        <w:t xml:space="preserve">je </w:t>
      </w:r>
      <w:r w:rsidRPr="0009300B">
        <w:rPr>
          <w:rFonts w:ascii="Times New Roman" w:hAnsi="Times New Roman"/>
          <w:noProof/>
          <w:lang w:val="sr-Latn-ME"/>
        </w:rPr>
        <w:t xml:space="preserve">blaga </w:t>
      </w:r>
      <w:r w:rsidR="00AA7BAC" w:rsidRPr="0009300B">
        <w:rPr>
          <w:rFonts w:ascii="Times New Roman" w:hAnsi="Times New Roman"/>
          <w:noProof/>
          <w:lang w:val="sr-Latn-ME"/>
        </w:rPr>
        <w:t>do umjerena omaglic</w:t>
      </w:r>
      <w:r w:rsidR="00B07517" w:rsidRPr="0009300B">
        <w:rPr>
          <w:rFonts w:ascii="Times New Roman" w:hAnsi="Times New Roman"/>
          <w:noProof/>
          <w:lang w:val="sr-Latn-ME"/>
        </w:rPr>
        <w:t>a</w:t>
      </w:r>
      <w:r w:rsidRPr="0009300B">
        <w:rPr>
          <w:rFonts w:ascii="Times New Roman" w:hAnsi="Times New Roman"/>
          <w:noProof/>
          <w:lang w:val="sr-Latn-ME"/>
        </w:rPr>
        <w:t xml:space="preserve">, somnolencija i </w:t>
      </w:r>
      <w:r w:rsidR="00C56B1B" w:rsidRPr="0009300B">
        <w:rPr>
          <w:rFonts w:ascii="Times New Roman" w:hAnsi="Times New Roman"/>
          <w:noProof/>
          <w:lang w:val="sr-Latn-ME"/>
        </w:rPr>
        <w:t>zamagljen</w:t>
      </w:r>
      <w:r w:rsidRPr="0009300B">
        <w:rPr>
          <w:rFonts w:ascii="Times New Roman" w:hAnsi="Times New Roman"/>
          <w:noProof/>
          <w:lang w:val="sr-Latn-ME"/>
        </w:rPr>
        <w:t xml:space="preserve"> vid su manje česti, a</w:t>
      </w:r>
      <w:r w:rsidR="00642706" w:rsidRPr="0009300B">
        <w:rPr>
          <w:rFonts w:ascii="Times New Roman" w:hAnsi="Times New Roman"/>
          <w:noProof/>
          <w:lang w:val="sr-Latn-ME"/>
        </w:rPr>
        <w:t xml:space="preserve"> </w:t>
      </w:r>
      <w:r w:rsidRPr="0009300B">
        <w:rPr>
          <w:rFonts w:ascii="Times New Roman" w:hAnsi="Times New Roman"/>
          <w:noProof/>
          <w:lang w:val="sr-Latn-ME"/>
        </w:rPr>
        <w:t xml:space="preserve">poremećaj pažnje prijavljen je rijetko. Pacijentkinje treba upozoriti da u slučaju pojave takvih simptoma ne upravljaju vozilima ili mašinama (vidjeti </w:t>
      </w:r>
      <w:r w:rsidR="006F22DA" w:rsidRPr="0009300B">
        <w:rPr>
          <w:rFonts w:ascii="Times New Roman" w:hAnsi="Times New Roman"/>
          <w:noProof/>
          <w:lang w:val="sr-Latn-ME"/>
        </w:rPr>
        <w:t>odjelja</w:t>
      </w:r>
      <w:r w:rsidR="00CF132C" w:rsidRPr="0009300B">
        <w:rPr>
          <w:rFonts w:ascii="Times New Roman" w:hAnsi="Times New Roman"/>
          <w:noProof/>
          <w:lang w:val="sr-Latn-ME"/>
        </w:rPr>
        <w:t>k 4.8.).</w:t>
      </w:r>
    </w:p>
    <w:p w:rsidR="006F22DA" w:rsidRPr="0009300B" w:rsidRDefault="006F22DA" w:rsidP="00831F36">
      <w:pPr>
        <w:tabs>
          <w:tab w:val="left" w:pos="540"/>
          <w:tab w:val="left" w:pos="569"/>
        </w:tabs>
        <w:jc w:val="both"/>
        <w:rPr>
          <w:b/>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4.8. </w:t>
      </w:r>
      <w:r w:rsidR="00480FB1" w:rsidRPr="0009300B">
        <w:rPr>
          <w:b/>
          <w:bCs/>
          <w:sz w:val="22"/>
          <w:szCs w:val="22"/>
        </w:rPr>
        <w:tab/>
      </w:r>
      <w:r w:rsidRPr="0009300B">
        <w:rPr>
          <w:b/>
          <w:bCs/>
          <w:sz w:val="22"/>
          <w:szCs w:val="22"/>
        </w:rPr>
        <w:t>Neželjena dejstva</w:t>
      </w:r>
    </w:p>
    <w:p w:rsidR="006F22DA" w:rsidRPr="0009300B" w:rsidRDefault="006F22DA" w:rsidP="00831F36">
      <w:pPr>
        <w:pStyle w:val="NoSpacing"/>
        <w:jc w:val="both"/>
        <w:rPr>
          <w:rFonts w:ascii="Times New Roman" w:hAnsi="Times New Roman"/>
          <w:noProof/>
          <w:lang w:val="sr-Latn-ME"/>
        </w:rPr>
      </w:pPr>
    </w:p>
    <w:p w:rsidR="006F22DA" w:rsidRPr="0009300B" w:rsidRDefault="006F22DA" w:rsidP="00160BD6">
      <w:pPr>
        <w:pStyle w:val="NoSpacing"/>
        <w:jc w:val="both"/>
        <w:rPr>
          <w:rFonts w:ascii="Times New Roman" w:hAnsi="Times New Roman"/>
          <w:noProof/>
          <w:u w:val="single"/>
          <w:lang w:val="sr-Latn-ME"/>
        </w:rPr>
      </w:pPr>
      <w:r w:rsidRPr="0009300B">
        <w:rPr>
          <w:rFonts w:ascii="Times New Roman" w:hAnsi="Times New Roman"/>
          <w:noProof/>
          <w:u w:val="single"/>
          <w:lang w:val="sr-Latn-ME"/>
        </w:rPr>
        <w:t>Sažetak bezbjedn</w:t>
      </w:r>
      <w:r w:rsidR="00D7598E" w:rsidRPr="0009300B">
        <w:rPr>
          <w:rFonts w:ascii="Times New Roman" w:hAnsi="Times New Roman"/>
          <w:noProof/>
          <w:u w:val="single"/>
          <w:lang w:val="sr-Latn-ME"/>
        </w:rPr>
        <w:t>o</w:t>
      </w:r>
      <w:r w:rsidRPr="0009300B">
        <w:rPr>
          <w:rFonts w:ascii="Times New Roman" w:hAnsi="Times New Roman"/>
          <w:noProof/>
          <w:u w:val="single"/>
          <w:lang w:val="sr-Latn-ME"/>
        </w:rPr>
        <w:t>snog profila</w:t>
      </w:r>
    </w:p>
    <w:p w:rsidR="00C1712E" w:rsidRPr="0009300B" w:rsidRDefault="00C1712E">
      <w:pPr>
        <w:pStyle w:val="NoSpacing"/>
        <w:jc w:val="both"/>
        <w:rPr>
          <w:rFonts w:ascii="Times New Roman" w:hAnsi="Times New Roman"/>
          <w:noProof/>
          <w:u w:val="single"/>
          <w:lang w:val="sr-Latn-ME"/>
        </w:rPr>
      </w:pPr>
    </w:p>
    <w:p w:rsidR="006F22DA" w:rsidRPr="0009300B" w:rsidRDefault="006F22DA">
      <w:pPr>
        <w:pStyle w:val="NoSpacing"/>
        <w:jc w:val="both"/>
        <w:rPr>
          <w:rFonts w:ascii="Times New Roman" w:hAnsi="Times New Roman"/>
          <w:noProof/>
          <w:lang w:val="sr-Latn-ME"/>
        </w:rPr>
      </w:pPr>
      <w:r w:rsidRPr="0009300B">
        <w:rPr>
          <w:rFonts w:ascii="Times New Roman" w:hAnsi="Times New Roman"/>
          <w:noProof/>
          <w:lang w:val="sr-Latn-ME"/>
        </w:rPr>
        <w:t>Najčešće prijavlj</w:t>
      </w:r>
      <w:r w:rsidR="004A0E8B" w:rsidRPr="0009300B">
        <w:rPr>
          <w:rFonts w:ascii="Times New Roman" w:hAnsi="Times New Roman"/>
          <w:noProof/>
          <w:lang w:val="sr-Latn-ME"/>
        </w:rPr>
        <w:t>ivana</w:t>
      </w:r>
      <w:r w:rsidRPr="0009300B">
        <w:rPr>
          <w:rFonts w:ascii="Times New Roman" w:hAnsi="Times New Roman"/>
          <w:noProof/>
          <w:lang w:val="sr-Latn-ME"/>
        </w:rPr>
        <w:t xml:space="preserve"> neželjena dejstva</w:t>
      </w:r>
      <w:r w:rsidR="004A0E8B" w:rsidRPr="0009300B">
        <w:rPr>
          <w:rFonts w:ascii="Times New Roman" w:hAnsi="Times New Roman"/>
          <w:noProof/>
          <w:lang w:val="sr-Latn-ME"/>
        </w:rPr>
        <w:t>:</w:t>
      </w:r>
      <w:r w:rsidRPr="0009300B">
        <w:rPr>
          <w:rFonts w:ascii="Times New Roman" w:hAnsi="Times New Roman"/>
          <w:noProof/>
          <w:lang w:val="sr-Latn-ME"/>
        </w:rPr>
        <w:t xml:space="preserve"> glavobolja, mučnina, bolovi u abdomenu i dismenoreja.</w:t>
      </w:r>
    </w:p>
    <w:p w:rsidR="006F22DA" w:rsidRPr="0009300B" w:rsidRDefault="006F22DA">
      <w:pPr>
        <w:pStyle w:val="NoSpacing"/>
        <w:jc w:val="both"/>
        <w:rPr>
          <w:rFonts w:ascii="Times New Roman" w:hAnsi="Times New Roman"/>
          <w:noProof/>
          <w:lang w:val="sr-Latn-ME"/>
        </w:rPr>
      </w:pPr>
    </w:p>
    <w:p w:rsidR="006F22DA" w:rsidRPr="0009300B" w:rsidRDefault="00AB41C1">
      <w:pPr>
        <w:pStyle w:val="NoSpacing"/>
        <w:jc w:val="both"/>
        <w:rPr>
          <w:rFonts w:ascii="Times New Roman" w:hAnsi="Times New Roman"/>
          <w:noProof/>
          <w:lang w:val="sr-Latn-ME"/>
        </w:rPr>
      </w:pPr>
      <w:r w:rsidRPr="0009300B">
        <w:rPr>
          <w:rFonts w:ascii="Times New Roman" w:hAnsi="Times New Roman"/>
          <w:noProof/>
          <w:lang w:val="sr-Latn-ME"/>
        </w:rPr>
        <w:t xml:space="preserve">Bezbjednost </w:t>
      </w:r>
      <w:r w:rsidR="006F22DA" w:rsidRPr="0009300B">
        <w:rPr>
          <w:rFonts w:ascii="Times New Roman" w:hAnsi="Times New Roman"/>
          <w:noProof/>
          <w:lang w:val="sr-Latn-ME"/>
        </w:rPr>
        <w:t xml:space="preserve">ulipristal acetata je tokom programa kliničkog razvoja bila ispitivana kod 4718 žena. </w:t>
      </w:r>
    </w:p>
    <w:p w:rsidR="006F22DA" w:rsidRPr="0009300B" w:rsidRDefault="006F22DA">
      <w:pPr>
        <w:pStyle w:val="NoSpacing"/>
        <w:jc w:val="both"/>
        <w:rPr>
          <w:rFonts w:ascii="Times New Roman" w:hAnsi="Times New Roman"/>
          <w:noProof/>
          <w:lang w:val="sr-Latn-ME"/>
        </w:rPr>
      </w:pPr>
    </w:p>
    <w:p w:rsidR="006F22DA" w:rsidRPr="0009300B" w:rsidRDefault="006F22DA">
      <w:pPr>
        <w:pStyle w:val="NoSpacing"/>
        <w:jc w:val="both"/>
        <w:rPr>
          <w:rFonts w:ascii="Times New Roman" w:hAnsi="Times New Roman"/>
          <w:noProof/>
          <w:u w:val="single"/>
          <w:lang w:val="sr-Latn-ME"/>
        </w:rPr>
      </w:pPr>
      <w:r w:rsidRPr="0009300B">
        <w:rPr>
          <w:rFonts w:ascii="Times New Roman" w:hAnsi="Times New Roman"/>
          <w:noProof/>
          <w:u w:val="single"/>
          <w:lang w:val="sr-Latn-ME"/>
        </w:rPr>
        <w:t>Tabelarni prikaz neželjenih dejstava</w:t>
      </w:r>
    </w:p>
    <w:p w:rsidR="00BC6C98" w:rsidRPr="0009300B" w:rsidRDefault="00BC6C98">
      <w:pPr>
        <w:pStyle w:val="NoSpacing"/>
        <w:jc w:val="both"/>
        <w:rPr>
          <w:rFonts w:ascii="Times New Roman" w:hAnsi="Times New Roman"/>
          <w:noProof/>
          <w:u w:val="single"/>
          <w:lang w:val="sr-Latn-ME"/>
        </w:rPr>
      </w:pPr>
    </w:p>
    <w:p w:rsidR="006F22DA" w:rsidRPr="0009300B" w:rsidRDefault="006F22DA">
      <w:pPr>
        <w:pStyle w:val="NoSpacing"/>
        <w:jc w:val="both"/>
        <w:rPr>
          <w:rFonts w:ascii="Times New Roman" w:hAnsi="Times New Roman"/>
          <w:noProof/>
          <w:lang w:val="sr-Latn-ME"/>
        </w:rPr>
      </w:pPr>
      <w:r w:rsidRPr="0009300B">
        <w:rPr>
          <w:rFonts w:ascii="Times New Roman" w:hAnsi="Times New Roman"/>
          <w:noProof/>
          <w:lang w:val="sr-Latn-ME"/>
        </w:rPr>
        <w:t xml:space="preserve">U </w:t>
      </w:r>
      <w:r w:rsidR="00D7598E" w:rsidRPr="0009300B">
        <w:rPr>
          <w:rFonts w:ascii="Times New Roman" w:hAnsi="Times New Roman"/>
          <w:noProof/>
          <w:lang w:val="sr-Latn-ME"/>
        </w:rPr>
        <w:t>tabeli</w:t>
      </w:r>
      <w:r w:rsidRPr="0009300B">
        <w:rPr>
          <w:rFonts w:ascii="Times New Roman" w:hAnsi="Times New Roman"/>
          <w:noProof/>
          <w:lang w:val="sr-Latn-ME"/>
        </w:rPr>
        <w:t xml:space="preserve"> ispod prikazana su neželjena dejstva prijavljena tokom kliničkog programa faze III</w:t>
      </w:r>
      <w:r w:rsidR="004A0E8B" w:rsidRPr="0009300B">
        <w:rPr>
          <w:rFonts w:ascii="Times New Roman" w:hAnsi="Times New Roman"/>
          <w:noProof/>
          <w:lang w:val="sr-Latn-ME"/>
        </w:rPr>
        <w:t>,</w:t>
      </w:r>
      <w:r w:rsidRPr="0009300B">
        <w:rPr>
          <w:rFonts w:ascii="Times New Roman" w:hAnsi="Times New Roman"/>
          <w:noProof/>
          <w:lang w:val="sr-Latn-ME"/>
        </w:rPr>
        <w:t xml:space="preserve"> koji je obuhvatio 2637 žena. </w:t>
      </w:r>
    </w:p>
    <w:p w:rsidR="00AB41C1" w:rsidRPr="0009300B" w:rsidRDefault="00AB41C1">
      <w:pPr>
        <w:pStyle w:val="NoSpacing"/>
        <w:jc w:val="both"/>
        <w:rPr>
          <w:rFonts w:ascii="Times New Roman" w:hAnsi="Times New Roman"/>
          <w:noProof/>
          <w:lang w:val="sr-Latn-ME"/>
        </w:rPr>
      </w:pPr>
    </w:p>
    <w:p w:rsidR="006F22DA" w:rsidRPr="0009300B" w:rsidRDefault="006F22DA">
      <w:pPr>
        <w:pStyle w:val="NoSpacing"/>
        <w:jc w:val="both"/>
        <w:rPr>
          <w:rFonts w:ascii="Times New Roman" w:hAnsi="Times New Roman"/>
          <w:noProof/>
          <w:lang w:val="sr-Latn-ME"/>
        </w:rPr>
      </w:pPr>
      <w:r w:rsidRPr="0009300B">
        <w:rPr>
          <w:rFonts w:ascii="Times New Roman" w:hAnsi="Times New Roman"/>
          <w:noProof/>
          <w:lang w:val="sr-Latn-ME"/>
        </w:rPr>
        <w:t>Ispod prikazana neželjena dejstva klasifikovana su po učestalosti i organskim sistemima. Neželjena dejstva su unutar pojedin</w:t>
      </w:r>
      <w:r w:rsidR="00B07517" w:rsidRPr="0009300B">
        <w:rPr>
          <w:rFonts w:ascii="Times New Roman" w:hAnsi="Times New Roman"/>
          <w:noProof/>
          <w:lang w:val="sr-Latn-ME"/>
        </w:rPr>
        <w:t>ačn</w:t>
      </w:r>
      <w:r w:rsidRPr="0009300B">
        <w:rPr>
          <w:rFonts w:ascii="Times New Roman" w:hAnsi="Times New Roman"/>
          <w:noProof/>
          <w:lang w:val="sr-Latn-ME"/>
        </w:rPr>
        <w:t xml:space="preserve">ih grupa u navedena u </w:t>
      </w:r>
      <w:r w:rsidR="004A0E8B" w:rsidRPr="0009300B">
        <w:rPr>
          <w:rFonts w:ascii="Times New Roman" w:hAnsi="Times New Roman"/>
          <w:noProof/>
          <w:lang w:val="sr-Latn-ME"/>
        </w:rPr>
        <w:t>o</w:t>
      </w:r>
      <w:r w:rsidRPr="0009300B">
        <w:rPr>
          <w:rFonts w:ascii="Times New Roman" w:hAnsi="Times New Roman"/>
          <w:noProof/>
          <w:lang w:val="sr-Latn-ME"/>
        </w:rPr>
        <w:t>padajućem nizu prema učestalosti.</w:t>
      </w:r>
    </w:p>
    <w:p w:rsidR="006F22DA" w:rsidRPr="0009300B" w:rsidRDefault="006F22DA">
      <w:pPr>
        <w:widowControl w:val="0"/>
        <w:autoSpaceDE w:val="0"/>
        <w:autoSpaceDN w:val="0"/>
        <w:adjustRightInd w:val="0"/>
        <w:jc w:val="both"/>
        <w:rPr>
          <w:sz w:val="22"/>
          <w:szCs w:val="22"/>
        </w:rPr>
      </w:pPr>
      <w:r w:rsidRPr="0009300B">
        <w:rPr>
          <w:sz w:val="22"/>
          <w:szCs w:val="22"/>
        </w:rPr>
        <w:t>U tabeli su prikazana neželjena dejstva prema organskim sistemima i učestalosti: veoma često (≥1/10), često (≥ 1/100 do &lt;1/10), povremeno (≥ 1/1000 do &lt;1/100) i rijetko (≥1/10 000 do &lt;1/1000).</w:t>
      </w:r>
    </w:p>
    <w:p w:rsidR="00B95AB3" w:rsidRPr="0009300B" w:rsidRDefault="00B95AB3">
      <w:pPr>
        <w:widowControl w:val="0"/>
        <w:autoSpaceDE w:val="0"/>
        <w:autoSpaceDN w:val="0"/>
        <w:adjustRightInd w:val="0"/>
        <w:jc w:val="both"/>
        <w:rPr>
          <w:sz w:val="22"/>
          <w:szCs w:val="22"/>
        </w:rPr>
      </w:pPr>
    </w:p>
    <w:p w:rsidR="00B95AB3" w:rsidRPr="0009300B" w:rsidRDefault="00B95AB3">
      <w:pPr>
        <w:widowControl w:val="0"/>
        <w:autoSpaceDE w:val="0"/>
        <w:autoSpaceDN w:val="0"/>
        <w:adjustRightInd w:val="0"/>
        <w:jc w:val="both"/>
        <w:rPr>
          <w:sz w:val="22"/>
          <w:szCs w:val="22"/>
        </w:rPr>
      </w:pPr>
    </w:p>
    <w:p w:rsidR="00B95AB3" w:rsidRPr="0009300B" w:rsidRDefault="00B95AB3">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995"/>
        <w:gridCol w:w="1597"/>
        <w:gridCol w:w="2044"/>
        <w:gridCol w:w="1875"/>
      </w:tblGrid>
      <w:tr w:rsidR="00AB41C1" w:rsidRPr="0009300B" w:rsidTr="00B95AB3">
        <w:trPr>
          <w:trHeight w:val="80"/>
        </w:trPr>
        <w:tc>
          <w:tcPr>
            <w:tcW w:w="1413" w:type="pct"/>
            <w:vAlign w:val="center"/>
          </w:tcPr>
          <w:p w:rsidR="00AB41C1" w:rsidRPr="0009300B" w:rsidRDefault="00AB41C1" w:rsidP="00B95AB3">
            <w:pPr>
              <w:jc w:val="center"/>
              <w:rPr>
                <w:sz w:val="22"/>
                <w:szCs w:val="22"/>
              </w:rPr>
            </w:pPr>
            <w:r w:rsidRPr="0009300B">
              <w:rPr>
                <w:sz w:val="22"/>
                <w:szCs w:val="22"/>
              </w:rPr>
              <w:t>MedDRA</w:t>
            </w:r>
          </w:p>
        </w:tc>
        <w:tc>
          <w:tcPr>
            <w:tcW w:w="3587" w:type="pct"/>
            <w:gridSpan w:val="4"/>
            <w:vAlign w:val="center"/>
          </w:tcPr>
          <w:p w:rsidR="00AB41C1" w:rsidRPr="0009300B" w:rsidRDefault="00AB41C1" w:rsidP="00B95AB3">
            <w:pPr>
              <w:ind w:right="347"/>
              <w:jc w:val="center"/>
              <w:rPr>
                <w:sz w:val="22"/>
                <w:szCs w:val="22"/>
              </w:rPr>
            </w:pPr>
            <w:r w:rsidRPr="0009300B">
              <w:rPr>
                <w:sz w:val="22"/>
                <w:szCs w:val="22"/>
              </w:rPr>
              <w:t>Neželjena dejstva (učestalost)</w:t>
            </w:r>
          </w:p>
        </w:tc>
      </w:tr>
      <w:tr w:rsidR="00AB41C1" w:rsidRPr="0009300B" w:rsidTr="00B95AB3">
        <w:tc>
          <w:tcPr>
            <w:tcW w:w="1413" w:type="pct"/>
            <w:vAlign w:val="center"/>
          </w:tcPr>
          <w:p w:rsidR="00AB41C1" w:rsidRPr="0009300B" w:rsidRDefault="00AB41C1" w:rsidP="00B95AB3">
            <w:pPr>
              <w:jc w:val="center"/>
              <w:rPr>
                <w:b/>
                <w:sz w:val="22"/>
                <w:szCs w:val="22"/>
              </w:rPr>
            </w:pPr>
            <w:r w:rsidRPr="0009300B">
              <w:rPr>
                <w:b/>
                <w:sz w:val="22"/>
                <w:szCs w:val="22"/>
              </w:rPr>
              <w:t>Klasifikacija organskih sistema</w:t>
            </w:r>
          </w:p>
        </w:tc>
        <w:tc>
          <w:tcPr>
            <w:tcW w:w="548" w:type="pct"/>
            <w:vAlign w:val="center"/>
          </w:tcPr>
          <w:p w:rsidR="00AB41C1" w:rsidRPr="0009300B" w:rsidRDefault="00AB41C1" w:rsidP="00B95AB3">
            <w:pPr>
              <w:jc w:val="center"/>
              <w:rPr>
                <w:b/>
                <w:sz w:val="22"/>
                <w:szCs w:val="22"/>
              </w:rPr>
            </w:pPr>
            <w:r w:rsidRPr="0009300B">
              <w:rPr>
                <w:b/>
                <w:sz w:val="22"/>
                <w:szCs w:val="22"/>
              </w:rPr>
              <w:t>Veoma često</w:t>
            </w:r>
          </w:p>
        </w:tc>
        <w:tc>
          <w:tcPr>
            <w:tcW w:w="880" w:type="pct"/>
            <w:vAlign w:val="center"/>
          </w:tcPr>
          <w:p w:rsidR="00AB41C1" w:rsidRPr="0009300B" w:rsidRDefault="00AB41C1" w:rsidP="00B95AB3">
            <w:pPr>
              <w:jc w:val="center"/>
              <w:rPr>
                <w:b/>
                <w:sz w:val="22"/>
                <w:szCs w:val="22"/>
              </w:rPr>
            </w:pPr>
            <w:r w:rsidRPr="0009300B">
              <w:rPr>
                <w:b/>
                <w:sz w:val="22"/>
                <w:szCs w:val="22"/>
              </w:rPr>
              <w:t>Često</w:t>
            </w:r>
          </w:p>
        </w:tc>
        <w:tc>
          <w:tcPr>
            <w:tcW w:w="1126" w:type="pct"/>
            <w:vAlign w:val="center"/>
          </w:tcPr>
          <w:p w:rsidR="00AB41C1" w:rsidRPr="0009300B" w:rsidRDefault="00AB41C1" w:rsidP="00B95AB3">
            <w:pPr>
              <w:jc w:val="center"/>
              <w:rPr>
                <w:sz w:val="22"/>
                <w:szCs w:val="22"/>
              </w:rPr>
            </w:pPr>
            <w:r w:rsidRPr="0009300B">
              <w:rPr>
                <w:b/>
                <w:sz w:val="22"/>
                <w:szCs w:val="22"/>
              </w:rPr>
              <w:t>Povremeno</w:t>
            </w:r>
          </w:p>
        </w:tc>
        <w:tc>
          <w:tcPr>
            <w:tcW w:w="1033" w:type="pct"/>
            <w:vAlign w:val="center"/>
          </w:tcPr>
          <w:p w:rsidR="00AB41C1" w:rsidRPr="0009300B" w:rsidRDefault="00AB41C1" w:rsidP="00B95AB3">
            <w:pPr>
              <w:jc w:val="center"/>
              <w:rPr>
                <w:b/>
                <w:sz w:val="22"/>
                <w:szCs w:val="22"/>
              </w:rPr>
            </w:pPr>
            <w:r w:rsidRPr="0009300B">
              <w:rPr>
                <w:b/>
                <w:sz w:val="22"/>
                <w:szCs w:val="22"/>
              </w:rPr>
              <w:t>Rijetko</w:t>
            </w:r>
          </w:p>
        </w:tc>
      </w:tr>
      <w:tr w:rsidR="00AB41C1" w:rsidRPr="0009300B" w:rsidTr="00B95AB3">
        <w:trPr>
          <w:trHeight w:hRule="exact" w:val="459"/>
        </w:trPr>
        <w:tc>
          <w:tcPr>
            <w:tcW w:w="1413" w:type="pct"/>
          </w:tcPr>
          <w:p w:rsidR="00AB41C1" w:rsidRPr="0009300B" w:rsidRDefault="00AB41C1" w:rsidP="00B95AB3">
            <w:pPr>
              <w:jc w:val="center"/>
              <w:rPr>
                <w:sz w:val="22"/>
                <w:szCs w:val="22"/>
              </w:rPr>
            </w:pPr>
            <w:r w:rsidRPr="0009300B">
              <w:rPr>
                <w:sz w:val="22"/>
                <w:szCs w:val="22"/>
              </w:rPr>
              <w:t>Infekcije i infestacije</w:t>
            </w:r>
          </w:p>
        </w:tc>
        <w:tc>
          <w:tcPr>
            <w:tcW w:w="548" w:type="pct"/>
          </w:tcPr>
          <w:p w:rsidR="00AB41C1" w:rsidRPr="0009300B" w:rsidRDefault="00AB41C1" w:rsidP="00B95AB3">
            <w:pPr>
              <w:jc w:val="center"/>
              <w:rPr>
                <w:strike/>
                <w:sz w:val="22"/>
                <w:szCs w:val="22"/>
              </w:rPr>
            </w:pPr>
          </w:p>
        </w:tc>
        <w:tc>
          <w:tcPr>
            <w:tcW w:w="880" w:type="pct"/>
          </w:tcPr>
          <w:p w:rsidR="00AB41C1" w:rsidRPr="0009300B" w:rsidRDefault="00AB41C1" w:rsidP="00B95AB3">
            <w:pPr>
              <w:jc w:val="center"/>
              <w:rPr>
                <w:strike/>
                <w:sz w:val="22"/>
                <w:szCs w:val="22"/>
              </w:rPr>
            </w:pPr>
          </w:p>
        </w:tc>
        <w:tc>
          <w:tcPr>
            <w:tcW w:w="1126" w:type="pct"/>
          </w:tcPr>
          <w:p w:rsidR="00AB41C1" w:rsidRPr="0009300B" w:rsidRDefault="00AB41C1" w:rsidP="00B95AB3">
            <w:pPr>
              <w:jc w:val="center"/>
              <w:rPr>
                <w:sz w:val="22"/>
                <w:szCs w:val="22"/>
              </w:rPr>
            </w:pPr>
            <w:r w:rsidRPr="0009300B">
              <w:rPr>
                <w:sz w:val="22"/>
                <w:szCs w:val="22"/>
              </w:rPr>
              <w:t>Grip</w:t>
            </w:r>
          </w:p>
        </w:tc>
        <w:tc>
          <w:tcPr>
            <w:tcW w:w="1033" w:type="pct"/>
          </w:tcPr>
          <w:p w:rsidR="00AB41C1" w:rsidRPr="0009300B" w:rsidRDefault="00AB41C1" w:rsidP="00B95AB3">
            <w:pPr>
              <w:jc w:val="center"/>
              <w:rPr>
                <w:sz w:val="22"/>
                <w:szCs w:val="22"/>
              </w:rPr>
            </w:pPr>
          </w:p>
        </w:tc>
      </w:tr>
      <w:tr w:rsidR="00AB41C1" w:rsidRPr="0009300B" w:rsidTr="00B95AB3">
        <w:tc>
          <w:tcPr>
            <w:tcW w:w="1413" w:type="pct"/>
          </w:tcPr>
          <w:p w:rsidR="00AB41C1" w:rsidRPr="0009300B" w:rsidRDefault="00AB41C1" w:rsidP="00B95AB3">
            <w:pPr>
              <w:jc w:val="center"/>
              <w:rPr>
                <w:sz w:val="22"/>
                <w:szCs w:val="22"/>
              </w:rPr>
            </w:pPr>
            <w:r w:rsidRPr="0009300B">
              <w:rPr>
                <w:sz w:val="22"/>
                <w:szCs w:val="22"/>
              </w:rPr>
              <w:t>Poremećaji metabolizma i ishrane</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p>
        </w:tc>
        <w:tc>
          <w:tcPr>
            <w:tcW w:w="1126" w:type="pct"/>
          </w:tcPr>
          <w:p w:rsidR="00AB41C1" w:rsidRPr="0009300B" w:rsidRDefault="00AB41C1" w:rsidP="00B95AB3">
            <w:pPr>
              <w:jc w:val="center"/>
              <w:rPr>
                <w:sz w:val="22"/>
                <w:szCs w:val="22"/>
              </w:rPr>
            </w:pPr>
            <w:r w:rsidRPr="0009300B">
              <w:rPr>
                <w:sz w:val="22"/>
                <w:szCs w:val="22"/>
              </w:rPr>
              <w:t>Poremećaji apetita</w:t>
            </w:r>
          </w:p>
        </w:tc>
        <w:tc>
          <w:tcPr>
            <w:tcW w:w="1033" w:type="pct"/>
          </w:tcPr>
          <w:p w:rsidR="00AB41C1" w:rsidRPr="0009300B" w:rsidRDefault="00AB41C1" w:rsidP="00B95AB3">
            <w:pPr>
              <w:jc w:val="center"/>
              <w:rPr>
                <w:sz w:val="22"/>
                <w:szCs w:val="22"/>
              </w:rPr>
            </w:pPr>
          </w:p>
        </w:tc>
      </w:tr>
      <w:tr w:rsidR="00AB41C1" w:rsidRPr="0009300B" w:rsidTr="00B95AB3">
        <w:trPr>
          <w:trHeight w:val="1202"/>
        </w:trPr>
        <w:tc>
          <w:tcPr>
            <w:tcW w:w="1413" w:type="pct"/>
          </w:tcPr>
          <w:p w:rsidR="00AB41C1" w:rsidRPr="0009300B" w:rsidRDefault="00AB41C1" w:rsidP="00B95AB3">
            <w:pPr>
              <w:jc w:val="center"/>
              <w:rPr>
                <w:sz w:val="22"/>
                <w:szCs w:val="22"/>
              </w:rPr>
            </w:pPr>
            <w:r w:rsidRPr="0009300B">
              <w:rPr>
                <w:sz w:val="22"/>
                <w:szCs w:val="22"/>
              </w:rPr>
              <w:t>Psihijatrijski poremećaji</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Poremećaji raspoloženja</w:t>
            </w:r>
          </w:p>
        </w:tc>
        <w:tc>
          <w:tcPr>
            <w:tcW w:w="1126" w:type="pct"/>
          </w:tcPr>
          <w:p w:rsidR="00AB41C1" w:rsidRPr="0009300B" w:rsidRDefault="00AB41C1" w:rsidP="00B95AB3">
            <w:pPr>
              <w:jc w:val="center"/>
              <w:rPr>
                <w:strike/>
                <w:sz w:val="22"/>
                <w:szCs w:val="22"/>
              </w:rPr>
            </w:pPr>
            <w:r w:rsidRPr="0009300B">
              <w:rPr>
                <w:sz w:val="22"/>
                <w:szCs w:val="22"/>
              </w:rPr>
              <w:t>Emocionalni poremećaj</w:t>
            </w:r>
          </w:p>
          <w:p w:rsidR="00AB41C1" w:rsidRPr="0009300B" w:rsidRDefault="00AB41C1" w:rsidP="00B95AB3">
            <w:pPr>
              <w:jc w:val="center"/>
              <w:rPr>
                <w:sz w:val="22"/>
                <w:szCs w:val="22"/>
              </w:rPr>
            </w:pPr>
            <w:r w:rsidRPr="0009300B">
              <w:rPr>
                <w:sz w:val="22"/>
                <w:szCs w:val="22"/>
              </w:rPr>
              <w:t>Anksioznost</w:t>
            </w:r>
          </w:p>
          <w:p w:rsidR="00AB41C1" w:rsidRPr="0009300B" w:rsidRDefault="00AB41C1" w:rsidP="00B95AB3">
            <w:pPr>
              <w:jc w:val="center"/>
              <w:rPr>
                <w:sz w:val="22"/>
                <w:szCs w:val="22"/>
              </w:rPr>
            </w:pPr>
            <w:r w:rsidRPr="0009300B">
              <w:rPr>
                <w:sz w:val="22"/>
                <w:szCs w:val="22"/>
              </w:rPr>
              <w:t>Nesanica</w:t>
            </w:r>
          </w:p>
          <w:p w:rsidR="00AB41C1" w:rsidRPr="0009300B" w:rsidRDefault="00AB41C1" w:rsidP="00B95AB3">
            <w:pPr>
              <w:ind w:right="-108"/>
              <w:jc w:val="center"/>
              <w:rPr>
                <w:sz w:val="22"/>
                <w:szCs w:val="22"/>
              </w:rPr>
            </w:pPr>
            <w:r w:rsidRPr="0009300B">
              <w:rPr>
                <w:sz w:val="22"/>
                <w:szCs w:val="22"/>
              </w:rPr>
              <w:t>Poremećaj hiperaktivnosti</w:t>
            </w:r>
          </w:p>
          <w:p w:rsidR="00AB41C1" w:rsidRPr="0009300B" w:rsidRDefault="00AB41C1" w:rsidP="00B95AB3">
            <w:pPr>
              <w:jc w:val="center"/>
              <w:rPr>
                <w:strike/>
                <w:sz w:val="22"/>
                <w:szCs w:val="22"/>
              </w:rPr>
            </w:pPr>
            <w:r w:rsidRPr="0009300B">
              <w:rPr>
                <w:sz w:val="22"/>
                <w:szCs w:val="22"/>
              </w:rPr>
              <w:t>Promjene libida</w:t>
            </w:r>
          </w:p>
        </w:tc>
        <w:tc>
          <w:tcPr>
            <w:tcW w:w="1033" w:type="pct"/>
          </w:tcPr>
          <w:p w:rsidR="00AB41C1" w:rsidRPr="0009300B" w:rsidRDefault="00AB41C1" w:rsidP="00B95AB3">
            <w:pPr>
              <w:jc w:val="center"/>
              <w:rPr>
                <w:sz w:val="22"/>
                <w:szCs w:val="22"/>
              </w:rPr>
            </w:pPr>
            <w:r w:rsidRPr="0009300B">
              <w:rPr>
                <w:sz w:val="22"/>
                <w:szCs w:val="22"/>
              </w:rPr>
              <w:t>Dezorijentacija</w:t>
            </w:r>
          </w:p>
        </w:tc>
      </w:tr>
      <w:tr w:rsidR="00AB41C1" w:rsidRPr="0009300B" w:rsidTr="00B95AB3">
        <w:trPr>
          <w:trHeight w:hRule="exact" w:val="1154"/>
        </w:trPr>
        <w:tc>
          <w:tcPr>
            <w:tcW w:w="1413" w:type="pct"/>
          </w:tcPr>
          <w:p w:rsidR="00AB41C1" w:rsidRPr="0009300B" w:rsidRDefault="00AB41C1" w:rsidP="00B95AB3">
            <w:pPr>
              <w:jc w:val="center"/>
              <w:rPr>
                <w:sz w:val="22"/>
                <w:szCs w:val="22"/>
              </w:rPr>
            </w:pPr>
            <w:r w:rsidRPr="0009300B">
              <w:rPr>
                <w:sz w:val="22"/>
                <w:szCs w:val="22"/>
              </w:rPr>
              <w:t>Poremećaji nervnog sistema</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Glavobolja</w:t>
            </w:r>
          </w:p>
          <w:p w:rsidR="00AB41C1" w:rsidRPr="0009300B" w:rsidRDefault="00AB41C1" w:rsidP="00B95AB3">
            <w:pPr>
              <w:jc w:val="center"/>
              <w:rPr>
                <w:sz w:val="22"/>
                <w:szCs w:val="22"/>
              </w:rPr>
            </w:pPr>
            <w:r w:rsidRPr="0009300B">
              <w:rPr>
                <w:sz w:val="22"/>
                <w:szCs w:val="22"/>
              </w:rPr>
              <w:t>Omaglica</w:t>
            </w:r>
          </w:p>
        </w:tc>
        <w:tc>
          <w:tcPr>
            <w:tcW w:w="1126" w:type="pct"/>
          </w:tcPr>
          <w:p w:rsidR="00AB41C1" w:rsidRPr="0009300B" w:rsidRDefault="00AB41C1" w:rsidP="00B95AB3">
            <w:pPr>
              <w:jc w:val="center"/>
              <w:rPr>
                <w:sz w:val="22"/>
                <w:szCs w:val="22"/>
              </w:rPr>
            </w:pPr>
            <w:r w:rsidRPr="0009300B">
              <w:rPr>
                <w:sz w:val="22"/>
                <w:szCs w:val="22"/>
              </w:rPr>
              <w:t>Somnolencija</w:t>
            </w:r>
          </w:p>
          <w:p w:rsidR="00AB41C1" w:rsidRPr="0009300B" w:rsidRDefault="00AB41C1" w:rsidP="00B95AB3">
            <w:pPr>
              <w:jc w:val="center"/>
              <w:rPr>
                <w:sz w:val="22"/>
                <w:szCs w:val="22"/>
              </w:rPr>
            </w:pPr>
            <w:r w:rsidRPr="0009300B">
              <w:rPr>
                <w:sz w:val="22"/>
                <w:szCs w:val="22"/>
              </w:rPr>
              <w:t>Migrena</w:t>
            </w:r>
          </w:p>
        </w:tc>
        <w:tc>
          <w:tcPr>
            <w:tcW w:w="1033" w:type="pct"/>
          </w:tcPr>
          <w:p w:rsidR="00AB41C1" w:rsidRPr="0009300B" w:rsidRDefault="00AB41C1" w:rsidP="00B95AB3">
            <w:pPr>
              <w:jc w:val="center"/>
              <w:rPr>
                <w:sz w:val="22"/>
                <w:szCs w:val="22"/>
              </w:rPr>
            </w:pPr>
            <w:r w:rsidRPr="0009300B">
              <w:rPr>
                <w:sz w:val="22"/>
                <w:szCs w:val="22"/>
              </w:rPr>
              <w:t>Tremor</w:t>
            </w:r>
          </w:p>
          <w:p w:rsidR="00AB41C1" w:rsidRPr="0009300B" w:rsidRDefault="00AB41C1" w:rsidP="00B95AB3">
            <w:pPr>
              <w:jc w:val="center"/>
              <w:rPr>
                <w:sz w:val="22"/>
                <w:szCs w:val="22"/>
              </w:rPr>
            </w:pPr>
            <w:r w:rsidRPr="0009300B">
              <w:rPr>
                <w:sz w:val="22"/>
                <w:szCs w:val="22"/>
              </w:rPr>
              <w:t>Poremećaj pažnje</w:t>
            </w:r>
          </w:p>
          <w:p w:rsidR="00AB41C1" w:rsidRPr="0009300B" w:rsidRDefault="00AB41C1" w:rsidP="00B95AB3">
            <w:pPr>
              <w:jc w:val="center"/>
              <w:rPr>
                <w:sz w:val="22"/>
                <w:szCs w:val="22"/>
              </w:rPr>
            </w:pPr>
            <w:r w:rsidRPr="0009300B">
              <w:rPr>
                <w:sz w:val="22"/>
                <w:szCs w:val="22"/>
              </w:rPr>
              <w:t>Disgeuzija</w:t>
            </w:r>
          </w:p>
          <w:p w:rsidR="00AB41C1" w:rsidRPr="0009300B" w:rsidRDefault="00AB41C1" w:rsidP="00B95AB3">
            <w:pPr>
              <w:jc w:val="center"/>
              <w:rPr>
                <w:strike/>
                <w:sz w:val="22"/>
                <w:szCs w:val="22"/>
              </w:rPr>
            </w:pPr>
            <w:r w:rsidRPr="0009300B">
              <w:rPr>
                <w:sz w:val="22"/>
                <w:szCs w:val="22"/>
              </w:rPr>
              <w:t>Sinkopa</w:t>
            </w:r>
          </w:p>
        </w:tc>
      </w:tr>
      <w:tr w:rsidR="00AB41C1" w:rsidRPr="0009300B" w:rsidTr="00B95AB3">
        <w:tc>
          <w:tcPr>
            <w:tcW w:w="1413" w:type="pct"/>
          </w:tcPr>
          <w:p w:rsidR="00AB41C1" w:rsidRPr="0009300B" w:rsidRDefault="00AB41C1" w:rsidP="00B95AB3">
            <w:pPr>
              <w:jc w:val="center"/>
              <w:rPr>
                <w:sz w:val="22"/>
                <w:szCs w:val="22"/>
              </w:rPr>
            </w:pPr>
            <w:r w:rsidRPr="0009300B">
              <w:rPr>
                <w:sz w:val="22"/>
                <w:szCs w:val="22"/>
              </w:rPr>
              <w:t>Poremećaji oka</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p>
        </w:tc>
        <w:tc>
          <w:tcPr>
            <w:tcW w:w="1126" w:type="pct"/>
          </w:tcPr>
          <w:p w:rsidR="00AB41C1" w:rsidRPr="0009300B" w:rsidRDefault="00AB41C1" w:rsidP="00B95AB3">
            <w:pPr>
              <w:jc w:val="center"/>
              <w:rPr>
                <w:sz w:val="22"/>
                <w:szCs w:val="22"/>
              </w:rPr>
            </w:pPr>
            <w:r w:rsidRPr="0009300B">
              <w:rPr>
                <w:sz w:val="22"/>
                <w:szCs w:val="22"/>
              </w:rPr>
              <w:t>Poremećaj vida</w:t>
            </w:r>
          </w:p>
        </w:tc>
        <w:tc>
          <w:tcPr>
            <w:tcW w:w="1033" w:type="pct"/>
          </w:tcPr>
          <w:p w:rsidR="00AB41C1" w:rsidRPr="0009300B" w:rsidRDefault="00AB41C1" w:rsidP="00B95AB3">
            <w:pPr>
              <w:jc w:val="center"/>
              <w:rPr>
                <w:sz w:val="22"/>
                <w:szCs w:val="22"/>
              </w:rPr>
            </w:pPr>
            <w:r w:rsidRPr="0009300B">
              <w:rPr>
                <w:sz w:val="22"/>
                <w:szCs w:val="22"/>
              </w:rPr>
              <w:t>Abnormalne senzacije u oku</w:t>
            </w:r>
          </w:p>
          <w:p w:rsidR="00AB41C1" w:rsidRPr="0009300B" w:rsidRDefault="00AB41C1" w:rsidP="00B95AB3">
            <w:pPr>
              <w:jc w:val="center"/>
              <w:rPr>
                <w:sz w:val="22"/>
                <w:szCs w:val="22"/>
              </w:rPr>
            </w:pPr>
            <w:r w:rsidRPr="0009300B">
              <w:rPr>
                <w:sz w:val="22"/>
                <w:szCs w:val="22"/>
              </w:rPr>
              <w:t>Okularna hiperemija</w:t>
            </w:r>
          </w:p>
          <w:p w:rsidR="00AB41C1" w:rsidRPr="0009300B" w:rsidRDefault="00AB41C1" w:rsidP="00B95AB3">
            <w:pPr>
              <w:jc w:val="center"/>
              <w:rPr>
                <w:sz w:val="22"/>
                <w:szCs w:val="22"/>
              </w:rPr>
            </w:pPr>
            <w:r w:rsidRPr="0009300B">
              <w:rPr>
                <w:sz w:val="22"/>
                <w:szCs w:val="22"/>
              </w:rPr>
              <w:t>Fotofobija</w:t>
            </w:r>
          </w:p>
        </w:tc>
      </w:tr>
      <w:tr w:rsidR="00AB41C1" w:rsidRPr="0009300B" w:rsidTr="00B95AB3">
        <w:tc>
          <w:tcPr>
            <w:tcW w:w="1413" w:type="pct"/>
          </w:tcPr>
          <w:p w:rsidR="00AB41C1" w:rsidRPr="0009300B" w:rsidRDefault="00AB41C1" w:rsidP="00B95AB3">
            <w:pPr>
              <w:ind w:right="-108"/>
              <w:jc w:val="center"/>
              <w:rPr>
                <w:sz w:val="22"/>
                <w:szCs w:val="22"/>
              </w:rPr>
            </w:pPr>
            <w:r w:rsidRPr="0009300B">
              <w:rPr>
                <w:sz w:val="22"/>
                <w:szCs w:val="22"/>
              </w:rPr>
              <w:t>Poremećaji na nivou uha i centra za ravnotežu</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p>
        </w:tc>
        <w:tc>
          <w:tcPr>
            <w:tcW w:w="1126" w:type="pct"/>
          </w:tcPr>
          <w:p w:rsidR="00AB41C1" w:rsidRPr="0009300B" w:rsidRDefault="00AB41C1" w:rsidP="00B95AB3">
            <w:pPr>
              <w:jc w:val="center"/>
              <w:rPr>
                <w:sz w:val="22"/>
                <w:szCs w:val="22"/>
              </w:rPr>
            </w:pPr>
          </w:p>
        </w:tc>
        <w:tc>
          <w:tcPr>
            <w:tcW w:w="1033" w:type="pct"/>
          </w:tcPr>
          <w:p w:rsidR="00AB41C1" w:rsidRPr="0009300B" w:rsidRDefault="00AB41C1" w:rsidP="00B95AB3">
            <w:pPr>
              <w:jc w:val="center"/>
              <w:rPr>
                <w:sz w:val="22"/>
                <w:szCs w:val="22"/>
              </w:rPr>
            </w:pPr>
            <w:r w:rsidRPr="0009300B">
              <w:rPr>
                <w:sz w:val="22"/>
                <w:szCs w:val="22"/>
              </w:rPr>
              <w:t>Vrtoglavica</w:t>
            </w:r>
          </w:p>
        </w:tc>
      </w:tr>
      <w:tr w:rsidR="00AB41C1" w:rsidRPr="0009300B" w:rsidTr="00B95AB3">
        <w:tc>
          <w:tcPr>
            <w:tcW w:w="1413" w:type="pct"/>
          </w:tcPr>
          <w:p w:rsidR="00AB41C1" w:rsidRPr="0009300B" w:rsidRDefault="00AB41C1" w:rsidP="00B95AB3">
            <w:pPr>
              <w:ind w:right="-108"/>
              <w:jc w:val="center"/>
              <w:rPr>
                <w:sz w:val="22"/>
                <w:szCs w:val="22"/>
              </w:rPr>
            </w:pPr>
            <w:r w:rsidRPr="0009300B">
              <w:rPr>
                <w:sz w:val="22"/>
                <w:szCs w:val="22"/>
              </w:rPr>
              <w:t>Respiratorni, torakalni i medijastinalni poremećaji</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p>
        </w:tc>
        <w:tc>
          <w:tcPr>
            <w:tcW w:w="1126" w:type="pct"/>
          </w:tcPr>
          <w:p w:rsidR="00AB41C1" w:rsidRPr="0009300B" w:rsidRDefault="00AB41C1" w:rsidP="00B95AB3">
            <w:pPr>
              <w:jc w:val="center"/>
              <w:rPr>
                <w:sz w:val="22"/>
                <w:szCs w:val="22"/>
              </w:rPr>
            </w:pPr>
          </w:p>
        </w:tc>
        <w:tc>
          <w:tcPr>
            <w:tcW w:w="1033" w:type="pct"/>
          </w:tcPr>
          <w:p w:rsidR="00AB41C1" w:rsidRPr="0009300B" w:rsidRDefault="00AB41C1" w:rsidP="00B95AB3">
            <w:pPr>
              <w:jc w:val="center"/>
              <w:rPr>
                <w:sz w:val="22"/>
                <w:szCs w:val="22"/>
              </w:rPr>
            </w:pPr>
            <w:r w:rsidRPr="0009300B">
              <w:rPr>
                <w:sz w:val="22"/>
                <w:szCs w:val="22"/>
              </w:rPr>
              <w:t>Suvo grlo</w:t>
            </w:r>
          </w:p>
          <w:p w:rsidR="00AB41C1" w:rsidRPr="0009300B" w:rsidRDefault="00AB41C1" w:rsidP="00B95AB3">
            <w:pPr>
              <w:jc w:val="center"/>
              <w:rPr>
                <w:sz w:val="22"/>
                <w:szCs w:val="22"/>
              </w:rPr>
            </w:pPr>
          </w:p>
        </w:tc>
      </w:tr>
      <w:tr w:rsidR="00AB41C1" w:rsidRPr="0009300B" w:rsidTr="00B95AB3">
        <w:tc>
          <w:tcPr>
            <w:tcW w:w="1413" w:type="pct"/>
          </w:tcPr>
          <w:p w:rsidR="00AB41C1" w:rsidRPr="0009300B" w:rsidRDefault="00AB41C1" w:rsidP="00B95AB3">
            <w:pPr>
              <w:jc w:val="center"/>
              <w:rPr>
                <w:sz w:val="22"/>
                <w:szCs w:val="22"/>
              </w:rPr>
            </w:pPr>
            <w:r w:rsidRPr="0009300B">
              <w:rPr>
                <w:sz w:val="22"/>
                <w:szCs w:val="22"/>
              </w:rPr>
              <w:t>Gastrointestinalni poremećaji</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Mučnina*</w:t>
            </w:r>
          </w:p>
          <w:p w:rsidR="00AB41C1" w:rsidRPr="0009300B" w:rsidRDefault="00AB41C1" w:rsidP="00B95AB3">
            <w:pPr>
              <w:jc w:val="center"/>
              <w:rPr>
                <w:sz w:val="22"/>
                <w:szCs w:val="22"/>
              </w:rPr>
            </w:pPr>
            <w:r w:rsidRPr="0009300B">
              <w:rPr>
                <w:sz w:val="22"/>
                <w:szCs w:val="22"/>
              </w:rPr>
              <w:t>Bol u abdomenu*</w:t>
            </w:r>
          </w:p>
          <w:p w:rsidR="00AB41C1" w:rsidRPr="0009300B" w:rsidRDefault="00AB41C1" w:rsidP="00B95AB3">
            <w:pPr>
              <w:jc w:val="center"/>
              <w:rPr>
                <w:sz w:val="22"/>
                <w:szCs w:val="22"/>
              </w:rPr>
            </w:pPr>
            <w:r w:rsidRPr="0009300B">
              <w:rPr>
                <w:sz w:val="22"/>
                <w:szCs w:val="22"/>
              </w:rPr>
              <w:t>Nelagodnost u abdomenu</w:t>
            </w:r>
          </w:p>
          <w:p w:rsidR="00AB41C1" w:rsidRPr="0009300B" w:rsidRDefault="00AB41C1" w:rsidP="00B95AB3">
            <w:pPr>
              <w:jc w:val="center"/>
              <w:rPr>
                <w:sz w:val="22"/>
                <w:szCs w:val="22"/>
              </w:rPr>
            </w:pPr>
            <w:r w:rsidRPr="0009300B">
              <w:rPr>
                <w:sz w:val="22"/>
                <w:szCs w:val="22"/>
              </w:rPr>
              <w:t>Povraćanje*</w:t>
            </w:r>
          </w:p>
        </w:tc>
        <w:tc>
          <w:tcPr>
            <w:tcW w:w="1126" w:type="pct"/>
          </w:tcPr>
          <w:p w:rsidR="00AB41C1" w:rsidRPr="0009300B" w:rsidRDefault="00AB41C1" w:rsidP="00B95AB3">
            <w:pPr>
              <w:jc w:val="center"/>
              <w:rPr>
                <w:sz w:val="22"/>
                <w:szCs w:val="22"/>
              </w:rPr>
            </w:pPr>
            <w:r w:rsidRPr="0009300B">
              <w:rPr>
                <w:sz w:val="22"/>
                <w:szCs w:val="22"/>
              </w:rPr>
              <w:t>Dijareja</w:t>
            </w:r>
          </w:p>
          <w:p w:rsidR="00AB41C1" w:rsidRPr="0009300B" w:rsidRDefault="00AB41C1" w:rsidP="00B95AB3">
            <w:pPr>
              <w:jc w:val="center"/>
              <w:rPr>
                <w:sz w:val="22"/>
                <w:szCs w:val="22"/>
              </w:rPr>
            </w:pPr>
            <w:r w:rsidRPr="0009300B">
              <w:rPr>
                <w:sz w:val="22"/>
                <w:szCs w:val="22"/>
              </w:rPr>
              <w:t>Suva usta</w:t>
            </w:r>
          </w:p>
          <w:p w:rsidR="00AB41C1" w:rsidRPr="0009300B" w:rsidRDefault="00AB41C1" w:rsidP="00B95AB3">
            <w:pPr>
              <w:jc w:val="center"/>
              <w:rPr>
                <w:sz w:val="22"/>
                <w:szCs w:val="22"/>
              </w:rPr>
            </w:pPr>
            <w:r w:rsidRPr="0009300B">
              <w:rPr>
                <w:sz w:val="22"/>
                <w:szCs w:val="22"/>
              </w:rPr>
              <w:t>Dispepsija</w:t>
            </w:r>
          </w:p>
          <w:p w:rsidR="00AB41C1" w:rsidRPr="0009300B" w:rsidRDefault="00AB41C1" w:rsidP="00B95AB3">
            <w:pPr>
              <w:jc w:val="center"/>
              <w:rPr>
                <w:sz w:val="22"/>
                <w:szCs w:val="22"/>
              </w:rPr>
            </w:pPr>
            <w:r w:rsidRPr="0009300B">
              <w:rPr>
                <w:sz w:val="22"/>
                <w:szCs w:val="22"/>
              </w:rPr>
              <w:t>Flatulencija</w:t>
            </w:r>
          </w:p>
        </w:tc>
        <w:tc>
          <w:tcPr>
            <w:tcW w:w="1033" w:type="pct"/>
          </w:tcPr>
          <w:p w:rsidR="00AB41C1" w:rsidRPr="0009300B" w:rsidRDefault="00AB41C1" w:rsidP="00B95AB3">
            <w:pPr>
              <w:jc w:val="center"/>
              <w:rPr>
                <w:sz w:val="22"/>
                <w:szCs w:val="22"/>
              </w:rPr>
            </w:pPr>
          </w:p>
        </w:tc>
      </w:tr>
      <w:tr w:rsidR="00AB41C1" w:rsidRPr="0009300B" w:rsidTr="00B95AB3">
        <w:tc>
          <w:tcPr>
            <w:tcW w:w="1413" w:type="pct"/>
          </w:tcPr>
          <w:p w:rsidR="00AB41C1" w:rsidRPr="0009300B" w:rsidRDefault="00AB41C1" w:rsidP="00B95AB3">
            <w:pPr>
              <w:jc w:val="center"/>
              <w:rPr>
                <w:sz w:val="22"/>
                <w:szCs w:val="22"/>
              </w:rPr>
            </w:pPr>
            <w:r w:rsidRPr="0009300B">
              <w:rPr>
                <w:sz w:val="22"/>
                <w:szCs w:val="22"/>
              </w:rPr>
              <w:t>Poremećaji na nivou kože i potkožnog tkiva</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p>
        </w:tc>
        <w:tc>
          <w:tcPr>
            <w:tcW w:w="1126" w:type="pct"/>
          </w:tcPr>
          <w:p w:rsidR="00AB41C1" w:rsidRPr="0009300B" w:rsidRDefault="00AB41C1" w:rsidP="00B95AB3">
            <w:pPr>
              <w:jc w:val="center"/>
              <w:rPr>
                <w:sz w:val="22"/>
                <w:szCs w:val="22"/>
              </w:rPr>
            </w:pPr>
            <w:r w:rsidRPr="0009300B">
              <w:rPr>
                <w:sz w:val="22"/>
                <w:szCs w:val="22"/>
              </w:rPr>
              <w:t>Akne</w:t>
            </w:r>
          </w:p>
          <w:p w:rsidR="00AB41C1" w:rsidRPr="0009300B" w:rsidRDefault="00AB41C1" w:rsidP="00B95AB3">
            <w:pPr>
              <w:jc w:val="center"/>
              <w:rPr>
                <w:sz w:val="22"/>
                <w:szCs w:val="22"/>
              </w:rPr>
            </w:pPr>
            <w:r w:rsidRPr="0009300B">
              <w:rPr>
                <w:sz w:val="22"/>
                <w:szCs w:val="22"/>
              </w:rPr>
              <w:t>Kožne lezije</w:t>
            </w:r>
          </w:p>
          <w:p w:rsidR="00AB41C1" w:rsidRPr="0009300B" w:rsidRDefault="00AB41C1" w:rsidP="00B95AB3">
            <w:pPr>
              <w:jc w:val="center"/>
              <w:rPr>
                <w:sz w:val="22"/>
                <w:szCs w:val="22"/>
              </w:rPr>
            </w:pPr>
            <w:r w:rsidRPr="0009300B">
              <w:rPr>
                <w:sz w:val="22"/>
                <w:szCs w:val="22"/>
              </w:rPr>
              <w:t>Pruritus</w:t>
            </w:r>
          </w:p>
        </w:tc>
        <w:tc>
          <w:tcPr>
            <w:tcW w:w="1033" w:type="pct"/>
          </w:tcPr>
          <w:p w:rsidR="00AB41C1" w:rsidRPr="0009300B" w:rsidRDefault="00AB41C1" w:rsidP="00B95AB3">
            <w:pPr>
              <w:jc w:val="center"/>
              <w:rPr>
                <w:sz w:val="22"/>
                <w:szCs w:val="22"/>
              </w:rPr>
            </w:pPr>
            <w:r w:rsidRPr="0009300B">
              <w:rPr>
                <w:sz w:val="22"/>
                <w:szCs w:val="22"/>
              </w:rPr>
              <w:t>Urtikarija</w:t>
            </w:r>
          </w:p>
          <w:p w:rsidR="00AB41C1" w:rsidRPr="0009300B" w:rsidRDefault="00AB41C1" w:rsidP="00B95AB3">
            <w:pPr>
              <w:jc w:val="center"/>
              <w:rPr>
                <w:sz w:val="22"/>
                <w:szCs w:val="22"/>
              </w:rPr>
            </w:pPr>
          </w:p>
        </w:tc>
      </w:tr>
      <w:tr w:rsidR="00AB41C1" w:rsidRPr="0009300B" w:rsidTr="00B95AB3">
        <w:tc>
          <w:tcPr>
            <w:tcW w:w="1413" w:type="pct"/>
          </w:tcPr>
          <w:p w:rsidR="00AB41C1" w:rsidRPr="0009300B" w:rsidRDefault="00AB41C1" w:rsidP="00B95AB3">
            <w:pPr>
              <w:ind w:right="-108"/>
              <w:jc w:val="center"/>
              <w:rPr>
                <w:sz w:val="22"/>
                <w:szCs w:val="22"/>
              </w:rPr>
            </w:pPr>
            <w:r w:rsidRPr="0009300B">
              <w:rPr>
                <w:sz w:val="22"/>
                <w:szCs w:val="22"/>
              </w:rPr>
              <w:t>Mišićno skeletni poremećaji i poremećaji vezivnog tkiva</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Mijalgija</w:t>
            </w:r>
          </w:p>
          <w:p w:rsidR="00AB41C1" w:rsidRPr="0009300B" w:rsidRDefault="00AB41C1" w:rsidP="00B95AB3">
            <w:pPr>
              <w:jc w:val="center"/>
              <w:rPr>
                <w:sz w:val="22"/>
                <w:szCs w:val="22"/>
              </w:rPr>
            </w:pPr>
            <w:r w:rsidRPr="0009300B">
              <w:rPr>
                <w:sz w:val="22"/>
                <w:szCs w:val="22"/>
              </w:rPr>
              <w:t>Bol u leđima</w:t>
            </w:r>
          </w:p>
        </w:tc>
        <w:tc>
          <w:tcPr>
            <w:tcW w:w="1126" w:type="pct"/>
          </w:tcPr>
          <w:p w:rsidR="00AB41C1" w:rsidRPr="0009300B" w:rsidRDefault="00AB41C1" w:rsidP="00B95AB3">
            <w:pPr>
              <w:jc w:val="center"/>
              <w:rPr>
                <w:sz w:val="22"/>
                <w:szCs w:val="22"/>
              </w:rPr>
            </w:pPr>
          </w:p>
        </w:tc>
        <w:tc>
          <w:tcPr>
            <w:tcW w:w="1033" w:type="pct"/>
          </w:tcPr>
          <w:p w:rsidR="00AB41C1" w:rsidRPr="0009300B" w:rsidRDefault="00AB41C1" w:rsidP="00B95AB3">
            <w:pPr>
              <w:jc w:val="center"/>
              <w:rPr>
                <w:sz w:val="22"/>
                <w:szCs w:val="22"/>
              </w:rPr>
            </w:pPr>
          </w:p>
        </w:tc>
      </w:tr>
      <w:tr w:rsidR="00AB41C1" w:rsidRPr="0009300B" w:rsidTr="00B95AB3">
        <w:tc>
          <w:tcPr>
            <w:tcW w:w="1413" w:type="pct"/>
          </w:tcPr>
          <w:p w:rsidR="00AB41C1" w:rsidRPr="0009300B" w:rsidRDefault="00AB41C1" w:rsidP="00B95AB3">
            <w:pPr>
              <w:ind w:right="-108"/>
              <w:jc w:val="center"/>
              <w:rPr>
                <w:sz w:val="22"/>
                <w:szCs w:val="22"/>
              </w:rPr>
            </w:pPr>
            <w:r w:rsidRPr="0009300B">
              <w:rPr>
                <w:sz w:val="22"/>
                <w:szCs w:val="22"/>
              </w:rPr>
              <w:t>Poremećaji reproduktivnog sistema i dojki</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Dismenoreja</w:t>
            </w:r>
          </w:p>
          <w:p w:rsidR="00AB41C1" w:rsidRPr="0009300B" w:rsidRDefault="00AB41C1" w:rsidP="00B95AB3">
            <w:pPr>
              <w:jc w:val="center"/>
              <w:rPr>
                <w:sz w:val="22"/>
                <w:szCs w:val="22"/>
              </w:rPr>
            </w:pPr>
            <w:r w:rsidRPr="0009300B">
              <w:rPr>
                <w:sz w:val="22"/>
                <w:szCs w:val="22"/>
              </w:rPr>
              <w:t>Bol u karlici</w:t>
            </w:r>
          </w:p>
          <w:p w:rsidR="00AB41C1" w:rsidRPr="0009300B" w:rsidRDefault="00AB41C1" w:rsidP="00B95AB3">
            <w:pPr>
              <w:jc w:val="center"/>
              <w:rPr>
                <w:sz w:val="22"/>
                <w:szCs w:val="22"/>
              </w:rPr>
            </w:pPr>
            <w:r w:rsidRPr="0009300B">
              <w:rPr>
                <w:sz w:val="22"/>
                <w:szCs w:val="22"/>
              </w:rPr>
              <w:t>Osjetljivost dojki</w:t>
            </w:r>
          </w:p>
        </w:tc>
        <w:tc>
          <w:tcPr>
            <w:tcW w:w="1126" w:type="pct"/>
          </w:tcPr>
          <w:p w:rsidR="00AB41C1" w:rsidRPr="0009300B" w:rsidRDefault="00AB41C1" w:rsidP="00B95AB3">
            <w:pPr>
              <w:jc w:val="center"/>
              <w:rPr>
                <w:sz w:val="22"/>
                <w:szCs w:val="22"/>
              </w:rPr>
            </w:pPr>
            <w:r w:rsidRPr="0009300B">
              <w:rPr>
                <w:sz w:val="22"/>
                <w:szCs w:val="22"/>
              </w:rPr>
              <w:t>Menoragija</w:t>
            </w:r>
          </w:p>
          <w:p w:rsidR="00AB41C1" w:rsidRPr="0009300B" w:rsidRDefault="00AB41C1" w:rsidP="00B95AB3">
            <w:pPr>
              <w:jc w:val="center"/>
              <w:rPr>
                <w:sz w:val="22"/>
                <w:szCs w:val="22"/>
              </w:rPr>
            </w:pPr>
            <w:r w:rsidRPr="0009300B">
              <w:rPr>
                <w:sz w:val="22"/>
                <w:szCs w:val="22"/>
              </w:rPr>
              <w:t>Vaginalni sekret</w:t>
            </w:r>
          </w:p>
          <w:p w:rsidR="00AB41C1" w:rsidRPr="0009300B" w:rsidRDefault="00AB41C1" w:rsidP="00B95AB3">
            <w:pPr>
              <w:jc w:val="center"/>
              <w:rPr>
                <w:sz w:val="22"/>
                <w:szCs w:val="22"/>
              </w:rPr>
            </w:pPr>
            <w:r w:rsidRPr="0009300B">
              <w:rPr>
                <w:sz w:val="22"/>
                <w:szCs w:val="22"/>
              </w:rPr>
              <w:t>Menstrualni poremećaji</w:t>
            </w:r>
          </w:p>
          <w:p w:rsidR="00AB41C1" w:rsidRPr="0009300B" w:rsidRDefault="00AB41C1" w:rsidP="00B95AB3">
            <w:pPr>
              <w:jc w:val="center"/>
              <w:rPr>
                <w:sz w:val="22"/>
                <w:szCs w:val="22"/>
              </w:rPr>
            </w:pPr>
            <w:r w:rsidRPr="0009300B">
              <w:rPr>
                <w:sz w:val="22"/>
                <w:szCs w:val="22"/>
              </w:rPr>
              <w:t>Metroragija</w:t>
            </w:r>
          </w:p>
          <w:p w:rsidR="00AB41C1" w:rsidRPr="0009300B" w:rsidRDefault="00AB41C1" w:rsidP="00B95AB3">
            <w:pPr>
              <w:jc w:val="center"/>
              <w:rPr>
                <w:sz w:val="22"/>
                <w:szCs w:val="22"/>
              </w:rPr>
            </w:pPr>
            <w:r w:rsidRPr="0009300B">
              <w:rPr>
                <w:sz w:val="22"/>
                <w:szCs w:val="22"/>
              </w:rPr>
              <w:t>Vaginitis</w:t>
            </w:r>
          </w:p>
          <w:p w:rsidR="00AB41C1" w:rsidRPr="0009300B" w:rsidRDefault="00AB41C1" w:rsidP="00B95AB3">
            <w:pPr>
              <w:jc w:val="center"/>
              <w:rPr>
                <w:sz w:val="22"/>
                <w:szCs w:val="22"/>
              </w:rPr>
            </w:pPr>
            <w:r w:rsidRPr="0009300B">
              <w:rPr>
                <w:sz w:val="22"/>
                <w:szCs w:val="22"/>
              </w:rPr>
              <w:t>Talasi vrućine</w:t>
            </w:r>
          </w:p>
          <w:p w:rsidR="00AB41C1" w:rsidRPr="0009300B" w:rsidRDefault="00AB41C1" w:rsidP="00B95AB3">
            <w:pPr>
              <w:jc w:val="center"/>
              <w:rPr>
                <w:sz w:val="22"/>
                <w:szCs w:val="22"/>
              </w:rPr>
            </w:pPr>
            <w:r w:rsidRPr="0009300B">
              <w:rPr>
                <w:sz w:val="22"/>
                <w:szCs w:val="22"/>
              </w:rPr>
              <w:t>Predmenstruacioni sindrom</w:t>
            </w:r>
          </w:p>
        </w:tc>
        <w:tc>
          <w:tcPr>
            <w:tcW w:w="1033" w:type="pct"/>
          </w:tcPr>
          <w:p w:rsidR="00AB41C1" w:rsidRPr="0009300B" w:rsidRDefault="00AB41C1" w:rsidP="00B95AB3">
            <w:pPr>
              <w:jc w:val="center"/>
              <w:rPr>
                <w:sz w:val="22"/>
                <w:szCs w:val="22"/>
              </w:rPr>
            </w:pPr>
            <w:r w:rsidRPr="0009300B">
              <w:rPr>
                <w:sz w:val="22"/>
                <w:szCs w:val="22"/>
              </w:rPr>
              <w:t>Genitalni pruritus</w:t>
            </w:r>
          </w:p>
          <w:p w:rsidR="00AB41C1" w:rsidRPr="0009300B" w:rsidRDefault="00AB41C1" w:rsidP="00B95AB3">
            <w:pPr>
              <w:jc w:val="center"/>
              <w:rPr>
                <w:sz w:val="22"/>
                <w:szCs w:val="22"/>
              </w:rPr>
            </w:pPr>
            <w:r w:rsidRPr="0009300B">
              <w:rPr>
                <w:sz w:val="22"/>
                <w:szCs w:val="22"/>
              </w:rPr>
              <w:t>Dispareunija</w:t>
            </w:r>
          </w:p>
          <w:p w:rsidR="00AB41C1" w:rsidRPr="0009300B" w:rsidRDefault="00AB41C1" w:rsidP="00B95AB3">
            <w:pPr>
              <w:jc w:val="center"/>
              <w:rPr>
                <w:sz w:val="22"/>
                <w:szCs w:val="22"/>
              </w:rPr>
            </w:pPr>
            <w:r w:rsidRPr="0009300B">
              <w:rPr>
                <w:sz w:val="22"/>
                <w:szCs w:val="22"/>
              </w:rPr>
              <w:t>Ruptura ovarijalne ciste</w:t>
            </w:r>
          </w:p>
          <w:p w:rsidR="00AB41C1" w:rsidRPr="0009300B" w:rsidRDefault="00AB41C1" w:rsidP="00B95AB3">
            <w:pPr>
              <w:jc w:val="center"/>
              <w:rPr>
                <w:sz w:val="22"/>
                <w:szCs w:val="22"/>
              </w:rPr>
            </w:pPr>
            <w:r w:rsidRPr="0009300B">
              <w:rPr>
                <w:sz w:val="22"/>
                <w:szCs w:val="22"/>
              </w:rPr>
              <w:t>Vulvovaginalna bol</w:t>
            </w:r>
          </w:p>
          <w:p w:rsidR="00AB41C1" w:rsidRPr="0009300B" w:rsidRDefault="00AB41C1" w:rsidP="00B95AB3">
            <w:pPr>
              <w:jc w:val="center"/>
              <w:rPr>
                <w:sz w:val="22"/>
                <w:szCs w:val="22"/>
              </w:rPr>
            </w:pPr>
            <w:r w:rsidRPr="0009300B">
              <w:rPr>
                <w:sz w:val="22"/>
                <w:szCs w:val="22"/>
              </w:rPr>
              <w:t>Hipomenoreja*</w:t>
            </w:r>
          </w:p>
        </w:tc>
      </w:tr>
      <w:tr w:rsidR="00AB41C1" w:rsidRPr="0009300B" w:rsidTr="00B95AB3">
        <w:tc>
          <w:tcPr>
            <w:tcW w:w="1413" w:type="pct"/>
          </w:tcPr>
          <w:p w:rsidR="00AB41C1" w:rsidRPr="0009300B" w:rsidRDefault="00AB41C1" w:rsidP="00B95AB3">
            <w:pPr>
              <w:ind w:right="-108"/>
              <w:jc w:val="center"/>
              <w:rPr>
                <w:sz w:val="22"/>
                <w:szCs w:val="22"/>
              </w:rPr>
            </w:pPr>
            <w:r w:rsidRPr="0009300B">
              <w:rPr>
                <w:sz w:val="22"/>
                <w:szCs w:val="22"/>
              </w:rPr>
              <w:t>Opšti poremećaji i stanja na mjestu primjene lijeka</w:t>
            </w:r>
          </w:p>
        </w:tc>
        <w:tc>
          <w:tcPr>
            <w:tcW w:w="548" w:type="pct"/>
          </w:tcPr>
          <w:p w:rsidR="00AB41C1" w:rsidRPr="0009300B" w:rsidRDefault="00AB41C1" w:rsidP="00B95AB3">
            <w:pPr>
              <w:jc w:val="center"/>
              <w:rPr>
                <w:sz w:val="22"/>
                <w:szCs w:val="22"/>
              </w:rPr>
            </w:pPr>
          </w:p>
        </w:tc>
        <w:tc>
          <w:tcPr>
            <w:tcW w:w="880" w:type="pct"/>
          </w:tcPr>
          <w:p w:rsidR="00AB41C1" w:rsidRPr="0009300B" w:rsidRDefault="00AB41C1" w:rsidP="00B95AB3">
            <w:pPr>
              <w:jc w:val="center"/>
              <w:rPr>
                <w:sz w:val="22"/>
                <w:szCs w:val="22"/>
              </w:rPr>
            </w:pPr>
            <w:r w:rsidRPr="0009300B">
              <w:rPr>
                <w:sz w:val="22"/>
                <w:szCs w:val="22"/>
              </w:rPr>
              <w:t>Umor</w:t>
            </w:r>
          </w:p>
        </w:tc>
        <w:tc>
          <w:tcPr>
            <w:tcW w:w="1126" w:type="pct"/>
          </w:tcPr>
          <w:p w:rsidR="00AB41C1" w:rsidRPr="0009300B" w:rsidRDefault="00AB41C1" w:rsidP="00B95AB3">
            <w:pPr>
              <w:jc w:val="center"/>
              <w:rPr>
                <w:sz w:val="22"/>
                <w:szCs w:val="22"/>
              </w:rPr>
            </w:pPr>
            <w:r w:rsidRPr="0009300B">
              <w:rPr>
                <w:sz w:val="22"/>
                <w:szCs w:val="22"/>
              </w:rPr>
              <w:t>Drhtavica</w:t>
            </w:r>
          </w:p>
          <w:p w:rsidR="00AB41C1" w:rsidRPr="0009300B" w:rsidRDefault="00AB41C1" w:rsidP="00B95AB3">
            <w:pPr>
              <w:jc w:val="center"/>
              <w:rPr>
                <w:sz w:val="22"/>
                <w:szCs w:val="22"/>
              </w:rPr>
            </w:pPr>
            <w:r w:rsidRPr="0009300B">
              <w:rPr>
                <w:sz w:val="22"/>
                <w:szCs w:val="22"/>
              </w:rPr>
              <w:t>Malaksalost</w:t>
            </w:r>
          </w:p>
          <w:p w:rsidR="00AB41C1" w:rsidRPr="0009300B" w:rsidRDefault="00AB41C1" w:rsidP="00B95AB3">
            <w:pPr>
              <w:ind w:right="-108"/>
              <w:jc w:val="center"/>
              <w:rPr>
                <w:sz w:val="22"/>
                <w:szCs w:val="22"/>
              </w:rPr>
            </w:pPr>
            <w:r w:rsidRPr="0009300B">
              <w:rPr>
                <w:sz w:val="22"/>
                <w:szCs w:val="22"/>
              </w:rPr>
              <w:t>Pireksija</w:t>
            </w:r>
          </w:p>
        </w:tc>
        <w:tc>
          <w:tcPr>
            <w:tcW w:w="1033" w:type="pct"/>
          </w:tcPr>
          <w:p w:rsidR="00AB41C1" w:rsidRPr="0009300B" w:rsidRDefault="00AB41C1" w:rsidP="00B95AB3">
            <w:pPr>
              <w:jc w:val="center"/>
              <w:rPr>
                <w:sz w:val="22"/>
                <w:szCs w:val="22"/>
              </w:rPr>
            </w:pPr>
            <w:r w:rsidRPr="0009300B">
              <w:rPr>
                <w:sz w:val="22"/>
                <w:szCs w:val="22"/>
              </w:rPr>
              <w:t>Žeđ</w:t>
            </w:r>
          </w:p>
        </w:tc>
      </w:tr>
    </w:tbl>
    <w:p w:rsidR="006F22DA" w:rsidRPr="0009300B" w:rsidRDefault="006F22DA" w:rsidP="00160BD6">
      <w:pPr>
        <w:pStyle w:val="NoSpacing"/>
        <w:tabs>
          <w:tab w:val="left" w:pos="1845"/>
        </w:tabs>
        <w:jc w:val="both"/>
        <w:rPr>
          <w:rFonts w:ascii="Times New Roman" w:hAnsi="Times New Roman"/>
          <w:noProof/>
          <w:sz w:val="20"/>
          <w:szCs w:val="20"/>
          <w:lang w:val="sr-Latn-ME"/>
        </w:rPr>
      </w:pPr>
      <w:r w:rsidRPr="0009300B">
        <w:rPr>
          <w:rFonts w:ascii="Times New Roman" w:hAnsi="Times New Roman"/>
          <w:noProof/>
          <w:sz w:val="20"/>
          <w:szCs w:val="20"/>
          <w:lang w:val="sr-Latn-ME"/>
        </w:rPr>
        <w:t xml:space="preserve">*Simptomi koji mogu </w:t>
      </w:r>
      <w:r w:rsidR="00C56B1B" w:rsidRPr="0009300B">
        <w:rPr>
          <w:rFonts w:ascii="Times New Roman" w:hAnsi="Times New Roman"/>
          <w:noProof/>
          <w:sz w:val="20"/>
          <w:szCs w:val="20"/>
          <w:lang w:val="sr-Latn-ME"/>
        </w:rPr>
        <w:t xml:space="preserve">takođe </w:t>
      </w:r>
      <w:r w:rsidRPr="0009300B">
        <w:rPr>
          <w:rFonts w:ascii="Times New Roman" w:hAnsi="Times New Roman"/>
          <w:noProof/>
          <w:sz w:val="20"/>
          <w:szCs w:val="20"/>
          <w:lang w:val="sr-Latn-ME"/>
        </w:rPr>
        <w:t>biti povezani s</w:t>
      </w:r>
      <w:r w:rsidR="00C56B1B" w:rsidRPr="0009300B">
        <w:rPr>
          <w:rFonts w:ascii="Times New Roman" w:hAnsi="Times New Roman"/>
          <w:noProof/>
          <w:sz w:val="20"/>
          <w:szCs w:val="20"/>
          <w:lang w:val="sr-Latn-ME"/>
        </w:rPr>
        <w:t>a neutvrđenom</w:t>
      </w:r>
      <w:r w:rsidRPr="0009300B">
        <w:rPr>
          <w:rFonts w:ascii="Times New Roman" w:hAnsi="Times New Roman"/>
          <w:noProof/>
          <w:sz w:val="20"/>
          <w:szCs w:val="20"/>
          <w:lang w:val="sr-Latn-ME"/>
        </w:rPr>
        <w:t xml:space="preserve"> trudnoćom (</w:t>
      </w:r>
      <w:r w:rsidR="00C56B1B" w:rsidRPr="0009300B">
        <w:rPr>
          <w:rFonts w:ascii="Times New Roman" w:hAnsi="Times New Roman"/>
          <w:noProof/>
          <w:sz w:val="20"/>
          <w:szCs w:val="20"/>
          <w:lang w:val="sr-Latn-ME"/>
        </w:rPr>
        <w:t>ili povezanim komplikacijama</w:t>
      </w:r>
      <w:r w:rsidRPr="0009300B">
        <w:rPr>
          <w:rFonts w:ascii="Times New Roman" w:hAnsi="Times New Roman"/>
          <w:noProof/>
          <w:sz w:val="20"/>
          <w:szCs w:val="20"/>
          <w:lang w:val="sr-Latn-ME"/>
        </w:rPr>
        <w:t>)</w:t>
      </w:r>
    </w:p>
    <w:p w:rsidR="00F70877" w:rsidRPr="0009300B" w:rsidRDefault="00F70877">
      <w:pPr>
        <w:autoSpaceDE w:val="0"/>
        <w:autoSpaceDN w:val="0"/>
        <w:adjustRightInd w:val="0"/>
        <w:jc w:val="both"/>
        <w:rPr>
          <w:sz w:val="22"/>
          <w:szCs w:val="22"/>
        </w:rPr>
      </w:pPr>
    </w:p>
    <w:p w:rsidR="00395145" w:rsidRPr="0009300B" w:rsidRDefault="00C56B1B">
      <w:pPr>
        <w:autoSpaceDE w:val="0"/>
        <w:autoSpaceDN w:val="0"/>
        <w:adjustRightInd w:val="0"/>
        <w:jc w:val="both"/>
        <w:rPr>
          <w:sz w:val="22"/>
          <w:szCs w:val="22"/>
        </w:rPr>
      </w:pPr>
      <w:r w:rsidRPr="0009300B">
        <w:rPr>
          <w:sz w:val="22"/>
          <w:szCs w:val="22"/>
        </w:rPr>
        <w:t>Adolescenti</w:t>
      </w:r>
      <w:r w:rsidR="00F70877" w:rsidRPr="0009300B">
        <w:rPr>
          <w:sz w:val="22"/>
          <w:szCs w:val="22"/>
        </w:rPr>
        <w:t xml:space="preserve">: </w:t>
      </w:r>
      <w:r w:rsidR="00395145" w:rsidRPr="0009300B">
        <w:rPr>
          <w:sz w:val="22"/>
          <w:szCs w:val="22"/>
        </w:rPr>
        <w:t>bezbjednosni</w:t>
      </w:r>
      <w:r w:rsidRPr="0009300B">
        <w:rPr>
          <w:sz w:val="22"/>
          <w:szCs w:val="22"/>
        </w:rPr>
        <w:t xml:space="preserve"> profil primjećen kod žena mlađih od 18 godina u studijama</w:t>
      </w:r>
      <w:r w:rsidR="00395145" w:rsidRPr="0009300B">
        <w:rPr>
          <w:sz w:val="22"/>
          <w:szCs w:val="22"/>
        </w:rPr>
        <w:t xml:space="preserve"> i nakon stavljanja lijeka u promet je sličan bezbjednosnom profilu u odraslih žena tokom programa ispitivanja faze III (odjeljak 4.2).</w:t>
      </w:r>
    </w:p>
    <w:p w:rsidR="00395145" w:rsidRPr="0009300B" w:rsidRDefault="00395145">
      <w:pPr>
        <w:autoSpaceDE w:val="0"/>
        <w:autoSpaceDN w:val="0"/>
        <w:adjustRightInd w:val="0"/>
        <w:jc w:val="both"/>
        <w:rPr>
          <w:sz w:val="22"/>
          <w:szCs w:val="22"/>
        </w:rPr>
      </w:pPr>
    </w:p>
    <w:p w:rsidR="006F22DA" w:rsidRPr="0009300B" w:rsidRDefault="006F22DA">
      <w:pPr>
        <w:autoSpaceDE w:val="0"/>
        <w:autoSpaceDN w:val="0"/>
        <w:adjustRightInd w:val="0"/>
        <w:jc w:val="both"/>
        <w:rPr>
          <w:sz w:val="22"/>
          <w:szCs w:val="22"/>
        </w:rPr>
      </w:pPr>
      <w:r w:rsidRPr="0009300B">
        <w:rPr>
          <w:sz w:val="22"/>
          <w:szCs w:val="22"/>
        </w:rPr>
        <w:t>Postmarketinško iskustvo: spontano prijavljena neželjena dejstva tokom postmarketinške upotrebe lijeka bil</w:t>
      </w:r>
      <w:r w:rsidR="00395145" w:rsidRPr="0009300B">
        <w:rPr>
          <w:sz w:val="22"/>
          <w:szCs w:val="22"/>
        </w:rPr>
        <w:t>a</w:t>
      </w:r>
      <w:r w:rsidRPr="0009300B">
        <w:rPr>
          <w:sz w:val="22"/>
          <w:szCs w:val="22"/>
        </w:rPr>
        <w:t xml:space="preserve"> su </w:t>
      </w:r>
      <w:r w:rsidR="00395145" w:rsidRPr="0009300B">
        <w:rPr>
          <w:sz w:val="22"/>
          <w:szCs w:val="22"/>
        </w:rPr>
        <w:t xml:space="preserve">prirodom i učestalošću </w:t>
      </w:r>
      <w:r w:rsidRPr="0009300B">
        <w:rPr>
          <w:sz w:val="22"/>
          <w:szCs w:val="22"/>
        </w:rPr>
        <w:t>sličn</w:t>
      </w:r>
      <w:r w:rsidR="00395145" w:rsidRPr="0009300B">
        <w:rPr>
          <w:sz w:val="22"/>
          <w:szCs w:val="22"/>
        </w:rPr>
        <w:t>a</w:t>
      </w:r>
      <w:r w:rsidRPr="0009300B">
        <w:rPr>
          <w:sz w:val="22"/>
          <w:szCs w:val="22"/>
        </w:rPr>
        <w:t xml:space="preserve"> bezbjednosnom profilu opisanom tokom ispitivanja faze III. </w:t>
      </w:r>
    </w:p>
    <w:p w:rsidR="00C56B1B" w:rsidRPr="0009300B" w:rsidRDefault="00C56B1B" w:rsidP="00831F36">
      <w:pPr>
        <w:autoSpaceDE w:val="0"/>
        <w:autoSpaceDN w:val="0"/>
        <w:adjustRightInd w:val="0"/>
        <w:jc w:val="both"/>
        <w:rPr>
          <w:sz w:val="22"/>
          <w:szCs w:val="22"/>
          <w:u w:val="single"/>
        </w:rPr>
      </w:pPr>
    </w:p>
    <w:p w:rsidR="006F22DA" w:rsidRPr="0009300B" w:rsidRDefault="006F22DA" w:rsidP="00160BD6">
      <w:pPr>
        <w:autoSpaceDE w:val="0"/>
        <w:autoSpaceDN w:val="0"/>
        <w:adjustRightInd w:val="0"/>
        <w:jc w:val="both"/>
        <w:rPr>
          <w:sz w:val="22"/>
          <w:szCs w:val="22"/>
          <w:u w:val="single"/>
        </w:rPr>
      </w:pPr>
      <w:r w:rsidRPr="0009300B">
        <w:rPr>
          <w:sz w:val="22"/>
          <w:szCs w:val="22"/>
          <w:u w:val="single"/>
        </w:rPr>
        <w:t>Opis odabranih neželjenih dejstava</w:t>
      </w:r>
    </w:p>
    <w:p w:rsidR="00F70877" w:rsidRPr="0009300B" w:rsidRDefault="00F70877">
      <w:pPr>
        <w:autoSpaceDE w:val="0"/>
        <w:autoSpaceDN w:val="0"/>
        <w:adjustRightInd w:val="0"/>
        <w:jc w:val="both"/>
        <w:rPr>
          <w:sz w:val="22"/>
          <w:szCs w:val="22"/>
          <w:u w:val="single"/>
        </w:rPr>
      </w:pPr>
    </w:p>
    <w:p w:rsidR="006F22DA" w:rsidRPr="0009300B" w:rsidRDefault="006F22DA">
      <w:pPr>
        <w:autoSpaceDE w:val="0"/>
        <w:autoSpaceDN w:val="0"/>
        <w:adjustRightInd w:val="0"/>
        <w:jc w:val="both"/>
        <w:rPr>
          <w:sz w:val="22"/>
          <w:szCs w:val="22"/>
        </w:rPr>
      </w:pPr>
      <w:r w:rsidRPr="0009300B">
        <w:rPr>
          <w:sz w:val="22"/>
          <w:szCs w:val="22"/>
        </w:rPr>
        <w:t xml:space="preserve">Većina žena (74,6%) koje su učestvovale u ispitivanjima faze III imala je sljedeću menstruaciju u očekivano vrijeme ili tokom ± 7 dana, dok je kod 6,8% žena nastupila više od 7 dana ranije od očekivanog, a kod 18,5% žena kasnila je više od 7 dana od očekivanog nastupa menstruacije. Kod 4% žena menstruacija je kasnila više od 20 dana. </w:t>
      </w:r>
    </w:p>
    <w:p w:rsidR="006F22DA" w:rsidRPr="0009300B" w:rsidRDefault="006F22DA">
      <w:pPr>
        <w:pStyle w:val="NoSpacing"/>
        <w:jc w:val="both"/>
        <w:rPr>
          <w:rFonts w:ascii="Times New Roman" w:hAnsi="Times New Roman"/>
          <w:noProof/>
          <w:lang w:val="sr-Latn-ME"/>
        </w:rPr>
      </w:pPr>
    </w:p>
    <w:p w:rsidR="006F22DA" w:rsidRPr="0009300B" w:rsidRDefault="006F22DA">
      <w:pPr>
        <w:pStyle w:val="NoSpacing"/>
        <w:jc w:val="both"/>
        <w:rPr>
          <w:rFonts w:ascii="Times New Roman" w:hAnsi="Times New Roman"/>
          <w:noProof/>
          <w:lang w:val="sr-Latn-ME"/>
        </w:rPr>
      </w:pPr>
      <w:r w:rsidRPr="0009300B">
        <w:rPr>
          <w:rFonts w:ascii="Times New Roman" w:hAnsi="Times New Roman"/>
          <w:noProof/>
          <w:lang w:val="sr-Latn-ME"/>
        </w:rPr>
        <w:t>Manji</w:t>
      </w:r>
      <w:r w:rsidR="00AB41C1" w:rsidRPr="0009300B">
        <w:rPr>
          <w:rFonts w:ascii="Times New Roman" w:hAnsi="Times New Roman"/>
          <w:noProof/>
          <w:lang w:val="sr-Latn-ME"/>
        </w:rPr>
        <w:t xml:space="preserve"> procenat </w:t>
      </w:r>
      <w:r w:rsidRPr="0009300B">
        <w:rPr>
          <w:rFonts w:ascii="Times New Roman" w:hAnsi="Times New Roman"/>
          <w:noProof/>
          <w:lang w:val="sr-Latn-ME"/>
        </w:rPr>
        <w:t>žena (8,7%) prijavil</w:t>
      </w:r>
      <w:r w:rsidR="00AB41C1" w:rsidRPr="0009300B">
        <w:rPr>
          <w:rFonts w:ascii="Times New Roman" w:hAnsi="Times New Roman"/>
          <w:noProof/>
          <w:lang w:val="sr-Latn-ME"/>
        </w:rPr>
        <w:t>o</w:t>
      </w:r>
      <w:r w:rsidRPr="0009300B">
        <w:rPr>
          <w:rFonts w:ascii="Times New Roman" w:hAnsi="Times New Roman"/>
          <w:noProof/>
          <w:lang w:val="sr-Latn-ME"/>
        </w:rPr>
        <w:t xml:space="preserve"> je intermenstrua</w:t>
      </w:r>
      <w:r w:rsidR="00AB41C1" w:rsidRPr="0009300B">
        <w:rPr>
          <w:rFonts w:ascii="Times New Roman" w:hAnsi="Times New Roman"/>
          <w:noProof/>
          <w:lang w:val="sr-Latn-ME"/>
        </w:rPr>
        <w:t>lna</w:t>
      </w:r>
      <w:r w:rsidRPr="0009300B">
        <w:rPr>
          <w:rFonts w:ascii="Times New Roman" w:hAnsi="Times New Roman"/>
          <w:noProof/>
          <w:lang w:val="sr-Latn-ME"/>
        </w:rPr>
        <w:t xml:space="preserve"> krvarenja prosječnog trajanja od 2,4 dana. U većini slučaja (88,2%) radilo se o oskudnim krvarenjima. Samo 0,4% žena koje su uzimale ellaOne </w:t>
      </w:r>
      <w:r w:rsidR="004C07CF" w:rsidRPr="0009300B">
        <w:rPr>
          <w:rFonts w:ascii="Times New Roman" w:hAnsi="Times New Roman"/>
          <w:noProof/>
          <w:lang w:val="sr-Latn-ME"/>
        </w:rPr>
        <w:t>tokom</w:t>
      </w:r>
      <w:r w:rsidRPr="0009300B">
        <w:rPr>
          <w:rFonts w:ascii="Times New Roman" w:hAnsi="Times New Roman"/>
          <w:noProof/>
          <w:lang w:val="sr-Latn-ME"/>
        </w:rPr>
        <w:t xml:space="preserve"> ispitivanja faze III je prijavilo jako intermenstru</w:t>
      </w:r>
      <w:r w:rsidR="00AB41C1" w:rsidRPr="0009300B">
        <w:rPr>
          <w:rFonts w:ascii="Times New Roman" w:hAnsi="Times New Roman"/>
          <w:noProof/>
          <w:lang w:val="sr-Latn-ME"/>
        </w:rPr>
        <w:t>alno</w:t>
      </w:r>
      <w:r w:rsidRPr="0009300B">
        <w:rPr>
          <w:rFonts w:ascii="Times New Roman" w:hAnsi="Times New Roman"/>
          <w:noProof/>
          <w:lang w:val="sr-Latn-ME"/>
        </w:rPr>
        <w:t xml:space="preserve"> krvarenje.</w:t>
      </w:r>
    </w:p>
    <w:p w:rsidR="006F22DA" w:rsidRPr="0009300B" w:rsidRDefault="006F22DA">
      <w:pPr>
        <w:pStyle w:val="NoSpacing"/>
        <w:jc w:val="both"/>
        <w:rPr>
          <w:rFonts w:ascii="Times New Roman" w:hAnsi="Times New Roman"/>
          <w:noProof/>
          <w:lang w:val="sr-Latn-ME"/>
        </w:rPr>
      </w:pPr>
    </w:p>
    <w:p w:rsidR="006F22DA" w:rsidRPr="0009300B" w:rsidRDefault="006F22DA">
      <w:pPr>
        <w:pStyle w:val="NoSpacing"/>
        <w:jc w:val="both"/>
        <w:rPr>
          <w:rFonts w:ascii="Times New Roman" w:hAnsi="Times New Roman"/>
          <w:noProof/>
          <w:lang w:val="sr-Latn-ME"/>
        </w:rPr>
      </w:pPr>
      <w:r w:rsidRPr="0009300B">
        <w:rPr>
          <w:rFonts w:ascii="Times New Roman" w:hAnsi="Times New Roman"/>
          <w:noProof/>
          <w:lang w:val="sr-Latn-ME"/>
        </w:rPr>
        <w:t xml:space="preserve">82 žene su </w:t>
      </w:r>
      <w:r w:rsidR="004C07CF" w:rsidRPr="0009300B">
        <w:rPr>
          <w:rFonts w:ascii="Times New Roman" w:hAnsi="Times New Roman"/>
          <w:noProof/>
          <w:lang w:val="sr-Latn-ME"/>
        </w:rPr>
        <w:t>učestvovale</w:t>
      </w:r>
      <w:r w:rsidRPr="0009300B">
        <w:rPr>
          <w:rFonts w:ascii="Times New Roman" w:hAnsi="Times New Roman"/>
          <w:noProof/>
          <w:lang w:val="sr-Latn-ME"/>
        </w:rPr>
        <w:t xml:space="preserve"> u ispitivanjima faze III više puta i stoga dobile više od jedne doze ellaOne (73 žene su bile uključene u ispitivanje dva puta, a 9 žena tri puta). Kod tih žena nije bilo razlika u </w:t>
      </w:r>
      <w:r w:rsidR="006534F0" w:rsidRPr="0009300B">
        <w:rPr>
          <w:rFonts w:ascii="Times New Roman" w:hAnsi="Times New Roman"/>
          <w:noProof/>
          <w:lang w:val="sr-Latn-ME"/>
        </w:rPr>
        <w:t>bezbjednosti, s obzirom na incidenc</w:t>
      </w:r>
      <w:r w:rsidRPr="0009300B">
        <w:rPr>
          <w:rFonts w:ascii="Times New Roman" w:hAnsi="Times New Roman"/>
          <w:noProof/>
          <w:lang w:val="sr-Latn-ME"/>
        </w:rPr>
        <w:t>u i težinu štetnih događaja, promjen</w:t>
      </w:r>
      <w:r w:rsidR="00AB41C1" w:rsidRPr="0009300B">
        <w:rPr>
          <w:rFonts w:ascii="Times New Roman" w:hAnsi="Times New Roman"/>
          <w:noProof/>
          <w:lang w:val="sr-Latn-ME"/>
        </w:rPr>
        <w:t>e</w:t>
      </w:r>
      <w:r w:rsidRPr="0009300B">
        <w:rPr>
          <w:rFonts w:ascii="Times New Roman" w:hAnsi="Times New Roman"/>
          <w:noProof/>
          <w:lang w:val="sr-Latn-ME"/>
        </w:rPr>
        <w:t xml:space="preserve"> u trajanju i volumenu menstruacija</w:t>
      </w:r>
      <w:r w:rsidR="006534F0" w:rsidRPr="0009300B">
        <w:rPr>
          <w:rFonts w:ascii="Times New Roman" w:hAnsi="Times New Roman"/>
          <w:noProof/>
          <w:lang w:val="sr-Latn-ME"/>
        </w:rPr>
        <w:t xml:space="preserve"> te  incidenc</w:t>
      </w:r>
      <w:r w:rsidR="00AB41C1" w:rsidRPr="0009300B">
        <w:rPr>
          <w:rFonts w:ascii="Times New Roman" w:hAnsi="Times New Roman"/>
          <w:noProof/>
          <w:lang w:val="sr-Latn-ME"/>
        </w:rPr>
        <w:t>e</w:t>
      </w:r>
      <w:r w:rsidR="004C07CF" w:rsidRPr="0009300B">
        <w:rPr>
          <w:rFonts w:ascii="Times New Roman" w:hAnsi="Times New Roman"/>
          <w:noProof/>
          <w:lang w:val="sr-Latn-ME"/>
        </w:rPr>
        <w:t xml:space="preserve"> intermenstrua</w:t>
      </w:r>
      <w:r w:rsidR="00AB41C1" w:rsidRPr="0009300B">
        <w:rPr>
          <w:rFonts w:ascii="Times New Roman" w:hAnsi="Times New Roman"/>
          <w:noProof/>
          <w:lang w:val="sr-Latn-ME"/>
        </w:rPr>
        <w:t>lnih</w:t>
      </w:r>
      <w:r w:rsidRPr="0009300B">
        <w:rPr>
          <w:rFonts w:ascii="Times New Roman" w:hAnsi="Times New Roman"/>
          <w:noProof/>
          <w:lang w:val="sr-Latn-ME"/>
        </w:rPr>
        <w:t xml:space="preserve"> krvarenja.</w:t>
      </w:r>
    </w:p>
    <w:p w:rsidR="00AB41C1" w:rsidRPr="0009300B" w:rsidRDefault="00AB41C1">
      <w:pPr>
        <w:pStyle w:val="NoSpacing"/>
        <w:jc w:val="both"/>
        <w:rPr>
          <w:rFonts w:ascii="Times New Roman" w:hAnsi="Times New Roman"/>
          <w:noProof/>
          <w:lang w:val="sr-Latn-ME"/>
        </w:rPr>
      </w:pPr>
    </w:p>
    <w:p w:rsidR="006F22DA" w:rsidRPr="0009300B" w:rsidRDefault="006F22DA">
      <w:pPr>
        <w:pStyle w:val="NoSpacing"/>
        <w:jc w:val="both"/>
        <w:rPr>
          <w:rFonts w:ascii="Times New Roman" w:hAnsi="Times New Roman"/>
          <w:noProof/>
          <w:lang w:val="sr-Latn-ME"/>
        </w:rPr>
      </w:pPr>
    </w:p>
    <w:p w:rsidR="006534F0" w:rsidRPr="0009300B" w:rsidRDefault="006534F0" w:rsidP="00831F36">
      <w:pPr>
        <w:tabs>
          <w:tab w:val="left" w:pos="540"/>
          <w:tab w:val="left" w:pos="569"/>
        </w:tabs>
        <w:jc w:val="both"/>
        <w:rPr>
          <w:bCs/>
          <w:sz w:val="22"/>
          <w:szCs w:val="22"/>
          <w:u w:val="single"/>
        </w:rPr>
      </w:pPr>
      <w:r w:rsidRPr="0009300B">
        <w:rPr>
          <w:bCs/>
          <w:sz w:val="22"/>
          <w:szCs w:val="22"/>
          <w:u w:val="single"/>
        </w:rPr>
        <w:t>Prijavljivanje sumnji na neželjena dejstva</w:t>
      </w:r>
    </w:p>
    <w:p w:rsidR="00C1712E" w:rsidRPr="0009300B" w:rsidRDefault="00C1712E" w:rsidP="00831F36">
      <w:pPr>
        <w:tabs>
          <w:tab w:val="left" w:pos="540"/>
          <w:tab w:val="left" w:pos="569"/>
        </w:tabs>
        <w:jc w:val="both"/>
        <w:rPr>
          <w:bCs/>
          <w:sz w:val="22"/>
          <w:szCs w:val="22"/>
          <w:u w:val="single"/>
        </w:rPr>
      </w:pPr>
    </w:p>
    <w:p w:rsidR="006534F0" w:rsidRPr="0009300B" w:rsidRDefault="006534F0" w:rsidP="00831F36">
      <w:pPr>
        <w:tabs>
          <w:tab w:val="left" w:pos="540"/>
          <w:tab w:val="left" w:pos="569"/>
        </w:tabs>
        <w:jc w:val="both"/>
        <w:rPr>
          <w:bCs/>
          <w:sz w:val="22"/>
          <w:szCs w:val="22"/>
        </w:rPr>
      </w:pPr>
      <w:r w:rsidRPr="0009300B">
        <w:rPr>
          <w:bCs/>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534F0" w:rsidRPr="0009300B" w:rsidRDefault="006534F0" w:rsidP="00831F36">
      <w:pPr>
        <w:tabs>
          <w:tab w:val="left" w:pos="540"/>
          <w:tab w:val="left" w:pos="569"/>
        </w:tabs>
        <w:jc w:val="both"/>
        <w:rPr>
          <w:bCs/>
          <w:sz w:val="22"/>
          <w:szCs w:val="22"/>
        </w:rPr>
      </w:pPr>
    </w:p>
    <w:p w:rsidR="006534F0" w:rsidRPr="0009300B" w:rsidRDefault="006534F0" w:rsidP="00831F36">
      <w:pPr>
        <w:tabs>
          <w:tab w:val="left" w:pos="540"/>
          <w:tab w:val="left" w:pos="569"/>
        </w:tabs>
        <w:jc w:val="both"/>
        <w:rPr>
          <w:bCs/>
          <w:sz w:val="22"/>
          <w:szCs w:val="22"/>
        </w:rPr>
      </w:pPr>
      <w:r w:rsidRPr="0009300B">
        <w:rPr>
          <w:bCs/>
          <w:sz w:val="22"/>
          <w:szCs w:val="22"/>
        </w:rPr>
        <w:t>Agencija za ljekove i medicinska sredstva Crne Gore</w:t>
      </w:r>
    </w:p>
    <w:p w:rsidR="006534F0" w:rsidRPr="0009300B" w:rsidRDefault="006534F0" w:rsidP="00831F36">
      <w:pPr>
        <w:tabs>
          <w:tab w:val="left" w:pos="540"/>
          <w:tab w:val="left" w:pos="569"/>
        </w:tabs>
        <w:jc w:val="both"/>
        <w:rPr>
          <w:bCs/>
          <w:sz w:val="22"/>
          <w:szCs w:val="22"/>
        </w:rPr>
      </w:pPr>
      <w:r w:rsidRPr="0009300B">
        <w:rPr>
          <w:bCs/>
          <w:sz w:val="22"/>
          <w:szCs w:val="22"/>
        </w:rPr>
        <w:t>Odjeljenje za farmakovigilancu</w:t>
      </w:r>
    </w:p>
    <w:p w:rsidR="006534F0" w:rsidRPr="0009300B" w:rsidRDefault="006534F0" w:rsidP="00831F36">
      <w:pPr>
        <w:tabs>
          <w:tab w:val="left" w:pos="540"/>
          <w:tab w:val="left" w:pos="569"/>
        </w:tabs>
        <w:jc w:val="both"/>
        <w:rPr>
          <w:bCs/>
          <w:sz w:val="22"/>
          <w:szCs w:val="22"/>
        </w:rPr>
      </w:pPr>
      <w:r w:rsidRPr="0009300B">
        <w:rPr>
          <w:bCs/>
          <w:sz w:val="22"/>
          <w:szCs w:val="22"/>
        </w:rPr>
        <w:t>Bulevar Ivana Crnojevića 64a, 81000 Podgorica</w:t>
      </w:r>
    </w:p>
    <w:p w:rsidR="00160BD6" w:rsidRPr="0009300B" w:rsidRDefault="00160BD6" w:rsidP="00831F36">
      <w:pPr>
        <w:tabs>
          <w:tab w:val="left" w:pos="540"/>
          <w:tab w:val="left" w:pos="569"/>
        </w:tabs>
        <w:jc w:val="both"/>
        <w:rPr>
          <w:bCs/>
          <w:sz w:val="22"/>
          <w:szCs w:val="22"/>
        </w:rPr>
      </w:pPr>
    </w:p>
    <w:p w:rsidR="006534F0" w:rsidRPr="0009300B" w:rsidRDefault="006534F0" w:rsidP="00831F36">
      <w:pPr>
        <w:tabs>
          <w:tab w:val="left" w:pos="540"/>
          <w:tab w:val="left" w:pos="569"/>
        </w:tabs>
        <w:jc w:val="both"/>
        <w:rPr>
          <w:bCs/>
          <w:sz w:val="22"/>
          <w:szCs w:val="22"/>
        </w:rPr>
      </w:pPr>
      <w:r w:rsidRPr="0009300B">
        <w:rPr>
          <w:bCs/>
          <w:sz w:val="22"/>
          <w:szCs w:val="22"/>
        </w:rPr>
        <w:t>tel: +382 (0) 20 310 280</w:t>
      </w:r>
    </w:p>
    <w:p w:rsidR="006534F0" w:rsidRPr="0009300B" w:rsidRDefault="006534F0" w:rsidP="00831F36">
      <w:pPr>
        <w:tabs>
          <w:tab w:val="left" w:pos="540"/>
          <w:tab w:val="left" w:pos="569"/>
        </w:tabs>
        <w:jc w:val="both"/>
        <w:rPr>
          <w:bCs/>
          <w:sz w:val="22"/>
          <w:szCs w:val="22"/>
        </w:rPr>
      </w:pPr>
      <w:r w:rsidRPr="0009300B">
        <w:rPr>
          <w:bCs/>
          <w:sz w:val="22"/>
          <w:szCs w:val="22"/>
        </w:rPr>
        <w:t>fax:+382 (0) 20 310 581</w:t>
      </w:r>
    </w:p>
    <w:p w:rsidR="00F70877" w:rsidRPr="0009300B" w:rsidRDefault="00560DD5" w:rsidP="00831F36">
      <w:pPr>
        <w:tabs>
          <w:tab w:val="left" w:pos="540"/>
          <w:tab w:val="left" w:pos="569"/>
        </w:tabs>
        <w:jc w:val="both"/>
        <w:rPr>
          <w:bCs/>
          <w:sz w:val="22"/>
          <w:szCs w:val="22"/>
        </w:rPr>
      </w:pPr>
      <w:hyperlink r:id="rId9" w:history="1">
        <w:r w:rsidR="00F70877" w:rsidRPr="0009300B">
          <w:rPr>
            <w:rStyle w:val="Hyperlink"/>
            <w:bCs/>
            <w:sz w:val="22"/>
            <w:szCs w:val="22"/>
          </w:rPr>
          <w:t>www.calims.me</w:t>
        </w:r>
      </w:hyperlink>
    </w:p>
    <w:p w:rsidR="006534F0" w:rsidRPr="0009300B" w:rsidRDefault="00560DD5" w:rsidP="00831F36">
      <w:pPr>
        <w:tabs>
          <w:tab w:val="left" w:pos="540"/>
          <w:tab w:val="left" w:pos="569"/>
        </w:tabs>
        <w:jc w:val="both"/>
        <w:rPr>
          <w:bCs/>
          <w:sz w:val="22"/>
          <w:szCs w:val="22"/>
        </w:rPr>
      </w:pPr>
      <w:hyperlink r:id="rId10" w:history="1">
        <w:r w:rsidR="00F70877" w:rsidRPr="0009300B">
          <w:rPr>
            <w:rStyle w:val="Hyperlink"/>
            <w:bCs/>
            <w:sz w:val="22"/>
            <w:szCs w:val="22"/>
          </w:rPr>
          <w:t>nezeljenadejstva@calims.me</w:t>
        </w:r>
      </w:hyperlink>
    </w:p>
    <w:p w:rsidR="006534F0" w:rsidRPr="0009300B" w:rsidRDefault="006534F0" w:rsidP="00831F36">
      <w:pPr>
        <w:tabs>
          <w:tab w:val="left" w:pos="540"/>
          <w:tab w:val="left" w:pos="569"/>
        </w:tabs>
        <w:jc w:val="both"/>
        <w:rPr>
          <w:bCs/>
          <w:sz w:val="22"/>
          <w:szCs w:val="22"/>
        </w:rPr>
      </w:pPr>
      <w:r w:rsidRPr="0009300B">
        <w:rPr>
          <w:bCs/>
          <w:sz w:val="22"/>
          <w:szCs w:val="22"/>
        </w:rPr>
        <w:t>putem IS zdravstvene zaštite</w:t>
      </w:r>
    </w:p>
    <w:p w:rsidR="00836B35" w:rsidRPr="0009300B" w:rsidRDefault="00836B35" w:rsidP="00831F36">
      <w:pPr>
        <w:tabs>
          <w:tab w:val="left" w:pos="540"/>
          <w:tab w:val="left" w:pos="569"/>
        </w:tabs>
        <w:jc w:val="both"/>
        <w:rPr>
          <w:b/>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4.9. </w:t>
      </w:r>
      <w:r w:rsidR="00480FB1" w:rsidRPr="0009300B">
        <w:rPr>
          <w:b/>
          <w:bCs/>
          <w:sz w:val="22"/>
          <w:szCs w:val="22"/>
        </w:rPr>
        <w:tab/>
      </w:r>
      <w:r w:rsidRPr="0009300B">
        <w:rPr>
          <w:b/>
          <w:bCs/>
          <w:sz w:val="22"/>
          <w:szCs w:val="22"/>
        </w:rPr>
        <w:t>Predoziranje</w:t>
      </w:r>
      <w:r w:rsidR="002846DB" w:rsidRPr="0009300B">
        <w:rPr>
          <w:b/>
          <w:bCs/>
          <w:sz w:val="22"/>
          <w:szCs w:val="22"/>
        </w:rPr>
        <w:t xml:space="preserve"> i mjere koje je potrebno preduzeti</w:t>
      </w:r>
    </w:p>
    <w:p w:rsidR="00F70877" w:rsidRPr="0009300B" w:rsidRDefault="00F70877" w:rsidP="00831F36">
      <w:pPr>
        <w:tabs>
          <w:tab w:val="left" w:pos="540"/>
          <w:tab w:val="left" w:pos="569"/>
        </w:tabs>
        <w:jc w:val="both"/>
        <w:rPr>
          <w:b/>
          <w:bCs/>
          <w:sz w:val="22"/>
          <w:szCs w:val="22"/>
        </w:rPr>
      </w:pPr>
    </w:p>
    <w:p w:rsidR="00EA0A27" w:rsidRPr="0009300B" w:rsidRDefault="00EA0A27" w:rsidP="00831F36">
      <w:pPr>
        <w:pStyle w:val="NoSpacing"/>
        <w:jc w:val="both"/>
        <w:rPr>
          <w:rFonts w:ascii="Times New Roman" w:hAnsi="Times New Roman"/>
          <w:noProof/>
          <w:lang w:val="sr-Latn-ME"/>
        </w:rPr>
      </w:pPr>
      <w:r w:rsidRPr="0009300B">
        <w:rPr>
          <w:rFonts w:ascii="Times New Roman" w:hAnsi="Times New Roman"/>
          <w:noProof/>
          <w:lang w:val="sr-Latn-ME"/>
        </w:rPr>
        <w:t>Iskustvo s predoziranjem ulipristal acetat</w:t>
      </w:r>
      <w:r w:rsidR="006534F0" w:rsidRPr="0009300B">
        <w:rPr>
          <w:rFonts w:ascii="Times New Roman" w:hAnsi="Times New Roman"/>
          <w:noProof/>
          <w:lang w:val="sr-Latn-ME"/>
        </w:rPr>
        <w:t>om</w:t>
      </w:r>
      <w:r w:rsidRPr="0009300B">
        <w:rPr>
          <w:rFonts w:ascii="Times New Roman" w:hAnsi="Times New Roman"/>
          <w:noProof/>
          <w:lang w:val="sr-Latn-ME"/>
        </w:rPr>
        <w:t xml:space="preserve"> je ograničeno. Pojedinačne doze lijeka do 200 mg upotrijebljene su kod žena bez bezbjednosnog rizika. Te visoke doze dobro su tolerisane. Međutim, kod tih je žena došlo do skraćenog menstrualnog ciklusa (krvarenje iz materice pojavljivalo se 2-3 dana ranije nego što je bilo</w:t>
      </w:r>
      <w:r w:rsidR="00551013" w:rsidRPr="0009300B">
        <w:rPr>
          <w:rFonts w:ascii="Times New Roman" w:hAnsi="Times New Roman"/>
          <w:noProof/>
          <w:lang w:val="sr-Latn-ME"/>
        </w:rPr>
        <w:t xml:space="preserve"> </w:t>
      </w:r>
      <w:r w:rsidRPr="0009300B">
        <w:rPr>
          <w:rFonts w:ascii="Times New Roman" w:hAnsi="Times New Roman"/>
          <w:noProof/>
          <w:lang w:val="sr-Latn-ME"/>
        </w:rPr>
        <w:t xml:space="preserve">očekivano), a </w:t>
      </w:r>
      <w:r w:rsidR="006534F0" w:rsidRPr="0009300B">
        <w:rPr>
          <w:rFonts w:ascii="Times New Roman" w:hAnsi="Times New Roman"/>
          <w:noProof/>
          <w:lang w:val="sr-Latn-ME"/>
        </w:rPr>
        <w:t>kod</w:t>
      </w:r>
      <w:r w:rsidRPr="0009300B">
        <w:rPr>
          <w:rFonts w:ascii="Times New Roman" w:hAnsi="Times New Roman"/>
          <w:noProof/>
          <w:lang w:val="sr-Latn-ME"/>
        </w:rPr>
        <w:t xml:space="preserve"> nekih se žena krvarenje </w:t>
      </w:r>
      <w:r w:rsidR="00551013" w:rsidRPr="0009300B">
        <w:rPr>
          <w:rFonts w:ascii="Times New Roman" w:hAnsi="Times New Roman"/>
          <w:noProof/>
          <w:lang w:val="sr-Latn-ME"/>
        </w:rPr>
        <w:t>produž</w:t>
      </w:r>
      <w:r w:rsidRPr="0009300B">
        <w:rPr>
          <w:rFonts w:ascii="Times New Roman" w:hAnsi="Times New Roman"/>
          <w:noProof/>
          <w:lang w:val="sr-Latn-ME"/>
        </w:rPr>
        <w:t xml:space="preserve">ilo, iako ne u velikoj količini (krvavi </w:t>
      </w:r>
      <w:r w:rsidR="00551013" w:rsidRPr="0009300B">
        <w:rPr>
          <w:rFonts w:ascii="Times New Roman" w:hAnsi="Times New Roman"/>
          <w:noProof/>
          <w:lang w:val="sr-Latn-ME"/>
        </w:rPr>
        <w:t>sekret</w:t>
      </w:r>
      <w:r w:rsidRPr="0009300B">
        <w:rPr>
          <w:rFonts w:ascii="Times New Roman" w:hAnsi="Times New Roman"/>
          <w:noProof/>
          <w:lang w:val="sr-Latn-ME"/>
        </w:rPr>
        <w:t xml:space="preserve">). Ne postoji </w:t>
      </w:r>
      <w:r w:rsidR="00551013" w:rsidRPr="0009300B">
        <w:rPr>
          <w:rFonts w:ascii="Times New Roman" w:hAnsi="Times New Roman"/>
          <w:noProof/>
          <w:lang w:val="sr-Latn-ME"/>
        </w:rPr>
        <w:t>antidot</w:t>
      </w:r>
      <w:r w:rsidRPr="0009300B">
        <w:rPr>
          <w:rFonts w:ascii="Times New Roman" w:hAnsi="Times New Roman"/>
          <w:noProof/>
          <w:lang w:val="sr-Latn-ME"/>
        </w:rPr>
        <w:t xml:space="preserve">, a daljnje liječenje treba </w:t>
      </w:r>
      <w:r w:rsidR="00205A81" w:rsidRPr="0009300B">
        <w:rPr>
          <w:rFonts w:ascii="Times New Roman" w:hAnsi="Times New Roman"/>
          <w:noProof/>
          <w:lang w:val="sr-Latn-ME"/>
        </w:rPr>
        <w:t xml:space="preserve">da bude </w:t>
      </w:r>
      <w:r w:rsidRPr="0009300B">
        <w:rPr>
          <w:rFonts w:ascii="Times New Roman" w:hAnsi="Times New Roman"/>
          <w:noProof/>
          <w:lang w:val="sr-Latn-ME"/>
        </w:rPr>
        <w:t>simptomatsko.</w:t>
      </w:r>
    </w:p>
    <w:p w:rsidR="00CD6F02" w:rsidRPr="0009300B" w:rsidRDefault="00CD6F02" w:rsidP="00831F36">
      <w:pPr>
        <w:tabs>
          <w:tab w:val="left" w:pos="540"/>
          <w:tab w:val="left" w:pos="569"/>
        </w:tabs>
        <w:jc w:val="both"/>
        <w:rPr>
          <w:b/>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5. </w:t>
      </w:r>
      <w:r w:rsidR="00480FB1" w:rsidRPr="0009300B">
        <w:rPr>
          <w:b/>
          <w:bCs/>
          <w:sz w:val="22"/>
          <w:szCs w:val="22"/>
        </w:rPr>
        <w:tab/>
      </w:r>
      <w:r w:rsidRPr="0009300B">
        <w:rPr>
          <w:b/>
          <w:bCs/>
          <w:sz w:val="22"/>
          <w:szCs w:val="22"/>
        </w:rPr>
        <w:t>FARMAKOLOŠK</w:t>
      </w:r>
      <w:r w:rsidR="000D425A" w:rsidRPr="0009300B">
        <w:rPr>
          <w:b/>
          <w:bCs/>
          <w:sz w:val="22"/>
          <w:szCs w:val="22"/>
        </w:rPr>
        <w:t>I</w:t>
      </w:r>
      <w:r w:rsidRPr="0009300B">
        <w:rPr>
          <w:b/>
          <w:bCs/>
          <w:sz w:val="22"/>
          <w:szCs w:val="22"/>
        </w:rPr>
        <w:t xml:space="preserve"> PODACI</w:t>
      </w:r>
    </w:p>
    <w:p w:rsidR="0072020E" w:rsidRPr="0009300B" w:rsidRDefault="0072020E" w:rsidP="00831F36">
      <w:pPr>
        <w:tabs>
          <w:tab w:val="left" w:pos="540"/>
          <w:tab w:val="left" w:pos="569"/>
        </w:tabs>
        <w:jc w:val="both"/>
        <w:rPr>
          <w:b/>
          <w:bCs/>
          <w:sz w:val="22"/>
          <w:szCs w:val="22"/>
        </w:rPr>
      </w:pPr>
      <w:r w:rsidRPr="0009300B">
        <w:rPr>
          <w:b/>
          <w:bCs/>
          <w:sz w:val="22"/>
          <w:szCs w:val="22"/>
        </w:rPr>
        <w:t xml:space="preserve">5.1. </w:t>
      </w:r>
      <w:r w:rsidR="00480FB1" w:rsidRPr="0009300B">
        <w:rPr>
          <w:b/>
          <w:bCs/>
          <w:sz w:val="22"/>
          <w:szCs w:val="22"/>
        </w:rPr>
        <w:tab/>
      </w:r>
      <w:r w:rsidRPr="0009300B">
        <w:rPr>
          <w:b/>
          <w:bCs/>
          <w:sz w:val="22"/>
          <w:szCs w:val="22"/>
        </w:rPr>
        <w:t>Farmakodinamski podaci</w:t>
      </w:r>
    </w:p>
    <w:p w:rsidR="00F70877" w:rsidRPr="0009300B" w:rsidRDefault="00F70877" w:rsidP="00831F36">
      <w:pPr>
        <w:tabs>
          <w:tab w:val="left" w:pos="540"/>
          <w:tab w:val="left" w:pos="569"/>
        </w:tabs>
        <w:jc w:val="both"/>
        <w:rPr>
          <w:bCs/>
          <w:sz w:val="22"/>
          <w:szCs w:val="22"/>
        </w:rPr>
      </w:pPr>
    </w:p>
    <w:p w:rsidR="00C1712E" w:rsidRPr="0009300B" w:rsidRDefault="0072020E" w:rsidP="00831F36">
      <w:pPr>
        <w:tabs>
          <w:tab w:val="left" w:pos="540"/>
          <w:tab w:val="left" w:pos="569"/>
        </w:tabs>
        <w:jc w:val="both"/>
        <w:rPr>
          <w:bCs/>
          <w:sz w:val="22"/>
          <w:szCs w:val="22"/>
        </w:rPr>
      </w:pPr>
      <w:r w:rsidRPr="0009300B">
        <w:rPr>
          <w:bCs/>
          <w:sz w:val="22"/>
          <w:szCs w:val="22"/>
        </w:rPr>
        <w:t>Farmakoterapijska grupa:</w:t>
      </w:r>
      <w:r w:rsidR="00CE1A3A" w:rsidRPr="0009300B">
        <w:rPr>
          <w:sz w:val="22"/>
          <w:szCs w:val="22"/>
        </w:rPr>
        <w:t xml:space="preserve"> </w:t>
      </w:r>
      <w:r w:rsidR="00CE1A3A" w:rsidRPr="0009300B">
        <w:rPr>
          <w:bCs/>
          <w:sz w:val="22"/>
          <w:szCs w:val="22"/>
        </w:rPr>
        <w:t>Polni hormoni i modulatori genitalnog sistema, hitni kontraceptivi.</w:t>
      </w:r>
      <w:r w:rsidR="00C1712E" w:rsidRPr="0009300B">
        <w:rPr>
          <w:bCs/>
          <w:sz w:val="22"/>
          <w:szCs w:val="22"/>
        </w:rPr>
        <w:t xml:space="preserve"> </w:t>
      </w:r>
    </w:p>
    <w:p w:rsidR="0072020E" w:rsidRPr="0009300B" w:rsidRDefault="0072020E" w:rsidP="00831F36">
      <w:pPr>
        <w:tabs>
          <w:tab w:val="left" w:pos="540"/>
          <w:tab w:val="left" w:pos="569"/>
        </w:tabs>
        <w:jc w:val="both"/>
        <w:rPr>
          <w:bCs/>
          <w:sz w:val="22"/>
          <w:szCs w:val="22"/>
        </w:rPr>
      </w:pPr>
      <w:r w:rsidRPr="0009300B">
        <w:rPr>
          <w:bCs/>
          <w:sz w:val="22"/>
          <w:szCs w:val="22"/>
        </w:rPr>
        <w:t>ATC kod:</w:t>
      </w:r>
      <w:r w:rsidR="00845226" w:rsidRPr="0009300B">
        <w:rPr>
          <w:bCs/>
          <w:sz w:val="22"/>
          <w:szCs w:val="22"/>
        </w:rPr>
        <w:t xml:space="preserve"> </w:t>
      </w:r>
      <w:r w:rsidR="00CE1A3A" w:rsidRPr="0009300B">
        <w:rPr>
          <w:bCs/>
          <w:sz w:val="22"/>
          <w:szCs w:val="22"/>
        </w:rPr>
        <w:t>G03AD02</w:t>
      </w:r>
    </w:p>
    <w:p w:rsidR="00CE1A3A" w:rsidRPr="0009300B" w:rsidRDefault="00CE1A3A" w:rsidP="00831F36">
      <w:pPr>
        <w:tabs>
          <w:tab w:val="left" w:pos="540"/>
          <w:tab w:val="left" w:pos="569"/>
        </w:tabs>
        <w:jc w:val="both"/>
        <w:rPr>
          <w:bCs/>
          <w:sz w:val="22"/>
          <w:szCs w:val="22"/>
        </w:rPr>
      </w:pPr>
    </w:p>
    <w:p w:rsidR="00D35208" w:rsidRPr="0009300B" w:rsidRDefault="00CE1A3A"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Ulipristal acetat je oralni sintetski selektivni modulator progesteronskih receptora koji djeluje vezujući se visokim afinitetom na humani progesteronski receptor. </w:t>
      </w:r>
      <w:r w:rsidR="00D35208" w:rsidRPr="0009300B">
        <w:rPr>
          <w:rFonts w:ascii="Times New Roman" w:hAnsi="Times New Roman"/>
          <w:noProof/>
          <w:lang w:val="sr-Latn-ME"/>
        </w:rPr>
        <w:t xml:space="preserve">Kada se koristi za hitnu kontracepciju, mehanizam dejstva je inhibicija ili odlaganje ovulacije potiskivanjem LH </w:t>
      </w:r>
      <w:r w:rsidR="00205A81" w:rsidRPr="0009300B">
        <w:rPr>
          <w:rFonts w:ascii="Times New Roman" w:hAnsi="Times New Roman"/>
          <w:noProof/>
          <w:lang w:val="sr-Latn-ME"/>
        </w:rPr>
        <w:t>talasa</w:t>
      </w:r>
      <w:r w:rsidRPr="0009300B">
        <w:rPr>
          <w:rFonts w:ascii="Times New Roman" w:hAnsi="Times New Roman"/>
          <w:noProof/>
          <w:lang w:val="sr-Latn-ME"/>
        </w:rPr>
        <w:t xml:space="preserve">. Farmakodinamički podaci pokazuju da </w:t>
      </w:r>
      <w:r w:rsidR="00D35208" w:rsidRPr="0009300B">
        <w:rPr>
          <w:rFonts w:ascii="Times New Roman" w:hAnsi="Times New Roman"/>
          <w:noProof/>
          <w:lang w:val="sr-Latn-ME"/>
        </w:rPr>
        <w:t>čak i kada se uzme neposredno prije ovulacije (kada je LH već počeo da raste),</w:t>
      </w:r>
      <w:r w:rsidRPr="0009300B">
        <w:rPr>
          <w:rFonts w:ascii="Times New Roman" w:hAnsi="Times New Roman"/>
          <w:noProof/>
          <w:lang w:val="sr-Latn-ME"/>
        </w:rPr>
        <w:t xml:space="preserve"> ulipristal acetat može</w:t>
      </w:r>
      <w:r w:rsidR="00D35208" w:rsidRPr="0009300B">
        <w:rPr>
          <w:rFonts w:ascii="Times New Roman" w:hAnsi="Times New Roman"/>
          <w:noProof/>
          <w:lang w:val="sr-Latn-ME"/>
        </w:rPr>
        <w:t xml:space="preserve"> da</w:t>
      </w:r>
      <w:r w:rsidRPr="0009300B">
        <w:rPr>
          <w:rFonts w:ascii="Times New Roman" w:hAnsi="Times New Roman"/>
          <w:noProof/>
          <w:lang w:val="sr-Latn-ME"/>
        </w:rPr>
        <w:t xml:space="preserve"> o</w:t>
      </w:r>
      <w:r w:rsidR="00551013" w:rsidRPr="0009300B">
        <w:rPr>
          <w:rFonts w:ascii="Times New Roman" w:hAnsi="Times New Roman"/>
          <w:noProof/>
          <w:lang w:val="sr-Latn-ME"/>
        </w:rPr>
        <w:t>dloži</w:t>
      </w:r>
      <w:r w:rsidRPr="0009300B">
        <w:rPr>
          <w:rFonts w:ascii="Times New Roman" w:hAnsi="Times New Roman"/>
          <w:noProof/>
          <w:lang w:val="sr-Latn-ME"/>
        </w:rPr>
        <w:t xml:space="preserve"> folikularnu rupturu</w:t>
      </w:r>
      <w:r w:rsidR="00D35208" w:rsidRPr="0009300B">
        <w:rPr>
          <w:rFonts w:ascii="Times New Roman" w:hAnsi="Times New Roman"/>
          <w:noProof/>
          <w:lang w:val="sr-Latn-ME"/>
        </w:rPr>
        <w:t xml:space="preserve"> za najmanje 5 dana u 78,6% slučajeva (p</w:t>
      </w:r>
      <w:r w:rsidR="00124621" w:rsidRPr="0009300B">
        <w:rPr>
          <w:rFonts w:ascii="Times New Roman" w:hAnsi="Times New Roman"/>
          <w:noProof/>
          <w:lang w:val="sr-Latn-ME"/>
        </w:rPr>
        <w:t xml:space="preserve">&lt;0,005 naspram </w:t>
      </w:r>
      <w:r w:rsidR="00205A81" w:rsidRPr="0009300B">
        <w:rPr>
          <w:rFonts w:ascii="Times New Roman" w:hAnsi="Times New Roman"/>
          <w:noProof/>
          <w:lang w:val="sr-Latn-ME"/>
        </w:rPr>
        <w:t xml:space="preserve">levonorgestrela </w:t>
      </w:r>
      <w:r w:rsidR="00124621" w:rsidRPr="0009300B">
        <w:rPr>
          <w:rFonts w:ascii="Times New Roman" w:hAnsi="Times New Roman"/>
          <w:noProof/>
          <w:lang w:val="sr-Latn-ME"/>
        </w:rPr>
        <w:t>i naspram</w:t>
      </w:r>
      <w:r w:rsidR="00D35208" w:rsidRPr="0009300B">
        <w:rPr>
          <w:rFonts w:ascii="Times New Roman" w:hAnsi="Times New Roman"/>
          <w:noProof/>
          <w:lang w:val="sr-Latn-ME"/>
        </w:rPr>
        <w:t xml:space="preserve"> </w:t>
      </w:r>
      <w:r w:rsidR="00205A81" w:rsidRPr="0009300B">
        <w:rPr>
          <w:rFonts w:ascii="Times New Roman" w:hAnsi="Times New Roman"/>
          <w:noProof/>
          <w:lang w:val="sr-Latn-ME"/>
        </w:rPr>
        <w:t>placeba</w:t>
      </w:r>
      <w:r w:rsidR="00D35208" w:rsidRPr="0009300B">
        <w:rPr>
          <w:rFonts w:ascii="Times New Roman" w:hAnsi="Times New Roman"/>
          <w:noProof/>
          <w:lang w:val="sr-Latn-ME"/>
        </w:rPr>
        <w:t xml:space="preserve">) (vidjeti </w:t>
      </w:r>
      <w:r w:rsidR="00205A81" w:rsidRPr="0009300B">
        <w:rPr>
          <w:rFonts w:ascii="Times New Roman" w:hAnsi="Times New Roman"/>
          <w:noProof/>
          <w:lang w:val="sr-Latn-ME"/>
        </w:rPr>
        <w:t>tabelu</w:t>
      </w:r>
      <w:r w:rsidR="00D35208" w:rsidRPr="0009300B">
        <w:rPr>
          <w:rFonts w:ascii="Times New Roman" w:hAnsi="Times New Roman"/>
          <w:noProof/>
          <w:lang w:val="sr-Latn-ME"/>
        </w:rPr>
        <w:t>)</w:t>
      </w:r>
      <w:r w:rsidRPr="0009300B">
        <w:rPr>
          <w:rFonts w:ascii="Times New Roman" w:hAnsi="Times New Roman"/>
          <w:noProof/>
          <w:lang w:val="sr-Latn-ME"/>
        </w:rPr>
        <w:t>.</w:t>
      </w:r>
    </w:p>
    <w:p w:rsidR="004F004E" w:rsidRPr="0009300B" w:rsidRDefault="00CE1A3A"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843"/>
        <w:gridCol w:w="2835"/>
      </w:tblGrid>
      <w:tr w:rsidR="004F004E" w:rsidRPr="0009300B" w:rsidTr="00E91AA9">
        <w:tc>
          <w:tcPr>
            <w:tcW w:w="8897" w:type="dxa"/>
            <w:gridSpan w:val="4"/>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Spr</w:t>
            </w:r>
            <w:r w:rsidR="00205A81" w:rsidRPr="0009300B">
              <w:rPr>
                <w:rFonts w:eastAsia="Calibri"/>
                <w:sz w:val="22"/>
                <w:szCs w:val="22"/>
              </w:rPr>
              <w:t>j</w:t>
            </w:r>
            <w:r w:rsidRPr="0009300B">
              <w:rPr>
                <w:rFonts w:eastAsia="Calibri"/>
                <w:sz w:val="22"/>
                <w:szCs w:val="22"/>
              </w:rPr>
              <w:t>ečavanje ovulacije</w:t>
            </w:r>
            <w:r w:rsidRPr="0009300B">
              <w:rPr>
                <w:rFonts w:eastAsia="Calibri"/>
                <w:sz w:val="22"/>
                <w:szCs w:val="22"/>
                <w:vertAlign w:val="superscript"/>
              </w:rPr>
              <w:t>1,§</w:t>
            </w:r>
          </w:p>
        </w:tc>
      </w:tr>
      <w:tr w:rsidR="004F004E" w:rsidRPr="0009300B" w:rsidTr="00E91AA9">
        <w:tc>
          <w:tcPr>
            <w:tcW w:w="2660" w:type="dxa"/>
            <w:shd w:val="clear" w:color="auto" w:fill="auto"/>
          </w:tcPr>
          <w:p w:rsidR="004F004E" w:rsidRPr="0009300B" w:rsidRDefault="004F004E" w:rsidP="00F70877">
            <w:pPr>
              <w:keepNext/>
              <w:rPr>
                <w:rFonts w:eastAsia="Calibri"/>
                <w:sz w:val="22"/>
                <w:szCs w:val="22"/>
              </w:rPr>
            </w:pPr>
          </w:p>
        </w:tc>
        <w:tc>
          <w:tcPr>
            <w:tcW w:w="1559" w:type="dxa"/>
            <w:shd w:val="clear" w:color="auto" w:fill="auto"/>
          </w:tcPr>
          <w:p w:rsidR="004F004E" w:rsidRPr="0009300B" w:rsidRDefault="004F004E" w:rsidP="00F70877">
            <w:pPr>
              <w:keepNext/>
              <w:jc w:val="center"/>
              <w:rPr>
                <w:rFonts w:eastAsia="Calibri"/>
                <w:b/>
                <w:sz w:val="22"/>
                <w:szCs w:val="22"/>
              </w:rPr>
            </w:pPr>
            <w:r w:rsidRPr="0009300B">
              <w:rPr>
                <w:rFonts w:eastAsia="Calibri"/>
                <w:b/>
                <w:sz w:val="22"/>
                <w:szCs w:val="22"/>
              </w:rPr>
              <w:t>Placebo</w:t>
            </w:r>
          </w:p>
          <w:p w:rsidR="004F004E" w:rsidRPr="0009300B" w:rsidRDefault="004F004E" w:rsidP="00F70877">
            <w:pPr>
              <w:keepNext/>
              <w:jc w:val="center"/>
              <w:rPr>
                <w:rFonts w:eastAsia="Calibri"/>
                <w:sz w:val="22"/>
                <w:szCs w:val="22"/>
              </w:rPr>
            </w:pPr>
            <w:r w:rsidRPr="0009300B">
              <w:rPr>
                <w:rFonts w:eastAsia="Calibri"/>
                <w:sz w:val="22"/>
                <w:szCs w:val="22"/>
              </w:rPr>
              <w:t>n=50</w:t>
            </w:r>
          </w:p>
        </w:tc>
        <w:tc>
          <w:tcPr>
            <w:tcW w:w="1843" w:type="dxa"/>
            <w:shd w:val="clear" w:color="auto" w:fill="auto"/>
          </w:tcPr>
          <w:p w:rsidR="004F004E" w:rsidRPr="0009300B" w:rsidRDefault="004F004E" w:rsidP="00F70877">
            <w:pPr>
              <w:keepNext/>
              <w:jc w:val="center"/>
              <w:rPr>
                <w:rFonts w:eastAsia="Calibri"/>
                <w:b/>
                <w:sz w:val="22"/>
                <w:szCs w:val="22"/>
              </w:rPr>
            </w:pPr>
            <w:r w:rsidRPr="0009300B">
              <w:rPr>
                <w:rFonts w:eastAsia="Calibri"/>
                <w:b/>
                <w:sz w:val="22"/>
                <w:szCs w:val="22"/>
              </w:rPr>
              <w:t>Levonorgestrel</w:t>
            </w:r>
          </w:p>
          <w:p w:rsidR="004F004E" w:rsidRPr="0009300B" w:rsidRDefault="004F004E" w:rsidP="00F70877">
            <w:pPr>
              <w:keepNext/>
              <w:jc w:val="center"/>
              <w:rPr>
                <w:rFonts w:eastAsia="Calibri"/>
                <w:sz w:val="22"/>
                <w:szCs w:val="22"/>
              </w:rPr>
            </w:pPr>
            <w:r w:rsidRPr="0009300B">
              <w:rPr>
                <w:rFonts w:eastAsia="Calibri"/>
                <w:sz w:val="22"/>
                <w:szCs w:val="22"/>
              </w:rPr>
              <w:t>n=48</w:t>
            </w:r>
          </w:p>
        </w:tc>
        <w:tc>
          <w:tcPr>
            <w:tcW w:w="2835" w:type="dxa"/>
            <w:shd w:val="clear" w:color="auto" w:fill="auto"/>
          </w:tcPr>
          <w:p w:rsidR="004F004E" w:rsidRPr="0009300B" w:rsidRDefault="004F004E" w:rsidP="00F70877">
            <w:pPr>
              <w:keepNext/>
              <w:jc w:val="center"/>
              <w:rPr>
                <w:rFonts w:eastAsia="Calibri"/>
                <w:b/>
                <w:sz w:val="22"/>
                <w:szCs w:val="22"/>
              </w:rPr>
            </w:pPr>
            <w:r w:rsidRPr="0009300B">
              <w:rPr>
                <w:rFonts w:eastAsia="Calibri"/>
                <w:b/>
                <w:sz w:val="22"/>
                <w:szCs w:val="22"/>
              </w:rPr>
              <w:t>Ulipristal acetat</w:t>
            </w:r>
          </w:p>
          <w:p w:rsidR="004F004E" w:rsidRPr="0009300B" w:rsidRDefault="004F004E" w:rsidP="00F70877">
            <w:pPr>
              <w:keepNext/>
              <w:jc w:val="center"/>
              <w:rPr>
                <w:rFonts w:eastAsia="Calibri"/>
                <w:sz w:val="22"/>
                <w:szCs w:val="22"/>
              </w:rPr>
            </w:pPr>
            <w:r w:rsidRPr="0009300B">
              <w:rPr>
                <w:rFonts w:eastAsia="Calibri"/>
                <w:sz w:val="22"/>
                <w:szCs w:val="22"/>
              </w:rPr>
              <w:t>n=34</w:t>
            </w:r>
          </w:p>
        </w:tc>
      </w:tr>
      <w:tr w:rsidR="004F004E" w:rsidRPr="0009300B" w:rsidTr="00E91AA9">
        <w:trPr>
          <w:trHeight w:val="218"/>
        </w:trPr>
        <w:tc>
          <w:tcPr>
            <w:tcW w:w="2660" w:type="dxa"/>
            <w:shd w:val="clear" w:color="auto" w:fill="auto"/>
          </w:tcPr>
          <w:p w:rsidR="004F004E" w:rsidRPr="0009300B" w:rsidRDefault="004F004E" w:rsidP="00205A81">
            <w:pPr>
              <w:keepNext/>
              <w:rPr>
                <w:rFonts w:eastAsia="Calibri"/>
                <w:b/>
                <w:sz w:val="22"/>
                <w:szCs w:val="22"/>
              </w:rPr>
            </w:pPr>
            <w:r w:rsidRPr="0009300B">
              <w:rPr>
                <w:rFonts w:eastAsia="Calibri"/>
                <w:b/>
                <w:sz w:val="22"/>
                <w:szCs w:val="22"/>
              </w:rPr>
              <w:t xml:space="preserve">Primjena prije početka LH </w:t>
            </w:r>
            <w:r w:rsidR="00205A81" w:rsidRPr="0009300B">
              <w:rPr>
                <w:rFonts w:eastAsia="Calibri"/>
                <w:b/>
                <w:sz w:val="22"/>
                <w:szCs w:val="22"/>
              </w:rPr>
              <w:t>talasa</w:t>
            </w:r>
          </w:p>
        </w:tc>
        <w:tc>
          <w:tcPr>
            <w:tcW w:w="1559"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n=16</w:t>
            </w:r>
          </w:p>
          <w:p w:rsidR="004F004E" w:rsidRPr="0009300B" w:rsidRDefault="004F004E" w:rsidP="00F70877">
            <w:pPr>
              <w:keepNext/>
              <w:jc w:val="center"/>
              <w:rPr>
                <w:rFonts w:eastAsia="Calibri"/>
                <w:sz w:val="22"/>
                <w:szCs w:val="22"/>
              </w:rPr>
            </w:pPr>
            <w:r w:rsidRPr="0009300B">
              <w:rPr>
                <w:rFonts w:eastAsia="Calibri"/>
                <w:sz w:val="22"/>
                <w:szCs w:val="22"/>
              </w:rPr>
              <w:t>0,0%</w:t>
            </w:r>
          </w:p>
        </w:tc>
        <w:tc>
          <w:tcPr>
            <w:tcW w:w="1843"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n=12</w:t>
            </w:r>
          </w:p>
          <w:p w:rsidR="004F004E" w:rsidRPr="0009300B" w:rsidRDefault="004F004E" w:rsidP="00F70877">
            <w:pPr>
              <w:keepNext/>
              <w:jc w:val="center"/>
              <w:rPr>
                <w:rFonts w:eastAsia="Calibri"/>
                <w:sz w:val="22"/>
                <w:szCs w:val="22"/>
              </w:rPr>
            </w:pPr>
            <w:r w:rsidRPr="0009300B">
              <w:rPr>
                <w:rFonts w:eastAsia="Calibri"/>
                <w:sz w:val="22"/>
                <w:szCs w:val="22"/>
              </w:rPr>
              <w:t>25,0%</w:t>
            </w:r>
          </w:p>
        </w:tc>
        <w:tc>
          <w:tcPr>
            <w:tcW w:w="2835" w:type="dxa"/>
            <w:shd w:val="clear" w:color="auto" w:fill="auto"/>
          </w:tcPr>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n=8</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100%</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p&lt;0,005*</w:t>
            </w:r>
          </w:p>
        </w:tc>
      </w:tr>
      <w:tr w:rsidR="004F004E" w:rsidRPr="0009300B" w:rsidTr="00E91AA9">
        <w:trPr>
          <w:trHeight w:val="499"/>
        </w:trPr>
        <w:tc>
          <w:tcPr>
            <w:tcW w:w="2660" w:type="dxa"/>
            <w:shd w:val="clear" w:color="auto" w:fill="auto"/>
          </w:tcPr>
          <w:p w:rsidR="004F004E" w:rsidRPr="0009300B" w:rsidRDefault="004F004E" w:rsidP="00205A81">
            <w:pPr>
              <w:keepNext/>
              <w:rPr>
                <w:rFonts w:eastAsia="Calibri"/>
                <w:b/>
                <w:sz w:val="22"/>
                <w:szCs w:val="22"/>
              </w:rPr>
            </w:pPr>
            <w:r w:rsidRPr="0009300B">
              <w:rPr>
                <w:rFonts w:eastAsia="Calibri"/>
                <w:b/>
                <w:sz w:val="22"/>
                <w:szCs w:val="22"/>
              </w:rPr>
              <w:t xml:space="preserve">Primjena nakon početka LH </w:t>
            </w:r>
            <w:r w:rsidR="00205A81" w:rsidRPr="0009300B">
              <w:rPr>
                <w:rFonts w:eastAsia="Calibri"/>
                <w:b/>
                <w:sz w:val="22"/>
                <w:szCs w:val="22"/>
              </w:rPr>
              <w:t>talasa</w:t>
            </w:r>
            <w:r w:rsidRPr="0009300B">
              <w:rPr>
                <w:rFonts w:eastAsia="Calibri"/>
                <w:b/>
                <w:sz w:val="22"/>
                <w:szCs w:val="22"/>
              </w:rPr>
              <w:t xml:space="preserve">, ali prije vršne koncentracije LH </w:t>
            </w:r>
          </w:p>
        </w:tc>
        <w:tc>
          <w:tcPr>
            <w:tcW w:w="1559"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n=10</w:t>
            </w:r>
          </w:p>
          <w:p w:rsidR="004F004E" w:rsidRPr="0009300B" w:rsidRDefault="004F004E" w:rsidP="00F70877">
            <w:pPr>
              <w:keepNext/>
              <w:jc w:val="center"/>
              <w:rPr>
                <w:rFonts w:eastAsia="Calibri"/>
                <w:sz w:val="22"/>
                <w:szCs w:val="22"/>
              </w:rPr>
            </w:pPr>
            <w:r w:rsidRPr="0009300B">
              <w:rPr>
                <w:rFonts w:eastAsia="Calibri"/>
                <w:sz w:val="22"/>
                <w:szCs w:val="22"/>
              </w:rPr>
              <w:t>10,0%</w:t>
            </w:r>
          </w:p>
        </w:tc>
        <w:tc>
          <w:tcPr>
            <w:tcW w:w="1843"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n=14</w:t>
            </w:r>
          </w:p>
          <w:p w:rsidR="004F004E" w:rsidRPr="0009300B" w:rsidRDefault="004F004E" w:rsidP="00F70877">
            <w:pPr>
              <w:keepNext/>
              <w:jc w:val="center"/>
              <w:rPr>
                <w:rFonts w:eastAsia="Calibri"/>
                <w:sz w:val="22"/>
                <w:szCs w:val="22"/>
              </w:rPr>
            </w:pPr>
            <w:r w:rsidRPr="0009300B">
              <w:rPr>
                <w:rFonts w:eastAsia="Calibri"/>
                <w:sz w:val="22"/>
                <w:szCs w:val="22"/>
              </w:rPr>
              <w:t>14,3%</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NS†</w:t>
            </w:r>
          </w:p>
        </w:tc>
        <w:tc>
          <w:tcPr>
            <w:tcW w:w="2835" w:type="dxa"/>
            <w:shd w:val="clear" w:color="auto" w:fill="auto"/>
          </w:tcPr>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n=14</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78,6%</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p&lt;0,005*</w:t>
            </w:r>
          </w:p>
        </w:tc>
      </w:tr>
      <w:tr w:rsidR="004F004E" w:rsidRPr="0009300B" w:rsidTr="00E91AA9">
        <w:trPr>
          <w:trHeight w:val="499"/>
        </w:trPr>
        <w:tc>
          <w:tcPr>
            <w:tcW w:w="2660" w:type="dxa"/>
            <w:shd w:val="clear" w:color="auto" w:fill="auto"/>
          </w:tcPr>
          <w:p w:rsidR="004F004E" w:rsidRPr="0009300B" w:rsidRDefault="004F004E" w:rsidP="00F70877">
            <w:pPr>
              <w:keepNext/>
              <w:rPr>
                <w:rFonts w:eastAsia="Calibri"/>
                <w:b/>
                <w:sz w:val="22"/>
                <w:szCs w:val="22"/>
              </w:rPr>
            </w:pPr>
            <w:r w:rsidRPr="0009300B">
              <w:rPr>
                <w:rFonts w:eastAsia="Calibri"/>
                <w:b/>
                <w:sz w:val="22"/>
                <w:szCs w:val="22"/>
              </w:rPr>
              <w:t>Primjena nakon dostizanja vršne koncentracije LH</w:t>
            </w:r>
          </w:p>
        </w:tc>
        <w:tc>
          <w:tcPr>
            <w:tcW w:w="1559"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n=24</w:t>
            </w:r>
          </w:p>
          <w:p w:rsidR="004F004E" w:rsidRPr="0009300B" w:rsidRDefault="004F004E" w:rsidP="00F70877">
            <w:pPr>
              <w:keepNext/>
              <w:jc w:val="center"/>
              <w:rPr>
                <w:rFonts w:eastAsia="Calibri"/>
                <w:sz w:val="22"/>
                <w:szCs w:val="22"/>
              </w:rPr>
            </w:pPr>
            <w:r w:rsidRPr="0009300B">
              <w:rPr>
                <w:rFonts w:eastAsia="Calibri"/>
                <w:sz w:val="22"/>
                <w:szCs w:val="22"/>
              </w:rPr>
              <w:t>4,2%</w:t>
            </w:r>
          </w:p>
        </w:tc>
        <w:tc>
          <w:tcPr>
            <w:tcW w:w="1843" w:type="dxa"/>
            <w:shd w:val="clear" w:color="auto" w:fill="auto"/>
          </w:tcPr>
          <w:p w:rsidR="004F004E" w:rsidRPr="0009300B" w:rsidRDefault="004F004E" w:rsidP="00F70877">
            <w:pPr>
              <w:keepNext/>
              <w:jc w:val="center"/>
              <w:rPr>
                <w:rFonts w:eastAsia="Calibri"/>
                <w:sz w:val="22"/>
                <w:szCs w:val="22"/>
              </w:rPr>
            </w:pPr>
            <w:r w:rsidRPr="0009300B">
              <w:rPr>
                <w:rFonts w:eastAsia="Calibri"/>
                <w:sz w:val="22"/>
                <w:szCs w:val="22"/>
              </w:rPr>
              <w:t>n=22</w:t>
            </w:r>
          </w:p>
          <w:p w:rsidR="004F004E" w:rsidRPr="0009300B" w:rsidRDefault="004F004E" w:rsidP="00F70877">
            <w:pPr>
              <w:keepNext/>
              <w:jc w:val="center"/>
              <w:rPr>
                <w:rFonts w:eastAsia="Calibri"/>
                <w:sz w:val="22"/>
                <w:szCs w:val="22"/>
              </w:rPr>
            </w:pPr>
            <w:r w:rsidRPr="0009300B">
              <w:rPr>
                <w:rFonts w:eastAsia="Calibri"/>
                <w:sz w:val="22"/>
                <w:szCs w:val="22"/>
              </w:rPr>
              <w:t>9,1%</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NS†</w:t>
            </w:r>
          </w:p>
        </w:tc>
        <w:tc>
          <w:tcPr>
            <w:tcW w:w="2835" w:type="dxa"/>
            <w:shd w:val="clear" w:color="auto" w:fill="auto"/>
          </w:tcPr>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n=12</w:t>
            </w:r>
          </w:p>
          <w:p w:rsidR="004F004E" w:rsidRPr="0009300B" w:rsidRDefault="004F004E" w:rsidP="00F70877">
            <w:pPr>
              <w:keepNext/>
              <w:jc w:val="center"/>
              <w:rPr>
                <w:rFonts w:eastAsia="Calibri"/>
                <w:sz w:val="22"/>
                <w:szCs w:val="22"/>
              </w:rPr>
            </w:pPr>
            <w:r w:rsidRPr="0009300B">
              <w:rPr>
                <w:rFonts w:eastAsia="Calibri"/>
                <w:sz w:val="22"/>
                <w:szCs w:val="22"/>
              </w:rPr>
              <w:t>8,3%</w:t>
            </w:r>
          </w:p>
          <w:p w:rsidR="004F004E" w:rsidRPr="0009300B" w:rsidRDefault="004F004E" w:rsidP="00F70877">
            <w:pPr>
              <w:pStyle w:val="Date"/>
              <w:keepNext/>
              <w:spacing w:after="0" w:line="240" w:lineRule="auto"/>
              <w:jc w:val="center"/>
              <w:rPr>
                <w:rFonts w:ascii="Times New Roman" w:eastAsia="Calibri" w:hAnsi="Times New Roman"/>
                <w:lang w:val="sr-Latn-ME" w:bidi="ar-SA"/>
              </w:rPr>
            </w:pPr>
            <w:r w:rsidRPr="0009300B">
              <w:rPr>
                <w:rFonts w:ascii="Times New Roman" w:eastAsia="Calibri" w:hAnsi="Times New Roman"/>
                <w:lang w:val="sr-Latn-ME" w:bidi="ar-SA"/>
              </w:rPr>
              <w:t>NS*</w:t>
            </w:r>
          </w:p>
        </w:tc>
      </w:tr>
    </w:tbl>
    <w:p w:rsidR="004F004E" w:rsidRPr="0009300B" w:rsidRDefault="004F004E" w:rsidP="00831F36">
      <w:pPr>
        <w:keepNext/>
        <w:jc w:val="both"/>
        <w:rPr>
          <w:rFonts w:eastAsia="Calibri"/>
          <w:sz w:val="20"/>
          <w:szCs w:val="20"/>
        </w:rPr>
      </w:pPr>
      <w:r w:rsidRPr="0009300B">
        <w:rPr>
          <w:rFonts w:eastAsia="Calibri"/>
          <w:sz w:val="20"/>
          <w:szCs w:val="20"/>
        </w:rPr>
        <w:t xml:space="preserve">1: Brache i </w:t>
      </w:r>
      <w:r w:rsidR="00205A81" w:rsidRPr="0009300B">
        <w:rPr>
          <w:rFonts w:eastAsia="Calibri"/>
          <w:sz w:val="20"/>
          <w:szCs w:val="20"/>
        </w:rPr>
        <w:t>sar</w:t>
      </w:r>
      <w:r w:rsidRPr="0009300B">
        <w:rPr>
          <w:rFonts w:eastAsia="Calibri"/>
          <w:sz w:val="20"/>
          <w:szCs w:val="20"/>
        </w:rPr>
        <w:t>., Contraception 2013.</w:t>
      </w:r>
    </w:p>
    <w:p w:rsidR="004F004E" w:rsidRPr="0009300B" w:rsidRDefault="004F004E" w:rsidP="00831F36">
      <w:pPr>
        <w:pStyle w:val="Date"/>
        <w:keepNext/>
        <w:spacing w:after="0" w:line="240" w:lineRule="auto"/>
        <w:jc w:val="both"/>
        <w:rPr>
          <w:rFonts w:ascii="Times New Roman" w:eastAsia="Calibri" w:hAnsi="Times New Roman"/>
          <w:sz w:val="20"/>
          <w:szCs w:val="20"/>
          <w:lang w:val="sr-Latn-ME" w:bidi="ar-SA"/>
        </w:rPr>
      </w:pPr>
      <w:r w:rsidRPr="0009300B">
        <w:rPr>
          <w:rFonts w:ascii="Times New Roman" w:eastAsia="Calibri" w:hAnsi="Times New Roman"/>
          <w:sz w:val="20"/>
          <w:szCs w:val="20"/>
          <w:lang w:val="sr-Latn-ME" w:bidi="ar-SA"/>
        </w:rPr>
        <w:t xml:space="preserve">§: </w:t>
      </w:r>
      <w:r w:rsidR="00205A81" w:rsidRPr="0009300B">
        <w:rPr>
          <w:rFonts w:ascii="Times New Roman" w:eastAsia="Calibri" w:hAnsi="Times New Roman"/>
          <w:sz w:val="20"/>
          <w:szCs w:val="20"/>
          <w:lang w:val="sr-Latn-ME" w:bidi="ar-SA"/>
        </w:rPr>
        <w:t xml:space="preserve">definiše </w:t>
      </w:r>
      <w:r w:rsidRPr="0009300B">
        <w:rPr>
          <w:rFonts w:ascii="Times New Roman" w:eastAsia="Calibri" w:hAnsi="Times New Roman"/>
          <w:sz w:val="20"/>
          <w:szCs w:val="20"/>
          <w:lang w:val="sr-Latn-ME" w:bidi="ar-SA"/>
        </w:rPr>
        <w:t xml:space="preserve">se kao prisustvo neprsnutog vodećeg folikula pet dana nakon primjene lijeka u kasnoj proliferativnoj fazi </w:t>
      </w:r>
    </w:p>
    <w:p w:rsidR="004F004E" w:rsidRPr="0009300B" w:rsidRDefault="004F004E" w:rsidP="00831F36">
      <w:pPr>
        <w:keepNext/>
        <w:jc w:val="both"/>
        <w:rPr>
          <w:rFonts w:eastAsia="Calibri"/>
          <w:sz w:val="20"/>
          <w:szCs w:val="20"/>
        </w:rPr>
      </w:pPr>
      <w:r w:rsidRPr="0009300B">
        <w:rPr>
          <w:rFonts w:eastAsia="Calibri"/>
          <w:sz w:val="20"/>
          <w:szCs w:val="20"/>
        </w:rPr>
        <w:t xml:space="preserve">*: u </w:t>
      </w:r>
      <w:r w:rsidR="00205A81" w:rsidRPr="0009300B">
        <w:rPr>
          <w:rFonts w:eastAsia="Calibri"/>
          <w:sz w:val="20"/>
          <w:szCs w:val="20"/>
        </w:rPr>
        <w:t xml:space="preserve">poređenju </w:t>
      </w:r>
      <w:r w:rsidRPr="0009300B">
        <w:rPr>
          <w:rFonts w:eastAsia="Calibri"/>
          <w:sz w:val="20"/>
          <w:szCs w:val="20"/>
        </w:rPr>
        <w:t>s levonorgestrelom</w:t>
      </w:r>
    </w:p>
    <w:p w:rsidR="004F004E" w:rsidRPr="0009300B" w:rsidRDefault="004F004E" w:rsidP="00831F36">
      <w:pPr>
        <w:keepNext/>
        <w:jc w:val="both"/>
        <w:rPr>
          <w:rFonts w:eastAsia="Calibri"/>
          <w:sz w:val="20"/>
          <w:szCs w:val="20"/>
        </w:rPr>
      </w:pPr>
      <w:r w:rsidRPr="0009300B">
        <w:rPr>
          <w:rFonts w:eastAsia="Calibri"/>
          <w:sz w:val="20"/>
          <w:szCs w:val="20"/>
        </w:rPr>
        <w:t>NS: nije statistički značajno</w:t>
      </w:r>
    </w:p>
    <w:p w:rsidR="004F004E" w:rsidRPr="0009300B" w:rsidRDefault="004F004E" w:rsidP="00831F36">
      <w:pPr>
        <w:keepNext/>
        <w:jc w:val="both"/>
        <w:rPr>
          <w:rFonts w:eastAsia="Calibri"/>
          <w:sz w:val="20"/>
          <w:szCs w:val="20"/>
        </w:rPr>
      </w:pPr>
      <w:r w:rsidRPr="0009300B">
        <w:rPr>
          <w:rFonts w:eastAsia="Calibri"/>
          <w:sz w:val="20"/>
          <w:szCs w:val="20"/>
        </w:rPr>
        <w:t xml:space="preserve">†: u </w:t>
      </w:r>
      <w:r w:rsidR="00205A81" w:rsidRPr="0009300B">
        <w:rPr>
          <w:rFonts w:eastAsia="Calibri"/>
          <w:sz w:val="20"/>
          <w:szCs w:val="20"/>
        </w:rPr>
        <w:t xml:space="preserve">poređenju </w:t>
      </w:r>
      <w:r w:rsidRPr="0009300B">
        <w:rPr>
          <w:rFonts w:eastAsia="Calibri"/>
          <w:sz w:val="20"/>
          <w:szCs w:val="20"/>
        </w:rPr>
        <w:t xml:space="preserve">s placebom </w:t>
      </w:r>
    </w:p>
    <w:p w:rsidR="00CE1A3A" w:rsidRPr="0009300B" w:rsidRDefault="00CE1A3A" w:rsidP="00831F36">
      <w:pPr>
        <w:pStyle w:val="NoSpacing"/>
        <w:jc w:val="both"/>
        <w:rPr>
          <w:rFonts w:ascii="Times New Roman" w:hAnsi="Times New Roman"/>
          <w:noProof/>
          <w:lang w:val="sr-Latn-ME"/>
        </w:rPr>
      </w:pPr>
    </w:p>
    <w:p w:rsidR="00CE1A3A" w:rsidRPr="0009300B" w:rsidRDefault="00CE1A3A"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Ulipristal acetat takođe ima visok afinitet prema glukokortikoidnom receptoru te je u uslovima </w:t>
      </w:r>
      <w:r w:rsidRPr="0009300B">
        <w:rPr>
          <w:rFonts w:ascii="Times New Roman" w:hAnsi="Times New Roman"/>
          <w:i/>
          <w:noProof/>
          <w:lang w:val="sr-Latn-ME"/>
        </w:rPr>
        <w:t>in vivo</w:t>
      </w:r>
      <w:r w:rsidRPr="0009300B">
        <w:rPr>
          <w:rFonts w:ascii="Times New Roman" w:hAnsi="Times New Roman"/>
          <w:noProof/>
          <w:lang w:val="sr-Latn-ME"/>
        </w:rPr>
        <w:t xml:space="preserve">, kod eksperimentalnih životinja opažen antiglukokortikoidni efekat. Međutim, kod ljudi takav efekat nije opažen čak i nakon ponovljene primjene dnevnih doza od 10 mg. Lijek ima neznatni afinitet prema androgenim receptorima, a nema afinitet prema humanim estrogenim ili mineralokortikoidnim receptorima. </w:t>
      </w:r>
    </w:p>
    <w:p w:rsidR="00CE1A3A" w:rsidRPr="0009300B" w:rsidRDefault="00CE1A3A" w:rsidP="00831F36">
      <w:pPr>
        <w:pStyle w:val="NoSpacing"/>
        <w:jc w:val="both"/>
        <w:rPr>
          <w:rFonts w:ascii="Times New Roman" w:hAnsi="Times New Roman"/>
          <w:noProof/>
          <w:lang w:val="sr-Latn-ME"/>
        </w:rPr>
      </w:pPr>
    </w:p>
    <w:p w:rsidR="00CE1A3A" w:rsidRPr="0009300B" w:rsidRDefault="00CE1A3A" w:rsidP="00831F36">
      <w:pPr>
        <w:tabs>
          <w:tab w:val="left" w:pos="540"/>
          <w:tab w:val="left" w:pos="569"/>
        </w:tabs>
        <w:jc w:val="both"/>
        <w:rPr>
          <w:sz w:val="22"/>
          <w:szCs w:val="22"/>
        </w:rPr>
      </w:pPr>
      <w:r w:rsidRPr="0009300B">
        <w:rPr>
          <w:sz w:val="22"/>
          <w:szCs w:val="22"/>
        </w:rPr>
        <w:t>Rezultati dv</w:t>
      </w:r>
      <w:r w:rsidR="006534F0" w:rsidRPr="0009300B">
        <w:rPr>
          <w:sz w:val="22"/>
          <w:szCs w:val="22"/>
        </w:rPr>
        <w:t>ije nezavisne randomizovane</w:t>
      </w:r>
      <w:r w:rsidRPr="0009300B">
        <w:rPr>
          <w:sz w:val="22"/>
          <w:szCs w:val="22"/>
        </w:rPr>
        <w:t xml:space="preserve"> kontrolisan</w:t>
      </w:r>
      <w:r w:rsidR="006534F0" w:rsidRPr="0009300B">
        <w:rPr>
          <w:sz w:val="22"/>
          <w:szCs w:val="22"/>
        </w:rPr>
        <w:t>e studije</w:t>
      </w:r>
      <w:r w:rsidR="00F70877" w:rsidRPr="0009300B">
        <w:rPr>
          <w:sz w:val="22"/>
          <w:szCs w:val="22"/>
        </w:rPr>
        <w:t xml:space="preserve"> (pogledati tabelu) </w:t>
      </w:r>
      <w:r w:rsidRPr="0009300B">
        <w:rPr>
          <w:sz w:val="22"/>
          <w:szCs w:val="22"/>
        </w:rPr>
        <w:t xml:space="preserve">pokazuju kako </w:t>
      </w:r>
      <w:r w:rsidR="00630B65" w:rsidRPr="0009300B">
        <w:rPr>
          <w:sz w:val="22"/>
          <w:szCs w:val="22"/>
        </w:rPr>
        <w:t xml:space="preserve">efikasnost </w:t>
      </w:r>
      <w:r w:rsidRPr="0009300B">
        <w:rPr>
          <w:sz w:val="22"/>
          <w:szCs w:val="22"/>
        </w:rPr>
        <w:t xml:space="preserve">ulipristat acetata nije inferiorna </w:t>
      </w:r>
      <w:r w:rsidR="00816AC6" w:rsidRPr="0009300B">
        <w:rPr>
          <w:sz w:val="22"/>
          <w:szCs w:val="22"/>
        </w:rPr>
        <w:t xml:space="preserve">u odnosu na </w:t>
      </w:r>
      <w:r w:rsidR="00630B65" w:rsidRPr="0009300B">
        <w:rPr>
          <w:sz w:val="22"/>
          <w:szCs w:val="22"/>
        </w:rPr>
        <w:t xml:space="preserve">efikasnost </w:t>
      </w:r>
      <w:r w:rsidR="00816AC6" w:rsidRPr="0009300B">
        <w:rPr>
          <w:sz w:val="22"/>
          <w:szCs w:val="22"/>
        </w:rPr>
        <w:t xml:space="preserve">levonorgestrela kod </w:t>
      </w:r>
      <w:r w:rsidRPr="0009300B">
        <w:rPr>
          <w:sz w:val="22"/>
          <w:szCs w:val="22"/>
        </w:rPr>
        <w:t xml:space="preserve">žena koje su podvrgnute hitnoj kontracepciji između 0 i 72 sata nakon nezaštićenog </w:t>
      </w:r>
      <w:r w:rsidR="007607C6" w:rsidRPr="0009300B">
        <w:rPr>
          <w:sz w:val="22"/>
          <w:szCs w:val="22"/>
        </w:rPr>
        <w:t>seksualnog</w:t>
      </w:r>
      <w:r w:rsidR="00816AC6" w:rsidRPr="0009300B">
        <w:rPr>
          <w:sz w:val="22"/>
          <w:szCs w:val="22"/>
        </w:rPr>
        <w:t xml:space="preserve"> odnosa</w:t>
      </w:r>
      <w:r w:rsidRPr="0009300B">
        <w:rPr>
          <w:sz w:val="22"/>
          <w:szCs w:val="22"/>
        </w:rPr>
        <w:t xml:space="preserve"> ili </w:t>
      </w:r>
      <w:r w:rsidR="007607C6" w:rsidRPr="0009300B">
        <w:rPr>
          <w:sz w:val="22"/>
          <w:szCs w:val="22"/>
        </w:rPr>
        <w:t>neuspješne</w:t>
      </w:r>
      <w:r w:rsidRPr="0009300B">
        <w:rPr>
          <w:sz w:val="22"/>
          <w:szCs w:val="22"/>
        </w:rPr>
        <w:t xml:space="preserve"> kontracep</w:t>
      </w:r>
      <w:r w:rsidR="00816AC6" w:rsidRPr="0009300B">
        <w:rPr>
          <w:sz w:val="22"/>
          <w:szCs w:val="22"/>
        </w:rPr>
        <w:t>tivne</w:t>
      </w:r>
      <w:r w:rsidR="00F70877" w:rsidRPr="0009300B">
        <w:rPr>
          <w:sz w:val="22"/>
          <w:szCs w:val="22"/>
        </w:rPr>
        <w:t xml:space="preserve"> metode.</w:t>
      </w:r>
      <w:r w:rsidRPr="0009300B">
        <w:rPr>
          <w:sz w:val="22"/>
          <w:szCs w:val="22"/>
        </w:rPr>
        <w:t xml:space="preserve"> M</w:t>
      </w:r>
      <w:r w:rsidR="00816AC6" w:rsidRPr="0009300B">
        <w:rPr>
          <w:sz w:val="22"/>
          <w:szCs w:val="22"/>
        </w:rPr>
        <w:t>eta-analiza kombinovanih</w:t>
      </w:r>
      <w:r w:rsidRPr="0009300B">
        <w:rPr>
          <w:sz w:val="22"/>
          <w:szCs w:val="22"/>
        </w:rPr>
        <w:t xml:space="preserve"> podataka dva ispitivanja pokazala je značajno smanjen rizik trudnoće s ulipristal acetatom u </w:t>
      </w:r>
      <w:r w:rsidR="00816AC6" w:rsidRPr="0009300B">
        <w:rPr>
          <w:sz w:val="22"/>
          <w:szCs w:val="22"/>
        </w:rPr>
        <w:t>poređenju</w:t>
      </w:r>
      <w:r w:rsidRPr="0009300B">
        <w:rPr>
          <w:sz w:val="22"/>
          <w:szCs w:val="22"/>
        </w:rPr>
        <w:t xml:space="preserve"> s levonorgestrelom (p=0,046).   </w:t>
      </w:r>
    </w:p>
    <w:p w:rsidR="0099337B" w:rsidRPr="0009300B" w:rsidRDefault="0099337B" w:rsidP="00831F36">
      <w:pPr>
        <w:tabs>
          <w:tab w:val="left" w:pos="540"/>
          <w:tab w:val="left" w:pos="569"/>
        </w:tabs>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916"/>
        <w:gridCol w:w="2195"/>
        <w:gridCol w:w="3084"/>
      </w:tblGrid>
      <w:tr w:rsidR="00994C1A" w:rsidRPr="0009300B" w:rsidTr="00816AC6">
        <w:tc>
          <w:tcPr>
            <w:tcW w:w="1790" w:type="dxa"/>
            <w:vMerge w:val="restart"/>
          </w:tcPr>
          <w:p w:rsidR="00816AC6" w:rsidRPr="0009300B" w:rsidRDefault="00816AC6" w:rsidP="00F70877">
            <w:pPr>
              <w:jc w:val="center"/>
              <w:rPr>
                <w:sz w:val="22"/>
                <w:szCs w:val="22"/>
              </w:rPr>
            </w:pPr>
            <w:r w:rsidRPr="0009300B">
              <w:rPr>
                <w:sz w:val="22"/>
                <w:szCs w:val="22"/>
              </w:rPr>
              <w:t>Randomizovano kontrolisano ispitivanje</w:t>
            </w:r>
          </w:p>
        </w:tc>
        <w:tc>
          <w:tcPr>
            <w:tcW w:w="4111" w:type="dxa"/>
            <w:gridSpan w:val="2"/>
          </w:tcPr>
          <w:p w:rsidR="00816AC6" w:rsidRPr="0009300B" w:rsidRDefault="00816AC6" w:rsidP="00F70877">
            <w:pPr>
              <w:jc w:val="center"/>
              <w:rPr>
                <w:sz w:val="22"/>
                <w:szCs w:val="22"/>
              </w:rPr>
            </w:pPr>
            <w:r w:rsidRPr="0009300B">
              <w:rPr>
                <w:sz w:val="22"/>
                <w:szCs w:val="22"/>
              </w:rPr>
              <w:t>Stopa trudnoće (%)</w:t>
            </w:r>
          </w:p>
          <w:p w:rsidR="00816AC6" w:rsidRPr="0009300B" w:rsidRDefault="00816AC6" w:rsidP="00630B65">
            <w:pPr>
              <w:jc w:val="center"/>
              <w:rPr>
                <w:sz w:val="22"/>
                <w:szCs w:val="22"/>
              </w:rPr>
            </w:pPr>
            <w:r w:rsidRPr="0009300B">
              <w:rPr>
                <w:sz w:val="22"/>
                <w:szCs w:val="22"/>
              </w:rPr>
              <w:t xml:space="preserve">tokom 72 sata od nezaštićenog </w:t>
            </w:r>
            <w:r w:rsidR="007607C6" w:rsidRPr="0009300B">
              <w:rPr>
                <w:sz w:val="22"/>
                <w:szCs w:val="22"/>
              </w:rPr>
              <w:t>seksualnog</w:t>
            </w:r>
            <w:r w:rsidRPr="0009300B">
              <w:rPr>
                <w:sz w:val="22"/>
                <w:szCs w:val="22"/>
              </w:rPr>
              <w:t xml:space="preserve"> odnosa ili </w:t>
            </w:r>
            <w:r w:rsidR="00630B65" w:rsidRPr="0009300B">
              <w:rPr>
                <w:sz w:val="22"/>
                <w:szCs w:val="22"/>
              </w:rPr>
              <w:t xml:space="preserve">neuspjeha </w:t>
            </w:r>
            <w:r w:rsidRPr="0009300B">
              <w:rPr>
                <w:sz w:val="22"/>
                <w:szCs w:val="22"/>
              </w:rPr>
              <w:t>kontraceptivne metode</w:t>
            </w:r>
            <w:r w:rsidRPr="0009300B">
              <w:rPr>
                <w:sz w:val="22"/>
                <w:szCs w:val="22"/>
                <w:vertAlign w:val="superscript"/>
              </w:rPr>
              <w:t>1</w:t>
            </w:r>
          </w:p>
        </w:tc>
        <w:tc>
          <w:tcPr>
            <w:tcW w:w="3084" w:type="dxa"/>
            <w:vMerge w:val="restart"/>
          </w:tcPr>
          <w:p w:rsidR="00816AC6" w:rsidRPr="0009300B" w:rsidRDefault="00630B65" w:rsidP="00630B65">
            <w:pPr>
              <w:jc w:val="center"/>
              <w:rPr>
                <w:sz w:val="22"/>
                <w:szCs w:val="22"/>
              </w:rPr>
            </w:pPr>
            <w:r w:rsidRPr="0009300B">
              <w:rPr>
                <w:sz w:val="22"/>
                <w:szCs w:val="22"/>
              </w:rPr>
              <w:t xml:space="preserve">Vjerovatnoća </w:t>
            </w:r>
            <w:r w:rsidR="00816AC6" w:rsidRPr="0009300B">
              <w:rPr>
                <w:sz w:val="22"/>
                <w:szCs w:val="22"/>
              </w:rPr>
              <w:t>[95% CI] pojave trudnoće: ulipristal acetat naspram levonorgestrela</w:t>
            </w:r>
            <w:r w:rsidR="00816AC6" w:rsidRPr="0009300B">
              <w:rPr>
                <w:sz w:val="22"/>
                <w:szCs w:val="22"/>
                <w:vertAlign w:val="superscript"/>
              </w:rPr>
              <w:t>1</w:t>
            </w:r>
          </w:p>
        </w:tc>
      </w:tr>
      <w:tr w:rsidR="00994C1A" w:rsidRPr="0009300B" w:rsidTr="00816AC6">
        <w:trPr>
          <w:trHeight w:val="140"/>
        </w:trPr>
        <w:tc>
          <w:tcPr>
            <w:tcW w:w="1790" w:type="dxa"/>
            <w:vMerge/>
          </w:tcPr>
          <w:p w:rsidR="00816AC6" w:rsidRPr="0009300B" w:rsidRDefault="00816AC6" w:rsidP="00F70877">
            <w:pPr>
              <w:jc w:val="center"/>
              <w:rPr>
                <w:sz w:val="22"/>
                <w:szCs w:val="22"/>
              </w:rPr>
            </w:pPr>
          </w:p>
        </w:tc>
        <w:tc>
          <w:tcPr>
            <w:tcW w:w="1916" w:type="dxa"/>
          </w:tcPr>
          <w:p w:rsidR="00816AC6" w:rsidRPr="0009300B" w:rsidRDefault="00816AC6" w:rsidP="00F70877">
            <w:pPr>
              <w:jc w:val="center"/>
              <w:rPr>
                <w:sz w:val="22"/>
                <w:szCs w:val="22"/>
              </w:rPr>
            </w:pPr>
            <w:r w:rsidRPr="0009300B">
              <w:rPr>
                <w:sz w:val="22"/>
                <w:szCs w:val="22"/>
              </w:rPr>
              <w:t>Ulipristal acetat</w:t>
            </w:r>
          </w:p>
        </w:tc>
        <w:tc>
          <w:tcPr>
            <w:tcW w:w="2195" w:type="dxa"/>
          </w:tcPr>
          <w:p w:rsidR="00816AC6" w:rsidRPr="0009300B" w:rsidRDefault="00816AC6" w:rsidP="00F70877">
            <w:pPr>
              <w:jc w:val="center"/>
              <w:rPr>
                <w:sz w:val="22"/>
                <w:szCs w:val="22"/>
              </w:rPr>
            </w:pPr>
            <w:r w:rsidRPr="0009300B">
              <w:rPr>
                <w:sz w:val="22"/>
                <w:szCs w:val="22"/>
              </w:rPr>
              <w:t>Levonorgestrel</w:t>
            </w:r>
          </w:p>
        </w:tc>
        <w:tc>
          <w:tcPr>
            <w:tcW w:w="3084" w:type="dxa"/>
            <w:vMerge/>
          </w:tcPr>
          <w:p w:rsidR="00816AC6" w:rsidRPr="0009300B" w:rsidRDefault="00816AC6" w:rsidP="00F70877">
            <w:pPr>
              <w:jc w:val="center"/>
              <w:rPr>
                <w:sz w:val="22"/>
                <w:szCs w:val="22"/>
              </w:rPr>
            </w:pPr>
          </w:p>
        </w:tc>
      </w:tr>
      <w:tr w:rsidR="00994C1A" w:rsidRPr="0009300B" w:rsidTr="00816AC6">
        <w:tc>
          <w:tcPr>
            <w:tcW w:w="1790" w:type="dxa"/>
          </w:tcPr>
          <w:p w:rsidR="00816AC6" w:rsidRPr="0009300B" w:rsidRDefault="00816AC6" w:rsidP="00F70877">
            <w:pPr>
              <w:jc w:val="center"/>
              <w:rPr>
                <w:sz w:val="22"/>
                <w:szCs w:val="22"/>
              </w:rPr>
            </w:pPr>
            <w:r w:rsidRPr="0009300B">
              <w:rPr>
                <w:sz w:val="22"/>
                <w:szCs w:val="22"/>
              </w:rPr>
              <w:t>HRA2914-507</w:t>
            </w:r>
          </w:p>
        </w:tc>
        <w:tc>
          <w:tcPr>
            <w:tcW w:w="1916" w:type="dxa"/>
          </w:tcPr>
          <w:p w:rsidR="00816AC6" w:rsidRPr="0009300B" w:rsidRDefault="00816AC6" w:rsidP="00F70877">
            <w:pPr>
              <w:jc w:val="center"/>
              <w:rPr>
                <w:sz w:val="22"/>
                <w:szCs w:val="22"/>
              </w:rPr>
            </w:pPr>
            <w:r w:rsidRPr="0009300B">
              <w:rPr>
                <w:sz w:val="22"/>
                <w:szCs w:val="22"/>
              </w:rPr>
              <w:t>0,91</w:t>
            </w:r>
          </w:p>
          <w:p w:rsidR="00816AC6" w:rsidRPr="0009300B" w:rsidRDefault="00816AC6" w:rsidP="00F70877">
            <w:pPr>
              <w:jc w:val="center"/>
              <w:rPr>
                <w:sz w:val="22"/>
                <w:szCs w:val="22"/>
              </w:rPr>
            </w:pPr>
            <w:r w:rsidRPr="0009300B">
              <w:rPr>
                <w:sz w:val="22"/>
                <w:szCs w:val="22"/>
              </w:rPr>
              <w:t>(7/773)</w:t>
            </w:r>
          </w:p>
        </w:tc>
        <w:tc>
          <w:tcPr>
            <w:tcW w:w="2195" w:type="dxa"/>
          </w:tcPr>
          <w:p w:rsidR="00816AC6" w:rsidRPr="0009300B" w:rsidRDefault="00816AC6" w:rsidP="00F70877">
            <w:pPr>
              <w:jc w:val="center"/>
              <w:rPr>
                <w:sz w:val="22"/>
                <w:szCs w:val="22"/>
              </w:rPr>
            </w:pPr>
            <w:r w:rsidRPr="0009300B">
              <w:rPr>
                <w:sz w:val="22"/>
                <w:szCs w:val="22"/>
              </w:rPr>
              <w:t>1,68</w:t>
            </w:r>
          </w:p>
          <w:p w:rsidR="00816AC6" w:rsidRPr="0009300B" w:rsidRDefault="00816AC6" w:rsidP="00F70877">
            <w:pPr>
              <w:jc w:val="center"/>
              <w:rPr>
                <w:sz w:val="22"/>
                <w:szCs w:val="22"/>
              </w:rPr>
            </w:pPr>
            <w:r w:rsidRPr="0009300B">
              <w:rPr>
                <w:sz w:val="22"/>
                <w:szCs w:val="22"/>
              </w:rPr>
              <w:t>(13/773)</w:t>
            </w:r>
          </w:p>
        </w:tc>
        <w:tc>
          <w:tcPr>
            <w:tcW w:w="3084" w:type="dxa"/>
          </w:tcPr>
          <w:p w:rsidR="00816AC6" w:rsidRPr="0009300B" w:rsidRDefault="00816AC6" w:rsidP="00F70877">
            <w:pPr>
              <w:jc w:val="center"/>
              <w:rPr>
                <w:sz w:val="22"/>
                <w:szCs w:val="22"/>
              </w:rPr>
            </w:pPr>
            <w:r w:rsidRPr="0009300B">
              <w:rPr>
                <w:sz w:val="22"/>
                <w:szCs w:val="22"/>
              </w:rPr>
              <w:t>0,50 [0,18-1,24]</w:t>
            </w:r>
          </w:p>
        </w:tc>
      </w:tr>
      <w:tr w:rsidR="00994C1A" w:rsidRPr="0009300B" w:rsidTr="00816AC6">
        <w:tc>
          <w:tcPr>
            <w:tcW w:w="1790" w:type="dxa"/>
          </w:tcPr>
          <w:p w:rsidR="00816AC6" w:rsidRPr="0009300B" w:rsidRDefault="00816AC6" w:rsidP="00F70877">
            <w:pPr>
              <w:jc w:val="center"/>
              <w:rPr>
                <w:sz w:val="22"/>
                <w:szCs w:val="22"/>
              </w:rPr>
            </w:pPr>
            <w:r w:rsidRPr="0009300B">
              <w:rPr>
                <w:sz w:val="22"/>
                <w:szCs w:val="22"/>
              </w:rPr>
              <w:t>HRA2914-513</w:t>
            </w:r>
          </w:p>
        </w:tc>
        <w:tc>
          <w:tcPr>
            <w:tcW w:w="1916" w:type="dxa"/>
          </w:tcPr>
          <w:p w:rsidR="00816AC6" w:rsidRPr="0009300B" w:rsidRDefault="00816AC6" w:rsidP="00F70877">
            <w:pPr>
              <w:jc w:val="center"/>
              <w:rPr>
                <w:sz w:val="22"/>
                <w:szCs w:val="22"/>
              </w:rPr>
            </w:pPr>
            <w:r w:rsidRPr="0009300B">
              <w:rPr>
                <w:sz w:val="22"/>
                <w:szCs w:val="22"/>
              </w:rPr>
              <w:t>1,78</w:t>
            </w:r>
          </w:p>
          <w:p w:rsidR="00816AC6" w:rsidRPr="0009300B" w:rsidRDefault="00816AC6" w:rsidP="00F70877">
            <w:pPr>
              <w:jc w:val="center"/>
              <w:rPr>
                <w:sz w:val="22"/>
                <w:szCs w:val="22"/>
              </w:rPr>
            </w:pPr>
            <w:r w:rsidRPr="0009300B">
              <w:rPr>
                <w:sz w:val="22"/>
                <w:szCs w:val="22"/>
              </w:rPr>
              <w:t>(15/844)</w:t>
            </w:r>
          </w:p>
        </w:tc>
        <w:tc>
          <w:tcPr>
            <w:tcW w:w="2195" w:type="dxa"/>
          </w:tcPr>
          <w:p w:rsidR="00816AC6" w:rsidRPr="0009300B" w:rsidRDefault="00816AC6" w:rsidP="00F70877">
            <w:pPr>
              <w:jc w:val="center"/>
              <w:rPr>
                <w:sz w:val="22"/>
                <w:szCs w:val="22"/>
              </w:rPr>
            </w:pPr>
            <w:r w:rsidRPr="0009300B">
              <w:rPr>
                <w:sz w:val="22"/>
                <w:szCs w:val="22"/>
              </w:rPr>
              <w:t>2,59</w:t>
            </w:r>
          </w:p>
          <w:p w:rsidR="00816AC6" w:rsidRPr="0009300B" w:rsidRDefault="00816AC6" w:rsidP="00F70877">
            <w:pPr>
              <w:jc w:val="center"/>
              <w:rPr>
                <w:sz w:val="22"/>
                <w:szCs w:val="22"/>
              </w:rPr>
            </w:pPr>
            <w:r w:rsidRPr="0009300B">
              <w:rPr>
                <w:sz w:val="22"/>
                <w:szCs w:val="22"/>
              </w:rPr>
              <w:t>(22/852)</w:t>
            </w:r>
          </w:p>
        </w:tc>
        <w:tc>
          <w:tcPr>
            <w:tcW w:w="3084" w:type="dxa"/>
          </w:tcPr>
          <w:p w:rsidR="00816AC6" w:rsidRPr="0009300B" w:rsidRDefault="00816AC6" w:rsidP="00F70877">
            <w:pPr>
              <w:jc w:val="center"/>
              <w:rPr>
                <w:sz w:val="22"/>
                <w:szCs w:val="22"/>
              </w:rPr>
            </w:pPr>
            <w:r w:rsidRPr="0009300B">
              <w:rPr>
                <w:sz w:val="22"/>
                <w:szCs w:val="22"/>
              </w:rPr>
              <w:t>0,68 [0,35-1,31]</w:t>
            </w:r>
          </w:p>
        </w:tc>
      </w:tr>
      <w:tr w:rsidR="00994C1A" w:rsidRPr="0009300B" w:rsidTr="00816AC6">
        <w:tc>
          <w:tcPr>
            <w:tcW w:w="1790" w:type="dxa"/>
          </w:tcPr>
          <w:p w:rsidR="00816AC6" w:rsidRPr="0009300B" w:rsidRDefault="00816AC6" w:rsidP="00F70877">
            <w:pPr>
              <w:jc w:val="center"/>
              <w:rPr>
                <w:sz w:val="22"/>
                <w:szCs w:val="22"/>
              </w:rPr>
            </w:pPr>
            <w:r w:rsidRPr="0009300B">
              <w:rPr>
                <w:sz w:val="22"/>
                <w:szCs w:val="22"/>
              </w:rPr>
              <w:t>Meta-analiza</w:t>
            </w:r>
          </w:p>
        </w:tc>
        <w:tc>
          <w:tcPr>
            <w:tcW w:w="1916" w:type="dxa"/>
          </w:tcPr>
          <w:p w:rsidR="00816AC6" w:rsidRPr="0009300B" w:rsidRDefault="00816AC6" w:rsidP="00F70877">
            <w:pPr>
              <w:jc w:val="center"/>
              <w:rPr>
                <w:sz w:val="22"/>
                <w:szCs w:val="22"/>
              </w:rPr>
            </w:pPr>
            <w:r w:rsidRPr="0009300B">
              <w:rPr>
                <w:sz w:val="22"/>
                <w:szCs w:val="22"/>
              </w:rPr>
              <w:t>1,36</w:t>
            </w:r>
          </w:p>
          <w:p w:rsidR="00816AC6" w:rsidRPr="0009300B" w:rsidRDefault="00816AC6" w:rsidP="00F70877">
            <w:pPr>
              <w:jc w:val="center"/>
              <w:rPr>
                <w:sz w:val="22"/>
                <w:szCs w:val="22"/>
              </w:rPr>
            </w:pPr>
            <w:r w:rsidRPr="0009300B">
              <w:rPr>
                <w:sz w:val="22"/>
                <w:szCs w:val="22"/>
              </w:rPr>
              <w:t>22/1617</w:t>
            </w:r>
          </w:p>
        </w:tc>
        <w:tc>
          <w:tcPr>
            <w:tcW w:w="2195" w:type="dxa"/>
          </w:tcPr>
          <w:p w:rsidR="00816AC6" w:rsidRPr="0009300B" w:rsidRDefault="00816AC6" w:rsidP="00F70877">
            <w:pPr>
              <w:jc w:val="center"/>
              <w:rPr>
                <w:sz w:val="22"/>
                <w:szCs w:val="22"/>
              </w:rPr>
            </w:pPr>
            <w:r w:rsidRPr="0009300B">
              <w:rPr>
                <w:sz w:val="22"/>
                <w:szCs w:val="22"/>
              </w:rPr>
              <w:t>2,15</w:t>
            </w:r>
          </w:p>
          <w:p w:rsidR="00816AC6" w:rsidRPr="0009300B" w:rsidRDefault="00816AC6" w:rsidP="00F70877">
            <w:pPr>
              <w:jc w:val="center"/>
              <w:rPr>
                <w:sz w:val="22"/>
                <w:szCs w:val="22"/>
              </w:rPr>
            </w:pPr>
            <w:r w:rsidRPr="0009300B">
              <w:rPr>
                <w:sz w:val="22"/>
                <w:szCs w:val="22"/>
              </w:rPr>
              <w:t>(35/1625)</w:t>
            </w:r>
          </w:p>
        </w:tc>
        <w:tc>
          <w:tcPr>
            <w:tcW w:w="3084" w:type="dxa"/>
          </w:tcPr>
          <w:p w:rsidR="00816AC6" w:rsidRPr="0009300B" w:rsidRDefault="00816AC6" w:rsidP="00F70877">
            <w:pPr>
              <w:jc w:val="center"/>
              <w:rPr>
                <w:sz w:val="22"/>
                <w:szCs w:val="22"/>
              </w:rPr>
            </w:pPr>
            <w:r w:rsidRPr="0009300B">
              <w:rPr>
                <w:sz w:val="22"/>
                <w:szCs w:val="22"/>
              </w:rPr>
              <w:t>0,58 [0,33-0,99]</w:t>
            </w:r>
          </w:p>
        </w:tc>
      </w:tr>
    </w:tbl>
    <w:p w:rsidR="00816AC6" w:rsidRPr="0009300B" w:rsidRDefault="00124621" w:rsidP="00831F36">
      <w:pPr>
        <w:tabs>
          <w:tab w:val="left" w:pos="540"/>
          <w:tab w:val="left" w:pos="569"/>
        </w:tabs>
        <w:jc w:val="both"/>
        <w:rPr>
          <w:bCs/>
          <w:sz w:val="20"/>
          <w:szCs w:val="20"/>
        </w:rPr>
      </w:pPr>
      <w:r w:rsidRPr="0009300B">
        <w:rPr>
          <w:bCs/>
          <w:sz w:val="20"/>
          <w:szCs w:val="20"/>
        </w:rPr>
        <w:t>2</w:t>
      </w:r>
      <w:r w:rsidR="00816AC6" w:rsidRPr="0009300B">
        <w:rPr>
          <w:bCs/>
          <w:sz w:val="20"/>
          <w:szCs w:val="20"/>
        </w:rPr>
        <w:t>-Glasier i sur., Lancet 2010.</w:t>
      </w:r>
    </w:p>
    <w:p w:rsidR="00816AC6" w:rsidRPr="0009300B" w:rsidRDefault="00816AC6" w:rsidP="00831F36">
      <w:pPr>
        <w:tabs>
          <w:tab w:val="left" w:pos="540"/>
          <w:tab w:val="left" w:pos="569"/>
        </w:tabs>
        <w:jc w:val="both"/>
        <w:rPr>
          <w:bCs/>
          <w:sz w:val="22"/>
          <w:szCs w:val="22"/>
        </w:rPr>
      </w:pPr>
    </w:p>
    <w:p w:rsidR="00816AC6" w:rsidRPr="0009300B" w:rsidRDefault="00816AC6" w:rsidP="00831F36">
      <w:pPr>
        <w:tabs>
          <w:tab w:val="left" w:pos="540"/>
          <w:tab w:val="left" w:pos="569"/>
        </w:tabs>
        <w:jc w:val="both"/>
        <w:rPr>
          <w:bCs/>
          <w:sz w:val="22"/>
          <w:szCs w:val="22"/>
        </w:rPr>
      </w:pPr>
      <w:r w:rsidRPr="0009300B">
        <w:rPr>
          <w:bCs/>
          <w:sz w:val="22"/>
          <w:szCs w:val="22"/>
        </w:rPr>
        <w:t xml:space="preserve">Dva ispitivanja pružaju rezultate </w:t>
      </w:r>
      <w:r w:rsidR="00630B65" w:rsidRPr="0009300B">
        <w:rPr>
          <w:bCs/>
          <w:sz w:val="22"/>
          <w:szCs w:val="22"/>
        </w:rPr>
        <w:t xml:space="preserve">efikasnosti </w:t>
      </w:r>
      <w:r w:rsidRPr="0009300B">
        <w:rPr>
          <w:bCs/>
          <w:sz w:val="22"/>
          <w:szCs w:val="22"/>
        </w:rPr>
        <w:t>ellaOne prim</w:t>
      </w:r>
      <w:r w:rsidR="00630B65" w:rsidRPr="0009300B">
        <w:rPr>
          <w:bCs/>
          <w:sz w:val="22"/>
          <w:szCs w:val="22"/>
        </w:rPr>
        <w:t>i</w:t>
      </w:r>
      <w:r w:rsidRPr="0009300B">
        <w:rPr>
          <w:bCs/>
          <w:sz w:val="22"/>
          <w:szCs w:val="22"/>
        </w:rPr>
        <w:t xml:space="preserve">jenjene do 120 sati nakon nezaštićenog </w:t>
      </w:r>
      <w:r w:rsidR="007607C6" w:rsidRPr="0009300B">
        <w:rPr>
          <w:bCs/>
          <w:sz w:val="22"/>
          <w:szCs w:val="22"/>
        </w:rPr>
        <w:t>seksualnog</w:t>
      </w:r>
      <w:r w:rsidRPr="0009300B">
        <w:rPr>
          <w:bCs/>
          <w:sz w:val="22"/>
          <w:szCs w:val="22"/>
        </w:rPr>
        <w:t xml:space="preserve"> odnosa. U otvorenom kliničkom ispitivanju koje je uključilo žene podvrgnute hitnoj kontracepciji ulipristal acetatom između 48 i 120 sati nakon nezaštićenog </w:t>
      </w:r>
      <w:r w:rsidR="007607C6" w:rsidRPr="0009300B">
        <w:rPr>
          <w:bCs/>
          <w:sz w:val="22"/>
          <w:szCs w:val="22"/>
        </w:rPr>
        <w:t>seksualnog</w:t>
      </w:r>
      <w:r w:rsidR="00F70877" w:rsidRPr="0009300B">
        <w:rPr>
          <w:bCs/>
          <w:sz w:val="22"/>
          <w:szCs w:val="22"/>
        </w:rPr>
        <w:t xml:space="preserve"> odnosa</w:t>
      </w:r>
      <w:r w:rsidRPr="0009300B">
        <w:rPr>
          <w:bCs/>
          <w:sz w:val="22"/>
          <w:szCs w:val="22"/>
        </w:rPr>
        <w:t xml:space="preserve"> je opažena st</w:t>
      </w:r>
      <w:r w:rsidR="00F70877" w:rsidRPr="0009300B">
        <w:rPr>
          <w:bCs/>
          <w:sz w:val="22"/>
          <w:szCs w:val="22"/>
        </w:rPr>
        <w:t xml:space="preserve">opa trudnoće od 2,1% (26/1241). </w:t>
      </w:r>
      <w:r w:rsidRPr="0009300B">
        <w:rPr>
          <w:bCs/>
          <w:sz w:val="22"/>
          <w:szCs w:val="22"/>
        </w:rPr>
        <w:t xml:space="preserve">Dodatno su gore opisanim drugim komparativnim ispitivanjem takođe dobijeni podaci o 100 žena koje su uzele ulipristal acetat između 72 i 120 sati nakon nezaštićenog </w:t>
      </w:r>
      <w:r w:rsidR="006534F0" w:rsidRPr="0009300B">
        <w:rPr>
          <w:bCs/>
          <w:sz w:val="22"/>
          <w:szCs w:val="22"/>
        </w:rPr>
        <w:t>seksualnog</w:t>
      </w:r>
      <w:r w:rsidRPr="0009300B">
        <w:rPr>
          <w:bCs/>
          <w:sz w:val="22"/>
          <w:szCs w:val="22"/>
        </w:rPr>
        <w:t xml:space="preserve"> odnosa kod kojih nisu opažene trudnoće.</w:t>
      </w:r>
    </w:p>
    <w:p w:rsidR="009D662C" w:rsidRPr="0009300B" w:rsidRDefault="009D662C" w:rsidP="00831F36">
      <w:pPr>
        <w:tabs>
          <w:tab w:val="left" w:pos="540"/>
          <w:tab w:val="left" w:pos="569"/>
        </w:tabs>
        <w:jc w:val="both"/>
        <w:rPr>
          <w:bCs/>
          <w:sz w:val="22"/>
          <w:szCs w:val="22"/>
        </w:rPr>
      </w:pPr>
    </w:p>
    <w:p w:rsidR="009D662C" w:rsidRPr="0009300B" w:rsidRDefault="009D662C" w:rsidP="00831F36">
      <w:pPr>
        <w:tabs>
          <w:tab w:val="left" w:pos="540"/>
          <w:tab w:val="left" w:pos="569"/>
        </w:tabs>
        <w:jc w:val="both"/>
        <w:rPr>
          <w:bCs/>
          <w:sz w:val="22"/>
          <w:szCs w:val="22"/>
        </w:rPr>
      </w:pPr>
      <w:r w:rsidRPr="0009300B">
        <w:rPr>
          <w:bCs/>
          <w:sz w:val="22"/>
          <w:szCs w:val="22"/>
        </w:rPr>
        <w:t xml:space="preserve">Ograničeni </w:t>
      </w:r>
      <w:r w:rsidR="00E64364" w:rsidRPr="0009300B">
        <w:rPr>
          <w:bCs/>
          <w:sz w:val="22"/>
          <w:szCs w:val="22"/>
        </w:rPr>
        <w:t>i ne</w:t>
      </w:r>
      <w:r w:rsidR="00FC569E" w:rsidRPr="0009300B">
        <w:rPr>
          <w:bCs/>
          <w:sz w:val="22"/>
          <w:szCs w:val="22"/>
        </w:rPr>
        <w:t>dokazan</w:t>
      </w:r>
      <w:r w:rsidR="00E64364" w:rsidRPr="0009300B">
        <w:rPr>
          <w:bCs/>
          <w:sz w:val="22"/>
          <w:szCs w:val="22"/>
        </w:rPr>
        <w:t xml:space="preserve">i </w:t>
      </w:r>
      <w:r w:rsidRPr="0009300B">
        <w:rPr>
          <w:bCs/>
          <w:sz w:val="22"/>
          <w:szCs w:val="22"/>
        </w:rPr>
        <w:t>podaci iz kliničk</w:t>
      </w:r>
      <w:r w:rsidR="006E2782" w:rsidRPr="0009300B">
        <w:rPr>
          <w:bCs/>
          <w:sz w:val="22"/>
          <w:szCs w:val="22"/>
        </w:rPr>
        <w:t>ih ispitivanja koji ne dozvoljavaju</w:t>
      </w:r>
      <w:r w:rsidRPr="0009300B">
        <w:rPr>
          <w:bCs/>
          <w:sz w:val="22"/>
          <w:szCs w:val="22"/>
        </w:rPr>
        <w:t xml:space="preserve"> donošenje konačnih zaključaka ukazuju na mogući trend smanjenj</w:t>
      </w:r>
      <w:r w:rsidR="006E2782" w:rsidRPr="0009300B">
        <w:rPr>
          <w:bCs/>
          <w:sz w:val="22"/>
          <w:szCs w:val="22"/>
        </w:rPr>
        <w:t>a kontraceptivne efikasnosti</w:t>
      </w:r>
      <w:r w:rsidRPr="0009300B">
        <w:rPr>
          <w:bCs/>
          <w:sz w:val="22"/>
          <w:szCs w:val="22"/>
        </w:rPr>
        <w:t xml:space="preserve"> ulipristal aceta</w:t>
      </w:r>
      <w:r w:rsidR="006E2782" w:rsidRPr="0009300B">
        <w:rPr>
          <w:bCs/>
          <w:sz w:val="22"/>
          <w:szCs w:val="22"/>
        </w:rPr>
        <w:t xml:space="preserve">ta </w:t>
      </w:r>
      <w:r w:rsidR="00630B65" w:rsidRPr="0009300B">
        <w:rPr>
          <w:bCs/>
          <w:sz w:val="22"/>
          <w:szCs w:val="22"/>
        </w:rPr>
        <w:t xml:space="preserve">kod </w:t>
      </w:r>
      <w:r w:rsidR="006E2782" w:rsidRPr="0009300B">
        <w:rPr>
          <w:bCs/>
          <w:sz w:val="22"/>
          <w:szCs w:val="22"/>
        </w:rPr>
        <w:t>žena velike tjelesne mase ili s visokim BMI</w:t>
      </w:r>
      <w:r w:rsidR="00F70877" w:rsidRPr="0009300B">
        <w:rPr>
          <w:bCs/>
          <w:sz w:val="22"/>
          <w:szCs w:val="22"/>
        </w:rPr>
        <w:t xml:space="preserve">-om (vidjeti </w:t>
      </w:r>
      <w:r w:rsidR="00FC569E" w:rsidRPr="0009300B">
        <w:rPr>
          <w:bCs/>
          <w:sz w:val="22"/>
          <w:szCs w:val="22"/>
        </w:rPr>
        <w:t xml:space="preserve">odjeljak </w:t>
      </w:r>
      <w:r w:rsidR="00F70877" w:rsidRPr="0009300B">
        <w:rPr>
          <w:bCs/>
          <w:sz w:val="22"/>
          <w:szCs w:val="22"/>
        </w:rPr>
        <w:t xml:space="preserve">4.4). </w:t>
      </w:r>
      <w:r w:rsidRPr="0009300B">
        <w:rPr>
          <w:bCs/>
          <w:sz w:val="22"/>
          <w:szCs w:val="22"/>
        </w:rPr>
        <w:t xml:space="preserve">Meta-analiza </w:t>
      </w:r>
      <w:r w:rsidR="00124621" w:rsidRPr="0009300B">
        <w:rPr>
          <w:bCs/>
          <w:sz w:val="22"/>
          <w:szCs w:val="22"/>
        </w:rPr>
        <w:t xml:space="preserve">četiri klinička ispitivanja </w:t>
      </w:r>
      <w:r w:rsidR="00630B65" w:rsidRPr="0009300B">
        <w:rPr>
          <w:bCs/>
          <w:sz w:val="22"/>
          <w:szCs w:val="22"/>
        </w:rPr>
        <w:t>s</w:t>
      </w:r>
      <w:r w:rsidR="00124621" w:rsidRPr="0009300B">
        <w:rPr>
          <w:bCs/>
          <w:sz w:val="22"/>
          <w:szCs w:val="22"/>
        </w:rPr>
        <w:t xml:space="preserve">provedena s ulipristal acetatom </w:t>
      </w:r>
      <w:r w:rsidRPr="0009300B">
        <w:rPr>
          <w:bCs/>
          <w:sz w:val="22"/>
          <w:szCs w:val="22"/>
        </w:rPr>
        <w:t>u nastavku nije uključivala žene koje su i</w:t>
      </w:r>
      <w:r w:rsidR="006E2782" w:rsidRPr="0009300B">
        <w:rPr>
          <w:bCs/>
          <w:sz w:val="22"/>
          <w:szCs w:val="22"/>
        </w:rPr>
        <w:t xml:space="preserve">male daljnje nezaštićene seksualne </w:t>
      </w:r>
      <w:r w:rsidRPr="0009300B">
        <w:rPr>
          <w:bCs/>
          <w:sz w:val="22"/>
          <w:szCs w:val="22"/>
        </w:rPr>
        <w:t>odnose.</w:t>
      </w:r>
    </w:p>
    <w:p w:rsidR="009D662C" w:rsidRPr="0009300B" w:rsidRDefault="009D662C" w:rsidP="00831F36">
      <w:pPr>
        <w:tabs>
          <w:tab w:val="left" w:pos="540"/>
          <w:tab w:val="left" w:pos="569"/>
        </w:tabs>
        <w:jc w:val="both"/>
        <w:rPr>
          <w:b/>
          <w:bCs/>
          <w:sz w:val="22"/>
          <w:szCs w:val="22"/>
        </w:rPr>
      </w:pPr>
    </w:p>
    <w:tbl>
      <w:tblPr>
        <w:tblStyle w:val="TableGrid1"/>
        <w:tblW w:w="0" w:type="auto"/>
        <w:tblInd w:w="357" w:type="dxa"/>
        <w:tblLook w:val="04A0" w:firstRow="1" w:lastRow="0" w:firstColumn="1" w:lastColumn="0" w:noHBand="0" w:noVBand="1"/>
      </w:tblPr>
      <w:tblGrid>
        <w:gridCol w:w="1747"/>
        <w:gridCol w:w="1802"/>
        <w:gridCol w:w="1695"/>
        <w:gridCol w:w="1778"/>
        <w:gridCol w:w="1696"/>
      </w:tblGrid>
      <w:tr w:rsidR="00994C1A" w:rsidRPr="0009300B" w:rsidTr="006168F1">
        <w:tc>
          <w:tcPr>
            <w:tcW w:w="1848" w:type="dxa"/>
          </w:tcPr>
          <w:p w:rsidR="009D662C" w:rsidRPr="0009300B" w:rsidRDefault="008F17B3" w:rsidP="00F70877">
            <w:pPr>
              <w:rPr>
                <w:rFonts w:ascii="Times New Roman" w:hAnsi="Times New Roman"/>
                <w:b/>
              </w:rPr>
            </w:pPr>
            <w:r w:rsidRPr="0009300B">
              <w:rPr>
                <w:rFonts w:ascii="Times New Roman" w:hAnsi="Times New Roman"/>
                <w:b/>
              </w:rPr>
              <w:t>BMI</w:t>
            </w:r>
            <w:r w:rsidR="009D662C" w:rsidRPr="0009300B">
              <w:rPr>
                <w:rFonts w:ascii="Times New Roman" w:hAnsi="Times New Roman"/>
                <w:b/>
              </w:rPr>
              <w:t xml:space="preserve"> (kg/m</w:t>
            </w:r>
            <w:r w:rsidR="009D662C" w:rsidRPr="0009300B">
              <w:rPr>
                <w:rFonts w:ascii="Times New Roman" w:hAnsi="Times New Roman"/>
                <w:b/>
                <w:vertAlign w:val="superscript"/>
              </w:rPr>
              <w:t>2</w:t>
            </w:r>
            <w:r w:rsidR="009D662C" w:rsidRPr="0009300B">
              <w:rPr>
                <w:rFonts w:ascii="Times New Roman" w:hAnsi="Times New Roman"/>
                <w:b/>
              </w:rPr>
              <w:t>)</w:t>
            </w:r>
          </w:p>
        </w:tc>
        <w:tc>
          <w:tcPr>
            <w:tcW w:w="1848" w:type="dxa"/>
          </w:tcPr>
          <w:p w:rsidR="009D662C" w:rsidRPr="0009300B" w:rsidRDefault="009D662C" w:rsidP="00F70877">
            <w:pPr>
              <w:rPr>
                <w:rFonts w:ascii="Times New Roman" w:hAnsi="Times New Roman"/>
                <w:b/>
              </w:rPr>
            </w:pPr>
            <w:r w:rsidRPr="0009300B">
              <w:rPr>
                <w:rFonts w:ascii="Times New Roman" w:hAnsi="Times New Roman"/>
                <w:b/>
              </w:rPr>
              <w:t>Pothranjenost</w:t>
            </w:r>
          </w:p>
          <w:p w:rsidR="009D662C" w:rsidRPr="0009300B" w:rsidRDefault="009D662C" w:rsidP="00F70877">
            <w:pPr>
              <w:rPr>
                <w:rFonts w:ascii="Times New Roman" w:hAnsi="Times New Roman"/>
                <w:b/>
              </w:rPr>
            </w:pPr>
          </w:p>
          <w:p w:rsidR="009D662C" w:rsidRPr="0009300B" w:rsidRDefault="009D662C" w:rsidP="00F70877">
            <w:pPr>
              <w:rPr>
                <w:rFonts w:ascii="Times New Roman" w:hAnsi="Times New Roman"/>
                <w:b/>
              </w:rPr>
            </w:pPr>
            <w:r w:rsidRPr="0009300B">
              <w:rPr>
                <w:rFonts w:ascii="Times New Roman" w:hAnsi="Times New Roman"/>
                <w:b/>
              </w:rPr>
              <w:t>0-18,5</w:t>
            </w:r>
          </w:p>
        </w:tc>
        <w:tc>
          <w:tcPr>
            <w:tcW w:w="1848" w:type="dxa"/>
          </w:tcPr>
          <w:p w:rsidR="009D662C" w:rsidRPr="0009300B" w:rsidRDefault="008F17B3" w:rsidP="00F70877">
            <w:pPr>
              <w:rPr>
                <w:rFonts w:ascii="Times New Roman" w:hAnsi="Times New Roman"/>
                <w:b/>
              </w:rPr>
            </w:pPr>
            <w:r w:rsidRPr="0009300B">
              <w:rPr>
                <w:rFonts w:ascii="Times New Roman" w:hAnsi="Times New Roman"/>
                <w:b/>
              </w:rPr>
              <w:t>Normalna tjelesna masa</w:t>
            </w:r>
          </w:p>
          <w:p w:rsidR="009D662C" w:rsidRPr="0009300B" w:rsidRDefault="009D662C" w:rsidP="00F70877">
            <w:pPr>
              <w:rPr>
                <w:rFonts w:ascii="Times New Roman" w:hAnsi="Times New Roman"/>
                <w:b/>
              </w:rPr>
            </w:pPr>
          </w:p>
          <w:p w:rsidR="009D662C" w:rsidRPr="0009300B" w:rsidRDefault="009D662C" w:rsidP="00F70877">
            <w:pPr>
              <w:rPr>
                <w:rFonts w:ascii="Times New Roman" w:hAnsi="Times New Roman"/>
                <w:b/>
              </w:rPr>
            </w:pPr>
            <w:r w:rsidRPr="0009300B">
              <w:rPr>
                <w:rFonts w:ascii="Times New Roman" w:hAnsi="Times New Roman"/>
                <w:b/>
              </w:rPr>
              <w:t>18,5-25</w:t>
            </w:r>
          </w:p>
        </w:tc>
        <w:tc>
          <w:tcPr>
            <w:tcW w:w="1849" w:type="dxa"/>
          </w:tcPr>
          <w:p w:rsidR="009D662C" w:rsidRPr="0009300B" w:rsidRDefault="008F17B3" w:rsidP="00F70877">
            <w:pPr>
              <w:rPr>
                <w:rFonts w:ascii="Times New Roman" w:hAnsi="Times New Roman"/>
                <w:b/>
              </w:rPr>
            </w:pPr>
            <w:r w:rsidRPr="0009300B">
              <w:rPr>
                <w:rFonts w:ascii="Times New Roman" w:hAnsi="Times New Roman"/>
                <w:b/>
              </w:rPr>
              <w:t>Prekomjerna tjelesna masa</w:t>
            </w:r>
          </w:p>
          <w:p w:rsidR="009D662C" w:rsidRPr="0009300B" w:rsidRDefault="009D662C" w:rsidP="00F70877">
            <w:pPr>
              <w:rPr>
                <w:rFonts w:ascii="Times New Roman" w:hAnsi="Times New Roman"/>
                <w:b/>
              </w:rPr>
            </w:pPr>
          </w:p>
          <w:p w:rsidR="009D662C" w:rsidRPr="0009300B" w:rsidRDefault="009D662C" w:rsidP="00F70877">
            <w:pPr>
              <w:rPr>
                <w:rFonts w:ascii="Times New Roman" w:hAnsi="Times New Roman"/>
                <w:b/>
              </w:rPr>
            </w:pPr>
            <w:r w:rsidRPr="0009300B">
              <w:rPr>
                <w:rFonts w:ascii="Times New Roman" w:hAnsi="Times New Roman"/>
                <w:b/>
              </w:rPr>
              <w:t>25-30</w:t>
            </w:r>
          </w:p>
        </w:tc>
        <w:tc>
          <w:tcPr>
            <w:tcW w:w="1849" w:type="dxa"/>
          </w:tcPr>
          <w:p w:rsidR="009D662C" w:rsidRPr="0009300B" w:rsidRDefault="00FC569E" w:rsidP="00F70877">
            <w:pPr>
              <w:rPr>
                <w:rFonts w:ascii="Times New Roman" w:hAnsi="Times New Roman"/>
                <w:b/>
              </w:rPr>
            </w:pPr>
            <w:r w:rsidRPr="0009300B">
              <w:rPr>
                <w:rFonts w:ascii="Times New Roman" w:hAnsi="Times New Roman"/>
                <w:b/>
              </w:rPr>
              <w:t>Gojaznost</w:t>
            </w:r>
          </w:p>
          <w:p w:rsidR="009D662C" w:rsidRPr="0009300B" w:rsidRDefault="009D662C" w:rsidP="00F70877">
            <w:pPr>
              <w:rPr>
                <w:rFonts w:ascii="Times New Roman" w:hAnsi="Times New Roman"/>
                <w:b/>
              </w:rPr>
            </w:pPr>
          </w:p>
          <w:p w:rsidR="009D662C" w:rsidRPr="0009300B" w:rsidRDefault="009D662C" w:rsidP="00F70877">
            <w:pPr>
              <w:rPr>
                <w:rFonts w:ascii="Times New Roman" w:hAnsi="Times New Roman"/>
                <w:b/>
              </w:rPr>
            </w:pPr>
            <w:r w:rsidRPr="0009300B">
              <w:rPr>
                <w:rFonts w:ascii="Times New Roman" w:hAnsi="Times New Roman"/>
                <w:b/>
              </w:rPr>
              <w:t>30-</w:t>
            </w:r>
          </w:p>
        </w:tc>
      </w:tr>
      <w:tr w:rsidR="00994C1A" w:rsidRPr="0009300B" w:rsidTr="006168F1">
        <w:tc>
          <w:tcPr>
            <w:tcW w:w="1848" w:type="dxa"/>
          </w:tcPr>
          <w:p w:rsidR="009D662C" w:rsidRPr="0009300B" w:rsidRDefault="009D662C" w:rsidP="00F70877">
            <w:pPr>
              <w:rPr>
                <w:rFonts w:ascii="Times New Roman" w:hAnsi="Times New Roman"/>
                <w:b/>
              </w:rPr>
            </w:pPr>
            <w:r w:rsidRPr="0009300B">
              <w:rPr>
                <w:rFonts w:ascii="Times New Roman" w:hAnsi="Times New Roman"/>
                <w:b/>
              </w:rPr>
              <w:t>Ukupan broj korisnica</w:t>
            </w:r>
          </w:p>
        </w:tc>
        <w:tc>
          <w:tcPr>
            <w:tcW w:w="1848" w:type="dxa"/>
          </w:tcPr>
          <w:p w:rsidR="009D662C" w:rsidRPr="0009300B" w:rsidRDefault="009D662C" w:rsidP="00F70877">
            <w:pPr>
              <w:rPr>
                <w:rFonts w:ascii="Times New Roman" w:hAnsi="Times New Roman"/>
              </w:rPr>
            </w:pPr>
            <w:r w:rsidRPr="0009300B">
              <w:rPr>
                <w:rFonts w:ascii="Times New Roman" w:hAnsi="Times New Roman"/>
              </w:rPr>
              <w:t>128</w:t>
            </w:r>
          </w:p>
        </w:tc>
        <w:tc>
          <w:tcPr>
            <w:tcW w:w="1848" w:type="dxa"/>
          </w:tcPr>
          <w:p w:rsidR="009D662C" w:rsidRPr="0009300B" w:rsidRDefault="009D662C" w:rsidP="00F70877">
            <w:pPr>
              <w:rPr>
                <w:rFonts w:ascii="Times New Roman" w:hAnsi="Times New Roman"/>
              </w:rPr>
            </w:pPr>
            <w:r w:rsidRPr="0009300B">
              <w:rPr>
                <w:rFonts w:ascii="Times New Roman" w:hAnsi="Times New Roman"/>
              </w:rPr>
              <w:t>1866</w:t>
            </w:r>
          </w:p>
        </w:tc>
        <w:tc>
          <w:tcPr>
            <w:tcW w:w="1849" w:type="dxa"/>
          </w:tcPr>
          <w:p w:rsidR="009D662C" w:rsidRPr="0009300B" w:rsidRDefault="009D662C" w:rsidP="00F70877">
            <w:pPr>
              <w:rPr>
                <w:rFonts w:ascii="Times New Roman" w:hAnsi="Times New Roman"/>
              </w:rPr>
            </w:pPr>
            <w:r w:rsidRPr="0009300B">
              <w:rPr>
                <w:rFonts w:ascii="Times New Roman" w:hAnsi="Times New Roman"/>
              </w:rPr>
              <w:t>699</w:t>
            </w:r>
          </w:p>
        </w:tc>
        <w:tc>
          <w:tcPr>
            <w:tcW w:w="1849" w:type="dxa"/>
          </w:tcPr>
          <w:p w:rsidR="009D662C" w:rsidRPr="0009300B" w:rsidRDefault="009D662C" w:rsidP="00F70877">
            <w:pPr>
              <w:rPr>
                <w:rFonts w:ascii="Times New Roman" w:hAnsi="Times New Roman"/>
              </w:rPr>
            </w:pPr>
            <w:r w:rsidRPr="0009300B">
              <w:rPr>
                <w:rFonts w:ascii="Times New Roman" w:hAnsi="Times New Roman"/>
              </w:rPr>
              <w:t>467</w:t>
            </w:r>
          </w:p>
        </w:tc>
      </w:tr>
      <w:tr w:rsidR="00994C1A" w:rsidRPr="0009300B" w:rsidTr="006168F1">
        <w:tc>
          <w:tcPr>
            <w:tcW w:w="1848" w:type="dxa"/>
          </w:tcPr>
          <w:p w:rsidR="009D662C" w:rsidRPr="0009300B" w:rsidRDefault="009D662C" w:rsidP="00F70877">
            <w:pPr>
              <w:rPr>
                <w:rFonts w:ascii="Times New Roman" w:hAnsi="Times New Roman"/>
                <w:b/>
              </w:rPr>
            </w:pPr>
            <w:r w:rsidRPr="0009300B">
              <w:rPr>
                <w:rFonts w:ascii="Times New Roman" w:hAnsi="Times New Roman"/>
                <w:b/>
              </w:rPr>
              <w:t>Broj trudnoća</w:t>
            </w:r>
          </w:p>
        </w:tc>
        <w:tc>
          <w:tcPr>
            <w:tcW w:w="1848" w:type="dxa"/>
          </w:tcPr>
          <w:p w:rsidR="009D662C" w:rsidRPr="0009300B" w:rsidRDefault="009D662C" w:rsidP="00F70877">
            <w:pPr>
              <w:rPr>
                <w:rFonts w:ascii="Times New Roman" w:hAnsi="Times New Roman"/>
              </w:rPr>
            </w:pPr>
            <w:r w:rsidRPr="0009300B">
              <w:rPr>
                <w:rFonts w:ascii="Times New Roman" w:hAnsi="Times New Roman"/>
              </w:rPr>
              <w:t>0</w:t>
            </w:r>
          </w:p>
        </w:tc>
        <w:tc>
          <w:tcPr>
            <w:tcW w:w="1848" w:type="dxa"/>
          </w:tcPr>
          <w:p w:rsidR="009D662C" w:rsidRPr="0009300B" w:rsidRDefault="009D662C" w:rsidP="00F70877">
            <w:pPr>
              <w:rPr>
                <w:rFonts w:ascii="Times New Roman" w:hAnsi="Times New Roman"/>
              </w:rPr>
            </w:pPr>
            <w:r w:rsidRPr="0009300B">
              <w:rPr>
                <w:rFonts w:ascii="Times New Roman" w:hAnsi="Times New Roman"/>
              </w:rPr>
              <w:t>23</w:t>
            </w:r>
          </w:p>
        </w:tc>
        <w:tc>
          <w:tcPr>
            <w:tcW w:w="1849" w:type="dxa"/>
          </w:tcPr>
          <w:p w:rsidR="009D662C" w:rsidRPr="0009300B" w:rsidRDefault="009D662C" w:rsidP="00F70877">
            <w:pPr>
              <w:rPr>
                <w:rFonts w:ascii="Times New Roman" w:hAnsi="Times New Roman"/>
              </w:rPr>
            </w:pPr>
            <w:r w:rsidRPr="0009300B">
              <w:rPr>
                <w:rFonts w:ascii="Times New Roman" w:hAnsi="Times New Roman"/>
              </w:rPr>
              <w:t>9</w:t>
            </w:r>
          </w:p>
        </w:tc>
        <w:tc>
          <w:tcPr>
            <w:tcW w:w="1849" w:type="dxa"/>
          </w:tcPr>
          <w:p w:rsidR="009D662C" w:rsidRPr="0009300B" w:rsidRDefault="009D662C" w:rsidP="00F70877">
            <w:pPr>
              <w:rPr>
                <w:rFonts w:ascii="Times New Roman" w:hAnsi="Times New Roman"/>
              </w:rPr>
            </w:pPr>
            <w:r w:rsidRPr="0009300B">
              <w:rPr>
                <w:rFonts w:ascii="Times New Roman" w:hAnsi="Times New Roman"/>
              </w:rPr>
              <w:t>12</w:t>
            </w:r>
          </w:p>
        </w:tc>
      </w:tr>
      <w:tr w:rsidR="00994C1A" w:rsidRPr="0009300B" w:rsidTr="006168F1">
        <w:tc>
          <w:tcPr>
            <w:tcW w:w="1848" w:type="dxa"/>
          </w:tcPr>
          <w:p w:rsidR="009D662C" w:rsidRPr="0009300B" w:rsidRDefault="009D662C" w:rsidP="00F70877">
            <w:pPr>
              <w:rPr>
                <w:rFonts w:ascii="Times New Roman" w:hAnsi="Times New Roman"/>
                <w:b/>
              </w:rPr>
            </w:pPr>
            <w:r w:rsidRPr="0009300B">
              <w:rPr>
                <w:rFonts w:ascii="Times New Roman" w:hAnsi="Times New Roman"/>
                <w:b/>
              </w:rPr>
              <w:t>Stopa trudnoća</w:t>
            </w:r>
          </w:p>
        </w:tc>
        <w:tc>
          <w:tcPr>
            <w:tcW w:w="1848" w:type="dxa"/>
          </w:tcPr>
          <w:p w:rsidR="009D662C" w:rsidRPr="0009300B" w:rsidRDefault="009D662C" w:rsidP="00F70877">
            <w:pPr>
              <w:rPr>
                <w:rFonts w:ascii="Times New Roman" w:hAnsi="Times New Roman"/>
              </w:rPr>
            </w:pPr>
            <w:r w:rsidRPr="0009300B">
              <w:rPr>
                <w:rFonts w:ascii="Times New Roman" w:hAnsi="Times New Roman"/>
              </w:rPr>
              <w:t>0,00%</w:t>
            </w:r>
          </w:p>
        </w:tc>
        <w:tc>
          <w:tcPr>
            <w:tcW w:w="1848" w:type="dxa"/>
          </w:tcPr>
          <w:p w:rsidR="009D662C" w:rsidRPr="0009300B" w:rsidRDefault="009D662C" w:rsidP="00F70877">
            <w:pPr>
              <w:rPr>
                <w:rFonts w:ascii="Times New Roman" w:hAnsi="Times New Roman"/>
              </w:rPr>
            </w:pPr>
            <w:r w:rsidRPr="0009300B">
              <w:rPr>
                <w:rFonts w:ascii="Times New Roman" w:hAnsi="Times New Roman"/>
              </w:rPr>
              <w:t>1,23%</w:t>
            </w:r>
          </w:p>
        </w:tc>
        <w:tc>
          <w:tcPr>
            <w:tcW w:w="1849" w:type="dxa"/>
          </w:tcPr>
          <w:p w:rsidR="009D662C" w:rsidRPr="0009300B" w:rsidRDefault="009D662C" w:rsidP="00F70877">
            <w:pPr>
              <w:rPr>
                <w:rFonts w:ascii="Times New Roman" w:hAnsi="Times New Roman"/>
              </w:rPr>
            </w:pPr>
            <w:r w:rsidRPr="0009300B">
              <w:rPr>
                <w:rFonts w:ascii="Times New Roman" w:hAnsi="Times New Roman"/>
              </w:rPr>
              <w:t>1,29%</w:t>
            </w:r>
          </w:p>
        </w:tc>
        <w:tc>
          <w:tcPr>
            <w:tcW w:w="1849" w:type="dxa"/>
          </w:tcPr>
          <w:p w:rsidR="009D662C" w:rsidRPr="0009300B" w:rsidRDefault="009D662C" w:rsidP="00F70877">
            <w:pPr>
              <w:rPr>
                <w:rFonts w:ascii="Times New Roman" w:hAnsi="Times New Roman"/>
              </w:rPr>
            </w:pPr>
            <w:r w:rsidRPr="0009300B">
              <w:rPr>
                <w:rFonts w:ascii="Times New Roman" w:hAnsi="Times New Roman"/>
              </w:rPr>
              <w:t>2,57%</w:t>
            </w:r>
          </w:p>
        </w:tc>
      </w:tr>
      <w:tr w:rsidR="009D662C" w:rsidRPr="0009300B" w:rsidTr="006168F1">
        <w:tc>
          <w:tcPr>
            <w:tcW w:w="1848" w:type="dxa"/>
          </w:tcPr>
          <w:p w:rsidR="009D662C" w:rsidRPr="0009300B" w:rsidRDefault="009D662C" w:rsidP="00F70877">
            <w:pPr>
              <w:rPr>
                <w:rFonts w:ascii="Times New Roman" w:hAnsi="Times New Roman"/>
                <w:b/>
              </w:rPr>
            </w:pPr>
            <w:r w:rsidRPr="0009300B">
              <w:rPr>
                <w:rFonts w:ascii="Times New Roman" w:hAnsi="Times New Roman"/>
                <w:b/>
              </w:rPr>
              <w:t>Interval pouzdanosti</w:t>
            </w:r>
          </w:p>
        </w:tc>
        <w:tc>
          <w:tcPr>
            <w:tcW w:w="1848" w:type="dxa"/>
          </w:tcPr>
          <w:p w:rsidR="009D662C" w:rsidRPr="0009300B" w:rsidRDefault="009D662C" w:rsidP="00F70877">
            <w:pPr>
              <w:rPr>
                <w:rFonts w:ascii="Times New Roman" w:hAnsi="Times New Roman"/>
              </w:rPr>
            </w:pPr>
            <w:r w:rsidRPr="0009300B">
              <w:rPr>
                <w:rFonts w:ascii="Times New Roman" w:hAnsi="Times New Roman"/>
              </w:rPr>
              <w:t>0,00 – 2,84</w:t>
            </w:r>
          </w:p>
        </w:tc>
        <w:tc>
          <w:tcPr>
            <w:tcW w:w="1848" w:type="dxa"/>
          </w:tcPr>
          <w:p w:rsidR="009D662C" w:rsidRPr="0009300B" w:rsidRDefault="009D662C" w:rsidP="00F70877">
            <w:pPr>
              <w:rPr>
                <w:rFonts w:ascii="Times New Roman" w:hAnsi="Times New Roman"/>
              </w:rPr>
            </w:pPr>
            <w:r w:rsidRPr="0009300B">
              <w:rPr>
                <w:rFonts w:ascii="Times New Roman" w:hAnsi="Times New Roman"/>
              </w:rPr>
              <w:t>0,78 – 1,84</w:t>
            </w:r>
          </w:p>
        </w:tc>
        <w:tc>
          <w:tcPr>
            <w:tcW w:w="1849" w:type="dxa"/>
          </w:tcPr>
          <w:p w:rsidR="009D662C" w:rsidRPr="0009300B" w:rsidRDefault="009D662C" w:rsidP="00F70877">
            <w:pPr>
              <w:rPr>
                <w:rFonts w:ascii="Times New Roman" w:hAnsi="Times New Roman"/>
              </w:rPr>
            </w:pPr>
            <w:r w:rsidRPr="0009300B">
              <w:rPr>
                <w:rFonts w:ascii="Times New Roman" w:hAnsi="Times New Roman"/>
              </w:rPr>
              <w:t>0,59 – 2,43</w:t>
            </w:r>
          </w:p>
        </w:tc>
        <w:tc>
          <w:tcPr>
            <w:tcW w:w="1849" w:type="dxa"/>
          </w:tcPr>
          <w:p w:rsidR="009D662C" w:rsidRPr="0009300B" w:rsidRDefault="009D662C" w:rsidP="00F70877">
            <w:pPr>
              <w:rPr>
                <w:rFonts w:ascii="Times New Roman" w:hAnsi="Times New Roman"/>
              </w:rPr>
            </w:pPr>
            <w:r w:rsidRPr="0009300B">
              <w:rPr>
                <w:rFonts w:ascii="Times New Roman" w:hAnsi="Times New Roman"/>
              </w:rPr>
              <w:t>1,34 – 4,45</w:t>
            </w:r>
          </w:p>
        </w:tc>
      </w:tr>
    </w:tbl>
    <w:p w:rsidR="009D662C" w:rsidRPr="0009300B" w:rsidRDefault="009D662C" w:rsidP="00831F36">
      <w:pPr>
        <w:tabs>
          <w:tab w:val="left" w:pos="540"/>
          <w:tab w:val="left" w:pos="569"/>
        </w:tabs>
        <w:jc w:val="both"/>
        <w:rPr>
          <w:b/>
          <w:bCs/>
          <w:sz w:val="22"/>
          <w:szCs w:val="22"/>
        </w:rPr>
      </w:pPr>
    </w:p>
    <w:p w:rsidR="00124621" w:rsidRPr="0009300B" w:rsidRDefault="00124621" w:rsidP="00831F36">
      <w:pPr>
        <w:tabs>
          <w:tab w:val="left" w:pos="540"/>
          <w:tab w:val="left" w:pos="569"/>
        </w:tabs>
        <w:jc w:val="both"/>
        <w:rPr>
          <w:bCs/>
          <w:sz w:val="22"/>
          <w:szCs w:val="22"/>
        </w:rPr>
      </w:pPr>
      <w:r w:rsidRPr="0009300B">
        <w:rPr>
          <w:bCs/>
          <w:sz w:val="22"/>
          <w:szCs w:val="22"/>
        </w:rPr>
        <w:t xml:space="preserve">U postmarketinškom opservacionom ispitivanju kojim su ocjenjivani efikasnost i bezbjednost ellaOne </w:t>
      </w:r>
      <w:r w:rsidR="00FC569E" w:rsidRPr="0009300B">
        <w:rPr>
          <w:bCs/>
          <w:sz w:val="22"/>
          <w:szCs w:val="22"/>
        </w:rPr>
        <w:t xml:space="preserve">kod adolescentkinja </w:t>
      </w:r>
      <w:r w:rsidRPr="0009300B">
        <w:rPr>
          <w:bCs/>
          <w:sz w:val="22"/>
          <w:szCs w:val="22"/>
        </w:rPr>
        <w:t xml:space="preserve">u </w:t>
      </w:r>
      <w:r w:rsidR="00FC569E" w:rsidRPr="0009300B">
        <w:rPr>
          <w:bCs/>
          <w:sz w:val="22"/>
          <w:szCs w:val="22"/>
        </w:rPr>
        <w:t xml:space="preserve">dobu </w:t>
      </w:r>
      <w:r w:rsidRPr="0009300B">
        <w:rPr>
          <w:bCs/>
          <w:sz w:val="22"/>
          <w:szCs w:val="22"/>
        </w:rPr>
        <w:t xml:space="preserve">od 17 godina i mlađih nisu utvrđene razlike u profilu bezbjednosti i efikasnosti u </w:t>
      </w:r>
      <w:r w:rsidR="00FC569E" w:rsidRPr="0009300B">
        <w:rPr>
          <w:bCs/>
          <w:sz w:val="22"/>
          <w:szCs w:val="22"/>
        </w:rPr>
        <w:t xml:space="preserve">poređenju </w:t>
      </w:r>
      <w:r w:rsidRPr="0009300B">
        <w:rPr>
          <w:bCs/>
          <w:sz w:val="22"/>
          <w:szCs w:val="22"/>
        </w:rPr>
        <w:t xml:space="preserve">sa ženama u </w:t>
      </w:r>
      <w:r w:rsidR="00FC569E" w:rsidRPr="0009300B">
        <w:rPr>
          <w:bCs/>
          <w:sz w:val="22"/>
          <w:szCs w:val="22"/>
        </w:rPr>
        <w:t xml:space="preserve">dobu </w:t>
      </w:r>
      <w:r w:rsidRPr="0009300B">
        <w:rPr>
          <w:bCs/>
          <w:sz w:val="22"/>
          <w:szCs w:val="22"/>
        </w:rPr>
        <w:t>od 18 godina i starijim.</w:t>
      </w:r>
    </w:p>
    <w:p w:rsidR="009D662C" w:rsidRPr="0009300B" w:rsidRDefault="009D662C" w:rsidP="00831F36">
      <w:pPr>
        <w:tabs>
          <w:tab w:val="left" w:pos="540"/>
          <w:tab w:val="left" w:pos="569"/>
        </w:tabs>
        <w:jc w:val="both"/>
        <w:rPr>
          <w:b/>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5.2. </w:t>
      </w:r>
      <w:r w:rsidR="00480FB1" w:rsidRPr="0009300B">
        <w:rPr>
          <w:b/>
          <w:bCs/>
          <w:sz w:val="22"/>
          <w:szCs w:val="22"/>
        </w:rPr>
        <w:tab/>
      </w:r>
      <w:r w:rsidRPr="0009300B">
        <w:rPr>
          <w:b/>
          <w:bCs/>
          <w:sz w:val="22"/>
          <w:szCs w:val="22"/>
        </w:rPr>
        <w:t>Farmakokinetički podaci</w:t>
      </w:r>
    </w:p>
    <w:p w:rsidR="00816AC6" w:rsidRPr="0009300B" w:rsidRDefault="00816AC6" w:rsidP="00831F36">
      <w:pPr>
        <w:pStyle w:val="NoSpacing"/>
        <w:jc w:val="both"/>
        <w:rPr>
          <w:rFonts w:ascii="Times New Roman" w:hAnsi="Times New Roman"/>
          <w:noProof/>
          <w:u w:val="single"/>
          <w:lang w:val="sr-Latn-ME"/>
        </w:rPr>
      </w:pPr>
    </w:p>
    <w:p w:rsidR="00816AC6" w:rsidRPr="0009300B" w:rsidRDefault="00D16C9D"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Resorpcija</w:t>
      </w:r>
    </w:p>
    <w:p w:rsidR="00F70877" w:rsidRPr="0009300B" w:rsidRDefault="00F70877"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Primijenjen </w:t>
      </w:r>
      <w:r w:rsidR="006534F0" w:rsidRPr="0009300B">
        <w:rPr>
          <w:rFonts w:ascii="Times New Roman" w:hAnsi="Times New Roman"/>
          <w:noProof/>
          <w:lang w:val="sr-Latn-ME"/>
        </w:rPr>
        <w:t>oralno</w:t>
      </w:r>
      <w:r w:rsidRPr="0009300B">
        <w:rPr>
          <w:rFonts w:ascii="Times New Roman" w:hAnsi="Times New Roman"/>
          <w:noProof/>
          <w:lang w:val="sr-Latn-ME"/>
        </w:rPr>
        <w:t xml:space="preserve"> u jednokratnoj dozi od 30 mg, ulipristal acetat se brzo </w:t>
      </w:r>
      <w:r w:rsidR="00D16C9D" w:rsidRPr="0009300B">
        <w:rPr>
          <w:rFonts w:ascii="Times New Roman" w:hAnsi="Times New Roman"/>
          <w:noProof/>
          <w:lang w:val="sr-Latn-ME"/>
        </w:rPr>
        <w:t xml:space="preserve">resorbuje </w:t>
      </w:r>
      <w:r w:rsidRPr="0009300B">
        <w:rPr>
          <w:rFonts w:ascii="Times New Roman" w:hAnsi="Times New Roman"/>
          <w:noProof/>
          <w:lang w:val="sr-Latn-ME"/>
        </w:rPr>
        <w:t xml:space="preserve">dostižući maksimalnu koncentraciju u plazmi od 176 ± 89 ng/ml oko 1 sat (0,5-2,0 h) nakon ingestije, s </w:t>
      </w:r>
      <w:r w:rsidR="00D16C9D" w:rsidRPr="0009300B">
        <w:rPr>
          <w:rFonts w:ascii="Times New Roman" w:hAnsi="Times New Roman"/>
          <w:noProof/>
          <w:lang w:val="sr-Latn-ME"/>
        </w:rPr>
        <w:t>PIK</w:t>
      </w:r>
      <w:r w:rsidR="00D16C9D" w:rsidRPr="0009300B">
        <w:rPr>
          <w:rFonts w:ascii="Times New Roman" w:hAnsi="Times New Roman"/>
          <w:noProof/>
          <w:vertAlign w:val="subscript"/>
          <w:lang w:val="sr-Latn-ME"/>
        </w:rPr>
        <w:t>0</w:t>
      </w:r>
      <w:r w:rsidRPr="0009300B">
        <w:rPr>
          <w:rFonts w:ascii="Times New Roman" w:hAnsi="Times New Roman"/>
          <w:noProof/>
          <w:vertAlign w:val="subscript"/>
          <w:lang w:val="sr-Latn-ME"/>
        </w:rPr>
        <w:t>-∞</w:t>
      </w:r>
      <w:r w:rsidRPr="0009300B">
        <w:rPr>
          <w:rFonts w:ascii="Times New Roman" w:hAnsi="Times New Roman"/>
          <w:noProof/>
          <w:lang w:val="sr-Latn-ME"/>
        </w:rPr>
        <w:t xml:space="preserve"> od 556 ± 260 ng.h/ml.</w:t>
      </w:r>
    </w:p>
    <w:p w:rsidR="00816AC6" w:rsidRPr="0009300B" w:rsidRDefault="00816AC6" w:rsidP="00831F36">
      <w:pPr>
        <w:pStyle w:val="NoSpacing"/>
        <w:jc w:val="both"/>
        <w:rPr>
          <w:rFonts w:ascii="Times New Roman" w:hAnsi="Times New Roman"/>
          <w:noProof/>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Primjena ulipristal acetata uz doručak bogat mastima rezultirala je s oko 45% </w:t>
      </w:r>
      <w:r w:rsidR="00D16C9D" w:rsidRPr="0009300B">
        <w:rPr>
          <w:rFonts w:ascii="Times New Roman" w:hAnsi="Times New Roman"/>
          <w:noProof/>
          <w:lang w:val="sr-Latn-ME"/>
        </w:rPr>
        <w:t xml:space="preserve">smanjenja </w:t>
      </w:r>
      <w:r w:rsidRPr="0009300B">
        <w:rPr>
          <w:rFonts w:ascii="Times New Roman" w:hAnsi="Times New Roman"/>
          <w:noProof/>
          <w:lang w:val="sr-Latn-ME"/>
        </w:rPr>
        <w:t>srednje vrijednosti C</w:t>
      </w:r>
      <w:r w:rsidRPr="0009300B">
        <w:rPr>
          <w:rFonts w:ascii="Times New Roman" w:hAnsi="Times New Roman"/>
          <w:noProof/>
          <w:vertAlign w:val="subscript"/>
          <w:lang w:val="sr-Latn-ME"/>
        </w:rPr>
        <w:t>max</w:t>
      </w:r>
      <w:r w:rsidRPr="0009300B">
        <w:rPr>
          <w:rFonts w:ascii="Times New Roman" w:hAnsi="Times New Roman"/>
          <w:noProof/>
          <w:lang w:val="sr-Latn-ME"/>
        </w:rPr>
        <w:t>, odloženim T</w:t>
      </w:r>
      <w:r w:rsidRPr="0009300B">
        <w:rPr>
          <w:rFonts w:ascii="Times New Roman" w:hAnsi="Times New Roman"/>
          <w:noProof/>
          <w:vertAlign w:val="subscript"/>
          <w:lang w:val="sr-Latn-ME"/>
        </w:rPr>
        <w:t>max</w:t>
      </w:r>
      <w:r w:rsidRPr="0009300B">
        <w:rPr>
          <w:rFonts w:ascii="Times New Roman" w:hAnsi="Times New Roman"/>
          <w:noProof/>
          <w:lang w:val="sr-Latn-ME"/>
        </w:rPr>
        <w:t xml:space="preserve"> (sa medijana od 0,75 sati na 3 sata) i 25% višom srednjom </w:t>
      </w:r>
      <w:r w:rsidR="00D16C9D" w:rsidRPr="0009300B">
        <w:rPr>
          <w:rFonts w:ascii="Times New Roman" w:hAnsi="Times New Roman"/>
          <w:noProof/>
          <w:lang w:val="sr-Latn-ME"/>
        </w:rPr>
        <w:t>vrijednošću PIK</w:t>
      </w:r>
      <w:r w:rsidR="00D16C9D" w:rsidRPr="0009300B">
        <w:rPr>
          <w:rFonts w:ascii="Times New Roman" w:hAnsi="Times New Roman"/>
          <w:noProof/>
          <w:vertAlign w:val="subscript"/>
          <w:lang w:val="sr-Latn-ME"/>
        </w:rPr>
        <w:t>0</w:t>
      </w:r>
      <w:r w:rsidRPr="0009300B">
        <w:rPr>
          <w:rFonts w:ascii="Times New Roman" w:hAnsi="Times New Roman"/>
          <w:noProof/>
          <w:vertAlign w:val="subscript"/>
          <w:lang w:val="sr-Latn-ME"/>
        </w:rPr>
        <w:t>-∞</w:t>
      </w:r>
      <w:r w:rsidRPr="0009300B">
        <w:rPr>
          <w:rFonts w:ascii="Times New Roman" w:hAnsi="Times New Roman"/>
          <w:noProof/>
          <w:lang w:val="sr-Latn-ME"/>
        </w:rPr>
        <w:t xml:space="preserve"> u poređenju s primjenom natašte. Slični rezultati dobijeni su i s aktivnim mono-demetilisanim metabolitom.   </w:t>
      </w:r>
    </w:p>
    <w:p w:rsidR="0099337B" w:rsidRPr="0009300B" w:rsidRDefault="0099337B"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Distribucija</w:t>
      </w:r>
    </w:p>
    <w:p w:rsidR="00F70877" w:rsidRPr="0009300B" w:rsidRDefault="00F70877"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Ulipristal acetat se u visokom procentu (&gt;98%) veže na proteine plazme, uključujući albumin, alfa-1-kiseli glikoprotein i lipoprotein velike gustine.</w:t>
      </w:r>
    </w:p>
    <w:p w:rsidR="00845226" w:rsidRPr="0009300B" w:rsidRDefault="00845226" w:rsidP="00831F36">
      <w:pPr>
        <w:pStyle w:val="NoSpacing"/>
        <w:jc w:val="both"/>
        <w:rPr>
          <w:rFonts w:ascii="Times New Roman" w:hAnsi="Times New Roman"/>
          <w:noProof/>
          <w:lang w:val="sr-Latn-ME"/>
        </w:rPr>
      </w:pPr>
    </w:p>
    <w:p w:rsidR="00F70877"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Ulipristal acetat je lipofilna supstanca i izlučuje se u majčino mlijeko u prosječnim dnevnim količinama od 13,35 μg [0 - 24 sata], 2,16 μg [24 - 48 sati], 1,06 μg [48 – 72 sata], 058 μg [72 – 96 sati], 0,31 μg [96 – 120 sati]. </w:t>
      </w:r>
    </w:p>
    <w:p w:rsidR="00C1712E" w:rsidRPr="0009300B" w:rsidRDefault="00C1712E" w:rsidP="00831F36">
      <w:pPr>
        <w:pStyle w:val="NoSpacing"/>
        <w:jc w:val="both"/>
        <w:rPr>
          <w:rFonts w:ascii="Times New Roman" w:hAnsi="Times New Roman"/>
          <w:i/>
          <w:noProof/>
          <w:lang w:val="sr-Latn-ME"/>
        </w:rPr>
      </w:pPr>
    </w:p>
    <w:p w:rsidR="00994C1A" w:rsidRPr="0009300B" w:rsidRDefault="00994C1A" w:rsidP="00831F36">
      <w:pPr>
        <w:pStyle w:val="NoSpacing"/>
        <w:jc w:val="both"/>
        <w:rPr>
          <w:rFonts w:ascii="Times New Roman" w:hAnsi="Times New Roman"/>
          <w:noProof/>
          <w:lang w:val="sr-Latn-ME"/>
        </w:rPr>
      </w:pPr>
      <w:r w:rsidRPr="0009300B">
        <w:rPr>
          <w:rFonts w:ascii="Times New Roman" w:hAnsi="Times New Roman"/>
          <w:i/>
          <w:noProof/>
          <w:lang w:val="sr-Latn-ME"/>
        </w:rPr>
        <w:t>In vitro</w:t>
      </w:r>
      <w:r w:rsidRPr="0009300B">
        <w:rPr>
          <w:rFonts w:ascii="Times New Roman" w:hAnsi="Times New Roman"/>
          <w:noProof/>
          <w:lang w:val="sr-Latn-ME"/>
        </w:rPr>
        <w:t xml:space="preserve"> podaci pokazuju da ulipristal acetat može biti inhibitor BRCP (Breast Cancer Resistance Protein) prenosioca u crijevu. Nije vjerovatno da efekti ulipristal acetata na BRCP imaju ikakve kliničke posljedice.   </w:t>
      </w:r>
    </w:p>
    <w:p w:rsidR="00994C1A" w:rsidRPr="0009300B" w:rsidRDefault="00994C1A" w:rsidP="00831F36">
      <w:pPr>
        <w:pStyle w:val="NoSpacing"/>
        <w:jc w:val="both"/>
        <w:rPr>
          <w:rFonts w:ascii="Times New Roman" w:hAnsi="Times New Roman"/>
          <w:noProof/>
          <w:lang w:val="sr-Latn-ME"/>
        </w:rPr>
      </w:pPr>
    </w:p>
    <w:p w:rsidR="00994C1A" w:rsidRPr="0009300B" w:rsidRDefault="00994C1A" w:rsidP="00831F36">
      <w:pPr>
        <w:pStyle w:val="NoSpacing"/>
        <w:jc w:val="both"/>
        <w:rPr>
          <w:rFonts w:ascii="Times New Roman" w:hAnsi="Times New Roman"/>
          <w:noProof/>
          <w:lang w:val="sr-Latn-ME"/>
        </w:rPr>
      </w:pPr>
      <w:r w:rsidRPr="0009300B">
        <w:rPr>
          <w:rFonts w:ascii="Times New Roman" w:hAnsi="Times New Roman"/>
          <w:noProof/>
          <w:lang w:val="sr-Latn-ME"/>
        </w:rPr>
        <w:t>Ulipristal acetat nije supstrat za OATP1B1 ili OATP1B3.</w:t>
      </w:r>
    </w:p>
    <w:p w:rsidR="00816AC6" w:rsidRPr="0009300B" w:rsidRDefault="00816AC6"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Biotransformacija/eliminacija</w:t>
      </w:r>
    </w:p>
    <w:p w:rsidR="00F70877" w:rsidRPr="0009300B" w:rsidRDefault="00F70877"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Ulipristal acetat se opsežno metabo</w:t>
      </w:r>
      <w:r w:rsidR="006534F0" w:rsidRPr="0009300B">
        <w:rPr>
          <w:rFonts w:ascii="Times New Roman" w:hAnsi="Times New Roman"/>
          <w:noProof/>
          <w:lang w:val="sr-Latn-ME"/>
        </w:rPr>
        <w:t>liše</w:t>
      </w:r>
      <w:r w:rsidR="00F70877" w:rsidRPr="0009300B">
        <w:rPr>
          <w:rFonts w:ascii="Times New Roman" w:hAnsi="Times New Roman"/>
          <w:noProof/>
          <w:lang w:val="sr-Latn-ME"/>
        </w:rPr>
        <w:t xml:space="preserve"> u mono-demetilisane, </w:t>
      </w:r>
      <w:r w:rsidRPr="0009300B">
        <w:rPr>
          <w:rFonts w:ascii="Times New Roman" w:hAnsi="Times New Roman"/>
          <w:noProof/>
          <w:lang w:val="sr-Latn-ME"/>
        </w:rPr>
        <w:t xml:space="preserve">di-demetilisane i hidroksilisane metabolite. Mono-demetilisani metabolit je farmakološki aktivan. Prema podacima dobijenim in vitro, metabolizam je predominantno posredovan CYP3A4, a u manjoj mjeri CYP1A2 i CYP2A6. </w:t>
      </w:r>
      <w:r w:rsidR="00D16C9D" w:rsidRPr="0009300B">
        <w:rPr>
          <w:rFonts w:ascii="Times New Roman" w:hAnsi="Times New Roman"/>
          <w:noProof/>
          <w:lang w:val="sr-Latn-ME"/>
        </w:rPr>
        <w:t xml:space="preserve">Terminalno poluvrijeme eliminacije </w:t>
      </w:r>
      <w:r w:rsidRPr="0009300B">
        <w:rPr>
          <w:rFonts w:ascii="Times New Roman" w:hAnsi="Times New Roman"/>
          <w:noProof/>
          <w:lang w:val="sr-Latn-ME"/>
        </w:rPr>
        <w:t>ulipristal acetata u plazmi nakon primjene pojedinačne doze od 30 mg procjenjuje se na 32,4 ± 6,3 sata, uz srednju vrijednost oralnog klirensa (CL/F) od 76,8 ± 64,0 L/h.</w:t>
      </w:r>
    </w:p>
    <w:p w:rsidR="00816AC6" w:rsidRPr="0009300B" w:rsidRDefault="00816AC6" w:rsidP="00831F36">
      <w:pPr>
        <w:pStyle w:val="NoSpacing"/>
        <w:jc w:val="both"/>
        <w:rPr>
          <w:rFonts w:ascii="Times New Roman" w:hAnsi="Times New Roman"/>
          <w:noProof/>
          <w:lang w:val="sr-Latn-ME"/>
        </w:rPr>
      </w:pPr>
    </w:p>
    <w:p w:rsidR="00816AC6" w:rsidRPr="0009300B" w:rsidRDefault="00816AC6" w:rsidP="00831F36">
      <w:pPr>
        <w:pStyle w:val="NoSpacing"/>
        <w:jc w:val="both"/>
        <w:rPr>
          <w:rFonts w:ascii="Times New Roman" w:hAnsi="Times New Roman"/>
          <w:noProof/>
          <w:u w:val="single"/>
          <w:lang w:val="sr-Latn-ME"/>
        </w:rPr>
      </w:pPr>
      <w:r w:rsidRPr="0009300B">
        <w:rPr>
          <w:rFonts w:ascii="Times New Roman" w:hAnsi="Times New Roman"/>
          <w:noProof/>
          <w:u w:val="single"/>
          <w:lang w:val="sr-Latn-ME"/>
        </w:rPr>
        <w:t>Posebne populacije</w:t>
      </w:r>
    </w:p>
    <w:p w:rsidR="00F70877" w:rsidRPr="0009300B" w:rsidRDefault="00F70877" w:rsidP="00831F36">
      <w:pPr>
        <w:pStyle w:val="NoSpacing"/>
        <w:jc w:val="both"/>
        <w:rPr>
          <w:rFonts w:ascii="Times New Roman" w:hAnsi="Times New Roman"/>
          <w:noProof/>
          <w:u w:val="single"/>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Farmakokinetička ispitivanja s ulipristal acetatom nisu </w:t>
      </w:r>
      <w:r w:rsidR="00D16C9D" w:rsidRPr="0009300B">
        <w:rPr>
          <w:rFonts w:ascii="Times New Roman" w:hAnsi="Times New Roman"/>
          <w:noProof/>
          <w:lang w:val="sr-Latn-ME"/>
        </w:rPr>
        <w:t>s</w:t>
      </w:r>
      <w:r w:rsidRPr="0009300B">
        <w:rPr>
          <w:rFonts w:ascii="Times New Roman" w:hAnsi="Times New Roman"/>
          <w:noProof/>
          <w:lang w:val="sr-Latn-ME"/>
        </w:rPr>
        <w:t xml:space="preserve">provedena kod žena s poremećajem funkcije bubrega ili jetre.   </w:t>
      </w:r>
    </w:p>
    <w:p w:rsidR="0072020E" w:rsidRPr="0009300B" w:rsidRDefault="0072020E"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5.3. </w:t>
      </w:r>
      <w:r w:rsidR="00480FB1" w:rsidRPr="0009300B">
        <w:rPr>
          <w:b/>
          <w:bCs/>
          <w:sz w:val="22"/>
          <w:szCs w:val="22"/>
        </w:rPr>
        <w:tab/>
      </w:r>
      <w:r w:rsidRPr="0009300B">
        <w:rPr>
          <w:b/>
          <w:bCs/>
          <w:sz w:val="22"/>
          <w:szCs w:val="22"/>
        </w:rPr>
        <w:t xml:space="preserve">Pretklinički podaci o bezbjednosti </w:t>
      </w:r>
    </w:p>
    <w:p w:rsidR="00F70877" w:rsidRPr="0009300B" w:rsidRDefault="00F70877" w:rsidP="00831F36">
      <w:pPr>
        <w:tabs>
          <w:tab w:val="left" w:pos="540"/>
          <w:tab w:val="left" w:pos="569"/>
        </w:tabs>
        <w:jc w:val="both"/>
        <w:rPr>
          <w:b/>
          <w:bCs/>
          <w:sz w:val="22"/>
          <w:szCs w:val="22"/>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Pretklinički podaci ne ukazuju na poseban rizik za ljude na temelju konvencionalnih ispitivanja </w:t>
      </w:r>
      <w:r w:rsidR="007607C6" w:rsidRPr="0009300B">
        <w:rPr>
          <w:rFonts w:ascii="Times New Roman" w:hAnsi="Times New Roman"/>
          <w:noProof/>
          <w:lang w:val="sr-Latn-ME"/>
        </w:rPr>
        <w:t>bezbjednosti</w:t>
      </w:r>
      <w:r w:rsidRPr="0009300B">
        <w:rPr>
          <w:rFonts w:ascii="Times New Roman" w:hAnsi="Times New Roman"/>
          <w:noProof/>
          <w:lang w:val="sr-Latn-ME"/>
        </w:rPr>
        <w:t xml:space="preserve"> farmakologije, toksičnosti ponovljenih doza i genotoksičnosti. Većina nalaza u ispitivanjima </w:t>
      </w:r>
      <w:r w:rsidR="007607C6" w:rsidRPr="0009300B">
        <w:rPr>
          <w:rFonts w:ascii="Times New Roman" w:hAnsi="Times New Roman"/>
          <w:noProof/>
          <w:lang w:val="sr-Latn-ME"/>
        </w:rPr>
        <w:t>opšte</w:t>
      </w:r>
      <w:r w:rsidRPr="0009300B">
        <w:rPr>
          <w:rFonts w:ascii="Times New Roman" w:hAnsi="Times New Roman"/>
          <w:noProof/>
          <w:lang w:val="sr-Latn-ME"/>
        </w:rPr>
        <w:t xml:space="preserve"> toksičnosti bila je povezana s mehanizmom djelovanja lijeka kao modulatora receptora progesterona i glukokortikoida uz antiprogesteronsku aktivnost opaženu pri izloženosti sličnim terapijskim </w:t>
      </w:r>
      <w:r w:rsidR="007607C6" w:rsidRPr="0009300B">
        <w:rPr>
          <w:rFonts w:ascii="Times New Roman" w:hAnsi="Times New Roman"/>
          <w:noProof/>
          <w:lang w:val="sr-Latn-ME"/>
        </w:rPr>
        <w:t>nivoima</w:t>
      </w:r>
      <w:r w:rsidRPr="0009300B">
        <w:rPr>
          <w:rFonts w:ascii="Times New Roman" w:hAnsi="Times New Roman"/>
          <w:noProof/>
          <w:lang w:val="sr-Latn-ME"/>
        </w:rPr>
        <w:t>.</w:t>
      </w:r>
    </w:p>
    <w:p w:rsidR="00816AC6" w:rsidRPr="0009300B" w:rsidRDefault="00816AC6" w:rsidP="00831F36">
      <w:pPr>
        <w:pStyle w:val="NoSpacing"/>
        <w:jc w:val="both"/>
        <w:rPr>
          <w:rFonts w:ascii="Times New Roman" w:hAnsi="Times New Roman"/>
          <w:noProof/>
          <w:lang w:val="sr-Latn-ME"/>
        </w:rPr>
      </w:pPr>
    </w:p>
    <w:p w:rsidR="00816AC6" w:rsidRPr="0009300B" w:rsidRDefault="00675FD3" w:rsidP="00831F36">
      <w:pPr>
        <w:pStyle w:val="NoSpacing"/>
        <w:jc w:val="both"/>
        <w:rPr>
          <w:rFonts w:ascii="Times New Roman" w:hAnsi="Times New Roman"/>
          <w:noProof/>
          <w:lang w:val="sr-Latn-ME"/>
        </w:rPr>
      </w:pPr>
      <w:r w:rsidRPr="0009300B">
        <w:rPr>
          <w:rFonts w:ascii="Times New Roman" w:hAnsi="Times New Roman"/>
          <w:noProof/>
          <w:lang w:val="sr-Latn-ME"/>
        </w:rPr>
        <w:t>Informacije</w:t>
      </w:r>
      <w:r w:rsidR="00816AC6" w:rsidRPr="0009300B">
        <w:rPr>
          <w:rFonts w:ascii="Times New Roman" w:hAnsi="Times New Roman"/>
          <w:noProof/>
          <w:lang w:val="sr-Latn-ME"/>
        </w:rPr>
        <w:t xml:space="preserve"> </w:t>
      </w:r>
      <w:r w:rsidRPr="0009300B">
        <w:rPr>
          <w:rFonts w:ascii="Times New Roman" w:hAnsi="Times New Roman"/>
          <w:noProof/>
          <w:lang w:val="sr-Latn-ME"/>
        </w:rPr>
        <w:t xml:space="preserve">iz ispitivanja </w:t>
      </w:r>
      <w:r w:rsidR="00816AC6" w:rsidRPr="0009300B">
        <w:rPr>
          <w:rFonts w:ascii="Times New Roman" w:hAnsi="Times New Roman"/>
          <w:noProof/>
          <w:lang w:val="sr-Latn-ME"/>
        </w:rPr>
        <w:t>reproduktivn</w:t>
      </w:r>
      <w:r w:rsidRPr="0009300B">
        <w:rPr>
          <w:rFonts w:ascii="Times New Roman" w:hAnsi="Times New Roman"/>
          <w:noProof/>
          <w:lang w:val="sr-Latn-ME"/>
        </w:rPr>
        <w:t>e</w:t>
      </w:r>
      <w:r w:rsidR="00816AC6" w:rsidRPr="0009300B">
        <w:rPr>
          <w:rFonts w:ascii="Times New Roman" w:hAnsi="Times New Roman"/>
          <w:noProof/>
          <w:lang w:val="sr-Latn-ME"/>
        </w:rPr>
        <w:t xml:space="preserve"> toksičnosti su </w:t>
      </w:r>
      <w:r w:rsidRPr="0009300B">
        <w:rPr>
          <w:rFonts w:ascii="Times New Roman" w:hAnsi="Times New Roman"/>
          <w:noProof/>
          <w:lang w:val="sr-Latn-ME"/>
        </w:rPr>
        <w:t>ograničene zbog nedostatka mjerenja izlaganja u tim ispitivanjima</w:t>
      </w:r>
      <w:r w:rsidR="00816AC6" w:rsidRPr="0009300B">
        <w:rPr>
          <w:rFonts w:ascii="Times New Roman" w:hAnsi="Times New Roman"/>
          <w:noProof/>
          <w:lang w:val="sr-Latn-ME"/>
        </w:rPr>
        <w:t xml:space="preserve">. </w:t>
      </w:r>
      <w:r w:rsidRPr="0009300B">
        <w:rPr>
          <w:rFonts w:ascii="Times New Roman" w:hAnsi="Times New Roman"/>
          <w:noProof/>
          <w:lang w:val="sr-Latn-ME"/>
        </w:rPr>
        <w:t>U</w:t>
      </w:r>
      <w:r w:rsidR="00816AC6" w:rsidRPr="0009300B">
        <w:rPr>
          <w:rFonts w:ascii="Times New Roman" w:hAnsi="Times New Roman"/>
          <w:noProof/>
          <w:lang w:val="sr-Latn-ME"/>
        </w:rPr>
        <w:t xml:space="preserve">lipristal acetat ima letalni učinak na </w:t>
      </w:r>
      <w:r w:rsidR="007607C6" w:rsidRPr="0009300B">
        <w:rPr>
          <w:rFonts w:ascii="Times New Roman" w:hAnsi="Times New Roman"/>
          <w:noProof/>
          <w:lang w:val="sr-Latn-ME"/>
        </w:rPr>
        <w:t>embrione</w:t>
      </w:r>
      <w:r w:rsidR="00816AC6" w:rsidRPr="0009300B">
        <w:rPr>
          <w:rFonts w:ascii="Times New Roman" w:hAnsi="Times New Roman"/>
          <w:noProof/>
          <w:lang w:val="sr-Latn-ME"/>
        </w:rPr>
        <w:t xml:space="preserve"> </w:t>
      </w:r>
      <w:r w:rsidR="007607C6" w:rsidRPr="0009300B">
        <w:rPr>
          <w:rFonts w:ascii="Times New Roman" w:hAnsi="Times New Roman"/>
          <w:noProof/>
          <w:lang w:val="sr-Latn-ME"/>
        </w:rPr>
        <w:t>pacova</w:t>
      </w:r>
      <w:r w:rsidR="00816AC6" w:rsidRPr="0009300B">
        <w:rPr>
          <w:rFonts w:ascii="Times New Roman" w:hAnsi="Times New Roman"/>
          <w:noProof/>
          <w:lang w:val="sr-Latn-ME"/>
        </w:rPr>
        <w:t xml:space="preserve">, zečeva (pri ponovljenim dozama iznad 1 mg/kg) i majmuna. </w:t>
      </w:r>
      <w:r w:rsidRPr="0009300B">
        <w:rPr>
          <w:rFonts w:ascii="Times New Roman" w:hAnsi="Times New Roman"/>
          <w:noProof/>
          <w:lang w:val="sr-Latn-ME"/>
        </w:rPr>
        <w:t>Pri tim ponovljenim dozama</w:t>
      </w:r>
      <w:r w:rsidR="000B0FBB" w:rsidRPr="0009300B">
        <w:rPr>
          <w:rFonts w:ascii="Times New Roman" w:hAnsi="Times New Roman"/>
          <w:noProof/>
          <w:lang w:val="sr-Latn-ME"/>
        </w:rPr>
        <w:t>,</w:t>
      </w:r>
      <w:r w:rsidRPr="0009300B">
        <w:rPr>
          <w:rFonts w:ascii="Times New Roman" w:hAnsi="Times New Roman"/>
          <w:noProof/>
          <w:lang w:val="sr-Latn-ME"/>
        </w:rPr>
        <w:t xml:space="preserve"> bezbjednost</w:t>
      </w:r>
      <w:r w:rsidR="00816AC6" w:rsidRPr="0009300B">
        <w:rPr>
          <w:rFonts w:ascii="Times New Roman" w:hAnsi="Times New Roman"/>
          <w:noProof/>
          <w:lang w:val="sr-Latn-ME"/>
        </w:rPr>
        <w:t xml:space="preserve"> za ljudski </w:t>
      </w:r>
      <w:r w:rsidR="007607C6" w:rsidRPr="0009300B">
        <w:rPr>
          <w:rFonts w:ascii="Times New Roman" w:hAnsi="Times New Roman"/>
          <w:noProof/>
          <w:lang w:val="sr-Latn-ME"/>
        </w:rPr>
        <w:t>embrion</w:t>
      </w:r>
      <w:r w:rsidR="00816AC6" w:rsidRPr="0009300B">
        <w:rPr>
          <w:rFonts w:ascii="Times New Roman" w:hAnsi="Times New Roman"/>
          <w:noProof/>
          <w:lang w:val="sr-Latn-ME"/>
        </w:rPr>
        <w:t xml:space="preserve"> nije poznata. Pri dozama koje su </w:t>
      </w:r>
      <w:r w:rsidRPr="0009300B">
        <w:rPr>
          <w:rFonts w:ascii="Times New Roman" w:hAnsi="Times New Roman"/>
          <w:noProof/>
          <w:lang w:val="sr-Latn-ME"/>
        </w:rPr>
        <w:t xml:space="preserve">bile </w:t>
      </w:r>
      <w:r w:rsidR="00816AC6" w:rsidRPr="0009300B">
        <w:rPr>
          <w:rFonts w:ascii="Times New Roman" w:hAnsi="Times New Roman"/>
          <w:noProof/>
          <w:lang w:val="sr-Latn-ME"/>
        </w:rPr>
        <w:t>dovoljno niske za održavanje gestacije životinjskih vrsta, teratogen</w:t>
      </w:r>
      <w:r w:rsidRPr="0009300B">
        <w:rPr>
          <w:rFonts w:ascii="Times New Roman" w:hAnsi="Times New Roman"/>
          <w:noProof/>
          <w:lang w:val="sr-Latn-ME"/>
        </w:rPr>
        <w:t>a</w:t>
      </w:r>
      <w:r w:rsidR="00816AC6" w:rsidRPr="0009300B">
        <w:rPr>
          <w:rFonts w:ascii="Times New Roman" w:hAnsi="Times New Roman"/>
          <w:noProof/>
          <w:lang w:val="sr-Latn-ME"/>
        </w:rPr>
        <w:t xml:space="preserve">  </w:t>
      </w:r>
      <w:r w:rsidRPr="0009300B">
        <w:rPr>
          <w:rFonts w:ascii="Times New Roman" w:hAnsi="Times New Roman"/>
          <w:noProof/>
          <w:lang w:val="sr-Latn-ME"/>
        </w:rPr>
        <w:t xml:space="preserve">dejstva </w:t>
      </w:r>
      <w:r w:rsidR="00816AC6" w:rsidRPr="0009300B">
        <w:rPr>
          <w:rFonts w:ascii="Times New Roman" w:hAnsi="Times New Roman"/>
          <w:noProof/>
          <w:lang w:val="sr-Latn-ME"/>
        </w:rPr>
        <w:t>ni</w:t>
      </w:r>
      <w:r w:rsidRPr="0009300B">
        <w:rPr>
          <w:rFonts w:ascii="Times New Roman" w:hAnsi="Times New Roman"/>
          <w:noProof/>
          <w:lang w:val="sr-Latn-ME"/>
        </w:rPr>
        <w:t>su</w:t>
      </w:r>
      <w:r w:rsidR="00816AC6" w:rsidRPr="0009300B">
        <w:rPr>
          <w:rFonts w:ascii="Times New Roman" w:hAnsi="Times New Roman"/>
          <w:noProof/>
          <w:lang w:val="sr-Latn-ME"/>
        </w:rPr>
        <w:t xml:space="preserve"> primijećen</w:t>
      </w:r>
      <w:r w:rsidRPr="0009300B">
        <w:rPr>
          <w:rFonts w:ascii="Times New Roman" w:hAnsi="Times New Roman"/>
          <w:noProof/>
          <w:lang w:val="sr-Latn-ME"/>
        </w:rPr>
        <w:t>a</w:t>
      </w:r>
      <w:r w:rsidR="00816AC6" w:rsidRPr="0009300B">
        <w:rPr>
          <w:rFonts w:ascii="Times New Roman" w:hAnsi="Times New Roman"/>
          <w:noProof/>
          <w:lang w:val="sr-Latn-ME"/>
        </w:rPr>
        <w:t>.</w:t>
      </w:r>
    </w:p>
    <w:p w:rsidR="00816AC6" w:rsidRPr="0009300B" w:rsidRDefault="00816AC6" w:rsidP="00831F36">
      <w:pPr>
        <w:pStyle w:val="NoSpacing"/>
        <w:jc w:val="both"/>
        <w:rPr>
          <w:rFonts w:ascii="Times New Roman" w:hAnsi="Times New Roman"/>
          <w:noProof/>
          <w:lang w:val="sr-Latn-ME"/>
        </w:rPr>
      </w:pPr>
    </w:p>
    <w:p w:rsidR="00816AC6" w:rsidRPr="0009300B" w:rsidRDefault="00816A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Ispitivanja kancerogenosti (na </w:t>
      </w:r>
      <w:r w:rsidR="007607C6" w:rsidRPr="0009300B">
        <w:rPr>
          <w:rFonts w:ascii="Times New Roman" w:hAnsi="Times New Roman"/>
          <w:noProof/>
          <w:lang w:val="sr-Latn-ME"/>
        </w:rPr>
        <w:t>pacovima</w:t>
      </w:r>
      <w:r w:rsidRPr="0009300B">
        <w:rPr>
          <w:rFonts w:ascii="Times New Roman" w:hAnsi="Times New Roman"/>
          <w:noProof/>
          <w:lang w:val="sr-Latn-ME"/>
        </w:rPr>
        <w:t xml:space="preserve"> i miševima) su pokazala </w:t>
      </w:r>
      <w:r w:rsidR="007607C6" w:rsidRPr="0009300B">
        <w:rPr>
          <w:rFonts w:ascii="Times New Roman" w:hAnsi="Times New Roman"/>
          <w:noProof/>
          <w:lang w:val="sr-Latn-ME"/>
        </w:rPr>
        <w:t>da</w:t>
      </w:r>
      <w:r w:rsidRPr="0009300B">
        <w:rPr>
          <w:rFonts w:ascii="Times New Roman" w:hAnsi="Times New Roman"/>
          <w:noProof/>
          <w:lang w:val="sr-Latn-ME"/>
        </w:rPr>
        <w:t xml:space="preserve"> ulipristat acetat nije kancerogen.</w:t>
      </w:r>
    </w:p>
    <w:p w:rsidR="00396DFD" w:rsidRPr="0009300B" w:rsidRDefault="00396DFD" w:rsidP="00831F36">
      <w:pPr>
        <w:tabs>
          <w:tab w:val="left" w:pos="540"/>
          <w:tab w:val="left" w:pos="569"/>
        </w:tabs>
        <w:jc w:val="both"/>
        <w:rPr>
          <w:b/>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6. </w:t>
      </w:r>
      <w:r w:rsidR="00480FB1" w:rsidRPr="0009300B">
        <w:rPr>
          <w:b/>
          <w:bCs/>
          <w:sz w:val="22"/>
          <w:szCs w:val="22"/>
        </w:rPr>
        <w:tab/>
      </w:r>
      <w:r w:rsidRPr="0009300B">
        <w:rPr>
          <w:b/>
          <w:bCs/>
          <w:sz w:val="22"/>
          <w:szCs w:val="22"/>
        </w:rPr>
        <w:t>FARMACEUTSKI PODACI</w:t>
      </w:r>
    </w:p>
    <w:p w:rsidR="00836B35" w:rsidRPr="0009300B" w:rsidRDefault="00836B35"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6.1. </w:t>
      </w:r>
      <w:r w:rsidR="00480FB1" w:rsidRPr="0009300B">
        <w:rPr>
          <w:b/>
          <w:bCs/>
          <w:sz w:val="22"/>
          <w:szCs w:val="22"/>
        </w:rPr>
        <w:tab/>
      </w:r>
      <w:r w:rsidRPr="0009300B">
        <w:rPr>
          <w:b/>
          <w:bCs/>
          <w:sz w:val="22"/>
          <w:szCs w:val="22"/>
        </w:rPr>
        <w:t>Lista pomoćnih supstanci</w:t>
      </w:r>
    </w:p>
    <w:p w:rsidR="00F34612" w:rsidRPr="0009300B" w:rsidRDefault="00F34612" w:rsidP="00831F36">
      <w:pPr>
        <w:tabs>
          <w:tab w:val="left" w:pos="540"/>
          <w:tab w:val="left" w:pos="569"/>
        </w:tabs>
        <w:jc w:val="both"/>
        <w:rPr>
          <w:b/>
          <w:bCs/>
          <w:sz w:val="22"/>
          <w:szCs w:val="22"/>
        </w:rPr>
      </w:pP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 xml:space="preserve">laktoza </w:t>
      </w:r>
      <w:r w:rsidR="0020786C" w:rsidRPr="0009300B">
        <w:rPr>
          <w:rFonts w:ascii="Times New Roman" w:hAnsi="Times New Roman"/>
          <w:noProof/>
          <w:lang w:val="sr-Latn-ME"/>
        </w:rPr>
        <w:t>mono</w:t>
      </w:r>
      <w:r w:rsidRPr="0009300B">
        <w:rPr>
          <w:rFonts w:ascii="Times New Roman" w:hAnsi="Times New Roman"/>
          <w:noProof/>
          <w:lang w:val="sr-Latn-ME"/>
        </w:rPr>
        <w:t>hidrat</w:t>
      </w: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povidon K30</w:t>
      </w: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kroskarmeloza</w:t>
      </w:r>
      <w:r w:rsidR="0098096E" w:rsidRPr="0009300B">
        <w:rPr>
          <w:rFonts w:ascii="Times New Roman" w:hAnsi="Times New Roman"/>
          <w:noProof/>
          <w:lang w:val="sr-Latn-ME"/>
        </w:rPr>
        <w:t xml:space="preserve"> </w:t>
      </w:r>
      <w:r w:rsidRPr="0009300B">
        <w:rPr>
          <w:rFonts w:ascii="Times New Roman" w:hAnsi="Times New Roman"/>
          <w:noProof/>
          <w:lang w:val="sr-Latn-ME"/>
        </w:rPr>
        <w:t>natrijum</w:t>
      </w: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magnezijum stearat</w:t>
      </w:r>
    </w:p>
    <w:p w:rsidR="0072020E" w:rsidRPr="0009300B" w:rsidRDefault="0072020E"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6.2. </w:t>
      </w:r>
      <w:r w:rsidR="00480FB1" w:rsidRPr="0009300B">
        <w:rPr>
          <w:b/>
          <w:bCs/>
          <w:sz w:val="22"/>
          <w:szCs w:val="22"/>
        </w:rPr>
        <w:tab/>
      </w:r>
      <w:r w:rsidRPr="0009300B">
        <w:rPr>
          <w:b/>
          <w:bCs/>
          <w:sz w:val="22"/>
          <w:szCs w:val="22"/>
        </w:rPr>
        <w:t>Inkompatibilnost</w:t>
      </w:r>
      <w:r w:rsidR="002846DB" w:rsidRPr="0009300B">
        <w:rPr>
          <w:b/>
          <w:bCs/>
          <w:sz w:val="22"/>
          <w:szCs w:val="22"/>
        </w:rPr>
        <w:t>i</w:t>
      </w:r>
    </w:p>
    <w:p w:rsidR="0098096E" w:rsidRPr="0009300B" w:rsidRDefault="0098096E" w:rsidP="00831F36">
      <w:pPr>
        <w:pStyle w:val="NoSpacing"/>
        <w:jc w:val="both"/>
        <w:rPr>
          <w:rFonts w:ascii="Times New Roman" w:hAnsi="Times New Roman"/>
          <w:noProof/>
          <w:lang w:val="sr-Latn-ME"/>
        </w:rPr>
      </w:pP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Nije primjenjivo.</w:t>
      </w:r>
    </w:p>
    <w:p w:rsidR="0072020E" w:rsidRPr="0009300B" w:rsidRDefault="0072020E"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6.3.</w:t>
      </w:r>
      <w:r w:rsidR="00480FB1" w:rsidRPr="0009300B">
        <w:rPr>
          <w:b/>
          <w:bCs/>
          <w:sz w:val="22"/>
          <w:szCs w:val="22"/>
        </w:rPr>
        <w:tab/>
      </w:r>
      <w:r w:rsidRPr="0009300B">
        <w:rPr>
          <w:b/>
          <w:bCs/>
          <w:sz w:val="22"/>
          <w:szCs w:val="22"/>
        </w:rPr>
        <w:t>Rok upotrebe</w:t>
      </w:r>
    </w:p>
    <w:p w:rsidR="00F34612" w:rsidRPr="0009300B" w:rsidRDefault="00F34612" w:rsidP="00831F36">
      <w:pPr>
        <w:tabs>
          <w:tab w:val="left" w:pos="540"/>
          <w:tab w:val="left" w:pos="569"/>
        </w:tabs>
        <w:jc w:val="both"/>
        <w:rPr>
          <w:b/>
          <w:bCs/>
          <w:sz w:val="22"/>
          <w:szCs w:val="22"/>
        </w:rPr>
      </w:pPr>
    </w:p>
    <w:p w:rsidR="0072020E" w:rsidRPr="0009300B" w:rsidRDefault="007607C6" w:rsidP="00831F36">
      <w:pPr>
        <w:tabs>
          <w:tab w:val="left" w:pos="540"/>
          <w:tab w:val="left" w:pos="569"/>
        </w:tabs>
        <w:jc w:val="both"/>
        <w:rPr>
          <w:bCs/>
          <w:sz w:val="22"/>
          <w:szCs w:val="22"/>
        </w:rPr>
      </w:pPr>
      <w:r w:rsidRPr="0009300B">
        <w:rPr>
          <w:bCs/>
          <w:sz w:val="22"/>
          <w:szCs w:val="22"/>
        </w:rPr>
        <w:t>3 godine.</w:t>
      </w:r>
    </w:p>
    <w:p w:rsidR="007607C6" w:rsidRPr="0009300B" w:rsidRDefault="007607C6"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6.4. </w:t>
      </w:r>
      <w:r w:rsidR="00480FB1" w:rsidRPr="0009300B">
        <w:rPr>
          <w:b/>
          <w:bCs/>
          <w:sz w:val="22"/>
          <w:szCs w:val="22"/>
        </w:rPr>
        <w:tab/>
      </w:r>
      <w:r w:rsidRPr="0009300B">
        <w:rPr>
          <w:b/>
          <w:bCs/>
          <w:sz w:val="22"/>
          <w:szCs w:val="22"/>
        </w:rPr>
        <w:t>Posebne mjere upozorenja pri čuvanju</w:t>
      </w:r>
      <w:r w:rsidR="00F8570A" w:rsidRPr="0009300B">
        <w:rPr>
          <w:b/>
          <w:bCs/>
          <w:sz w:val="22"/>
          <w:szCs w:val="22"/>
        </w:rPr>
        <w:t xml:space="preserve"> lijeka</w:t>
      </w:r>
    </w:p>
    <w:p w:rsidR="00F34612" w:rsidRPr="0009300B" w:rsidRDefault="00F34612" w:rsidP="00831F36">
      <w:pPr>
        <w:pStyle w:val="NoSpacing"/>
        <w:jc w:val="both"/>
        <w:rPr>
          <w:rFonts w:ascii="Times New Roman" w:hAnsi="Times New Roman"/>
          <w:noProof/>
          <w:lang w:val="sr-Latn-ME"/>
        </w:rPr>
      </w:pPr>
    </w:p>
    <w:p w:rsidR="007607C6" w:rsidRPr="0009300B" w:rsidRDefault="007607C6" w:rsidP="00831F36">
      <w:pPr>
        <w:pStyle w:val="NoSpacing"/>
        <w:jc w:val="both"/>
        <w:rPr>
          <w:rFonts w:ascii="Times New Roman" w:hAnsi="Times New Roman"/>
          <w:noProof/>
          <w:lang w:val="sr-Latn-ME"/>
        </w:rPr>
      </w:pPr>
      <w:r w:rsidRPr="0009300B">
        <w:rPr>
          <w:rFonts w:ascii="Times New Roman" w:hAnsi="Times New Roman"/>
          <w:noProof/>
          <w:lang w:val="sr-Latn-ME"/>
        </w:rPr>
        <w:t>Čuvati na temperaturi ispod 25°C. Čuvati u originalnom pakovanju radi zaštite od vlage. Blister čuvati u spoljašnjem pakovanju radi zaštite od svjetlosti.</w:t>
      </w:r>
    </w:p>
    <w:p w:rsidR="00EC2532" w:rsidRPr="0009300B" w:rsidRDefault="00EC2532"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6.5. </w:t>
      </w:r>
      <w:r w:rsidR="00480FB1" w:rsidRPr="0009300B">
        <w:rPr>
          <w:b/>
          <w:bCs/>
          <w:sz w:val="22"/>
          <w:szCs w:val="22"/>
        </w:rPr>
        <w:tab/>
      </w:r>
      <w:r w:rsidR="002846DB" w:rsidRPr="0009300B">
        <w:rPr>
          <w:b/>
          <w:bCs/>
          <w:sz w:val="22"/>
          <w:szCs w:val="22"/>
        </w:rPr>
        <w:t xml:space="preserve">Vrsta i sadržaj </w:t>
      </w:r>
      <w:r w:rsidR="00F8570A" w:rsidRPr="0009300B">
        <w:rPr>
          <w:b/>
          <w:bCs/>
          <w:sz w:val="22"/>
          <w:szCs w:val="22"/>
        </w:rPr>
        <w:t>pakovanja</w:t>
      </w:r>
    </w:p>
    <w:p w:rsidR="00F34612" w:rsidRPr="0009300B" w:rsidRDefault="00F34612" w:rsidP="00831F36">
      <w:pPr>
        <w:tabs>
          <w:tab w:val="left" w:pos="540"/>
          <w:tab w:val="left" w:pos="569"/>
        </w:tabs>
        <w:jc w:val="both"/>
        <w:rPr>
          <w:b/>
          <w:bCs/>
          <w:sz w:val="22"/>
          <w:szCs w:val="22"/>
        </w:rPr>
      </w:pPr>
    </w:p>
    <w:p w:rsidR="007607C6" w:rsidRPr="0009300B" w:rsidRDefault="007607C6" w:rsidP="001E6910">
      <w:pPr>
        <w:pStyle w:val="NoSpacing"/>
        <w:tabs>
          <w:tab w:val="left" w:pos="7770"/>
        </w:tabs>
        <w:jc w:val="both"/>
        <w:rPr>
          <w:rFonts w:ascii="Times New Roman" w:hAnsi="Times New Roman"/>
          <w:noProof/>
          <w:lang w:val="sr-Latn-ME"/>
        </w:rPr>
      </w:pPr>
      <w:r w:rsidRPr="0009300B">
        <w:rPr>
          <w:rFonts w:ascii="Times New Roman" w:hAnsi="Times New Roman"/>
          <w:noProof/>
          <w:lang w:val="sr-Latn-ME"/>
        </w:rPr>
        <w:t xml:space="preserve">1 tableta u PVC-PE-PVDC </w:t>
      </w:r>
      <w:r w:rsidR="00675FD3" w:rsidRPr="0009300B">
        <w:rPr>
          <w:rFonts w:ascii="Times New Roman" w:hAnsi="Times New Roman"/>
          <w:noProof/>
          <w:lang w:val="sr-Latn-ME"/>
        </w:rPr>
        <w:t>aluminij</w:t>
      </w:r>
      <w:r w:rsidR="0086330B" w:rsidRPr="0009300B">
        <w:rPr>
          <w:rFonts w:ascii="Times New Roman" w:hAnsi="Times New Roman"/>
          <w:noProof/>
          <w:lang w:val="sr-Latn-ME"/>
        </w:rPr>
        <w:t>um</w:t>
      </w:r>
      <w:r w:rsidR="0098096E" w:rsidRPr="0009300B">
        <w:rPr>
          <w:rFonts w:ascii="Times New Roman" w:hAnsi="Times New Roman"/>
          <w:noProof/>
          <w:lang w:val="sr-Latn-ME"/>
        </w:rPr>
        <w:t>skom</w:t>
      </w:r>
      <w:r w:rsidR="00675FD3" w:rsidRPr="0009300B">
        <w:rPr>
          <w:rFonts w:ascii="Times New Roman" w:hAnsi="Times New Roman"/>
          <w:noProof/>
          <w:lang w:val="sr-Latn-ME"/>
        </w:rPr>
        <w:t xml:space="preserve"> </w:t>
      </w:r>
      <w:r w:rsidRPr="0009300B">
        <w:rPr>
          <w:rFonts w:ascii="Times New Roman" w:hAnsi="Times New Roman"/>
          <w:noProof/>
          <w:lang w:val="sr-Latn-ME"/>
        </w:rPr>
        <w:t>blisteru.</w:t>
      </w:r>
      <w:r w:rsidR="0086330B" w:rsidRPr="0009300B">
        <w:rPr>
          <w:rFonts w:ascii="Times New Roman" w:hAnsi="Times New Roman"/>
          <w:noProof/>
          <w:lang w:val="sr-Latn-ME"/>
        </w:rPr>
        <w:tab/>
      </w:r>
    </w:p>
    <w:p w:rsidR="00F34612" w:rsidRPr="0009300B" w:rsidRDefault="00F34612" w:rsidP="00831F36">
      <w:pPr>
        <w:pStyle w:val="NoSpacing"/>
        <w:jc w:val="both"/>
        <w:rPr>
          <w:rFonts w:ascii="Times New Roman" w:hAnsi="Times New Roman"/>
          <w:noProof/>
          <w:lang w:val="sr-Latn-ME"/>
        </w:rPr>
      </w:pPr>
    </w:p>
    <w:p w:rsidR="00CE31FA" w:rsidRPr="0009300B" w:rsidRDefault="00CE31FA" w:rsidP="00831F36">
      <w:pPr>
        <w:pStyle w:val="NoSpacing"/>
        <w:jc w:val="both"/>
        <w:rPr>
          <w:rFonts w:ascii="Times New Roman" w:hAnsi="Times New Roman"/>
          <w:noProof/>
          <w:lang w:val="sr-Latn-ME"/>
        </w:rPr>
      </w:pPr>
      <w:r w:rsidRPr="0009300B">
        <w:rPr>
          <w:rFonts w:ascii="Times New Roman" w:hAnsi="Times New Roman"/>
          <w:noProof/>
          <w:lang w:val="sr-Latn-ME"/>
        </w:rPr>
        <w:t>Kutija sadrži jedan blister s jednom tabletom.</w:t>
      </w:r>
    </w:p>
    <w:p w:rsidR="0072020E" w:rsidRPr="0009300B" w:rsidRDefault="0072020E" w:rsidP="00831F36">
      <w:pPr>
        <w:tabs>
          <w:tab w:val="left" w:pos="540"/>
          <w:tab w:val="left" w:pos="569"/>
        </w:tabs>
        <w:jc w:val="both"/>
        <w:rPr>
          <w:bCs/>
          <w:sz w:val="22"/>
          <w:szCs w:val="22"/>
        </w:rPr>
      </w:pPr>
    </w:p>
    <w:p w:rsidR="00F34612" w:rsidRPr="0009300B" w:rsidRDefault="0072020E" w:rsidP="00831F36">
      <w:pPr>
        <w:tabs>
          <w:tab w:val="left" w:pos="540"/>
          <w:tab w:val="left" w:pos="569"/>
        </w:tabs>
        <w:jc w:val="both"/>
        <w:rPr>
          <w:b/>
          <w:bCs/>
          <w:sz w:val="22"/>
          <w:szCs w:val="22"/>
        </w:rPr>
      </w:pPr>
      <w:r w:rsidRPr="0009300B">
        <w:rPr>
          <w:b/>
          <w:bCs/>
          <w:sz w:val="22"/>
          <w:szCs w:val="22"/>
        </w:rPr>
        <w:t xml:space="preserve">6.6. </w:t>
      </w:r>
      <w:r w:rsidR="00480FB1" w:rsidRPr="0009300B">
        <w:rPr>
          <w:b/>
          <w:bCs/>
          <w:sz w:val="22"/>
          <w:szCs w:val="22"/>
        </w:rPr>
        <w:tab/>
      </w:r>
      <w:r w:rsidRPr="0009300B">
        <w:rPr>
          <w:b/>
          <w:bCs/>
          <w:sz w:val="22"/>
          <w:szCs w:val="22"/>
        </w:rPr>
        <w:t>Posebne mjere opreza pri odlaganju materijala koji treba odbaciti nakon primjene lijeka</w:t>
      </w:r>
    </w:p>
    <w:p w:rsidR="002846DB" w:rsidRPr="0009300B" w:rsidRDefault="0072020E" w:rsidP="00831F36">
      <w:pPr>
        <w:tabs>
          <w:tab w:val="left" w:pos="540"/>
          <w:tab w:val="left" w:pos="569"/>
        </w:tabs>
        <w:jc w:val="both"/>
        <w:rPr>
          <w:b/>
          <w:bCs/>
          <w:sz w:val="22"/>
          <w:szCs w:val="22"/>
        </w:rPr>
      </w:pPr>
      <w:r w:rsidRPr="0009300B">
        <w:rPr>
          <w:b/>
          <w:bCs/>
          <w:sz w:val="22"/>
          <w:szCs w:val="22"/>
        </w:rPr>
        <w:t xml:space="preserve"> </w:t>
      </w:r>
    </w:p>
    <w:p w:rsidR="003F6A59" w:rsidRPr="0009300B" w:rsidRDefault="007607C6" w:rsidP="00F34612">
      <w:pPr>
        <w:pStyle w:val="NoSpacing"/>
        <w:jc w:val="both"/>
        <w:rPr>
          <w:rFonts w:ascii="Times New Roman" w:hAnsi="Times New Roman"/>
          <w:noProof/>
          <w:lang w:val="sr-Latn-ME"/>
        </w:rPr>
      </w:pPr>
      <w:r w:rsidRPr="0009300B">
        <w:rPr>
          <w:rFonts w:ascii="Times New Roman" w:hAnsi="Times New Roman"/>
          <w:noProof/>
          <w:lang w:val="sr-Latn-ME"/>
        </w:rPr>
        <w:t>Nema posebnih zahtjeva.</w:t>
      </w:r>
    </w:p>
    <w:p w:rsidR="00026161" w:rsidRPr="0009300B" w:rsidRDefault="00026161" w:rsidP="00831F36">
      <w:pPr>
        <w:tabs>
          <w:tab w:val="left" w:pos="540"/>
          <w:tab w:val="left" w:pos="569"/>
        </w:tabs>
        <w:jc w:val="both"/>
        <w:rPr>
          <w:b/>
          <w:bCs/>
          <w:sz w:val="22"/>
          <w:szCs w:val="22"/>
        </w:rPr>
      </w:pPr>
    </w:p>
    <w:p w:rsidR="00483928" w:rsidRPr="0009300B" w:rsidRDefault="00483928" w:rsidP="00831F36">
      <w:pPr>
        <w:tabs>
          <w:tab w:val="left" w:pos="540"/>
          <w:tab w:val="left" w:pos="569"/>
        </w:tabs>
        <w:jc w:val="both"/>
        <w:rPr>
          <w:b/>
          <w:bCs/>
          <w:sz w:val="22"/>
          <w:szCs w:val="22"/>
        </w:rPr>
      </w:pPr>
      <w:r w:rsidRPr="0009300B">
        <w:rPr>
          <w:b/>
          <w:bCs/>
          <w:sz w:val="22"/>
          <w:szCs w:val="22"/>
        </w:rPr>
        <w:t xml:space="preserve">6.7. </w:t>
      </w:r>
      <w:r w:rsidR="00480FB1" w:rsidRPr="0009300B">
        <w:rPr>
          <w:b/>
          <w:bCs/>
          <w:sz w:val="22"/>
          <w:szCs w:val="22"/>
        </w:rPr>
        <w:tab/>
      </w:r>
      <w:r w:rsidR="005C13FE">
        <w:rPr>
          <w:b/>
          <w:bCs/>
          <w:sz w:val="22"/>
          <w:szCs w:val="22"/>
        </w:rPr>
        <w:t>Odobreni režim</w:t>
      </w:r>
      <w:r w:rsidRPr="0009300B">
        <w:rPr>
          <w:b/>
          <w:bCs/>
          <w:sz w:val="22"/>
          <w:szCs w:val="22"/>
        </w:rPr>
        <w:t xml:space="preserve"> izdavanja lijeka</w:t>
      </w:r>
    </w:p>
    <w:p w:rsidR="007607C6" w:rsidRPr="0009300B" w:rsidRDefault="007607C6" w:rsidP="00831F36">
      <w:pPr>
        <w:tabs>
          <w:tab w:val="left" w:pos="540"/>
          <w:tab w:val="left" w:pos="569"/>
        </w:tabs>
        <w:jc w:val="both"/>
        <w:rPr>
          <w:bCs/>
          <w:sz w:val="22"/>
          <w:szCs w:val="22"/>
        </w:rPr>
      </w:pPr>
    </w:p>
    <w:p w:rsidR="002846DB" w:rsidRDefault="00560DD5" w:rsidP="00831F36">
      <w:pPr>
        <w:tabs>
          <w:tab w:val="left" w:pos="540"/>
          <w:tab w:val="left" w:pos="569"/>
        </w:tabs>
        <w:jc w:val="both"/>
      </w:pPr>
      <w:r>
        <w:t>Lijek se može izdavati bez ljekarskog recepta.</w:t>
      </w:r>
    </w:p>
    <w:p w:rsidR="00560DD5" w:rsidRPr="0009300B" w:rsidRDefault="00560DD5" w:rsidP="00831F36">
      <w:pPr>
        <w:tabs>
          <w:tab w:val="left" w:pos="540"/>
          <w:tab w:val="left" w:pos="569"/>
        </w:tabs>
        <w:jc w:val="both"/>
        <w:rPr>
          <w:bCs/>
          <w:sz w:val="22"/>
          <w:szCs w:val="22"/>
        </w:rPr>
      </w:pPr>
      <w:bookmarkStart w:id="0" w:name="_GoBack"/>
      <w:bookmarkEnd w:id="0"/>
    </w:p>
    <w:p w:rsidR="00F8570A" w:rsidRPr="0009300B" w:rsidRDefault="0072020E" w:rsidP="00831F36">
      <w:pPr>
        <w:tabs>
          <w:tab w:val="left" w:pos="540"/>
          <w:tab w:val="left" w:pos="569"/>
        </w:tabs>
        <w:jc w:val="both"/>
        <w:rPr>
          <w:b/>
          <w:bCs/>
          <w:sz w:val="22"/>
          <w:szCs w:val="22"/>
        </w:rPr>
      </w:pPr>
      <w:r w:rsidRPr="0009300B">
        <w:rPr>
          <w:b/>
          <w:bCs/>
          <w:sz w:val="22"/>
          <w:szCs w:val="22"/>
        </w:rPr>
        <w:t xml:space="preserve">7. </w:t>
      </w:r>
      <w:r w:rsidR="00480FB1" w:rsidRPr="0009300B">
        <w:rPr>
          <w:b/>
          <w:bCs/>
          <w:sz w:val="22"/>
          <w:szCs w:val="22"/>
        </w:rPr>
        <w:tab/>
      </w:r>
      <w:r w:rsidRPr="0009300B">
        <w:rPr>
          <w:b/>
          <w:bCs/>
          <w:sz w:val="22"/>
          <w:szCs w:val="22"/>
        </w:rPr>
        <w:t>NOSILAC DOZVOLE</w:t>
      </w:r>
      <w:r w:rsidR="00483928" w:rsidRPr="0009300B">
        <w:rPr>
          <w:b/>
          <w:bCs/>
          <w:sz w:val="22"/>
          <w:szCs w:val="22"/>
        </w:rPr>
        <w:t xml:space="preserve"> </w:t>
      </w:r>
    </w:p>
    <w:p w:rsidR="00F34612" w:rsidRPr="0009300B" w:rsidRDefault="00F34612" w:rsidP="00831F36">
      <w:pPr>
        <w:tabs>
          <w:tab w:val="left" w:pos="540"/>
          <w:tab w:val="left" w:pos="569"/>
        </w:tabs>
        <w:jc w:val="both"/>
        <w:rPr>
          <w:b/>
          <w:bCs/>
          <w:sz w:val="22"/>
          <w:szCs w:val="22"/>
        </w:rPr>
      </w:pPr>
    </w:p>
    <w:p w:rsidR="00845226" w:rsidRPr="0009300B" w:rsidRDefault="00845226" w:rsidP="00831F36">
      <w:pPr>
        <w:tabs>
          <w:tab w:val="left" w:pos="540"/>
          <w:tab w:val="left" w:pos="569"/>
        </w:tabs>
        <w:jc w:val="both"/>
        <w:rPr>
          <w:bCs/>
          <w:sz w:val="22"/>
          <w:szCs w:val="22"/>
        </w:rPr>
      </w:pPr>
      <w:r w:rsidRPr="0009300B">
        <w:rPr>
          <w:bCs/>
          <w:sz w:val="22"/>
          <w:szCs w:val="22"/>
        </w:rPr>
        <w:t xml:space="preserve">Arenda d.o.o. Podgorica, </w:t>
      </w:r>
      <w:r w:rsidR="0020786C" w:rsidRPr="0009300B">
        <w:rPr>
          <w:bCs/>
          <w:sz w:val="22"/>
          <w:szCs w:val="22"/>
        </w:rPr>
        <w:t>13. Jula „PC Čelebić“ 1/2</w:t>
      </w:r>
      <w:r w:rsidRPr="0009300B">
        <w:rPr>
          <w:bCs/>
          <w:sz w:val="22"/>
          <w:szCs w:val="22"/>
        </w:rPr>
        <w:t>, 81000 Podgorica, Crna Gora</w:t>
      </w:r>
    </w:p>
    <w:p w:rsidR="00836B35" w:rsidRPr="0009300B" w:rsidRDefault="00836B35"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8. </w:t>
      </w:r>
      <w:r w:rsidR="00480FB1" w:rsidRPr="0009300B">
        <w:rPr>
          <w:b/>
          <w:bCs/>
          <w:sz w:val="22"/>
          <w:szCs w:val="22"/>
        </w:rPr>
        <w:tab/>
      </w:r>
      <w:r w:rsidRPr="0009300B">
        <w:rPr>
          <w:b/>
          <w:bCs/>
          <w:sz w:val="22"/>
          <w:szCs w:val="22"/>
        </w:rPr>
        <w:t>BROJ PRVE DOZVOLE</w:t>
      </w:r>
      <w:r w:rsidR="00B95AB3" w:rsidRPr="0009300B">
        <w:rPr>
          <w:b/>
          <w:bCs/>
          <w:sz w:val="22"/>
          <w:szCs w:val="22"/>
        </w:rPr>
        <w:t xml:space="preserve"> </w:t>
      </w:r>
      <w:r w:rsidR="004534C7" w:rsidRPr="0009300B">
        <w:rPr>
          <w:b/>
          <w:bCs/>
          <w:sz w:val="22"/>
          <w:szCs w:val="22"/>
        </w:rPr>
        <w:t>/</w:t>
      </w:r>
      <w:r w:rsidRPr="0009300B">
        <w:rPr>
          <w:b/>
          <w:bCs/>
          <w:sz w:val="22"/>
          <w:szCs w:val="22"/>
        </w:rPr>
        <w:t xml:space="preserve"> OBNOVE DOZVOLE</w:t>
      </w:r>
    </w:p>
    <w:p w:rsidR="00F34612" w:rsidRPr="0009300B" w:rsidRDefault="00F34612" w:rsidP="00831F36">
      <w:pPr>
        <w:tabs>
          <w:tab w:val="left" w:pos="540"/>
          <w:tab w:val="left" w:pos="569"/>
        </w:tabs>
        <w:jc w:val="both"/>
        <w:rPr>
          <w:b/>
          <w:bCs/>
          <w:sz w:val="22"/>
          <w:szCs w:val="22"/>
        </w:rPr>
      </w:pPr>
    </w:p>
    <w:p w:rsidR="0072020E" w:rsidRPr="0009300B" w:rsidRDefault="00BC1160" w:rsidP="00BC1160">
      <w:pPr>
        <w:jc w:val="both"/>
        <w:rPr>
          <w:b/>
          <w:sz w:val="22"/>
          <w:szCs w:val="22"/>
        </w:rPr>
      </w:pPr>
      <w:r w:rsidRPr="0009300B">
        <w:rPr>
          <w:bCs/>
          <w:sz w:val="22"/>
          <w:szCs w:val="22"/>
        </w:rPr>
        <w:t>ellaOne, tableta, 30 mg, blister, 1 tableta: 2030/15/539 – 4983</w:t>
      </w:r>
    </w:p>
    <w:p w:rsidR="00F45F77" w:rsidRPr="0009300B" w:rsidRDefault="00F45F77" w:rsidP="00831F36">
      <w:pPr>
        <w:tabs>
          <w:tab w:val="left" w:pos="540"/>
          <w:tab w:val="left" w:pos="569"/>
        </w:tabs>
        <w:jc w:val="both"/>
        <w:rPr>
          <w:bCs/>
          <w:sz w:val="22"/>
          <w:szCs w:val="22"/>
        </w:rPr>
      </w:pPr>
    </w:p>
    <w:p w:rsidR="0072020E" w:rsidRPr="0009300B" w:rsidRDefault="0072020E" w:rsidP="00831F36">
      <w:pPr>
        <w:tabs>
          <w:tab w:val="left" w:pos="540"/>
          <w:tab w:val="left" w:pos="569"/>
        </w:tabs>
        <w:jc w:val="both"/>
        <w:rPr>
          <w:b/>
          <w:bCs/>
          <w:sz w:val="22"/>
          <w:szCs w:val="22"/>
        </w:rPr>
      </w:pPr>
      <w:r w:rsidRPr="0009300B">
        <w:rPr>
          <w:b/>
          <w:bCs/>
          <w:sz w:val="22"/>
          <w:szCs w:val="22"/>
        </w:rPr>
        <w:t xml:space="preserve">9. </w:t>
      </w:r>
      <w:r w:rsidR="00480FB1" w:rsidRPr="0009300B">
        <w:rPr>
          <w:b/>
          <w:bCs/>
          <w:sz w:val="22"/>
          <w:szCs w:val="22"/>
        </w:rPr>
        <w:tab/>
      </w:r>
      <w:r w:rsidRPr="0009300B">
        <w:rPr>
          <w:b/>
          <w:bCs/>
          <w:sz w:val="22"/>
          <w:szCs w:val="22"/>
        </w:rPr>
        <w:t>DATUM PRVE DOZVOLE</w:t>
      </w:r>
      <w:r w:rsidR="00B95AB3" w:rsidRPr="0009300B">
        <w:rPr>
          <w:b/>
          <w:bCs/>
          <w:sz w:val="22"/>
          <w:szCs w:val="22"/>
        </w:rPr>
        <w:t xml:space="preserve"> </w:t>
      </w:r>
      <w:r w:rsidR="00F8570A" w:rsidRPr="0009300B">
        <w:rPr>
          <w:b/>
          <w:bCs/>
          <w:sz w:val="22"/>
          <w:szCs w:val="22"/>
        </w:rPr>
        <w:t>/</w:t>
      </w:r>
      <w:r w:rsidRPr="0009300B">
        <w:rPr>
          <w:b/>
          <w:bCs/>
          <w:sz w:val="22"/>
          <w:szCs w:val="22"/>
        </w:rPr>
        <w:t xml:space="preserve"> DATUM OBNOVE DOZVOLE</w:t>
      </w:r>
    </w:p>
    <w:p w:rsidR="00F34612" w:rsidRPr="0009300B" w:rsidRDefault="00F34612" w:rsidP="00831F36">
      <w:pPr>
        <w:tabs>
          <w:tab w:val="left" w:pos="540"/>
          <w:tab w:val="left" w:pos="569"/>
        </w:tabs>
        <w:jc w:val="both"/>
        <w:rPr>
          <w:b/>
          <w:bCs/>
          <w:sz w:val="22"/>
          <w:szCs w:val="22"/>
        </w:rPr>
      </w:pPr>
    </w:p>
    <w:p w:rsidR="0072020E" w:rsidRPr="0009300B" w:rsidRDefault="00BC1160" w:rsidP="00BC1160">
      <w:pPr>
        <w:jc w:val="both"/>
        <w:rPr>
          <w:b/>
          <w:sz w:val="22"/>
          <w:szCs w:val="22"/>
        </w:rPr>
      </w:pPr>
      <w:r w:rsidRPr="00BC1160">
        <w:rPr>
          <w:bCs/>
          <w:sz w:val="22"/>
          <w:szCs w:val="22"/>
        </w:rPr>
        <w:t>ellaOne, tableta, 30 mg, blister, 1 tableta: 03.12.2015. godine</w:t>
      </w:r>
    </w:p>
    <w:p w:rsidR="00836B35" w:rsidRPr="0009300B" w:rsidRDefault="00836B35" w:rsidP="00831F36">
      <w:pPr>
        <w:tabs>
          <w:tab w:val="left" w:pos="540"/>
          <w:tab w:val="left" w:pos="569"/>
        </w:tabs>
        <w:jc w:val="both"/>
        <w:rPr>
          <w:bCs/>
          <w:sz w:val="22"/>
          <w:szCs w:val="22"/>
        </w:rPr>
      </w:pPr>
    </w:p>
    <w:p w:rsidR="0072020E" w:rsidRPr="0009300B" w:rsidRDefault="0072020E" w:rsidP="00831F36">
      <w:pPr>
        <w:tabs>
          <w:tab w:val="left" w:pos="540"/>
          <w:tab w:val="left" w:pos="569"/>
        </w:tabs>
        <w:ind w:left="540" w:hanging="540"/>
        <w:jc w:val="both"/>
        <w:rPr>
          <w:b/>
          <w:bCs/>
          <w:sz w:val="22"/>
          <w:szCs w:val="22"/>
        </w:rPr>
      </w:pPr>
      <w:r w:rsidRPr="0009300B">
        <w:rPr>
          <w:b/>
          <w:bCs/>
          <w:sz w:val="22"/>
          <w:szCs w:val="22"/>
        </w:rPr>
        <w:t xml:space="preserve">10. </w:t>
      </w:r>
      <w:r w:rsidR="00480FB1" w:rsidRPr="0009300B">
        <w:rPr>
          <w:b/>
          <w:bCs/>
          <w:sz w:val="22"/>
          <w:szCs w:val="22"/>
        </w:rPr>
        <w:tab/>
      </w:r>
      <w:r w:rsidR="002846DB" w:rsidRPr="0009300B">
        <w:rPr>
          <w:b/>
          <w:bCs/>
          <w:sz w:val="22"/>
          <w:szCs w:val="22"/>
        </w:rPr>
        <w:t>D</w:t>
      </w:r>
      <w:r w:rsidR="00EC2532" w:rsidRPr="0009300B">
        <w:rPr>
          <w:b/>
          <w:bCs/>
          <w:sz w:val="22"/>
          <w:szCs w:val="22"/>
        </w:rPr>
        <w:t xml:space="preserve">ATUM </w:t>
      </w:r>
      <w:r w:rsidR="004534C7" w:rsidRPr="0009300B">
        <w:rPr>
          <w:b/>
          <w:bCs/>
          <w:sz w:val="22"/>
          <w:szCs w:val="22"/>
        </w:rPr>
        <w:t>POSLEDNJE</w:t>
      </w:r>
      <w:r w:rsidR="00EC2532" w:rsidRPr="0009300B">
        <w:rPr>
          <w:b/>
          <w:bCs/>
          <w:sz w:val="22"/>
          <w:szCs w:val="22"/>
        </w:rPr>
        <w:t xml:space="preserve"> REVIZIJE TEKSTA SAŽETKA OSNOVNIH KARAKTERISTIKA LIJEKA</w:t>
      </w:r>
    </w:p>
    <w:p w:rsidR="00E50063" w:rsidRPr="0009300B" w:rsidRDefault="00E50063" w:rsidP="00480FB1">
      <w:pPr>
        <w:tabs>
          <w:tab w:val="left" w:pos="540"/>
          <w:tab w:val="left" w:pos="569"/>
        </w:tabs>
        <w:ind w:left="540" w:hanging="540"/>
        <w:rPr>
          <w:b/>
          <w:bCs/>
          <w:sz w:val="22"/>
          <w:szCs w:val="22"/>
        </w:rPr>
      </w:pPr>
    </w:p>
    <w:p w:rsidR="003F6A59" w:rsidRPr="0009300B" w:rsidRDefault="00BC1160" w:rsidP="00480FB1">
      <w:pPr>
        <w:tabs>
          <w:tab w:val="left" w:pos="540"/>
          <w:tab w:val="left" w:pos="569"/>
        </w:tabs>
        <w:rPr>
          <w:bCs/>
          <w:sz w:val="22"/>
          <w:szCs w:val="22"/>
        </w:rPr>
      </w:pPr>
      <w:r w:rsidRPr="0009300B">
        <w:rPr>
          <w:bCs/>
          <w:sz w:val="22"/>
          <w:szCs w:val="22"/>
        </w:rPr>
        <w:t>Decembar, 2015. godine</w:t>
      </w:r>
    </w:p>
    <w:p w:rsidR="003F6A59" w:rsidRPr="0009300B" w:rsidRDefault="003F6A59" w:rsidP="00DE3F5C"/>
    <w:sectPr w:rsidR="003F6A59" w:rsidRPr="0009300B" w:rsidSect="00EF3B86">
      <w:headerReference w:type="default" r:id="rId11"/>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79" w:rsidRDefault="00CA7579">
      <w:r>
        <w:separator/>
      </w:r>
    </w:p>
  </w:endnote>
  <w:endnote w:type="continuationSeparator" w:id="0">
    <w:p w:rsidR="00CA7579" w:rsidRDefault="00CA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AB3" w:rsidRPr="00B95AB3" w:rsidRDefault="00B95AB3" w:rsidP="00B95AB3">
    <w:pPr>
      <w:framePr w:wrap="around" w:vAnchor="text" w:hAnchor="margin" w:xAlign="right" w:y="1"/>
      <w:tabs>
        <w:tab w:val="center" w:pos="4320"/>
        <w:tab w:val="right" w:pos="8640"/>
      </w:tabs>
      <w:rPr>
        <w:sz w:val="20"/>
        <w:szCs w:val="20"/>
      </w:rPr>
    </w:pPr>
  </w:p>
  <w:p w:rsidR="00B95AB3" w:rsidRPr="00B95AB3" w:rsidRDefault="00B95AB3" w:rsidP="00B95AB3">
    <w:pPr>
      <w:pBdr>
        <w:top w:val="thinThickSmallGap" w:sz="24" w:space="1" w:color="auto"/>
      </w:pBdr>
      <w:tabs>
        <w:tab w:val="center" w:pos="4320"/>
        <w:tab w:val="right" w:pos="8640"/>
      </w:tabs>
      <w:jc w:val="center"/>
      <w:rPr>
        <w:sz w:val="20"/>
        <w:szCs w:val="20"/>
      </w:rPr>
    </w:pPr>
  </w:p>
  <w:p w:rsidR="00B95AB3" w:rsidRPr="00B95AB3" w:rsidRDefault="00B95AB3" w:rsidP="00B95AB3">
    <w:pPr>
      <w:tabs>
        <w:tab w:val="center" w:pos="4320"/>
        <w:tab w:val="right" w:pos="8640"/>
      </w:tabs>
      <w:jc w:val="center"/>
      <w:rPr>
        <w:color w:val="E65900"/>
        <w:sz w:val="16"/>
        <w:szCs w:val="18"/>
      </w:rPr>
    </w:pPr>
    <w:r w:rsidRPr="00B95AB3">
      <w:rPr>
        <w:color w:val="FA0000"/>
        <w:sz w:val="16"/>
        <w:szCs w:val="18"/>
      </w:rPr>
      <w:t>Agencija za ljekove i medicinska sredstva Crne Gore,</w:t>
    </w:r>
    <w:r w:rsidRPr="00B95AB3">
      <w:rPr>
        <w:sz w:val="16"/>
        <w:szCs w:val="18"/>
      </w:rPr>
      <w:t xml:space="preserve"> </w:t>
    </w:r>
    <w:r w:rsidRPr="00B95AB3">
      <w:rPr>
        <w:color w:val="E65900"/>
        <w:sz w:val="16"/>
        <w:szCs w:val="18"/>
      </w:rPr>
      <w:t>81000 Podgorica, Bul. Ivana Crnojevića 64a</w:t>
    </w:r>
  </w:p>
  <w:p w:rsidR="00B95AB3" w:rsidRPr="00B95AB3" w:rsidRDefault="00B95AB3" w:rsidP="00B95AB3">
    <w:pPr>
      <w:tabs>
        <w:tab w:val="center" w:pos="4320"/>
        <w:tab w:val="right" w:pos="8640"/>
      </w:tabs>
      <w:jc w:val="center"/>
      <w:rPr>
        <w:color w:val="FA0000"/>
        <w:sz w:val="16"/>
        <w:szCs w:val="18"/>
      </w:rPr>
    </w:pPr>
    <w:r w:rsidRPr="00B95AB3">
      <w:rPr>
        <w:color w:val="E65900"/>
        <w:sz w:val="16"/>
        <w:szCs w:val="18"/>
      </w:rPr>
      <w:t xml:space="preserve">tel: +382 (0) 20 310 280  </w:t>
    </w:r>
    <w:r w:rsidRPr="00B95AB3">
      <w:rPr>
        <w:color w:val="FA0000"/>
        <w:sz w:val="16"/>
        <w:szCs w:val="18"/>
      </w:rPr>
      <w:t>fax: +382 (0) 20 310 581,</w:t>
    </w:r>
    <w:r w:rsidRPr="00B95AB3">
      <w:rPr>
        <w:sz w:val="16"/>
        <w:szCs w:val="18"/>
      </w:rPr>
      <w:t xml:space="preserve"> </w:t>
    </w:r>
    <w:r w:rsidRPr="00B95AB3">
      <w:rPr>
        <w:color w:val="E65900"/>
        <w:sz w:val="16"/>
        <w:szCs w:val="18"/>
      </w:rPr>
      <w:t>e-mail: info@calims.me,</w:t>
    </w:r>
    <w:r w:rsidRPr="00B95AB3">
      <w:rPr>
        <w:sz w:val="16"/>
        <w:szCs w:val="18"/>
      </w:rPr>
      <w:t xml:space="preserve"> </w:t>
    </w:r>
    <w:r w:rsidRPr="00B95AB3">
      <w:rPr>
        <w:color w:val="FA0000"/>
        <w:sz w:val="16"/>
        <w:szCs w:val="18"/>
      </w:rPr>
      <w:t>www.calims.me</w:t>
    </w:r>
    <w:r w:rsidRPr="00B95AB3">
      <w:rPr>
        <w:sz w:val="16"/>
        <w:szCs w:val="18"/>
      </w:rPr>
      <w:t xml:space="preserve">, </w:t>
    </w:r>
    <w:r w:rsidRPr="00B95AB3">
      <w:rPr>
        <w:color w:val="E65900"/>
        <w:sz w:val="16"/>
        <w:szCs w:val="18"/>
      </w:rPr>
      <w:t>PIB: 02739658,</w:t>
    </w:r>
    <w:r w:rsidRPr="00B95AB3">
      <w:rPr>
        <w:sz w:val="16"/>
        <w:szCs w:val="18"/>
      </w:rPr>
      <w:t xml:space="preserve"> </w:t>
    </w:r>
    <w:r w:rsidRPr="00B95AB3">
      <w:rPr>
        <w:color w:val="FA0000"/>
        <w:sz w:val="16"/>
        <w:szCs w:val="18"/>
      </w:rPr>
      <w:t>žiro račun: 520-3603-33</w:t>
    </w:r>
  </w:p>
  <w:p w:rsidR="00B95AB3" w:rsidRPr="00B95AB3" w:rsidRDefault="00B95AB3" w:rsidP="00B95AB3">
    <w:pPr>
      <w:tabs>
        <w:tab w:val="center" w:pos="4320"/>
        <w:tab w:val="right" w:pos="8640"/>
      </w:tabs>
      <w:jc w:val="center"/>
      <w:rPr>
        <w:sz w:val="16"/>
        <w:szCs w:val="18"/>
      </w:rPr>
    </w:pPr>
  </w:p>
  <w:p w:rsidR="00B95AB3" w:rsidRPr="00B95AB3" w:rsidRDefault="00B95AB3" w:rsidP="00B95AB3">
    <w:pPr>
      <w:tabs>
        <w:tab w:val="center" w:pos="4320"/>
        <w:tab w:val="right" w:pos="8640"/>
      </w:tabs>
      <w:rPr>
        <w:sz w:val="20"/>
        <w:szCs w:val="20"/>
      </w:rPr>
    </w:pPr>
  </w:p>
  <w:p w:rsidR="004021D7" w:rsidRPr="00B95AB3" w:rsidRDefault="00B95AB3" w:rsidP="00B95AB3">
    <w:pPr>
      <w:tabs>
        <w:tab w:val="center" w:pos="4320"/>
        <w:tab w:val="right" w:pos="8640"/>
      </w:tabs>
      <w:jc w:val="center"/>
      <w:rPr>
        <w:sz w:val="22"/>
        <w:szCs w:val="22"/>
      </w:rPr>
    </w:pPr>
    <w:r w:rsidRPr="00B95AB3">
      <w:rPr>
        <w:sz w:val="20"/>
        <w:szCs w:val="20"/>
      </w:rPr>
      <w:fldChar w:fldCharType="begin"/>
    </w:r>
    <w:r w:rsidRPr="00B95AB3">
      <w:rPr>
        <w:sz w:val="20"/>
        <w:szCs w:val="20"/>
      </w:rPr>
      <w:instrText xml:space="preserve"> PAGE </w:instrText>
    </w:r>
    <w:r w:rsidRPr="00B95AB3">
      <w:rPr>
        <w:sz w:val="20"/>
        <w:szCs w:val="20"/>
      </w:rPr>
      <w:fldChar w:fldCharType="separate"/>
    </w:r>
    <w:r w:rsidR="00560DD5">
      <w:rPr>
        <w:sz w:val="20"/>
        <w:szCs w:val="20"/>
      </w:rPr>
      <w:t>13</w:t>
    </w:r>
    <w:r w:rsidRPr="00B95AB3">
      <w:rPr>
        <w:sz w:val="20"/>
        <w:szCs w:val="20"/>
      </w:rPr>
      <w:fldChar w:fldCharType="end"/>
    </w:r>
    <w:r w:rsidRPr="00B95AB3">
      <w:rPr>
        <w:sz w:val="20"/>
        <w:szCs w:val="20"/>
      </w:rPr>
      <w:t xml:space="preserve"> / </w:t>
    </w:r>
    <w:r w:rsidRPr="00B95AB3">
      <w:rPr>
        <w:sz w:val="20"/>
        <w:szCs w:val="20"/>
      </w:rPr>
      <w:fldChar w:fldCharType="begin"/>
    </w:r>
    <w:r w:rsidRPr="00B95AB3">
      <w:rPr>
        <w:sz w:val="20"/>
        <w:szCs w:val="20"/>
      </w:rPr>
      <w:instrText xml:space="preserve"> NUMPAGES </w:instrText>
    </w:r>
    <w:r w:rsidRPr="00B95AB3">
      <w:rPr>
        <w:sz w:val="20"/>
        <w:szCs w:val="20"/>
      </w:rPr>
      <w:fldChar w:fldCharType="separate"/>
    </w:r>
    <w:r w:rsidR="00560DD5">
      <w:rPr>
        <w:sz w:val="20"/>
        <w:szCs w:val="20"/>
      </w:rPr>
      <w:t>13</w:t>
    </w:r>
    <w:r w:rsidRPr="00B95AB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79" w:rsidRDefault="00CA7579">
      <w:r>
        <w:separator/>
      </w:r>
    </w:p>
  </w:footnote>
  <w:footnote w:type="continuationSeparator" w:id="0">
    <w:p w:rsidR="00CA7579" w:rsidRDefault="00CA7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1D7" w:rsidRPr="00F21C22" w:rsidRDefault="00B95AB3" w:rsidP="00B95AB3">
    <w:pPr>
      <w:pStyle w:val="Header"/>
      <w:pBdr>
        <w:top w:val="thinThickSmallGap" w:sz="24" w:space="2" w:color="auto"/>
      </w:pBdr>
      <w:tabs>
        <w:tab w:val="clear" w:pos="4320"/>
        <w:tab w:val="clear" w:pos="8640"/>
        <w:tab w:val="left" w:pos="4095"/>
      </w:tabs>
    </w:pPr>
    <w:r>
      <w:rPr>
        <w:sz w:val="16"/>
        <w:szCs w:val="16"/>
        <w:lang w:val="en-US"/>
      </w:rPr>
      <w:drawing>
        <wp:inline distT="0" distB="0" distL="0" distR="0" wp14:anchorId="24EDA032" wp14:editId="4B27752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3DD"/>
    <w:multiLevelType w:val="hybridMultilevel"/>
    <w:tmpl w:val="E700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7DAD"/>
    <w:multiLevelType w:val="hybridMultilevel"/>
    <w:tmpl w:val="E074419C"/>
    <w:lvl w:ilvl="0" w:tplc="B61E0C9A">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8F171E"/>
    <w:multiLevelType w:val="hybridMultilevel"/>
    <w:tmpl w:val="8D3013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5A4D6D"/>
    <w:multiLevelType w:val="hybridMultilevel"/>
    <w:tmpl w:val="2B7E0A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D36D43"/>
    <w:multiLevelType w:val="hybridMultilevel"/>
    <w:tmpl w:val="8D3013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BF52A49"/>
    <w:multiLevelType w:val="hybridMultilevel"/>
    <w:tmpl w:val="19DECF7E"/>
    <w:lvl w:ilvl="0" w:tplc="B61E0C9A">
      <w:numFmt w:val="bullet"/>
      <w:lvlText w:val="-"/>
      <w:lvlJc w:val="left"/>
      <w:pPr>
        <w:ind w:left="720" w:hanging="360"/>
      </w:pPr>
      <w:rPr>
        <w:rFonts w:ascii="Times New Roman" w:eastAsia="Calibri"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1"/>
  </w:num>
  <w:num w:numId="5">
    <w:abstractNumId w:val="7"/>
  </w:num>
  <w:num w:numId="6">
    <w:abstractNumId w:val="3"/>
  </w:num>
  <w:num w:numId="7">
    <w:abstractNumId w:val="10"/>
  </w:num>
  <w:num w:numId="8">
    <w:abstractNumId w:val="6"/>
  </w:num>
  <w:num w:numId="9">
    <w:abstractNumId w:val="8"/>
  </w:num>
  <w:num w:numId="10">
    <w:abstractNumId w:val="1"/>
  </w:num>
  <w:num w:numId="11">
    <w:abstractNumId w:val="0"/>
  </w:num>
  <w:num w:numId="12">
    <w:abstractNumId w:val="14"/>
  </w:num>
  <w:num w:numId="13">
    <w:abstractNumId w:val="1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B6"/>
    <w:rsid w:val="0001035D"/>
    <w:rsid w:val="000176CA"/>
    <w:rsid w:val="00026161"/>
    <w:rsid w:val="00056908"/>
    <w:rsid w:val="000626E7"/>
    <w:rsid w:val="000649C2"/>
    <w:rsid w:val="0006566D"/>
    <w:rsid w:val="000752C0"/>
    <w:rsid w:val="0009300B"/>
    <w:rsid w:val="000B0FBB"/>
    <w:rsid w:val="000D2343"/>
    <w:rsid w:val="000D425A"/>
    <w:rsid w:val="000E2084"/>
    <w:rsid w:val="000E6F55"/>
    <w:rsid w:val="000F10F0"/>
    <w:rsid w:val="00102BC4"/>
    <w:rsid w:val="00103458"/>
    <w:rsid w:val="00111F3B"/>
    <w:rsid w:val="00124621"/>
    <w:rsid w:val="0014766D"/>
    <w:rsid w:val="00160BD6"/>
    <w:rsid w:val="00173F8B"/>
    <w:rsid w:val="00192B4B"/>
    <w:rsid w:val="001A3FBA"/>
    <w:rsid w:val="001A5518"/>
    <w:rsid w:val="001C1263"/>
    <w:rsid w:val="001C52A3"/>
    <w:rsid w:val="001D7195"/>
    <w:rsid w:val="001E390B"/>
    <w:rsid w:val="001E6910"/>
    <w:rsid w:val="001F42FB"/>
    <w:rsid w:val="001F5EE0"/>
    <w:rsid w:val="001F719A"/>
    <w:rsid w:val="0020398A"/>
    <w:rsid w:val="00205A81"/>
    <w:rsid w:val="0020786C"/>
    <w:rsid w:val="002305AE"/>
    <w:rsid w:val="002421FE"/>
    <w:rsid w:val="00266046"/>
    <w:rsid w:val="002670A7"/>
    <w:rsid w:val="002846DB"/>
    <w:rsid w:val="002C6637"/>
    <w:rsid w:val="002E16A0"/>
    <w:rsid w:val="002E2085"/>
    <w:rsid w:val="002E37A5"/>
    <w:rsid w:val="002F3EC5"/>
    <w:rsid w:val="00304A51"/>
    <w:rsid w:val="00310912"/>
    <w:rsid w:val="00325B36"/>
    <w:rsid w:val="003270FD"/>
    <w:rsid w:val="00353BC8"/>
    <w:rsid w:val="00355B61"/>
    <w:rsid w:val="00362686"/>
    <w:rsid w:val="00371510"/>
    <w:rsid w:val="00395145"/>
    <w:rsid w:val="00396DFD"/>
    <w:rsid w:val="003B7718"/>
    <w:rsid w:val="003B7A36"/>
    <w:rsid w:val="003C7823"/>
    <w:rsid w:val="003E1DCC"/>
    <w:rsid w:val="003F36E7"/>
    <w:rsid w:val="003F6A59"/>
    <w:rsid w:val="004021D7"/>
    <w:rsid w:val="004065C8"/>
    <w:rsid w:val="00411B4B"/>
    <w:rsid w:val="00417E08"/>
    <w:rsid w:val="00434BFE"/>
    <w:rsid w:val="004366A7"/>
    <w:rsid w:val="00436F42"/>
    <w:rsid w:val="00451314"/>
    <w:rsid w:val="004534C7"/>
    <w:rsid w:val="00461942"/>
    <w:rsid w:val="00480FB1"/>
    <w:rsid w:val="00481326"/>
    <w:rsid w:val="00483928"/>
    <w:rsid w:val="004A0E8B"/>
    <w:rsid w:val="004C07CF"/>
    <w:rsid w:val="004D2CE9"/>
    <w:rsid w:val="004D6103"/>
    <w:rsid w:val="004E3BCE"/>
    <w:rsid w:val="004F004E"/>
    <w:rsid w:val="004F0E97"/>
    <w:rsid w:val="00515C21"/>
    <w:rsid w:val="00527A01"/>
    <w:rsid w:val="00530BD7"/>
    <w:rsid w:val="005442AB"/>
    <w:rsid w:val="00545CD2"/>
    <w:rsid w:val="00551013"/>
    <w:rsid w:val="00560DD5"/>
    <w:rsid w:val="00566927"/>
    <w:rsid w:val="00573E40"/>
    <w:rsid w:val="00576348"/>
    <w:rsid w:val="005A0B2E"/>
    <w:rsid w:val="005A36CB"/>
    <w:rsid w:val="005B49B8"/>
    <w:rsid w:val="005C13FE"/>
    <w:rsid w:val="005C1724"/>
    <w:rsid w:val="005E0569"/>
    <w:rsid w:val="005E7A7D"/>
    <w:rsid w:val="0061619E"/>
    <w:rsid w:val="006168F1"/>
    <w:rsid w:val="00630AD1"/>
    <w:rsid w:val="00630B65"/>
    <w:rsid w:val="00642706"/>
    <w:rsid w:val="00650CDD"/>
    <w:rsid w:val="006534F0"/>
    <w:rsid w:val="0067093F"/>
    <w:rsid w:val="00674576"/>
    <w:rsid w:val="00674BAF"/>
    <w:rsid w:val="00675FD3"/>
    <w:rsid w:val="006A1497"/>
    <w:rsid w:val="006B0BD1"/>
    <w:rsid w:val="006B51D7"/>
    <w:rsid w:val="006E2782"/>
    <w:rsid w:val="006E5886"/>
    <w:rsid w:val="006F22DA"/>
    <w:rsid w:val="0072020E"/>
    <w:rsid w:val="007247FA"/>
    <w:rsid w:val="00744EC4"/>
    <w:rsid w:val="0075715F"/>
    <w:rsid w:val="007607C6"/>
    <w:rsid w:val="007911C6"/>
    <w:rsid w:val="007D60B6"/>
    <w:rsid w:val="007E2E15"/>
    <w:rsid w:val="007E79E7"/>
    <w:rsid w:val="007F2108"/>
    <w:rsid w:val="00816AC6"/>
    <w:rsid w:val="00824AB9"/>
    <w:rsid w:val="00831F36"/>
    <w:rsid w:val="00835ECC"/>
    <w:rsid w:val="00836B35"/>
    <w:rsid w:val="00845226"/>
    <w:rsid w:val="00846449"/>
    <w:rsid w:val="0086330B"/>
    <w:rsid w:val="00894F7A"/>
    <w:rsid w:val="0089705C"/>
    <w:rsid w:val="008C1A28"/>
    <w:rsid w:val="008C2E98"/>
    <w:rsid w:val="008D2468"/>
    <w:rsid w:val="008D6A5F"/>
    <w:rsid w:val="008E0477"/>
    <w:rsid w:val="008E49BD"/>
    <w:rsid w:val="008E53E9"/>
    <w:rsid w:val="008E5771"/>
    <w:rsid w:val="008F17B3"/>
    <w:rsid w:val="0095691C"/>
    <w:rsid w:val="00963CF0"/>
    <w:rsid w:val="00967815"/>
    <w:rsid w:val="009775D9"/>
    <w:rsid w:val="0098096E"/>
    <w:rsid w:val="0099337B"/>
    <w:rsid w:val="00994C1A"/>
    <w:rsid w:val="009A1142"/>
    <w:rsid w:val="009A1847"/>
    <w:rsid w:val="009B6043"/>
    <w:rsid w:val="009D662C"/>
    <w:rsid w:val="009E169A"/>
    <w:rsid w:val="009E7C6F"/>
    <w:rsid w:val="009F1793"/>
    <w:rsid w:val="00A02335"/>
    <w:rsid w:val="00A216D8"/>
    <w:rsid w:val="00A41236"/>
    <w:rsid w:val="00A5395C"/>
    <w:rsid w:val="00A9782F"/>
    <w:rsid w:val="00AA7BAC"/>
    <w:rsid w:val="00AB41C1"/>
    <w:rsid w:val="00AC53CE"/>
    <w:rsid w:val="00AC783F"/>
    <w:rsid w:val="00AD2193"/>
    <w:rsid w:val="00AD5B20"/>
    <w:rsid w:val="00AF2AC7"/>
    <w:rsid w:val="00B07517"/>
    <w:rsid w:val="00B208DB"/>
    <w:rsid w:val="00B23F69"/>
    <w:rsid w:val="00B25296"/>
    <w:rsid w:val="00B34C13"/>
    <w:rsid w:val="00B67366"/>
    <w:rsid w:val="00B80EE1"/>
    <w:rsid w:val="00B95AB3"/>
    <w:rsid w:val="00BC1160"/>
    <w:rsid w:val="00BC513A"/>
    <w:rsid w:val="00BC6C98"/>
    <w:rsid w:val="00BC75D5"/>
    <w:rsid w:val="00C04D34"/>
    <w:rsid w:val="00C14EAC"/>
    <w:rsid w:val="00C1712E"/>
    <w:rsid w:val="00C23D8D"/>
    <w:rsid w:val="00C23FD5"/>
    <w:rsid w:val="00C37AA3"/>
    <w:rsid w:val="00C43419"/>
    <w:rsid w:val="00C50E2E"/>
    <w:rsid w:val="00C56B1B"/>
    <w:rsid w:val="00C57DAA"/>
    <w:rsid w:val="00C70B0E"/>
    <w:rsid w:val="00C83785"/>
    <w:rsid w:val="00C94C0D"/>
    <w:rsid w:val="00CA7579"/>
    <w:rsid w:val="00CB3F10"/>
    <w:rsid w:val="00CB64A3"/>
    <w:rsid w:val="00CD4F85"/>
    <w:rsid w:val="00CD6F02"/>
    <w:rsid w:val="00CE1A3A"/>
    <w:rsid w:val="00CE246D"/>
    <w:rsid w:val="00CE31FA"/>
    <w:rsid w:val="00CF132C"/>
    <w:rsid w:val="00D0082A"/>
    <w:rsid w:val="00D16C9D"/>
    <w:rsid w:val="00D31A76"/>
    <w:rsid w:val="00D35208"/>
    <w:rsid w:val="00D7598E"/>
    <w:rsid w:val="00D859F6"/>
    <w:rsid w:val="00DA2ED6"/>
    <w:rsid w:val="00DB0C0E"/>
    <w:rsid w:val="00DB4242"/>
    <w:rsid w:val="00DB76B8"/>
    <w:rsid w:val="00DC2EA1"/>
    <w:rsid w:val="00DD5BE2"/>
    <w:rsid w:val="00DD6AAF"/>
    <w:rsid w:val="00DE3F5C"/>
    <w:rsid w:val="00DE76B9"/>
    <w:rsid w:val="00DF1D20"/>
    <w:rsid w:val="00E07951"/>
    <w:rsid w:val="00E246B9"/>
    <w:rsid w:val="00E45169"/>
    <w:rsid w:val="00E47787"/>
    <w:rsid w:val="00E50063"/>
    <w:rsid w:val="00E51C30"/>
    <w:rsid w:val="00E64180"/>
    <w:rsid w:val="00E64364"/>
    <w:rsid w:val="00E666C5"/>
    <w:rsid w:val="00E74AEE"/>
    <w:rsid w:val="00E868E5"/>
    <w:rsid w:val="00E91AA9"/>
    <w:rsid w:val="00E939FA"/>
    <w:rsid w:val="00EA0A27"/>
    <w:rsid w:val="00EA4C76"/>
    <w:rsid w:val="00EA62B6"/>
    <w:rsid w:val="00EC1BC2"/>
    <w:rsid w:val="00EC2532"/>
    <w:rsid w:val="00ED7812"/>
    <w:rsid w:val="00EF3B86"/>
    <w:rsid w:val="00EF668B"/>
    <w:rsid w:val="00EF6881"/>
    <w:rsid w:val="00F21C22"/>
    <w:rsid w:val="00F34554"/>
    <w:rsid w:val="00F34612"/>
    <w:rsid w:val="00F45F77"/>
    <w:rsid w:val="00F5167F"/>
    <w:rsid w:val="00F52258"/>
    <w:rsid w:val="00F550A7"/>
    <w:rsid w:val="00F70877"/>
    <w:rsid w:val="00F8570A"/>
    <w:rsid w:val="00F85938"/>
    <w:rsid w:val="00FB55D5"/>
    <w:rsid w:val="00FC569E"/>
    <w:rsid w:val="00FF5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F496F17-8760-4B86-921C-100F6BDC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68B"/>
    <w:rPr>
      <w:noProof/>
      <w:sz w:val="24"/>
      <w:szCs w:val="24"/>
      <w:lang w:val="sr-Latn-ME"/>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basedOn w:val="DefaultParagraphFont"/>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650CDD"/>
    <w:rPr>
      <w:rFonts w:ascii="Calibri" w:eastAsia="Calibri" w:hAnsi="Calibri"/>
      <w:sz w:val="22"/>
      <w:szCs w:val="22"/>
      <w:lang w:val="hr-HR"/>
    </w:rPr>
  </w:style>
  <w:style w:type="character" w:styleId="Hyperlink">
    <w:name w:val="Hyperlink"/>
    <w:basedOn w:val="DefaultParagraphFont"/>
    <w:uiPriority w:val="99"/>
    <w:unhideWhenUsed/>
    <w:rsid w:val="006534F0"/>
    <w:rPr>
      <w:color w:val="0000FF" w:themeColor="hyperlink"/>
      <w:u w:val="single"/>
    </w:rPr>
  </w:style>
  <w:style w:type="table" w:customStyle="1" w:styleId="TableGrid1">
    <w:name w:val="Table Grid1"/>
    <w:basedOn w:val="TableNormal"/>
    <w:uiPriority w:val="59"/>
    <w:rsid w:val="009D662C"/>
    <w:rPr>
      <w:rFonts w:ascii="Calibri" w:eastAsia="Calibri" w:hAnsi="Calibri"/>
      <w:sz w:val="22"/>
      <w:szCs w:val="22"/>
      <w:lang w:val="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9D6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rsid w:val="004F004E"/>
    <w:pPr>
      <w:spacing w:after="200" w:line="276" w:lineRule="auto"/>
    </w:pPr>
    <w:rPr>
      <w:rFonts w:ascii="Calibri" w:hAnsi="Calibri"/>
      <w:sz w:val="22"/>
      <w:szCs w:val="22"/>
      <w:lang w:val="hr-HR" w:bidi="he-IL"/>
    </w:rPr>
  </w:style>
  <w:style w:type="character" w:customStyle="1" w:styleId="DateChar">
    <w:name w:val="Date Char"/>
    <w:basedOn w:val="DefaultParagraphFont"/>
    <w:link w:val="Date"/>
    <w:uiPriority w:val="99"/>
    <w:rsid w:val="004F004E"/>
    <w:rPr>
      <w:rFonts w:ascii="Calibri" w:hAnsi="Calibri"/>
      <w:sz w:val="22"/>
      <w:szCs w:val="22"/>
      <w:lang w:val="hr-HR" w:bidi="he-IL"/>
    </w:rPr>
  </w:style>
  <w:style w:type="paragraph" w:styleId="ListParagraph">
    <w:name w:val="List Paragraph"/>
    <w:basedOn w:val="Normal"/>
    <w:uiPriority w:val="34"/>
    <w:qFormat/>
    <w:rsid w:val="00831F36"/>
    <w:pPr>
      <w:ind w:left="720"/>
      <w:contextualSpacing/>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3F36E7"/>
    <w:rPr>
      <w:sz w:val="24"/>
      <w:szCs w:val="24"/>
    </w:rPr>
  </w:style>
  <w:style w:type="paragraph" w:styleId="Revision">
    <w:name w:val="Revision"/>
    <w:hidden/>
    <w:uiPriority w:val="99"/>
    <w:semiHidden/>
    <w:rsid w:val="0086330B"/>
    <w:rPr>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B95AB3"/>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418">
      <w:bodyDiv w:val="1"/>
      <w:marLeft w:val="0"/>
      <w:marRight w:val="0"/>
      <w:marTop w:val="0"/>
      <w:marBottom w:val="0"/>
      <w:divBdr>
        <w:top w:val="none" w:sz="0" w:space="0" w:color="auto"/>
        <w:left w:val="none" w:sz="0" w:space="0" w:color="auto"/>
        <w:bottom w:val="none" w:sz="0" w:space="0" w:color="auto"/>
        <w:right w:val="none" w:sz="0" w:space="0" w:color="auto"/>
      </w:divBdr>
    </w:div>
    <w:div w:id="986588946">
      <w:bodyDiv w:val="1"/>
      <w:marLeft w:val="0"/>
      <w:marRight w:val="0"/>
      <w:marTop w:val="0"/>
      <w:marBottom w:val="0"/>
      <w:divBdr>
        <w:top w:val="none" w:sz="0" w:space="0" w:color="auto"/>
        <w:left w:val="none" w:sz="0" w:space="0" w:color="auto"/>
        <w:bottom w:val="none" w:sz="0" w:space="0" w:color="auto"/>
        <w:right w:val="none" w:sz="0" w:space="0" w:color="auto"/>
      </w:divBdr>
    </w:div>
    <w:div w:id="12372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pregnancy-registr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8EFD8-DB6C-476F-AF93-D10241F1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3292</Words>
  <Characters>21135</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Erin Šarkinović</cp:lastModifiedBy>
  <cp:revision>13</cp:revision>
  <cp:lastPrinted>2016-04-15T10:14:00Z</cp:lastPrinted>
  <dcterms:created xsi:type="dcterms:W3CDTF">2016-05-12T11:46:00Z</dcterms:created>
  <dcterms:modified xsi:type="dcterms:W3CDTF">2016-05-24T10:40:00Z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